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B6B1C25">
      <w:pPr>
        <w:pStyle w:val="28"/>
        <w:adjustRightInd/>
        <w:ind w:firstLine="1928"/>
        <w:jc w:val="center"/>
        <w:rPr>
          <w:rFonts w:hint="eastAsia" w:ascii="新宋体" w:hAnsi="新宋体" w:eastAsia="新宋体"/>
          <w:b/>
          <w:bCs/>
          <w:sz w:val="96"/>
          <w:highlight w:val="none"/>
        </w:rPr>
      </w:pPr>
    </w:p>
    <w:p w14:paraId="5723AFA0">
      <w:pPr>
        <w:pStyle w:val="28"/>
        <w:adjustRightInd/>
        <w:ind w:firstLine="472" w:firstLineChars="56"/>
        <w:jc w:val="center"/>
        <w:rPr>
          <w:rFonts w:hint="eastAsia" w:ascii="新宋体" w:hAnsi="新宋体" w:eastAsia="新宋体"/>
          <w:b/>
          <w:bCs/>
          <w:sz w:val="96"/>
          <w:highlight w:val="none"/>
        </w:rPr>
      </w:pPr>
      <w:r>
        <w:rPr>
          <w:rFonts w:hint="eastAsia" w:ascii="新宋体" w:hAnsi="新宋体" w:eastAsia="新宋体"/>
          <w:b/>
          <w:bCs/>
          <w:sz w:val="84"/>
          <w:szCs w:val="84"/>
          <w:highlight w:val="none"/>
        </w:rPr>
        <w:t>竞争性磋商文件</w:t>
      </w:r>
    </w:p>
    <w:p w14:paraId="0F157474">
      <w:pPr>
        <w:pStyle w:val="28"/>
        <w:adjustRightInd/>
        <w:ind w:firstLine="0" w:firstLineChars="0"/>
        <w:jc w:val="center"/>
        <w:rPr>
          <w:rFonts w:hint="eastAsia" w:ascii="新宋体" w:hAnsi="新宋体" w:eastAsia="新宋体"/>
          <w:b/>
          <w:bCs/>
          <w:sz w:val="32"/>
          <w:szCs w:val="32"/>
          <w:highlight w:val="none"/>
        </w:rPr>
      </w:pPr>
      <w:r>
        <w:rPr>
          <w:rFonts w:hint="eastAsia" w:ascii="新宋体" w:hAnsi="新宋体" w:eastAsia="新宋体"/>
          <w:b/>
          <w:bCs/>
          <w:sz w:val="32"/>
          <w:szCs w:val="32"/>
          <w:highlight w:val="none"/>
        </w:rPr>
        <w:t>（全流程电子化）</w:t>
      </w:r>
    </w:p>
    <w:p w14:paraId="45214C20">
      <w:pPr>
        <w:pStyle w:val="28"/>
        <w:adjustRightInd/>
        <w:rPr>
          <w:rFonts w:hint="eastAsia" w:ascii="新宋体" w:hAnsi="新宋体" w:eastAsia="新宋体"/>
          <w:b/>
          <w:bCs/>
          <w:highlight w:val="none"/>
        </w:rPr>
      </w:pPr>
    </w:p>
    <w:p w14:paraId="29723421">
      <w:pPr>
        <w:pStyle w:val="28"/>
        <w:adjustRightInd/>
        <w:rPr>
          <w:rFonts w:hint="eastAsia" w:ascii="新宋体" w:hAnsi="新宋体" w:eastAsia="新宋体"/>
          <w:b/>
          <w:bCs/>
          <w:highlight w:val="none"/>
        </w:rPr>
      </w:pPr>
    </w:p>
    <w:p w14:paraId="1D469AED">
      <w:pPr>
        <w:pStyle w:val="28"/>
        <w:adjustRightInd/>
        <w:rPr>
          <w:rFonts w:hint="eastAsia" w:ascii="新宋体" w:hAnsi="新宋体" w:eastAsia="新宋体"/>
          <w:b/>
          <w:bCs/>
          <w:highlight w:val="none"/>
        </w:rPr>
      </w:pPr>
    </w:p>
    <w:p w14:paraId="38B22DC5">
      <w:pPr>
        <w:pStyle w:val="28"/>
        <w:adjustRightInd/>
        <w:rPr>
          <w:rFonts w:hint="eastAsia" w:ascii="新宋体" w:hAnsi="新宋体" w:eastAsia="新宋体"/>
          <w:b/>
          <w:bCs/>
          <w:highlight w:val="none"/>
        </w:rPr>
      </w:pPr>
    </w:p>
    <w:p w14:paraId="2692B6D5">
      <w:pPr>
        <w:pStyle w:val="28"/>
        <w:adjustRightInd/>
        <w:rPr>
          <w:rFonts w:hint="eastAsia" w:ascii="新宋体" w:hAnsi="新宋体" w:eastAsia="新宋体"/>
          <w:b/>
          <w:bCs/>
          <w:highlight w:val="none"/>
        </w:rPr>
      </w:pPr>
    </w:p>
    <w:p w14:paraId="657CE22B">
      <w:pPr>
        <w:pStyle w:val="28"/>
        <w:adjustRightInd/>
        <w:rPr>
          <w:rFonts w:hint="eastAsia" w:ascii="新宋体" w:hAnsi="新宋体" w:eastAsia="新宋体"/>
          <w:b/>
          <w:bCs/>
          <w:highlight w:val="none"/>
        </w:rPr>
      </w:pPr>
    </w:p>
    <w:p w14:paraId="02FD6ED5">
      <w:pPr>
        <w:pStyle w:val="28"/>
        <w:adjustRightInd/>
        <w:ind w:firstLine="0" w:firstLineChars="0"/>
        <w:jc w:val="both"/>
        <w:rPr>
          <w:rFonts w:hint="eastAsia" w:ascii="新宋体" w:hAnsi="新宋体" w:eastAsia="新宋体"/>
          <w:b/>
          <w:bCs/>
          <w:sz w:val="32"/>
          <w:szCs w:val="32"/>
          <w:highlight w:val="none"/>
          <w:lang w:eastAsia="zh-CN"/>
        </w:rPr>
      </w:pPr>
      <w:r>
        <w:rPr>
          <w:rFonts w:hint="eastAsia" w:ascii="新宋体" w:hAnsi="新宋体" w:eastAsia="新宋体"/>
          <w:b/>
          <w:bCs/>
          <w:sz w:val="32"/>
          <w:szCs w:val="32"/>
          <w:highlight w:val="none"/>
        </w:rPr>
        <w:t>项目名称：</w:t>
      </w:r>
      <w:r>
        <w:rPr>
          <w:rFonts w:hint="eastAsia" w:ascii="新宋体" w:hAnsi="新宋体" w:eastAsia="新宋体"/>
          <w:b/>
          <w:bCs/>
          <w:sz w:val="32"/>
          <w:szCs w:val="32"/>
          <w:highlight w:val="none"/>
          <w:lang w:eastAsia="zh-CN"/>
        </w:rPr>
        <w:t>2026年泰州市快速路隧道、桥梁定期检查项目</w:t>
      </w:r>
    </w:p>
    <w:p w14:paraId="4F91815F">
      <w:pPr>
        <w:pStyle w:val="28"/>
        <w:adjustRightInd/>
        <w:ind w:firstLine="0" w:firstLineChars="0"/>
        <w:jc w:val="both"/>
        <w:rPr>
          <w:rFonts w:hint="eastAsia" w:ascii="新宋体" w:hAnsi="新宋体" w:eastAsia="新宋体"/>
          <w:b/>
          <w:bCs/>
          <w:sz w:val="32"/>
          <w:szCs w:val="32"/>
          <w:highlight w:val="none"/>
          <w:lang w:eastAsia="zh-CN"/>
        </w:rPr>
      </w:pPr>
      <w:r>
        <w:rPr>
          <w:rFonts w:hint="eastAsia" w:ascii="新宋体" w:hAnsi="新宋体" w:eastAsia="新宋体"/>
          <w:b/>
          <w:bCs/>
          <w:sz w:val="32"/>
          <w:szCs w:val="32"/>
          <w:highlight w:val="none"/>
        </w:rPr>
        <w:t>项目编号：</w:t>
      </w:r>
      <w:r>
        <w:rPr>
          <w:rFonts w:hint="eastAsia" w:ascii="新宋体" w:hAnsi="新宋体" w:eastAsia="新宋体"/>
          <w:b/>
          <w:bCs/>
          <w:sz w:val="32"/>
          <w:szCs w:val="32"/>
          <w:highlight w:val="none"/>
          <w:lang w:eastAsia="zh-CN"/>
        </w:rPr>
        <w:t>JSZC-321200-HQGC-C2026-0031</w:t>
      </w:r>
    </w:p>
    <w:p w14:paraId="1C1D08DC">
      <w:pPr>
        <w:spacing w:line="360" w:lineRule="auto"/>
        <w:rPr>
          <w:rFonts w:hint="eastAsia" w:ascii="新宋体" w:hAnsi="新宋体" w:eastAsia="新宋体"/>
          <w:b/>
          <w:bCs/>
          <w:sz w:val="32"/>
          <w:szCs w:val="32"/>
          <w:highlight w:val="none"/>
        </w:rPr>
      </w:pPr>
      <w:r>
        <w:rPr>
          <w:rFonts w:hint="eastAsia" w:ascii="新宋体" w:hAnsi="新宋体" w:eastAsia="新宋体"/>
          <w:b/>
          <w:bCs/>
          <w:sz w:val="32"/>
          <w:szCs w:val="32"/>
          <w:highlight w:val="none"/>
        </w:rPr>
        <w:t>采 购 人：泰州市公路事业发展中心</w:t>
      </w:r>
    </w:p>
    <w:p w14:paraId="20E9A741">
      <w:pPr>
        <w:pStyle w:val="8"/>
        <w:spacing w:line="360" w:lineRule="auto"/>
        <w:rPr>
          <w:rFonts w:hint="eastAsia" w:ascii="新宋体" w:hAnsi="新宋体" w:eastAsia="新宋体"/>
          <w:b/>
          <w:bCs/>
          <w:sz w:val="32"/>
          <w:szCs w:val="32"/>
          <w:highlight w:val="none"/>
        </w:rPr>
      </w:pPr>
    </w:p>
    <w:p w14:paraId="3EC23F75">
      <w:pPr>
        <w:pStyle w:val="8"/>
        <w:spacing w:line="360" w:lineRule="auto"/>
        <w:rPr>
          <w:rFonts w:hint="eastAsia" w:ascii="新宋体" w:hAnsi="新宋体" w:eastAsia="新宋体"/>
          <w:b/>
          <w:bCs/>
          <w:sz w:val="32"/>
          <w:szCs w:val="32"/>
          <w:highlight w:val="none"/>
        </w:rPr>
      </w:pPr>
    </w:p>
    <w:p w14:paraId="3D0932FC">
      <w:pPr>
        <w:pStyle w:val="8"/>
        <w:spacing w:line="360" w:lineRule="auto"/>
        <w:rPr>
          <w:rFonts w:hint="eastAsia" w:ascii="新宋体" w:hAnsi="新宋体" w:eastAsia="新宋体"/>
          <w:b/>
          <w:bCs/>
          <w:sz w:val="32"/>
          <w:szCs w:val="32"/>
          <w:highlight w:val="none"/>
        </w:rPr>
      </w:pPr>
    </w:p>
    <w:p w14:paraId="24F5D254">
      <w:pPr>
        <w:pStyle w:val="8"/>
        <w:spacing w:line="360" w:lineRule="auto"/>
        <w:rPr>
          <w:rFonts w:hint="eastAsia" w:ascii="新宋体" w:hAnsi="新宋体" w:eastAsia="新宋体"/>
          <w:b/>
          <w:bCs/>
          <w:sz w:val="32"/>
          <w:szCs w:val="32"/>
          <w:highlight w:val="none"/>
        </w:rPr>
      </w:pPr>
    </w:p>
    <w:p w14:paraId="05929FC2">
      <w:pPr>
        <w:pStyle w:val="8"/>
        <w:spacing w:line="360" w:lineRule="auto"/>
        <w:rPr>
          <w:rFonts w:hint="eastAsia" w:ascii="新宋体" w:hAnsi="新宋体" w:eastAsia="新宋体"/>
          <w:b/>
          <w:bCs/>
          <w:sz w:val="32"/>
          <w:szCs w:val="32"/>
          <w:highlight w:val="none"/>
        </w:rPr>
      </w:pPr>
    </w:p>
    <w:p w14:paraId="650794A4">
      <w:pPr>
        <w:spacing w:line="360" w:lineRule="auto"/>
        <w:jc w:val="center"/>
        <w:rPr>
          <w:rFonts w:hint="eastAsia" w:ascii="新宋体" w:hAnsi="新宋体" w:eastAsia="新宋体"/>
          <w:b/>
          <w:bCs/>
          <w:sz w:val="32"/>
          <w:szCs w:val="32"/>
          <w:highlight w:val="none"/>
        </w:rPr>
      </w:pPr>
      <w:r>
        <w:rPr>
          <w:rFonts w:hint="eastAsia" w:ascii="新宋体" w:hAnsi="新宋体" w:eastAsia="新宋体"/>
          <w:b/>
          <w:bCs/>
          <w:sz w:val="32"/>
          <w:szCs w:val="32"/>
          <w:highlight w:val="none"/>
        </w:rPr>
        <w:t>采购代理机构：江苏华强工程投资管理咨询有限公司</w:t>
      </w:r>
    </w:p>
    <w:p w14:paraId="6EDE3623">
      <w:pPr>
        <w:pStyle w:val="28"/>
        <w:adjustRightInd/>
        <w:ind w:firstLine="643"/>
        <w:jc w:val="center"/>
        <w:rPr>
          <w:rFonts w:hint="eastAsia" w:ascii="新宋体" w:hAnsi="新宋体" w:eastAsia="新宋体"/>
          <w:b/>
          <w:bCs/>
          <w:sz w:val="32"/>
          <w:szCs w:val="32"/>
          <w:highlight w:val="none"/>
        </w:rPr>
      </w:pPr>
      <w:r>
        <w:rPr>
          <w:rFonts w:hint="eastAsia" w:ascii="新宋体" w:hAnsi="新宋体" w:eastAsia="新宋体"/>
          <w:b/>
          <w:bCs/>
          <w:sz w:val="32"/>
          <w:szCs w:val="32"/>
          <w:highlight w:val="none"/>
          <w:lang w:eastAsia="zh-CN"/>
        </w:rPr>
        <w:t>2026年</w:t>
      </w:r>
      <w:r>
        <w:rPr>
          <w:rFonts w:hint="eastAsia" w:ascii="新宋体" w:hAnsi="新宋体" w:eastAsia="新宋体"/>
          <w:b/>
          <w:bCs/>
          <w:sz w:val="32"/>
          <w:szCs w:val="32"/>
          <w:highlight w:val="none"/>
          <w:lang w:val="en-US" w:eastAsia="zh-CN"/>
        </w:rPr>
        <w:t>8</w:t>
      </w:r>
      <w:r>
        <w:rPr>
          <w:rFonts w:hint="eastAsia" w:ascii="新宋体" w:hAnsi="新宋体" w:eastAsia="新宋体"/>
          <w:b/>
          <w:bCs/>
          <w:sz w:val="32"/>
          <w:szCs w:val="32"/>
          <w:highlight w:val="none"/>
        </w:rPr>
        <w:t>月</w:t>
      </w:r>
    </w:p>
    <w:p w14:paraId="5DCFBF65">
      <w:pPr>
        <w:pStyle w:val="28"/>
        <w:adjustRightInd/>
        <w:jc w:val="center"/>
        <w:rPr>
          <w:rFonts w:hint="eastAsia" w:ascii="新宋体" w:hAnsi="新宋体" w:eastAsia="新宋体"/>
          <w:b/>
          <w:bCs/>
          <w:highlight w:val="none"/>
        </w:rPr>
        <w:sectPr>
          <w:footerReference r:id="rId5" w:type="first"/>
          <w:headerReference r:id="rId3" w:type="default"/>
          <w:footerReference r:id="rId4" w:type="default"/>
          <w:pgSz w:w="11906" w:h="16838"/>
          <w:pgMar w:top="1701" w:right="1134" w:bottom="1134" w:left="1134" w:header="851" w:footer="992" w:gutter="0"/>
          <w:pgBorders>
            <w:top w:val="none" w:sz="0" w:space="0"/>
            <w:left w:val="none" w:sz="0" w:space="0"/>
            <w:bottom w:val="none" w:sz="0" w:space="0"/>
            <w:right w:val="none" w:sz="0" w:space="0"/>
          </w:pgBorders>
          <w:cols w:space="720" w:num="1"/>
          <w:docGrid w:type="lines" w:linePitch="312" w:charSpace="0"/>
        </w:sectPr>
      </w:pPr>
    </w:p>
    <w:p w14:paraId="05EE6813">
      <w:pPr>
        <w:pStyle w:val="28"/>
        <w:adjustRightInd/>
        <w:jc w:val="center"/>
        <w:rPr>
          <w:rFonts w:hint="eastAsia" w:ascii="新宋体" w:hAnsi="新宋体" w:eastAsia="新宋体"/>
          <w:b/>
          <w:bCs/>
          <w:highlight w:val="none"/>
        </w:rPr>
      </w:pPr>
    </w:p>
    <w:p w14:paraId="261B6756">
      <w:pPr>
        <w:pStyle w:val="28"/>
        <w:adjustRightInd/>
        <w:jc w:val="center"/>
        <w:rPr>
          <w:rFonts w:hint="eastAsia" w:ascii="新宋体" w:hAnsi="新宋体" w:eastAsia="新宋体"/>
          <w:b/>
          <w:bCs/>
          <w:highlight w:val="none"/>
        </w:rPr>
      </w:pPr>
    </w:p>
    <w:p w14:paraId="04581E32">
      <w:pPr>
        <w:pStyle w:val="29"/>
        <w:spacing w:before="0" w:line="360" w:lineRule="auto"/>
        <w:jc w:val="center"/>
        <w:rPr>
          <w:rFonts w:hint="eastAsia" w:ascii="宋体" w:hAnsi="宋体" w:eastAsia="宋体"/>
          <w:b/>
          <w:color w:val="auto"/>
          <w:sz w:val="40"/>
          <w:highlight w:val="none"/>
          <w:lang w:val="zh-CN"/>
        </w:rPr>
      </w:pPr>
      <w:r>
        <w:rPr>
          <w:rFonts w:ascii="宋体" w:hAnsi="宋体" w:eastAsia="宋体"/>
          <w:b/>
          <w:color w:val="auto"/>
          <w:sz w:val="40"/>
          <w:highlight w:val="none"/>
          <w:lang w:val="zh-CN"/>
        </w:rPr>
        <w:t>目</w:t>
      </w:r>
      <w:r>
        <w:rPr>
          <w:rFonts w:hint="eastAsia" w:ascii="宋体" w:hAnsi="宋体" w:eastAsia="宋体"/>
          <w:b/>
          <w:color w:val="auto"/>
          <w:sz w:val="40"/>
          <w:highlight w:val="none"/>
        </w:rPr>
        <w:t xml:space="preserve">  </w:t>
      </w:r>
      <w:r>
        <w:rPr>
          <w:rFonts w:ascii="宋体" w:hAnsi="宋体" w:eastAsia="宋体"/>
          <w:b/>
          <w:color w:val="auto"/>
          <w:sz w:val="40"/>
          <w:highlight w:val="none"/>
          <w:lang w:val="zh-CN"/>
        </w:rPr>
        <w:t>录</w:t>
      </w:r>
    </w:p>
    <w:p w14:paraId="438B105F">
      <w:pPr>
        <w:spacing w:line="360" w:lineRule="auto"/>
        <w:ind w:firstLine="420" w:firstLineChars="200"/>
        <w:rPr>
          <w:highlight w:val="none"/>
          <w:lang w:val="zh-CN"/>
        </w:rPr>
      </w:pPr>
    </w:p>
    <w:p w14:paraId="48FFECCB">
      <w:pPr>
        <w:pStyle w:val="13"/>
        <w:spacing w:line="360" w:lineRule="auto"/>
        <w:rPr>
          <w:rFonts w:hint="eastAsia" w:ascii="宋体" w:hAnsi="宋体" w:eastAsia="宋体"/>
          <w:caps w:val="0"/>
          <w:sz w:val="21"/>
          <w:szCs w:val="21"/>
          <w:highlight w:val="none"/>
        </w:rPr>
      </w:pPr>
      <w:r>
        <w:rPr>
          <w:rStyle w:val="24"/>
          <w:rFonts w:ascii="宋体" w:hAnsi="宋体"/>
          <w:color w:val="auto"/>
          <w:highlight w:val="none"/>
        </w:rPr>
        <w:fldChar w:fldCharType="begin"/>
      </w:r>
      <w:r>
        <w:rPr>
          <w:rStyle w:val="24"/>
          <w:rFonts w:ascii="宋体" w:hAnsi="宋体"/>
          <w:color w:val="auto"/>
          <w:highlight w:val="none"/>
        </w:rPr>
        <w:instrText xml:space="preserve"> TOC \o "1-1" \h \z \u </w:instrText>
      </w:r>
      <w:r>
        <w:rPr>
          <w:rStyle w:val="24"/>
          <w:rFonts w:ascii="宋体" w:hAnsi="宋体"/>
          <w:color w:val="auto"/>
          <w:highlight w:val="none"/>
        </w:rPr>
        <w:fldChar w:fldCharType="separate"/>
      </w:r>
      <w:r>
        <w:rPr>
          <w:highlight w:val="none"/>
        </w:rPr>
        <w:fldChar w:fldCharType="begin"/>
      </w:r>
      <w:r>
        <w:rPr>
          <w:highlight w:val="none"/>
        </w:rPr>
        <w:instrText xml:space="preserve"> HYPERLINK \l "_Toc86268900" </w:instrText>
      </w:r>
      <w:r>
        <w:rPr>
          <w:highlight w:val="none"/>
        </w:rPr>
        <w:fldChar w:fldCharType="separate"/>
      </w:r>
      <w:r>
        <w:rPr>
          <w:rFonts w:hint="eastAsia" w:ascii="宋体" w:hAnsi="宋体" w:eastAsia="宋体"/>
          <w:caps w:val="0"/>
          <w:sz w:val="21"/>
          <w:szCs w:val="21"/>
          <w:highlight w:val="none"/>
        </w:rPr>
        <w:t>第一章 竞争性磋商采购公告</w:t>
      </w:r>
      <w:r>
        <w:rPr>
          <w:rFonts w:hint="eastAsia" w:ascii="宋体" w:hAnsi="宋体" w:eastAsia="宋体"/>
          <w:caps w:val="0"/>
          <w:sz w:val="21"/>
          <w:szCs w:val="21"/>
          <w:highlight w:val="none"/>
        </w:rPr>
        <w:tab/>
      </w:r>
      <w:r>
        <w:rPr>
          <w:rFonts w:hint="eastAsia" w:ascii="宋体" w:hAnsi="宋体" w:eastAsia="宋体"/>
          <w:caps w:val="0"/>
          <w:sz w:val="21"/>
          <w:szCs w:val="21"/>
          <w:highlight w:val="none"/>
        </w:rPr>
        <w:fldChar w:fldCharType="begin"/>
      </w:r>
      <w:r>
        <w:rPr>
          <w:rFonts w:hint="eastAsia" w:ascii="宋体" w:hAnsi="宋体" w:eastAsia="宋体"/>
          <w:caps w:val="0"/>
          <w:sz w:val="21"/>
          <w:szCs w:val="21"/>
          <w:highlight w:val="none"/>
        </w:rPr>
        <w:instrText xml:space="preserve"> PAGEREF _Toc86268900 \h </w:instrText>
      </w:r>
      <w:r>
        <w:rPr>
          <w:rFonts w:hint="eastAsia" w:ascii="宋体" w:hAnsi="宋体" w:eastAsia="宋体"/>
          <w:caps w:val="0"/>
          <w:sz w:val="21"/>
          <w:szCs w:val="21"/>
          <w:highlight w:val="none"/>
        </w:rPr>
        <w:fldChar w:fldCharType="separate"/>
      </w:r>
      <w:r>
        <w:rPr>
          <w:rFonts w:hint="eastAsia" w:ascii="宋体" w:hAnsi="宋体" w:eastAsia="宋体"/>
          <w:caps w:val="0"/>
          <w:sz w:val="21"/>
          <w:szCs w:val="21"/>
          <w:highlight w:val="none"/>
        </w:rPr>
        <w:t>3</w:t>
      </w:r>
      <w:r>
        <w:rPr>
          <w:rFonts w:hint="eastAsia" w:ascii="宋体" w:hAnsi="宋体" w:eastAsia="宋体"/>
          <w:caps w:val="0"/>
          <w:sz w:val="21"/>
          <w:szCs w:val="21"/>
          <w:highlight w:val="none"/>
        </w:rPr>
        <w:fldChar w:fldCharType="end"/>
      </w:r>
      <w:r>
        <w:rPr>
          <w:rFonts w:hint="eastAsia" w:ascii="宋体" w:hAnsi="宋体" w:eastAsia="宋体"/>
          <w:caps w:val="0"/>
          <w:sz w:val="21"/>
          <w:szCs w:val="21"/>
          <w:highlight w:val="none"/>
        </w:rPr>
        <w:fldChar w:fldCharType="end"/>
      </w:r>
    </w:p>
    <w:p w14:paraId="1D2C113F">
      <w:pPr>
        <w:pStyle w:val="13"/>
        <w:spacing w:line="360" w:lineRule="auto"/>
        <w:rPr>
          <w:rFonts w:hint="eastAsia" w:ascii="宋体" w:hAnsi="宋体" w:eastAsia="宋体"/>
          <w:caps w:val="0"/>
          <w:sz w:val="21"/>
          <w:szCs w:val="21"/>
          <w:highlight w:val="none"/>
        </w:rPr>
      </w:pPr>
      <w:r>
        <w:rPr>
          <w:highlight w:val="none"/>
        </w:rPr>
        <w:fldChar w:fldCharType="begin"/>
      </w:r>
      <w:r>
        <w:rPr>
          <w:highlight w:val="none"/>
        </w:rPr>
        <w:instrText xml:space="preserve"> HYPERLINK \l "_Toc86268900" </w:instrText>
      </w:r>
      <w:r>
        <w:rPr>
          <w:highlight w:val="none"/>
        </w:rPr>
        <w:fldChar w:fldCharType="separate"/>
      </w:r>
      <w:r>
        <w:rPr>
          <w:rFonts w:hint="eastAsia" w:ascii="宋体" w:hAnsi="宋体" w:eastAsia="宋体"/>
          <w:caps w:val="0"/>
          <w:sz w:val="21"/>
          <w:szCs w:val="21"/>
          <w:highlight w:val="none"/>
        </w:rPr>
        <w:t>第二章 参加磋商供应商须知</w:t>
      </w:r>
      <w:r>
        <w:rPr>
          <w:rFonts w:hint="eastAsia" w:ascii="宋体" w:hAnsi="宋体" w:eastAsia="宋体"/>
          <w:caps w:val="0"/>
          <w:sz w:val="21"/>
          <w:szCs w:val="21"/>
          <w:highlight w:val="none"/>
        </w:rPr>
        <w:tab/>
      </w:r>
      <w:r>
        <w:rPr>
          <w:rFonts w:hint="eastAsia" w:ascii="宋体" w:hAnsi="宋体" w:eastAsia="宋体"/>
          <w:caps w:val="0"/>
          <w:sz w:val="21"/>
          <w:szCs w:val="21"/>
          <w:highlight w:val="none"/>
          <w:lang w:val="en-US" w:eastAsia="zh-CN"/>
        </w:rPr>
        <w:t>8</w:t>
      </w:r>
      <w:r>
        <w:rPr>
          <w:rFonts w:hint="eastAsia" w:ascii="宋体" w:hAnsi="宋体" w:eastAsia="宋体"/>
          <w:caps w:val="0"/>
          <w:sz w:val="21"/>
          <w:szCs w:val="21"/>
          <w:highlight w:val="none"/>
        </w:rPr>
        <w:fldChar w:fldCharType="end"/>
      </w:r>
    </w:p>
    <w:p w14:paraId="3E9E6E23">
      <w:pPr>
        <w:pStyle w:val="13"/>
        <w:spacing w:line="360" w:lineRule="auto"/>
        <w:rPr>
          <w:rFonts w:hint="eastAsia" w:ascii="宋体" w:hAnsi="宋体" w:eastAsia="宋体"/>
          <w:caps w:val="0"/>
          <w:sz w:val="21"/>
          <w:szCs w:val="21"/>
          <w:highlight w:val="none"/>
          <w:lang w:eastAsia="zh-CN"/>
        </w:rPr>
      </w:pPr>
      <w:r>
        <w:rPr>
          <w:highlight w:val="none"/>
        </w:rPr>
        <w:fldChar w:fldCharType="begin"/>
      </w:r>
      <w:r>
        <w:rPr>
          <w:highlight w:val="none"/>
        </w:rPr>
        <w:instrText xml:space="preserve"> HYPERLINK \l "_Toc86268901" </w:instrText>
      </w:r>
      <w:r>
        <w:rPr>
          <w:highlight w:val="none"/>
        </w:rPr>
        <w:fldChar w:fldCharType="separate"/>
      </w:r>
      <w:r>
        <w:rPr>
          <w:rFonts w:hint="eastAsia" w:ascii="宋体" w:hAnsi="宋体" w:eastAsia="宋体"/>
          <w:caps w:val="0"/>
          <w:sz w:val="21"/>
          <w:szCs w:val="21"/>
          <w:highlight w:val="none"/>
        </w:rPr>
        <w:t>第三章 合同条款及格式</w:t>
      </w:r>
      <w:r>
        <w:rPr>
          <w:rFonts w:hint="eastAsia" w:ascii="宋体" w:hAnsi="宋体" w:eastAsia="宋体"/>
          <w:caps w:val="0"/>
          <w:sz w:val="21"/>
          <w:szCs w:val="21"/>
          <w:highlight w:val="none"/>
        </w:rPr>
        <w:tab/>
      </w:r>
      <w:r>
        <w:rPr>
          <w:rFonts w:hint="eastAsia" w:ascii="宋体" w:hAnsi="宋体" w:eastAsia="宋体"/>
          <w:caps w:val="0"/>
          <w:sz w:val="21"/>
          <w:szCs w:val="21"/>
          <w:highlight w:val="none"/>
        </w:rPr>
        <w:t>2</w:t>
      </w:r>
      <w:r>
        <w:rPr>
          <w:rFonts w:hint="eastAsia" w:ascii="宋体" w:hAnsi="宋体" w:eastAsia="宋体"/>
          <w:caps w:val="0"/>
          <w:sz w:val="21"/>
          <w:szCs w:val="21"/>
          <w:highlight w:val="none"/>
        </w:rPr>
        <w:fldChar w:fldCharType="end"/>
      </w:r>
      <w:r>
        <w:rPr>
          <w:rFonts w:hint="eastAsia" w:ascii="宋体" w:hAnsi="宋体" w:eastAsia="宋体"/>
          <w:caps w:val="0"/>
          <w:sz w:val="21"/>
          <w:szCs w:val="21"/>
          <w:highlight w:val="none"/>
          <w:lang w:val="en-US" w:eastAsia="zh-CN"/>
        </w:rPr>
        <w:t>3</w:t>
      </w:r>
    </w:p>
    <w:p w14:paraId="5EF3FCCB">
      <w:pPr>
        <w:pStyle w:val="13"/>
        <w:spacing w:line="360" w:lineRule="auto"/>
        <w:rPr>
          <w:rFonts w:hint="eastAsia" w:ascii="宋体" w:hAnsi="宋体" w:eastAsia="宋体"/>
          <w:caps w:val="0"/>
          <w:sz w:val="21"/>
          <w:szCs w:val="21"/>
          <w:highlight w:val="none"/>
          <w:lang w:val="en-US" w:eastAsia="zh-CN"/>
        </w:rPr>
      </w:pPr>
      <w:r>
        <w:rPr>
          <w:highlight w:val="none"/>
        </w:rPr>
        <w:fldChar w:fldCharType="begin"/>
      </w:r>
      <w:r>
        <w:rPr>
          <w:highlight w:val="none"/>
        </w:rPr>
        <w:instrText xml:space="preserve"> HYPERLINK \l "_Toc86268902" </w:instrText>
      </w:r>
      <w:r>
        <w:rPr>
          <w:highlight w:val="none"/>
        </w:rPr>
        <w:fldChar w:fldCharType="separate"/>
      </w:r>
      <w:r>
        <w:rPr>
          <w:rFonts w:hint="eastAsia" w:ascii="宋体" w:hAnsi="宋体" w:eastAsia="宋体"/>
          <w:caps w:val="0"/>
          <w:sz w:val="21"/>
          <w:szCs w:val="21"/>
          <w:highlight w:val="none"/>
        </w:rPr>
        <w:t>第四章 项目需求</w:t>
      </w:r>
      <w:r>
        <w:rPr>
          <w:rFonts w:hint="eastAsia" w:ascii="宋体" w:hAnsi="宋体" w:eastAsia="宋体"/>
          <w:caps w:val="0"/>
          <w:sz w:val="21"/>
          <w:szCs w:val="21"/>
          <w:highlight w:val="none"/>
        </w:rPr>
        <w:tab/>
      </w:r>
      <w:r>
        <w:rPr>
          <w:rFonts w:hint="eastAsia" w:ascii="宋体" w:hAnsi="宋体" w:eastAsia="宋体"/>
          <w:caps w:val="0"/>
          <w:sz w:val="21"/>
          <w:szCs w:val="21"/>
          <w:highlight w:val="none"/>
          <w:lang w:val="en-US" w:eastAsia="zh-CN"/>
        </w:rPr>
        <w:t>3</w:t>
      </w:r>
      <w:r>
        <w:rPr>
          <w:rFonts w:hint="eastAsia" w:ascii="宋体" w:hAnsi="宋体" w:eastAsia="宋体"/>
          <w:caps w:val="0"/>
          <w:sz w:val="21"/>
          <w:szCs w:val="21"/>
          <w:highlight w:val="none"/>
        </w:rPr>
        <w:fldChar w:fldCharType="end"/>
      </w:r>
      <w:r>
        <w:rPr>
          <w:rFonts w:hint="eastAsia" w:ascii="宋体" w:hAnsi="宋体" w:eastAsia="宋体"/>
          <w:caps w:val="0"/>
          <w:sz w:val="21"/>
          <w:szCs w:val="21"/>
          <w:highlight w:val="none"/>
          <w:lang w:val="en-US" w:eastAsia="zh-CN"/>
        </w:rPr>
        <w:t>0</w:t>
      </w:r>
    </w:p>
    <w:p w14:paraId="5135EDE8">
      <w:pPr>
        <w:pStyle w:val="13"/>
        <w:spacing w:line="360" w:lineRule="auto"/>
        <w:rPr>
          <w:rFonts w:hint="default" w:ascii="宋体" w:hAnsi="宋体" w:eastAsia="宋体"/>
          <w:caps w:val="0"/>
          <w:sz w:val="21"/>
          <w:szCs w:val="21"/>
          <w:highlight w:val="none"/>
          <w:lang w:val="en-US" w:eastAsia="zh-CN"/>
        </w:rPr>
      </w:pPr>
      <w:r>
        <w:rPr>
          <w:highlight w:val="none"/>
        </w:rPr>
        <w:fldChar w:fldCharType="begin"/>
      </w:r>
      <w:r>
        <w:rPr>
          <w:highlight w:val="none"/>
        </w:rPr>
        <w:instrText xml:space="preserve"> HYPERLINK \l "_Toc86268903" </w:instrText>
      </w:r>
      <w:r>
        <w:rPr>
          <w:highlight w:val="none"/>
        </w:rPr>
        <w:fldChar w:fldCharType="separate"/>
      </w:r>
      <w:r>
        <w:rPr>
          <w:rFonts w:hint="eastAsia" w:ascii="宋体" w:hAnsi="宋体" w:eastAsia="宋体"/>
          <w:caps w:val="0"/>
          <w:sz w:val="21"/>
          <w:szCs w:val="21"/>
          <w:highlight w:val="none"/>
        </w:rPr>
        <w:t>第五章 评审方法和评审标准</w:t>
      </w:r>
      <w:r>
        <w:rPr>
          <w:rFonts w:hint="eastAsia" w:ascii="宋体" w:hAnsi="宋体" w:eastAsia="宋体"/>
          <w:caps w:val="0"/>
          <w:sz w:val="21"/>
          <w:szCs w:val="21"/>
          <w:highlight w:val="none"/>
        </w:rPr>
        <w:tab/>
      </w:r>
      <w:r>
        <w:rPr>
          <w:rFonts w:hint="eastAsia" w:ascii="宋体" w:hAnsi="宋体" w:eastAsia="宋体"/>
          <w:caps w:val="0"/>
          <w:sz w:val="21"/>
          <w:szCs w:val="21"/>
          <w:highlight w:val="none"/>
        </w:rPr>
        <w:fldChar w:fldCharType="end"/>
      </w:r>
      <w:r>
        <w:rPr>
          <w:rFonts w:hint="eastAsia" w:ascii="宋体" w:hAnsi="宋体" w:eastAsia="宋体"/>
          <w:caps w:val="0"/>
          <w:sz w:val="21"/>
          <w:szCs w:val="21"/>
          <w:highlight w:val="none"/>
          <w:lang w:val="en-US" w:eastAsia="zh-CN"/>
        </w:rPr>
        <w:t>36</w:t>
      </w:r>
    </w:p>
    <w:p w14:paraId="1CF4C848">
      <w:pPr>
        <w:pStyle w:val="13"/>
        <w:spacing w:line="360" w:lineRule="auto"/>
        <w:rPr>
          <w:rStyle w:val="24"/>
          <w:rFonts w:hint="eastAsia" w:ascii="宋体" w:hAnsi="宋体"/>
          <w:color w:val="auto"/>
          <w:highlight w:val="none"/>
        </w:rPr>
      </w:pPr>
      <w:r>
        <w:rPr>
          <w:highlight w:val="none"/>
        </w:rPr>
        <w:fldChar w:fldCharType="begin"/>
      </w:r>
      <w:r>
        <w:rPr>
          <w:highlight w:val="none"/>
        </w:rPr>
        <w:instrText xml:space="preserve"> HYPERLINK \l "_Toc86268903" </w:instrText>
      </w:r>
      <w:r>
        <w:rPr>
          <w:highlight w:val="none"/>
        </w:rPr>
        <w:fldChar w:fldCharType="separate"/>
      </w:r>
      <w:r>
        <w:rPr>
          <w:rFonts w:hint="eastAsia" w:ascii="宋体" w:hAnsi="宋体" w:eastAsia="宋体"/>
          <w:caps w:val="0"/>
          <w:sz w:val="21"/>
          <w:szCs w:val="21"/>
          <w:highlight w:val="none"/>
        </w:rPr>
        <w:t>第六章 响应文件的组成和格式</w:t>
      </w:r>
      <w:r>
        <w:rPr>
          <w:rFonts w:hint="eastAsia" w:ascii="宋体" w:hAnsi="宋体" w:eastAsia="宋体"/>
          <w:caps w:val="0"/>
          <w:sz w:val="21"/>
          <w:szCs w:val="21"/>
          <w:highlight w:val="none"/>
        </w:rPr>
        <w:tab/>
      </w:r>
      <w:r>
        <w:rPr>
          <w:rFonts w:hint="eastAsia" w:ascii="宋体" w:hAnsi="宋体" w:eastAsia="宋体"/>
          <w:caps w:val="0"/>
          <w:sz w:val="21"/>
          <w:szCs w:val="21"/>
          <w:highlight w:val="none"/>
          <w:lang w:val="en-US" w:eastAsia="zh-CN"/>
        </w:rPr>
        <w:t>4</w:t>
      </w:r>
      <w:r>
        <w:rPr>
          <w:rFonts w:hint="eastAsia" w:ascii="宋体" w:hAnsi="宋体" w:eastAsia="宋体"/>
          <w:caps w:val="0"/>
          <w:sz w:val="21"/>
          <w:szCs w:val="21"/>
          <w:highlight w:val="none"/>
        </w:rPr>
        <w:fldChar w:fldCharType="end"/>
      </w:r>
      <w:r>
        <w:rPr>
          <w:rFonts w:hint="eastAsia" w:ascii="宋体" w:hAnsi="宋体" w:eastAsia="宋体"/>
          <w:caps w:val="0"/>
          <w:sz w:val="21"/>
          <w:szCs w:val="21"/>
          <w:highlight w:val="none"/>
          <w:lang w:val="en-US" w:eastAsia="zh-CN"/>
        </w:rPr>
        <w:t>4</w:t>
      </w:r>
    </w:p>
    <w:p w14:paraId="75B43451">
      <w:pPr>
        <w:pStyle w:val="13"/>
        <w:spacing w:line="360" w:lineRule="auto"/>
        <w:rPr>
          <w:rStyle w:val="24"/>
          <w:rFonts w:hint="eastAsia" w:ascii="宋体" w:hAnsi="宋体"/>
          <w:color w:val="auto"/>
          <w:highlight w:val="none"/>
        </w:rPr>
      </w:pPr>
      <w:r>
        <w:rPr>
          <w:rStyle w:val="24"/>
          <w:rFonts w:ascii="宋体" w:hAnsi="宋体"/>
          <w:color w:val="auto"/>
          <w:highlight w:val="none"/>
        </w:rPr>
        <w:fldChar w:fldCharType="end"/>
      </w:r>
    </w:p>
    <w:p w14:paraId="1D47F02E">
      <w:pPr>
        <w:pStyle w:val="13"/>
        <w:spacing w:line="360" w:lineRule="auto"/>
        <w:rPr>
          <w:rStyle w:val="24"/>
          <w:rFonts w:hint="eastAsia" w:ascii="宋体" w:hAnsi="宋体"/>
          <w:color w:val="auto"/>
          <w:highlight w:val="none"/>
        </w:rPr>
      </w:pPr>
    </w:p>
    <w:p w14:paraId="6BD5C5C9">
      <w:pPr>
        <w:pStyle w:val="13"/>
        <w:spacing w:line="360" w:lineRule="auto"/>
        <w:rPr>
          <w:rStyle w:val="24"/>
          <w:rFonts w:hint="eastAsia" w:ascii="宋体" w:hAnsi="宋体"/>
          <w:color w:val="auto"/>
          <w:highlight w:val="none"/>
        </w:rPr>
      </w:pPr>
    </w:p>
    <w:p w14:paraId="0311AF40">
      <w:pPr>
        <w:pStyle w:val="28"/>
        <w:adjustRightInd/>
        <w:ind w:firstLine="360"/>
        <w:jc w:val="center"/>
        <w:rPr>
          <w:rStyle w:val="24"/>
          <w:rFonts w:hint="eastAsia" w:ascii="宋体" w:hAnsi="宋体"/>
          <w:caps/>
          <w:color w:val="auto"/>
          <w:kern w:val="2"/>
          <w:sz w:val="18"/>
          <w:szCs w:val="28"/>
          <w:highlight w:val="none"/>
        </w:rPr>
        <w:sectPr>
          <w:pgSz w:w="11906" w:h="16838"/>
          <w:pgMar w:top="1701" w:right="1134" w:bottom="1134" w:left="1134" w:header="851" w:footer="992" w:gutter="0"/>
          <w:pgBorders>
            <w:top w:val="none" w:sz="0" w:space="0"/>
            <w:left w:val="none" w:sz="0" w:space="0"/>
            <w:bottom w:val="none" w:sz="0" w:space="0"/>
            <w:right w:val="none" w:sz="0" w:space="0"/>
          </w:pgBorders>
          <w:cols w:space="720" w:num="1"/>
          <w:docGrid w:type="lines" w:linePitch="312" w:charSpace="0"/>
        </w:sectPr>
      </w:pPr>
    </w:p>
    <w:p w14:paraId="587CEE35">
      <w:pPr>
        <w:pStyle w:val="3"/>
        <w:spacing w:line="360" w:lineRule="auto"/>
        <w:ind w:firstLine="422" w:firstLineChars="200"/>
        <w:jc w:val="center"/>
        <w:rPr>
          <w:rFonts w:hint="eastAsia" w:ascii="宋体" w:hAnsi="宋体" w:eastAsia="宋体"/>
          <w:b/>
          <w:sz w:val="21"/>
          <w:szCs w:val="21"/>
          <w:highlight w:val="none"/>
        </w:rPr>
      </w:pPr>
      <w:bookmarkStart w:id="0" w:name="_Toc86268900"/>
      <w:r>
        <w:rPr>
          <w:rFonts w:hint="eastAsia" w:ascii="宋体" w:hAnsi="宋体" w:eastAsia="宋体"/>
          <w:b/>
          <w:sz w:val="21"/>
          <w:szCs w:val="21"/>
          <w:highlight w:val="none"/>
        </w:rPr>
        <w:t>第一章 竞争性磋商采购公告</w:t>
      </w:r>
      <w:bookmarkEnd w:id="0"/>
    </w:p>
    <w:p w14:paraId="4BCB5DCB">
      <w:pPr>
        <w:widowControl/>
        <w:spacing w:line="360" w:lineRule="auto"/>
        <w:jc w:val="left"/>
        <w:rPr>
          <w:rFonts w:hint="eastAsia" w:ascii="宋体" w:hAnsi="宋体" w:cs="仿宋_GB2312"/>
          <w:szCs w:val="21"/>
          <w:highlight w:val="none"/>
        </w:rPr>
      </w:pPr>
      <w:bookmarkStart w:id="1" w:name="_Toc28359089"/>
      <w:bookmarkStart w:id="2" w:name="_Toc28359012"/>
      <w:bookmarkStart w:id="3" w:name="_Toc35393798"/>
      <w:bookmarkStart w:id="4" w:name="_Toc35393629"/>
      <w:bookmarkStart w:id="5" w:name="_Toc14577347"/>
      <w:bookmarkStart w:id="6" w:name="_Toc513029209"/>
      <w:bookmarkStart w:id="7" w:name="_Toc61149549"/>
      <w:r>
        <w:rPr>
          <w:rFonts w:hint="eastAsia" w:ascii="宋体" w:hAnsi="宋体" w:cs="仿宋_GB2312"/>
          <w:b/>
          <w:bCs/>
          <w:szCs w:val="21"/>
          <w:highlight w:val="none"/>
        </w:rPr>
        <w:t>项目概况</w:t>
      </w:r>
    </w:p>
    <w:p w14:paraId="53DA0CDC">
      <w:pPr>
        <w:spacing w:line="360" w:lineRule="auto"/>
        <w:ind w:firstLine="420" w:firstLineChars="200"/>
        <w:rPr>
          <w:rFonts w:hint="eastAsia" w:ascii="宋体" w:hAnsi="宋体" w:cs="仿宋_GB2312"/>
          <w:szCs w:val="21"/>
          <w:highlight w:val="none"/>
        </w:rPr>
      </w:pPr>
      <w:r>
        <w:rPr>
          <w:rFonts w:hint="eastAsia" w:ascii="宋体" w:hAnsi="宋体" w:cs="仿宋_GB2312"/>
          <w:szCs w:val="21"/>
          <w:highlight w:val="none"/>
          <w:u w:val="single"/>
          <w:lang w:eastAsia="zh-CN"/>
        </w:rPr>
        <w:t>2026年泰州市快速路隧道、桥梁定期检查项目</w:t>
      </w:r>
      <w:r>
        <w:rPr>
          <w:rFonts w:hint="eastAsia" w:ascii="宋体" w:hAnsi="宋体" w:cs="仿宋_GB2312"/>
          <w:szCs w:val="21"/>
          <w:highlight w:val="none"/>
        </w:rPr>
        <w:t>的潜在供应商应在</w:t>
      </w:r>
      <w:r>
        <w:rPr>
          <w:rFonts w:hint="eastAsia" w:ascii="宋体" w:hAnsi="宋体" w:cs="仿宋_GB2312"/>
          <w:b/>
          <w:bCs/>
          <w:szCs w:val="21"/>
          <w:highlight w:val="none"/>
          <w:u w:val="single"/>
        </w:rPr>
        <w:t>江苏政府采购网</w:t>
      </w:r>
      <w:r>
        <w:rPr>
          <w:rFonts w:hint="eastAsia" w:ascii="宋体" w:hAnsi="宋体" w:cs="仿宋_GB2312"/>
          <w:szCs w:val="21"/>
          <w:highlight w:val="none"/>
        </w:rPr>
        <w:t>获取采购文件，并于</w:t>
      </w:r>
      <w:r>
        <w:rPr>
          <w:rFonts w:hint="eastAsia" w:ascii="宋体" w:hAnsi="宋体" w:cs="仿宋_GB2312"/>
          <w:szCs w:val="21"/>
          <w:highlight w:val="none"/>
          <w:lang w:eastAsia="zh-CN"/>
        </w:rPr>
        <w:t>2026年</w:t>
      </w:r>
      <w:r>
        <w:rPr>
          <w:rFonts w:hint="eastAsia" w:ascii="宋体" w:hAnsi="宋体" w:cs="宋体"/>
          <w:color w:val="FF0000"/>
          <w:szCs w:val="21"/>
          <w:highlight w:val="none"/>
          <w:lang w:val="en-US" w:eastAsia="zh-CN"/>
        </w:rPr>
        <w:t>8</w:t>
      </w:r>
      <w:r>
        <w:rPr>
          <w:rFonts w:hint="eastAsia" w:ascii="宋体" w:hAnsi="宋体" w:cs="宋体"/>
          <w:color w:val="FF0000"/>
          <w:szCs w:val="21"/>
          <w:highlight w:val="none"/>
          <w:lang w:eastAsia="zh-CN"/>
        </w:rPr>
        <w:t>月</w:t>
      </w:r>
      <w:r>
        <w:rPr>
          <w:rFonts w:hint="eastAsia" w:ascii="宋体" w:hAnsi="宋体" w:cs="宋体"/>
          <w:color w:val="FF0000"/>
          <w:szCs w:val="21"/>
          <w:highlight w:val="none"/>
          <w:lang w:val="en-US" w:eastAsia="zh-CN"/>
        </w:rPr>
        <w:t>31</w:t>
      </w:r>
      <w:r>
        <w:rPr>
          <w:rFonts w:hint="eastAsia" w:ascii="宋体" w:hAnsi="宋体" w:cs="宋体"/>
          <w:color w:val="FF0000"/>
          <w:szCs w:val="21"/>
          <w:highlight w:val="none"/>
          <w:lang w:eastAsia="zh-CN"/>
        </w:rPr>
        <w:t>日9点00分</w:t>
      </w:r>
      <w:r>
        <w:rPr>
          <w:rFonts w:hint="eastAsia" w:ascii="宋体" w:hAnsi="宋体" w:cs="仿宋_GB2312"/>
          <w:szCs w:val="21"/>
          <w:highlight w:val="none"/>
        </w:rPr>
        <w:t>（北京时间）前提交响应文件。</w:t>
      </w:r>
    </w:p>
    <w:p w14:paraId="6F2C4523">
      <w:pPr>
        <w:spacing w:line="360" w:lineRule="auto"/>
        <w:rPr>
          <w:rFonts w:hint="eastAsia" w:ascii="宋体" w:hAnsi="宋体" w:cs="宋体"/>
          <w:b/>
          <w:bCs/>
          <w:szCs w:val="21"/>
          <w:highlight w:val="none"/>
        </w:rPr>
      </w:pPr>
      <w:r>
        <w:rPr>
          <w:rFonts w:hint="eastAsia" w:ascii="宋体" w:hAnsi="宋体" w:cs="宋体"/>
          <w:b/>
          <w:bCs/>
          <w:szCs w:val="21"/>
          <w:highlight w:val="none"/>
        </w:rPr>
        <w:t>一、项目基本情况</w:t>
      </w:r>
      <w:bookmarkEnd w:id="1"/>
      <w:bookmarkEnd w:id="2"/>
      <w:bookmarkEnd w:id="3"/>
      <w:bookmarkEnd w:id="4"/>
    </w:p>
    <w:p w14:paraId="10653B2A">
      <w:pPr>
        <w:autoSpaceDE w:val="0"/>
        <w:autoSpaceDN w:val="0"/>
        <w:spacing w:line="360" w:lineRule="auto"/>
        <w:ind w:firstLine="422" w:firstLineChars="200"/>
        <w:rPr>
          <w:rFonts w:hint="eastAsia" w:ascii="宋体" w:hAnsi="宋体" w:eastAsia="宋体" w:cs="宋体"/>
          <w:szCs w:val="21"/>
          <w:highlight w:val="none"/>
          <w:lang w:eastAsia="zh-CN"/>
        </w:rPr>
      </w:pPr>
      <w:bookmarkStart w:id="8" w:name="_Toc35393630"/>
      <w:bookmarkStart w:id="9" w:name="_Toc28359013"/>
      <w:bookmarkStart w:id="10" w:name="_Toc35393799"/>
      <w:bookmarkStart w:id="11" w:name="_Toc28359090"/>
      <w:r>
        <w:rPr>
          <w:rFonts w:hint="eastAsia" w:ascii="宋体" w:hAnsi="宋体" w:cs="宋体"/>
          <w:b/>
          <w:bCs/>
          <w:szCs w:val="21"/>
          <w:highlight w:val="none"/>
        </w:rPr>
        <w:t>项目编号：</w:t>
      </w:r>
      <w:r>
        <w:rPr>
          <w:rFonts w:hint="eastAsia" w:ascii="宋体" w:hAnsi="宋体" w:cs="宋体"/>
          <w:b w:val="0"/>
          <w:bCs w:val="0"/>
          <w:color w:val="auto"/>
          <w:szCs w:val="21"/>
          <w:highlight w:val="none"/>
          <w:lang w:eastAsia="zh-CN"/>
        </w:rPr>
        <w:t>JSZC-321200-HQGC-C2026-0031</w:t>
      </w:r>
    </w:p>
    <w:p w14:paraId="169B8005">
      <w:pPr>
        <w:autoSpaceDE w:val="0"/>
        <w:autoSpaceDN w:val="0"/>
        <w:spacing w:line="360" w:lineRule="auto"/>
        <w:ind w:firstLine="422" w:firstLineChars="200"/>
        <w:rPr>
          <w:rFonts w:hint="eastAsia" w:ascii="宋体" w:hAnsi="宋体" w:eastAsia="宋体" w:cs="宋体"/>
          <w:szCs w:val="21"/>
          <w:highlight w:val="none"/>
          <w:lang w:eastAsia="zh-CN"/>
        </w:rPr>
      </w:pPr>
      <w:r>
        <w:rPr>
          <w:rFonts w:hint="eastAsia" w:ascii="宋体" w:hAnsi="宋体" w:cs="宋体"/>
          <w:b/>
          <w:bCs/>
          <w:szCs w:val="21"/>
          <w:highlight w:val="none"/>
        </w:rPr>
        <w:t>项目名称：</w:t>
      </w:r>
      <w:r>
        <w:rPr>
          <w:rFonts w:hint="eastAsia" w:ascii="宋体" w:hAnsi="宋体" w:cs="宋体"/>
          <w:szCs w:val="21"/>
          <w:highlight w:val="none"/>
          <w:lang w:eastAsia="zh-CN"/>
        </w:rPr>
        <w:t>2026年泰州市快速路隧道、桥梁定期检查项目</w:t>
      </w:r>
    </w:p>
    <w:p w14:paraId="668AF769">
      <w:pPr>
        <w:autoSpaceDE w:val="0"/>
        <w:autoSpaceDN w:val="0"/>
        <w:spacing w:line="360" w:lineRule="auto"/>
        <w:ind w:firstLine="422" w:firstLineChars="200"/>
        <w:rPr>
          <w:rFonts w:hint="eastAsia" w:ascii="宋体" w:hAnsi="宋体" w:cs="宋体"/>
          <w:szCs w:val="21"/>
          <w:highlight w:val="none"/>
        </w:rPr>
      </w:pPr>
      <w:r>
        <w:rPr>
          <w:rFonts w:hint="eastAsia" w:ascii="宋体" w:hAnsi="宋体" w:cs="宋体"/>
          <w:b/>
          <w:bCs/>
          <w:szCs w:val="21"/>
          <w:highlight w:val="none"/>
        </w:rPr>
        <w:t>采购方式：</w:t>
      </w:r>
      <w:r>
        <w:rPr>
          <w:rFonts w:hint="eastAsia" w:ascii="宋体" w:hAnsi="宋体" w:cs="宋体"/>
          <w:szCs w:val="21"/>
          <w:highlight w:val="none"/>
        </w:rPr>
        <w:t xml:space="preserve">竞争性磋商 </w:t>
      </w:r>
    </w:p>
    <w:p w14:paraId="7C426ECD">
      <w:pPr>
        <w:pageBreakBefore w:val="0"/>
        <w:kinsoku/>
        <w:bidi w:val="0"/>
        <w:spacing w:line="360" w:lineRule="auto"/>
        <w:ind w:firstLine="420"/>
        <w:rPr>
          <w:rFonts w:hint="default" w:ascii="宋体" w:hAnsi="宋体" w:eastAsia="宋体" w:cs="宋体"/>
          <w:b/>
          <w:bCs/>
          <w:highlight w:val="none"/>
          <w:lang w:val="en-US" w:eastAsia="zh-CN"/>
        </w:rPr>
      </w:pPr>
      <w:r>
        <w:rPr>
          <w:rFonts w:hint="eastAsia" w:ascii="宋体" w:hAnsi="宋体" w:cs="宋体"/>
          <w:b/>
          <w:bCs/>
          <w:highlight w:val="none"/>
        </w:rPr>
        <w:t>预算金额：</w:t>
      </w:r>
      <w:r>
        <w:rPr>
          <w:rFonts w:hint="eastAsia" w:ascii="宋体" w:hAnsi="宋体" w:cs="宋体"/>
          <w:b/>
          <w:bCs/>
          <w:highlight w:val="none"/>
          <w:lang w:val="en-US" w:eastAsia="zh-CN"/>
        </w:rPr>
        <w:t>1880000元人民币</w:t>
      </w:r>
    </w:p>
    <w:p w14:paraId="1BA1B1C0">
      <w:pPr>
        <w:pageBreakBefore w:val="0"/>
        <w:kinsoku/>
        <w:bidi w:val="0"/>
        <w:spacing w:line="360" w:lineRule="auto"/>
        <w:ind w:firstLine="420"/>
        <w:rPr>
          <w:rFonts w:hint="eastAsia" w:ascii="宋体" w:hAnsi="宋体" w:cs="宋体"/>
          <w:szCs w:val="21"/>
          <w:highlight w:val="none"/>
        </w:rPr>
      </w:pPr>
      <w:r>
        <w:rPr>
          <w:rFonts w:hint="eastAsia" w:ascii="宋体" w:hAnsi="宋体" w:cs="宋体"/>
          <w:b/>
          <w:bCs/>
          <w:highlight w:val="none"/>
        </w:rPr>
        <w:t>最高限价：</w:t>
      </w:r>
      <w:r>
        <w:rPr>
          <w:rFonts w:hint="eastAsia" w:ascii="宋体" w:hAnsi="宋体" w:cs="宋体"/>
          <w:b/>
          <w:bCs/>
          <w:highlight w:val="none"/>
          <w:lang w:val="en-US" w:eastAsia="zh-CN"/>
        </w:rPr>
        <w:t>项目最高限价1875603.92</w:t>
      </w:r>
      <w:r>
        <w:rPr>
          <w:rFonts w:hint="eastAsia" w:ascii="宋体" w:hAnsi="宋体" w:cs="宋体"/>
          <w:b/>
          <w:bCs/>
          <w:highlight w:val="none"/>
        </w:rPr>
        <w:t>元人民币</w:t>
      </w:r>
      <w:r>
        <w:rPr>
          <w:rFonts w:hint="eastAsia" w:ascii="宋体" w:hAnsi="宋体" w:cs="宋体"/>
          <w:b/>
          <w:bCs/>
          <w:highlight w:val="none"/>
          <w:lang w:eastAsia="zh-CN"/>
        </w:rPr>
        <w:t>。</w:t>
      </w:r>
      <w:r>
        <w:rPr>
          <w:rFonts w:hint="eastAsia" w:ascii="宋体" w:hAnsi="宋体" w:cs="宋体"/>
          <w:b/>
          <w:bCs/>
          <w:highlight w:val="none"/>
          <w:lang w:val="en-US" w:eastAsia="zh-CN"/>
        </w:rPr>
        <w:t>采购包一1277441.42元；采购包二 598162.50元。</w:t>
      </w:r>
      <w:r>
        <w:rPr>
          <w:rFonts w:hint="eastAsia" w:ascii="宋体" w:hAnsi="宋体" w:cs="宋体"/>
          <w:b/>
          <w:bCs/>
          <w:highlight w:val="none"/>
        </w:rPr>
        <w:t>超过最高限价按无效响应处理。</w:t>
      </w:r>
      <w:r>
        <w:rPr>
          <w:rFonts w:hint="eastAsia" w:ascii="宋体" w:hAnsi="宋体" w:cs="宋体"/>
          <w:highlight w:val="none"/>
        </w:rPr>
        <w:t> </w:t>
      </w:r>
    </w:p>
    <w:p w14:paraId="3E3D5B16">
      <w:pPr>
        <w:spacing w:line="360" w:lineRule="auto"/>
        <w:ind w:firstLine="420"/>
        <w:rPr>
          <w:rFonts w:hint="eastAsia" w:ascii="宋体" w:hAnsi="宋体" w:cs="宋体"/>
          <w:b/>
          <w:bCs/>
          <w:szCs w:val="21"/>
          <w:highlight w:val="none"/>
          <w:lang w:val="en-US" w:eastAsia="zh-CN"/>
        </w:rPr>
      </w:pPr>
      <w:r>
        <w:rPr>
          <w:rFonts w:hint="eastAsia" w:ascii="宋体" w:hAnsi="宋体" w:cs="宋体"/>
          <w:b/>
          <w:bCs/>
          <w:szCs w:val="21"/>
          <w:highlight w:val="none"/>
        </w:rPr>
        <w:t>采购需求：</w:t>
      </w:r>
      <w:r>
        <w:rPr>
          <w:rFonts w:hint="eastAsia" w:ascii="宋体" w:hAnsi="宋体" w:cs="宋体"/>
          <w:b/>
          <w:bCs/>
          <w:szCs w:val="21"/>
          <w:highlight w:val="none"/>
          <w:lang w:val="en-US" w:eastAsia="zh-CN"/>
        </w:rPr>
        <w:t xml:space="preserve">本项目分为两个标段，采购包一 </w:t>
      </w:r>
      <w:r>
        <w:rPr>
          <w:rFonts w:hint="eastAsia" w:ascii="宋体" w:hAnsi="宋体" w:cs="宋体"/>
          <w:b/>
          <w:bCs/>
          <w:szCs w:val="21"/>
          <w:highlight w:val="none"/>
          <w:lang w:eastAsia="zh-CN"/>
        </w:rPr>
        <w:t>快速路桥梁定期检查</w:t>
      </w:r>
    </w:p>
    <w:p w14:paraId="30C96A3B">
      <w:pPr>
        <w:pageBreakBefore w:val="0"/>
        <w:kinsoku/>
        <w:bidi w:val="0"/>
        <w:spacing w:line="360" w:lineRule="auto"/>
        <w:ind w:firstLine="420"/>
        <w:rPr>
          <w:rFonts w:ascii="宋体" w:hAnsi="宋体" w:cs="宋体"/>
          <w:highlight w:val="none"/>
        </w:rPr>
      </w:pPr>
      <w:r>
        <w:rPr>
          <w:rFonts w:ascii="宋体" w:hAnsi="宋体" w:cs="宋体"/>
          <w:highlight w:val="none"/>
        </w:rPr>
        <w:t>按照《公路桥梁技术状况评定标准》（JTG/T H21-2011）、《公路桥涵养护规范》（JTG5120-2021）行业标准及业主要求</w:t>
      </w:r>
      <w:r>
        <w:rPr>
          <w:rFonts w:hint="eastAsia" w:ascii="宋体" w:hAnsi="宋体" w:cs="宋体"/>
          <w:highlight w:val="none"/>
          <w:lang w:eastAsia="zh-CN"/>
        </w:rPr>
        <w:t>，</w:t>
      </w:r>
      <w:r>
        <w:rPr>
          <w:rFonts w:hint="eastAsia" w:ascii="宋体" w:hAnsi="宋体" w:cs="宋体"/>
          <w:highlight w:val="none"/>
        </w:rPr>
        <w:t>对泰州市城市快速路约</w:t>
      </w:r>
      <w:r>
        <w:rPr>
          <w:rFonts w:hint="eastAsia" w:ascii="宋体" w:hAnsi="宋体" w:cs="宋体"/>
          <w:highlight w:val="none"/>
          <w:lang w:val="en-US" w:eastAsia="zh-CN"/>
        </w:rPr>
        <w:t>40838.92</w:t>
      </w:r>
      <w:r>
        <w:rPr>
          <w:rFonts w:hint="eastAsia" w:ascii="宋体" w:hAnsi="宋体" w:cs="宋体"/>
          <w:highlight w:val="none"/>
        </w:rPr>
        <w:t>延米桥梁</w:t>
      </w:r>
      <w:r>
        <w:rPr>
          <w:rFonts w:hint="eastAsia" w:ascii="宋体" w:hAnsi="宋体" w:cs="宋体"/>
          <w:highlight w:val="none"/>
          <w:lang w:val="en-US" w:eastAsia="zh-CN"/>
        </w:rPr>
        <w:t>进</w:t>
      </w:r>
      <w:r>
        <w:rPr>
          <w:rFonts w:hint="eastAsia" w:ascii="宋体" w:hAnsi="宋体" w:cs="宋体"/>
          <w:highlight w:val="none"/>
        </w:rPr>
        <w:t>行定期检查。</w:t>
      </w:r>
      <w:r>
        <w:rPr>
          <w:rFonts w:ascii="宋体" w:hAnsi="宋体" w:cs="宋体"/>
          <w:highlight w:val="none"/>
        </w:rPr>
        <w:t xml:space="preserve">对桥面设施、桥梁上部结构、下部结构及附属构造物等的技术状况（基本情况，外观质量、缺损和病害情况等）进行检查、桥梁技术状况评定，并根据检查结果提出相应的养护维修建议，提交详细的桥梁检查报告；对桥梁基础数据进行复核、负责桥梁管理系统数据录入；详细工作内容见磋商文件第四章项目需求。 </w:t>
      </w:r>
    </w:p>
    <w:p w14:paraId="63C1367C">
      <w:pPr>
        <w:spacing w:line="360" w:lineRule="auto"/>
        <w:ind w:firstLine="420"/>
        <w:rPr>
          <w:rFonts w:hint="default" w:ascii="宋体" w:hAnsi="宋体" w:cs="宋体"/>
          <w:b/>
          <w:bCs/>
          <w:szCs w:val="21"/>
          <w:highlight w:val="none"/>
          <w:lang w:val="en-US" w:eastAsia="zh-CN"/>
        </w:rPr>
      </w:pPr>
      <w:r>
        <w:rPr>
          <w:rFonts w:hint="eastAsia" w:ascii="宋体" w:hAnsi="宋体" w:cs="宋体"/>
          <w:b/>
          <w:bCs/>
          <w:szCs w:val="21"/>
          <w:highlight w:val="none"/>
          <w:lang w:val="en-US" w:eastAsia="zh-CN"/>
        </w:rPr>
        <w:t xml:space="preserve">采购包二  </w:t>
      </w:r>
      <w:r>
        <w:rPr>
          <w:rFonts w:hint="eastAsia" w:ascii="宋体" w:hAnsi="宋体" w:eastAsia="宋体" w:cs="宋体"/>
          <w:b/>
          <w:bCs/>
          <w:szCs w:val="21"/>
          <w:highlight w:val="none"/>
          <w:lang w:eastAsia="zh-CN"/>
        </w:rPr>
        <w:t>快速路隧道定</w:t>
      </w:r>
      <w:r>
        <w:rPr>
          <w:rFonts w:hint="eastAsia" w:ascii="宋体" w:hAnsi="宋体" w:cs="宋体"/>
          <w:b/>
          <w:bCs/>
          <w:szCs w:val="21"/>
          <w:highlight w:val="none"/>
          <w:lang w:eastAsia="zh-CN"/>
        </w:rPr>
        <w:t>期检查</w:t>
      </w:r>
    </w:p>
    <w:p w14:paraId="252CCF38">
      <w:pPr>
        <w:spacing w:line="360" w:lineRule="auto"/>
        <w:ind w:firstLine="420"/>
        <w:rPr>
          <w:rFonts w:hint="eastAsia" w:ascii="宋体" w:hAnsi="宋体" w:cs="宋体"/>
          <w:highlight w:val="none"/>
        </w:rPr>
      </w:pPr>
      <w:r>
        <w:rPr>
          <w:rFonts w:hint="eastAsia" w:ascii="宋体" w:hAnsi="宋体" w:cs="宋体"/>
          <w:szCs w:val="21"/>
          <w:highlight w:val="none"/>
        </w:rPr>
        <w:t>按照</w:t>
      </w:r>
      <w:r>
        <w:rPr>
          <w:rFonts w:ascii="宋体" w:hAnsi="宋体" w:cs="宋体"/>
          <w:szCs w:val="21"/>
          <w:highlight w:val="none"/>
        </w:rPr>
        <w:t>《公路隧道养护技术规范》（JTGH12—2015）行业标准及业主要求对</w:t>
      </w:r>
      <w:r>
        <w:rPr>
          <w:rFonts w:hint="eastAsia" w:ascii="宋体" w:hAnsi="宋体" w:cs="宋体"/>
          <w:szCs w:val="21"/>
          <w:highlight w:val="none"/>
          <w:lang w:val="en-US" w:eastAsia="zh-CN"/>
        </w:rPr>
        <w:t>总长约2045米</w:t>
      </w:r>
      <w:r>
        <w:rPr>
          <w:rFonts w:ascii="宋体" w:hAnsi="宋体" w:cs="宋体"/>
          <w:szCs w:val="21"/>
          <w:highlight w:val="none"/>
        </w:rPr>
        <w:t>隧道土建结构、机电设施及其他工程设施进行检查并提供技术状况评定，根据检查结果提出相应的养护维修建议；对隧道基础数据进行复核、负责隧道管理系统数据录入及后期维护。</w:t>
      </w:r>
      <w:r>
        <w:rPr>
          <w:rFonts w:hint="eastAsia" w:ascii="宋体" w:hAnsi="宋体"/>
          <w:color w:val="000000"/>
          <w:szCs w:val="21"/>
          <w:highlight w:val="none"/>
        </w:rPr>
        <w:t>定期检查结束后一周内及时跟采购人汇报检查结果，配合采购人做好定检数据的录入、养护方案的制定、科学决策制度、风险辨识手册、应急预案等编制</w:t>
      </w:r>
      <w:r>
        <w:rPr>
          <w:rFonts w:hint="eastAsia" w:ascii="宋体" w:hAnsi="宋体"/>
          <w:szCs w:val="21"/>
          <w:highlight w:val="none"/>
        </w:rPr>
        <w:t>；详细工作内容见磋商文件第四章 项目需求。</w:t>
      </w:r>
      <w:r>
        <w:rPr>
          <w:rFonts w:ascii="宋体" w:hAnsi="宋体" w:cs="宋体"/>
          <w:highlight w:val="none"/>
        </w:rPr>
        <w:t xml:space="preserve"> </w:t>
      </w:r>
    </w:p>
    <w:p w14:paraId="091F2B7A">
      <w:pPr>
        <w:pageBreakBefore w:val="0"/>
        <w:kinsoku/>
        <w:bidi w:val="0"/>
        <w:spacing w:line="360" w:lineRule="auto"/>
        <w:ind w:firstLine="422" w:firstLineChars="200"/>
        <w:outlineLvl w:val="2"/>
        <w:rPr>
          <w:rFonts w:hint="eastAsia" w:ascii="宋体" w:hAnsi="宋体" w:eastAsia="宋体" w:cs="宋体"/>
          <w:color w:val="FF0000"/>
          <w:szCs w:val="21"/>
          <w:highlight w:val="none"/>
          <w:lang w:eastAsia="zh-CN"/>
        </w:rPr>
      </w:pPr>
      <w:r>
        <w:rPr>
          <w:rFonts w:hint="eastAsia" w:ascii="宋体" w:hAnsi="宋体" w:cs="宋体"/>
          <w:b/>
          <w:bCs/>
          <w:szCs w:val="21"/>
          <w:highlight w:val="none"/>
        </w:rPr>
        <w:t>合同履行期限：</w:t>
      </w:r>
      <w:r>
        <w:rPr>
          <w:rFonts w:hint="eastAsia" w:ascii="宋体" w:hAnsi="宋体" w:cs="宋体"/>
          <w:b/>
          <w:bCs/>
          <w:szCs w:val="21"/>
          <w:highlight w:val="none"/>
          <w:lang w:val="en-US" w:eastAsia="zh-CN"/>
        </w:rPr>
        <w:t xml:space="preserve">采购包一 </w:t>
      </w:r>
      <w:r>
        <w:rPr>
          <w:rFonts w:hint="eastAsia" w:ascii="宋体" w:hAnsi="宋体" w:cs="宋体"/>
          <w:highlight w:val="none"/>
          <w:lang w:eastAsia="zh-CN"/>
        </w:rPr>
        <w:t>合同签订后50日历天内提交桥梁定期检查报告</w:t>
      </w:r>
      <w:r>
        <w:rPr>
          <w:rFonts w:ascii="宋体" w:hAnsi="宋体" w:cs="宋体"/>
          <w:highlight w:val="none"/>
        </w:rPr>
        <w:t>。若采购人另有要求，按照采购人要求执行</w:t>
      </w:r>
      <w:r>
        <w:rPr>
          <w:rFonts w:hint="eastAsia" w:ascii="宋体" w:hAnsi="宋体" w:cs="宋体"/>
          <w:highlight w:val="none"/>
          <w:lang w:eastAsia="zh-CN"/>
        </w:rPr>
        <w:t>。</w:t>
      </w:r>
    </w:p>
    <w:p w14:paraId="43166139">
      <w:pPr>
        <w:spacing w:line="360" w:lineRule="auto"/>
        <w:ind w:firstLine="420"/>
        <w:rPr>
          <w:rFonts w:hint="eastAsia" w:ascii="宋体" w:hAnsi="宋体" w:cs="宋体"/>
          <w:color w:val="FF0000"/>
          <w:szCs w:val="21"/>
          <w:highlight w:val="none"/>
        </w:rPr>
      </w:pPr>
      <w:r>
        <w:rPr>
          <w:rFonts w:hint="eastAsia" w:ascii="宋体" w:hAnsi="宋体" w:cs="宋体"/>
          <w:b/>
          <w:bCs/>
          <w:szCs w:val="21"/>
          <w:highlight w:val="none"/>
          <w:lang w:val="en-US" w:eastAsia="zh-CN"/>
        </w:rPr>
        <w:t xml:space="preserve">采购包二 </w:t>
      </w:r>
      <w:r>
        <w:rPr>
          <w:rFonts w:hint="eastAsia" w:ascii="宋体" w:hAnsi="宋体" w:cs="宋体"/>
          <w:szCs w:val="21"/>
          <w:highlight w:val="none"/>
          <w:lang w:eastAsia="zh-CN"/>
        </w:rPr>
        <w:t>合同签订后30日历天内提交隧道定期检查报告</w:t>
      </w:r>
      <w:r>
        <w:rPr>
          <w:rFonts w:ascii="宋体" w:hAnsi="宋体" w:cs="宋体"/>
          <w:highlight w:val="none"/>
        </w:rPr>
        <w:t>。若采购人另有要求，按照采购人要求执行</w:t>
      </w:r>
      <w:r>
        <w:rPr>
          <w:rFonts w:hint="eastAsia" w:ascii="宋体" w:hAnsi="宋体" w:cs="宋体"/>
          <w:highlight w:val="none"/>
        </w:rPr>
        <w:t>。</w:t>
      </w:r>
    </w:p>
    <w:p w14:paraId="4C9CA54B">
      <w:pPr>
        <w:spacing w:line="360" w:lineRule="auto"/>
        <w:ind w:firstLine="420"/>
        <w:rPr>
          <w:rFonts w:hint="eastAsia" w:ascii="宋体" w:hAnsi="宋体" w:cs="宋体"/>
          <w:b/>
          <w:bCs/>
          <w:szCs w:val="21"/>
          <w:highlight w:val="none"/>
        </w:rPr>
      </w:pPr>
      <w:r>
        <w:rPr>
          <w:rFonts w:hint="eastAsia" w:ascii="宋体" w:hAnsi="宋体" w:cs="宋体"/>
          <w:b/>
          <w:bCs/>
          <w:szCs w:val="21"/>
          <w:highlight w:val="none"/>
        </w:rPr>
        <w:t>本项目是否接受联合体投标：否。</w:t>
      </w:r>
    </w:p>
    <w:p w14:paraId="307E0311">
      <w:pPr>
        <w:autoSpaceDE w:val="0"/>
        <w:autoSpaceDN w:val="0"/>
        <w:spacing w:line="360" w:lineRule="auto"/>
        <w:rPr>
          <w:rFonts w:hint="eastAsia" w:ascii="宋体" w:hAnsi="宋体" w:cs="宋体"/>
          <w:b/>
          <w:bCs/>
          <w:szCs w:val="21"/>
          <w:highlight w:val="none"/>
        </w:rPr>
      </w:pPr>
      <w:r>
        <w:rPr>
          <w:rFonts w:hint="eastAsia" w:ascii="宋体" w:hAnsi="宋体" w:cs="宋体"/>
          <w:b/>
          <w:bCs/>
          <w:szCs w:val="21"/>
          <w:highlight w:val="none"/>
        </w:rPr>
        <w:t>二、申请人的资格要求：</w:t>
      </w:r>
      <w:bookmarkEnd w:id="8"/>
      <w:bookmarkEnd w:id="9"/>
      <w:bookmarkEnd w:id="10"/>
      <w:bookmarkEnd w:id="11"/>
    </w:p>
    <w:p w14:paraId="6D486E54">
      <w:pPr>
        <w:spacing w:line="360" w:lineRule="auto"/>
        <w:ind w:firstLine="420" w:firstLineChars="200"/>
        <w:rPr>
          <w:rFonts w:hint="eastAsia" w:ascii="宋体" w:hAnsi="宋体" w:cs="宋体"/>
          <w:highlight w:val="none"/>
        </w:rPr>
      </w:pPr>
      <w:bookmarkStart w:id="12" w:name="_Toc28359014"/>
      <w:bookmarkStart w:id="13" w:name="_Toc28359091"/>
      <w:bookmarkStart w:id="14" w:name="_Toc35393800"/>
      <w:bookmarkStart w:id="15" w:name="_Toc35393631"/>
      <w:r>
        <w:rPr>
          <w:rFonts w:hint="eastAsia" w:ascii="宋体" w:hAnsi="宋体" w:cs="宋体"/>
          <w:highlight w:val="none"/>
        </w:rPr>
        <w:t>1.满足《中华人民共和国政府采购法》第二十二条的规定：</w:t>
      </w:r>
    </w:p>
    <w:p w14:paraId="4E289E91">
      <w:pPr>
        <w:keepNext w:val="0"/>
        <w:keepLines w:val="0"/>
        <w:pageBreakBefore w:val="0"/>
        <w:widowControl/>
        <w:shd w:val="clear" w:color="auto" w:fill="FFFFFF"/>
        <w:kinsoku/>
        <w:wordWrap/>
        <w:overflowPunct/>
        <w:topLinePunct w:val="0"/>
        <w:autoSpaceDE/>
        <w:autoSpaceDN/>
        <w:bidi w:val="0"/>
        <w:adjustRightInd w:val="0"/>
        <w:snapToGrid w:val="0"/>
        <w:spacing w:after="0" w:line="360" w:lineRule="auto"/>
        <w:ind w:firstLine="420" w:firstLineChars="200"/>
        <w:jc w:val="both"/>
        <w:textAlignment w:val="auto"/>
        <w:outlineLvl w:val="1"/>
        <w:rPr>
          <w:rFonts w:hint="eastAsia" w:ascii="宋体" w:hAnsi="宋体" w:eastAsia="宋体" w:cs="宋体"/>
          <w:color w:val="auto"/>
          <w:sz w:val="21"/>
          <w:szCs w:val="21"/>
          <w:highlight w:val="none"/>
        </w:rPr>
      </w:pPr>
      <w:bookmarkStart w:id="16" w:name="_Toc767"/>
      <w:bookmarkStart w:id="17" w:name="_Toc6313"/>
      <w:bookmarkStart w:id="18" w:name="_Toc7272"/>
      <w:bookmarkStart w:id="19" w:name="_Toc7547"/>
      <w:bookmarkStart w:id="20" w:name="_Toc7283"/>
      <w:bookmarkStart w:id="21" w:name="_Toc8387"/>
      <w:bookmarkStart w:id="22" w:name="_Toc23619"/>
      <w:r>
        <w:rPr>
          <w:rFonts w:hint="eastAsia" w:ascii="宋体" w:hAnsi="宋体" w:eastAsia="宋体" w:cs="宋体"/>
          <w:color w:val="auto"/>
          <w:sz w:val="21"/>
          <w:szCs w:val="21"/>
          <w:highlight w:val="none"/>
          <w:lang w:eastAsia="zh-CN"/>
        </w:rPr>
        <w:t>（1）</w:t>
      </w:r>
      <w:r>
        <w:rPr>
          <w:rFonts w:hint="eastAsia" w:ascii="宋体" w:hAnsi="宋体" w:eastAsia="宋体" w:cs="宋体"/>
          <w:color w:val="auto"/>
          <w:sz w:val="21"/>
          <w:szCs w:val="21"/>
          <w:highlight w:val="none"/>
        </w:rPr>
        <w:t>法人或者其他组织的营业执照等证明文件</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自然人的身份证明复印件</w:t>
      </w:r>
      <w:r>
        <w:rPr>
          <w:rFonts w:hint="eastAsia" w:ascii="宋体" w:hAnsi="宋体" w:eastAsia="宋体" w:cs="宋体"/>
          <w:color w:val="auto"/>
          <w:sz w:val="21"/>
          <w:szCs w:val="21"/>
          <w:highlight w:val="none"/>
          <w:lang w:eastAsia="zh-CN"/>
        </w:rPr>
        <w:t>；</w:t>
      </w:r>
      <w:bookmarkEnd w:id="16"/>
      <w:bookmarkEnd w:id="17"/>
      <w:bookmarkEnd w:id="18"/>
      <w:bookmarkEnd w:id="19"/>
      <w:bookmarkEnd w:id="20"/>
      <w:bookmarkEnd w:id="21"/>
      <w:bookmarkEnd w:id="22"/>
    </w:p>
    <w:p w14:paraId="0FD123B1">
      <w:pPr>
        <w:keepNext w:val="0"/>
        <w:keepLines w:val="0"/>
        <w:pageBreakBefore w:val="0"/>
        <w:widowControl/>
        <w:shd w:val="clear" w:color="auto" w:fill="FFFFFF"/>
        <w:kinsoku/>
        <w:wordWrap/>
        <w:overflowPunct/>
        <w:topLinePunct w:val="0"/>
        <w:autoSpaceDE/>
        <w:autoSpaceDN/>
        <w:bidi w:val="0"/>
        <w:adjustRightInd w:val="0"/>
        <w:snapToGrid w:val="0"/>
        <w:spacing w:after="0" w:line="360" w:lineRule="auto"/>
        <w:ind w:firstLine="420" w:firstLineChars="200"/>
        <w:jc w:val="both"/>
        <w:textAlignment w:val="auto"/>
        <w:outlineLvl w:val="1"/>
        <w:rPr>
          <w:rFonts w:hint="eastAsia" w:ascii="宋体" w:hAnsi="宋体" w:eastAsia="宋体" w:cs="宋体"/>
          <w:color w:val="auto"/>
          <w:sz w:val="21"/>
          <w:szCs w:val="21"/>
          <w:highlight w:val="none"/>
        </w:rPr>
      </w:pPr>
      <w:bookmarkStart w:id="23" w:name="_Toc9724"/>
      <w:bookmarkStart w:id="24" w:name="_Toc19663"/>
      <w:bookmarkStart w:id="25" w:name="_Toc32141"/>
      <w:bookmarkStart w:id="26" w:name="_Toc21911"/>
      <w:bookmarkStart w:id="27" w:name="_Toc5812"/>
      <w:bookmarkStart w:id="28" w:name="_Toc8361"/>
      <w:bookmarkStart w:id="29" w:name="_Toc15989"/>
      <w:r>
        <w:rPr>
          <w:rFonts w:hint="eastAsia" w:ascii="宋体" w:hAnsi="宋体" w:eastAsia="宋体" w:cs="宋体"/>
          <w:color w:val="auto"/>
          <w:sz w:val="21"/>
          <w:szCs w:val="21"/>
          <w:highlight w:val="none"/>
          <w:lang w:eastAsia="zh-CN"/>
        </w:rPr>
        <w:t>（2）</w:t>
      </w:r>
      <w:r>
        <w:rPr>
          <w:rFonts w:hint="eastAsia" w:ascii="宋体" w:hAnsi="宋体" w:eastAsia="宋体" w:cs="宋体"/>
          <w:color w:val="auto"/>
          <w:sz w:val="21"/>
          <w:szCs w:val="21"/>
          <w:highlight w:val="none"/>
        </w:rPr>
        <w:t>财务状况</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2024年度或2025年度经会计师事务所审计的财务报告（须提供加盖会计师事务所公章及注册会计师签章的复印件）；没有经审计的财务报告的，也可以提供2025年或2026年任意一个月的财务报表，或提供距离投标截止时间6个月内基本开户银行出具的资信证明复印件；</w:t>
      </w:r>
      <w:bookmarkEnd w:id="23"/>
      <w:bookmarkEnd w:id="24"/>
      <w:bookmarkEnd w:id="25"/>
      <w:bookmarkEnd w:id="26"/>
      <w:bookmarkEnd w:id="27"/>
      <w:bookmarkEnd w:id="28"/>
      <w:bookmarkEnd w:id="29"/>
    </w:p>
    <w:p w14:paraId="5025FF9A">
      <w:pPr>
        <w:keepNext w:val="0"/>
        <w:keepLines w:val="0"/>
        <w:pageBreakBefore w:val="0"/>
        <w:widowControl/>
        <w:shd w:val="clear" w:color="auto" w:fill="FFFFFF"/>
        <w:kinsoku/>
        <w:wordWrap/>
        <w:overflowPunct/>
        <w:topLinePunct w:val="0"/>
        <w:autoSpaceDE/>
        <w:autoSpaceDN/>
        <w:bidi w:val="0"/>
        <w:adjustRightInd w:val="0"/>
        <w:snapToGrid w:val="0"/>
        <w:spacing w:after="0" w:line="360" w:lineRule="auto"/>
        <w:ind w:firstLine="420" w:firstLineChars="200"/>
        <w:jc w:val="both"/>
        <w:textAlignment w:val="auto"/>
        <w:outlineLvl w:val="1"/>
        <w:rPr>
          <w:rFonts w:hint="eastAsia" w:ascii="宋体" w:hAnsi="宋体" w:eastAsia="宋体" w:cs="宋体"/>
          <w:color w:val="auto"/>
          <w:sz w:val="21"/>
          <w:szCs w:val="21"/>
          <w:highlight w:val="none"/>
          <w:lang w:val="en-US" w:eastAsia="zh-CN"/>
        </w:rPr>
      </w:pPr>
      <w:bookmarkStart w:id="30" w:name="_Toc32003"/>
      <w:bookmarkStart w:id="31" w:name="_Toc11529"/>
      <w:bookmarkStart w:id="32" w:name="_Toc27534"/>
      <w:bookmarkStart w:id="33" w:name="_Toc23898"/>
      <w:bookmarkStart w:id="34" w:name="_Toc10398"/>
      <w:bookmarkStart w:id="35" w:name="_Toc31147"/>
      <w:bookmarkStart w:id="36" w:name="_Toc1762"/>
      <w:r>
        <w:rPr>
          <w:rFonts w:hint="eastAsia" w:ascii="宋体" w:hAnsi="宋体" w:eastAsia="宋体" w:cs="宋体"/>
          <w:color w:val="auto"/>
          <w:sz w:val="21"/>
          <w:szCs w:val="21"/>
          <w:highlight w:val="none"/>
          <w:lang w:eastAsia="zh-CN"/>
        </w:rPr>
        <w:t>（3）</w:t>
      </w:r>
      <w:r>
        <w:rPr>
          <w:rFonts w:hint="eastAsia" w:ascii="宋体" w:hAnsi="宋体" w:eastAsia="宋体" w:cs="宋体"/>
          <w:color w:val="auto"/>
          <w:sz w:val="21"/>
          <w:szCs w:val="21"/>
          <w:highlight w:val="none"/>
        </w:rPr>
        <w:t>依法缴纳税收</w:t>
      </w:r>
      <w:r>
        <w:rPr>
          <w:rFonts w:hint="eastAsia" w:ascii="宋体" w:hAnsi="宋体" w:eastAsia="宋体" w:cs="宋体"/>
          <w:color w:val="auto"/>
          <w:sz w:val="21"/>
          <w:szCs w:val="21"/>
          <w:highlight w:val="none"/>
          <w:lang w:eastAsia="zh-CN"/>
        </w:rPr>
        <w:t>：</w:t>
      </w:r>
      <w:r>
        <w:rPr>
          <w:rFonts w:hint="eastAsia" w:ascii="宋体" w:hAnsi="宋体" w:cs="宋体"/>
          <w:color w:val="auto"/>
          <w:sz w:val="21"/>
          <w:szCs w:val="21"/>
          <w:highlight w:val="none"/>
          <w:lang w:eastAsia="zh-CN"/>
        </w:rPr>
        <w:t>2026年1月</w:t>
      </w:r>
      <w:r>
        <w:rPr>
          <w:rFonts w:hint="eastAsia" w:ascii="宋体" w:hAnsi="宋体" w:eastAsia="宋体" w:cs="宋体"/>
          <w:color w:val="auto"/>
          <w:sz w:val="21"/>
          <w:szCs w:val="21"/>
          <w:highlight w:val="none"/>
          <w:lang w:eastAsia="zh-CN"/>
        </w:rPr>
        <w:t>（含）至开标当日任一月份依法缴纳税收（依法缴纳税收材料是指：税务部门出具的税收证明或完税凭证或银行出具的税收缴款证明）的相关材料复印件，如依法免税或不需要纳税的，则应提供相应证明材料复印件；</w:t>
      </w:r>
      <w:bookmarkEnd w:id="30"/>
      <w:bookmarkEnd w:id="31"/>
      <w:bookmarkEnd w:id="32"/>
      <w:bookmarkEnd w:id="33"/>
      <w:bookmarkEnd w:id="34"/>
      <w:bookmarkEnd w:id="35"/>
      <w:bookmarkEnd w:id="36"/>
      <w:r>
        <w:rPr>
          <w:rFonts w:hint="eastAsia" w:ascii="宋体" w:hAnsi="宋体" w:eastAsia="宋体" w:cs="宋体"/>
          <w:color w:val="auto"/>
          <w:sz w:val="21"/>
          <w:szCs w:val="21"/>
          <w:highlight w:val="none"/>
          <w:lang w:val="en-US" w:eastAsia="zh-CN"/>
        </w:rPr>
        <w:t xml:space="preserve">  </w:t>
      </w:r>
    </w:p>
    <w:p w14:paraId="19637849">
      <w:pPr>
        <w:keepNext w:val="0"/>
        <w:keepLines w:val="0"/>
        <w:pageBreakBefore w:val="0"/>
        <w:widowControl/>
        <w:shd w:val="clear" w:color="auto" w:fill="FFFFFF"/>
        <w:kinsoku/>
        <w:wordWrap/>
        <w:overflowPunct/>
        <w:topLinePunct w:val="0"/>
        <w:autoSpaceDE/>
        <w:autoSpaceDN/>
        <w:bidi w:val="0"/>
        <w:adjustRightInd w:val="0"/>
        <w:snapToGrid w:val="0"/>
        <w:spacing w:after="0" w:line="360" w:lineRule="auto"/>
        <w:ind w:firstLine="420" w:firstLineChars="200"/>
        <w:jc w:val="both"/>
        <w:textAlignment w:val="auto"/>
        <w:outlineLvl w:val="1"/>
        <w:rPr>
          <w:rFonts w:hint="eastAsia" w:ascii="宋体" w:hAnsi="宋体" w:eastAsia="宋体" w:cs="宋体"/>
          <w:color w:val="auto"/>
          <w:sz w:val="21"/>
          <w:szCs w:val="21"/>
          <w:highlight w:val="none"/>
          <w:lang w:eastAsia="zh-CN"/>
        </w:rPr>
      </w:pPr>
      <w:bookmarkStart w:id="37" w:name="_Toc26705"/>
      <w:bookmarkStart w:id="38" w:name="_Toc4342"/>
      <w:bookmarkStart w:id="39" w:name="_Toc1496"/>
      <w:bookmarkStart w:id="40" w:name="_Toc25949"/>
      <w:bookmarkStart w:id="41" w:name="_Toc13841"/>
      <w:bookmarkStart w:id="42" w:name="_Toc4215"/>
      <w:bookmarkStart w:id="43" w:name="_Toc24909"/>
      <w:r>
        <w:rPr>
          <w:rFonts w:hint="eastAsia" w:ascii="宋体" w:hAnsi="宋体" w:eastAsia="宋体" w:cs="宋体"/>
          <w:color w:val="auto"/>
          <w:sz w:val="21"/>
          <w:szCs w:val="21"/>
          <w:highlight w:val="none"/>
          <w:lang w:eastAsia="zh-CN"/>
        </w:rPr>
        <w:t>（4）</w:t>
      </w:r>
      <w:r>
        <w:rPr>
          <w:rFonts w:hint="eastAsia" w:ascii="宋体" w:hAnsi="宋体" w:eastAsia="宋体" w:cs="宋体"/>
          <w:color w:val="auto"/>
          <w:sz w:val="21"/>
          <w:szCs w:val="21"/>
          <w:highlight w:val="none"/>
        </w:rPr>
        <w:t>社会保障资金</w:t>
      </w:r>
      <w:r>
        <w:rPr>
          <w:rFonts w:hint="eastAsia" w:ascii="宋体" w:hAnsi="宋体" w:eastAsia="宋体" w:cs="宋体"/>
          <w:color w:val="auto"/>
          <w:sz w:val="21"/>
          <w:szCs w:val="21"/>
          <w:highlight w:val="none"/>
          <w:lang w:eastAsia="zh-CN"/>
        </w:rPr>
        <w:t>：</w:t>
      </w:r>
      <w:r>
        <w:rPr>
          <w:rFonts w:hint="eastAsia" w:ascii="宋体" w:hAnsi="宋体" w:cs="宋体"/>
          <w:color w:val="auto"/>
          <w:sz w:val="21"/>
          <w:szCs w:val="21"/>
          <w:highlight w:val="none"/>
          <w:lang w:eastAsia="zh-CN"/>
        </w:rPr>
        <w:t>2026年1月</w:t>
      </w:r>
      <w:r>
        <w:rPr>
          <w:rFonts w:hint="eastAsia" w:ascii="宋体" w:hAnsi="宋体" w:eastAsia="宋体" w:cs="宋体"/>
          <w:color w:val="auto"/>
          <w:sz w:val="21"/>
          <w:szCs w:val="21"/>
          <w:highlight w:val="none"/>
          <w:lang w:eastAsia="zh-CN"/>
        </w:rPr>
        <w:t>（含）至开标当日任一月份的依法缴纳社会保障资金的相关材料复印件（社会保障资金材料是指：人社部门或税务机关或银行出具的缴纳社保的凭证），如依法不需要缴纳社会保障资金的，则应提供相应证明材料复印件；</w:t>
      </w:r>
      <w:bookmarkEnd w:id="37"/>
      <w:bookmarkEnd w:id="38"/>
      <w:bookmarkEnd w:id="39"/>
      <w:bookmarkEnd w:id="40"/>
      <w:bookmarkEnd w:id="41"/>
      <w:bookmarkEnd w:id="42"/>
      <w:bookmarkEnd w:id="43"/>
    </w:p>
    <w:p w14:paraId="480B27A5">
      <w:pPr>
        <w:keepNext w:val="0"/>
        <w:keepLines w:val="0"/>
        <w:pageBreakBefore w:val="0"/>
        <w:widowControl/>
        <w:shd w:val="clear" w:color="auto" w:fill="FFFFFF"/>
        <w:kinsoku/>
        <w:wordWrap/>
        <w:overflowPunct/>
        <w:topLinePunct w:val="0"/>
        <w:autoSpaceDE/>
        <w:autoSpaceDN/>
        <w:bidi w:val="0"/>
        <w:adjustRightInd w:val="0"/>
        <w:snapToGrid w:val="0"/>
        <w:spacing w:after="0" w:line="360" w:lineRule="auto"/>
        <w:ind w:firstLine="420" w:firstLineChars="200"/>
        <w:jc w:val="both"/>
        <w:textAlignment w:val="auto"/>
        <w:outlineLvl w:val="1"/>
        <w:rPr>
          <w:rFonts w:hint="eastAsia" w:ascii="宋体" w:hAnsi="宋体" w:eastAsia="宋体" w:cs="宋体"/>
          <w:color w:val="auto"/>
          <w:sz w:val="21"/>
          <w:szCs w:val="21"/>
          <w:highlight w:val="none"/>
        </w:rPr>
      </w:pPr>
      <w:bookmarkStart w:id="44" w:name="_Toc1329"/>
      <w:bookmarkStart w:id="45" w:name="_Toc14806"/>
      <w:bookmarkStart w:id="46" w:name="_Toc16427"/>
      <w:bookmarkStart w:id="47" w:name="_Toc2040"/>
      <w:bookmarkStart w:id="48" w:name="_Toc2326"/>
      <w:bookmarkStart w:id="49" w:name="_Toc4247"/>
      <w:bookmarkStart w:id="50" w:name="_Toc30667"/>
      <w:r>
        <w:rPr>
          <w:rFonts w:hint="eastAsia" w:ascii="宋体" w:hAnsi="宋体" w:eastAsia="宋体" w:cs="宋体"/>
          <w:color w:val="auto"/>
          <w:sz w:val="21"/>
          <w:szCs w:val="21"/>
          <w:highlight w:val="none"/>
          <w:lang w:eastAsia="zh-CN"/>
        </w:rPr>
        <w:t>（5）</w:t>
      </w:r>
      <w:r>
        <w:rPr>
          <w:rFonts w:hint="eastAsia" w:ascii="宋体" w:hAnsi="宋体" w:eastAsia="宋体" w:cs="宋体"/>
          <w:color w:val="auto"/>
          <w:sz w:val="21"/>
          <w:szCs w:val="21"/>
          <w:highlight w:val="none"/>
        </w:rPr>
        <w:t>具备履行合同所必需的设备和专业技术能力的声明或证明材料复印件</w:t>
      </w:r>
      <w:r>
        <w:rPr>
          <w:rFonts w:hint="eastAsia" w:ascii="宋体" w:hAnsi="宋体" w:eastAsia="宋体" w:cs="宋体"/>
          <w:color w:val="auto"/>
          <w:sz w:val="21"/>
          <w:szCs w:val="21"/>
          <w:highlight w:val="none"/>
          <w:lang w:eastAsia="zh-CN"/>
        </w:rPr>
        <w:t>；</w:t>
      </w:r>
      <w:bookmarkEnd w:id="44"/>
      <w:bookmarkEnd w:id="45"/>
      <w:bookmarkEnd w:id="46"/>
      <w:bookmarkEnd w:id="47"/>
      <w:bookmarkEnd w:id="48"/>
      <w:bookmarkEnd w:id="49"/>
      <w:bookmarkEnd w:id="50"/>
    </w:p>
    <w:p w14:paraId="38881800">
      <w:pPr>
        <w:keepNext w:val="0"/>
        <w:keepLines w:val="0"/>
        <w:pageBreakBefore w:val="0"/>
        <w:widowControl/>
        <w:shd w:val="clear" w:color="auto" w:fill="FFFFFF"/>
        <w:kinsoku/>
        <w:wordWrap/>
        <w:overflowPunct/>
        <w:topLinePunct w:val="0"/>
        <w:autoSpaceDE/>
        <w:autoSpaceDN/>
        <w:bidi w:val="0"/>
        <w:adjustRightInd w:val="0"/>
        <w:snapToGrid w:val="0"/>
        <w:spacing w:after="0" w:line="360" w:lineRule="auto"/>
        <w:ind w:firstLine="420" w:firstLineChars="200"/>
        <w:jc w:val="both"/>
        <w:textAlignment w:val="auto"/>
        <w:outlineLvl w:val="1"/>
        <w:rPr>
          <w:rFonts w:hint="eastAsia" w:ascii="宋体" w:hAnsi="宋体" w:eastAsia="宋体" w:cs="宋体"/>
          <w:color w:val="auto"/>
          <w:sz w:val="21"/>
          <w:szCs w:val="21"/>
          <w:highlight w:val="none"/>
        </w:rPr>
      </w:pPr>
      <w:bookmarkStart w:id="51" w:name="_Toc23548"/>
      <w:bookmarkStart w:id="52" w:name="_Toc15133"/>
      <w:bookmarkStart w:id="53" w:name="_Toc25939"/>
      <w:bookmarkStart w:id="54" w:name="_Toc15223"/>
      <w:bookmarkStart w:id="55" w:name="_Toc8398"/>
      <w:bookmarkStart w:id="56" w:name="_Toc32111"/>
      <w:bookmarkStart w:id="57" w:name="_Toc5225"/>
      <w:r>
        <w:rPr>
          <w:rFonts w:hint="eastAsia" w:ascii="宋体" w:hAnsi="宋体" w:eastAsia="宋体" w:cs="宋体"/>
          <w:color w:val="auto"/>
          <w:sz w:val="21"/>
          <w:szCs w:val="21"/>
          <w:highlight w:val="none"/>
          <w:lang w:eastAsia="zh-CN"/>
        </w:rPr>
        <w:t>（6）</w:t>
      </w:r>
      <w:r>
        <w:rPr>
          <w:rFonts w:hint="eastAsia" w:ascii="宋体" w:hAnsi="宋体" w:eastAsia="宋体" w:cs="宋体"/>
          <w:color w:val="auto"/>
          <w:sz w:val="21"/>
          <w:szCs w:val="21"/>
          <w:highlight w:val="none"/>
        </w:rPr>
        <w:t>参加政府采购活动前3年内在经营活动中没有重大违法记录的书面声明</w:t>
      </w:r>
      <w:r>
        <w:rPr>
          <w:rFonts w:hint="eastAsia" w:ascii="宋体" w:hAnsi="宋体" w:eastAsia="宋体" w:cs="宋体"/>
          <w:color w:val="auto"/>
          <w:sz w:val="21"/>
          <w:szCs w:val="21"/>
          <w:highlight w:val="none"/>
          <w:lang w:eastAsia="zh-CN"/>
        </w:rPr>
        <w:t>；</w:t>
      </w:r>
      <w:bookmarkEnd w:id="51"/>
      <w:bookmarkEnd w:id="52"/>
      <w:bookmarkEnd w:id="53"/>
      <w:bookmarkEnd w:id="54"/>
      <w:bookmarkEnd w:id="55"/>
      <w:bookmarkEnd w:id="56"/>
      <w:bookmarkEnd w:id="57"/>
    </w:p>
    <w:p w14:paraId="795E6B6B">
      <w:pPr>
        <w:keepNext w:val="0"/>
        <w:keepLines w:val="0"/>
        <w:pageBreakBefore w:val="0"/>
        <w:widowControl/>
        <w:shd w:val="clear" w:color="auto" w:fill="FFFFFF"/>
        <w:kinsoku/>
        <w:wordWrap/>
        <w:overflowPunct/>
        <w:topLinePunct w:val="0"/>
        <w:autoSpaceDE/>
        <w:autoSpaceDN/>
        <w:bidi w:val="0"/>
        <w:adjustRightInd w:val="0"/>
        <w:snapToGrid w:val="0"/>
        <w:spacing w:after="0" w:line="360" w:lineRule="auto"/>
        <w:ind w:firstLine="420" w:firstLineChars="200"/>
        <w:jc w:val="both"/>
        <w:textAlignment w:val="auto"/>
        <w:outlineLvl w:val="1"/>
        <w:rPr>
          <w:rFonts w:hint="eastAsia" w:ascii="宋体" w:hAnsi="宋体" w:eastAsia="宋体" w:cs="宋体"/>
          <w:color w:val="auto"/>
          <w:sz w:val="21"/>
          <w:szCs w:val="21"/>
          <w:highlight w:val="none"/>
        </w:rPr>
      </w:pPr>
      <w:bookmarkStart w:id="58" w:name="_Toc12816"/>
      <w:bookmarkStart w:id="59" w:name="_Toc21093"/>
      <w:bookmarkStart w:id="60" w:name="_Toc15671"/>
      <w:bookmarkStart w:id="61" w:name="_Toc13643"/>
      <w:bookmarkStart w:id="62" w:name="_Toc13577"/>
      <w:bookmarkStart w:id="63" w:name="_Toc6453"/>
      <w:bookmarkStart w:id="64" w:name="_Toc25179"/>
      <w:r>
        <w:rPr>
          <w:rFonts w:hint="eastAsia" w:ascii="宋体" w:hAnsi="宋体" w:eastAsia="宋体" w:cs="宋体"/>
          <w:color w:val="auto"/>
          <w:sz w:val="21"/>
          <w:szCs w:val="21"/>
          <w:highlight w:val="none"/>
          <w:lang w:eastAsia="zh-CN"/>
        </w:rPr>
        <w:t>（7）</w:t>
      </w:r>
      <w:r>
        <w:rPr>
          <w:rFonts w:hint="eastAsia" w:ascii="宋体" w:hAnsi="宋体" w:eastAsia="宋体" w:cs="宋体"/>
          <w:color w:val="auto"/>
          <w:sz w:val="21"/>
          <w:szCs w:val="21"/>
          <w:highlight w:val="none"/>
        </w:rPr>
        <w:t>具备法律、行政法规规定的其他条件的证明材料</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无</w:t>
      </w:r>
      <w:r>
        <w:rPr>
          <w:rFonts w:hint="eastAsia" w:ascii="宋体" w:hAnsi="宋体" w:eastAsia="宋体" w:cs="宋体"/>
          <w:color w:val="auto"/>
          <w:sz w:val="21"/>
          <w:szCs w:val="21"/>
          <w:highlight w:val="none"/>
          <w:lang w:eastAsia="zh-CN"/>
        </w:rPr>
        <w:t>；</w:t>
      </w:r>
      <w:bookmarkEnd w:id="58"/>
      <w:bookmarkEnd w:id="59"/>
      <w:bookmarkEnd w:id="60"/>
      <w:bookmarkEnd w:id="61"/>
      <w:bookmarkEnd w:id="62"/>
      <w:bookmarkEnd w:id="63"/>
      <w:bookmarkEnd w:id="64"/>
    </w:p>
    <w:p w14:paraId="0B73E5E1">
      <w:pPr>
        <w:numPr>
          <w:ilvl w:val="0"/>
          <w:numId w:val="0"/>
        </w:numPr>
        <w:spacing w:line="360" w:lineRule="auto"/>
        <w:ind w:firstLine="420" w:firstLineChars="200"/>
        <w:rPr>
          <w:rFonts w:hint="eastAsia" w:ascii="宋体" w:hAnsi="宋体" w:cs="宋体"/>
          <w:highlight w:val="none"/>
        </w:rPr>
      </w:pPr>
      <w:r>
        <w:rPr>
          <w:rFonts w:hint="eastAsia" w:ascii="宋体" w:hAnsi="宋体" w:cs="宋体"/>
          <w:highlight w:val="none"/>
          <w:lang w:val="en-US" w:eastAsia="zh-CN"/>
        </w:rPr>
        <w:t>2.</w:t>
      </w:r>
      <w:r>
        <w:rPr>
          <w:rFonts w:hint="eastAsia" w:ascii="宋体" w:hAnsi="宋体" w:cs="宋体"/>
          <w:highlight w:val="none"/>
        </w:rPr>
        <w:t>落实政府采购政策需满足的资格要求：本项目不专门面向中小企业采购，所属行业为其他未列明行业。根据《江苏省财政厅关于进一步加大政府采购支持中小企业力度的通知》（苏财购〔2022〕45 号）规定，对小微企业的报价给予</w:t>
      </w:r>
      <w:r>
        <w:rPr>
          <w:rFonts w:hint="eastAsia" w:ascii="宋体" w:hAnsi="宋体" w:cs="宋体"/>
          <w:b/>
          <w:bCs/>
          <w:highlight w:val="none"/>
          <w:u w:val="single"/>
        </w:rPr>
        <w:t xml:space="preserve"> 10% </w:t>
      </w:r>
      <w:r>
        <w:rPr>
          <w:rFonts w:hint="eastAsia" w:ascii="宋体" w:hAnsi="宋体" w:cs="宋体"/>
          <w:highlight w:val="none"/>
        </w:rPr>
        <w:t xml:space="preserve">价格扣除，以扣除后的价格参与评审。 </w:t>
      </w:r>
    </w:p>
    <w:p w14:paraId="3925D5BD">
      <w:pPr>
        <w:numPr>
          <w:ilvl w:val="0"/>
          <w:numId w:val="0"/>
        </w:numPr>
        <w:spacing w:line="360" w:lineRule="auto"/>
        <w:ind w:firstLine="420" w:firstLineChars="200"/>
        <w:rPr>
          <w:rFonts w:hint="eastAsia" w:ascii="宋体" w:hAnsi="宋体" w:cs="宋体"/>
          <w:highlight w:val="none"/>
        </w:rPr>
      </w:pPr>
      <w:r>
        <w:rPr>
          <w:rFonts w:hint="eastAsia" w:ascii="宋体" w:hAnsi="宋体" w:cs="宋体"/>
          <w:highlight w:val="none"/>
        </w:rPr>
        <w:t>响应供应商若享受该优惠政策，须按照《政府采购促进中小企业发展管理办法》（财库〔2020〕46 号）规定，如实提供《中小企业声明函》。中小企业划型标准执行《关于印发中小企业划型标准规定的通知》（工信部联企业〔2011〕300 号）。</w:t>
      </w:r>
    </w:p>
    <w:p w14:paraId="21142694">
      <w:pPr>
        <w:numPr>
          <w:ilvl w:val="0"/>
          <w:numId w:val="0"/>
        </w:numPr>
        <w:spacing w:line="360" w:lineRule="auto"/>
        <w:ind w:firstLine="420" w:firstLineChars="200"/>
        <w:rPr>
          <w:rFonts w:hint="eastAsia" w:ascii="宋体" w:hAnsi="宋体" w:cs="宋体"/>
          <w:bCs/>
          <w:szCs w:val="21"/>
          <w:highlight w:val="none"/>
        </w:rPr>
      </w:pPr>
      <w:r>
        <w:rPr>
          <w:rFonts w:hint="eastAsia" w:ascii="宋体" w:hAnsi="宋体" w:cs="宋体"/>
          <w:bCs/>
          <w:szCs w:val="21"/>
          <w:highlight w:val="none"/>
          <w:lang w:val="en-US" w:eastAsia="zh-CN"/>
        </w:rPr>
        <w:t>3.</w:t>
      </w:r>
      <w:r>
        <w:rPr>
          <w:rFonts w:hint="eastAsia" w:ascii="宋体" w:hAnsi="宋体" w:cs="宋体"/>
          <w:bCs/>
          <w:szCs w:val="21"/>
          <w:highlight w:val="none"/>
        </w:rPr>
        <w:t>本项目的特定资格要求：</w:t>
      </w:r>
    </w:p>
    <w:p w14:paraId="138A53E1">
      <w:pPr>
        <w:keepNext w:val="0"/>
        <w:keepLines w:val="0"/>
        <w:pageBreakBefore w:val="0"/>
        <w:widowControl/>
        <w:shd w:val="clear" w:color="auto" w:fill="FFFFFF"/>
        <w:kinsoku/>
        <w:wordWrap/>
        <w:overflowPunct/>
        <w:topLinePunct w:val="0"/>
        <w:autoSpaceDE/>
        <w:autoSpaceDN/>
        <w:bidi w:val="0"/>
        <w:adjustRightInd w:val="0"/>
        <w:snapToGrid w:val="0"/>
        <w:spacing w:after="0" w:line="360" w:lineRule="auto"/>
        <w:ind w:firstLine="422" w:firstLineChars="200"/>
        <w:jc w:val="both"/>
        <w:textAlignment w:val="auto"/>
        <w:outlineLvl w:val="1"/>
        <w:rPr>
          <w:rFonts w:hint="eastAsia" w:ascii="宋体" w:hAnsi="宋体" w:eastAsia="宋体" w:cs="宋体"/>
          <w:b/>
          <w:bCs/>
          <w:color w:val="auto"/>
          <w:sz w:val="21"/>
          <w:szCs w:val="21"/>
          <w:highlight w:val="none"/>
          <w:lang w:eastAsia="zh-CN"/>
        </w:rPr>
      </w:pPr>
      <w:r>
        <w:rPr>
          <w:rFonts w:hint="eastAsia" w:ascii="宋体" w:hAnsi="宋体" w:cs="宋体"/>
          <w:b/>
          <w:bCs/>
          <w:color w:val="auto"/>
          <w:sz w:val="21"/>
          <w:szCs w:val="21"/>
          <w:highlight w:val="none"/>
          <w:lang w:eastAsia="zh-CN"/>
        </w:rPr>
        <w:t>（</w:t>
      </w:r>
      <w:r>
        <w:rPr>
          <w:rFonts w:hint="eastAsia" w:ascii="宋体" w:hAnsi="宋体" w:cs="宋体"/>
          <w:b/>
          <w:bCs/>
          <w:color w:val="auto"/>
          <w:sz w:val="21"/>
          <w:szCs w:val="21"/>
          <w:highlight w:val="none"/>
          <w:lang w:val="en-US" w:eastAsia="zh-CN"/>
        </w:rPr>
        <w:t>1）</w:t>
      </w:r>
      <w:r>
        <w:rPr>
          <w:rFonts w:hint="eastAsia" w:ascii="宋体" w:hAnsi="宋体" w:eastAsia="宋体" w:cs="宋体"/>
          <w:b/>
          <w:bCs/>
          <w:color w:val="auto"/>
          <w:sz w:val="21"/>
          <w:szCs w:val="21"/>
          <w:highlight w:val="none"/>
          <w:lang w:eastAsia="zh-CN"/>
        </w:rPr>
        <w:t>供应商应具有交通运输部颁发的公路工程试验检测综合甲级资质或交通运输部颁发的公路工程试验检测桥隧专项资质（提供复印件加盖公章）</w:t>
      </w:r>
      <w:r>
        <w:rPr>
          <w:rFonts w:hint="eastAsia" w:ascii="宋体" w:hAnsi="宋体" w:cs="宋体"/>
          <w:b/>
          <w:bCs/>
          <w:color w:val="auto"/>
          <w:sz w:val="21"/>
          <w:szCs w:val="21"/>
          <w:highlight w:val="none"/>
          <w:lang w:eastAsia="zh-CN"/>
        </w:rPr>
        <w:t>；</w:t>
      </w:r>
    </w:p>
    <w:p w14:paraId="79C98F03">
      <w:pPr>
        <w:spacing w:line="360" w:lineRule="auto"/>
        <w:ind w:firstLine="422" w:firstLineChars="200"/>
        <w:rPr>
          <w:rFonts w:ascii="宋体" w:cs="宋体"/>
          <w:szCs w:val="21"/>
          <w:highlight w:val="none"/>
        </w:rPr>
      </w:pPr>
      <w:r>
        <w:rPr>
          <w:rFonts w:hint="eastAsia" w:ascii="宋体" w:hAnsi="宋体" w:cs="宋体"/>
          <w:b/>
          <w:bCs/>
          <w:color w:val="auto"/>
          <w:sz w:val="21"/>
          <w:szCs w:val="21"/>
          <w:highlight w:val="none"/>
          <w:lang w:val="en-US" w:eastAsia="zh-CN"/>
        </w:rPr>
        <w:t>（2）供应商具有质量技</w:t>
      </w:r>
      <w:r>
        <w:rPr>
          <w:rFonts w:hint="eastAsia" w:ascii="宋体" w:cs="宋体"/>
          <w:b/>
          <w:bCs/>
          <w:szCs w:val="21"/>
          <w:highlight w:val="none"/>
        </w:rPr>
        <w:t>术监督部门颁发的有效资质认定（计量认证）证书（提供复印件加盖公章）。</w:t>
      </w:r>
    </w:p>
    <w:p w14:paraId="3CC08C5F">
      <w:pPr>
        <w:tabs>
          <w:tab w:val="left" w:pos="900"/>
        </w:tabs>
        <w:spacing w:line="360" w:lineRule="auto"/>
        <w:ind w:left="420" w:leftChars="200"/>
        <w:rPr>
          <w:rFonts w:hint="eastAsia" w:ascii="宋体" w:hAnsi="宋体" w:cs="宋体"/>
          <w:bCs/>
          <w:szCs w:val="21"/>
          <w:highlight w:val="none"/>
        </w:rPr>
      </w:pPr>
      <w:r>
        <w:rPr>
          <w:rFonts w:hint="eastAsia" w:ascii="宋体" w:hAnsi="宋体" w:cs="宋体"/>
          <w:bCs/>
          <w:szCs w:val="21"/>
          <w:highlight w:val="none"/>
        </w:rPr>
        <w:t>4.拒绝下述供应商参加本次采购活动：</w:t>
      </w:r>
    </w:p>
    <w:p w14:paraId="57918B86">
      <w:pPr>
        <w:pStyle w:val="5"/>
        <w:spacing w:line="360" w:lineRule="auto"/>
        <w:ind w:left="0" w:firstLine="420"/>
        <w:rPr>
          <w:rFonts w:ascii="宋体" w:hAnsi="宋体" w:cs="宋体"/>
          <w:bCs/>
          <w:sz w:val="21"/>
          <w:szCs w:val="21"/>
          <w:highlight w:val="none"/>
        </w:rPr>
      </w:pPr>
      <w:r>
        <w:rPr>
          <w:rFonts w:hint="eastAsia" w:ascii="宋体" w:hAnsi="宋体" w:cs="宋体"/>
          <w:bCs/>
          <w:sz w:val="21"/>
          <w:szCs w:val="21"/>
          <w:highlight w:val="none"/>
          <w:lang w:val="en-US" w:eastAsia="zh-CN"/>
        </w:rPr>
        <w:t>（1）</w:t>
      </w:r>
      <w:r>
        <w:rPr>
          <w:rFonts w:hint="eastAsia" w:ascii="宋体" w:hAnsi="宋体" w:cs="宋体"/>
          <w:bCs/>
          <w:sz w:val="21"/>
          <w:szCs w:val="21"/>
          <w:highlight w:val="none"/>
        </w:rPr>
        <w:t>单位负责人为同一人或者存在直接控股、管理关系的不同供应商，不得参加同一合同项下的政府采购活动。</w:t>
      </w:r>
      <w:bookmarkStart w:id="143" w:name="_GoBack"/>
      <w:bookmarkEnd w:id="143"/>
    </w:p>
    <w:p w14:paraId="39B899C7">
      <w:pPr>
        <w:pStyle w:val="5"/>
        <w:spacing w:line="360" w:lineRule="auto"/>
        <w:ind w:left="0" w:firstLine="420"/>
        <w:rPr>
          <w:rFonts w:ascii="宋体" w:hAnsi="宋体" w:cs="宋体"/>
          <w:bCs/>
          <w:sz w:val="21"/>
          <w:szCs w:val="21"/>
          <w:highlight w:val="none"/>
        </w:rPr>
      </w:pPr>
      <w:r>
        <w:rPr>
          <w:rFonts w:hint="eastAsia" w:ascii="宋体" w:hAnsi="宋体" w:cs="宋体"/>
          <w:bCs/>
          <w:sz w:val="21"/>
          <w:szCs w:val="21"/>
          <w:highlight w:val="none"/>
          <w:lang w:val="en-US" w:eastAsia="zh-CN"/>
        </w:rPr>
        <w:t>（2）</w:t>
      </w:r>
      <w:r>
        <w:rPr>
          <w:rFonts w:hint="eastAsia" w:ascii="宋体" w:hAnsi="宋体" w:cs="宋体"/>
          <w:bCs/>
          <w:sz w:val="21"/>
          <w:szCs w:val="21"/>
          <w:highlight w:val="none"/>
        </w:rPr>
        <w:t>除单一来源采购项目外，为采购项目提供整体设计、规范编制或者项目管理、监理、检测等服务的供应商，不得再参加该采购项目的其他采购活动。</w:t>
      </w:r>
    </w:p>
    <w:p w14:paraId="53BDABB1">
      <w:pPr>
        <w:pStyle w:val="5"/>
        <w:spacing w:line="360" w:lineRule="auto"/>
        <w:ind w:left="0" w:firstLine="420"/>
        <w:rPr>
          <w:rFonts w:ascii="宋体" w:hAnsi="宋体" w:cs="宋体"/>
          <w:bCs/>
          <w:sz w:val="21"/>
          <w:szCs w:val="21"/>
          <w:highlight w:val="none"/>
        </w:rPr>
      </w:pPr>
      <w:r>
        <w:rPr>
          <w:rFonts w:hint="eastAsia" w:ascii="宋体" w:hAnsi="宋体" w:cs="宋体"/>
          <w:bCs/>
          <w:sz w:val="21"/>
          <w:szCs w:val="21"/>
          <w:highlight w:val="none"/>
          <w:lang w:val="en-US" w:eastAsia="zh-CN"/>
        </w:rPr>
        <w:t>（3）</w:t>
      </w:r>
      <w:r>
        <w:rPr>
          <w:rFonts w:hint="eastAsia" w:ascii="宋体" w:hAnsi="宋体" w:cs="宋体"/>
          <w:bCs/>
          <w:sz w:val="21"/>
          <w:szCs w:val="21"/>
          <w:highlight w:val="none"/>
        </w:rPr>
        <w:t>供应商参加政府采购活动前3年内在经营活动中有重大违法记录的不得参加本次采购活动。《中华人民共和国政府采购法》第二十二条第一款第五项所称重大违法记录，是指供应商因违法经营受到刑事处罚或者责令停产停业、吊销许可证或者执照、较大数额罚款等行政处罚。其中，根据《财政部关于&lt;中华人民共和国政府采购法实施条例&gt;第十九条第一款“较大数额罚款”具体适用问题的意见》（财库〔2022〕3号）文件，《中华人民共和国政府采购法实施条例》第十九条第一款规定的“较大数额罚款”认定为200万元以上的罚款，法律、行政法规以及国务院有关部门明确规定相关领域“较大数额罚款”标准高于200万元的，从其规定。</w:t>
      </w:r>
    </w:p>
    <w:p w14:paraId="39BE2FD2">
      <w:pPr>
        <w:spacing w:line="360" w:lineRule="auto"/>
        <w:rPr>
          <w:rFonts w:hint="eastAsia" w:ascii="宋体" w:hAnsi="宋体" w:cs="宋体"/>
          <w:b/>
          <w:bCs/>
          <w:szCs w:val="21"/>
          <w:highlight w:val="none"/>
        </w:rPr>
      </w:pPr>
      <w:r>
        <w:rPr>
          <w:rFonts w:hint="eastAsia" w:ascii="宋体" w:hAnsi="宋体" w:cs="宋体"/>
          <w:b/>
          <w:bCs/>
          <w:szCs w:val="21"/>
          <w:highlight w:val="none"/>
        </w:rPr>
        <w:t>三、获取采购文件</w:t>
      </w:r>
      <w:bookmarkEnd w:id="12"/>
      <w:bookmarkEnd w:id="13"/>
      <w:bookmarkEnd w:id="14"/>
      <w:bookmarkEnd w:id="15"/>
    </w:p>
    <w:p w14:paraId="503D5338">
      <w:pPr>
        <w:tabs>
          <w:tab w:val="left" w:pos="900"/>
        </w:tabs>
        <w:spacing w:line="360" w:lineRule="auto"/>
        <w:ind w:firstLine="420" w:firstLineChars="200"/>
        <w:rPr>
          <w:rFonts w:hint="eastAsia" w:ascii="宋体" w:hAnsi="宋体" w:cs="宋体"/>
          <w:bCs/>
          <w:szCs w:val="21"/>
          <w:highlight w:val="none"/>
        </w:rPr>
      </w:pPr>
      <w:bookmarkStart w:id="65" w:name="_Toc35393632"/>
      <w:bookmarkStart w:id="66" w:name="_Toc28359092"/>
      <w:bookmarkStart w:id="67" w:name="_Toc28359015"/>
      <w:bookmarkStart w:id="68" w:name="_Toc35393801"/>
      <w:r>
        <w:rPr>
          <w:rFonts w:hint="eastAsia" w:ascii="宋体" w:hAnsi="宋体" w:cs="宋体"/>
          <w:bCs/>
          <w:szCs w:val="21"/>
          <w:highlight w:val="none"/>
        </w:rPr>
        <w:t>1.获取时间：自公告发布之日起5个工作日。</w:t>
      </w:r>
    </w:p>
    <w:p w14:paraId="5BAE7391">
      <w:pPr>
        <w:tabs>
          <w:tab w:val="left" w:pos="900"/>
        </w:tabs>
        <w:spacing w:line="360" w:lineRule="auto"/>
        <w:ind w:firstLine="420" w:firstLineChars="200"/>
        <w:rPr>
          <w:rFonts w:hint="eastAsia" w:ascii="宋体" w:hAnsi="宋体" w:cs="宋体"/>
          <w:bCs/>
          <w:szCs w:val="21"/>
          <w:highlight w:val="none"/>
        </w:rPr>
      </w:pPr>
      <w:r>
        <w:rPr>
          <w:rFonts w:hint="eastAsia" w:ascii="宋体" w:hAnsi="宋体" w:cs="宋体"/>
          <w:bCs/>
          <w:szCs w:val="21"/>
          <w:highlight w:val="none"/>
        </w:rPr>
        <w:t>2.地点：网上注册登记成功后可在系统内免费下载。</w:t>
      </w:r>
    </w:p>
    <w:p w14:paraId="4E9474EA">
      <w:pPr>
        <w:tabs>
          <w:tab w:val="left" w:pos="900"/>
        </w:tabs>
        <w:spacing w:line="360" w:lineRule="auto"/>
        <w:ind w:firstLine="420" w:firstLineChars="200"/>
        <w:rPr>
          <w:rFonts w:hint="eastAsia" w:ascii="宋体" w:hAnsi="宋体" w:cs="宋体"/>
          <w:bCs/>
          <w:szCs w:val="21"/>
          <w:highlight w:val="none"/>
        </w:rPr>
      </w:pPr>
      <w:r>
        <w:rPr>
          <w:rFonts w:hint="eastAsia" w:ascii="宋体" w:hAnsi="宋体" w:cs="宋体"/>
          <w:bCs/>
          <w:szCs w:val="21"/>
          <w:highlight w:val="none"/>
        </w:rPr>
        <w:t>3.获取方式：本项目采用网上注册登记方式。</w:t>
      </w:r>
    </w:p>
    <w:p w14:paraId="30561CC9">
      <w:pPr>
        <w:tabs>
          <w:tab w:val="left" w:pos="900"/>
        </w:tabs>
        <w:spacing w:line="360" w:lineRule="auto"/>
        <w:ind w:firstLine="420" w:firstLineChars="200"/>
        <w:rPr>
          <w:rFonts w:hint="eastAsia" w:ascii="宋体" w:hAnsi="宋体" w:cs="宋体"/>
          <w:bCs/>
          <w:szCs w:val="21"/>
          <w:highlight w:val="none"/>
        </w:rPr>
      </w:pPr>
      <w:r>
        <w:rPr>
          <w:rFonts w:hint="eastAsia" w:ascii="宋体" w:hAnsi="宋体" w:cs="宋体"/>
          <w:bCs/>
          <w:szCs w:val="21"/>
          <w:highlight w:val="none"/>
          <w:lang w:eastAsia="zh-CN"/>
        </w:rPr>
        <w:t>（</w:t>
      </w:r>
      <w:r>
        <w:rPr>
          <w:rFonts w:hint="eastAsia" w:ascii="宋体" w:hAnsi="宋体" w:cs="宋体"/>
          <w:bCs/>
          <w:szCs w:val="21"/>
          <w:highlight w:val="none"/>
          <w:lang w:val="en-US" w:eastAsia="zh-CN"/>
        </w:rPr>
        <w:t>1）</w:t>
      </w:r>
      <w:r>
        <w:rPr>
          <w:rFonts w:hint="eastAsia" w:ascii="宋体" w:hAnsi="宋体" w:cs="宋体"/>
          <w:bCs/>
          <w:szCs w:val="21"/>
          <w:highlight w:val="none"/>
        </w:rPr>
        <w:t>潜在供应商访问电子招标响应交易平台的网络地址和方法：</w:t>
      </w:r>
    </w:p>
    <w:p w14:paraId="729B1472">
      <w:pPr>
        <w:tabs>
          <w:tab w:val="left" w:pos="900"/>
        </w:tabs>
        <w:spacing w:line="360" w:lineRule="auto"/>
        <w:ind w:firstLine="420" w:firstLineChars="200"/>
        <w:rPr>
          <w:rFonts w:hint="eastAsia" w:ascii="宋体" w:hAnsi="宋体" w:cs="宋体"/>
          <w:bCs/>
          <w:szCs w:val="21"/>
          <w:highlight w:val="none"/>
        </w:rPr>
      </w:pPr>
      <w:r>
        <w:rPr>
          <w:rFonts w:hint="eastAsia" w:ascii="宋体" w:hAnsi="宋体" w:cs="宋体"/>
          <w:bCs/>
          <w:szCs w:val="21"/>
          <w:highlight w:val="none"/>
        </w:rPr>
        <w:t>“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p>
    <w:p w14:paraId="426C59EB">
      <w:pPr>
        <w:tabs>
          <w:tab w:val="left" w:pos="900"/>
        </w:tabs>
        <w:spacing w:line="360" w:lineRule="auto"/>
        <w:ind w:firstLine="420" w:firstLineChars="200"/>
        <w:rPr>
          <w:rFonts w:hint="eastAsia" w:ascii="宋体" w:hAnsi="宋体" w:cs="宋体"/>
          <w:bCs/>
          <w:szCs w:val="21"/>
          <w:highlight w:val="none"/>
          <w:lang w:eastAsia="en-US"/>
        </w:rPr>
      </w:pPr>
      <w:r>
        <w:rPr>
          <w:rFonts w:hint="eastAsia" w:ascii="宋体" w:hAnsi="宋体" w:cs="宋体"/>
          <w:bCs/>
          <w:sz w:val="21"/>
          <w:szCs w:val="21"/>
          <w:highlight w:val="none"/>
          <w:lang w:val="en-US" w:eastAsia="zh-CN"/>
        </w:rPr>
        <w:t>（2）</w:t>
      </w:r>
      <w:r>
        <w:rPr>
          <w:rFonts w:hint="eastAsia" w:ascii="宋体" w:hAnsi="宋体" w:cs="宋体"/>
          <w:bCs/>
          <w:szCs w:val="21"/>
          <w:highlight w:val="none"/>
          <w:lang w:eastAsia="en-US"/>
        </w:rPr>
        <w:t>潜在供应商访问“苏采云”系统的网络地址和方法</w:t>
      </w:r>
      <w:r>
        <w:rPr>
          <w:rFonts w:hint="eastAsia" w:ascii="宋体" w:hAnsi="宋体" w:cs="宋体"/>
          <w:bCs/>
          <w:szCs w:val="21"/>
          <w:highlight w:val="none"/>
        </w:rPr>
        <w:t>：</w:t>
      </w:r>
      <w:r>
        <w:rPr>
          <w:rFonts w:hint="eastAsia" w:ascii="宋体" w:hAnsi="宋体" w:cs="宋体"/>
          <w:bCs/>
          <w:szCs w:val="21"/>
          <w:highlight w:val="none"/>
          <w:lang w:eastAsia="en-US"/>
        </w:rPr>
        <w:t>“苏采云”系统的网址：http://jszfcg.jsczt.cn/。</w:t>
      </w:r>
    </w:p>
    <w:p w14:paraId="51C253A1">
      <w:pPr>
        <w:tabs>
          <w:tab w:val="left" w:pos="900"/>
        </w:tabs>
        <w:spacing w:line="360" w:lineRule="auto"/>
        <w:ind w:firstLine="420" w:firstLineChars="200"/>
        <w:rPr>
          <w:rFonts w:hint="eastAsia" w:ascii="宋体" w:hAnsi="宋体" w:cs="宋体"/>
          <w:bCs/>
          <w:szCs w:val="21"/>
          <w:highlight w:val="none"/>
        </w:rPr>
      </w:pPr>
      <w:r>
        <w:rPr>
          <w:rFonts w:hint="eastAsia" w:ascii="宋体" w:hAnsi="宋体" w:cs="宋体"/>
          <w:bCs/>
          <w:sz w:val="21"/>
          <w:szCs w:val="21"/>
          <w:highlight w:val="none"/>
          <w:lang w:val="en-US" w:eastAsia="zh-CN"/>
        </w:rPr>
        <w:t>（3）</w:t>
      </w:r>
      <w:r>
        <w:rPr>
          <w:rFonts w:hint="eastAsia" w:ascii="宋体" w:hAnsi="宋体" w:cs="宋体"/>
          <w:bCs/>
          <w:szCs w:val="21"/>
          <w:highlight w:val="none"/>
        </w:rPr>
        <w:t>“CA数字证书”的获取：</w:t>
      </w:r>
    </w:p>
    <w:p w14:paraId="270F175D">
      <w:pPr>
        <w:tabs>
          <w:tab w:val="left" w:pos="900"/>
        </w:tabs>
        <w:spacing w:line="360" w:lineRule="auto"/>
        <w:ind w:firstLine="420" w:firstLineChars="200"/>
        <w:rPr>
          <w:rFonts w:hint="eastAsia" w:ascii="宋体" w:hAnsi="宋体" w:cs="宋体"/>
          <w:bCs/>
          <w:szCs w:val="21"/>
          <w:highlight w:val="none"/>
        </w:rPr>
      </w:pPr>
      <w:r>
        <w:rPr>
          <w:rFonts w:hint="eastAsia" w:ascii="宋体" w:hAnsi="宋体" w:cs="宋体"/>
          <w:bCs/>
          <w:szCs w:val="21"/>
          <w:highlight w:val="none"/>
        </w:rPr>
        <w:t>供应商需办理“CA 数字证书”。“苏采云”系统目前仅支持政务CA、方正签章，省内各地区办理的用于“苏采云”平台的政务CA、方正签章全省通用。“CA数字证书”的办理方法详见江苏政府采购网—资料下载中《江苏省政府采购数字证书（供应商）CA及电子签章办理指南》。</w:t>
      </w:r>
    </w:p>
    <w:p w14:paraId="09001664">
      <w:pPr>
        <w:tabs>
          <w:tab w:val="left" w:pos="900"/>
        </w:tabs>
        <w:spacing w:line="360" w:lineRule="auto"/>
        <w:ind w:firstLine="420" w:firstLineChars="200"/>
        <w:rPr>
          <w:rFonts w:hint="eastAsia" w:ascii="宋体" w:hAnsi="宋体" w:cs="宋体"/>
          <w:bCs/>
          <w:szCs w:val="21"/>
          <w:highlight w:val="none"/>
          <w:lang w:eastAsia="en-US"/>
        </w:rPr>
      </w:pPr>
      <w:r>
        <w:rPr>
          <w:rFonts w:hint="eastAsia" w:ascii="宋体" w:hAnsi="宋体" w:cs="宋体"/>
          <w:bCs/>
          <w:szCs w:val="21"/>
          <w:highlight w:val="none"/>
          <w:lang w:eastAsia="en-US"/>
        </w:rPr>
        <w:t>通过苏采云系统首页（http://jszfcg.jscz.gov.cn/）的“苏采云控件驱动下载”，选择“政务CA、方正签章控件驱动安装包及安装说明”下载安装，具体安装方法详见下载文件内的《安装说明》。</w:t>
      </w:r>
    </w:p>
    <w:p w14:paraId="6367B85E">
      <w:pPr>
        <w:tabs>
          <w:tab w:val="left" w:pos="900"/>
        </w:tabs>
        <w:spacing w:line="360" w:lineRule="auto"/>
        <w:ind w:firstLine="420" w:firstLineChars="200"/>
        <w:rPr>
          <w:rFonts w:hint="eastAsia" w:ascii="宋体" w:hAnsi="宋体" w:cs="宋体"/>
          <w:bCs/>
          <w:szCs w:val="21"/>
          <w:highlight w:val="none"/>
        </w:rPr>
      </w:pPr>
      <w:r>
        <w:rPr>
          <w:rFonts w:hint="eastAsia" w:ascii="宋体" w:hAnsi="宋体" w:cs="宋体"/>
          <w:bCs/>
          <w:szCs w:val="21"/>
          <w:highlight w:val="none"/>
          <w:lang w:eastAsia="zh-CN"/>
        </w:rPr>
        <w:t>（</w:t>
      </w:r>
      <w:r>
        <w:rPr>
          <w:rFonts w:hint="eastAsia" w:ascii="宋体" w:hAnsi="宋体" w:cs="宋体"/>
          <w:bCs/>
          <w:szCs w:val="21"/>
          <w:highlight w:val="none"/>
          <w:lang w:val="en-US" w:eastAsia="zh-CN"/>
        </w:rPr>
        <w:t>4）</w:t>
      </w:r>
      <w:r>
        <w:rPr>
          <w:rFonts w:hint="eastAsia" w:ascii="宋体" w:hAnsi="宋体" w:cs="宋体"/>
          <w:bCs/>
          <w:szCs w:val="21"/>
          <w:highlight w:val="none"/>
        </w:rPr>
        <w:t>采购文件（后缀名为“.kedt”）、供应商操作手册及政府采购客户端工具可通过“苏采云”系统－－已报名项目－－报名详情页面内相应链接进行下载。</w:t>
      </w:r>
    </w:p>
    <w:p w14:paraId="1D18D746">
      <w:pPr>
        <w:tabs>
          <w:tab w:val="left" w:pos="900"/>
        </w:tabs>
        <w:spacing w:line="360" w:lineRule="auto"/>
        <w:ind w:firstLine="420" w:firstLineChars="200"/>
        <w:rPr>
          <w:rFonts w:hint="eastAsia" w:ascii="宋体" w:hAnsi="宋体" w:cs="宋体"/>
          <w:bCs/>
          <w:szCs w:val="21"/>
          <w:highlight w:val="none"/>
        </w:rPr>
      </w:pPr>
      <w:r>
        <w:rPr>
          <w:rFonts w:hint="eastAsia" w:ascii="宋体" w:hAnsi="宋体" w:cs="宋体"/>
          <w:bCs/>
          <w:szCs w:val="21"/>
          <w:highlight w:val="none"/>
          <w:lang w:eastAsia="zh-CN"/>
        </w:rPr>
        <w:t>（</w:t>
      </w:r>
      <w:r>
        <w:rPr>
          <w:rFonts w:hint="eastAsia" w:ascii="宋体" w:hAnsi="宋体" w:cs="宋体"/>
          <w:bCs/>
          <w:szCs w:val="21"/>
          <w:highlight w:val="none"/>
          <w:lang w:val="en-US" w:eastAsia="zh-CN"/>
        </w:rPr>
        <w:t>5）</w:t>
      </w:r>
      <w:r>
        <w:rPr>
          <w:rFonts w:hint="eastAsia" w:ascii="宋体" w:hAnsi="宋体" w:cs="宋体"/>
          <w:bCs/>
          <w:szCs w:val="21"/>
          <w:highlight w:val="none"/>
        </w:rPr>
        <w:t>采购人或采购代理机构将数据电文形式的采购文件加载至“苏采云”系统，供潜在供应商下载或者查阅。</w:t>
      </w:r>
    </w:p>
    <w:p w14:paraId="5D076C33">
      <w:pPr>
        <w:tabs>
          <w:tab w:val="left" w:pos="900"/>
        </w:tabs>
        <w:spacing w:line="360" w:lineRule="auto"/>
        <w:ind w:firstLine="420" w:firstLineChars="200"/>
        <w:rPr>
          <w:rFonts w:hint="eastAsia" w:ascii="宋体" w:hAnsi="宋体" w:cs="宋体"/>
          <w:bCs/>
          <w:szCs w:val="21"/>
          <w:highlight w:val="none"/>
        </w:rPr>
      </w:pPr>
      <w:r>
        <w:rPr>
          <w:rFonts w:hint="eastAsia" w:ascii="宋体" w:hAnsi="宋体" w:cs="宋体"/>
          <w:bCs/>
          <w:szCs w:val="21"/>
          <w:highlight w:val="none"/>
          <w:lang w:eastAsia="zh-CN"/>
        </w:rPr>
        <w:t>（</w:t>
      </w:r>
      <w:r>
        <w:rPr>
          <w:rFonts w:hint="eastAsia" w:ascii="宋体" w:hAnsi="宋体" w:cs="宋体"/>
          <w:bCs/>
          <w:szCs w:val="21"/>
          <w:highlight w:val="none"/>
          <w:lang w:val="en-US" w:eastAsia="zh-CN"/>
        </w:rPr>
        <w:t>6）</w:t>
      </w:r>
      <w:r>
        <w:rPr>
          <w:rFonts w:hint="eastAsia" w:ascii="宋体" w:hAnsi="宋体" w:cs="宋体"/>
          <w:bCs/>
          <w:szCs w:val="21"/>
          <w:highlight w:val="none"/>
        </w:rPr>
        <w:t>请潜在供应商提前安装相应的控件（详见《江苏省政府采购管理交易系统（苏采云）供应商操作手册》）并使用谷歌浏览器登录“苏采云”系统参与不见面开评标。</w:t>
      </w:r>
    </w:p>
    <w:p w14:paraId="00CEBD38">
      <w:pPr>
        <w:tabs>
          <w:tab w:val="left" w:pos="900"/>
        </w:tabs>
        <w:spacing w:line="360" w:lineRule="auto"/>
        <w:ind w:firstLine="420" w:firstLineChars="200"/>
        <w:rPr>
          <w:rFonts w:hint="eastAsia" w:ascii="宋体" w:hAnsi="宋体" w:cs="宋体"/>
          <w:bCs/>
          <w:szCs w:val="21"/>
          <w:highlight w:val="none"/>
        </w:rPr>
      </w:pPr>
      <w:r>
        <w:rPr>
          <w:rFonts w:hint="eastAsia" w:ascii="宋体" w:hAnsi="宋体" w:cs="宋体"/>
          <w:bCs/>
          <w:szCs w:val="21"/>
          <w:highlight w:val="none"/>
          <w:lang w:eastAsia="zh-CN"/>
        </w:rPr>
        <w:t>（</w:t>
      </w:r>
      <w:r>
        <w:rPr>
          <w:rFonts w:hint="eastAsia" w:ascii="宋体" w:hAnsi="宋体" w:cs="宋体"/>
          <w:bCs/>
          <w:szCs w:val="21"/>
          <w:highlight w:val="none"/>
          <w:lang w:val="en-US" w:eastAsia="zh-CN"/>
        </w:rPr>
        <w:t>7）</w:t>
      </w:r>
      <w:r>
        <w:rPr>
          <w:rFonts w:hint="eastAsia" w:ascii="宋体" w:hAnsi="宋体" w:cs="宋体"/>
          <w:bCs/>
          <w:szCs w:val="21"/>
          <w:highlight w:val="none"/>
        </w:rPr>
        <w:t>开评标全过程中，磋商供应商一端参与交互的人员将均被视为磋商供应商的授权委托人或法定代表人，磋商供应商不得以不承认交互人员的资格或身份等为借口抵赖推脱，磋商供应商自行承担随意更换人员所导致的一切后果。为顺利实现本项目开评标的远程交互，建议磋商供应商配置的硬件设施有：电脑或手机、高速稳定的网络、电源（不间断）、音视频设备（话筒、耳麦、高清摄像头、音响）等。为保证交互效果，建议磋商供应商选择封闭安静的地点参与远程交互。因磋商供应商自身软硬件问题而导致在交互过程中出现不稳定或中断等情况的，由磋商供应商自身承担一切后果。</w:t>
      </w:r>
    </w:p>
    <w:p w14:paraId="163DB4E9">
      <w:pPr>
        <w:tabs>
          <w:tab w:val="left" w:pos="900"/>
        </w:tabs>
        <w:spacing w:line="360" w:lineRule="auto"/>
        <w:ind w:firstLine="422" w:firstLineChars="200"/>
        <w:rPr>
          <w:rFonts w:hint="eastAsia" w:ascii="宋体" w:hAnsi="宋体" w:cs="宋体"/>
          <w:bCs/>
          <w:szCs w:val="21"/>
          <w:highlight w:val="none"/>
        </w:rPr>
      </w:pPr>
      <w:r>
        <w:rPr>
          <w:rFonts w:hint="eastAsia" w:ascii="宋体" w:hAnsi="宋体" w:cs="宋体"/>
          <w:b/>
          <w:szCs w:val="21"/>
          <w:highlight w:val="none"/>
        </w:rPr>
        <w:t>注：如潜在供应商未按上述要求操作，将自行承担所产生的风险。</w:t>
      </w:r>
    </w:p>
    <w:p w14:paraId="5851FE86">
      <w:pPr>
        <w:spacing w:line="360" w:lineRule="auto"/>
        <w:rPr>
          <w:rFonts w:hint="eastAsia" w:ascii="宋体" w:hAnsi="宋体" w:cs="宋体"/>
          <w:b/>
          <w:bCs/>
          <w:szCs w:val="21"/>
          <w:highlight w:val="none"/>
        </w:rPr>
      </w:pPr>
      <w:r>
        <w:rPr>
          <w:rFonts w:hint="eastAsia" w:ascii="宋体" w:hAnsi="宋体" w:cs="宋体"/>
          <w:b/>
          <w:bCs/>
          <w:szCs w:val="21"/>
          <w:highlight w:val="none"/>
        </w:rPr>
        <w:t>四、响应文件提交</w:t>
      </w:r>
      <w:bookmarkEnd w:id="65"/>
      <w:bookmarkEnd w:id="66"/>
      <w:bookmarkEnd w:id="67"/>
      <w:bookmarkEnd w:id="68"/>
    </w:p>
    <w:p w14:paraId="5C9E42A4">
      <w:pPr>
        <w:spacing w:line="360" w:lineRule="auto"/>
        <w:ind w:firstLine="420" w:firstLineChars="200"/>
        <w:rPr>
          <w:rFonts w:hint="eastAsia" w:ascii="宋体" w:hAnsi="宋体" w:cs="宋体"/>
          <w:szCs w:val="21"/>
          <w:highlight w:val="none"/>
        </w:rPr>
      </w:pPr>
      <w:bookmarkStart w:id="69" w:name="_Toc28359093"/>
      <w:bookmarkStart w:id="70" w:name="_Toc35393633"/>
      <w:bookmarkStart w:id="71" w:name="_Toc28359016"/>
      <w:bookmarkStart w:id="72" w:name="_Toc35393802"/>
      <w:r>
        <w:rPr>
          <w:rFonts w:hint="eastAsia" w:ascii="宋体" w:hAnsi="宋体" w:cs="宋体"/>
          <w:szCs w:val="21"/>
          <w:highlight w:val="none"/>
        </w:rPr>
        <w:t>1.响应文件提交截止时间：</w:t>
      </w:r>
      <w:r>
        <w:rPr>
          <w:rFonts w:hint="eastAsia" w:ascii="宋体" w:hAnsi="宋体" w:cs="宋体"/>
          <w:color w:val="FF0000"/>
          <w:szCs w:val="21"/>
          <w:highlight w:val="none"/>
          <w:lang w:val="en-US" w:eastAsia="zh-CN"/>
        </w:rPr>
        <w:t>2026年8月31日09时00分</w:t>
      </w:r>
      <w:r>
        <w:rPr>
          <w:rFonts w:hint="eastAsia" w:ascii="宋体" w:hAnsi="宋体" w:cs="宋体"/>
          <w:szCs w:val="21"/>
          <w:highlight w:val="none"/>
        </w:rPr>
        <w:t>（北京时间）。逾期，“苏采云”系统将拒绝接收上传响应文件电子文档。</w:t>
      </w:r>
    </w:p>
    <w:p w14:paraId="3E6F7B93">
      <w:pPr>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2.</w:t>
      </w:r>
      <w:r>
        <w:rPr>
          <w:rFonts w:hint="eastAsia" w:ascii="宋体" w:hAnsi="宋体" w:cs="宋体"/>
          <w:szCs w:val="21"/>
          <w:highlight w:val="none"/>
          <w:lang w:eastAsia="en-US"/>
        </w:rPr>
        <w:t>地点：“苏采云”系统（网址：http://jszfcg.jsczt.cn/）</w:t>
      </w:r>
    </w:p>
    <w:p w14:paraId="55E482C1">
      <w:pPr>
        <w:spacing w:line="360" w:lineRule="auto"/>
        <w:rPr>
          <w:rFonts w:hint="eastAsia" w:ascii="宋体" w:hAnsi="宋体" w:cs="宋体"/>
          <w:b/>
          <w:bCs/>
          <w:szCs w:val="21"/>
          <w:highlight w:val="none"/>
        </w:rPr>
      </w:pPr>
      <w:r>
        <w:rPr>
          <w:rFonts w:hint="eastAsia" w:ascii="宋体" w:hAnsi="宋体" w:cs="宋体"/>
          <w:b/>
          <w:bCs/>
          <w:szCs w:val="21"/>
          <w:highlight w:val="none"/>
        </w:rPr>
        <w:t>五、开启（</w:t>
      </w:r>
      <w:r>
        <w:rPr>
          <w:rFonts w:hint="eastAsia" w:ascii="宋体" w:hAnsi="宋体" w:cs="宋体"/>
          <w:b/>
          <w:bCs/>
          <w:i/>
          <w:szCs w:val="21"/>
          <w:highlight w:val="none"/>
        </w:rPr>
        <w:t>竞争性磋商方式必须填写</w:t>
      </w:r>
      <w:r>
        <w:rPr>
          <w:rFonts w:hint="eastAsia" w:ascii="宋体" w:hAnsi="宋体" w:cs="宋体"/>
          <w:b/>
          <w:bCs/>
          <w:szCs w:val="21"/>
          <w:highlight w:val="none"/>
        </w:rPr>
        <w:t>）</w:t>
      </w:r>
      <w:bookmarkEnd w:id="69"/>
      <w:bookmarkEnd w:id="70"/>
      <w:bookmarkEnd w:id="71"/>
      <w:bookmarkEnd w:id="72"/>
    </w:p>
    <w:p w14:paraId="3A790379">
      <w:pPr>
        <w:spacing w:line="360" w:lineRule="auto"/>
        <w:ind w:firstLine="420" w:firstLineChars="200"/>
        <w:rPr>
          <w:rFonts w:hint="eastAsia" w:ascii="宋体" w:hAnsi="宋体" w:cs="宋体"/>
          <w:szCs w:val="21"/>
          <w:highlight w:val="none"/>
        </w:rPr>
      </w:pPr>
      <w:bookmarkStart w:id="73" w:name="_Toc28359094"/>
      <w:bookmarkStart w:id="74" w:name="_Toc35393803"/>
      <w:bookmarkStart w:id="75" w:name="_Toc35393634"/>
      <w:bookmarkStart w:id="76" w:name="_Toc28359017"/>
      <w:r>
        <w:rPr>
          <w:rFonts w:hint="eastAsia" w:ascii="宋体" w:hAnsi="宋体" w:cs="宋体"/>
          <w:szCs w:val="21"/>
          <w:highlight w:val="none"/>
        </w:rPr>
        <w:t>1.时间：</w:t>
      </w:r>
      <w:r>
        <w:rPr>
          <w:rFonts w:hint="eastAsia" w:ascii="宋体" w:hAnsi="宋体" w:cs="宋体"/>
          <w:color w:val="FF0000"/>
          <w:szCs w:val="21"/>
          <w:highlight w:val="none"/>
          <w:lang w:val="en-US" w:eastAsia="zh-CN"/>
        </w:rPr>
        <w:t>2026年8月31日09时00分</w:t>
      </w:r>
      <w:r>
        <w:rPr>
          <w:rFonts w:hint="eastAsia" w:ascii="宋体" w:hAnsi="宋体" w:cs="宋体"/>
          <w:szCs w:val="21"/>
          <w:highlight w:val="none"/>
        </w:rPr>
        <w:t>（北京时间）。</w:t>
      </w:r>
    </w:p>
    <w:p w14:paraId="4F871F3C">
      <w:pPr>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2.地点：</w:t>
      </w:r>
      <w:r>
        <w:rPr>
          <w:rFonts w:hint="eastAsia" w:ascii="宋体" w:hAnsi="宋体" w:cs="宋体"/>
          <w:szCs w:val="21"/>
          <w:highlight w:val="none"/>
          <w:lang w:eastAsia="en-US"/>
        </w:rPr>
        <w:t>“苏采云”系统（网址：http://jszfcg.jsczt.cn/）“开标大厅”</w:t>
      </w:r>
    </w:p>
    <w:p w14:paraId="0DC61851">
      <w:pPr>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3.响应文件的解密：开标当天各供应商及时登录不见面开标大厅，响应文件递交截止时间后，采购人将在系统内公布供应商名单，然后通过开标会议区发出响应文件解密的指令，投标供应商在开标室按规定时间自行实施远程解密，</w:t>
      </w:r>
      <w:r>
        <w:rPr>
          <w:rFonts w:hint="eastAsia" w:ascii="宋体" w:hAnsi="宋体" w:cs="宋体"/>
          <w:b/>
          <w:bCs/>
          <w:szCs w:val="21"/>
          <w:highlight w:val="none"/>
        </w:rPr>
        <w:t>投标供应商解密限定在开标后30分钟之内完成</w:t>
      </w:r>
      <w:r>
        <w:rPr>
          <w:rFonts w:hint="eastAsia" w:ascii="宋体" w:hAnsi="宋体" w:cs="宋体"/>
          <w:szCs w:val="21"/>
          <w:highlight w:val="none"/>
        </w:rPr>
        <w:t>。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或采购代理机构）原因或网上招投标平台发生故障，导致无法按时完成响应文件解密或开、评标工作无法进行的，可根据实际情况相应延迟解密时间或调整开、评标时间。</w:t>
      </w:r>
    </w:p>
    <w:p w14:paraId="039F94E6">
      <w:pPr>
        <w:spacing w:line="360" w:lineRule="auto"/>
        <w:ind w:firstLine="422" w:firstLineChars="200"/>
        <w:rPr>
          <w:rFonts w:hint="eastAsia" w:ascii="宋体" w:hAnsi="宋体" w:cs="宋体"/>
          <w:szCs w:val="21"/>
          <w:highlight w:val="none"/>
        </w:rPr>
      </w:pPr>
      <w:r>
        <w:rPr>
          <w:rFonts w:hint="eastAsia" w:ascii="宋体" w:hAnsi="宋体" w:cs="宋体"/>
          <w:b/>
          <w:bCs/>
          <w:szCs w:val="21"/>
          <w:highlight w:val="none"/>
        </w:rPr>
        <w:t>注：</w:t>
      </w:r>
      <w:r>
        <w:rPr>
          <w:rFonts w:hint="eastAsia" w:ascii="宋体" w:hAnsi="宋体" w:cs="宋体"/>
          <w:szCs w:val="21"/>
          <w:highlight w:val="none"/>
        </w:rPr>
        <w:t>各供应商请关注开标大厅交流区，在开标结束后，请勿离开开标大厅。采购人或采购代理机构通知最后报价填报后，所有的响应供应商须在15分钟内填写并提交最后报价，未在规定时间内提交最后报价的，视作无效响应处理。</w:t>
      </w:r>
    </w:p>
    <w:p w14:paraId="1C1FFB3F">
      <w:pPr>
        <w:spacing w:line="360" w:lineRule="auto"/>
        <w:rPr>
          <w:rFonts w:hint="eastAsia" w:ascii="宋体" w:hAnsi="宋体" w:cs="宋体"/>
          <w:b/>
          <w:bCs/>
          <w:szCs w:val="21"/>
          <w:highlight w:val="none"/>
        </w:rPr>
      </w:pPr>
      <w:r>
        <w:rPr>
          <w:rFonts w:hint="eastAsia" w:ascii="宋体" w:hAnsi="宋体" w:cs="宋体"/>
          <w:b/>
          <w:bCs/>
          <w:szCs w:val="21"/>
          <w:highlight w:val="none"/>
        </w:rPr>
        <w:t>六、公告期限</w:t>
      </w:r>
      <w:bookmarkEnd w:id="73"/>
      <w:bookmarkEnd w:id="74"/>
      <w:bookmarkEnd w:id="75"/>
      <w:bookmarkEnd w:id="76"/>
    </w:p>
    <w:p w14:paraId="11F66280">
      <w:pPr>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自本公告发布之日起3个工作日。</w:t>
      </w:r>
      <w:bookmarkStart w:id="77" w:name="_Toc35393635"/>
      <w:bookmarkStart w:id="78" w:name="_Toc35393804"/>
    </w:p>
    <w:p w14:paraId="342D8E56">
      <w:pPr>
        <w:numPr>
          <w:ilvl w:val="0"/>
          <w:numId w:val="1"/>
        </w:numPr>
        <w:spacing w:line="360" w:lineRule="auto"/>
        <w:rPr>
          <w:rFonts w:hint="eastAsia" w:ascii="宋体" w:hAnsi="宋体" w:cs="宋体"/>
          <w:b/>
          <w:bCs/>
          <w:szCs w:val="21"/>
          <w:highlight w:val="none"/>
        </w:rPr>
      </w:pPr>
      <w:r>
        <w:rPr>
          <w:rFonts w:hint="eastAsia" w:ascii="宋体" w:hAnsi="宋体" w:cs="宋体"/>
          <w:b/>
          <w:bCs/>
          <w:szCs w:val="21"/>
          <w:highlight w:val="none"/>
        </w:rPr>
        <w:t>其他补充事宜</w:t>
      </w:r>
      <w:bookmarkEnd w:id="77"/>
      <w:bookmarkEnd w:id="78"/>
      <w:bookmarkStart w:id="79" w:name="_Toc35393805"/>
      <w:bookmarkStart w:id="80" w:name="_Toc28359018"/>
      <w:bookmarkStart w:id="81" w:name="_Toc28359095"/>
      <w:bookmarkStart w:id="82" w:name="_Toc35393636"/>
    </w:p>
    <w:p w14:paraId="52BA37CE">
      <w:pPr>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 xml:space="preserve">1.项目磋商活动模式：不见面远程磋商模式，供应商在各自地点通过不见面交易系统参加开标会。 </w:t>
      </w:r>
    </w:p>
    <w:p w14:paraId="4CFBCD60">
      <w:pPr>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2.供应商应依照规定提交各类声明函、承诺函，不再同时提供原件备查或提供有关部门出具的相关证明文件。但成交供应商，应做好提交声明函、承诺函等相应原件的核查准备；核查后发现虚假或违背承诺的，依照相关法律法规规定处理。</w:t>
      </w:r>
    </w:p>
    <w:p w14:paraId="7302B928">
      <w:pPr>
        <w:spacing w:line="360" w:lineRule="auto"/>
        <w:ind w:firstLine="422" w:firstLineChars="200"/>
        <w:rPr>
          <w:rFonts w:hint="eastAsia" w:ascii="宋体" w:hAnsi="宋体" w:cs="宋体"/>
          <w:b/>
          <w:bCs/>
          <w:szCs w:val="21"/>
          <w:highlight w:val="none"/>
        </w:rPr>
      </w:pPr>
      <w:r>
        <w:rPr>
          <w:rFonts w:hint="eastAsia" w:ascii="宋体" w:hAnsi="宋体" w:cs="宋体"/>
          <w:b/>
          <w:bCs/>
          <w:szCs w:val="21"/>
          <w:highlight w:val="none"/>
        </w:rPr>
        <w:t>3.本项目按照政府采购法律制度规定，在磋商中任何一方不得透露与磋商有关的其他供应商的技术资料、价格和其他信息，因此不公开唱标。最终成交供应商名称和成交金额可通过江苏省政府采购网站发布成交结果公告获得。</w:t>
      </w:r>
    </w:p>
    <w:p w14:paraId="4A863934">
      <w:pPr>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4.相关法律法规规定：</w:t>
      </w:r>
    </w:p>
    <w:p w14:paraId="1A4D5B88">
      <w:pPr>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政府采购竞争性磋商采购方式管理暂行办法》（财库〔2014〕214号）第二十一条：磋商文件能够详细列明采购标的的技术、服务要求的，磋商结束后，磋商小组应当要求所有实质性响应的供应商在规定时间内提交最后报价，提交最后报价的供应商不得少于3家。</w:t>
      </w:r>
      <w:r>
        <w:rPr>
          <w:rFonts w:hint="eastAsia" w:ascii="宋体" w:hAnsi="宋体" w:cs="宋体"/>
          <w:b/>
          <w:bCs/>
          <w:szCs w:val="21"/>
          <w:highlight w:val="none"/>
        </w:rPr>
        <w:t>符合《政府采购竞争性磋商采购方式管理办法》第三条第四项及《财政部关于竞争性磋商采购方式管理暂行办法有关问题的补充通知》（财库〔2015〕124号）规定情形的，提交最后报价的供应商可以为2家。</w:t>
      </w:r>
    </w:p>
    <w:p w14:paraId="24BD2981">
      <w:pPr>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政府采购竞争性磋商采购方式管理暂行办法》（财库〔2014〕214号）第二十三条：经磋商确定最终采购需求和提交最后报价的供应商后，由磋商小组采用综合评分法对提交最后报价的供应商的响应文件和最后报价进行综合评分。</w:t>
      </w:r>
    </w:p>
    <w:p w14:paraId="07EDFD14">
      <w:pPr>
        <w:spacing w:line="360" w:lineRule="auto"/>
        <w:ind w:firstLine="422" w:firstLineChars="200"/>
        <w:rPr>
          <w:rFonts w:hint="eastAsia" w:ascii="宋体" w:hAnsi="宋体" w:cs="宋体"/>
          <w:szCs w:val="21"/>
          <w:highlight w:val="none"/>
        </w:rPr>
      </w:pPr>
      <w:r>
        <w:rPr>
          <w:rFonts w:hint="eastAsia" w:ascii="宋体" w:hAnsi="宋体" w:cs="宋体"/>
          <w:b/>
          <w:bCs/>
          <w:szCs w:val="21"/>
          <w:highlight w:val="none"/>
        </w:rPr>
        <w:t>5.本项目为固定单价合同</w:t>
      </w:r>
      <w:r>
        <w:rPr>
          <w:rFonts w:hint="eastAsia" w:ascii="宋体" w:hAnsi="宋体" w:cs="宋体"/>
          <w:szCs w:val="21"/>
          <w:highlight w:val="none"/>
        </w:rPr>
        <w:t>，包含但不限于本项目服务过程的检测服务人员费用（人员工资福利保险费、检测服务费、技术咨询服务费）、差旅费、食宿费、运营管理费、税金，以及一切不可预见的车辆费用、风险费用、利润等。供应商应充分考虑本项目合同实施期间可能发生的费用，并承担由此而带来的风险。</w:t>
      </w:r>
    </w:p>
    <w:p w14:paraId="216AD0AE">
      <w:pPr>
        <w:keepNext w:val="0"/>
        <w:keepLines w:val="0"/>
        <w:pageBreakBefore w:val="0"/>
        <w:widowControl w:val="0"/>
        <w:suppressLineNumbers w:val="0"/>
        <w:kinsoku/>
        <w:wordWrap/>
        <w:topLinePunct w:val="0"/>
        <w:bidi w:val="0"/>
        <w:snapToGrid w:val="0"/>
        <w:spacing w:before="0" w:beforeAutospacing="0" w:after="0" w:afterAutospacing="0" w:line="360" w:lineRule="auto"/>
        <w:ind w:left="0" w:right="0" w:firstLine="420" w:firstLineChars="200"/>
        <w:jc w:val="both"/>
        <w:textAlignment w:val="baseline"/>
        <w:rPr>
          <w:rFonts w:hint="eastAsia" w:ascii="宋体" w:hAnsi="宋体" w:eastAsia="宋体" w:cs="宋体"/>
          <w:b/>
          <w:bCs/>
          <w:kern w:val="2"/>
          <w:sz w:val="21"/>
          <w:szCs w:val="24"/>
          <w:highlight w:val="none"/>
          <w:vertAlign w:val="baseline"/>
          <w:lang w:val="en-US" w:eastAsia="zh-CN" w:bidi="ar"/>
        </w:rPr>
      </w:pPr>
      <w:r>
        <w:rPr>
          <w:rFonts w:hint="eastAsia" w:ascii="宋体" w:hAnsi="宋体" w:cs="宋体"/>
          <w:szCs w:val="21"/>
          <w:highlight w:val="none"/>
        </w:rPr>
        <w:t>6.</w:t>
      </w:r>
      <w:r>
        <w:rPr>
          <w:rFonts w:hint="eastAsia" w:ascii="宋体" w:hAnsi="宋体" w:eastAsia="宋体" w:cs="宋体"/>
          <w:b/>
          <w:bCs/>
          <w:kern w:val="2"/>
          <w:sz w:val="21"/>
          <w:szCs w:val="24"/>
          <w:highlight w:val="none"/>
          <w:vertAlign w:val="baseline"/>
          <w:lang w:val="en-US" w:eastAsia="zh-CN" w:bidi="ar"/>
        </w:rPr>
        <w:t>评审中出现下列情形之一的，评审委员会应当启动异常低价投标（响应）审查程序：</w:t>
      </w:r>
    </w:p>
    <w:p w14:paraId="4917C1A2">
      <w:pPr>
        <w:keepNext w:val="0"/>
        <w:keepLines w:val="0"/>
        <w:pageBreakBefore w:val="0"/>
        <w:widowControl w:val="0"/>
        <w:suppressLineNumbers w:val="0"/>
        <w:kinsoku/>
        <w:wordWrap/>
        <w:topLinePunct w:val="0"/>
        <w:bidi w:val="0"/>
        <w:snapToGrid w:val="0"/>
        <w:spacing w:before="0" w:beforeAutospacing="0" w:after="0" w:afterAutospacing="0" w:line="360" w:lineRule="auto"/>
        <w:ind w:left="0" w:right="0" w:firstLine="420" w:firstLineChars="200"/>
        <w:jc w:val="both"/>
        <w:textAlignment w:val="baseline"/>
        <w:rPr>
          <w:rFonts w:hint="eastAsia" w:ascii="宋体" w:hAnsi="宋体" w:eastAsia="宋体" w:cs="宋体"/>
          <w:kern w:val="2"/>
          <w:sz w:val="21"/>
          <w:szCs w:val="24"/>
          <w:highlight w:val="none"/>
          <w:vertAlign w:val="baseline"/>
          <w:lang w:val="en-US" w:eastAsia="zh-CN" w:bidi="ar"/>
        </w:rPr>
      </w:pPr>
      <w:r>
        <w:rPr>
          <w:rFonts w:hint="eastAsia" w:ascii="宋体" w:hAnsi="宋体" w:eastAsia="宋体" w:cs="宋体"/>
          <w:kern w:val="2"/>
          <w:sz w:val="21"/>
          <w:szCs w:val="24"/>
          <w:highlight w:val="none"/>
          <w:vertAlign w:val="baseline"/>
          <w:lang w:val="en-US" w:eastAsia="zh-CN" w:bidi="ar"/>
        </w:rPr>
        <w:t xml:space="preserve">（1）评审过程中出现下列情形之一的，评审委员会应当启动异常低价投标（响应）审查程序： </w:t>
      </w:r>
    </w:p>
    <w:p w14:paraId="43EEDAA0">
      <w:pPr>
        <w:keepNext w:val="0"/>
        <w:keepLines w:val="0"/>
        <w:pageBreakBefore w:val="0"/>
        <w:widowControl w:val="0"/>
        <w:suppressLineNumbers w:val="0"/>
        <w:kinsoku/>
        <w:wordWrap/>
        <w:topLinePunct w:val="0"/>
        <w:bidi w:val="0"/>
        <w:snapToGrid w:val="0"/>
        <w:spacing w:before="0" w:beforeAutospacing="0" w:after="0" w:afterAutospacing="0" w:line="360" w:lineRule="auto"/>
        <w:ind w:left="0" w:right="0" w:firstLine="420" w:firstLineChars="200"/>
        <w:jc w:val="both"/>
        <w:textAlignment w:val="baseline"/>
        <w:rPr>
          <w:rFonts w:hint="eastAsia" w:ascii="宋体" w:hAnsi="宋体" w:eastAsia="宋体" w:cs="宋体"/>
          <w:kern w:val="2"/>
          <w:sz w:val="21"/>
          <w:szCs w:val="24"/>
          <w:highlight w:val="none"/>
          <w:vertAlign w:val="baseline"/>
          <w:lang w:val="en-US" w:eastAsia="zh-CN" w:bidi="ar"/>
        </w:rPr>
      </w:pPr>
      <w:r>
        <w:rPr>
          <w:rFonts w:hint="eastAsia" w:ascii="宋体" w:hAnsi="宋体" w:eastAsia="宋体" w:cs="宋体"/>
          <w:kern w:val="2"/>
          <w:sz w:val="21"/>
          <w:szCs w:val="24"/>
          <w:highlight w:val="none"/>
          <w:vertAlign w:val="baseline"/>
          <w:lang w:val="en-US" w:eastAsia="zh-CN" w:bidi="ar"/>
        </w:rPr>
        <w:t>①投标（响应）报价低于全部通过符合性审查供应商投标（响应）报价平均值</w:t>
      </w:r>
      <w:r>
        <w:rPr>
          <w:rFonts w:hint="eastAsia" w:ascii="宋体" w:hAnsi="宋体" w:cs="宋体"/>
          <w:kern w:val="2"/>
          <w:sz w:val="21"/>
          <w:szCs w:val="24"/>
          <w:highlight w:val="none"/>
          <w:vertAlign w:val="baseline"/>
          <w:lang w:val="en-US" w:eastAsia="zh-CN" w:bidi="ar"/>
        </w:rPr>
        <w:t>50</w:t>
      </w:r>
      <w:r>
        <w:rPr>
          <w:rFonts w:hint="eastAsia" w:ascii="宋体" w:hAnsi="宋体" w:eastAsia="宋体" w:cs="宋体"/>
          <w:kern w:val="2"/>
          <w:sz w:val="21"/>
          <w:szCs w:val="24"/>
          <w:highlight w:val="none"/>
          <w:vertAlign w:val="baseline"/>
          <w:lang w:val="en-US" w:eastAsia="zh-CN" w:bidi="ar"/>
        </w:rPr>
        <w:t>%的，即投标（响应）报价〈全部通过符合性审查供应商投标（响应）报价平均值×</w:t>
      </w:r>
      <w:r>
        <w:rPr>
          <w:rFonts w:hint="eastAsia" w:ascii="宋体" w:hAnsi="宋体" w:cs="宋体"/>
          <w:kern w:val="2"/>
          <w:sz w:val="21"/>
          <w:szCs w:val="24"/>
          <w:highlight w:val="none"/>
          <w:vertAlign w:val="baseline"/>
          <w:lang w:val="en-US" w:eastAsia="zh-CN" w:bidi="ar"/>
        </w:rPr>
        <w:t>50</w:t>
      </w:r>
      <w:r>
        <w:rPr>
          <w:rFonts w:hint="eastAsia" w:ascii="宋体" w:hAnsi="宋体" w:eastAsia="宋体" w:cs="宋体"/>
          <w:kern w:val="2"/>
          <w:sz w:val="21"/>
          <w:szCs w:val="24"/>
          <w:highlight w:val="none"/>
          <w:vertAlign w:val="baseline"/>
          <w:lang w:val="en-US" w:eastAsia="zh-CN" w:bidi="ar"/>
        </w:rPr>
        <w:t>%；</w:t>
      </w:r>
    </w:p>
    <w:p w14:paraId="4C9567AF">
      <w:pPr>
        <w:keepNext w:val="0"/>
        <w:keepLines w:val="0"/>
        <w:pageBreakBefore w:val="0"/>
        <w:widowControl w:val="0"/>
        <w:suppressLineNumbers w:val="0"/>
        <w:kinsoku/>
        <w:wordWrap/>
        <w:topLinePunct w:val="0"/>
        <w:bidi w:val="0"/>
        <w:snapToGrid w:val="0"/>
        <w:spacing w:before="0" w:beforeAutospacing="0" w:after="0" w:afterAutospacing="0" w:line="360" w:lineRule="auto"/>
        <w:ind w:left="0" w:right="0" w:firstLine="420" w:firstLineChars="200"/>
        <w:jc w:val="both"/>
        <w:textAlignment w:val="baseline"/>
        <w:rPr>
          <w:rFonts w:hint="eastAsia" w:ascii="宋体" w:hAnsi="宋体" w:eastAsia="宋体" w:cs="宋体"/>
          <w:kern w:val="2"/>
          <w:sz w:val="21"/>
          <w:szCs w:val="24"/>
          <w:highlight w:val="none"/>
          <w:vertAlign w:val="baseline"/>
          <w:lang w:val="en-US" w:eastAsia="zh-CN" w:bidi="ar"/>
        </w:rPr>
      </w:pPr>
      <w:r>
        <w:rPr>
          <w:rFonts w:hint="eastAsia" w:ascii="宋体" w:hAnsi="宋体" w:eastAsia="宋体" w:cs="宋体"/>
          <w:kern w:val="2"/>
          <w:sz w:val="21"/>
          <w:szCs w:val="24"/>
          <w:highlight w:val="none"/>
          <w:vertAlign w:val="baseline"/>
          <w:lang w:val="en-US" w:eastAsia="zh-CN" w:bidi="ar"/>
        </w:rPr>
        <w:t>②投标（响应）报价低于通过符合性审查的次低报价供应商投标（响应）报价</w:t>
      </w:r>
      <w:r>
        <w:rPr>
          <w:rFonts w:hint="eastAsia" w:ascii="宋体" w:hAnsi="宋体" w:cs="宋体"/>
          <w:kern w:val="2"/>
          <w:sz w:val="21"/>
          <w:szCs w:val="24"/>
          <w:highlight w:val="none"/>
          <w:vertAlign w:val="baseline"/>
          <w:lang w:val="en-US" w:eastAsia="zh-CN" w:bidi="ar"/>
        </w:rPr>
        <w:t>50</w:t>
      </w:r>
      <w:r>
        <w:rPr>
          <w:rFonts w:hint="eastAsia" w:ascii="宋体" w:hAnsi="宋体" w:eastAsia="宋体" w:cs="宋体"/>
          <w:kern w:val="2"/>
          <w:sz w:val="21"/>
          <w:szCs w:val="24"/>
          <w:highlight w:val="none"/>
          <w:vertAlign w:val="baseline"/>
          <w:lang w:val="en-US" w:eastAsia="zh-CN" w:bidi="ar"/>
        </w:rPr>
        <w:t>%的，即投标（响应）报价〈通过符合性审查的次低报价供应商投标（响应）报价×</w:t>
      </w:r>
      <w:r>
        <w:rPr>
          <w:rFonts w:hint="eastAsia" w:ascii="宋体" w:hAnsi="宋体" w:cs="宋体"/>
          <w:kern w:val="2"/>
          <w:sz w:val="21"/>
          <w:szCs w:val="24"/>
          <w:highlight w:val="none"/>
          <w:vertAlign w:val="baseline"/>
          <w:lang w:val="en-US" w:eastAsia="zh-CN" w:bidi="ar"/>
        </w:rPr>
        <w:t>50</w:t>
      </w:r>
      <w:r>
        <w:rPr>
          <w:rFonts w:hint="eastAsia" w:ascii="宋体" w:hAnsi="宋体" w:eastAsia="宋体" w:cs="宋体"/>
          <w:kern w:val="2"/>
          <w:sz w:val="21"/>
          <w:szCs w:val="24"/>
          <w:highlight w:val="none"/>
          <w:vertAlign w:val="baseline"/>
          <w:lang w:val="en-US" w:eastAsia="zh-CN" w:bidi="ar"/>
        </w:rPr>
        <w:t>%；</w:t>
      </w:r>
    </w:p>
    <w:p w14:paraId="29ADE811">
      <w:pPr>
        <w:keepNext w:val="0"/>
        <w:keepLines w:val="0"/>
        <w:pageBreakBefore w:val="0"/>
        <w:widowControl w:val="0"/>
        <w:suppressLineNumbers w:val="0"/>
        <w:kinsoku/>
        <w:wordWrap/>
        <w:topLinePunct w:val="0"/>
        <w:bidi w:val="0"/>
        <w:snapToGrid w:val="0"/>
        <w:spacing w:before="0" w:beforeAutospacing="0" w:after="0" w:afterAutospacing="0" w:line="360" w:lineRule="auto"/>
        <w:ind w:left="0" w:right="0" w:firstLine="420" w:firstLineChars="200"/>
        <w:jc w:val="both"/>
        <w:textAlignment w:val="baseline"/>
        <w:rPr>
          <w:rFonts w:hint="eastAsia" w:ascii="宋体" w:hAnsi="宋体" w:eastAsia="宋体" w:cs="宋体"/>
          <w:kern w:val="2"/>
          <w:sz w:val="21"/>
          <w:szCs w:val="24"/>
          <w:highlight w:val="none"/>
          <w:vertAlign w:val="baseline"/>
          <w:lang w:val="en-US" w:eastAsia="zh-CN" w:bidi="ar"/>
        </w:rPr>
      </w:pPr>
      <w:r>
        <w:rPr>
          <w:rFonts w:hint="eastAsia" w:ascii="宋体" w:hAnsi="宋体" w:eastAsia="宋体" w:cs="宋体"/>
          <w:kern w:val="2"/>
          <w:sz w:val="21"/>
          <w:szCs w:val="24"/>
          <w:highlight w:val="none"/>
          <w:vertAlign w:val="baseline"/>
          <w:lang w:val="en-US" w:eastAsia="zh-CN" w:bidi="ar"/>
        </w:rPr>
        <w:t>③投标（响应）报价低于采购项目最高限价</w:t>
      </w:r>
      <w:r>
        <w:rPr>
          <w:rFonts w:hint="eastAsia" w:ascii="宋体" w:hAnsi="宋体" w:cs="宋体"/>
          <w:kern w:val="2"/>
          <w:sz w:val="21"/>
          <w:szCs w:val="24"/>
          <w:highlight w:val="none"/>
          <w:vertAlign w:val="baseline"/>
          <w:lang w:val="en-US" w:eastAsia="zh-CN" w:bidi="ar"/>
        </w:rPr>
        <w:t>45</w:t>
      </w:r>
      <w:r>
        <w:rPr>
          <w:rFonts w:hint="eastAsia" w:ascii="宋体" w:hAnsi="宋体" w:eastAsia="宋体" w:cs="宋体"/>
          <w:kern w:val="2"/>
          <w:sz w:val="21"/>
          <w:szCs w:val="24"/>
          <w:highlight w:val="none"/>
          <w:vertAlign w:val="baseline"/>
          <w:lang w:val="en-US" w:eastAsia="zh-CN" w:bidi="ar"/>
        </w:rPr>
        <w:t>%的，即投标（响应）报价〈采购项目最高限价 ×</w:t>
      </w:r>
      <w:r>
        <w:rPr>
          <w:rFonts w:hint="eastAsia" w:ascii="宋体" w:hAnsi="宋体" w:cs="宋体"/>
          <w:kern w:val="2"/>
          <w:sz w:val="21"/>
          <w:szCs w:val="24"/>
          <w:highlight w:val="none"/>
          <w:vertAlign w:val="baseline"/>
          <w:lang w:val="en-US" w:eastAsia="zh-CN" w:bidi="ar"/>
        </w:rPr>
        <w:t>50</w:t>
      </w:r>
      <w:r>
        <w:rPr>
          <w:rFonts w:hint="eastAsia" w:ascii="宋体" w:hAnsi="宋体" w:eastAsia="宋体" w:cs="宋体"/>
          <w:kern w:val="2"/>
          <w:sz w:val="21"/>
          <w:szCs w:val="24"/>
          <w:highlight w:val="none"/>
          <w:vertAlign w:val="baseline"/>
          <w:lang w:val="en-US" w:eastAsia="zh-CN" w:bidi="ar"/>
        </w:rPr>
        <w:t>%；</w:t>
      </w:r>
    </w:p>
    <w:p w14:paraId="10C25C1B">
      <w:pPr>
        <w:keepNext w:val="0"/>
        <w:keepLines w:val="0"/>
        <w:pageBreakBefore w:val="0"/>
        <w:widowControl w:val="0"/>
        <w:suppressLineNumbers w:val="0"/>
        <w:kinsoku/>
        <w:wordWrap/>
        <w:topLinePunct w:val="0"/>
        <w:bidi w:val="0"/>
        <w:snapToGrid w:val="0"/>
        <w:spacing w:before="0" w:beforeAutospacing="0" w:after="0" w:afterAutospacing="0" w:line="360" w:lineRule="auto"/>
        <w:ind w:left="0" w:right="0" w:firstLine="420" w:firstLineChars="200"/>
        <w:jc w:val="both"/>
        <w:textAlignment w:val="baseline"/>
        <w:rPr>
          <w:rFonts w:hint="eastAsia" w:ascii="宋体" w:hAnsi="宋体" w:eastAsia="宋体" w:cs="宋体"/>
          <w:kern w:val="2"/>
          <w:sz w:val="21"/>
          <w:szCs w:val="24"/>
          <w:highlight w:val="none"/>
          <w:vertAlign w:val="baseline"/>
          <w:lang w:val="en-US" w:eastAsia="zh-CN" w:bidi="ar"/>
        </w:rPr>
      </w:pPr>
      <w:r>
        <w:rPr>
          <w:rFonts w:hint="eastAsia" w:ascii="宋体" w:hAnsi="宋体" w:eastAsia="宋体" w:cs="宋体"/>
          <w:kern w:val="2"/>
          <w:sz w:val="21"/>
          <w:szCs w:val="24"/>
          <w:highlight w:val="none"/>
          <w:vertAlign w:val="baseline"/>
          <w:lang w:val="en-US" w:eastAsia="zh-CN" w:bidi="ar"/>
        </w:rPr>
        <w:t>④评审委员会基于专业判断，认为供应商报价过低，有可能影响产品质量或者不能诚信履约的其他情形。</w:t>
      </w:r>
    </w:p>
    <w:p w14:paraId="22DEAD09">
      <w:pPr>
        <w:keepNext w:val="0"/>
        <w:keepLines w:val="0"/>
        <w:pageBreakBefore w:val="0"/>
        <w:widowControl w:val="0"/>
        <w:suppressLineNumbers w:val="0"/>
        <w:kinsoku/>
        <w:wordWrap/>
        <w:topLinePunct w:val="0"/>
        <w:bidi w:val="0"/>
        <w:snapToGrid w:val="0"/>
        <w:spacing w:before="0" w:beforeAutospacing="0" w:after="0" w:afterAutospacing="0" w:line="360" w:lineRule="auto"/>
        <w:ind w:left="0" w:right="0" w:firstLine="420" w:firstLineChars="200"/>
        <w:jc w:val="both"/>
        <w:textAlignment w:val="baseline"/>
        <w:rPr>
          <w:rFonts w:hint="eastAsia" w:ascii="宋体" w:hAnsi="宋体" w:eastAsia="宋体" w:cs="宋体"/>
          <w:kern w:val="2"/>
          <w:sz w:val="21"/>
          <w:szCs w:val="24"/>
          <w:highlight w:val="none"/>
          <w:vertAlign w:val="baseline"/>
          <w:lang w:val="en-US" w:eastAsia="zh-CN" w:bidi="ar"/>
        </w:rPr>
      </w:pPr>
      <w:r>
        <w:rPr>
          <w:rFonts w:hint="eastAsia" w:ascii="宋体" w:hAnsi="宋体" w:eastAsia="宋体" w:cs="宋体"/>
          <w:kern w:val="2"/>
          <w:sz w:val="21"/>
          <w:szCs w:val="24"/>
          <w:highlight w:val="none"/>
          <w:vertAlign w:val="baseline"/>
          <w:lang w:val="en-US" w:eastAsia="zh-CN" w:bidi="ar"/>
        </w:rPr>
        <w:t>（2）评审委员会启动异常低价投标(响应)审查后，属于前述第①项至第④项情形的，应当要求相关供应商在评审现场合理的时间内对投标(响应)价格作出解释，提供项目具体成本测算等与报价合理性相关的书面说明及必要的证明材料，证明材料包括但不限于人工成本（银行工资发放流水记录）、施工器具使用费（采购原始发票或租赁费支付发票）、企业管理费测算等，给予相关供应商的合理时间一般不少于30分钟。其中，属于第③项情形，供应商已随投标(响应)文件一并提交相关书面说明及必要的证明材料的，在评审现场可不再重复提交。</w:t>
      </w:r>
    </w:p>
    <w:p w14:paraId="3DB1765F">
      <w:pPr>
        <w:keepNext w:val="0"/>
        <w:keepLines w:val="0"/>
        <w:pageBreakBefore w:val="0"/>
        <w:widowControl w:val="0"/>
        <w:suppressLineNumbers w:val="0"/>
        <w:kinsoku/>
        <w:wordWrap/>
        <w:topLinePunct w:val="0"/>
        <w:bidi w:val="0"/>
        <w:snapToGrid w:val="0"/>
        <w:spacing w:before="0" w:beforeAutospacing="0" w:after="0" w:afterAutospacing="0" w:line="360" w:lineRule="auto"/>
        <w:ind w:left="0" w:right="0" w:firstLine="420" w:firstLineChars="200"/>
        <w:jc w:val="both"/>
        <w:textAlignment w:val="baseline"/>
        <w:rPr>
          <w:rFonts w:hint="eastAsia" w:ascii="宋体" w:hAnsi="宋体" w:eastAsia="宋体" w:cs="宋体"/>
          <w:kern w:val="2"/>
          <w:sz w:val="21"/>
          <w:szCs w:val="24"/>
          <w:highlight w:val="none"/>
          <w:vertAlign w:val="baseline"/>
          <w:lang w:val="en-US" w:eastAsia="zh-CN" w:bidi="ar"/>
        </w:rPr>
      </w:pPr>
      <w:r>
        <w:rPr>
          <w:rFonts w:hint="eastAsia" w:ascii="宋体" w:hAnsi="宋体" w:eastAsia="宋体" w:cs="宋体"/>
          <w:kern w:val="2"/>
          <w:sz w:val="21"/>
          <w:szCs w:val="24"/>
          <w:highlight w:val="none"/>
          <w:vertAlign w:val="baseline"/>
          <w:lang w:val="en-US" w:eastAsia="zh-CN" w:bidi="ar"/>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0CCE177D">
      <w:pPr>
        <w:keepNext w:val="0"/>
        <w:keepLines w:val="0"/>
        <w:pageBreakBefore w:val="0"/>
        <w:widowControl w:val="0"/>
        <w:suppressLineNumbers w:val="0"/>
        <w:kinsoku/>
        <w:wordWrap/>
        <w:topLinePunct w:val="0"/>
        <w:bidi w:val="0"/>
        <w:snapToGrid w:val="0"/>
        <w:spacing w:before="0" w:beforeAutospacing="0" w:after="0" w:afterAutospacing="0" w:line="360" w:lineRule="auto"/>
        <w:ind w:left="0" w:right="0" w:firstLine="420" w:firstLineChars="200"/>
        <w:jc w:val="both"/>
        <w:textAlignment w:val="baseline"/>
        <w:rPr>
          <w:rFonts w:hint="eastAsia" w:ascii="宋体" w:hAnsi="宋体" w:eastAsia="宋体" w:cs="宋体"/>
          <w:kern w:val="2"/>
          <w:sz w:val="21"/>
          <w:szCs w:val="24"/>
          <w:highlight w:val="none"/>
          <w:vertAlign w:val="baseline"/>
          <w:lang w:val="en-US" w:eastAsia="zh-CN" w:bidi="ar"/>
        </w:rPr>
      </w:pPr>
      <w:r>
        <w:rPr>
          <w:rFonts w:hint="eastAsia" w:ascii="宋体" w:hAnsi="宋体" w:eastAsia="宋体" w:cs="宋体"/>
          <w:kern w:val="2"/>
          <w:sz w:val="21"/>
          <w:szCs w:val="24"/>
          <w:highlight w:val="none"/>
          <w:vertAlign w:val="baseline"/>
          <w:lang w:val="en-US" w:eastAsia="zh-CN" w:bidi="ar"/>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35710FB5">
      <w:pPr>
        <w:keepNext w:val="0"/>
        <w:keepLines w:val="0"/>
        <w:pageBreakBefore w:val="0"/>
        <w:widowControl w:val="0"/>
        <w:suppressLineNumbers w:val="0"/>
        <w:kinsoku/>
        <w:wordWrap/>
        <w:topLinePunct w:val="0"/>
        <w:bidi w:val="0"/>
        <w:snapToGrid w:val="0"/>
        <w:spacing w:before="0" w:beforeAutospacing="0" w:after="0" w:afterAutospacing="0" w:line="360" w:lineRule="auto"/>
        <w:ind w:left="0" w:right="0" w:firstLine="420" w:firstLineChars="200"/>
        <w:jc w:val="both"/>
        <w:textAlignment w:val="baseline"/>
        <w:rPr>
          <w:rFonts w:hint="eastAsia" w:ascii="宋体" w:hAnsi="宋体" w:eastAsia="宋体" w:cs="宋体"/>
          <w:kern w:val="2"/>
          <w:sz w:val="21"/>
          <w:szCs w:val="24"/>
          <w:highlight w:val="none"/>
          <w:vertAlign w:val="baseline"/>
          <w:lang w:val="en-US" w:eastAsia="zh-CN" w:bidi="ar"/>
        </w:rPr>
      </w:pPr>
      <w:r>
        <w:rPr>
          <w:rFonts w:hint="eastAsia" w:ascii="宋体" w:hAnsi="宋体" w:eastAsia="宋体" w:cs="宋体"/>
          <w:kern w:val="2"/>
          <w:sz w:val="21"/>
          <w:szCs w:val="24"/>
          <w:highlight w:val="none"/>
          <w:vertAlign w:val="baseline"/>
          <w:lang w:val="en-US" w:eastAsia="zh-CN" w:bidi="ar"/>
        </w:rPr>
        <w:t>异常低价投标(响应)审查的启动原因、审查意见和审查结果应当在评审报告中记录，并随供应商提供的相关书面说明及证明材料，以及评审委员会有关互联网浏览、查询历史一并归档。</w:t>
      </w:r>
    </w:p>
    <w:p w14:paraId="233E643C">
      <w:pPr>
        <w:pageBreakBefore w:val="0"/>
        <w:spacing w:line="360" w:lineRule="auto"/>
        <w:ind w:firstLine="422"/>
        <w:rPr>
          <w:rFonts w:hint="eastAsia" w:ascii="宋体" w:hAnsi="宋体" w:eastAsia="宋体" w:cs="宋体"/>
          <w:b/>
          <w:bCs/>
          <w:szCs w:val="21"/>
          <w:highlight w:val="none"/>
          <w:lang w:val="en-US" w:eastAsia="zh-CN"/>
        </w:rPr>
      </w:pPr>
      <w:r>
        <w:rPr>
          <w:rFonts w:hint="eastAsia" w:ascii="宋体" w:hAnsi="宋体" w:eastAsia="宋体" w:cs="宋体"/>
          <w:b/>
          <w:bCs/>
          <w:szCs w:val="21"/>
          <w:highlight w:val="none"/>
          <w:lang w:val="en-US" w:eastAsia="zh-CN"/>
        </w:rPr>
        <w:t>7.本项目共分2个采购包，同一供应商最多可响应2个采购包。开标及评标均按采购包1、采购包2依次进行。供应商在2个采购包中仅限成交1个采购包；若供应商在采购包1被推荐为第一成交候选人，</w:t>
      </w:r>
      <w:r>
        <w:rPr>
          <w:rFonts w:hint="eastAsia" w:ascii="宋体" w:hAnsi="宋体" w:cs="宋体"/>
          <w:b/>
          <w:bCs/>
          <w:szCs w:val="21"/>
          <w:highlight w:val="none"/>
          <w:lang w:val="en-US" w:eastAsia="zh-CN"/>
        </w:rPr>
        <w:t>则</w:t>
      </w:r>
      <w:r>
        <w:rPr>
          <w:rFonts w:hint="eastAsia" w:ascii="宋体" w:hAnsi="宋体" w:eastAsia="宋体" w:cs="宋体"/>
          <w:b/>
          <w:bCs/>
          <w:szCs w:val="21"/>
          <w:highlight w:val="none"/>
          <w:lang w:val="en-US" w:eastAsia="zh-CN"/>
        </w:rPr>
        <w:t>不再参与采购包2的评审。</w:t>
      </w:r>
    </w:p>
    <w:p w14:paraId="7906724E">
      <w:pPr>
        <w:pageBreakBefore w:val="0"/>
        <w:spacing w:line="360" w:lineRule="auto"/>
        <w:ind w:firstLine="422"/>
        <w:rPr>
          <w:rFonts w:hint="eastAsia" w:ascii="宋体" w:hAnsi="宋体" w:eastAsia="宋体" w:cs="宋体"/>
          <w:b/>
          <w:bCs/>
          <w:color w:val="E54C5E" w:themeColor="accent6"/>
          <w:szCs w:val="21"/>
          <w:highlight w:val="none"/>
          <w14:textFill>
            <w14:solidFill>
              <w14:schemeClr w14:val="accent6"/>
            </w14:solidFill>
          </w14:textFill>
        </w:rPr>
      </w:pPr>
      <w:r>
        <w:rPr>
          <w:rFonts w:hint="eastAsia" w:ascii="宋体" w:hAnsi="宋体" w:cs="宋体"/>
          <w:b/>
          <w:bCs/>
          <w:szCs w:val="21"/>
          <w:highlight w:val="none"/>
          <w:lang w:val="en-US" w:eastAsia="zh-CN"/>
        </w:rPr>
        <w:t>8.</w:t>
      </w:r>
      <w:r>
        <w:rPr>
          <w:rFonts w:hint="eastAsia" w:ascii="宋体" w:hAnsi="宋体" w:eastAsia="宋体" w:cs="宋体"/>
          <w:b/>
          <w:bCs/>
          <w:szCs w:val="21"/>
          <w:highlight w:val="none"/>
          <w:lang w:val="en-US" w:eastAsia="zh-CN"/>
        </w:rPr>
        <w:t>当第一成交候选人因项目质疑、投诉导致成交结果无效时，</w:t>
      </w:r>
      <w:r>
        <w:rPr>
          <w:rFonts w:hint="eastAsia" w:ascii="宋体" w:hAnsi="宋体" w:cs="宋体"/>
          <w:b/>
          <w:bCs/>
          <w:szCs w:val="21"/>
          <w:highlight w:val="none"/>
          <w:lang w:val="en-US" w:eastAsia="zh-CN"/>
        </w:rPr>
        <w:t>后续采购包</w:t>
      </w:r>
      <w:r>
        <w:rPr>
          <w:rFonts w:hint="eastAsia" w:ascii="宋体" w:hAnsi="宋体" w:eastAsia="宋体" w:cs="宋体"/>
          <w:b/>
          <w:bCs/>
          <w:szCs w:val="21"/>
          <w:highlight w:val="none"/>
          <w:lang w:val="en-US" w:eastAsia="zh-CN"/>
        </w:rPr>
        <w:t>不因</w:t>
      </w:r>
      <w:r>
        <w:rPr>
          <w:rFonts w:hint="eastAsia" w:ascii="宋体" w:hAnsi="宋体" w:cs="宋体"/>
          <w:b/>
          <w:bCs/>
          <w:szCs w:val="21"/>
          <w:highlight w:val="none"/>
          <w:lang w:val="en-US" w:eastAsia="zh-CN"/>
        </w:rPr>
        <w:t>该采购包</w:t>
      </w:r>
      <w:r>
        <w:rPr>
          <w:rFonts w:hint="eastAsia" w:ascii="宋体" w:hAnsi="宋体" w:eastAsia="宋体" w:cs="宋体"/>
          <w:b/>
          <w:bCs/>
          <w:szCs w:val="21"/>
          <w:highlight w:val="none"/>
          <w:lang w:val="en-US" w:eastAsia="zh-CN"/>
        </w:rPr>
        <w:t>第一成交候选人</w:t>
      </w:r>
      <w:r>
        <w:rPr>
          <w:rFonts w:hint="eastAsia" w:ascii="宋体" w:hAnsi="宋体" w:cs="宋体"/>
          <w:b/>
          <w:bCs/>
          <w:szCs w:val="21"/>
          <w:highlight w:val="none"/>
          <w:lang w:val="en-US" w:eastAsia="zh-CN"/>
        </w:rPr>
        <w:t>的</w:t>
      </w:r>
      <w:r>
        <w:rPr>
          <w:rFonts w:hint="eastAsia" w:ascii="宋体" w:hAnsi="宋体" w:eastAsia="宋体" w:cs="宋体"/>
          <w:b/>
          <w:bCs/>
          <w:szCs w:val="21"/>
          <w:highlight w:val="none"/>
          <w:lang w:val="en-US" w:eastAsia="zh-CN"/>
        </w:rPr>
        <w:t>资格</w:t>
      </w:r>
      <w:r>
        <w:rPr>
          <w:rFonts w:hint="eastAsia" w:ascii="宋体" w:hAnsi="宋体" w:cs="宋体"/>
          <w:b/>
          <w:bCs/>
          <w:szCs w:val="21"/>
          <w:highlight w:val="none"/>
          <w:lang w:val="en-US" w:eastAsia="zh-CN"/>
        </w:rPr>
        <w:t>取消</w:t>
      </w:r>
      <w:r>
        <w:rPr>
          <w:rFonts w:hint="eastAsia" w:ascii="宋体" w:hAnsi="宋体" w:eastAsia="宋体" w:cs="宋体"/>
          <w:b/>
          <w:bCs/>
          <w:szCs w:val="21"/>
          <w:highlight w:val="none"/>
          <w:lang w:val="en-US" w:eastAsia="zh-CN"/>
        </w:rPr>
        <w:t>，而影响其他</w:t>
      </w:r>
      <w:r>
        <w:rPr>
          <w:rFonts w:hint="eastAsia" w:ascii="宋体" w:hAnsi="宋体" w:cs="宋体"/>
          <w:b/>
          <w:bCs/>
          <w:szCs w:val="21"/>
          <w:highlight w:val="none"/>
          <w:lang w:val="en-US" w:eastAsia="zh-CN"/>
        </w:rPr>
        <w:t>采购包</w:t>
      </w:r>
      <w:r>
        <w:rPr>
          <w:rFonts w:hint="eastAsia" w:ascii="宋体" w:hAnsi="宋体" w:eastAsia="宋体" w:cs="宋体"/>
          <w:b/>
          <w:bCs/>
          <w:szCs w:val="21"/>
          <w:highlight w:val="none"/>
          <w:lang w:val="en-US" w:eastAsia="zh-CN"/>
        </w:rPr>
        <w:t>的成交候选人入选名单。采购人有权从合格的成交候选人中另行确定成交供应商；没有合格的成交候选人的，则重新开展政府采购活动 。</w:t>
      </w:r>
    </w:p>
    <w:p w14:paraId="38AB59F6">
      <w:pPr>
        <w:adjustRightInd w:val="0"/>
        <w:snapToGrid w:val="0"/>
        <w:spacing w:line="360" w:lineRule="auto"/>
        <w:rPr>
          <w:rFonts w:hint="eastAsia" w:ascii="宋体" w:hAnsi="宋体" w:cs="宋体"/>
          <w:b/>
          <w:bCs/>
          <w:szCs w:val="21"/>
          <w:highlight w:val="none"/>
        </w:rPr>
      </w:pPr>
      <w:r>
        <w:rPr>
          <w:rFonts w:hint="eastAsia" w:ascii="宋体" w:hAnsi="宋体" w:cs="宋体"/>
          <w:b/>
          <w:bCs/>
          <w:szCs w:val="21"/>
          <w:highlight w:val="none"/>
        </w:rPr>
        <w:t>八、凡对本次采购提出询问，请按以下方式联系</w:t>
      </w:r>
      <w:bookmarkEnd w:id="79"/>
      <w:bookmarkEnd w:id="80"/>
      <w:bookmarkEnd w:id="81"/>
      <w:bookmarkEnd w:id="82"/>
      <w:r>
        <w:rPr>
          <w:rFonts w:hint="eastAsia" w:ascii="宋体" w:hAnsi="宋体" w:cs="宋体"/>
          <w:b/>
          <w:bCs/>
          <w:szCs w:val="21"/>
          <w:highlight w:val="none"/>
        </w:rPr>
        <w:t>。</w:t>
      </w:r>
    </w:p>
    <w:p w14:paraId="20A6F8CD">
      <w:pPr>
        <w:spacing w:line="360" w:lineRule="auto"/>
        <w:ind w:firstLine="420" w:firstLineChars="200"/>
        <w:rPr>
          <w:rFonts w:hint="eastAsia" w:ascii="宋体" w:hAnsi="宋体" w:cs="宋体"/>
          <w:szCs w:val="21"/>
          <w:highlight w:val="none"/>
        </w:rPr>
      </w:pPr>
      <w:r>
        <w:rPr>
          <w:rFonts w:hint="eastAsia" w:ascii="宋体" w:hAnsi="宋体" w:cs="宋体"/>
          <w:szCs w:val="21"/>
          <w:highlight w:val="none"/>
          <w:lang w:bidi="ar"/>
        </w:rPr>
        <w:t>1.采购单位：</w:t>
      </w:r>
      <w:r>
        <w:rPr>
          <w:rFonts w:hint="eastAsia" w:ascii="宋体" w:hAnsi="宋体" w:cs="宋体"/>
          <w:kern w:val="2"/>
          <w:szCs w:val="21"/>
          <w:highlight w:val="none"/>
          <w:lang w:bidi="ar"/>
        </w:rPr>
        <w:t>泰州市公路事业发展中心</w:t>
      </w:r>
    </w:p>
    <w:p w14:paraId="40A3A06C">
      <w:pPr>
        <w:spacing w:line="360" w:lineRule="auto"/>
        <w:ind w:firstLine="420" w:firstLineChars="200"/>
        <w:rPr>
          <w:rFonts w:hint="eastAsia" w:ascii="宋体" w:hAnsi="宋体" w:cs="宋体"/>
          <w:szCs w:val="21"/>
          <w:highlight w:val="none"/>
        </w:rPr>
      </w:pPr>
      <w:r>
        <w:rPr>
          <w:rFonts w:hint="eastAsia" w:ascii="宋体" w:hAnsi="宋体" w:cs="宋体"/>
          <w:szCs w:val="21"/>
          <w:highlight w:val="none"/>
          <w:lang w:bidi="ar"/>
        </w:rPr>
        <w:t>地址：泰州鼓楼南路303号</w:t>
      </w:r>
    </w:p>
    <w:p w14:paraId="604E21CE">
      <w:pPr>
        <w:spacing w:line="360" w:lineRule="auto"/>
        <w:ind w:firstLine="420" w:firstLineChars="200"/>
        <w:contextualSpacing/>
        <w:rPr>
          <w:rFonts w:hint="eastAsia" w:cs="宋体" w:asciiTheme="minorEastAsia" w:hAnsiTheme="minorEastAsia" w:eastAsiaTheme="minorEastAsia"/>
          <w:bCs/>
          <w:szCs w:val="21"/>
          <w:highlight w:val="none"/>
        </w:rPr>
      </w:pPr>
      <w:r>
        <w:rPr>
          <w:rFonts w:hint="eastAsia" w:ascii="宋体" w:hAnsi="宋体" w:cs="宋体"/>
          <w:szCs w:val="21"/>
          <w:highlight w:val="none"/>
          <w:lang w:bidi="ar"/>
        </w:rPr>
        <w:t xml:space="preserve">联系人：刘先生  联系电话：0523-86393866 </w:t>
      </w:r>
    </w:p>
    <w:p w14:paraId="3073BC1F">
      <w:pPr>
        <w:spacing w:line="360" w:lineRule="auto"/>
        <w:ind w:firstLine="420" w:firstLineChars="200"/>
        <w:rPr>
          <w:rFonts w:hint="eastAsia" w:ascii="宋体" w:hAnsi="宋体" w:cs="宋体"/>
          <w:szCs w:val="21"/>
          <w:highlight w:val="none"/>
        </w:rPr>
      </w:pPr>
      <w:r>
        <w:rPr>
          <w:rFonts w:hint="eastAsia" w:ascii="宋体" w:hAnsi="宋体" w:cs="宋体"/>
          <w:szCs w:val="21"/>
          <w:highlight w:val="none"/>
          <w:lang w:bidi="ar"/>
        </w:rPr>
        <w:t>2.代理机构：江苏华强工程投资管理咨询有限公司</w:t>
      </w:r>
    </w:p>
    <w:p w14:paraId="6304B465">
      <w:pPr>
        <w:spacing w:line="360" w:lineRule="auto"/>
        <w:ind w:firstLine="420" w:firstLineChars="200"/>
        <w:rPr>
          <w:rFonts w:hint="eastAsia" w:ascii="宋体" w:hAnsi="宋体" w:eastAsia="宋体" w:cs="宋体"/>
          <w:szCs w:val="21"/>
          <w:highlight w:val="none"/>
          <w:lang w:eastAsia="zh-CN"/>
        </w:rPr>
      </w:pPr>
      <w:r>
        <w:rPr>
          <w:rFonts w:hint="eastAsia" w:ascii="宋体" w:hAnsi="宋体" w:cs="宋体"/>
          <w:szCs w:val="21"/>
          <w:highlight w:val="none"/>
          <w:lang w:bidi="ar"/>
        </w:rPr>
        <w:t>联 系 人：杨女士，  联系电话：0523-</w:t>
      </w:r>
      <w:r>
        <w:rPr>
          <w:rFonts w:hint="eastAsia" w:ascii="宋体" w:hAnsi="宋体" w:cs="宋体"/>
          <w:szCs w:val="21"/>
          <w:highlight w:val="none"/>
          <w:lang w:eastAsia="zh-CN" w:bidi="ar"/>
        </w:rPr>
        <w:t>86933690</w:t>
      </w:r>
    </w:p>
    <w:p w14:paraId="46897D4E">
      <w:pPr>
        <w:spacing w:line="360" w:lineRule="auto"/>
        <w:ind w:firstLine="420" w:firstLineChars="200"/>
        <w:rPr>
          <w:rFonts w:hint="eastAsia" w:ascii="宋体" w:hAnsi="宋体" w:cs="宋体"/>
          <w:szCs w:val="21"/>
          <w:highlight w:val="none"/>
          <w:lang w:bidi="ar"/>
        </w:rPr>
      </w:pPr>
      <w:r>
        <w:rPr>
          <w:rFonts w:hint="eastAsia" w:ascii="宋体" w:hAnsi="宋体" w:cs="宋体"/>
          <w:szCs w:val="21"/>
          <w:highlight w:val="none"/>
          <w:lang w:bidi="ar"/>
        </w:rPr>
        <w:t xml:space="preserve">办公地址：泰州市海陵南路179号华诚大厦B座9楼西侧 </w:t>
      </w:r>
    </w:p>
    <w:p w14:paraId="2398E16B">
      <w:pPr>
        <w:spacing w:line="360" w:lineRule="auto"/>
        <w:ind w:firstLine="420" w:firstLineChars="200"/>
        <w:rPr>
          <w:rFonts w:hint="eastAsia" w:ascii="宋体" w:hAnsi="宋体" w:cs="宋体"/>
          <w:szCs w:val="21"/>
          <w:highlight w:val="none"/>
        </w:rPr>
      </w:pPr>
      <w:r>
        <w:rPr>
          <w:rFonts w:hint="eastAsia" w:ascii="宋体" w:hAnsi="宋体" w:cs="宋体"/>
          <w:szCs w:val="21"/>
          <w:highlight w:val="none"/>
          <w:lang w:bidi="ar"/>
        </w:rPr>
        <w:t>邮政编码：225300</w:t>
      </w:r>
    </w:p>
    <w:p w14:paraId="3B0C95AC">
      <w:pPr>
        <w:spacing w:line="360" w:lineRule="auto"/>
        <w:ind w:firstLine="420" w:firstLineChars="200"/>
        <w:rPr>
          <w:rFonts w:hint="eastAsia" w:ascii="宋体" w:hAnsi="宋体" w:cs="宋体"/>
          <w:szCs w:val="21"/>
          <w:highlight w:val="none"/>
        </w:rPr>
      </w:pPr>
      <w:bookmarkStart w:id="83" w:name="_Toc28359098"/>
      <w:bookmarkStart w:id="84" w:name="_Toc35393808"/>
      <w:bookmarkStart w:id="85" w:name="_Toc28359021"/>
      <w:bookmarkStart w:id="86" w:name="_Toc35393639"/>
      <w:r>
        <w:rPr>
          <w:rFonts w:hint="eastAsia" w:ascii="宋体" w:hAnsi="宋体" w:cs="宋体"/>
          <w:szCs w:val="21"/>
          <w:highlight w:val="none"/>
          <w:lang w:bidi="ar"/>
        </w:rPr>
        <w:t>3.项目联系方式</w:t>
      </w:r>
      <w:bookmarkEnd w:id="83"/>
      <w:bookmarkEnd w:id="84"/>
      <w:bookmarkEnd w:id="85"/>
      <w:bookmarkEnd w:id="86"/>
    </w:p>
    <w:p w14:paraId="6CD6AC1E">
      <w:pPr>
        <w:spacing w:line="360" w:lineRule="auto"/>
        <w:ind w:firstLine="420" w:firstLineChars="200"/>
        <w:rPr>
          <w:rFonts w:hint="eastAsia" w:ascii="宋体" w:hAnsi="宋体" w:eastAsia="宋体"/>
          <w:b/>
          <w:szCs w:val="21"/>
          <w:highlight w:val="none"/>
          <w:lang w:eastAsia="zh-CN"/>
        </w:rPr>
        <w:sectPr>
          <w:footerReference r:id="rId6" w:type="default"/>
          <w:pgSz w:w="11907" w:h="16840"/>
          <w:pgMar w:top="1247" w:right="1080" w:bottom="1247" w:left="1080" w:header="851" w:footer="851" w:gutter="0"/>
          <w:pgBorders>
            <w:top w:val="none" w:sz="0" w:space="0"/>
            <w:left w:val="none" w:sz="0" w:space="0"/>
            <w:bottom w:val="none" w:sz="0" w:space="0"/>
            <w:right w:val="none" w:sz="0" w:space="0"/>
          </w:pgBorders>
          <w:cols w:space="720" w:num="1"/>
          <w:docGrid w:linePitch="312" w:charSpace="0"/>
        </w:sectPr>
      </w:pPr>
      <w:r>
        <w:rPr>
          <w:rFonts w:hint="eastAsia" w:ascii="宋体" w:hAnsi="宋体" w:cs="宋体"/>
          <w:szCs w:val="21"/>
          <w:highlight w:val="none"/>
          <w:lang w:bidi="ar"/>
        </w:rPr>
        <w:t>项目联系人：杨女士     联系电话：0523-</w:t>
      </w:r>
      <w:r>
        <w:rPr>
          <w:rFonts w:hint="eastAsia" w:ascii="宋体" w:hAnsi="宋体" w:cs="宋体"/>
          <w:szCs w:val="21"/>
          <w:highlight w:val="none"/>
          <w:lang w:eastAsia="zh-CN" w:bidi="ar"/>
        </w:rPr>
        <w:t>86933690</w:t>
      </w:r>
    </w:p>
    <w:p w14:paraId="0295E36D">
      <w:pPr>
        <w:spacing w:line="360" w:lineRule="auto"/>
        <w:ind w:firstLine="422" w:firstLineChars="200"/>
        <w:jc w:val="center"/>
        <w:rPr>
          <w:rFonts w:hint="eastAsia" w:ascii="宋体" w:hAnsi="宋体"/>
          <w:b/>
          <w:szCs w:val="21"/>
          <w:highlight w:val="none"/>
        </w:rPr>
      </w:pPr>
      <w:r>
        <w:rPr>
          <w:rFonts w:hint="eastAsia" w:ascii="宋体" w:hAnsi="宋体"/>
          <w:b/>
          <w:szCs w:val="21"/>
          <w:highlight w:val="none"/>
        </w:rPr>
        <w:t>第二章 参加磋商供应商须知</w:t>
      </w:r>
    </w:p>
    <w:p w14:paraId="4B428F0F">
      <w:pPr>
        <w:spacing w:line="360" w:lineRule="auto"/>
        <w:ind w:firstLine="420" w:firstLineChars="200"/>
        <w:jc w:val="center"/>
        <w:rPr>
          <w:rFonts w:hint="eastAsia" w:ascii="宋体" w:hAnsi="宋体"/>
          <w:b/>
          <w:bCs/>
          <w:szCs w:val="21"/>
          <w:highlight w:val="none"/>
        </w:rPr>
      </w:pPr>
      <w:r>
        <w:rPr>
          <w:rFonts w:hint="eastAsia" w:ascii="宋体" w:hAnsi="宋体"/>
          <w:bCs/>
          <w:szCs w:val="21"/>
          <w:highlight w:val="none"/>
        </w:rPr>
        <w:t>（参加竞争性磋商的供应商以下简称“磋商供应商”）</w:t>
      </w:r>
    </w:p>
    <w:bookmarkEnd w:id="5"/>
    <w:bookmarkEnd w:id="6"/>
    <w:bookmarkEnd w:id="7"/>
    <w:p w14:paraId="537710B6">
      <w:pPr>
        <w:tabs>
          <w:tab w:val="left" w:pos="900"/>
        </w:tabs>
        <w:spacing w:line="360" w:lineRule="auto"/>
        <w:ind w:firstLine="422" w:firstLineChars="200"/>
        <w:rPr>
          <w:rFonts w:hint="eastAsia" w:ascii="宋体" w:hAnsi="宋体"/>
          <w:b/>
          <w:szCs w:val="21"/>
          <w:highlight w:val="none"/>
        </w:rPr>
      </w:pPr>
      <w:r>
        <w:rPr>
          <w:rFonts w:hint="eastAsia" w:ascii="宋体" w:hAnsi="宋体"/>
          <w:b/>
          <w:szCs w:val="21"/>
          <w:highlight w:val="none"/>
        </w:rPr>
        <w:t>一、总则</w:t>
      </w:r>
    </w:p>
    <w:p w14:paraId="19C8F3EE">
      <w:pPr>
        <w:tabs>
          <w:tab w:val="left" w:pos="900"/>
          <w:tab w:val="center" w:pos="4873"/>
        </w:tabs>
        <w:spacing w:line="360" w:lineRule="auto"/>
        <w:ind w:firstLine="420" w:firstLineChars="200"/>
        <w:rPr>
          <w:rFonts w:hint="eastAsia" w:ascii="宋体" w:hAnsi="宋体"/>
          <w:szCs w:val="21"/>
          <w:highlight w:val="none"/>
        </w:rPr>
      </w:pPr>
      <w:r>
        <w:rPr>
          <w:rFonts w:hint="eastAsia" w:ascii="宋体" w:hAnsi="宋体"/>
          <w:szCs w:val="21"/>
          <w:highlight w:val="none"/>
        </w:rPr>
        <w:t>1.适用范围</w:t>
      </w:r>
      <w:r>
        <w:rPr>
          <w:rFonts w:hint="eastAsia" w:ascii="宋体" w:hAnsi="宋体"/>
          <w:szCs w:val="21"/>
          <w:highlight w:val="none"/>
        </w:rPr>
        <w:tab/>
      </w:r>
    </w:p>
    <w:p w14:paraId="4D42B4D2">
      <w:pPr>
        <w:tabs>
          <w:tab w:val="left" w:pos="900"/>
        </w:tabs>
        <w:spacing w:line="360" w:lineRule="auto"/>
        <w:ind w:firstLine="420" w:firstLineChars="200"/>
        <w:rPr>
          <w:rFonts w:hint="eastAsia" w:ascii="宋体" w:hAnsi="宋体"/>
          <w:szCs w:val="21"/>
          <w:highlight w:val="none"/>
        </w:rPr>
      </w:pPr>
      <w:r>
        <w:rPr>
          <w:rFonts w:hint="eastAsia" w:ascii="宋体" w:hAnsi="宋体"/>
          <w:szCs w:val="21"/>
          <w:highlight w:val="none"/>
        </w:rPr>
        <w:t>本磋商文件仅适用于</w:t>
      </w:r>
      <w:r>
        <w:rPr>
          <w:rFonts w:hint="eastAsia" w:ascii="宋体" w:hAnsi="宋体"/>
          <w:szCs w:val="21"/>
          <w:highlight w:val="none"/>
          <w:lang w:eastAsia="zh-CN"/>
        </w:rPr>
        <w:t>2026年泰州市快速路隧道、桥梁定期检查项目</w:t>
      </w:r>
      <w:r>
        <w:rPr>
          <w:rFonts w:hint="eastAsia" w:ascii="宋体" w:hAnsi="宋体"/>
          <w:szCs w:val="21"/>
          <w:highlight w:val="none"/>
        </w:rPr>
        <w:t>。</w:t>
      </w:r>
    </w:p>
    <w:p w14:paraId="131FC172">
      <w:pPr>
        <w:tabs>
          <w:tab w:val="left" w:pos="900"/>
        </w:tabs>
        <w:spacing w:line="360" w:lineRule="auto"/>
        <w:ind w:firstLine="420" w:firstLineChars="200"/>
        <w:rPr>
          <w:rFonts w:hint="eastAsia" w:ascii="宋体" w:hAnsi="宋体"/>
          <w:szCs w:val="21"/>
          <w:highlight w:val="none"/>
        </w:rPr>
      </w:pPr>
      <w:r>
        <w:rPr>
          <w:rFonts w:hint="eastAsia" w:ascii="宋体" w:hAnsi="宋体"/>
          <w:szCs w:val="21"/>
          <w:highlight w:val="none"/>
        </w:rPr>
        <w:t>2.项目采购方式</w:t>
      </w:r>
    </w:p>
    <w:p w14:paraId="444CEE22">
      <w:pPr>
        <w:tabs>
          <w:tab w:val="left" w:pos="900"/>
        </w:tabs>
        <w:spacing w:line="360" w:lineRule="auto"/>
        <w:ind w:firstLine="420" w:firstLineChars="200"/>
        <w:rPr>
          <w:rFonts w:hint="eastAsia" w:ascii="宋体" w:hAnsi="宋体"/>
          <w:szCs w:val="21"/>
          <w:highlight w:val="none"/>
        </w:rPr>
      </w:pPr>
      <w:r>
        <w:rPr>
          <w:rFonts w:hint="eastAsia" w:ascii="宋体" w:hAnsi="宋体"/>
          <w:szCs w:val="21"/>
          <w:highlight w:val="none"/>
        </w:rPr>
        <w:t>本次采购采取竞争性磋商的方式。</w:t>
      </w:r>
    </w:p>
    <w:p w14:paraId="56585F46">
      <w:pPr>
        <w:tabs>
          <w:tab w:val="left" w:pos="900"/>
        </w:tabs>
        <w:spacing w:line="360" w:lineRule="auto"/>
        <w:ind w:firstLine="420" w:firstLineChars="200"/>
        <w:rPr>
          <w:rFonts w:hint="eastAsia" w:ascii="宋体" w:hAnsi="宋体"/>
          <w:szCs w:val="21"/>
          <w:highlight w:val="none"/>
        </w:rPr>
      </w:pPr>
      <w:r>
        <w:rPr>
          <w:rFonts w:hint="eastAsia" w:ascii="宋体" w:hAnsi="宋体"/>
          <w:szCs w:val="21"/>
          <w:highlight w:val="none"/>
        </w:rPr>
        <w:t>3.合格的磋商供应商</w:t>
      </w:r>
    </w:p>
    <w:p w14:paraId="174BE0DD">
      <w:pPr>
        <w:tabs>
          <w:tab w:val="left" w:pos="900"/>
        </w:tabs>
        <w:spacing w:line="360" w:lineRule="auto"/>
        <w:ind w:firstLine="420" w:firstLineChars="200"/>
        <w:rPr>
          <w:rFonts w:hint="eastAsia" w:ascii="宋体" w:hAnsi="宋体"/>
          <w:szCs w:val="21"/>
          <w:highlight w:val="none"/>
        </w:rPr>
      </w:pPr>
      <w:r>
        <w:rPr>
          <w:rFonts w:hint="eastAsia" w:ascii="宋体" w:hAnsi="宋体"/>
          <w:szCs w:val="21"/>
          <w:highlight w:val="none"/>
        </w:rPr>
        <w:t>3.1满足本磋商文件“竞争性磋商采购公告”中合格磋商供应商资格要求的规定。</w:t>
      </w:r>
    </w:p>
    <w:p w14:paraId="54FE4F5B">
      <w:pPr>
        <w:tabs>
          <w:tab w:val="left" w:pos="900"/>
        </w:tabs>
        <w:spacing w:line="360" w:lineRule="auto"/>
        <w:ind w:firstLine="420" w:firstLineChars="200"/>
        <w:rPr>
          <w:rFonts w:hint="eastAsia" w:ascii="宋体" w:hAnsi="宋体"/>
          <w:szCs w:val="21"/>
          <w:highlight w:val="none"/>
        </w:rPr>
      </w:pPr>
      <w:r>
        <w:rPr>
          <w:rFonts w:hint="eastAsia" w:ascii="宋体" w:hAnsi="宋体"/>
          <w:szCs w:val="21"/>
          <w:highlight w:val="none"/>
        </w:rPr>
        <w:t>3.2.满足本磋商文件实质性要求和条件的规定。</w:t>
      </w:r>
    </w:p>
    <w:p w14:paraId="3B37446E">
      <w:pPr>
        <w:tabs>
          <w:tab w:val="left" w:pos="900"/>
        </w:tabs>
        <w:spacing w:line="360" w:lineRule="auto"/>
        <w:ind w:firstLine="420" w:firstLineChars="200"/>
        <w:rPr>
          <w:rFonts w:hint="eastAsia" w:ascii="宋体" w:hAnsi="宋体"/>
          <w:szCs w:val="21"/>
          <w:highlight w:val="none"/>
        </w:rPr>
      </w:pPr>
      <w:r>
        <w:rPr>
          <w:rFonts w:hint="eastAsia" w:ascii="宋体" w:hAnsi="宋体"/>
          <w:szCs w:val="21"/>
          <w:highlight w:val="none"/>
        </w:rPr>
        <w:t>4.参加磋商费用</w:t>
      </w:r>
    </w:p>
    <w:p w14:paraId="5248F8CA">
      <w:pPr>
        <w:tabs>
          <w:tab w:val="left" w:pos="900"/>
        </w:tabs>
        <w:spacing w:line="360" w:lineRule="auto"/>
        <w:ind w:firstLine="420" w:firstLineChars="200"/>
        <w:rPr>
          <w:rFonts w:hint="eastAsia" w:ascii="宋体" w:hAnsi="宋体"/>
          <w:szCs w:val="21"/>
          <w:highlight w:val="none"/>
        </w:rPr>
      </w:pPr>
      <w:r>
        <w:rPr>
          <w:rFonts w:hint="eastAsia" w:ascii="宋体" w:hAnsi="宋体"/>
          <w:szCs w:val="21"/>
          <w:highlight w:val="none"/>
        </w:rPr>
        <w:t>4.1参加磋商供应商应自行承担所有与参加磋商有关的费用。不论最终的成交结果如何，江苏华强工程投资管理咨询有限公司（以下简称代理机构）在任何情况下均无义务和责任承担这些费用。</w:t>
      </w:r>
    </w:p>
    <w:p w14:paraId="547D4C80">
      <w:pPr>
        <w:spacing w:line="360" w:lineRule="auto"/>
        <w:ind w:firstLine="482"/>
        <w:rPr>
          <w:rFonts w:hint="eastAsia" w:ascii="宋体" w:hAnsi="宋体" w:cs="宋体"/>
          <w:b/>
          <w:bCs/>
          <w:szCs w:val="21"/>
          <w:highlight w:val="none"/>
          <w:u w:val="single"/>
        </w:rPr>
      </w:pPr>
      <w:r>
        <w:rPr>
          <w:rFonts w:hint="eastAsia" w:ascii="宋体" w:hAnsi="宋体"/>
          <w:b/>
          <w:bCs/>
          <w:szCs w:val="21"/>
          <w:highlight w:val="none"/>
        </w:rPr>
        <w:t>4.2</w:t>
      </w:r>
      <w:r>
        <w:rPr>
          <w:rFonts w:hint="eastAsia" w:ascii="宋体" w:hAnsi="宋体"/>
          <w:b/>
          <w:kern w:val="2"/>
          <w:szCs w:val="21"/>
          <w:highlight w:val="none"/>
          <w:lang w:bidi="ar"/>
        </w:rPr>
        <w:t>招标代理服务费</w:t>
      </w:r>
      <w:r>
        <w:rPr>
          <w:rFonts w:hint="eastAsia" w:ascii="宋体" w:hAnsi="宋体"/>
          <w:b/>
          <w:kern w:val="2"/>
          <w:szCs w:val="21"/>
          <w:highlight w:val="none"/>
          <w:lang w:eastAsia="zh-CN" w:bidi="ar"/>
        </w:rPr>
        <w:t>202</w:t>
      </w:r>
      <w:r>
        <w:rPr>
          <w:rFonts w:hint="eastAsia" w:ascii="宋体" w:hAnsi="宋体"/>
          <w:b/>
          <w:kern w:val="2"/>
          <w:szCs w:val="21"/>
          <w:highlight w:val="none"/>
          <w:lang w:val="en-US" w:eastAsia="zh-CN" w:bidi="ar"/>
        </w:rPr>
        <w:t>5</w:t>
      </w:r>
      <w:r>
        <w:rPr>
          <w:rFonts w:hint="eastAsia" w:ascii="宋体" w:hAnsi="宋体"/>
          <w:b/>
          <w:kern w:val="2"/>
          <w:szCs w:val="21"/>
          <w:highlight w:val="none"/>
          <w:lang w:eastAsia="zh-CN" w:bidi="ar"/>
        </w:rPr>
        <w:t>年</w:t>
      </w:r>
      <w:r>
        <w:rPr>
          <w:rFonts w:hint="eastAsia" w:ascii="宋体" w:hAnsi="宋体"/>
          <w:b/>
          <w:kern w:val="2"/>
          <w:szCs w:val="21"/>
          <w:highlight w:val="none"/>
          <w:lang w:bidi="ar"/>
        </w:rPr>
        <w:t>度招标代理单位项目合同协议书收取，费用由采购人承担。</w:t>
      </w:r>
    </w:p>
    <w:p w14:paraId="65ECB2A6">
      <w:pPr>
        <w:tabs>
          <w:tab w:val="left" w:pos="900"/>
        </w:tabs>
        <w:spacing w:line="360" w:lineRule="auto"/>
        <w:ind w:firstLine="420" w:firstLineChars="200"/>
        <w:rPr>
          <w:rFonts w:hint="eastAsia" w:ascii="宋体" w:hAnsi="宋体"/>
          <w:szCs w:val="21"/>
          <w:highlight w:val="none"/>
        </w:rPr>
      </w:pPr>
      <w:r>
        <w:rPr>
          <w:rFonts w:hint="eastAsia" w:ascii="宋体" w:hAnsi="宋体"/>
          <w:szCs w:val="21"/>
          <w:highlight w:val="none"/>
        </w:rPr>
        <w:t>5.磋商文件的约束力</w:t>
      </w:r>
    </w:p>
    <w:p w14:paraId="448E7693">
      <w:pPr>
        <w:tabs>
          <w:tab w:val="left" w:pos="900"/>
        </w:tabs>
        <w:spacing w:line="360" w:lineRule="auto"/>
        <w:ind w:firstLine="420" w:firstLineChars="200"/>
        <w:rPr>
          <w:rFonts w:hint="eastAsia" w:ascii="宋体" w:hAnsi="宋体"/>
          <w:szCs w:val="21"/>
          <w:highlight w:val="none"/>
        </w:rPr>
      </w:pPr>
      <w:r>
        <w:rPr>
          <w:rFonts w:hint="eastAsia" w:ascii="宋体" w:hAnsi="宋体"/>
          <w:szCs w:val="21"/>
          <w:highlight w:val="none"/>
        </w:rPr>
        <w:t>供应商一旦领取了本磋商文件并决定参加磋商，即被视为接受了本磋商文件的规定和约束，并且视为自竞争性磋商公告期限届满之日起已经知道或应当知道自身权益是否受到了损害。</w:t>
      </w:r>
    </w:p>
    <w:p w14:paraId="7B3FD5C2">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kern w:val="2"/>
          <w:sz w:val="21"/>
          <w:szCs w:val="21"/>
          <w:highlight w:val="none"/>
          <w:u w:val="none"/>
          <w:lang w:val="en-US" w:eastAsia="zh-CN" w:bidi="ar"/>
        </w:rPr>
      </w:pPr>
      <w:bookmarkStart w:id="87" w:name="_Toc86268901"/>
      <w:r>
        <w:rPr>
          <w:rFonts w:hint="eastAsia" w:ascii="宋体" w:hAnsi="宋体" w:eastAsia="宋体" w:cs="宋体"/>
          <w:color w:val="auto"/>
          <w:kern w:val="2"/>
          <w:sz w:val="21"/>
          <w:szCs w:val="21"/>
          <w:highlight w:val="none"/>
          <w:u w:val="none"/>
          <w:lang w:val="en-US" w:eastAsia="zh-CN" w:bidi="ar"/>
        </w:rPr>
        <w:t>6.磋商文件的澄清及修改</w:t>
      </w:r>
    </w:p>
    <w:p w14:paraId="624F553A">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kern w:val="2"/>
          <w:sz w:val="21"/>
          <w:szCs w:val="21"/>
          <w:highlight w:val="none"/>
          <w:u w:val="none"/>
          <w:lang w:val="en-US" w:eastAsia="zh-CN" w:bidi="ar"/>
        </w:rPr>
      </w:pPr>
      <w:r>
        <w:rPr>
          <w:rFonts w:hint="eastAsia" w:ascii="宋体" w:hAnsi="宋体" w:eastAsia="宋体" w:cs="宋体"/>
          <w:color w:val="auto"/>
          <w:kern w:val="2"/>
          <w:sz w:val="21"/>
          <w:szCs w:val="21"/>
          <w:highlight w:val="none"/>
          <w:u w:val="none"/>
          <w:lang w:val="en-US" w:eastAsia="zh-CN" w:bidi="ar"/>
        </w:rPr>
        <w:t>6.1任何要求对磋商文件进行澄清的供应商，均应在法律法规规定的质疑时效内按竞争性磋商采购邀请中的通讯地址，以书面形式通知代理机构（以代理机构实际收到供应商相关文件为准）。提交首次响应文件截止之日前，代理机构可以对已发出的磋商文件进行必要的澄清或者修改，澄清或者修改的内容作为磋商文件的组成部分。澄清或者修改的内容可能影响响应文件编制的，采购人、采购代理机构应当在提交首次响应文件截止时间至少5日前， 以书面形式通知所有获取磋商文件的供应商；不足5日的，采购人、采购代理机构应当顺延提交首次响应文件截止时间。</w:t>
      </w:r>
    </w:p>
    <w:p w14:paraId="06E84BA5">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bCs/>
          <w:color w:val="auto"/>
          <w:kern w:val="0"/>
          <w:szCs w:val="21"/>
          <w:highlight w:val="none"/>
          <w:u w:val="none"/>
          <w:lang w:val="en-US"/>
        </w:rPr>
      </w:pPr>
      <w:r>
        <w:rPr>
          <w:rFonts w:hint="eastAsia" w:ascii="宋体" w:hAnsi="宋体" w:eastAsia="宋体" w:cs="宋体"/>
          <w:color w:val="auto"/>
          <w:kern w:val="2"/>
          <w:sz w:val="21"/>
          <w:szCs w:val="21"/>
          <w:highlight w:val="none"/>
          <w:u w:val="none"/>
          <w:lang w:val="en-US" w:eastAsia="zh-CN" w:bidi="ar"/>
        </w:rPr>
        <w:t>6.2代理机构可以视采购项目的具体情况，组织供应商进行现场考察或召开磋商前答疑会，但不单独或分别组织只有一个供应商参加的现场考察和</w:t>
      </w:r>
      <w:r>
        <w:rPr>
          <w:rFonts w:hint="eastAsia" w:ascii="宋体" w:hAnsi="宋体" w:eastAsia="宋体" w:cs="宋体"/>
          <w:bCs/>
          <w:snapToGrid w:val="0"/>
          <w:color w:val="auto"/>
          <w:kern w:val="0"/>
          <w:sz w:val="21"/>
          <w:szCs w:val="21"/>
          <w:highlight w:val="none"/>
          <w:u w:val="none"/>
          <w:lang w:val="en-US" w:eastAsia="zh-CN" w:bidi="ar"/>
        </w:rPr>
        <w:t>答疑会。</w:t>
      </w:r>
    </w:p>
    <w:p w14:paraId="7AB9043C">
      <w:pPr>
        <w:keepNext w:val="0"/>
        <w:keepLines w:val="0"/>
        <w:pageBreakBefore w:val="0"/>
        <w:widowControl w:val="0"/>
        <w:numPr>
          <w:ilvl w:val="0"/>
          <w:numId w:val="0"/>
        </w:numPr>
        <w:suppressLineNumbers w:val="0"/>
        <w:tabs>
          <w:tab w:val="left" w:pos="900"/>
        </w:tabs>
        <w:kinsoku/>
        <w:wordWrap/>
        <w:topLinePunct w:val="0"/>
        <w:bidi w:val="0"/>
        <w:spacing w:before="0" w:beforeAutospacing="0" w:after="0" w:afterAutospacing="0" w:line="360" w:lineRule="auto"/>
        <w:ind w:right="0" w:rightChars="0" w:firstLine="420" w:firstLineChars="200"/>
        <w:jc w:val="both"/>
        <w:rPr>
          <w:rFonts w:hint="eastAsia" w:ascii="宋体" w:hAnsi="宋体" w:eastAsia="宋体" w:cs="宋体"/>
          <w:bCs/>
          <w:color w:val="auto"/>
          <w:kern w:val="0"/>
          <w:szCs w:val="21"/>
          <w:highlight w:val="none"/>
          <w:u w:val="none"/>
          <w:lang w:val="en-US"/>
        </w:rPr>
      </w:pPr>
      <w:r>
        <w:rPr>
          <w:rFonts w:hint="eastAsia" w:ascii="宋体" w:hAnsi="宋体" w:eastAsia="宋体" w:cs="宋体"/>
          <w:bCs/>
          <w:snapToGrid w:val="0"/>
          <w:color w:val="auto"/>
          <w:kern w:val="0"/>
          <w:sz w:val="21"/>
          <w:szCs w:val="21"/>
          <w:highlight w:val="none"/>
          <w:u w:val="none"/>
          <w:lang w:val="en-US" w:eastAsia="zh-CN" w:bidi="ar"/>
        </w:rPr>
        <w:t>7.付款方式：</w:t>
      </w:r>
      <w:r>
        <w:rPr>
          <w:rFonts w:hint="eastAsia" w:ascii="宋体" w:hAnsi="宋体" w:eastAsia="宋体" w:cs="宋体"/>
          <w:bCs/>
          <w:color w:val="auto"/>
          <w:kern w:val="0"/>
          <w:sz w:val="21"/>
          <w:szCs w:val="21"/>
          <w:highlight w:val="none"/>
          <w:u w:val="none"/>
          <w:lang w:val="en-US" w:eastAsia="zh-CN" w:bidi="ar"/>
        </w:rPr>
        <w:t>见合同专用条款。</w:t>
      </w:r>
    </w:p>
    <w:p w14:paraId="664CF082">
      <w:pPr>
        <w:pageBreakBefore w:val="0"/>
        <w:kinsoku/>
        <w:topLinePunct w:val="0"/>
        <w:bidi w:val="0"/>
        <w:spacing w:line="360" w:lineRule="auto"/>
        <w:ind w:firstLine="482"/>
        <w:rPr>
          <w:rFonts w:cs="宋体"/>
          <w:b/>
          <w:color w:val="auto"/>
          <w:szCs w:val="21"/>
          <w:highlight w:val="none"/>
          <w:u w:val="none"/>
        </w:rPr>
      </w:pPr>
      <w:r>
        <w:rPr>
          <w:rFonts w:hint="eastAsia" w:ascii="宋体" w:hAnsi="宋体" w:eastAsia="宋体" w:cs="宋体"/>
          <w:b/>
          <w:bCs w:val="0"/>
          <w:color w:val="auto"/>
          <w:kern w:val="2"/>
          <w:sz w:val="21"/>
          <w:szCs w:val="21"/>
          <w:highlight w:val="none"/>
          <w:u w:val="none"/>
          <w:lang w:val="en-US" w:eastAsia="zh-CN" w:bidi="ar"/>
        </w:rPr>
        <w:t>二、</w:t>
      </w:r>
      <w:r>
        <w:rPr>
          <w:rFonts w:hint="eastAsia" w:cs="宋体"/>
          <w:b/>
          <w:color w:val="auto"/>
          <w:szCs w:val="21"/>
          <w:highlight w:val="none"/>
          <w:u w:val="none"/>
        </w:rPr>
        <w:t>磋商文件</w:t>
      </w:r>
    </w:p>
    <w:p w14:paraId="30B3A6EF">
      <w:pPr>
        <w:pageBreakBefore w:val="0"/>
        <w:tabs>
          <w:tab w:val="left" w:pos="900"/>
        </w:tabs>
        <w:kinsoku/>
        <w:topLinePunct w:val="0"/>
        <w:bidi w:val="0"/>
        <w:spacing w:line="360" w:lineRule="auto"/>
        <w:ind w:firstLine="420" w:firstLineChars="200"/>
        <w:rPr>
          <w:rFonts w:hint="eastAsia" w:ascii="宋体" w:hAnsi="宋体"/>
          <w:color w:val="auto"/>
          <w:szCs w:val="21"/>
          <w:highlight w:val="none"/>
          <w:u w:val="none"/>
        </w:rPr>
      </w:pPr>
      <w:bookmarkStart w:id="88" w:name="_Toc16938526"/>
      <w:bookmarkStart w:id="89" w:name="_Toc513029210"/>
      <w:bookmarkStart w:id="90" w:name="_Toc20823282"/>
      <w:r>
        <w:rPr>
          <w:rFonts w:hint="eastAsia" w:ascii="宋体" w:hAnsi="宋体"/>
          <w:color w:val="auto"/>
          <w:szCs w:val="21"/>
          <w:highlight w:val="none"/>
          <w:u w:val="none"/>
        </w:rPr>
        <w:t>1.磋商文件构成</w:t>
      </w:r>
      <w:bookmarkEnd w:id="88"/>
      <w:bookmarkEnd w:id="89"/>
      <w:bookmarkEnd w:id="90"/>
    </w:p>
    <w:p w14:paraId="7717F464">
      <w:pPr>
        <w:pageBreakBefore w:val="0"/>
        <w:tabs>
          <w:tab w:val="left" w:pos="900"/>
        </w:tabs>
        <w:kinsoku/>
        <w:topLinePunct w:val="0"/>
        <w:bidi w:val="0"/>
        <w:spacing w:line="360" w:lineRule="auto"/>
        <w:ind w:firstLine="420" w:firstLineChars="200"/>
        <w:rPr>
          <w:rFonts w:hint="eastAsia" w:ascii="宋体" w:hAnsi="宋体"/>
          <w:color w:val="auto"/>
          <w:szCs w:val="21"/>
          <w:highlight w:val="none"/>
          <w:u w:val="none"/>
        </w:rPr>
      </w:pPr>
      <w:r>
        <w:rPr>
          <w:rFonts w:hint="eastAsia" w:ascii="宋体" w:hAnsi="宋体"/>
          <w:color w:val="auto"/>
          <w:szCs w:val="21"/>
          <w:highlight w:val="none"/>
          <w:u w:val="none"/>
        </w:rPr>
        <w:t>1.1 磋商文件由以下部分组成：</w:t>
      </w:r>
    </w:p>
    <w:p w14:paraId="6D078ACC">
      <w:pPr>
        <w:pageBreakBefore w:val="0"/>
        <w:tabs>
          <w:tab w:val="left" w:pos="900"/>
        </w:tabs>
        <w:kinsoku/>
        <w:topLinePunct w:val="0"/>
        <w:bidi w:val="0"/>
        <w:spacing w:line="360" w:lineRule="auto"/>
        <w:ind w:firstLine="420" w:firstLineChars="200"/>
        <w:rPr>
          <w:rFonts w:hint="eastAsia" w:ascii="宋体" w:hAnsi="宋体"/>
          <w:color w:val="auto"/>
          <w:szCs w:val="21"/>
          <w:highlight w:val="none"/>
          <w:u w:val="none"/>
        </w:rPr>
      </w:pPr>
      <w:r>
        <w:rPr>
          <w:rFonts w:hint="eastAsia" w:ascii="宋体" w:hAnsi="宋体"/>
          <w:color w:val="auto"/>
          <w:szCs w:val="21"/>
          <w:highlight w:val="none"/>
          <w:u w:val="none"/>
        </w:rPr>
        <w:t>（1）竞争性磋商公告</w:t>
      </w:r>
    </w:p>
    <w:p w14:paraId="5564B8A8">
      <w:pPr>
        <w:pageBreakBefore w:val="0"/>
        <w:tabs>
          <w:tab w:val="left" w:pos="900"/>
        </w:tabs>
        <w:kinsoku/>
        <w:topLinePunct w:val="0"/>
        <w:bidi w:val="0"/>
        <w:spacing w:line="360" w:lineRule="auto"/>
        <w:ind w:firstLine="420" w:firstLineChars="200"/>
        <w:rPr>
          <w:rFonts w:hint="eastAsia" w:ascii="宋体" w:hAnsi="宋体"/>
          <w:color w:val="auto"/>
          <w:szCs w:val="21"/>
          <w:highlight w:val="none"/>
          <w:u w:val="none"/>
        </w:rPr>
      </w:pPr>
      <w:r>
        <w:rPr>
          <w:rFonts w:hint="eastAsia" w:ascii="宋体" w:hAnsi="宋体"/>
          <w:color w:val="auto"/>
          <w:szCs w:val="21"/>
          <w:highlight w:val="none"/>
          <w:u w:val="none"/>
        </w:rPr>
        <w:t>（2）供应商须知</w:t>
      </w:r>
    </w:p>
    <w:p w14:paraId="140CEB50">
      <w:pPr>
        <w:pageBreakBefore w:val="0"/>
        <w:tabs>
          <w:tab w:val="left" w:pos="900"/>
        </w:tabs>
        <w:kinsoku/>
        <w:topLinePunct w:val="0"/>
        <w:bidi w:val="0"/>
        <w:spacing w:line="360" w:lineRule="auto"/>
        <w:ind w:firstLine="420" w:firstLineChars="200"/>
        <w:rPr>
          <w:rFonts w:hint="eastAsia" w:ascii="宋体" w:hAnsi="宋体"/>
          <w:color w:val="auto"/>
          <w:szCs w:val="21"/>
          <w:highlight w:val="none"/>
          <w:u w:val="none"/>
        </w:rPr>
      </w:pPr>
      <w:r>
        <w:rPr>
          <w:rFonts w:hint="eastAsia" w:ascii="宋体" w:hAnsi="宋体"/>
          <w:color w:val="auto"/>
          <w:szCs w:val="21"/>
          <w:highlight w:val="none"/>
          <w:u w:val="none"/>
        </w:rPr>
        <w:t>（3）合同条款及格式</w:t>
      </w:r>
    </w:p>
    <w:p w14:paraId="4EAC0D37">
      <w:pPr>
        <w:pageBreakBefore w:val="0"/>
        <w:tabs>
          <w:tab w:val="left" w:pos="900"/>
        </w:tabs>
        <w:kinsoku/>
        <w:topLinePunct w:val="0"/>
        <w:bidi w:val="0"/>
        <w:spacing w:line="360" w:lineRule="auto"/>
        <w:ind w:firstLine="420" w:firstLineChars="200"/>
        <w:rPr>
          <w:rFonts w:hint="eastAsia" w:ascii="宋体" w:hAnsi="宋体"/>
          <w:color w:val="auto"/>
          <w:szCs w:val="21"/>
          <w:highlight w:val="none"/>
          <w:u w:val="none"/>
        </w:rPr>
      </w:pPr>
      <w:r>
        <w:rPr>
          <w:rFonts w:hint="eastAsia" w:ascii="宋体" w:hAnsi="宋体"/>
          <w:color w:val="auto"/>
          <w:szCs w:val="21"/>
          <w:highlight w:val="none"/>
          <w:u w:val="none"/>
        </w:rPr>
        <w:t>（4）项目需求</w:t>
      </w:r>
    </w:p>
    <w:p w14:paraId="3983D6D1">
      <w:pPr>
        <w:pageBreakBefore w:val="0"/>
        <w:tabs>
          <w:tab w:val="left" w:pos="900"/>
        </w:tabs>
        <w:kinsoku/>
        <w:topLinePunct w:val="0"/>
        <w:bidi w:val="0"/>
        <w:spacing w:line="360" w:lineRule="auto"/>
        <w:ind w:firstLine="420" w:firstLineChars="200"/>
        <w:rPr>
          <w:rFonts w:hint="eastAsia" w:ascii="宋体" w:hAnsi="宋体"/>
          <w:color w:val="auto"/>
          <w:szCs w:val="21"/>
          <w:highlight w:val="none"/>
          <w:u w:val="none"/>
        </w:rPr>
      </w:pPr>
      <w:r>
        <w:rPr>
          <w:rFonts w:hint="eastAsia" w:ascii="宋体" w:hAnsi="宋体"/>
          <w:color w:val="auto"/>
          <w:szCs w:val="21"/>
          <w:highlight w:val="none"/>
          <w:u w:val="none"/>
        </w:rPr>
        <w:t>（5）评审方法和评审标准</w:t>
      </w:r>
    </w:p>
    <w:p w14:paraId="11D4CF9E">
      <w:pPr>
        <w:pageBreakBefore w:val="0"/>
        <w:tabs>
          <w:tab w:val="left" w:pos="900"/>
        </w:tabs>
        <w:kinsoku/>
        <w:topLinePunct w:val="0"/>
        <w:bidi w:val="0"/>
        <w:spacing w:line="360" w:lineRule="auto"/>
        <w:ind w:firstLine="420" w:firstLineChars="200"/>
        <w:rPr>
          <w:rFonts w:hint="eastAsia" w:ascii="宋体" w:hAnsi="宋体"/>
          <w:color w:val="auto"/>
          <w:szCs w:val="21"/>
          <w:highlight w:val="none"/>
          <w:u w:val="none"/>
        </w:rPr>
      </w:pPr>
      <w:r>
        <w:rPr>
          <w:rFonts w:hint="eastAsia" w:ascii="宋体" w:hAnsi="宋体"/>
          <w:color w:val="auto"/>
          <w:szCs w:val="21"/>
          <w:highlight w:val="none"/>
          <w:u w:val="none"/>
        </w:rPr>
        <w:t>（6）响应文件组成和格式</w:t>
      </w:r>
    </w:p>
    <w:p w14:paraId="2C2DA303">
      <w:pPr>
        <w:pageBreakBefore w:val="0"/>
        <w:tabs>
          <w:tab w:val="left" w:pos="900"/>
        </w:tabs>
        <w:kinsoku/>
        <w:topLinePunct w:val="0"/>
        <w:bidi w:val="0"/>
        <w:spacing w:line="360" w:lineRule="auto"/>
        <w:ind w:firstLine="420" w:firstLineChars="200"/>
        <w:rPr>
          <w:rFonts w:hint="eastAsia" w:ascii="宋体" w:hAnsi="宋体"/>
          <w:color w:val="auto"/>
          <w:szCs w:val="21"/>
          <w:highlight w:val="none"/>
          <w:u w:val="none"/>
        </w:rPr>
      </w:pPr>
      <w:r>
        <w:rPr>
          <w:rFonts w:hint="eastAsia" w:ascii="宋体" w:hAnsi="宋体"/>
          <w:color w:val="auto"/>
          <w:szCs w:val="21"/>
          <w:highlight w:val="none"/>
          <w:u w:val="none"/>
        </w:rPr>
        <w:t>请仔细检查磋商文件是否齐全，如有缺漏请立即与采购人或采购代理机构联系解决。</w:t>
      </w:r>
    </w:p>
    <w:p w14:paraId="6DD36FEC">
      <w:pPr>
        <w:pageBreakBefore w:val="0"/>
        <w:tabs>
          <w:tab w:val="left" w:pos="900"/>
        </w:tabs>
        <w:kinsoku/>
        <w:topLinePunct w:val="0"/>
        <w:bidi w:val="0"/>
        <w:spacing w:line="360" w:lineRule="auto"/>
        <w:ind w:firstLine="420" w:firstLineChars="200"/>
        <w:rPr>
          <w:rFonts w:hint="eastAsia" w:ascii="宋体" w:hAnsi="宋体"/>
          <w:color w:val="auto"/>
          <w:szCs w:val="21"/>
          <w:highlight w:val="none"/>
          <w:u w:val="none"/>
        </w:rPr>
      </w:pPr>
      <w:r>
        <w:rPr>
          <w:rFonts w:hint="eastAsia" w:ascii="宋体" w:hAnsi="宋体"/>
          <w:color w:val="auto"/>
          <w:szCs w:val="21"/>
          <w:highlight w:val="none"/>
          <w:u w:val="none"/>
        </w:rPr>
        <w:t>1.2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p>
    <w:p w14:paraId="637995A9">
      <w:pPr>
        <w:pageBreakBefore w:val="0"/>
        <w:tabs>
          <w:tab w:val="left" w:pos="900"/>
        </w:tabs>
        <w:kinsoku/>
        <w:topLinePunct w:val="0"/>
        <w:bidi w:val="0"/>
        <w:spacing w:line="360" w:lineRule="auto"/>
        <w:ind w:firstLine="420" w:firstLineChars="200"/>
        <w:rPr>
          <w:rFonts w:hint="eastAsia" w:ascii="宋体" w:hAnsi="宋体"/>
          <w:color w:val="auto"/>
          <w:szCs w:val="21"/>
          <w:highlight w:val="none"/>
          <w:u w:val="none"/>
        </w:rPr>
      </w:pPr>
      <w:bookmarkStart w:id="91" w:name="_Toc16938527"/>
      <w:bookmarkStart w:id="92" w:name="_Toc20823283"/>
      <w:bookmarkStart w:id="93" w:name="_Toc462564070"/>
      <w:bookmarkStart w:id="94" w:name="_Toc513029211"/>
      <w:r>
        <w:rPr>
          <w:rFonts w:hint="eastAsia" w:ascii="宋体" w:hAnsi="宋体"/>
          <w:color w:val="auto"/>
          <w:szCs w:val="21"/>
          <w:highlight w:val="none"/>
          <w:u w:val="none"/>
        </w:rPr>
        <w:t>2.磋商文件的澄清</w:t>
      </w:r>
      <w:bookmarkEnd w:id="91"/>
      <w:bookmarkEnd w:id="92"/>
      <w:bookmarkEnd w:id="93"/>
      <w:bookmarkEnd w:id="94"/>
    </w:p>
    <w:p w14:paraId="4A6F6802">
      <w:pPr>
        <w:pageBreakBefore w:val="0"/>
        <w:tabs>
          <w:tab w:val="left" w:pos="900"/>
        </w:tabs>
        <w:kinsoku/>
        <w:topLinePunct w:val="0"/>
        <w:bidi w:val="0"/>
        <w:spacing w:line="360" w:lineRule="auto"/>
        <w:ind w:firstLine="420" w:firstLineChars="200"/>
        <w:rPr>
          <w:rFonts w:hint="eastAsia" w:ascii="宋体" w:hAnsi="宋体"/>
          <w:color w:val="auto"/>
          <w:szCs w:val="21"/>
          <w:highlight w:val="none"/>
          <w:u w:val="none"/>
        </w:rPr>
      </w:pPr>
      <w:r>
        <w:rPr>
          <w:rFonts w:hint="eastAsia" w:ascii="宋体" w:hAnsi="宋体"/>
          <w:color w:val="auto"/>
          <w:szCs w:val="21"/>
          <w:highlight w:val="none"/>
          <w:u w:val="none"/>
        </w:rPr>
        <w:t>2.1任何要求对磋商文件进行澄清的供应商，应在提交首次响应文件截止时间五日前按磋商公告中的通讯地址，以书面形式通知采购人或采购代理机构。采购人或采购代理机构有权对发出的磋商文件进行必要的澄清或修改。</w:t>
      </w:r>
    </w:p>
    <w:p w14:paraId="2EF5F8FB">
      <w:pPr>
        <w:pageBreakBefore w:val="0"/>
        <w:tabs>
          <w:tab w:val="left" w:pos="900"/>
        </w:tabs>
        <w:kinsoku/>
        <w:topLinePunct w:val="0"/>
        <w:bidi w:val="0"/>
        <w:spacing w:line="360" w:lineRule="auto"/>
        <w:ind w:firstLine="420" w:firstLineChars="200"/>
        <w:rPr>
          <w:rFonts w:hint="eastAsia" w:ascii="宋体" w:hAnsi="宋体"/>
          <w:color w:val="auto"/>
          <w:szCs w:val="21"/>
          <w:highlight w:val="none"/>
          <w:u w:val="none"/>
        </w:rPr>
      </w:pPr>
      <w:r>
        <w:rPr>
          <w:rFonts w:hint="eastAsia" w:ascii="宋体" w:hAnsi="宋体"/>
          <w:color w:val="auto"/>
          <w:szCs w:val="21"/>
          <w:highlight w:val="none"/>
          <w:u w:val="none"/>
        </w:rPr>
        <w:t>2.2采购人可以视采购项目的具体情况，组织供应商进行现场考察或召开磋商前答疑会，但不单独或分别组织只有一个供应商参加的现场考察和答疑会。</w:t>
      </w:r>
    </w:p>
    <w:p w14:paraId="2D5D905F">
      <w:pPr>
        <w:pageBreakBefore w:val="0"/>
        <w:tabs>
          <w:tab w:val="left" w:pos="900"/>
        </w:tabs>
        <w:kinsoku/>
        <w:topLinePunct w:val="0"/>
        <w:bidi w:val="0"/>
        <w:spacing w:line="360" w:lineRule="auto"/>
        <w:ind w:firstLine="420" w:firstLineChars="200"/>
        <w:rPr>
          <w:rFonts w:hint="eastAsia" w:ascii="宋体" w:hAnsi="宋体"/>
          <w:color w:val="auto"/>
          <w:szCs w:val="21"/>
          <w:highlight w:val="none"/>
          <w:u w:val="none"/>
        </w:rPr>
      </w:pPr>
      <w:bookmarkStart w:id="95" w:name="_Toc20823284"/>
      <w:bookmarkStart w:id="96" w:name="_Toc513029212"/>
      <w:bookmarkStart w:id="97" w:name="_Toc462564071"/>
      <w:bookmarkStart w:id="98" w:name="_Toc16938528"/>
      <w:r>
        <w:rPr>
          <w:rFonts w:hint="eastAsia" w:ascii="宋体" w:hAnsi="宋体"/>
          <w:color w:val="auto"/>
          <w:szCs w:val="21"/>
          <w:highlight w:val="none"/>
          <w:u w:val="none"/>
        </w:rPr>
        <w:t>3.磋商文件的修改</w:t>
      </w:r>
      <w:bookmarkEnd w:id="95"/>
      <w:bookmarkEnd w:id="96"/>
      <w:bookmarkEnd w:id="97"/>
      <w:bookmarkEnd w:id="98"/>
    </w:p>
    <w:p w14:paraId="79786885">
      <w:pPr>
        <w:pageBreakBefore w:val="0"/>
        <w:tabs>
          <w:tab w:val="left" w:pos="900"/>
        </w:tabs>
        <w:kinsoku/>
        <w:topLinePunct w:val="0"/>
        <w:bidi w:val="0"/>
        <w:spacing w:line="360" w:lineRule="auto"/>
        <w:ind w:firstLine="420" w:firstLineChars="200"/>
        <w:rPr>
          <w:rFonts w:hint="eastAsia" w:ascii="宋体" w:hAnsi="宋体"/>
          <w:color w:val="auto"/>
          <w:szCs w:val="21"/>
          <w:highlight w:val="none"/>
          <w:u w:val="none"/>
        </w:rPr>
      </w:pPr>
      <w:r>
        <w:rPr>
          <w:rFonts w:hint="eastAsia" w:ascii="宋体" w:hAnsi="宋体"/>
          <w:color w:val="auto"/>
          <w:szCs w:val="21"/>
          <w:highlight w:val="none"/>
          <w:u w:val="none"/>
        </w:rPr>
        <w:t>3.1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以书面形式通知所有获取磋商文件的供应商；不足5日的，采购人、采购代理机构应当顺延提交首次响应文件截止时间。</w:t>
      </w:r>
      <w:r>
        <w:rPr>
          <w:rFonts w:hint="eastAsia" w:ascii="宋体" w:hAnsi="宋体"/>
          <w:color w:val="auto"/>
          <w:szCs w:val="21"/>
          <w:highlight w:val="none"/>
          <w:u w:val="none"/>
        </w:rPr>
        <w:br w:type="textWrapping"/>
      </w:r>
      <w:r>
        <w:rPr>
          <w:rFonts w:hint="eastAsia" w:ascii="宋体" w:hAnsi="宋体"/>
          <w:color w:val="auto"/>
          <w:szCs w:val="21"/>
          <w:highlight w:val="none"/>
          <w:u w:val="none"/>
        </w:rPr>
        <w:t xml:space="preserve">    3.2磋商文件的修改将在江苏政府采购网公布，补充文件将作为磋商文件的组成部分，并对供应商具有约束力。</w:t>
      </w:r>
    </w:p>
    <w:p w14:paraId="1B4EB89F">
      <w:pPr>
        <w:pageBreakBefore w:val="0"/>
        <w:kinsoku/>
        <w:topLinePunct w:val="0"/>
        <w:bidi w:val="0"/>
        <w:spacing w:line="360" w:lineRule="auto"/>
        <w:ind w:firstLine="482"/>
        <w:rPr>
          <w:rFonts w:hint="eastAsia" w:ascii="宋体" w:hAnsi="宋体" w:cs="宋体"/>
          <w:b/>
          <w:bCs/>
          <w:color w:val="auto"/>
          <w:szCs w:val="21"/>
          <w:highlight w:val="none"/>
          <w:u w:val="none"/>
        </w:rPr>
      </w:pPr>
      <w:r>
        <w:rPr>
          <w:rFonts w:hint="eastAsia" w:ascii="宋体" w:hAnsi="宋体" w:cs="宋体"/>
          <w:b/>
          <w:bCs/>
          <w:color w:val="auto"/>
          <w:szCs w:val="21"/>
          <w:highlight w:val="none"/>
          <w:u w:val="none"/>
        </w:rPr>
        <w:t>4.在投标响应截止日期前，采购单位对采购文件进行澄清或者修改的，通过“苏采云”系统发布澄清公告或者修改的内容。澄清或者修改的内容以所发布的本项目的“更正（澄清）公告”的形式通知所有获取采购文件的潜在供应商。发布本项目的“更正（澄清）公告”后采购代理机构已尽</w:t>
      </w:r>
      <w:r>
        <w:rPr>
          <w:rFonts w:hint="eastAsia" w:ascii="宋体" w:hAnsi="宋体" w:cs="宋体"/>
          <w:b/>
          <w:bCs/>
          <w:color w:val="auto"/>
          <w:szCs w:val="21"/>
          <w:highlight w:val="none"/>
          <w:u w:val="none"/>
          <w:lang w:val="en-US" w:eastAsia="zh-CN"/>
        </w:rPr>
        <w:t>到</w:t>
      </w:r>
      <w:r>
        <w:rPr>
          <w:rFonts w:hint="eastAsia" w:ascii="宋体" w:hAnsi="宋体" w:cs="宋体"/>
          <w:b/>
          <w:bCs/>
          <w:color w:val="auto"/>
          <w:szCs w:val="21"/>
          <w:highlight w:val="none"/>
          <w:u w:val="none"/>
        </w:rPr>
        <w:t>通知义务。敬请各潜在供应商关注本项目的“更正（澄清）公告”，并通过“苏采云”系统重新下载更正（澄清）后的采购文件（后缀名为“.kedt”），离线编制响应文件，否则，将自行承担相应的风险。</w:t>
      </w:r>
    </w:p>
    <w:p w14:paraId="360D5A71">
      <w:pPr>
        <w:pageBreakBefore w:val="0"/>
        <w:kinsoku/>
        <w:topLinePunct w:val="0"/>
        <w:bidi w:val="0"/>
        <w:spacing w:line="360" w:lineRule="auto"/>
        <w:ind w:firstLine="480"/>
        <w:rPr>
          <w:rFonts w:hint="eastAsia" w:ascii="宋体" w:hAnsi="宋体" w:cs="宋体"/>
          <w:color w:val="auto"/>
          <w:szCs w:val="21"/>
          <w:highlight w:val="none"/>
          <w:u w:val="none"/>
        </w:rPr>
      </w:pPr>
      <w:r>
        <w:rPr>
          <w:rFonts w:hint="eastAsia" w:ascii="宋体" w:hAnsi="宋体" w:cs="宋体"/>
          <w:color w:val="auto"/>
          <w:szCs w:val="21"/>
          <w:highlight w:val="none"/>
          <w:u w:val="none"/>
        </w:rPr>
        <w:t>5.供应商对采购人提供的采购文件所做出的推论、解释和结论，采购人概不负责。供应商由于对采购文件的任何推论和误解以及采购人对有关问题的口头解释所造成的后果，均由各潜在供应商自负。</w:t>
      </w:r>
    </w:p>
    <w:p w14:paraId="041BC36D">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2" w:firstLineChars="200"/>
        <w:jc w:val="both"/>
        <w:rPr>
          <w:rFonts w:hint="eastAsia" w:ascii="宋体" w:hAnsi="宋体" w:eastAsia="宋体" w:cs="宋体"/>
          <w:b/>
          <w:bCs w:val="0"/>
          <w:color w:val="auto"/>
          <w:szCs w:val="21"/>
          <w:highlight w:val="none"/>
          <w:u w:val="none"/>
          <w:lang w:val="en-US"/>
        </w:rPr>
      </w:pPr>
      <w:r>
        <w:rPr>
          <w:rFonts w:hint="eastAsia" w:ascii="宋体" w:hAnsi="宋体" w:cs="宋体"/>
          <w:b/>
          <w:bCs w:val="0"/>
          <w:color w:val="auto"/>
          <w:kern w:val="2"/>
          <w:sz w:val="21"/>
          <w:szCs w:val="21"/>
          <w:highlight w:val="none"/>
          <w:u w:val="none"/>
          <w:lang w:val="en-US" w:eastAsia="zh-CN" w:bidi="ar"/>
        </w:rPr>
        <w:t>三、</w:t>
      </w:r>
      <w:r>
        <w:rPr>
          <w:rFonts w:hint="eastAsia" w:ascii="宋体" w:hAnsi="宋体" w:eastAsia="宋体" w:cs="宋体"/>
          <w:b/>
          <w:bCs w:val="0"/>
          <w:color w:val="auto"/>
          <w:kern w:val="2"/>
          <w:sz w:val="21"/>
          <w:szCs w:val="21"/>
          <w:highlight w:val="none"/>
          <w:u w:val="none"/>
          <w:lang w:val="en-US" w:eastAsia="zh-CN" w:bidi="ar"/>
        </w:rPr>
        <w:t>磋商响应文件的编制</w:t>
      </w:r>
    </w:p>
    <w:p w14:paraId="08EDE91B">
      <w:pPr>
        <w:pageBreakBefore w:val="0"/>
        <w:kinsoku/>
        <w:topLinePunct w:val="0"/>
        <w:bidi w:val="0"/>
        <w:spacing w:line="360" w:lineRule="auto"/>
        <w:ind w:firstLine="480"/>
        <w:rPr>
          <w:rFonts w:hint="eastAsia" w:ascii="宋体" w:hAnsi="宋体" w:cs="宋体"/>
          <w:color w:val="auto"/>
          <w:szCs w:val="21"/>
          <w:highlight w:val="none"/>
          <w:u w:val="none"/>
        </w:rPr>
      </w:pPr>
      <w:r>
        <w:rPr>
          <w:rFonts w:hint="eastAsia" w:ascii="宋体" w:hAnsi="宋体" w:cs="宋体"/>
          <w:color w:val="auto"/>
          <w:szCs w:val="21"/>
          <w:highlight w:val="none"/>
          <w:u w:val="none"/>
        </w:rPr>
        <w:t>1.响应文件的语言及度量衡单位</w:t>
      </w:r>
    </w:p>
    <w:p w14:paraId="54D8573E">
      <w:pPr>
        <w:pageBreakBefore w:val="0"/>
        <w:kinsoku/>
        <w:topLinePunct w:val="0"/>
        <w:bidi w:val="0"/>
        <w:spacing w:line="360" w:lineRule="auto"/>
        <w:ind w:firstLine="480"/>
        <w:rPr>
          <w:rFonts w:hint="eastAsia" w:ascii="宋体" w:hAnsi="宋体" w:cs="宋体"/>
          <w:color w:val="auto"/>
          <w:szCs w:val="21"/>
          <w:highlight w:val="none"/>
          <w:u w:val="none"/>
        </w:rPr>
      </w:pPr>
      <w:r>
        <w:rPr>
          <w:rFonts w:hint="eastAsia" w:ascii="宋体" w:hAnsi="宋体" w:cs="宋体"/>
          <w:color w:val="auto"/>
          <w:szCs w:val="21"/>
          <w:highlight w:val="none"/>
          <w:u w:val="none"/>
        </w:rPr>
        <w:t>1.1供应商提交的响应文件以及供应商与采购人或采购代理机构就有关磋商的所有来往通知、函件和文件均应使用简体中文。</w:t>
      </w:r>
    </w:p>
    <w:p w14:paraId="60EB8FD9">
      <w:pPr>
        <w:pageBreakBefore w:val="0"/>
        <w:kinsoku/>
        <w:topLinePunct w:val="0"/>
        <w:bidi w:val="0"/>
        <w:spacing w:line="360" w:lineRule="auto"/>
        <w:ind w:firstLine="480"/>
        <w:rPr>
          <w:rFonts w:hint="eastAsia" w:ascii="宋体" w:hAnsi="宋体" w:cs="宋体"/>
          <w:color w:val="auto"/>
          <w:szCs w:val="21"/>
          <w:highlight w:val="none"/>
          <w:u w:val="none"/>
        </w:rPr>
      </w:pPr>
      <w:r>
        <w:rPr>
          <w:rFonts w:hint="eastAsia" w:ascii="宋体" w:hAnsi="宋体" w:cs="宋体"/>
          <w:color w:val="auto"/>
          <w:szCs w:val="21"/>
          <w:highlight w:val="none"/>
          <w:u w:val="none"/>
        </w:rPr>
        <w:t>1.2除技术性能另有规定外，响应文件所使用的度量衡单位，均须采用国家法定计量单位。</w:t>
      </w:r>
    </w:p>
    <w:p w14:paraId="23B86CC1">
      <w:pPr>
        <w:pageBreakBefore w:val="0"/>
        <w:kinsoku/>
        <w:topLinePunct w:val="0"/>
        <w:bidi w:val="0"/>
        <w:spacing w:line="360" w:lineRule="auto"/>
        <w:ind w:firstLine="480"/>
        <w:rPr>
          <w:rFonts w:hint="eastAsia" w:ascii="宋体" w:hAnsi="宋体" w:cs="宋体"/>
          <w:color w:val="auto"/>
          <w:szCs w:val="21"/>
          <w:highlight w:val="none"/>
          <w:u w:val="none"/>
        </w:rPr>
      </w:pPr>
      <w:r>
        <w:rPr>
          <w:rFonts w:hint="eastAsia" w:ascii="宋体" w:hAnsi="宋体" w:cs="宋体"/>
          <w:color w:val="auto"/>
          <w:szCs w:val="21"/>
          <w:highlight w:val="none"/>
          <w:u w:val="none"/>
        </w:rPr>
        <w:t>2.响应文件构成</w:t>
      </w:r>
    </w:p>
    <w:p w14:paraId="265A2AC7">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szCs w:val="21"/>
          <w:highlight w:val="none"/>
          <w:u w:val="none"/>
          <w:lang w:val="en-US"/>
        </w:rPr>
      </w:pPr>
      <w:r>
        <w:rPr>
          <w:rFonts w:hint="eastAsia" w:ascii="宋体" w:hAnsi="宋体" w:cs="宋体"/>
          <w:color w:val="auto"/>
          <w:kern w:val="2"/>
          <w:sz w:val="21"/>
          <w:szCs w:val="21"/>
          <w:highlight w:val="none"/>
          <w:u w:val="none"/>
          <w:lang w:val="en-US" w:eastAsia="zh-CN" w:bidi="ar"/>
        </w:rPr>
        <w:t>2.1</w:t>
      </w:r>
      <w:r>
        <w:rPr>
          <w:rFonts w:hint="eastAsia" w:ascii="宋体" w:hAnsi="宋体" w:eastAsia="宋体" w:cs="宋体"/>
          <w:color w:val="auto"/>
          <w:kern w:val="2"/>
          <w:sz w:val="21"/>
          <w:szCs w:val="21"/>
          <w:highlight w:val="none"/>
          <w:u w:val="none"/>
          <w:lang w:val="en-US" w:eastAsia="zh-CN" w:bidi="ar"/>
        </w:rPr>
        <w:t>供应商应认真阅读和理解磋商文件，并按磋商文件的要求编制响应文件；响应文件应对磋商文件做实质性响应，并保证所提供资料的真实性。磋商供应商编写的响应文件应包括下列部分：</w:t>
      </w:r>
    </w:p>
    <w:p w14:paraId="18578308">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szCs w:val="21"/>
          <w:highlight w:val="none"/>
          <w:u w:val="none"/>
          <w:lang w:val="en-US"/>
        </w:rPr>
      </w:pPr>
      <w:r>
        <w:rPr>
          <w:rFonts w:hint="eastAsia" w:ascii="宋体" w:hAnsi="宋体" w:eastAsia="宋体" w:cs="宋体"/>
          <w:color w:val="auto"/>
          <w:kern w:val="2"/>
          <w:sz w:val="21"/>
          <w:szCs w:val="21"/>
          <w:highlight w:val="none"/>
          <w:u w:val="none"/>
          <w:lang w:val="en-US" w:eastAsia="zh-CN" w:bidi="ar"/>
        </w:rPr>
        <w:t>加★项目若有缺失或无效，将导致该响应文件作无效响应文件评定，且不允许在磋商截止时间后补正。</w:t>
      </w:r>
    </w:p>
    <w:p w14:paraId="22BD597D">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szCs w:val="21"/>
          <w:highlight w:val="none"/>
          <w:u w:val="none"/>
          <w:lang w:val="en-US"/>
        </w:rPr>
      </w:pPr>
      <w:r>
        <w:rPr>
          <w:rFonts w:hint="eastAsia" w:ascii="宋体" w:hAnsi="宋体" w:cs="宋体"/>
          <w:color w:val="auto"/>
          <w:kern w:val="2"/>
          <w:sz w:val="21"/>
          <w:szCs w:val="21"/>
          <w:highlight w:val="none"/>
          <w:u w:val="none"/>
          <w:lang w:val="en-US" w:eastAsia="zh-CN" w:bidi="ar"/>
        </w:rPr>
        <w:t>2.1.1</w:t>
      </w:r>
      <w:r>
        <w:rPr>
          <w:rFonts w:hint="eastAsia" w:ascii="宋体" w:hAnsi="宋体" w:eastAsia="宋体" w:cs="宋体"/>
          <w:color w:val="auto"/>
          <w:kern w:val="2"/>
          <w:sz w:val="21"/>
          <w:szCs w:val="21"/>
          <w:highlight w:val="none"/>
          <w:u w:val="none"/>
          <w:lang w:val="en-US" w:eastAsia="zh-CN" w:bidi="ar"/>
        </w:rPr>
        <w:t xml:space="preserve"> 资格证明文件（复印件须加盖磋商供应商公章，否则视同未提供。本采购文件所表述（指定）的公章是指刻有供应商法定名称的印章，不包括合同、财务、税务、发票等形式的业务专用章）</w:t>
      </w:r>
    </w:p>
    <w:p w14:paraId="03D5C649">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kern w:val="2"/>
          <w:sz w:val="21"/>
          <w:szCs w:val="21"/>
          <w:highlight w:val="none"/>
          <w:u w:val="none"/>
          <w:lang w:val="en-US" w:eastAsia="zh-CN" w:bidi="ar"/>
        </w:rPr>
      </w:pPr>
      <w:r>
        <w:rPr>
          <w:rFonts w:hint="eastAsia" w:ascii="宋体" w:hAnsi="宋体" w:eastAsia="宋体" w:cs="宋体"/>
          <w:color w:val="auto"/>
          <w:kern w:val="2"/>
          <w:sz w:val="21"/>
          <w:szCs w:val="21"/>
          <w:highlight w:val="none"/>
          <w:u w:val="none"/>
          <w:lang w:val="en-US" w:eastAsia="zh-CN" w:bidi="ar"/>
        </w:rPr>
        <w:t>（1）★法人或者其他组织的营业执照等证明文件， 自然人的身份证明复印件；</w:t>
      </w:r>
    </w:p>
    <w:p w14:paraId="47B0630F">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szCs w:val="21"/>
          <w:highlight w:val="none"/>
          <w:u w:val="none"/>
          <w:lang w:val="en-US"/>
        </w:rPr>
      </w:pPr>
      <w:r>
        <w:rPr>
          <w:rFonts w:hint="eastAsia" w:ascii="宋体" w:hAnsi="宋体" w:eastAsia="宋体" w:cs="宋体"/>
          <w:color w:val="auto"/>
          <w:kern w:val="2"/>
          <w:sz w:val="21"/>
          <w:szCs w:val="21"/>
          <w:highlight w:val="none"/>
          <w:u w:val="none"/>
          <w:lang w:val="en-US" w:eastAsia="zh-CN" w:bidi="ar"/>
        </w:rPr>
        <w:t>（2）★财务状况：2024 年度或 2025 年度经会计师事务所审计的财务报告（须提供加盖会计师事务所公章及注册会计师签章的复印件）；没有经审计的财务报告的，也可以提供 2025 年或 2026 年任意一个月的财务报表，或提供距离响应截止时间6个月内基本开户银行出具的资信证明复印件；</w:t>
      </w:r>
    </w:p>
    <w:p w14:paraId="54049CD1">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kern w:val="2"/>
          <w:sz w:val="21"/>
          <w:szCs w:val="21"/>
          <w:highlight w:val="none"/>
          <w:u w:val="none"/>
          <w:lang w:val="en-US" w:eastAsia="zh-CN" w:bidi="ar"/>
        </w:rPr>
      </w:pPr>
      <w:r>
        <w:rPr>
          <w:rFonts w:hint="eastAsia" w:ascii="宋体" w:hAnsi="宋体" w:eastAsia="宋体" w:cs="宋体"/>
          <w:color w:val="auto"/>
          <w:kern w:val="2"/>
          <w:sz w:val="21"/>
          <w:szCs w:val="21"/>
          <w:highlight w:val="none"/>
          <w:u w:val="none"/>
          <w:lang w:val="en-US" w:eastAsia="zh-CN" w:bidi="ar"/>
        </w:rPr>
        <w:t>（3）★依法缴纳税收：</w:t>
      </w:r>
      <w:r>
        <w:rPr>
          <w:rFonts w:hint="eastAsia" w:ascii="宋体" w:hAnsi="宋体" w:cs="宋体"/>
          <w:color w:val="auto"/>
          <w:sz w:val="21"/>
          <w:szCs w:val="21"/>
          <w:highlight w:val="none"/>
          <w:u w:val="none"/>
          <w:lang w:eastAsia="zh-CN"/>
        </w:rPr>
        <w:t>2026年1月</w:t>
      </w:r>
      <w:r>
        <w:rPr>
          <w:rFonts w:hint="eastAsia" w:ascii="宋体" w:hAnsi="宋体" w:eastAsia="宋体" w:cs="宋体"/>
          <w:color w:val="auto"/>
          <w:sz w:val="21"/>
          <w:szCs w:val="21"/>
          <w:highlight w:val="none"/>
          <w:u w:val="none"/>
          <w:lang w:eastAsia="zh-CN"/>
        </w:rPr>
        <w:t>（含）至开标当日任一月份</w:t>
      </w:r>
      <w:r>
        <w:rPr>
          <w:rFonts w:hint="eastAsia" w:ascii="宋体" w:hAnsi="宋体" w:eastAsia="宋体" w:cs="宋体"/>
          <w:color w:val="auto"/>
          <w:kern w:val="2"/>
          <w:sz w:val="21"/>
          <w:szCs w:val="21"/>
          <w:highlight w:val="none"/>
          <w:u w:val="none"/>
          <w:lang w:val="en-US" w:eastAsia="zh-CN" w:bidi="ar"/>
        </w:rPr>
        <w:t>依法缴纳税收（依法缴纳税收材料是指：税务部门出具的税收证明或完税凭证或银行出具的税收缴款证明）的相关材料复印件，如依法免税或不需要纳税的，则应提供相应证明材料复印件；</w:t>
      </w:r>
    </w:p>
    <w:p w14:paraId="389AB1B7">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kern w:val="2"/>
          <w:sz w:val="21"/>
          <w:szCs w:val="21"/>
          <w:highlight w:val="none"/>
          <w:u w:val="none"/>
          <w:lang w:val="en-US" w:eastAsia="zh-CN" w:bidi="ar"/>
        </w:rPr>
      </w:pPr>
      <w:r>
        <w:rPr>
          <w:rFonts w:hint="eastAsia" w:ascii="宋体" w:hAnsi="宋体" w:eastAsia="宋体" w:cs="宋体"/>
          <w:color w:val="auto"/>
          <w:kern w:val="2"/>
          <w:sz w:val="21"/>
          <w:szCs w:val="21"/>
          <w:highlight w:val="none"/>
          <w:u w:val="none"/>
          <w:lang w:val="en-US" w:eastAsia="zh-CN" w:bidi="ar"/>
        </w:rPr>
        <w:t>（4）★社会保障资金：</w:t>
      </w:r>
      <w:r>
        <w:rPr>
          <w:rFonts w:hint="eastAsia" w:ascii="宋体" w:hAnsi="宋体" w:cs="宋体"/>
          <w:color w:val="auto"/>
          <w:sz w:val="21"/>
          <w:szCs w:val="21"/>
          <w:highlight w:val="none"/>
          <w:u w:val="none"/>
          <w:lang w:eastAsia="zh-CN"/>
        </w:rPr>
        <w:t>2026年1月</w:t>
      </w:r>
      <w:r>
        <w:rPr>
          <w:rFonts w:hint="eastAsia" w:ascii="宋体" w:hAnsi="宋体" w:eastAsia="宋体" w:cs="宋体"/>
          <w:color w:val="auto"/>
          <w:sz w:val="21"/>
          <w:szCs w:val="21"/>
          <w:highlight w:val="none"/>
          <w:u w:val="none"/>
          <w:lang w:eastAsia="zh-CN"/>
        </w:rPr>
        <w:t>（含）至开标当日任一月份</w:t>
      </w:r>
      <w:r>
        <w:rPr>
          <w:rFonts w:hint="eastAsia" w:ascii="宋体" w:hAnsi="宋体" w:eastAsia="宋体" w:cs="宋体"/>
          <w:color w:val="auto"/>
          <w:kern w:val="2"/>
          <w:sz w:val="21"/>
          <w:szCs w:val="21"/>
          <w:highlight w:val="none"/>
          <w:u w:val="none"/>
          <w:lang w:val="en-US" w:eastAsia="zh-CN" w:bidi="ar"/>
        </w:rPr>
        <w:t>的依法缴纳社会保障资金的相关材料复印件（社会保障资金材料是指：人社部门或税务机关或银行出具的缴纳社保的凭证），如依法不需要缴纳社会保障资金的，则应提供相应证明材料复印件；</w:t>
      </w:r>
    </w:p>
    <w:p w14:paraId="4F75E83F">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kern w:val="2"/>
          <w:sz w:val="21"/>
          <w:szCs w:val="21"/>
          <w:highlight w:val="none"/>
          <w:u w:val="none"/>
          <w:lang w:val="en-US" w:eastAsia="zh-CN" w:bidi="ar"/>
        </w:rPr>
      </w:pPr>
      <w:r>
        <w:rPr>
          <w:rFonts w:hint="eastAsia" w:ascii="宋体" w:hAnsi="宋体" w:eastAsia="宋体" w:cs="宋体"/>
          <w:color w:val="auto"/>
          <w:kern w:val="2"/>
          <w:sz w:val="21"/>
          <w:szCs w:val="21"/>
          <w:highlight w:val="none"/>
          <w:u w:val="none"/>
          <w:lang w:val="en-US" w:eastAsia="zh-CN" w:bidi="ar"/>
        </w:rPr>
        <w:t>（5）★具备履行合同所必需的设备和专业技术能力的声明或证明材料复印件；</w:t>
      </w:r>
    </w:p>
    <w:p w14:paraId="3D5644C1">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kern w:val="2"/>
          <w:sz w:val="21"/>
          <w:szCs w:val="21"/>
          <w:highlight w:val="none"/>
          <w:u w:val="none"/>
          <w:lang w:val="en-US" w:eastAsia="zh-CN" w:bidi="ar"/>
        </w:rPr>
      </w:pPr>
      <w:r>
        <w:rPr>
          <w:rFonts w:hint="eastAsia" w:ascii="宋体" w:hAnsi="宋体" w:eastAsia="宋体" w:cs="宋体"/>
          <w:color w:val="auto"/>
          <w:kern w:val="2"/>
          <w:sz w:val="21"/>
          <w:szCs w:val="21"/>
          <w:highlight w:val="none"/>
          <w:u w:val="none"/>
          <w:lang w:val="en-US" w:eastAsia="zh-CN" w:bidi="ar"/>
        </w:rPr>
        <w:t>（6）★参加政府采购活动前 3年内在经营活动中没有重大违法记录的书面声明；</w:t>
      </w:r>
    </w:p>
    <w:p w14:paraId="4D90A39A">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color w:val="auto"/>
          <w:spacing w:val="2"/>
          <w:highlight w:val="none"/>
          <w:u w:val="none"/>
          <w:lang w:val="en-US"/>
        </w:rPr>
      </w:pPr>
      <w:r>
        <w:rPr>
          <w:rFonts w:hint="eastAsia" w:ascii="宋体" w:hAnsi="宋体" w:eastAsia="宋体" w:cs="宋体"/>
          <w:color w:val="auto"/>
          <w:kern w:val="2"/>
          <w:sz w:val="21"/>
          <w:szCs w:val="21"/>
          <w:highlight w:val="none"/>
          <w:u w:val="none"/>
          <w:lang w:val="en-US" w:eastAsia="zh-CN" w:bidi="ar"/>
        </w:rPr>
        <w:t>（7）</w:t>
      </w:r>
      <w:r>
        <w:rPr>
          <w:color w:val="auto"/>
          <w:spacing w:val="2"/>
          <w:highlight w:val="none"/>
          <w:u w:val="none"/>
        </w:rPr>
        <w:t>具备法律、行政法规规定的其他条件的证明材料</w:t>
      </w:r>
      <w:r>
        <w:rPr>
          <w:rFonts w:hint="eastAsia"/>
          <w:color w:val="auto"/>
          <w:spacing w:val="2"/>
          <w:highlight w:val="none"/>
          <w:u w:val="none"/>
          <w:lang w:eastAsia="zh-CN"/>
        </w:rPr>
        <w:t>：</w:t>
      </w:r>
      <w:r>
        <w:rPr>
          <w:rFonts w:hint="eastAsia"/>
          <w:color w:val="auto"/>
          <w:spacing w:val="2"/>
          <w:highlight w:val="none"/>
          <w:u w:val="none"/>
          <w:lang w:val="en-US" w:eastAsia="zh-CN"/>
        </w:rPr>
        <w:t>“信用中国”“中国政府采购网”网站信用记录截图；</w:t>
      </w:r>
    </w:p>
    <w:p w14:paraId="7B1773E5">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szCs w:val="21"/>
          <w:highlight w:val="none"/>
          <w:u w:val="none"/>
          <w:lang w:val="en-US"/>
        </w:rPr>
      </w:pPr>
      <w:r>
        <w:rPr>
          <w:rFonts w:hint="eastAsia" w:ascii="宋体" w:hAnsi="宋体" w:eastAsia="宋体" w:cs="宋体"/>
          <w:color w:val="auto"/>
          <w:kern w:val="2"/>
          <w:sz w:val="21"/>
          <w:szCs w:val="21"/>
          <w:highlight w:val="none"/>
          <w:u w:val="none"/>
          <w:lang w:val="en-US" w:eastAsia="zh-CN" w:bidi="ar"/>
        </w:rPr>
        <w:t>2.</w:t>
      </w:r>
      <w:r>
        <w:rPr>
          <w:rFonts w:hint="eastAsia" w:ascii="宋体" w:hAnsi="宋体" w:cs="宋体"/>
          <w:color w:val="auto"/>
          <w:kern w:val="2"/>
          <w:sz w:val="21"/>
          <w:szCs w:val="21"/>
          <w:highlight w:val="none"/>
          <w:u w:val="none"/>
          <w:lang w:val="en-US" w:eastAsia="zh-CN" w:bidi="ar"/>
        </w:rPr>
        <w:t>1</w:t>
      </w:r>
      <w:r>
        <w:rPr>
          <w:rFonts w:hint="eastAsia" w:ascii="宋体" w:hAnsi="宋体" w:eastAsia="宋体" w:cs="宋体"/>
          <w:color w:val="auto"/>
          <w:kern w:val="2"/>
          <w:sz w:val="21"/>
          <w:szCs w:val="21"/>
          <w:highlight w:val="none"/>
          <w:u w:val="none"/>
          <w:lang w:val="en-US" w:eastAsia="zh-CN" w:bidi="ar"/>
        </w:rPr>
        <w:t>.2商务技术文件（</w:t>
      </w:r>
      <w:r>
        <w:rPr>
          <w:rFonts w:hint="eastAsia" w:ascii="宋体" w:hAnsi="宋体" w:eastAsia="宋体" w:cs="宋体"/>
          <w:bCs/>
          <w:color w:val="auto"/>
          <w:kern w:val="2"/>
          <w:sz w:val="21"/>
          <w:szCs w:val="21"/>
          <w:highlight w:val="none"/>
          <w:u w:val="none"/>
          <w:lang w:val="en-US" w:eastAsia="zh-CN" w:bidi="ar"/>
        </w:rPr>
        <w:t>按照本文件第六章统一提供的规范表式填写</w:t>
      </w:r>
      <w:r>
        <w:rPr>
          <w:rFonts w:hint="eastAsia" w:ascii="宋体" w:hAnsi="宋体" w:eastAsia="宋体" w:cs="宋体"/>
          <w:color w:val="auto"/>
          <w:kern w:val="2"/>
          <w:sz w:val="21"/>
          <w:szCs w:val="21"/>
          <w:highlight w:val="none"/>
          <w:u w:val="none"/>
          <w:lang w:val="en-US" w:eastAsia="zh-CN" w:bidi="ar"/>
        </w:rPr>
        <w:t>）</w:t>
      </w:r>
    </w:p>
    <w:p w14:paraId="70E290EB">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szCs w:val="21"/>
          <w:highlight w:val="none"/>
          <w:u w:val="none"/>
          <w:lang w:val="en-US"/>
        </w:rPr>
      </w:pPr>
      <w:r>
        <w:rPr>
          <w:rFonts w:hint="eastAsia" w:ascii="宋体" w:hAnsi="宋体" w:eastAsia="宋体" w:cs="宋体"/>
          <w:color w:val="auto"/>
          <w:kern w:val="2"/>
          <w:sz w:val="21"/>
          <w:szCs w:val="21"/>
          <w:highlight w:val="none"/>
          <w:u w:val="none"/>
          <w:lang w:val="en-US" w:eastAsia="zh-CN" w:bidi="ar"/>
        </w:rPr>
        <w:t>（1）评审索引表；</w:t>
      </w:r>
    </w:p>
    <w:p w14:paraId="4E71EA8E">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default" w:ascii="宋体" w:hAnsi="宋体" w:eastAsia="宋体" w:cs="宋体"/>
          <w:color w:val="auto"/>
          <w:kern w:val="2"/>
          <w:sz w:val="21"/>
          <w:szCs w:val="21"/>
          <w:highlight w:val="none"/>
          <w:u w:val="none"/>
          <w:lang w:val="en-US" w:eastAsia="zh-CN" w:bidi="ar"/>
        </w:rPr>
      </w:pPr>
      <w:r>
        <w:rPr>
          <w:rFonts w:hint="eastAsia" w:ascii="宋体" w:hAnsi="宋体" w:eastAsia="宋体" w:cs="宋体"/>
          <w:color w:val="auto"/>
          <w:kern w:val="2"/>
          <w:sz w:val="21"/>
          <w:szCs w:val="21"/>
          <w:highlight w:val="none"/>
          <w:u w:val="none"/>
          <w:lang w:val="en-US" w:eastAsia="zh-CN" w:bidi="ar"/>
        </w:rPr>
        <w:t>（2）授权委托书；</w:t>
      </w:r>
    </w:p>
    <w:p w14:paraId="4C0C81C9">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szCs w:val="21"/>
          <w:highlight w:val="none"/>
          <w:u w:val="none"/>
          <w:lang w:val="en-US"/>
        </w:rPr>
      </w:pPr>
      <w:r>
        <w:rPr>
          <w:rFonts w:hint="eastAsia" w:ascii="宋体" w:hAnsi="宋体" w:eastAsia="宋体" w:cs="宋体"/>
          <w:color w:val="auto"/>
          <w:kern w:val="2"/>
          <w:sz w:val="21"/>
          <w:szCs w:val="21"/>
          <w:highlight w:val="none"/>
          <w:u w:val="none"/>
          <w:lang w:val="en-US" w:eastAsia="zh-CN" w:bidi="ar"/>
        </w:rPr>
        <w:t>（3）磋商响应函；</w:t>
      </w:r>
    </w:p>
    <w:p w14:paraId="757E90C4">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szCs w:val="21"/>
          <w:highlight w:val="none"/>
          <w:u w:val="none"/>
          <w:lang w:val="en-US"/>
        </w:rPr>
      </w:pPr>
      <w:r>
        <w:rPr>
          <w:rFonts w:hint="eastAsia" w:ascii="宋体" w:hAnsi="宋体" w:eastAsia="宋体" w:cs="宋体"/>
          <w:color w:val="auto"/>
          <w:kern w:val="2"/>
          <w:sz w:val="21"/>
          <w:szCs w:val="21"/>
          <w:highlight w:val="none"/>
          <w:u w:val="none"/>
          <w:lang w:val="en-US" w:eastAsia="zh-CN" w:bidi="ar"/>
        </w:rPr>
        <w:t>（4）首次响应报价表；</w:t>
      </w:r>
    </w:p>
    <w:p w14:paraId="14EE94C6">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szCs w:val="21"/>
          <w:highlight w:val="none"/>
          <w:u w:val="none"/>
          <w:lang w:val="en-US"/>
        </w:rPr>
      </w:pPr>
      <w:r>
        <w:rPr>
          <w:rFonts w:hint="eastAsia" w:ascii="宋体" w:hAnsi="宋体" w:eastAsia="宋体" w:cs="宋体"/>
          <w:color w:val="auto"/>
          <w:kern w:val="2"/>
          <w:sz w:val="21"/>
          <w:szCs w:val="21"/>
          <w:highlight w:val="none"/>
          <w:u w:val="none"/>
          <w:lang w:val="en-US" w:eastAsia="zh-CN" w:bidi="ar"/>
        </w:rPr>
        <w:t>（5）商务及技术响应偏离表；</w:t>
      </w:r>
    </w:p>
    <w:p w14:paraId="201ABCE9">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szCs w:val="21"/>
          <w:highlight w:val="none"/>
          <w:u w:val="none"/>
          <w:lang w:val="en-US"/>
        </w:rPr>
      </w:pPr>
      <w:r>
        <w:rPr>
          <w:rFonts w:hint="eastAsia" w:ascii="宋体" w:hAnsi="宋体" w:eastAsia="宋体" w:cs="宋体"/>
          <w:color w:val="auto"/>
          <w:kern w:val="2"/>
          <w:sz w:val="21"/>
          <w:szCs w:val="21"/>
          <w:highlight w:val="none"/>
          <w:u w:val="none"/>
          <w:lang w:val="en-US" w:eastAsia="zh-CN" w:bidi="ar"/>
        </w:rPr>
        <w:t>（6）供应商基本情况表；</w:t>
      </w:r>
    </w:p>
    <w:p w14:paraId="72C7F635">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szCs w:val="21"/>
          <w:highlight w:val="none"/>
          <w:u w:val="none"/>
          <w:lang w:val="en-US"/>
        </w:rPr>
      </w:pPr>
      <w:r>
        <w:rPr>
          <w:rFonts w:hint="eastAsia" w:ascii="宋体" w:hAnsi="宋体" w:eastAsia="宋体" w:cs="宋体"/>
          <w:color w:val="auto"/>
          <w:kern w:val="2"/>
          <w:sz w:val="21"/>
          <w:szCs w:val="21"/>
          <w:highlight w:val="none"/>
          <w:u w:val="none"/>
          <w:lang w:val="en-US" w:eastAsia="zh-CN" w:bidi="ar"/>
        </w:rPr>
        <w:t>（7）技术方案（</w:t>
      </w:r>
      <w:r>
        <w:rPr>
          <w:rFonts w:hint="eastAsia" w:ascii="宋体" w:hAnsi="宋体" w:eastAsia="宋体" w:cs="宋体"/>
          <w:b/>
          <w:bCs/>
          <w:color w:val="auto"/>
          <w:kern w:val="2"/>
          <w:sz w:val="21"/>
          <w:szCs w:val="21"/>
          <w:highlight w:val="none"/>
          <w:u w:val="none"/>
          <w:lang w:val="en-US" w:eastAsia="zh-CN" w:bidi="ar"/>
        </w:rPr>
        <w:t>供应商根据项目情况自行编制</w:t>
      </w:r>
      <w:r>
        <w:rPr>
          <w:rFonts w:hint="eastAsia" w:ascii="宋体" w:hAnsi="宋体" w:eastAsia="宋体" w:cs="宋体"/>
          <w:color w:val="auto"/>
          <w:kern w:val="2"/>
          <w:sz w:val="21"/>
          <w:szCs w:val="21"/>
          <w:highlight w:val="none"/>
          <w:u w:val="none"/>
          <w:lang w:val="en-US" w:eastAsia="zh-CN" w:bidi="ar"/>
        </w:rPr>
        <w:t>）</w:t>
      </w:r>
    </w:p>
    <w:p w14:paraId="68CDB873">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szCs w:val="21"/>
          <w:highlight w:val="none"/>
          <w:u w:val="none"/>
          <w:lang w:val="en-US"/>
        </w:rPr>
      </w:pPr>
      <w:r>
        <w:rPr>
          <w:rFonts w:hint="eastAsia" w:ascii="宋体" w:hAnsi="宋体" w:eastAsia="宋体" w:cs="宋体"/>
          <w:color w:val="auto"/>
          <w:kern w:val="2"/>
          <w:sz w:val="21"/>
          <w:szCs w:val="21"/>
          <w:highlight w:val="none"/>
          <w:u w:val="none"/>
          <w:lang w:val="en-US" w:eastAsia="zh-CN" w:bidi="ar"/>
        </w:rPr>
        <w:t>（8）拟投入本项目的主要人员表；</w:t>
      </w:r>
    </w:p>
    <w:p w14:paraId="76F16BFC">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szCs w:val="21"/>
          <w:highlight w:val="none"/>
          <w:u w:val="none"/>
          <w:lang w:val="en-US"/>
        </w:rPr>
      </w:pPr>
      <w:r>
        <w:rPr>
          <w:rFonts w:hint="eastAsia" w:ascii="宋体" w:hAnsi="宋体" w:eastAsia="宋体" w:cs="宋体"/>
          <w:color w:val="auto"/>
          <w:kern w:val="2"/>
          <w:sz w:val="21"/>
          <w:szCs w:val="21"/>
          <w:highlight w:val="none"/>
          <w:u w:val="none"/>
          <w:lang w:val="en-US" w:eastAsia="zh-CN" w:bidi="ar"/>
        </w:rPr>
        <w:t>（9）服务承诺</w:t>
      </w:r>
    </w:p>
    <w:p w14:paraId="32530229">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szCs w:val="21"/>
          <w:highlight w:val="none"/>
          <w:u w:val="none"/>
          <w:lang w:val="en-US"/>
        </w:rPr>
      </w:pPr>
      <w:r>
        <w:rPr>
          <w:rFonts w:hint="eastAsia" w:ascii="宋体" w:hAnsi="宋体" w:eastAsia="宋体" w:cs="宋体"/>
          <w:color w:val="auto"/>
          <w:kern w:val="2"/>
          <w:sz w:val="21"/>
          <w:szCs w:val="21"/>
          <w:highlight w:val="none"/>
          <w:u w:val="none"/>
          <w:lang w:val="en-US" w:eastAsia="zh-CN" w:bidi="ar"/>
        </w:rPr>
        <w:t>（10）根据项目需求和评审方法以及评审标准，供应商为使自身处于有利评审地位，应当提交的其他文件和证明资料；</w:t>
      </w:r>
    </w:p>
    <w:p w14:paraId="4A35A9BD">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szCs w:val="21"/>
          <w:highlight w:val="none"/>
          <w:u w:val="none"/>
          <w:lang w:val="en-US"/>
        </w:rPr>
      </w:pPr>
      <w:r>
        <w:rPr>
          <w:rFonts w:hint="eastAsia" w:ascii="宋体" w:hAnsi="宋体" w:eastAsia="宋体" w:cs="宋体"/>
          <w:color w:val="auto"/>
          <w:kern w:val="2"/>
          <w:sz w:val="21"/>
          <w:szCs w:val="21"/>
          <w:highlight w:val="none"/>
          <w:u w:val="none"/>
          <w:lang w:val="en-US" w:eastAsia="zh-CN" w:bidi="ar"/>
        </w:rPr>
        <w:t>（11）采购文件需要的其他资料及供应商认为需要提供的其他内容。</w:t>
      </w:r>
    </w:p>
    <w:p w14:paraId="1F6745A5">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default" w:ascii="宋体" w:hAnsi="宋体" w:eastAsia="宋体" w:cs="宋体"/>
          <w:color w:val="auto"/>
          <w:kern w:val="2"/>
          <w:sz w:val="21"/>
          <w:szCs w:val="21"/>
          <w:highlight w:val="none"/>
          <w:u w:val="none"/>
          <w:lang w:val="en-US" w:eastAsia="zh-CN" w:bidi="ar"/>
        </w:rPr>
      </w:pPr>
      <w:r>
        <w:rPr>
          <w:rFonts w:hint="eastAsia" w:ascii="宋体" w:hAnsi="宋体" w:eastAsia="宋体" w:cs="宋体"/>
          <w:color w:val="auto"/>
          <w:kern w:val="2"/>
          <w:sz w:val="21"/>
          <w:szCs w:val="21"/>
          <w:highlight w:val="none"/>
          <w:u w:val="none"/>
          <w:lang w:val="en-US" w:eastAsia="zh-CN" w:bidi="ar"/>
        </w:rPr>
        <w:t>3.磋商响应报价</w:t>
      </w:r>
    </w:p>
    <w:p w14:paraId="17C13432">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kern w:val="2"/>
          <w:sz w:val="21"/>
          <w:szCs w:val="21"/>
          <w:highlight w:val="none"/>
          <w:u w:val="none"/>
          <w:lang w:val="en-US" w:eastAsia="zh-CN" w:bidi="ar"/>
        </w:rPr>
      </w:pPr>
      <w:r>
        <w:rPr>
          <w:rFonts w:hint="eastAsia" w:ascii="宋体" w:hAnsi="宋体" w:eastAsia="宋体" w:cs="宋体"/>
          <w:color w:val="auto"/>
          <w:kern w:val="2"/>
          <w:sz w:val="21"/>
          <w:szCs w:val="21"/>
          <w:highlight w:val="none"/>
          <w:u w:val="none"/>
          <w:lang w:val="en-US" w:eastAsia="zh-CN" w:bidi="ar"/>
        </w:rPr>
        <w:t>3.1除采购文件另有规定外，应以人民币报价，线上采购项目还需按照投标工具的流程和提示编制并上传磋商报价表。</w:t>
      </w:r>
    </w:p>
    <w:p w14:paraId="1A486054">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kern w:val="2"/>
          <w:sz w:val="21"/>
          <w:szCs w:val="21"/>
          <w:highlight w:val="none"/>
          <w:u w:val="none"/>
          <w:lang w:val="en-US" w:eastAsia="zh-CN" w:bidi="ar"/>
        </w:rPr>
      </w:pPr>
      <w:r>
        <w:rPr>
          <w:rFonts w:hint="eastAsia" w:ascii="宋体" w:hAnsi="宋体" w:eastAsia="宋体" w:cs="宋体"/>
          <w:color w:val="auto"/>
          <w:kern w:val="2"/>
          <w:sz w:val="21"/>
          <w:szCs w:val="21"/>
          <w:highlight w:val="none"/>
          <w:u w:val="none"/>
          <w:lang w:val="en-US" w:eastAsia="zh-CN" w:bidi="ar"/>
        </w:rPr>
        <w:t>3.2本项目不接受任何形式的赠送、“零”报价和折扣报价。</w:t>
      </w:r>
    </w:p>
    <w:p w14:paraId="69EC40D5">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kern w:val="2"/>
          <w:sz w:val="21"/>
          <w:szCs w:val="21"/>
          <w:highlight w:val="none"/>
          <w:u w:val="none"/>
          <w:lang w:val="en-US" w:eastAsia="zh-CN" w:bidi="ar"/>
        </w:rPr>
      </w:pPr>
      <w:r>
        <w:rPr>
          <w:rFonts w:hint="eastAsia" w:ascii="宋体" w:hAnsi="宋体" w:eastAsia="宋体" w:cs="宋体"/>
          <w:color w:val="auto"/>
          <w:kern w:val="2"/>
          <w:sz w:val="21"/>
          <w:szCs w:val="21"/>
          <w:highlight w:val="none"/>
          <w:u w:val="none"/>
          <w:lang w:val="en-US" w:eastAsia="zh-CN" w:bidi="ar"/>
        </w:rPr>
        <w:t>3.3本项目以磋商总报价为依据计算价格分。磋商总报价应包括采购文件中要求供应商承担所有工作内容的全部费用。</w:t>
      </w:r>
    </w:p>
    <w:p w14:paraId="0F0146A9">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2" w:firstLineChars="200"/>
        <w:jc w:val="both"/>
        <w:rPr>
          <w:rFonts w:hint="eastAsia" w:ascii="宋体" w:hAnsi="宋体" w:eastAsia="宋体" w:cs="宋体"/>
          <w:b/>
          <w:bCs/>
          <w:color w:val="auto"/>
          <w:kern w:val="2"/>
          <w:sz w:val="21"/>
          <w:szCs w:val="21"/>
          <w:highlight w:val="none"/>
          <w:u w:val="none"/>
          <w:lang w:val="en-US" w:eastAsia="zh-CN" w:bidi="ar"/>
        </w:rPr>
      </w:pPr>
      <w:r>
        <w:rPr>
          <w:rFonts w:hint="eastAsia" w:ascii="宋体" w:hAnsi="宋体" w:eastAsia="宋体" w:cs="宋体"/>
          <w:b/>
          <w:bCs/>
          <w:color w:val="auto"/>
          <w:kern w:val="2"/>
          <w:sz w:val="21"/>
          <w:szCs w:val="21"/>
          <w:highlight w:val="none"/>
          <w:u w:val="none"/>
          <w:lang w:val="en-US" w:eastAsia="zh-CN" w:bidi="ar"/>
        </w:rPr>
        <w:t>3.4异常低价审查：</w:t>
      </w:r>
    </w:p>
    <w:p w14:paraId="3DDAB37C">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kern w:val="2"/>
          <w:sz w:val="21"/>
          <w:szCs w:val="21"/>
          <w:highlight w:val="none"/>
          <w:u w:val="none"/>
          <w:lang w:val="en-US" w:eastAsia="zh-CN" w:bidi="ar"/>
        </w:rPr>
      </w:pPr>
      <w:r>
        <w:rPr>
          <w:rFonts w:hint="eastAsia" w:ascii="宋体" w:hAnsi="宋体" w:eastAsia="宋体" w:cs="宋体"/>
          <w:color w:val="auto"/>
          <w:kern w:val="2"/>
          <w:sz w:val="21"/>
          <w:szCs w:val="21"/>
          <w:highlight w:val="none"/>
          <w:u w:val="none"/>
          <w:lang w:val="en-US" w:eastAsia="zh-CN" w:bidi="ar"/>
        </w:rPr>
        <w:t>3.4.1评审中出现下列情形之一的，评审委员会应当启动异常低价投标（响应）审查程序：</w:t>
      </w:r>
    </w:p>
    <w:p w14:paraId="66C1BB2E">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kern w:val="2"/>
          <w:sz w:val="21"/>
          <w:szCs w:val="21"/>
          <w:highlight w:val="none"/>
          <w:u w:val="none"/>
          <w:lang w:val="en-US" w:eastAsia="zh-CN" w:bidi="ar"/>
        </w:rPr>
      </w:pPr>
      <w:r>
        <w:rPr>
          <w:rFonts w:hint="eastAsia" w:ascii="宋体" w:hAnsi="宋体" w:eastAsia="宋体" w:cs="宋体"/>
          <w:color w:val="auto"/>
          <w:kern w:val="2"/>
          <w:sz w:val="21"/>
          <w:szCs w:val="21"/>
          <w:highlight w:val="none"/>
          <w:u w:val="none"/>
          <w:lang w:val="en-US" w:eastAsia="zh-CN" w:bidi="ar"/>
        </w:rPr>
        <w:t>①投标（响应）报价低于全部通过符合性审查供应商投标（响应）报价平均值50%的，即投标（响应）报价&lt;全部通过符合性审查供应商投标（响应）报价平均值×50%；</w:t>
      </w:r>
    </w:p>
    <w:p w14:paraId="5D625EDF">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kern w:val="2"/>
          <w:sz w:val="21"/>
          <w:szCs w:val="21"/>
          <w:highlight w:val="none"/>
          <w:u w:val="none"/>
          <w:lang w:val="en-US" w:eastAsia="zh-CN" w:bidi="ar"/>
        </w:rPr>
      </w:pPr>
      <w:r>
        <w:rPr>
          <w:rFonts w:hint="eastAsia" w:ascii="宋体" w:hAnsi="宋体" w:eastAsia="宋体" w:cs="宋体"/>
          <w:color w:val="auto"/>
          <w:kern w:val="2"/>
          <w:sz w:val="21"/>
          <w:szCs w:val="21"/>
          <w:highlight w:val="none"/>
          <w:u w:val="none"/>
          <w:lang w:val="en-US" w:eastAsia="zh-CN" w:bidi="ar"/>
        </w:rPr>
        <w:t>②投标（响应）报价低于通过符合性审查的次低报价供应商投标（响应）报价50%的，即投标（响应）报价&lt;通过符合性审查的次低报价供应商投标（响应）报价×50%；</w:t>
      </w:r>
    </w:p>
    <w:p w14:paraId="26D312A1">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kern w:val="2"/>
          <w:sz w:val="21"/>
          <w:szCs w:val="21"/>
          <w:highlight w:val="none"/>
          <w:u w:val="none"/>
          <w:lang w:val="en-US" w:eastAsia="zh-CN" w:bidi="ar"/>
        </w:rPr>
      </w:pPr>
      <w:r>
        <w:rPr>
          <w:rFonts w:hint="eastAsia" w:ascii="宋体" w:hAnsi="宋体" w:eastAsia="宋体" w:cs="宋体"/>
          <w:color w:val="auto"/>
          <w:kern w:val="2"/>
          <w:sz w:val="21"/>
          <w:szCs w:val="21"/>
          <w:highlight w:val="none"/>
          <w:u w:val="none"/>
          <w:lang w:val="en-US" w:eastAsia="zh-CN" w:bidi="ar"/>
        </w:rPr>
        <w:t>③投标（响应）报价低于采购项目最高限价45%的，即投标（响应）报价&lt;采购项目最高限价 ×45%；</w:t>
      </w:r>
    </w:p>
    <w:p w14:paraId="21A38308">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kern w:val="2"/>
          <w:sz w:val="21"/>
          <w:szCs w:val="21"/>
          <w:highlight w:val="none"/>
          <w:u w:val="none"/>
          <w:lang w:val="en-US" w:eastAsia="zh-CN" w:bidi="ar"/>
        </w:rPr>
      </w:pPr>
      <w:r>
        <w:rPr>
          <w:rFonts w:hint="eastAsia" w:ascii="宋体" w:hAnsi="宋体" w:eastAsia="宋体" w:cs="宋体"/>
          <w:color w:val="auto"/>
          <w:kern w:val="2"/>
          <w:sz w:val="21"/>
          <w:szCs w:val="21"/>
          <w:highlight w:val="none"/>
          <w:u w:val="none"/>
          <w:lang w:val="en-US" w:eastAsia="zh-CN" w:bidi="ar"/>
        </w:rPr>
        <w:t>④评审委员会基于专业判断，认为供应商报价过低，有可能影响产品质量或者不能诚信履约的其他情形。</w:t>
      </w:r>
    </w:p>
    <w:p w14:paraId="5013DB41">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kern w:val="2"/>
          <w:sz w:val="21"/>
          <w:szCs w:val="21"/>
          <w:highlight w:val="none"/>
          <w:u w:val="none"/>
          <w:lang w:val="en-US" w:eastAsia="zh-CN" w:bidi="ar"/>
        </w:rPr>
      </w:pPr>
      <w:r>
        <w:rPr>
          <w:rFonts w:hint="eastAsia" w:ascii="宋体" w:hAnsi="宋体" w:eastAsia="宋体" w:cs="宋体"/>
          <w:color w:val="auto"/>
          <w:kern w:val="2"/>
          <w:sz w:val="21"/>
          <w:szCs w:val="21"/>
          <w:highlight w:val="none"/>
          <w:u w:val="none"/>
          <w:lang w:val="en-US" w:eastAsia="zh-CN" w:bidi="ar"/>
        </w:rPr>
        <w:t>3.4.2评审委员会启动异常低价投标（响应）审查后，属于前述第①项至第④项情形的，应当要求相关供应商在评审现场合理的时间内对投标（响应）价格作出解释，提供项目具体成本测算等与报价合理性相关的书面说明及必要的证明材料，包括但</w:t>
      </w:r>
      <w:r>
        <w:rPr>
          <w:rFonts w:hint="eastAsia" w:ascii="宋体" w:hAnsi="宋体" w:eastAsia="宋体" w:cs="宋体"/>
          <w:b/>
          <w:bCs/>
          <w:color w:val="auto"/>
          <w:kern w:val="2"/>
          <w:sz w:val="21"/>
          <w:szCs w:val="21"/>
          <w:highlight w:val="none"/>
          <w:u w:val="none"/>
          <w:lang w:val="en-US" w:eastAsia="zh-CN" w:bidi="ar"/>
        </w:rPr>
        <w:t>不限于人工成本（银行工资发放流水记录）、服务器具使用费（采购原始发票或租赁费支付发票）、企业管理费测算等</w:t>
      </w:r>
      <w:r>
        <w:rPr>
          <w:rFonts w:hint="eastAsia" w:ascii="宋体" w:hAnsi="宋体" w:eastAsia="宋体" w:cs="宋体"/>
          <w:color w:val="auto"/>
          <w:kern w:val="2"/>
          <w:sz w:val="21"/>
          <w:szCs w:val="21"/>
          <w:highlight w:val="none"/>
          <w:u w:val="none"/>
          <w:lang w:val="en-US" w:eastAsia="zh-CN" w:bidi="ar"/>
        </w:rPr>
        <w:t>，给予相关供应商的合理时间一般不少于30分钟。其中，属于第③项情形，供应商已随投标（响应）文件一并提交相关书面说明及必要的证明材料的，在评审现场可不再重复提交。</w:t>
      </w:r>
    </w:p>
    <w:p w14:paraId="5516B745">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default" w:ascii="宋体" w:hAnsi="宋体" w:eastAsia="宋体" w:cs="宋体"/>
          <w:color w:val="auto"/>
          <w:kern w:val="2"/>
          <w:sz w:val="21"/>
          <w:szCs w:val="21"/>
          <w:highlight w:val="none"/>
          <w:u w:val="none"/>
          <w:lang w:val="en-US" w:eastAsia="zh-CN" w:bidi="ar"/>
        </w:rPr>
      </w:pPr>
      <w:r>
        <w:rPr>
          <w:rFonts w:hint="eastAsia" w:ascii="宋体" w:hAnsi="宋体" w:eastAsia="宋体" w:cs="宋体"/>
          <w:color w:val="auto"/>
          <w:kern w:val="2"/>
          <w:sz w:val="21"/>
          <w:szCs w:val="21"/>
          <w:highlight w:val="none"/>
          <w:u w:val="none"/>
          <w:lang w:val="en-US" w:eastAsia="zh-CN" w:bidi="ar"/>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66C9ED59">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kern w:val="2"/>
          <w:sz w:val="21"/>
          <w:szCs w:val="21"/>
          <w:highlight w:val="none"/>
          <w:u w:val="none"/>
          <w:lang w:val="en-US" w:eastAsia="zh-CN" w:bidi="ar"/>
        </w:rPr>
      </w:pPr>
      <w:r>
        <w:rPr>
          <w:rFonts w:hint="eastAsia" w:ascii="宋体" w:hAnsi="宋体" w:eastAsia="宋体" w:cs="宋体"/>
          <w:color w:val="auto"/>
          <w:kern w:val="2"/>
          <w:sz w:val="21"/>
          <w:szCs w:val="21"/>
          <w:highlight w:val="none"/>
          <w:u w:val="none"/>
          <w:lang w:val="en-US" w:eastAsia="zh-CN" w:bidi="ar"/>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遭守评审工作纪律，不得实施影响评审公正的行为。</w:t>
      </w:r>
    </w:p>
    <w:p w14:paraId="62330962">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kern w:val="2"/>
          <w:sz w:val="21"/>
          <w:szCs w:val="21"/>
          <w:highlight w:val="none"/>
          <w:u w:val="none"/>
          <w:lang w:val="en-US" w:eastAsia="zh-CN" w:bidi="ar"/>
        </w:rPr>
      </w:pPr>
      <w:r>
        <w:rPr>
          <w:rFonts w:hint="eastAsia" w:ascii="宋体" w:hAnsi="宋体" w:eastAsia="宋体" w:cs="宋体"/>
          <w:color w:val="auto"/>
          <w:kern w:val="2"/>
          <w:sz w:val="21"/>
          <w:szCs w:val="21"/>
          <w:highlight w:val="none"/>
          <w:u w:val="none"/>
          <w:lang w:val="en-US" w:eastAsia="zh-CN" w:bidi="ar"/>
        </w:rPr>
        <w:t>异常低价响应审查的启动原因，审查意见和审查结果应当在评审报告中记录，并随供应商提供的相关书面说明及证明材料以及评审委员会有关互联网浏览查询历史一并归档。</w:t>
      </w:r>
    </w:p>
    <w:p w14:paraId="2C3D138A">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kern w:val="2"/>
          <w:sz w:val="21"/>
          <w:szCs w:val="21"/>
          <w:highlight w:val="none"/>
          <w:u w:val="none"/>
          <w:lang w:val="en-US" w:eastAsia="zh-CN" w:bidi="ar"/>
        </w:rPr>
      </w:pPr>
      <w:r>
        <w:rPr>
          <w:rFonts w:hint="eastAsia" w:ascii="宋体" w:hAnsi="宋体" w:eastAsia="宋体" w:cs="宋体"/>
          <w:color w:val="auto"/>
          <w:kern w:val="2"/>
          <w:sz w:val="21"/>
          <w:szCs w:val="21"/>
          <w:highlight w:val="none"/>
          <w:u w:val="none"/>
          <w:lang w:val="en-US" w:eastAsia="zh-CN" w:bidi="ar"/>
        </w:rPr>
        <w:t>3.5最低报价不能作为成交的保证。</w:t>
      </w:r>
    </w:p>
    <w:p w14:paraId="0FA30D9B">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kern w:val="2"/>
          <w:sz w:val="21"/>
          <w:szCs w:val="21"/>
          <w:highlight w:val="none"/>
          <w:u w:val="none"/>
          <w:lang w:val="en-US" w:eastAsia="zh-CN" w:bidi="ar"/>
        </w:rPr>
      </w:pPr>
      <w:r>
        <w:rPr>
          <w:rFonts w:hint="eastAsia" w:ascii="宋体" w:hAnsi="宋体" w:eastAsia="宋体" w:cs="宋体"/>
          <w:color w:val="auto"/>
          <w:kern w:val="2"/>
          <w:sz w:val="21"/>
          <w:szCs w:val="21"/>
          <w:highlight w:val="none"/>
          <w:u w:val="none"/>
          <w:lang w:val="en-US" w:eastAsia="zh-CN" w:bidi="ar"/>
        </w:rPr>
        <w:t>3.6供应商的报价不得超过采购项目最高限价。</w:t>
      </w:r>
    </w:p>
    <w:p w14:paraId="373D1A22">
      <w:pPr>
        <w:pageBreakBefore w:val="0"/>
        <w:kinsoku/>
        <w:topLinePunct w:val="0"/>
        <w:bidi w:val="0"/>
        <w:spacing w:line="360" w:lineRule="auto"/>
        <w:ind w:firstLine="480"/>
        <w:rPr>
          <w:rFonts w:hint="eastAsia" w:ascii="宋体" w:hAnsi="宋体" w:cs="宋体"/>
          <w:color w:val="auto"/>
          <w:szCs w:val="21"/>
          <w:highlight w:val="none"/>
          <w:u w:val="none"/>
        </w:rPr>
      </w:pPr>
      <w:r>
        <w:rPr>
          <w:rFonts w:hint="eastAsia" w:ascii="宋体" w:hAnsi="宋体" w:cs="宋体"/>
          <w:color w:val="auto"/>
          <w:szCs w:val="21"/>
          <w:highlight w:val="none"/>
          <w:u w:val="none"/>
          <w:lang w:val="en-US" w:eastAsia="zh-CN"/>
        </w:rPr>
        <w:t>4</w:t>
      </w:r>
      <w:r>
        <w:rPr>
          <w:rFonts w:hint="eastAsia" w:ascii="宋体" w:hAnsi="宋体" w:cs="宋体"/>
          <w:color w:val="auto"/>
          <w:szCs w:val="21"/>
          <w:highlight w:val="none"/>
          <w:u w:val="none"/>
        </w:rPr>
        <w:t>.磋商响应有效期</w:t>
      </w:r>
    </w:p>
    <w:p w14:paraId="57F6A0CA">
      <w:pPr>
        <w:pageBreakBefore w:val="0"/>
        <w:kinsoku/>
        <w:topLinePunct w:val="0"/>
        <w:bidi w:val="0"/>
        <w:spacing w:line="360" w:lineRule="auto"/>
        <w:ind w:firstLine="480"/>
        <w:rPr>
          <w:rFonts w:hint="eastAsia" w:ascii="宋体" w:hAnsi="宋体" w:cs="宋体"/>
          <w:color w:val="auto"/>
          <w:szCs w:val="21"/>
          <w:highlight w:val="none"/>
          <w:u w:val="none"/>
        </w:rPr>
      </w:pPr>
      <w:r>
        <w:rPr>
          <w:rFonts w:hint="eastAsia" w:ascii="宋体" w:hAnsi="宋体" w:cs="宋体"/>
          <w:bCs/>
          <w:color w:val="auto"/>
          <w:szCs w:val="21"/>
          <w:highlight w:val="none"/>
          <w:u w:val="none"/>
          <w:lang w:val="en-US" w:eastAsia="zh-CN"/>
        </w:rPr>
        <w:t>4</w:t>
      </w:r>
      <w:r>
        <w:rPr>
          <w:rFonts w:hint="eastAsia" w:ascii="宋体" w:hAnsi="宋体" w:cs="宋体"/>
          <w:bCs/>
          <w:color w:val="auto"/>
          <w:szCs w:val="21"/>
          <w:highlight w:val="none"/>
          <w:u w:val="none"/>
        </w:rPr>
        <w:t>.1磋商响应有效期为采购文件规定的响应文件</w:t>
      </w:r>
      <w:r>
        <w:rPr>
          <w:rFonts w:hint="eastAsia" w:ascii="宋体" w:hAnsi="宋体" w:cs="宋体"/>
          <w:color w:val="auto"/>
          <w:szCs w:val="21"/>
          <w:highlight w:val="none"/>
          <w:u w:val="none"/>
        </w:rPr>
        <w:t>提交</w:t>
      </w:r>
      <w:r>
        <w:rPr>
          <w:rFonts w:hint="eastAsia" w:ascii="宋体" w:hAnsi="宋体" w:cs="宋体"/>
          <w:bCs/>
          <w:color w:val="auto"/>
          <w:szCs w:val="21"/>
          <w:highlight w:val="none"/>
          <w:u w:val="none"/>
        </w:rPr>
        <w:t>截止时间后</w:t>
      </w:r>
      <w:r>
        <w:rPr>
          <w:rFonts w:hint="eastAsia" w:ascii="宋体" w:hAnsi="宋体" w:cs="宋体"/>
          <w:b/>
          <w:color w:val="auto"/>
          <w:szCs w:val="21"/>
          <w:highlight w:val="none"/>
          <w:u w:val="none"/>
        </w:rPr>
        <w:t>六十（60）天</w:t>
      </w:r>
      <w:r>
        <w:rPr>
          <w:rFonts w:hint="eastAsia" w:ascii="宋体" w:hAnsi="宋体" w:cs="宋体"/>
          <w:bCs/>
          <w:color w:val="auto"/>
          <w:szCs w:val="21"/>
          <w:highlight w:val="none"/>
          <w:u w:val="none"/>
        </w:rPr>
        <w:t>。磋</w:t>
      </w:r>
      <w:r>
        <w:rPr>
          <w:rFonts w:hint="eastAsia" w:ascii="宋体" w:hAnsi="宋体" w:cs="宋体"/>
          <w:color w:val="auto"/>
          <w:szCs w:val="21"/>
          <w:highlight w:val="none"/>
          <w:u w:val="none"/>
        </w:rPr>
        <w:t>商响应有效期比规定短的将被视为非实质性响应而予以拒绝。</w:t>
      </w:r>
    </w:p>
    <w:p w14:paraId="4BAC9456">
      <w:pPr>
        <w:pageBreakBefore w:val="0"/>
        <w:kinsoku/>
        <w:topLinePunct w:val="0"/>
        <w:bidi w:val="0"/>
        <w:spacing w:line="360" w:lineRule="auto"/>
        <w:ind w:firstLine="480"/>
        <w:rPr>
          <w:rFonts w:hint="eastAsia" w:ascii="宋体" w:hAnsi="宋体" w:cs="宋体"/>
          <w:color w:val="auto"/>
          <w:szCs w:val="21"/>
          <w:highlight w:val="none"/>
          <w:u w:val="none"/>
        </w:rPr>
      </w:pPr>
      <w:r>
        <w:rPr>
          <w:rFonts w:hint="eastAsia" w:ascii="宋体" w:hAnsi="宋体" w:cs="宋体"/>
          <w:color w:val="auto"/>
          <w:szCs w:val="21"/>
          <w:highlight w:val="none"/>
          <w:u w:val="none"/>
          <w:lang w:val="en-US" w:eastAsia="zh-CN"/>
        </w:rPr>
        <w:t>4.2</w:t>
      </w:r>
      <w:r>
        <w:rPr>
          <w:rFonts w:hint="eastAsia" w:ascii="宋体" w:hAnsi="宋体" w:cs="宋体"/>
          <w:color w:val="auto"/>
          <w:szCs w:val="21"/>
          <w:highlight w:val="none"/>
          <w:u w:val="none"/>
        </w:rPr>
        <w:t>磋商响应有效期的延长</w:t>
      </w:r>
    </w:p>
    <w:p w14:paraId="13B8A4CC">
      <w:pPr>
        <w:pageBreakBefore w:val="0"/>
        <w:kinsoku/>
        <w:topLinePunct w:val="0"/>
        <w:bidi w:val="0"/>
        <w:spacing w:line="360" w:lineRule="auto"/>
        <w:ind w:firstLine="480"/>
        <w:rPr>
          <w:rFonts w:hint="eastAsia" w:ascii="宋体" w:hAnsi="宋体" w:cs="宋体"/>
          <w:color w:val="auto"/>
          <w:szCs w:val="21"/>
          <w:highlight w:val="none"/>
          <w:u w:val="none"/>
        </w:rPr>
      </w:pPr>
      <w:r>
        <w:rPr>
          <w:rFonts w:hint="eastAsia" w:ascii="宋体" w:hAnsi="宋体" w:cs="宋体"/>
          <w:color w:val="auto"/>
          <w:szCs w:val="21"/>
          <w:highlight w:val="none"/>
          <w:u w:val="none"/>
        </w:rPr>
        <w:t>在特殊情况下，采购人或采购代理机构于原磋商响应有效期满之前，可向磋商供应商提出延长磋商响应有效期的要求。这种要求与答复均应采用书面形式。供应商可以拒绝采购人或采购代理机构的这一要求而放弃磋商响应，同意延长磋商响应有效期的供应商既不能要求也不允许修改其响应文件。受磋商响应有效期约束的所有权利与义务均延长至新的有效期。</w:t>
      </w:r>
    </w:p>
    <w:p w14:paraId="26863FD5">
      <w:pPr>
        <w:pageBreakBefore w:val="0"/>
        <w:kinsoku/>
        <w:topLinePunct w:val="0"/>
        <w:bidi w:val="0"/>
        <w:spacing w:line="360" w:lineRule="auto"/>
        <w:ind w:firstLine="480"/>
        <w:rPr>
          <w:rFonts w:hint="eastAsia" w:ascii="宋体" w:hAnsi="宋体" w:cs="宋体"/>
          <w:color w:val="auto"/>
          <w:szCs w:val="21"/>
          <w:highlight w:val="none"/>
          <w:u w:val="none"/>
        </w:rPr>
      </w:pPr>
      <w:r>
        <w:rPr>
          <w:rFonts w:hint="eastAsia" w:ascii="宋体" w:hAnsi="宋体" w:cs="宋体"/>
          <w:color w:val="auto"/>
          <w:szCs w:val="21"/>
          <w:highlight w:val="none"/>
          <w:u w:val="none"/>
        </w:rPr>
        <w:t>5.电子响应文件其他要求</w:t>
      </w:r>
    </w:p>
    <w:p w14:paraId="70B8A272">
      <w:pPr>
        <w:pageBreakBefore w:val="0"/>
        <w:kinsoku/>
        <w:topLinePunct w:val="0"/>
        <w:bidi w:val="0"/>
        <w:spacing w:line="360" w:lineRule="auto"/>
        <w:ind w:firstLine="480"/>
        <w:rPr>
          <w:rFonts w:hint="eastAsia" w:ascii="宋体" w:hAnsi="宋体" w:cs="宋体"/>
          <w:color w:val="auto"/>
          <w:szCs w:val="21"/>
          <w:highlight w:val="none"/>
          <w:u w:val="none"/>
        </w:rPr>
      </w:pPr>
      <w:r>
        <w:rPr>
          <w:rFonts w:hint="eastAsia" w:ascii="宋体" w:hAnsi="宋体" w:cs="宋体"/>
          <w:color w:val="auto"/>
          <w:szCs w:val="21"/>
          <w:highlight w:val="none"/>
          <w:u w:val="none"/>
        </w:rPr>
        <w:t>5.1电子招标投标交易平台（即“苏采云”系统）相关要求是本采购文件的组成部分。</w:t>
      </w:r>
    </w:p>
    <w:p w14:paraId="629215FA">
      <w:pPr>
        <w:pageBreakBefore w:val="0"/>
        <w:kinsoku/>
        <w:topLinePunct w:val="0"/>
        <w:bidi w:val="0"/>
        <w:spacing w:line="360" w:lineRule="auto"/>
        <w:ind w:firstLine="480"/>
        <w:rPr>
          <w:rFonts w:hint="eastAsia" w:ascii="宋体" w:hAnsi="宋体" w:cs="宋体"/>
          <w:color w:val="auto"/>
          <w:szCs w:val="21"/>
          <w:highlight w:val="none"/>
          <w:u w:val="none"/>
        </w:rPr>
      </w:pPr>
      <w:r>
        <w:rPr>
          <w:rFonts w:hint="eastAsia" w:ascii="宋体" w:hAnsi="宋体" w:cs="宋体"/>
          <w:color w:val="auto"/>
          <w:szCs w:val="21"/>
          <w:highlight w:val="none"/>
          <w:u w:val="none"/>
        </w:rPr>
        <w:t>5.2供应商应对CA证书妥善保管，如被他人盗用投标，因此带来的后果均由供应商自行承担。</w:t>
      </w:r>
    </w:p>
    <w:p w14:paraId="01736771">
      <w:pPr>
        <w:pageBreakBefore w:val="0"/>
        <w:kinsoku/>
        <w:topLinePunct w:val="0"/>
        <w:bidi w:val="0"/>
        <w:spacing w:line="360" w:lineRule="auto"/>
        <w:ind w:firstLine="480"/>
        <w:rPr>
          <w:rFonts w:hint="eastAsia" w:ascii="宋体" w:hAnsi="宋体" w:cs="宋体"/>
          <w:color w:val="auto"/>
          <w:szCs w:val="21"/>
          <w:highlight w:val="none"/>
          <w:u w:val="none"/>
        </w:rPr>
      </w:pPr>
      <w:r>
        <w:rPr>
          <w:rFonts w:hint="eastAsia" w:ascii="宋体" w:hAnsi="宋体" w:cs="宋体"/>
          <w:color w:val="auto"/>
          <w:szCs w:val="21"/>
          <w:highlight w:val="none"/>
          <w:u w:val="none"/>
        </w:rPr>
        <w:t>5.3供应商应当对采购文件提出的实质性要求和条件作出实质性响应，并在电子投标系统逐条应答。</w:t>
      </w:r>
    </w:p>
    <w:p w14:paraId="485F1797">
      <w:pPr>
        <w:pageBreakBefore w:val="0"/>
        <w:kinsoku/>
        <w:topLinePunct w:val="0"/>
        <w:bidi w:val="0"/>
        <w:spacing w:line="360" w:lineRule="auto"/>
        <w:ind w:firstLine="480"/>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5.4供应商应对要求提供的资格证明文件（如资质证书、资格证书）、技术资料（如白皮书、彩页、手册、检测报告等）扫描上传至投标系统。 </w:t>
      </w:r>
    </w:p>
    <w:p w14:paraId="314655E3">
      <w:pPr>
        <w:pageBreakBefore w:val="0"/>
        <w:kinsoku/>
        <w:topLinePunct w:val="0"/>
        <w:bidi w:val="0"/>
        <w:spacing w:line="360" w:lineRule="auto"/>
        <w:ind w:firstLine="480"/>
        <w:rPr>
          <w:rFonts w:hint="eastAsia" w:ascii="宋体" w:hAnsi="宋体" w:cs="宋体"/>
          <w:color w:val="auto"/>
          <w:szCs w:val="21"/>
          <w:highlight w:val="none"/>
          <w:u w:val="none"/>
        </w:rPr>
      </w:pPr>
      <w:r>
        <w:rPr>
          <w:rFonts w:hint="eastAsia" w:ascii="宋体" w:hAnsi="宋体" w:cs="宋体"/>
          <w:color w:val="auto"/>
          <w:szCs w:val="21"/>
          <w:highlight w:val="none"/>
          <w:u w:val="none"/>
        </w:rPr>
        <w:t>6.供应商应当在采购文件要求提交响应文件的截止时间前，将响应文件提交至“苏采云”系统，逾期提交的响应文件，“苏采云”系统将自动拒收。各供应商应在规定时间内凭CA证书进行网上解密。</w:t>
      </w:r>
    </w:p>
    <w:p w14:paraId="53E9829F">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2" w:firstLineChars="200"/>
        <w:jc w:val="both"/>
        <w:rPr>
          <w:rFonts w:hint="eastAsia" w:ascii="宋体" w:hAnsi="宋体" w:eastAsia="宋体" w:cs="宋体"/>
          <w:b/>
          <w:bCs/>
          <w:color w:val="auto"/>
          <w:kern w:val="2"/>
          <w:sz w:val="21"/>
          <w:szCs w:val="21"/>
          <w:highlight w:val="none"/>
          <w:u w:val="none"/>
          <w:lang w:val="en-US" w:eastAsia="zh-CN" w:bidi="ar"/>
        </w:rPr>
      </w:pPr>
      <w:r>
        <w:rPr>
          <w:rFonts w:hint="eastAsia" w:ascii="宋体" w:hAnsi="宋体" w:cs="宋体"/>
          <w:b/>
          <w:bCs/>
          <w:color w:val="auto"/>
          <w:kern w:val="2"/>
          <w:sz w:val="21"/>
          <w:szCs w:val="21"/>
          <w:highlight w:val="none"/>
          <w:u w:val="none"/>
          <w:lang w:val="en-US" w:eastAsia="zh-CN" w:bidi="ar"/>
        </w:rPr>
        <w:t>四、</w:t>
      </w:r>
      <w:r>
        <w:rPr>
          <w:rFonts w:hint="eastAsia" w:ascii="宋体" w:hAnsi="宋体" w:eastAsia="宋体" w:cs="宋体"/>
          <w:b/>
          <w:bCs/>
          <w:color w:val="auto"/>
          <w:kern w:val="2"/>
          <w:sz w:val="21"/>
          <w:szCs w:val="21"/>
          <w:highlight w:val="none"/>
          <w:u w:val="none"/>
          <w:lang w:val="en-US" w:eastAsia="zh-CN" w:bidi="ar"/>
        </w:rPr>
        <w:t>响应文件的递交</w:t>
      </w:r>
    </w:p>
    <w:p w14:paraId="555A9491">
      <w:pPr>
        <w:pageBreakBefore w:val="0"/>
        <w:kinsoku/>
        <w:topLinePunct w:val="0"/>
        <w:bidi w:val="0"/>
        <w:spacing w:line="360" w:lineRule="auto"/>
        <w:ind w:firstLine="480"/>
        <w:rPr>
          <w:rFonts w:hint="eastAsia" w:ascii="宋体" w:hAnsi="宋体" w:cs="宋体"/>
          <w:color w:val="auto"/>
          <w:szCs w:val="21"/>
          <w:highlight w:val="none"/>
          <w:u w:val="none"/>
        </w:rPr>
      </w:pPr>
      <w:bookmarkStart w:id="99" w:name="_Toc462564084"/>
      <w:bookmarkStart w:id="100" w:name="_Toc20823297"/>
      <w:bookmarkStart w:id="101" w:name="_Toc16938541"/>
      <w:bookmarkStart w:id="102" w:name="_Toc513029225"/>
      <w:r>
        <w:rPr>
          <w:rFonts w:hint="eastAsia" w:ascii="宋体" w:hAnsi="宋体" w:cs="宋体"/>
          <w:color w:val="auto"/>
          <w:szCs w:val="21"/>
          <w:highlight w:val="none"/>
          <w:u w:val="none"/>
        </w:rPr>
        <w:t>1.响应文件</w:t>
      </w:r>
      <w:bookmarkEnd w:id="99"/>
      <w:bookmarkEnd w:id="100"/>
      <w:bookmarkEnd w:id="101"/>
      <w:bookmarkEnd w:id="102"/>
      <w:r>
        <w:rPr>
          <w:rFonts w:hint="eastAsia" w:ascii="宋体" w:hAnsi="宋体" w:cs="宋体"/>
          <w:color w:val="auto"/>
          <w:szCs w:val="21"/>
          <w:highlight w:val="none"/>
          <w:u w:val="none"/>
        </w:rPr>
        <w:t>的提交</w:t>
      </w:r>
    </w:p>
    <w:p w14:paraId="0F026AF3">
      <w:pPr>
        <w:pageBreakBefore w:val="0"/>
        <w:kinsoku/>
        <w:topLinePunct w:val="0"/>
        <w:bidi w:val="0"/>
        <w:spacing w:line="360" w:lineRule="auto"/>
        <w:ind w:firstLine="480"/>
        <w:rPr>
          <w:rFonts w:hint="eastAsia" w:ascii="宋体" w:hAnsi="宋体" w:cs="宋体"/>
          <w:color w:val="auto"/>
          <w:szCs w:val="21"/>
          <w:highlight w:val="none"/>
          <w:u w:val="none"/>
        </w:rPr>
      </w:pPr>
      <w:r>
        <w:rPr>
          <w:rFonts w:hint="eastAsia" w:ascii="宋体" w:hAnsi="宋体" w:cs="宋体"/>
          <w:color w:val="auto"/>
          <w:szCs w:val="21"/>
          <w:highlight w:val="none"/>
          <w:u w:val="none"/>
          <w:lang w:val="en-US" w:eastAsia="zh-CN"/>
        </w:rPr>
        <w:t>1.1</w:t>
      </w:r>
      <w:r>
        <w:rPr>
          <w:rFonts w:hint="eastAsia" w:ascii="宋体" w:hAnsi="宋体" w:cs="宋体"/>
          <w:color w:val="auto"/>
          <w:szCs w:val="21"/>
          <w:highlight w:val="none"/>
          <w:u w:val="none"/>
        </w:rPr>
        <w:t>线上提交与接收地点：供应商应当通过“苏采云”系统提交数据电文形式的响应文件（即电子投标），“苏采云”系统自动接收。</w:t>
      </w:r>
    </w:p>
    <w:p w14:paraId="1846D915">
      <w:pPr>
        <w:pageBreakBefore w:val="0"/>
        <w:kinsoku/>
        <w:topLinePunct w:val="0"/>
        <w:bidi w:val="0"/>
        <w:spacing w:line="360" w:lineRule="auto"/>
        <w:ind w:firstLine="480"/>
        <w:rPr>
          <w:rFonts w:hint="eastAsia" w:ascii="宋体" w:hAnsi="宋体" w:cs="宋体"/>
          <w:color w:val="auto"/>
          <w:szCs w:val="21"/>
          <w:highlight w:val="none"/>
          <w:u w:val="none"/>
        </w:rPr>
      </w:pPr>
      <w:r>
        <w:rPr>
          <w:rFonts w:hint="eastAsia" w:ascii="宋体" w:hAnsi="宋体" w:cs="宋体"/>
          <w:color w:val="auto"/>
          <w:szCs w:val="21"/>
          <w:highlight w:val="none"/>
          <w:u w:val="none"/>
          <w:lang w:val="en-US" w:eastAsia="zh-CN"/>
        </w:rPr>
        <w:t>1.2</w:t>
      </w:r>
      <w:r>
        <w:rPr>
          <w:rFonts w:hint="eastAsia" w:ascii="宋体" w:hAnsi="宋体" w:cs="宋体"/>
          <w:color w:val="auto"/>
          <w:szCs w:val="21"/>
          <w:highlight w:val="none"/>
          <w:u w:val="none"/>
        </w:rPr>
        <w:t>通过“苏采云”系统提交政府采购客户端工具导出加密的响应文件（后缀名为zip）。</w:t>
      </w:r>
      <w:r>
        <w:rPr>
          <w:rFonts w:hint="eastAsia" w:ascii="宋体" w:hAnsi="宋体" w:cs="宋体"/>
          <w:b/>
          <w:bCs/>
          <w:color w:val="auto"/>
          <w:szCs w:val="21"/>
          <w:highlight w:val="none"/>
          <w:u w:val="none"/>
        </w:rPr>
        <w:t>响应文件不得超过150M</w:t>
      </w:r>
      <w:r>
        <w:rPr>
          <w:rFonts w:hint="eastAsia" w:ascii="宋体" w:hAnsi="宋体" w:cs="宋体"/>
          <w:color w:val="auto"/>
          <w:szCs w:val="21"/>
          <w:highlight w:val="none"/>
          <w:u w:val="none"/>
        </w:rPr>
        <w:t>！</w:t>
      </w:r>
    </w:p>
    <w:p w14:paraId="702B419D">
      <w:pPr>
        <w:pageBreakBefore w:val="0"/>
        <w:kinsoku/>
        <w:topLinePunct w:val="0"/>
        <w:bidi w:val="0"/>
        <w:spacing w:line="360" w:lineRule="auto"/>
        <w:ind w:firstLine="480"/>
        <w:rPr>
          <w:rFonts w:hint="eastAsia" w:ascii="宋体" w:hAnsi="宋体" w:cs="宋体"/>
          <w:color w:val="auto"/>
          <w:szCs w:val="21"/>
          <w:highlight w:val="none"/>
          <w:u w:val="none"/>
        </w:rPr>
      </w:pPr>
      <w:r>
        <w:rPr>
          <w:rFonts w:hint="eastAsia" w:ascii="宋体" w:hAnsi="宋体" w:cs="宋体"/>
          <w:color w:val="auto"/>
          <w:szCs w:val="21"/>
          <w:highlight w:val="none"/>
          <w:u w:val="none"/>
        </w:rPr>
        <w:t>2.提交响应文件截止日期</w:t>
      </w:r>
    </w:p>
    <w:p w14:paraId="46812822">
      <w:pPr>
        <w:pageBreakBefore w:val="0"/>
        <w:kinsoku/>
        <w:topLinePunct w:val="0"/>
        <w:bidi w:val="0"/>
        <w:spacing w:line="360" w:lineRule="auto"/>
        <w:ind w:firstLine="480"/>
        <w:rPr>
          <w:rFonts w:hint="eastAsia" w:ascii="宋体" w:hAnsi="宋体" w:cs="宋体"/>
          <w:color w:val="auto"/>
          <w:szCs w:val="21"/>
          <w:highlight w:val="none"/>
          <w:u w:val="none"/>
        </w:rPr>
      </w:pPr>
      <w:r>
        <w:rPr>
          <w:rFonts w:hint="eastAsia" w:ascii="宋体" w:hAnsi="宋体" w:cs="宋体"/>
          <w:color w:val="auto"/>
          <w:szCs w:val="21"/>
          <w:highlight w:val="none"/>
          <w:u w:val="none"/>
        </w:rPr>
        <w:t>2.1供应商上传电子响应文件的时间不得迟于竞争性磋商公告中规定的响应文件提交截止时间。</w:t>
      </w:r>
    </w:p>
    <w:p w14:paraId="63ED832E">
      <w:pPr>
        <w:pageBreakBefore w:val="0"/>
        <w:kinsoku/>
        <w:topLinePunct w:val="0"/>
        <w:bidi w:val="0"/>
        <w:spacing w:line="360" w:lineRule="auto"/>
        <w:ind w:firstLine="480"/>
        <w:rPr>
          <w:rFonts w:hint="eastAsia" w:ascii="宋体" w:hAnsi="宋体" w:cs="宋体"/>
          <w:color w:val="auto"/>
          <w:szCs w:val="21"/>
          <w:highlight w:val="none"/>
          <w:u w:val="none"/>
        </w:rPr>
      </w:pPr>
      <w:r>
        <w:rPr>
          <w:rFonts w:hint="eastAsia" w:ascii="宋体" w:hAnsi="宋体" w:cs="宋体"/>
          <w:color w:val="auto"/>
          <w:szCs w:val="21"/>
          <w:highlight w:val="none"/>
          <w:u w:val="none"/>
        </w:rPr>
        <w:t>供应商应充分考虑网络环境、网络带宽等风险因素，如因供应商自身原因造成的电子响应文件上传不成功由供应商自行承担全部责任。</w:t>
      </w:r>
    </w:p>
    <w:p w14:paraId="29CE6BF5">
      <w:pPr>
        <w:pageBreakBefore w:val="0"/>
        <w:kinsoku/>
        <w:topLinePunct w:val="0"/>
        <w:bidi w:val="0"/>
        <w:spacing w:line="360" w:lineRule="auto"/>
        <w:ind w:firstLine="480"/>
        <w:rPr>
          <w:rFonts w:hint="eastAsia" w:ascii="宋体" w:hAnsi="宋体" w:cs="宋体"/>
          <w:color w:val="auto"/>
          <w:szCs w:val="21"/>
          <w:highlight w:val="none"/>
          <w:u w:val="none"/>
        </w:rPr>
      </w:pPr>
      <w:r>
        <w:rPr>
          <w:rFonts w:hint="eastAsia" w:ascii="宋体" w:hAnsi="宋体" w:cs="宋体"/>
          <w:color w:val="auto"/>
          <w:szCs w:val="21"/>
          <w:highlight w:val="none"/>
          <w:u w:val="none"/>
        </w:rPr>
        <w:t>2.2采购人或采购代理机构可以按照规定，通过修改响应文件酌情延长响应文件提交截止日期，在此情况下，供应商的所有权利和义务以及供应商受制的截止日期均应以延长后新的截止日期为准。</w:t>
      </w:r>
    </w:p>
    <w:p w14:paraId="6F104D39">
      <w:pPr>
        <w:pageBreakBefore w:val="0"/>
        <w:kinsoku/>
        <w:topLinePunct w:val="0"/>
        <w:bidi w:val="0"/>
        <w:spacing w:line="360" w:lineRule="auto"/>
        <w:ind w:firstLine="480"/>
        <w:rPr>
          <w:rFonts w:hint="eastAsia" w:ascii="宋体" w:hAnsi="宋体" w:cs="宋体"/>
          <w:color w:val="auto"/>
          <w:szCs w:val="21"/>
          <w:highlight w:val="none"/>
          <w:u w:val="none"/>
        </w:rPr>
      </w:pPr>
      <w:r>
        <w:rPr>
          <w:rFonts w:hint="eastAsia" w:ascii="宋体" w:hAnsi="宋体" w:cs="宋体"/>
          <w:color w:val="auto"/>
          <w:szCs w:val="21"/>
          <w:highlight w:val="none"/>
          <w:u w:val="none"/>
        </w:rPr>
        <w:t>3.响应文件的密封（加密）要求：</w:t>
      </w:r>
    </w:p>
    <w:p w14:paraId="5F6F7EE3">
      <w:pPr>
        <w:pageBreakBefore w:val="0"/>
        <w:kinsoku/>
        <w:topLinePunct w:val="0"/>
        <w:bidi w:val="0"/>
        <w:spacing w:line="360" w:lineRule="auto"/>
        <w:ind w:firstLine="480"/>
        <w:rPr>
          <w:rFonts w:hint="eastAsia" w:ascii="宋体" w:hAnsi="宋体" w:cs="宋体"/>
          <w:color w:val="auto"/>
          <w:szCs w:val="21"/>
          <w:highlight w:val="none"/>
          <w:u w:val="none"/>
        </w:rPr>
      </w:pPr>
      <w:r>
        <w:rPr>
          <w:rFonts w:hint="eastAsia" w:ascii="宋体" w:hAnsi="宋体" w:cs="宋体"/>
          <w:color w:val="auto"/>
          <w:szCs w:val="21"/>
          <w:highlight w:val="none"/>
          <w:u w:val="none"/>
        </w:rPr>
        <w:t>3.1供应商应当按照采购文件和“苏采云”系统的要求编制并加密响应文件。本项目供应商须通过“苏采云”系统提供的政府采购客户端工具（使用“CA数字证书”）对其数据电文形式的响应文件加密。</w:t>
      </w:r>
    </w:p>
    <w:p w14:paraId="5363BBFB">
      <w:pPr>
        <w:pageBreakBefore w:val="0"/>
        <w:kinsoku/>
        <w:topLinePunct w:val="0"/>
        <w:bidi w:val="0"/>
        <w:spacing w:line="360" w:lineRule="auto"/>
        <w:ind w:firstLine="480"/>
        <w:rPr>
          <w:rFonts w:hint="eastAsia" w:ascii="宋体" w:hAnsi="宋体" w:cs="宋体"/>
          <w:color w:val="auto"/>
          <w:szCs w:val="21"/>
          <w:highlight w:val="none"/>
          <w:u w:val="none"/>
        </w:rPr>
      </w:pPr>
      <w:r>
        <w:rPr>
          <w:rFonts w:hint="eastAsia" w:ascii="宋体" w:hAnsi="宋体" w:cs="宋体"/>
          <w:color w:val="auto"/>
          <w:szCs w:val="21"/>
          <w:highlight w:val="none"/>
          <w:u w:val="none"/>
        </w:rPr>
        <w:t>3.2供应商须通过“苏采云”系统提供的政府采购客户端工具（使用“CA数字证书”）加盖电子签章。</w:t>
      </w:r>
    </w:p>
    <w:p w14:paraId="342F6D24">
      <w:pPr>
        <w:pageBreakBefore w:val="0"/>
        <w:kinsoku/>
        <w:topLinePunct w:val="0"/>
        <w:bidi w:val="0"/>
        <w:spacing w:line="360" w:lineRule="auto"/>
        <w:ind w:firstLine="480"/>
        <w:rPr>
          <w:rFonts w:hint="eastAsia" w:ascii="宋体" w:hAnsi="宋体" w:cs="宋体"/>
          <w:color w:val="auto"/>
          <w:szCs w:val="21"/>
          <w:highlight w:val="none"/>
          <w:u w:val="none"/>
        </w:rPr>
      </w:pPr>
      <w:r>
        <w:rPr>
          <w:rFonts w:hint="eastAsia" w:ascii="宋体" w:hAnsi="宋体" w:cs="宋体"/>
          <w:color w:val="auto"/>
          <w:szCs w:val="21"/>
          <w:highlight w:val="none"/>
          <w:u w:val="none"/>
        </w:rPr>
        <w:t>说明：供应商应使用CA数字证书以及自备的能够登录“苏采云”系统的电脑，在达到开标时间后，使用CA数字证书解密各自响应文件。</w:t>
      </w:r>
    </w:p>
    <w:p w14:paraId="1A7AD991">
      <w:pPr>
        <w:pageBreakBefore w:val="0"/>
        <w:kinsoku/>
        <w:topLinePunct w:val="0"/>
        <w:bidi w:val="0"/>
        <w:spacing w:line="360" w:lineRule="auto"/>
        <w:ind w:firstLine="480"/>
        <w:rPr>
          <w:rFonts w:hint="eastAsia" w:ascii="宋体" w:hAnsi="宋体" w:cs="宋体"/>
          <w:color w:val="auto"/>
          <w:szCs w:val="21"/>
          <w:highlight w:val="none"/>
          <w:u w:val="none"/>
        </w:rPr>
      </w:pPr>
      <w:r>
        <w:rPr>
          <w:rFonts w:hint="eastAsia" w:ascii="宋体" w:hAnsi="宋体" w:cs="宋体"/>
          <w:color w:val="auto"/>
          <w:szCs w:val="21"/>
          <w:highlight w:val="none"/>
          <w:u w:val="none"/>
        </w:rPr>
        <w:t>3.3供应商未按规定加密的响应文件，“苏采云”系统将拒收并提示。</w:t>
      </w:r>
    </w:p>
    <w:p w14:paraId="75F96132">
      <w:pPr>
        <w:pageBreakBefore w:val="0"/>
        <w:kinsoku/>
        <w:topLinePunct w:val="0"/>
        <w:bidi w:val="0"/>
        <w:spacing w:line="360" w:lineRule="auto"/>
        <w:ind w:firstLine="480"/>
        <w:rPr>
          <w:rFonts w:hint="eastAsia" w:ascii="宋体" w:hAnsi="宋体" w:cs="宋体"/>
          <w:color w:val="auto"/>
          <w:szCs w:val="21"/>
          <w:highlight w:val="none"/>
          <w:u w:val="none"/>
        </w:rPr>
      </w:pPr>
      <w:r>
        <w:rPr>
          <w:rFonts w:hint="eastAsia" w:ascii="宋体" w:hAnsi="宋体" w:cs="宋体"/>
          <w:color w:val="auto"/>
          <w:szCs w:val="21"/>
          <w:highlight w:val="none"/>
          <w:u w:val="none"/>
        </w:rPr>
        <w:t>4.响应文件的拒收</w:t>
      </w:r>
    </w:p>
    <w:p w14:paraId="7B12ACFA">
      <w:pPr>
        <w:pageBreakBefore w:val="0"/>
        <w:kinsoku/>
        <w:topLinePunct w:val="0"/>
        <w:bidi w:val="0"/>
        <w:spacing w:line="360" w:lineRule="auto"/>
        <w:ind w:firstLine="480"/>
        <w:rPr>
          <w:rFonts w:hint="eastAsia" w:ascii="宋体" w:hAnsi="宋体" w:cs="宋体"/>
          <w:color w:val="auto"/>
          <w:szCs w:val="21"/>
          <w:highlight w:val="none"/>
          <w:u w:val="none"/>
        </w:rPr>
      </w:pPr>
      <w:r>
        <w:rPr>
          <w:rFonts w:hint="eastAsia" w:ascii="宋体" w:hAnsi="宋体" w:cs="宋体"/>
          <w:color w:val="auto"/>
          <w:szCs w:val="21"/>
          <w:highlight w:val="none"/>
          <w:u w:val="none"/>
        </w:rPr>
        <w:t>“苏采云”系统拒绝接收在规定的响应文件提交截止时间后上传的任何响应文件。</w:t>
      </w:r>
    </w:p>
    <w:p w14:paraId="1682EFBB">
      <w:pPr>
        <w:pageBreakBefore w:val="0"/>
        <w:kinsoku/>
        <w:topLinePunct w:val="0"/>
        <w:bidi w:val="0"/>
        <w:spacing w:line="360" w:lineRule="auto"/>
        <w:ind w:firstLine="480"/>
        <w:rPr>
          <w:rFonts w:hint="eastAsia" w:ascii="宋体" w:hAnsi="宋体" w:cs="宋体"/>
          <w:color w:val="auto"/>
          <w:szCs w:val="21"/>
          <w:highlight w:val="none"/>
          <w:u w:val="none"/>
        </w:rPr>
      </w:pPr>
      <w:r>
        <w:rPr>
          <w:rFonts w:hint="eastAsia" w:ascii="宋体" w:hAnsi="宋体" w:cs="宋体"/>
          <w:color w:val="auto"/>
          <w:szCs w:val="21"/>
          <w:highlight w:val="none"/>
          <w:u w:val="none"/>
        </w:rPr>
        <w:t>5.响应文件的撤回和修改</w:t>
      </w:r>
    </w:p>
    <w:p w14:paraId="3833849E">
      <w:pPr>
        <w:pageBreakBefore w:val="0"/>
        <w:kinsoku/>
        <w:topLinePunct w:val="0"/>
        <w:bidi w:val="0"/>
        <w:spacing w:line="360" w:lineRule="auto"/>
        <w:ind w:firstLine="480"/>
        <w:rPr>
          <w:rFonts w:hint="eastAsia" w:ascii="宋体" w:hAnsi="宋体" w:cs="宋体"/>
          <w:color w:val="auto"/>
          <w:szCs w:val="21"/>
          <w:highlight w:val="none"/>
          <w:u w:val="none"/>
        </w:rPr>
      </w:pPr>
      <w:r>
        <w:rPr>
          <w:rFonts w:hint="eastAsia" w:ascii="宋体" w:hAnsi="宋体" w:cs="宋体"/>
          <w:color w:val="auto"/>
          <w:szCs w:val="21"/>
          <w:highlight w:val="none"/>
          <w:u w:val="none"/>
        </w:rPr>
        <w:t>5.</w:t>
      </w:r>
      <w:r>
        <w:rPr>
          <w:rFonts w:hint="eastAsia" w:ascii="宋体" w:hAnsi="宋体" w:cs="宋体"/>
          <w:color w:val="auto"/>
          <w:szCs w:val="21"/>
          <w:highlight w:val="none"/>
          <w:u w:val="none"/>
          <w:lang w:val="en-US" w:eastAsia="zh-CN"/>
        </w:rPr>
        <w:t>1</w:t>
      </w:r>
      <w:r>
        <w:rPr>
          <w:rFonts w:hint="eastAsia" w:ascii="宋体" w:hAnsi="宋体" w:cs="宋体"/>
          <w:color w:val="auto"/>
          <w:szCs w:val="21"/>
          <w:highlight w:val="none"/>
          <w:u w:val="none"/>
        </w:rPr>
        <w:t>响应文件的撤回</w:t>
      </w:r>
    </w:p>
    <w:p w14:paraId="2B737745">
      <w:pPr>
        <w:pageBreakBefore w:val="0"/>
        <w:kinsoku/>
        <w:topLinePunct w:val="0"/>
        <w:bidi w:val="0"/>
        <w:spacing w:line="360" w:lineRule="auto"/>
        <w:ind w:firstLine="480"/>
        <w:rPr>
          <w:rFonts w:hint="eastAsia" w:ascii="宋体" w:hAnsi="宋体" w:cs="宋体"/>
          <w:color w:val="auto"/>
          <w:szCs w:val="21"/>
          <w:highlight w:val="none"/>
          <w:u w:val="none"/>
        </w:rPr>
      </w:pPr>
      <w:r>
        <w:rPr>
          <w:rFonts w:hint="eastAsia" w:ascii="宋体" w:hAnsi="宋体" w:cs="宋体"/>
          <w:color w:val="auto"/>
          <w:szCs w:val="21"/>
          <w:highlight w:val="none"/>
          <w:u w:val="none"/>
        </w:rPr>
        <w:t>5.1.1电子响应文件的撤回</w:t>
      </w:r>
    </w:p>
    <w:p w14:paraId="07B34BB1">
      <w:pPr>
        <w:pageBreakBefore w:val="0"/>
        <w:kinsoku/>
        <w:topLinePunct w:val="0"/>
        <w:bidi w:val="0"/>
        <w:spacing w:line="360" w:lineRule="auto"/>
        <w:ind w:firstLine="480"/>
        <w:rPr>
          <w:rFonts w:hint="eastAsia" w:ascii="宋体" w:hAnsi="宋体" w:cs="宋体"/>
          <w:color w:val="auto"/>
          <w:szCs w:val="21"/>
          <w:highlight w:val="none"/>
          <w:u w:val="none"/>
        </w:rPr>
      </w:pPr>
      <w:r>
        <w:rPr>
          <w:rFonts w:hint="eastAsia" w:ascii="宋体" w:hAnsi="宋体" w:cs="宋体"/>
          <w:color w:val="auto"/>
          <w:szCs w:val="21"/>
          <w:highlight w:val="none"/>
          <w:u w:val="none"/>
        </w:rPr>
        <w:t>供应商可在响应文件提交截止时间前，撤回其电子响应文件，具体操作方法见“苏采云”系统供应商操作手册。</w:t>
      </w:r>
    </w:p>
    <w:p w14:paraId="046B6C91">
      <w:pPr>
        <w:pageBreakBefore w:val="0"/>
        <w:kinsoku/>
        <w:topLinePunct w:val="0"/>
        <w:bidi w:val="0"/>
        <w:spacing w:line="360" w:lineRule="auto"/>
        <w:ind w:firstLine="480"/>
        <w:rPr>
          <w:rFonts w:hint="eastAsia" w:ascii="宋体" w:hAnsi="宋体" w:cs="宋体"/>
          <w:color w:val="auto"/>
          <w:szCs w:val="21"/>
          <w:highlight w:val="none"/>
          <w:u w:val="none"/>
        </w:rPr>
      </w:pPr>
      <w:r>
        <w:rPr>
          <w:rFonts w:hint="eastAsia" w:ascii="宋体" w:hAnsi="宋体" w:cs="宋体"/>
          <w:color w:val="auto"/>
          <w:szCs w:val="21"/>
          <w:highlight w:val="none"/>
          <w:u w:val="none"/>
        </w:rPr>
        <w:t>5.1.2供应商撤回电子响应文件，则认为其不再参与本项目竞争性磋商活动。</w:t>
      </w:r>
    </w:p>
    <w:p w14:paraId="2830B10C">
      <w:pPr>
        <w:pageBreakBefore w:val="0"/>
        <w:kinsoku/>
        <w:topLinePunct w:val="0"/>
        <w:bidi w:val="0"/>
        <w:spacing w:line="360" w:lineRule="auto"/>
        <w:ind w:firstLine="480"/>
        <w:rPr>
          <w:rFonts w:hint="eastAsia" w:ascii="宋体" w:hAnsi="宋体" w:cs="宋体"/>
          <w:color w:val="auto"/>
          <w:szCs w:val="21"/>
          <w:highlight w:val="none"/>
          <w:u w:val="none"/>
        </w:rPr>
      </w:pPr>
      <w:r>
        <w:rPr>
          <w:rFonts w:hint="eastAsia" w:ascii="宋体" w:hAnsi="宋体" w:cs="宋体"/>
          <w:color w:val="auto"/>
          <w:szCs w:val="21"/>
          <w:highlight w:val="none"/>
          <w:u w:val="none"/>
        </w:rPr>
        <w:t>5.2响应文件的修改</w:t>
      </w:r>
    </w:p>
    <w:p w14:paraId="6F04DFF0">
      <w:pPr>
        <w:pageBreakBefore w:val="0"/>
        <w:kinsoku/>
        <w:topLinePunct w:val="0"/>
        <w:bidi w:val="0"/>
        <w:spacing w:line="360" w:lineRule="auto"/>
        <w:ind w:firstLine="480"/>
        <w:rPr>
          <w:rFonts w:hint="eastAsia" w:ascii="宋体" w:hAnsi="宋体" w:cs="宋体"/>
          <w:color w:val="auto"/>
          <w:szCs w:val="21"/>
          <w:highlight w:val="none"/>
          <w:u w:val="none"/>
        </w:rPr>
      </w:pPr>
      <w:r>
        <w:rPr>
          <w:rFonts w:hint="eastAsia" w:ascii="宋体" w:hAnsi="宋体" w:cs="宋体"/>
          <w:color w:val="auto"/>
          <w:szCs w:val="21"/>
          <w:highlight w:val="none"/>
          <w:u w:val="none"/>
        </w:rPr>
        <w:t>供应商可在响应文件提交截止时间前，对其电子响应文件进行修改。具体操作方法见“苏采云”系统供应商操作手册。</w:t>
      </w:r>
    </w:p>
    <w:p w14:paraId="290FFE70">
      <w:pPr>
        <w:pageBreakBefore w:val="0"/>
        <w:kinsoku/>
        <w:topLinePunct w:val="0"/>
        <w:bidi w:val="0"/>
        <w:spacing w:line="360" w:lineRule="auto"/>
        <w:ind w:firstLine="480"/>
        <w:rPr>
          <w:rFonts w:hint="eastAsia" w:ascii="宋体" w:hAnsi="宋体" w:cs="宋体"/>
          <w:color w:val="auto"/>
          <w:szCs w:val="21"/>
          <w:highlight w:val="none"/>
          <w:u w:val="none"/>
        </w:rPr>
      </w:pPr>
      <w:r>
        <w:rPr>
          <w:rFonts w:hint="eastAsia" w:ascii="宋体" w:hAnsi="宋体" w:cs="宋体"/>
          <w:color w:val="auto"/>
          <w:szCs w:val="21"/>
          <w:highlight w:val="none"/>
          <w:u w:val="none"/>
        </w:rPr>
        <w:t>5.3在响应文件提交截止时间之后，供应商不得对其电子响应文件做任何修改。</w:t>
      </w:r>
    </w:p>
    <w:p w14:paraId="65A0D917">
      <w:pPr>
        <w:pageBreakBefore w:val="0"/>
        <w:kinsoku/>
        <w:topLinePunct w:val="0"/>
        <w:bidi w:val="0"/>
        <w:spacing w:line="360" w:lineRule="auto"/>
        <w:ind w:firstLine="480"/>
        <w:rPr>
          <w:rFonts w:hint="eastAsia" w:ascii="宋体" w:hAnsi="宋体" w:cs="宋体"/>
          <w:color w:val="auto"/>
          <w:szCs w:val="21"/>
          <w:highlight w:val="none"/>
          <w:u w:val="none"/>
        </w:rPr>
      </w:pPr>
      <w:r>
        <w:rPr>
          <w:rFonts w:hint="eastAsia" w:ascii="宋体" w:hAnsi="宋体" w:cs="宋体"/>
          <w:color w:val="auto"/>
          <w:szCs w:val="21"/>
          <w:highlight w:val="none"/>
          <w:u w:val="none"/>
        </w:rPr>
        <w:t>5.4在响应文件提交截止时间至磋商文件中规定的磋商响应有效期满之间的这段时间内，供应商不得撤回其响应文件。</w:t>
      </w:r>
    </w:p>
    <w:p w14:paraId="31F9B333">
      <w:pPr>
        <w:pageBreakBefore w:val="0"/>
        <w:kinsoku/>
        <w:topLinePunct w:val="0"/>
        <w:bidi w:val="0"/>
        <w:spacing w:line="360" w:lineRule="auto"/>
        <w:ind w:firstLine="482"/>
        <w:rPr>
          <w:rFonts w:hint="eastAsia" w:ascii="宋体" w:hAnsi="宋体" w:cs="宋体"/>
          <w:b/>
          <w:color w:val="auto"/>
          <w:szCs w:val="21"/>
          <w:highlight w:val="none"/>
          <w:u w:val="none"/>
        </w:rPr>
      </w:pPr>
      <w:r>
        <w:rPr>
          <w:rFonts w:hint="eastAsia" w:ascii="宋体" w:hAnsi="宋体" w:cs="宋体"/>
          <w:b/>
          <w:color w:val="auto"/>
          <w:szCs w:val="21"/>
          <w:highlight w:val="none"/>
          <w:u w:val="none"/>
          <w:lang w:val="en-US" w:eastAsia="zh-CN"/>
        </w:rPr>
        <w:t>注：</w:t>
      </w:r>
      <w:r>
        <w:rPr>
          <w:rFonts w:hint="eastAsia" w:ascii="宋体" w:hAnsi="宋体" w:cs="宋体"/>
          <w:b/>
          <w:color w:val="auto"/>
          <w:szCs w:val="21"/>
          <w:highlight w:val="none"/>
          <w:u w:val="none"/>
        </w:rPr>
        <w:t>开标当天各供应商及时登录不见面开标大厅，响应文件提交截止时间后，采购代理机构将在系统内公布供应商名单，然后通过开标会议区发出响应文件解密的指令，供应商按规定时间自行实施远程解密，供应商解密限定在开标后30分钟之内完成。因供应商网络与电源不稳定、未按操作手册要求配置软硬件、解密锁发生故障或用错、故意不在要</w:t>
      </w:r>
      <w:r>
        <w:rPr>
          <w:rFonts w:hint="eastAsia" w:ascii="宋体" w:hAnsi="宋体" w:cs="宋体"/>
          <w:b/>
          <w:color w:val="auto"/>
          <w:szCs w:val="21"/>
          <w:highlight w:val="none"/>
          <w:u w:val="none"/>
          <w:lang w:eastAsia="zh-CN"/>
        </w:rPr>
        <w:t>求的</w:t>
      </w:r>
      <w:r>
        <w:rPr>
          <w:rFonts w:hint="eastAsia" w:ascii="宋体" w:hAnsi="宋体" w:cs="宋体"/>
          <w:b/>
          <w:color w:val="auto"/>
          <w:szCs w:val="21"/>
          <w:highlight w:val="none"/>
          <w:u w:val="none"/>
        </w:rPr>
        <w:t>时限内完成解密等自身原因，导致响应文件在规定时间内未能解密、解密失败或解密超时，视为供应商撤销其响应文件，系统内响应文件将被退回；因采购人（或采购代理机构）原因或网上招投标平台发生故障，导致无法按时完成响应文件解密或开、评标工作无法进行的，可根据实际情况相应延迟解密时间或调整开、评标时间。</w:t>
      </w:r>
    </w:p>
    <w:p w14:paraId="0BFD7A19">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2" w:firstLineChars="200"/>
        <w:jc w:val="both"/>
        <w:rPr>
          <w:rFonts w:hint="eastAsia" w:ascii="宋体" w:hAnsi="宋体" w:eastAsia="宋体" w:cs="宋体"/>
          <w:b/>
          <w:bCs/>
          <w:color w:val="auto"/>
          <w:kern w:val="2"/>
          <w:sz w:val="21"/>
          <w:szCs w:val="21"/>
          <w:highlight w:val="none"/>
          <w:u w:val="none"/>
          <w:lang w:val="en-US" w:eastAsia="zh-CN" w:bidi="ar"/>
        </w:rPr>
      </w:pPr>
      <w:r>
        <w:rPr>
          <w:rFonts w:hint="eastAsia" w:ascii="宋体" w:hAnsi="宋体" w:eastAsia="宋体" w:cs="宋体"/>
          <w:b/>
          <w:bCs/>
          <w:color w:val="auto"/>
          <w:kern w:val="2"/>
          <w:sz w:val="21"/>
          <w:szCs w:val="21"/>
          <w:highlight w:val="none"/>
          <w:u w:val="none"/>
          <w:lang w:val="en-US" w:eastAsia="zh-CN" w:bidi="ar"/>
        </w:rPr>
        <w:t>四、磋商与评审</w:t>
      </w:r>
    </w:p>
    <w:p w14:paraId="1F70BC4B">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2" w:firstLineChars="200"/>
        <w:jc w:val="both"/>
        <w:rPr>
          <w:rFonts w:hint="eastAsia" w:ascii="宋体" w:hAnsi="宋体" w:eastAsia="宋体" w:cs="宋体"/>
          <w:b/>
          <w:bCs/>
          <w:color w:val="auto"/>
          <w:kern w:val="2"/>
          <w:sz w:val="21"/>
          <w:szCs w:val="21"/>
          <w:highlight w:val="none"/>
          <w:u w:val="none"/>
          <w:lang w:val="en-US" w:eastAsia="zh-CN" w:bidi="ar"/>
        </w:rPr>
      </w:pPr>
      <w:r>
        <w:rPr>
          <w:rFonts w:hint="eastAsia" w:ascii="宋体" w:hAnsi="宋体" w:eastAsia="宋体" w:cs="宋体"/>
          <w:b/>
          <w:bCs/>
          <w:color w:val="auto"/>
          <w:kern w:val="2"/>
          <w:sz w:val="21"/>
          <w:szCs w:val="21"/>
          <w:highlight w:val="none"/>
          <w:u w:val="none"/>
          <w:lang w:val="en-US" w:eastAsia="zh-CN" w:bidi="ar"/>
        </w:rPr>
        <w:t>1.磋商会议</w:t>
      </w:r>
    </w:p>
    <w:p w14:paraId="718EA4BE">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kern w:val="2"/>
          <w:sz w:val="21"/>
          <w:szCs w:val="21"/>
          <w:highlight w:val="none"/>
          <w:u w:val="none"/>
          <w:lang w:val="en-US" w:eastAsia="zh-CN" w:bidi="ar"/>
        </w:rPr>
      </w:pPr>
      <w:r>
        <w:rPr>
          <w:rFonts w:hint="eastAsia" w:ascii="宋体" w:hAnsi="宋体" w:eastAsia="宋体" w:cs="宋体"/>
          <w:color w:val="auto"/>
          <w:kern w:val="2"/>
          <w:sz w:val="21"/>
          <w:szCs w:val="21"/>
          <w:highlight w:val="none"/>
          <w:u w:val="none"/>
          <w:lang w:val="en-US" w:eastAsia="zh-CN" w:bidi="ar"/>
        </w:rPr>
        <w:t>采购人或采购代理机构将在磋商公告中规定的时间和地点组织磋商开始仪式。</w:t>
      </w:r>
    </w:p>
    <w:p w14:paraId="5ACAAE2E">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2" w:firstLineChars="200"/>
        <w:jc w:val="both"/>
        <w:rPr>
          <w:rFonts w:hint="eastAsia" w:ascii="宋体" w:hAnsi="宋体" w:eastAsia="宋体" w:cs="宋体"/>
          <w:b/>
          <w:bCs/>
          <w:color w:val="auto"/>
          <w:kern w:val="2"/>
          <w:sz w:val="21"/>
          <w:szCs w:val="21"/>
          <w:highlight w:val="none"/>
          <w:u w:val="none"/>
          <w:lang w:val="en-US" w:eastAsia="zh-CN" w:bidi="ar"/>
        </w:rPr>
      </w:pPr>
      <w:r>
        <w:rPr>
          <w:rFonts w:hint="eastAsia" w:ascii="宋体" w:hAnsi="宋体" w:eastAsia="宋体" w:cs="宋体"/>
          <w:b/>
          <w:bCs/>
          <w:color w:val="auto"/>
          <w:kern w:val="2"/>
          <w:sz w:val="21"/>
          <w:szCs w:val="21"/>
          <w:highlight w:val="none"/>
          <w:u w:val="none"/>
          <w:lang w:val="en-US" w:eastAsia="zh-CN" w:bidi="ar"/>
        </w:rPr>
        <w:t>2.磋商小组</w:t>
      </w:r>
    </w:p>
    <w:p w14:paraId="18B97674">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szCs w:val="21"/>
          <w:highlight w:val="none"/>
          <w:u w:val="none"/>
          <w:lang w:val="en-US"/>
        </w:rPr>
      </w:pPr>
      <w:r>
        <w:rPr>
          <w:rFonts w:hint="eastAsia" w:ascii="宋体" w:hAnsi="宋体" w:eastAsia="宋体" w:cs="宋体"/>
          <w:color w:val="auto"/>
          <w:kern w:val="2"/>
          <w:sz w:val="21"/>
          <w:szCs w:val="21"/>
          <w:highlight w:val="none"/>
          <w:u w:val="none"/>
          <w:lang w:val="en-US" w:eastAsia="zh-CN" w:bidi="ar"/>
        </w:rPr>
        <w:t>2.1 磋商会议结束后，代理机构将组织磋商小组进行评审。</w:t>
      </w:r>
    </w:p>
    <w:p w14:paraId="17978D93">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szCs w:val="21"/>
          <w:highlight w:val="none"/>
          <w:u w:val="none"/>
          <w:lang w:val="en-US"/>
        </w:rPr>
      </w:pPr>
      <w:r>
        <w:rPr>
          <w:rFonts w:hint="eastAsia" w:ascii="宋体" w:hAnsi="宋体" w:eastAsia="宋体" w:cs="宋体"/>
          <w:color w:val="auto"/>
          <w:kern w:val="2"/>
          <w:sz w:val="21"/>
          <w:szCs w:val="21"/>
          <w:highlight w:val="none"/>
          <w:u w:val="none"/>
          <w:lang w:val="en-US" w:eastAsia="zh-CN" w:bidi="ar"/>
        </w:rPr>
        <w:t>2.2代理机构及采购人将根据本采购项目的特点组建磋商小组，由三人以上（含三人）单数组成，将对实质性响应报价文件要求的报价文件进行评价和比较，并采用相同的程序和标准。</w:t>
      </w:r>
    </w:p>
    <w:p w14:paraId="4BB2D24E">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2" w:firstLineChars="200"/>
        <w:jc w:val="both"/>
        <w:rPr>
          <w:rFonts w:hint="eastAsia" w:ascii="宋体" w:hAnsi="宋体" w:eastAsia="宋体" w:cs="宋体"/>
          <w:b/>
          <w:bCs/>
          <w:color w:val="auto"/>
          <w:kern w:val="2"/>
          <w:sz w:val="21"/>
          <w:szCs w:val="21"/>
          <w:highlight w:val="none"/>
          <w:u w:val="none"/>
          <w:lang w:val="en-US" w:eastAsia="zh-CN" w:bidi="ar"/>
        </w:rPr>
      </w:pPr>
      <w:r>
        <w:rPr>
          <w:rFonts w:hint="eastAsia" w:ascii="宋体" w:hAnsi="宋体" w:eastAsia="宋体" w:cs="宋体"/>
          <w:b/>
          <w:bCs/>
          <w:color w:val="auto"/>
          <w:kern w:val="2"/>
          <w:sz w:val="21"/>
          <w:szCs w:val="21"/>
          <w:highlight w:val="none"/>
          <w:u w:val="none"/>
          <w:lang w:val="en-US" w:eastAsia="zh-CN" w:bidi="ar"/>
        </w:rPr>
        <w:t>3.磋商评审过程的保密与公正</w:t>
      </w:r>
    </w:p>
    <w:p w14:paraId="26975096">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szCs w:val="21"/>
          <w:highlight w:val="none"/>
          <w:u w:val="none"/>
          <w:lang w:val="en-US"/>
        </w:rPr>
      </w:pPr>
      <w:r>
        <w:rPr>
          <w:rFonts w:hint="eastAsia" w:ascii="宋体" w:hAnsi="宋体" w:eastAsia="宋体" w:cs="宋体"/>
          <w:color w:val="auto"/>
          <w:kern w:val="2"/>
          <w:sz w:val="21"/>
          <w:szCs w:val="21"/>
          <w:highlight w:val="none"/>
          <w:u w:val="none"/>
          <w:lang w:val="en-US" w:eastAsia="zh-CN" w:bidi="ar"/>
        </w:rPr>
        <w:t>3.1磋商小组、采购人和代理机构工作人员、相关监督人员等与评审工作有关的人员，对评审情况以及在评审过程中获悉的国家秘密、商业秘密负有保密责任。</w:t>
      </w:r>
    </w:p>
    <w:p w14:paraId="380CEA6A">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szCs w:val="21"/>
          <w:highlight w:val="none"/>
          <w:u w:val="none"/>
          <w:lang w:val="en-US"/>
        </w:rPr>
      </w:pPr>
      <w:r>
        <w:rPr>
          <w:rFonts w:hint="eastAsia" w:ascii="宋体" w:hAnsi="宋体" w:eastAsia="宋体" w:cs="宋体"/>
          <w:color w:val="auto"/>
          <w:kern w:val="2"/>
          <w:sz w:val="21"/>
          <w:szCs w:val="21"/>
          <w:highlight w:val="none"/>
          <w:u w:val="none"/>
          <w:lang w:val="en-US" w:eastAsia="zh-CN" w:bidi="ar"/>
        </w:rPr>
        <w:t>3.2在磋商评审过程中，磋商供应商不得以任何行为影响磋商评审过程，否则其响应文件将被视为无效响应文件。</w:t>
      </w:r>
    </w:p>
    <w:p w14:paraId="5FBF09DB">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szCs w:val="21"/>
          <w:highlight w:val="none"/>
          <w:u w:val="none"/>
          <w:lang w:val="en-US"/>
        </w:rPr>
      </w:pPr>
      <w:r>
        <w:rPr>
          <w:rFonts w:hint="eastAsia" w:ascii="宋体" w:hAnsi="宋体" w:eastAsia="宋体" w:cs="宋体"/>
          <w:color w:val="auto"/>
          <w:kern w:val="2"/>
          <w:sz w:val="21"/>
          <w:szCs w:val="21"/>
          <w:highlight w:val="none"/>
          <w:u w:val="none"/>
          <w:lang w:val="en-US" w:eastAsia="zh-CN" w:bidi="ar"/>
        </w:rPr>
        <w:t>3.3磋商小组成员应当按照客观、公正、审慎的原则，根据采购文件规定的评审程序、评审方法和评审标准进行独立评审。未实质性响应采购文件的响应文件按无效响应处理，磋商小组应当告知提交响应文件的供应商。</w:t>
      </w:r>
    </w:p>
    <w:p w14:paraId="61201338">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2" w:firstLineChars="200"/>
        <w:jc w:val="both"/>
        <w:rPr>
          <w:rFonts w:hint="eastAsia" w:ascii="宋体" w:hAnsi="宋体" w:eastAsia="宋体" w:cs="宋体"/>
          <w:b/>
          <w:bCs/>
          <w:color w:val="auto"/>
          <w:kern w:val="2"/>
          <w:sz w:val="21"/>
          <w:szCs w:val="21"/>
          <w:highlight w:val="none"/>
          <w:u w:val="none"/>
          <w:lang w:val="en-US" w:eastAsia="zh-CN" w:bidi="ar"/>
        </w:rPr>
      </w:pPr>
      <w:r>
        <w:rPr>
          <w:rFonts w:hint="eastAsia" w:ascii="宋体" w:hAnsi="宋体" w:eastAsia="宋体" w:cs="宋体"/>
          <w:b/>
          <w:bCs/>
          <w:color w:val="auto"/>
          <w:kern w:val="2"/>
          <w:sz w:val="21"/>
          <w:szCs w:val="21"/>
          <w:highlight w:val="none"/>
          <w:u w:val="none"/>
          <w:lang w:val="en-US" w:eastAsia="zh-CN" w:bidi="ar"/>
        </w:rPr>
        <w:t>4.评审过程的澄清、说明和更正</w:t>
      </w:r>
    </w:p>
    <w:p w14:paraId="16DE87E7">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szCs w:val="21"/>
          <w:highlight w:val="none"/>
          <w:u w:val="none"/>
          <w:lang w:val="en-US"/>
        </w:rPr>
      </w:pPr>
      <w:r>
        <w:rPr>
          <w:rFonts w:hint="eastAsia" w:ascii="宋体" w:hAnsi="宋体" w:eastAsia="宋体" w:cs="宋体"/>
          <w:color w:val="auto"/>
          <w:kern w:val="2"/>
          <w:sz w:val="21"/>
          <w:szCs w:val="21"/>
          <w:highlight w:val="none"/>
          <w:u w:val="none"/>
          <w:lang w:val="en-US" w:eastAsia="zh-CN" w:bidi="ar"/>
        </w:rPr>
        <w:t>4.1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7FEBA5A8">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kern w:val="2"/>
          <w:sz w:val="21"/>
          <w:szCs w:val="21"/>
          <w:highlight w:val="none"/>
          <w:u w:val="none"/>
          <w:lang w:val="en-US" w:eastAsia="zh-CN" w:bidi="ar"/>
        </w:rPr>
      </w:pPr>
      <w:r>
        <w:rPr>
          <w:rFonts w:hint="eastAsia" w:ascii="宋体" w:hAnsi="宋体" w:eastAsia="宋体" w:cs="宋体"/>
          <w:color w:val="auto"/>
          <w:kern w:val="2"/>
          <w:sz w:val="21"/>
          <w:szCs w:val="21"/>
          <w:highlight w:val="none"/>
          <w:u w:val="none"/>
          <w:lang w:val="en-US" w:eastAsia="zh-CN" w:bidi="ar"/>
        </w:rPr>
        <w:t>4.2接到磋商小组要求的供应商应派人按磋商小组通知的时间和地点做出书面澄清、说明或更正。供应商的澄清、说明或者更正应当由法定代表人或授权代表签字或者加盖公章。由授权代表签字的，应当附法定代表人授权书原件。供应商为自然人的，应当由本人签字并附身份证明，原件评审现场出示。</w:t>
      </w:r>
    </w:p>
    <w:p w14:paraId="22D35231">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kern w:val="2"/>
          <w:sz w:val="21"/>
          <w:szCs w:val="21"/>
          <w:highlight w:val="none"/>
          <w:u w:val="none"/>
          <w:lang w:val="en-US" w:eastAsia="zh-CN" w:bidi="ar"/>
        </w:rPr>
      </w:pPr>
      <w:r>
        <w:rPr>
          <w:rFonts w:hint="eastAsia" w:ascii="宋体" w:hAnsi="宋体" w:eastAsia="宋体" w:cs="宋体"/>
          <w:color w:val="auto"/>
          <w:kern w:val="2"/>
          <w:sz w:val="21"/>
          <w:szCs w:val="21"/>
          <w:highlight w:val="none"/>
          <w:u w:val="none"/>
          <w:lang w:val="en-US" w:eastAsia="zh-CN" w:bidi="ar"/>
        </w:rPr>
        <w:t>4.3 接到磋商小组澄清要求的供应商如未按规定作出澄清，其风险由供应商自行承担。</w:t>
      </w:r>
    </w:p>
    <w:p w14:paraId="5951F126">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2" w:firstLineChars="200"/>
        <w:jc w:val="both"/>
        <w:rPr>
          <w:rFonts w:hint="eastAsia" w:ascii="宋体" w:hAnsi="宋体" w:eastAsia="宋体" w:cs="宋体"/>
          <w:b/>
          <w:bCs/>
          <w:color w:val="auto"/>
          <w:kern w:val="2"/>
          <w:sz w:val="21"/>
          <w:szCs w:val="21"/>
          <w:highlight w:val="none"/>
          <w:u w:val="none"/>
          <w:lang w:val="en-US" w:eastAsia="zh-CN" w:bidi="ar"/>
        </w:rPr>
      </w:pPr>
      <w:r>
        <w:rPr>
          <w:rFonts w:hint="eastAsia" w:ascii="宋体" w:hAnsi="宋体" w:eastAsia="宋体" w:cs="宋体"/>
          <w:b/>
          <w:bCs/>
          <w:color w:val="auto"/>
          <w:kern w:val="2"/>
          <w:sz w:val="21"/>
          <w:szCs w:val="21"/>
          <w:highlight w:val="none"/>
          <w:u w:val="none"/>
          <w:lang w:val="en-US" w:eastAsia="zh-CN" w:bidi="ar"/>
        </w:rPr>
        <w:t>5.初步审查</w:t>
      </w:r>
    </w:p>
    <w:p w14:paraId="2BE8F423">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kern w:val="2"/>
          <w:sz w:val="21"/>
          <w:szCs w:val="21"/>
          <w:highlight w:val="none"/>
          <w:u w:val="none"/>
          <w:lang w:val="en-US" w:eastAsia="zh-CN" w:bidi="ar"/>
        </w:rPr>
      </w:pPr>
      <w:r>
        <w:rPr>
          <w:rFonts w:hint="eastAsia" w:ascii="宋体" w:hAnsi="宋体" w:eastAsia="宋体" w:cs="宋体"/>
          <w:color w:val="auto"/>
          <w:kern w:val="2"/>
          <w:sz w:val="21"/>
          <w:szCs w:val="21"/>
          <w:highlight w:val="none"/>
          <w:u w:val="none"/>
          <w:lang w:val="en-US" w:eastAsia="zh-CN" w:bidi="ar"/>
        </w:rPr>
        <w:t>5.1磋商小组应当对供应商提交的首次响应文件进行初步审查，包括响应文件的有效性、完整性、符合性。除可变动的技术、服务要求以及合同草案条款外，首次提交的响应文件有下列情况之一，其响应文件无效，磋商小组应当告知有关供应商。</w:t>
      </w:r>
    </w:p>
    <w:p w14:paraId="5DB2D7F9">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kern w:val="2"/>
          <w:sz w:val="21"/>
          <w:szCs w:val="21"/>
          <w:highlight w:val="none"/>
          <w:u w:val="none"/>
          <w:lang w:val="en-US" w:eastAsia="zh-CN" w:bidi="ar"/>
        </w:rPr>
      </w:pPr>
      <w:r>
        <w:rPr>
          <w:rFonts w:hint="eastAsia" w:ascii="宋体" w:hAnsi="宋体" w:eastAsia="宋体" w:cs="宋体"/>
          <w:color w:val="auto"/>
          <w:kern w:val="2"/>
          <w:sz w:val="21"/>
          <w:szCs w:val="21"/>
          <w:highlight w:val="none"/>
          <w:u w:val="none"/>
          <w:lang w:val="en-US" w:eastAsia="zh-CN" w:bidi="ar"/>
        </w:rPr>
        <w:t>（1）供应商未按照磋商文件规定要求密封、签署、盖章的；</w:t>
      </w:r>
    </w:p>
    <w:p w14:paraId="0FAFAD6A">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kern w:val="2"/>
          <w:sz w:val="21"/>
          <w:szCs w:val="21"/>
          <w:highlight w:val="none"/>
          <w:u w:val="none"/>
          <w:lang w:val="en-US" w:eastAsia="zh-CN" w:bidi="ar"/>
        </w:rPr>
      </w:pPr>
      <w:r>
        <w:rPr>
          <w:rFonts w:hint="eastAsia" w:ascii="宋体" w:hAnsi="宋体" w:eastAsia="宋体" w:cs="宋体"/>
          <w:color w:val="auto"/>
          <w:kern w:val="2"/>
          <w:sz w:val="21"/>
          <w:szCs w:val="21"/>
          <w:highlight w:val="none"/>
          <w:u w:val="none"/>
          <w:lang w:val="en-US" w:eastAsia="zh-CN" w:bidi="ar"/>
        </w:rPr>
        <w:t>（2）响应有效期不足的；</w:t>
      </w:r>
    </w:p>
    <w:p w14:paraId="62215B20">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kern w:val="2"/>
          <w:sz w:val="21"/>
          <w:szCs w:val="21"/>
          <w:highlight w:val="none"/>
          <w:u w:val="none"/>
          <w:lang w:val="en-US" w:eastAsia="zh-CN" w:bidi="ar"/>
        </w:rPr>
      </w:pPr>
      <w:r>
        <w:rPr>
          <w:rFonts w:hint="eastAsia" w:ascii="宋体" w:hAnsi="宋体" w:eastAsia="宋体" w:cs="宋体"/>
          <w:color w:val="auto"/>
          <w:kern w:val="2"/>
          <w:sz w:val="21"/>
          <w:szCs w:val="21"/>
          <w:highlight w:val="none"/>
          <w:u w:val="none"/>
          <w:lang w:val="en-US" w:eastAsia="zh-CN" w:bidi="ar"/>
        </w:rPr>
        <w:t>（3）供应商不满足磋商文件供应商资格条件或未按照磋商文件规定提供资格证明材料的；</w:t>
      </w:r>
    </w:p>
    <w:p w14:paraId="44543754">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kern w:val="2"/>
          <w:sz w:val="21"/>
          <w:szCs w:val="21"/>
          <w:highlight w:val="none"/>
          <w:u w:val="none"/>
          <w:lang w:val="en-US" w:eastAsia="zh-CN" w:bidi="ar"/>
        </w:rPr>
      </w:pPr>
      <w:r>
        <w:rPr>
          <w:rFonts w:hint="eastAsia" w:ascii="宋体" w:hAnsi="宋体" w:eastAsia="宋体" w:cs="宋体"/>
          <w:color w:val="auto"/>
          <w:kern w:val="2"/>
          <w:sz w:val="21"/>
          <w:szCs w:val="21"/>
          <w:highlight w:val="none"/>
          <w:u w:val="none"/>
          <w:lang w:val="en-US" w:eastAsia="zh-CN" w:bidi="ar"/>
        </w:rPr>
        <w:t>（4）响应文件不满足磋商文件实质性条款的。响应文件是否实质性响应磋商文件，由磋商小组依据磋商文件规定、供应商响应文件及磋商情况认定；</w:t>
      </w:r>
    </w:p>
    <w:p w14:paraId="36105AF8">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kern w:val="2"/>
          <w:sz w:val="21"/>
          <w:szCs w:val="21"/>
          <w:highlight w:val="none"/>
          <w:u w:val="none"/>
          <w:lang w:val="en-US" w:eastAsia="zh-CN" w:bidi="ar"/>
        </w:rPr>
      </w:pPr>
      <w:r>
        <w:rPr>
          <w:rFonts w:hint="eastAsia" w:ascii="宋体" w:hAnsi="宋体" w:eastAsia="宋体" w:cs="宋体"/>
          <w:color w:val="auto"/>
          <w:kern w:val="2"/>
          <w:sz w:val="21"/>
          <w:szCs w:val="21"/>
          <w:highlight w:val="none"/>
          <w:u w:val="none"/>
          <w:lang w:val="en-US" w:eastAsia="zh-CN" w:bidi="ar"/>
        </w:rPr>
        <w:t>（5）供应商存在失信记录的：</w:t>
      </w:r>
    </w:p>
    <w:p w14:paraId="538D7FF3">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kern w:val="2"/>
          <w:sz w:val="21"/>
          <w:szCs w:val="21"/>
          <w:highlight w:val="none"/>
          <w:u w:val="none"/>
          <w:lang w:val="en-US" w:eastAsia="zh-CN" w:bidi="ar"/>
        </w:rPr>
      </w:pPr>
      <w:r>
        <w:rPr>
          <w:rFonts w:hint="eastAsia" w:ascii="宋体" w:hAnsi="宋体" w:eastAsia="宋体" w:cs="宋体"/>
          <w:color w:val="auto"/>
          <w:kern w:val="2"/>
          <w:sz w:val="21"/>
          <w:szCs w:val="21"/>
          <w:highlight w:val="none"/>
          <w:u w:val="none"/>
          <w:lang w:val="en-US" w:eastAsia="zh-CN" w:bidi="ar"/>
        </w:rPr>
        <w:t>失信记录是指，通过“信用中国”网站（)、中国政府采购网（)查询相关主体信用记录，列入失信被执行人、重大税收违法失信主体名单、政府采购严重违法失信行为记录名单及其他不符合《中华人民共和国政府采购法》第二十二条规定条件的情况。失信情况查询详见供应商须知前附表；</w:t>
      </w:r>
    </w:p>
    <w:p w14:paraId="6FEBC001">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kern w:val="2"/>
          <w:sz w:val="21"/>
          <w:szCs w:val="21"/>
          <w:highlight w:val="none"/>
          <w:u w:val="none"/>
          <w:lang w:val="en-US" w:eastAsia="zh-CN" w:bidi="ar"/>
        </w:rPr>
      </w:pPr>
      <w:r>
        <w:rPr>
          <w:rFonts w:hint="eastAsia" w:ascii="宋体" w:hAnsi="宋体" w:eastAsia="宋体" w:cs="宋体"/>
          <w:color w:val="auto"/>
          <w:kern w:val="2"/>
          <w:sz w:val="21"/>
          <w:szCs w:val="21"/>
          <w:highlight w:val="none"/>
          <w:u w:val="none"/>
          <w:lang w:val="en-US" w:eastAsia="zh-CN" w:bidi="ar"/>
        </w:rPr>
        <w:t>（6）其他不符合法律、规章、规范性文件和磋商文件规定的。</w:t>
      </w:r>
    </w:p>
    <w:p w14:paraId="0BC5583D">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2" w:firstLineChars="200"/>
        <w:jc w:val="both"/>
        <w:rPr>
          <w:rFonts w:hint="eastAsia" w:ascii="宋体" w:hAnsi="宋体" w:eastAsia="宋体" w:cs="宋体"/>
          <w:b/>
          <w:bCs/>
          <w:color w:val="auto"/>
          <w:kern w:val="2"/>
          <w:sz w:val="21"/>
          <w:szCs w:val="21"/>
          <w:highlight w:val="none"/>
          <w:u w:val="none"/>
          <w:lang w:val="en-US" w:eastAsia="zh-CN" w:bidi="ar"/>
        </w:rPr>
      </w:pPr>
      <w:r>
        <w:rPr>
          <w:rFonts w:hint="eastAsia" w:ascii="宋体" w:hAnsi="宋体" w:eastAsia="宋体" w:cs="宋体"/>
          <w:b/>
          <w:bCs/>
          <w:color w:val="auto"/>
          <w:kern w:val="2"/>
          <w:sz w:val="21"/>
          <w:szCs w:val="21"/>
          <w:highlight w:val="none"/>
          <w:u w:val="none"/>
          <w:lang w:val="en-US" w:eastAsia="zh-CN" w:bidi="ar"/>
        </w:rPr>
        <w:t>6.澄清</w:t>
      </w:r>
    </w:p>
    <w:p w14:paraId="44744FB2">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kern w:val="2"/>
          <w:sz w:val="21"/>
          <w:szCs w:val="21"/>
          <w:highlight w:val="none"/>
          <w:u w:val="none"/>
          <w:lang w:val="en-US" w:eastAsia="zh-CN" w:bidi="ar"/>
        </w:rPr>
      </w:pPr>
      <w:r>
        <w:rPr>
          <w:rFonts w:hint="eastAsia" w:ascii="宋体" w:hAnsi="宋体" w:eastAsia="宋体" w:cs="宋体"/>
          <w:color w:val="auto"/>
          <w:kern w:val="2"/>
          <w:sz w:val="21"/>
          <w:szCs w:val="21"/>
          <w:highlight w:val="none"/>
          <w:u w:val="none"/>
          <w:lang w:val="en-US" w:eastAsia="zh-CN" w:bidi="ar"/>
        </w:rPr>
        <w:t>6.1磋商小组在对响应文件（包括首次响应文件、重新提交的响应文件）的有效性、完整性和对磋商文件的响应程度进行审查时，可以要求供应商对响应文件中含义不明确、同类问题表述不一致或者有明显文字和计算错误的内容等作出必要的澄清、说明或者更正。该要求应当以书面形式作出。</w:t>
      </w:r>
    </w:p>
    <w:p w14:paraId="185B98D8">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kern w:val="2"/>
          <w:sz w:val="21"/>
          <w:szCs w:val="21"/>
          <w:highlight w:val="none"/>
          <w:u w:val="none"/>
          <w:lang w:val="en-US" w:eastAsia="zh-CN" w:bidi="ar"/>
        </w:rPr>
      </w:pPr>
      <w:r>
        <w:rPr>
          <w:rFonts w:hint="eastAsia" w:ascii="宋体" w:hAnsi="宋体" w:eastAsia="宋体" w:cs="宋体"/>
          <w:color w:val="auto"/>
          <w:kern w:val="2"/>
          <w:sz w:val="21"/>
          <w:szCs w:val="21"/>
          <w:highlight w:val="none"/>
          <w:u w:val="none"/>
          <w:lang w:val="en-US" w:eastAsia="zh-CN" w:bidi="ar"/>
        </w:rPr>
        <w:t>6.2供应商的澄清、说明或者更正应当采用书面形式，由其法定代表人或其授权代表签字，供应商的澄清、说明或者更正不得超出磋商文件的范围或者改变响应文件的实质性内容。</w:t>
      </w:r>
    </w:p>
    <w:p w14:paraId="5699C18B">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kern w:val="2"/>
          <w:sz w:val="21"/>
          <w:szCs w:val="21"/>
          <w:highlight w:val="none"/>
          <w:u w:val="none"/>
          <w:lang w:val="en-US" w:eastAsia="zh-CN" w:bidi="ar"/>
        </w:rPr>
      </w:pPr>
      <w:r>
        <w:rPr>
          <w:rFonts w:hint="eastAsia" w:ascii="宋体" w:hAnsi="宋体" w:eastAsia="宋体" w:cs="宋体"/>
          <w:color w:val="auto"/>
          <w:kern w:val="2"/>
          <w:sz w:val="21"/>
          <w:szCs w:val="21"/>
          <w:highlight w:val="none"/>
          <w:u w:val="none"/>
          <w:lang w:val="en-US" w:eastAsia="zh-CN" w:bidi="ar"/>
        </w:rPr>
        <w:t>6.3关于响应描述（即响应文件中描述的内容）</w:t>
      </w:r>
    </w:p>
    <w:p w14:paraId="3BC5C0AF">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kern w:val="2"/>
          <w:sz w:val="21"/>
          <w:szCs w:val="21"/>
          <w:highlight w:val="none"/>
          <w:u w:val="none"/>
          <w:lang w:val="en-US" w:eastAsia="zh-CN" w:bidi="ar"/>
        </w:rPr>
      </w:pPr>
      <w:r>
        <w:rPr>
          <w:rFonts w:hint="eastAsia" w:ascii="宋体" w:hAnsi="宋体" w:eastAsia="宋体" w:cs="宋体"/>
          <w:color w:val="auto"/>
          <w:kern w:val="2"/>
          <w:sz w:val="21"/>
          <w:szCs w:val="21"/>
          <w:highlight w:val="none"/>
          <w:u w:val="none"/>
          <w:lang w:val="en-US" w:eastAsia="zh-CN" w:bidi="ar"/>
        </w:rPr>
        <w:t>（1）响应描述前后不一致且不涉及证明材料的：按照本节第6.1 条、6.2条规定执行。</w:t>
      </w:r>
    </w:p>
    <w:p w14:paraId="4DE51BCD">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kern w:val="2"/>
          <w:sz w:val="21"/>
          <w:szCs w:val="21"/>
          <w:highlight w:val="none"/>
          <w:u w:val="none"/>
          <w:lang w:val="en-US" w:eastAsia="zh-CN" w:bidi="ar"/>
        </w:rPr>
      </w:pPr>
      <w:r>
        <w:rPr>
          <w:rFonts w:hint="eastAsia" w:ascii="宋体" w:hAnsi="宋体" w:eastAsia="宋体" w:cs="宋体"/>
          <w:color w:val="auto"/>
          <w:kern w:val="2"/>
          <w:sz w:val="21"/>
          <w:szCs w:val="21"/>
          <w:highlight w:val="none"/>
          <w:u w:val="none"/>
          <w:lang w:val="en-US" w:eastAsia="zh-CN" w:bidi="ar"/>
        </w:rPr>
        <w:t>（2）响应描述与证明材料不一致或多份证明材料之间不一致的：</w:t>
      </w:r>
    </w:p>
    <w:p w14:paraId="648DAD7D">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kern w:val="2"/>
          <w:sz w:val="21"/>
          <w:szCs w:val="21"/>
          <w:highlight w:val="none"/>
          <w:u w:val="none"/>
          <w:lang w:val="en-US" w:eastAsia="zh-CN" w:bidi="ar"/>
        </w:rPr>
      </w:pPr>
      <w:r>
        <w:rPr>
          <w:rFonts w:hint="default" w:ascii="Calibri" w:hAnsi="Calibri" w:eastAsia="宋体" w:cs="Calibri"/>
          <w:color w:val="auto"/>
          <w:kern w:val="2"/>
          <w:sz w:val="21"/>
          <w:szCs w:val="21"/>
          <w:highlight w:val="none"/>
          <w:u w:val="none"/>
          <w:lang w:val="en-US" w:eastAsia="zh-CN" w:bidi="ar"/>
        </w:rPr>
        <w:t>①</w:t>
      </w:r>
      <w:r>
        <w:rPr>
          <w:rFonts w:hint="eastAsia" w:ascii="宋体" w:hAnsi="宋体" w:eastAsia="宋体" w:cs="宋体"/>
          <w:color w:val="auto"/>
          <w:kern w:val="2"/>
          <w:sz w:val="21"/>
          <w:szCs w:val="21"/>
          <w:highlight w:val="none"/>
          <w:u w:val="none"/>
          <w:lang w:val="en-US" w:eastAsia="zh-CN" w:bidi="ar"/>
        </w:rPr>
        <w:t>磋商小组将要求供应商进行书面澄清，无法澄清的将按照不利于供应商的内容进行评审。</w:t>
      </w:r>
    </w:p>
    <w:p w14:paraId="2BC4035D">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kern w:val="2"/>
          <w:sz w:val="21"/>
          <w:szCs w:val="21"/>
          <w:highlight w:val="none"/>
          <w:u w:val="none"/>
          <w:lang w:val="en-US" w:eastAsia="zh-CN" w:bidi="ar"/>
        </w:rPr>
      </w:pPr>
      <w:r>
        <w:rPr>
          <w:rFonts w:hint="default" w:ascii="Calibri" w:hAnsi="Calibri" w:eastAsia="宋体" w:cs="Calibri"/>
          <w:color w:val="auto"/>
          <w:kern w:val="2"/>
          <w:sz w:val="21"/>
          <w:szCs w:val="21"/>
          <w:highlight w:val="none"/>
          <w:u w:val="none"/>
          <w:lang w:val="en-US" w:eastAsia="zh-CN" w:bidi="ar"/>
        </w:rPr>
        <w:t>②</w:t>
      </w:r>
      <w:r>
        <w:rPr>
          <w:rFonts w:hint="eastAsia" w:ascii="宋体" w:hAnsi="宋体" w:eastAsia="宋体" w:cs="宋体"/>
          <w:color w:val="auto"/>
          <w:kern w:val="2"/>
          <w:sz w:val="21"/>
          <w:szCs w:val="21"/>
          <w:highlight w:val="none"/>
          <w:u w:val="none"/>
          <w:lang w:val="en-US" w:eastAsia="zh-CN" w:bidi="ar"/>
        </w:rPr>
        <w:t>供应商按照要求进行澄清的，采购人以澄清内容为准进行验收；供应商未按照要求进行澄清的，采购人以响应描述或证明材料中有利于采购人的内容进行验收。供应商应对证明材料的真实性、有效性承担责任。</w:t>
      </w:r>
    </w:p>
    <w:p w14:paraId="363BC69D">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kern w:val="2"/>
          <w:sz w:val="21"/>
          <w:szCs w:val="21"/>
          <w:highlight w:val="none"/>
          <w:u w:val="none"/>
          <w:lang w:val="en-US" w:eastAsia="zh-CN" w:bidi="ar"/>
        </w:rPr>
      </w:pPr>
      <w:r>
        <w:rPr>
          <w:rFonts w:hint="eastAsia" w:ascii="宋体" w:hAnsi="宋体" w:eastAsia="宋体" w:cs="宋体"/>
          <w:color w:val="auto"/>
          <w:kern w:val="2"/>
          <w:sz w:val="21"/>
          <w:szCs w:val="21"/>
          <w:highlight w:val="none"/>
          <w:u w:val="none"/>
          <w:lang w:val="en-US" w:eastAsia="zh-CN" w:bidi="ar"/>
        </w:rPr>
        <w:t>（3）若成交供应商的响应描述存在前后不一致、与证明材料不一致或多份证明材料之间不一致情形之一但在磋商中未能发现，则采购人将以响应描述或证明材料中有利于采购人的内容进行验收，成交供应商应自行承担由此产生的风险及费用。</w:t>
      </w:r>
    </w:p>
    <w:p w14:paraId="1E5E188C">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kern w:val="2"/>
          <w:sz w:val="21"/>
          <w:szCs w:val="21"/>
          <w:highlight w:val="none"/>
          <w:u w:val="none"/>
          <w:lang w:val="en-US" w:eastAsia="zh-CN" w:bidi="ar"/>
        </w:rPr>
      </w:pPr>
      <w:r>
        <w:rPr>
          <w:rFonts w:hint="eastAsia" w:ascii="宋体" w:hAnsi="宋体" w:eastAsia="宋体" w:cs="宋体"/>
          <w:color w:val="auto"/>
          <w:kern w:val="2"/>
          <w:sz w:val="21"/>
          <w:szCs w:val="21"/>
          <w:highlight w:val="none"/>
          <w:u w:val="none"/>
          <w:lang w:val="en-US" w:eastAsia="zh-CN" w:bidi="ar"/>
        </w:rPr>
        <w:t>6.4除磋商小组要求供应商做出的澄清、说明或者补正以外，磋商小组不接受供应商的任何询问、说明、更改及文件。</w:t>
      </w:r>
    </w:p>
    <w:p w14:paraId="54FDB6CB">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kern w:val="2"/>
          <w:sz w:val="21"/>
          <w:szCs w:val="21"/>
          <w:highlight w:val="none"/>
          <w:u w:val="none"/>
          <w:lang w:val="en-US" w:eastAsia="zh-CN" w:bidi="ar"/>
        </w:rPr>
      </w:pPr>
      <w:r>
        <w:rPr>
          <w:rFonts w:hint="eastAsia" w:ascii="宋体" w:hAnsi="宋体" w:eastAsia="宋体" w:cs="宋体"/>
          <w:color w:val="auto"/>
          <w:kern w:val="2"/>
          <w:sz w:val="21"/>
          <w:szCs w:val="21"/>
          <w:highlight w:val="none"/>
          <w:u w:val="none"/>
          <w:lang w:val="en-US" w:eastAsia="zh-CN" w:bidi="ar"/>
        </w:rPr>
        <w:t>供应商的澄清必须在规定的时间内提交。</w:t>
      </w:r>
    </w:p>
    <w:p w14:paraId="7B091EAF">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2" w:firstLineChars="200"/>
        <w:jc w:val="both"/>
        <w:rPr>
          <w:rFonts w:hint="eastAsia" w:ascii="宋体" w:hAnsi="宋体" w:eastAsia="宋体" w:cs="宋体"/>
          <w:b/>
          <w:bCs/>
          <w:color w:val="auto"/>
          <w:kern w:val="2"/>
          <w:sz w:val="21"/>
          <w:szCs w:val="21"/>
          <w:highlight w:val="none"/>
          <w:u w:val="none"/>
          <w:lang w:val="en-US" w:eastAsia="zh-CN" w:bidi="ar"/>
        </w:rPr>
      </w:pPr>
      <w:r>
        <w:rPr>
          <w:rFonts w:hint="eastAsia" w:ascii="宋体" w:hAnsi="宋体" w:eastAsia="宋体" w:cs="宋体"/>
          <w:b/>
          <w:bCs/>
          <w:color w:val="auto"/>
          <w:kern w:val="2"/>
          <w:sz w:val="21"/>
          <w:szCs w:val="21"/>
          <w:highlight w:val="none"/>
          <w:u w:val="none"/>
          <w:lang w:val="en-US" w:eastAsia="zh-CN" w:bidi="ar"/>
        </w:rPr>
        <w:t>7.磋商</w:t>
      </w:r>
    </w:p>
    <w:p w14:paraId="45E86FA4">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kern w:val="2"/>
          <w:sz w:val="21"/>
          <w:szCs w:val="21"/>
          <w:highlight w:val="none"/>
          <w:u w:val="none"/>
          <w:lang w:val="en-US" w:eastAsia="zh-CN" w:bidi="ar"/>
        </w:rPr>
      </w:pPr>
      <w:r>
        <w:rPr>
          <w:rFonts w:hint="eastAsia" w:ascii="宋体" w:hAnsi="宋体" w:eastAsia="宋体" w:cs="宋体"/>
          <w:color w:val="auto"/>
          <w:kern w:val="2"/>
          <w:sz w:val="21"/>
          <w:szCs w:val="21"/>
          <w:highlight w:val="none"/>
          <w:u w:val="none"/>
          <w:lang w:val="en-US" w:eastAsia="zh-CN" w:bidi="ar"/>
        </w:rPr>
        <w:t>7.1初审结束后，磋商小组所有成员集中与单一供应商分别进行磋商，并给予所有参加磋商的供应商平等的磋商机会。供应商应派其法定代表人或授权代表参加磋商。</w:t>
      </w:r>
    </w:p>
    <w:p w14:paraId="6F1F4AE3">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kern w:val="2"/>
          <w:sz w:val="21"/>
          <w:szCs w:val="21"/>
          <w:highlight w:val="none"/>
          <w:u w:val="none"/>
          <w:lang w:val="en-US" w:eastAsia="zh-CN" w:bidi="ar"/>
        </w:rPr>
      </w:pPr>
      <w:r>
        <w:rPr>
          <w:rFonts w:hint="eastAsia" w:ascii="宋体" w:hAnsi="宋体" w:eastAsia="宋体" w:cs="宋体"/>
          <w:color w:val="auto"/>
          <w:kern w:val="2"/>
          <w:sz w:val="21"/>
          <w:szCs w:val="21"/>
          <w:highlight w:val="none"/>
          <w:u w:val="none"/>
          <w:lang w:val="en-US" w:eastAsia="zh-CN" w:bidi="ar"/>
        </w:rPr>
        <w:t>7.2磋商过程中，磋商小组可以根据磋商文件和磋商情况实质性变动采购需求中的技术、服务要求以及合同草案条款，但不得变动磋商文件中的其他内容。实质性变动的内容，须经采购人代表确认。</w:t>
      </w:r>
    </w:p>
    <w:p w14:paraId="2DCBB8FA">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kern w:val="2"/>
          <w:sz w:val="21"/>
          <w:szCs w:val="21"/>
          <w:highlight w:val="none"/>
          <w:u w:val="none"/>
          <w:lang w:val="en-US" w:eastAsia="zh-CN" w:bidi="ar"/>
        </w:rPr>
      </w:pPr>
      <w:r>
        <w:rPr>
          <w:rFonts w:hint="eastAsia" w:ascii="宋体" w:hAnsi="宋体" w:eastAsia="宋体" w:cs="宋体"/>
          <w:color w:val="auto"/>
          <w:kern w:val="2"/>
          <w:sz w:val="21"/>
          <w:szCs w:val="21"/>
          <w:highlight w:val="none"/>
          <w:u w:val="none"/>
          <w:lang w:val="en-US" w:eastAsia="zh-CN" w:bidi="ar"/>
        </w:rPr>
        <w:t>7.3对磋商文件作出的实质性变动是磋商文件的有效组成部分，磋商小组应当及时以书面形式同时通知所有参加磋商的供应商。</w:t>
      </w:r>
    </w:p>
    <w:p w14:paraId="7E0B65B3">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kern w:val="2"/>
          <w:sz w:val="21"/>
          <w:szCs w:val="21"/>
          <w:highlight w:val="none"/>
          <w:u w:val="none"/>
          <w:lang w:val="en-US" w:eastAsia="zh-CN" w:bidi="ar"/>
        </w:rPr>
      </w:pPr>
      <w:r>
        <w:rPr>
          <w:rFonts w:hint="eastAsia" w:ascii="宋体" w:hAnsi="宋体" w:eastAsia="宋体" w:cs="宋体"/>
          <w:color w:val="auto"/>
          <w:kern w:val="2"/>
          <w:sz w:val="21"/>
          <w:szCs w:val="21"/>
          <w:highlight w:val="none"/>
          <w:u w:val="none"/>
          <w:lang w:val="en-US" w:eastAsia="zh-CN" w:bidi="ar"/>
        </w:rPr>
        <w:t>7.4供应商应当按照磋商文件的变动情况和磋商小组的要求重新提交响应文件，并由其法定代表人或授权代表签字或者加盖公章。由授权代表签字的，应当附法定代表人授权书。供应商为自然人的，应当由本人签字并附身份证明。</w:t>
      </w:r>
    </w:p>
    <w:p w14:paraId="6D87995A">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kern w:val="2"/>
          <w:sz w:val="21"/>
          <w:szCs w:val="21"/>
          <w:highlight w:val="none"/>
          <w:u w:val="none"/>
          <w:lang w:val="en-US" w:eastAsia="zh-CN" w:bidi="ar"/>
        </w:rPr>
      </w:pPr>
      <w:r>
        <w:rPr>
          <w:rFonts w:hint="eastAsia" w:ascii="宋体" w:hAnsi="宋体" w:eastAsia="宋体" w:cs="宋体"/>
          <w:color w:val="auto"/>
          <w:kern w:val="2"/>
          <w:sz w:val="21"/>
          <w:szCs w:val="21"/>
          <w:highlight w:val="none"/>
          <w:u w:val="none"/>
          <w:lang w:val="en-US" w:eastAsia="zh-CN" w:bidi="ar"/>
        </w:rPr>
        <w:t>7.5磋商文件不能详细列明采购标的技术、服务要求，需经磋商由供应商提供最终设计方案或解决方案的，磋商结束后，磋商小组应当按照少数服从多数的原则投票推荐3家以上供应商的设计方案或者解决方案。</w:t>
      </w:r>
    </w:p>
    <w:p w14:paraId="0B094384">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kern w:val="2"/>
          <w:sz w:val="21"/>
          <w:szCs w:val="21"/>
          <w:highlight w:val="none"/>
          <w:u w:val="none"/>
          <w:lang w:val="en-US" w:eastAsia="zh-CN" w:bidi="ar"/>
        </w:rPr>
      </w:pPr>
      <w:r>
        <w:rPr>
          <w:rFonts w:hint="eastAsia" w:ascii="宋体" w:hAnsi="宋体" w:eastAsia="宋体" w:cs="宋体"/>
          <w:color w:val="auto"/>
          <w:kern w:val="2"/>
          <w:sz w:val="21"/>
          <w:szCs w:val="21"/>
          <w:highlight w:val="none"/>
          <w:u w:val="none"/>
          <w:lang w:val="en-US" w:eastAsia="zh-CN" w:bidi="ar"/>
        </w:rPr>
        <w:t>7.6磋商小组应当根据实际情况与供应商进行磋商，并确定磋商的轮次。</w:t>
      </w:r>
    </w:p>
    <w:p w14:paraId="4E925AFA">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kern w:val="2"/>
          <w:sz w:val="21"/>
          <w:szCs w:val="21"/>
          <w:highlight w:val="none"/>
          <w:u w:val="none"/>
          <w:lang w:val="en-US" w:eastAsia="zh-CN" w:bidi="ar"/>
        </w:rPr>
      </w:pPr>
      <w:r>
        <w:rPr>
          <w:rFonts w:hint="eastAsia" w:ascii="宋体" w:hAnsi="宋体" w:eastAsia="宋体" w:cs="宋体"/>
          <w:color w:val="auto"/>
          <w:kern w:val="2"/>
          <w:sz w:val="21"/>
          <w:szCs w:val="21"/>
          <w:highlight w:val="none"/>
          <w:u w:val="none"/>
          <w:lang w:val="en-US" w:eastAsia="zh-CN" w:bidi="ar"/>
        </w:rPr>
        <w:t>7.7已提交响应文件的供应商，在提交最后报价之前，可以根据磋商情况退出磋商。</w:t>
      </w:r>
    </w:p>
    <w:p w14:paraId="1767EE0B">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kern w:val="2"/>
          <w:sz w:val="21"/>
          <w:szCs w:val="21"/>
          <w:highlight w:val="none"/>
          <w:u w:val="none"/>
          <w:lang w:val="en-US" w:eastAsia="zh-CN" w:bidi="ar"/>
        </w:rPr>
      </w:pPr>
      <w:r>
        <w:rPr>
          <w:rFonts w:hint="eastAsia" w:ascii="宋体" w:hAnsi="宋体" w:eastAsia="宋体" w:cs="宋体"/>
          <w:color w:val="auto"/>
          <w:kern w:val="2"/>
          <w:sz w:val="21"/>
          <w:szCs w:val="21"/>
          <w:highlight w:val="none"/>
          <w:u w:val="none"/>
          <w:lang w:val="en-US" w:eastAsia="zh-CN" w:bidi="ar"/>
        </w:rPr>
        <w:t>7.8磋商结束后，供应商按照磋商小组要求重新提交的响应文件，不满足磋商文件及变动后的技术、服务要求以及合同草案条款的实质性要求的，将视为无效响应文件。</w:t>
      </w:r>
    </w:p>
    <w:p w14:paraId="0B0AB39D">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2" w:firstLineChars="200"/>
        <w:jc w:val="both"/>
        <w:rPr>
          <w:rFonts w:hint="eastAsia" w:ascii="宋体" w:hAnsi="宋体" w:eastAsia="宋体" w:cs="宋体"/>
          <w:b/>
          <w:bCs/>
          <w:color w:val="auto"/>
          <w:kern w:val="2"/>
          <w:sz w:val="21"/>
          <w:szCs w:val="21"/>
          <w:highlight w:val="none"/>
          <w:u w:val="none"/>
          <w:lang w:val="en-US" w:eastAsia="zh-CN" w:bidi="ar"/>
        </w:rPr>
      </w:pPr>
      <w:r>
        <w:rPr>
          <w:rFonts w:hint="eastAsia" w:ascii="宋体" w:hAnsi="宋体" w:eastAsia="宋体" w:cs="宋体"/>
          <w:b/>
          <w:bCs/>
          <w:color w:val="auto"/>
          <w:kern w:val="2"/>
          <w:sz w:val="21"/>
          <w:szCs w:val="21"/>
          <w:highlight w:val="none"/>
          <w:u w:val="none"/>
          <w:lang w:val="en-US" w:eastAsia="zh-CN" w:bidi="ar"/>
        </w:rPr>
        <w:t>8.最后报价</w:t>
      </w:r>
    </w:p>
    <w:p w14:paraId="2E86B256">
      <w:pPr>
        <w:pageBreakBefore w:val="0"/>
        <w:kinsoku/>
        <w:topLinePunct w:val="0"/>
        <w:bidi w:val="0"/>
        <w:spacing w:line="360" w:lineRule="auto"/>
        <w:ind w:firstLine="482"/>
        <w:rPr>
          <w:rFonts w:hint="eastAsia" w:ascii="宋体" w:hAnsi="宋体" w:eastAsia="宋体" w:cs="宋体"/>
          <w:b/>
          <w:bCs w:val="0"/>
          <w:color w:val="auto"/>
          <w:kern w:val="2"/>
          <w:sz w:val="21"/>
          <w:szCs w:val="21"/>
          <w:highlight w:val="none"/>
          <w:u w:val="none"/>
          <w:lang w:val="en-US" w:eastAsia="zh-CN" w:bidi="ar"/>
        </w:rPr>
      </w:pPr>
      <w:r>
        <w:rPr>
          <w:rFonts w:hint="eastAsia" w:ascii="宋体" w:hAnsi="宋体" w:eastAsia="宋体" w:cs="宋体"/>
          <w:color w:val="auto"/>
          <w:kern w:val="2"/>
          <w:sz w:val="21"/>
          <w:szCs w:val="21"/>
          <w:highlight w:val="none"/>
          <w:u w:val="none"/>
          <w:lang w:val="en-US" w:eastAsia="zh-CN" w:bidi="ar"/>
        </w:rPr>
        <w:t>8.1</w:t>
      </w:r>
      <w:r>
        <w:rPr>
          <w:rFonts w:hint="eastAsia" w:ascii="宋体" w:hAnsi="宋体" w:cs="宋体"/>
          <w:b/>
          <w:color w:val="auto"/>
          <w:szCs w:val="21"/>
          <w:highlight w:val="none"/>
          <w:u w:val="none"/>
        </w:rPr>
        <w:t>各供应商请关注开标大厅交流区，在开标结束后，请勿离开开标大厅，采购人或采购代理机构通知最后报价填报后，所有的响应供应商须在</w:t>
      </w:r>
      <w:r>
        <w:rPr>
          <w:rFonts w:hint="eastAsia" w:ascii="宋体" w:hAnsi="宋体" w:cs="宋体"/>
          <w:b/>
          <w:color w:val="auto"/>
          <w:szCs w:val="21"/>
          <w:highlight w:val="none"/>
          <w:u w:val="none"/>
          <w:lang w:val="en-US" w:eastAsia="zh-CN"/>
        </w:rPr>
        <w:t>15</w:t>
      </w:r>
      <w:r>
        <w:rPr>
          <w:rFonts w:hint="eastAsia" w:ascii="宋体" w:hAnsi="宋体" w:cs="宋体"/>
          <w:b/>
          <w:color w:val="auto"/>
          <w:szCs w:val="21"/>
          <w:highlight w:val="none"/>
          <w:u w:val="none"/>
        </w:rPr>
        <w:t>分钟内填写并提交最后报价</w:t>
      </w:r>
      <w:r>
        <w:rPr>
          <w:rFonts w:hint="eastAsia" w:ascii="宋体" w:hAnsi="宋体" w:cs="宋体"/>
          <w:b/>
          <w:bCs w:val="0"/>
          <w:color w:val="auto"/>
          <w:szCs w:val="21"/>
          <w:highlight w:val="none"/>
          <w:u w:val="none"/>
        </w:rPr>
        <w:t>，</w:t>
      </w:r>
      <w:r>
        <w:rPr>
          <w:rFonts w:hint="eastAsia" w:ascii="宋体" w:hAnsi="宋体" w:eastAsia="宋体" w:cs="宋体"/>
          <w:b/>
          <w:bCs w:val="0"/>
          <w:color w:val="auto"/>
          <w:kern w:val="2"/>
          <w:sz w:val="21"/>
          <w:szCs w:val="21"/>
          <w:highlight w:val="none"/>
          <w:u w:val="none"/>
          <w:lang w:val="en-US" w:eastAsia="zh-CN" w:bidi="ar"/>
        </w:rPr>
        <w:t>提交最后报价的供应商不得少于3家。</w:t>
      </w:r>
      <w:r>
        <w:rPr>
          <w:rFonts w:hint="eastAsia" w:ascii="宋体" w:hAnsi="宋体" w:cs="宋体"/>
          <w:b/>
          <w:bCs w:val="0"/>
          <w:color w:val="auto"/>
          <w:szCs w:val="21"/>
          <w:highlight w:val="none"/>
          <w:u w:val="none"/>
        </w:rPr>
        <w:t>未在规定时间内提交最后报价的，视作无效响应处理。</w:t>
      </w:r>
    </w:p>
    <w:p w14:paraId="26904404">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kern w:val="2"/>
          <w:sz w:val="21"/>
          <w:szCs w:val="21"/>
          <w:highlight w:val="none"/>
          <w:u w:val="none"/>
          <w:lang w:val="en-US" w:eastAsia="zh-CN" w:bidi="ar"/>
        </w:rPr>
      </w:pPr>
      <w:r>
        <w:rPr>
          <w:rFonts w:hint="eastAsia" w:ascii="宋体" w:hAnsi="宋体" w:eastAsia="宋体" w:cs="宋体"/>
          <w:color w:val="auto"/>
          <w:kern w:val="2"/>
          <w:sz w:val="21"/>
          <w:szCs w:val="21"/>
          <w:highlight w:val="none"/>
          <w:u w:val="none"/>
          <w:lang w:val="en-US" w:eastAsia="zh-CN" w:bidi="ar"/>
        </w:rPr>
        <w:t>8.2磋商文件不能详细列明采购标的技术、服务要求，需经磋商由供应商提供最终设计方案或解决方案的，磋商结束后，磋商小组应当按照少数服从多数的原则投票推荐3家以上供应商的设计方案或者解决方案，并要求其在规定时间内提交最后报价。</w:t>
      </w:r>
    </w:p>
    <w:p w14:paraId="06A9AD5C">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kern w:val="2"/>
          <w:sz w:val="21"/>
          <w:szCs w:val="21"/>
          <w:highlight w:val="none"/>
          <w:u w:val="none"/>
          <w:lang w:val="en-US" w:eastAsia="zh-CN" w:bidi="ar"/>
        </w:rPr>
      </w:pPr>
      <w:r>
        <w:rPr>
          <w:rFonts w:hint="eastAsia" w:ascii="宋体" w:hAnsi="宋体" w:eastAsia="宋体" w:cs="宋体"/>
          <w:color w:val="auto"/>
          <w:kern w:val="2"/>
          <w:sz w:val="21"/>
          <w:szCs w:val="21"/>
          <w:highlight w:val="none"/>
          <w:u w:val="none"/>
          <w:lang w:val="en-US" w:eastAsia="zh-CN" w:bidi="ar"/>
        </w:rPr>
        <w:t>8.3最后报价是供应商响应文件的有效组成部分。如磋商小组没有对磋商文件作实质性变动或增加新的需求，最后报价不得高于首轮报价。</w:t>
      </w:r>
    </w:p>
    <w:p w14:paraId="3FB8DB99">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2" w:firstLineChars="200"/>
        <w:jc w:val="both"/>
        <w:rPr>
          <w:rFonts w:hint="eastAsia" w:ascii="宋体" w:hAnsi="宋体" w:eastAsia="宋体" w:cs="宋体"/>
          <w:b/>
          <w:bCs/>
          <w:color w:val="auto"/>
          <w:kern w:val="2"/>
          <w:sz w:val="21"/>
          <w:szCs w:val="21"/>
          <w:highlight w:val="none"/>
          <w:u w:val="none"/>
          <w:lang w:val="en-US" w:eastAsia="zh-CN" w:bidi="ar"/>
        </w:rPr>
      </w:pPr>
      <w:r>
        <w:rPr>
          <w:rFonts w:hint="eastAsia" w:ascii="宋体" w:hAnsi="宋体" w:eastAsia="宋体" w:cs="宋体"/>
          <w:b/>
          <w:bCs/>
          <w:color w:val="auto"/>
          <w:kern w:val="2"/>
          <w:sz w:val="21"/>
          <w:szCs w:val="21"/>
          <w:highlight w:val="none"/>
          <w:u w:val="none"/>
          <w:lang w:val="en-US" w:eastAsia="zh-CN" w:bidi="ar"/>
        </w:rPr>
        <w:t>9.最后报价评审</w:t>
      </w:r>
    </w:p>
    <w:p w14:paraId="00B61B01">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kern w:val="2"/>
          <w:sz w:val="21"/>
          <w:szCs w:val="21"/>
          <w:highlight w:val="none"/>
          <w:u w:val="none"/>
          <w:lang w:val="en-US" w:eastAsia="zh-CN" w:bidi="ar"/>
        </w:rPr>
      </w:pPr>
      <w:r>
        <w:rPr>
          <w:rFonts w:hint="eastAsia" w:ascii="宋体" w:hAnsi="宋体" w:eastAsia="宋体" w:cs="宋体"/>
          <w:color w:val="auto"/>
          <w:kern w:val="2"/>
          <w:sz w:val="21"/>
          <w:szCs w:val="21"/>
          <w:highlight w:val="none"/>
          <w:u w:val="none"/>
          <w:lang w:val="en-US" w:eastAsia="zh-CN" w:bidi="ar"/>
        </w:rPr>
        <w:t>9.1最后报价计算错误修正的原则</w:t>
      </w:r>
    </w:p>
    <w:p w14:paraId="77055A2F">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kern w:val="2"/>
          <w:sz w:val="21"/>
          <w:szCs w:val="21"/>
          <w:highlight w:val="none"/>
          <w:u w:val="none"/>
          <w:lang w:val="en-US" w:eastAsia="zh-CN" w:bidi="ar"/>
        </w:rPr>
      </w:pPr>
      <w:r>
        <w:rPr>
          <w:rFonts w:hint="eastAsia" w:ascii="宋体" w:hAnsi="宋体" w:eastAsia="宋体" w:cs="宋体"/>
          <w:color w:val="auto"/>
          <w:kern w:val="2"/>
          <w:sz w:val="21"/>
          <w:szCs w:val="21"/>
          <w:highlight w:val="none"/>
          <w:u w:val="none"/>
          <w:lang w:val="en-US" w:eastAsia="zh-CN" w:bidi="ar"/>
        </w:rPr>
        <w:t>（1）最后报价的大写金额和小写金额不一致的，以大写金额为准。</w:t>
      </w:r>
    </w:p>
    <w:p w14:paraId="5D739982">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kern w:val="2"/>
          <w:sz w:val="21"/>
          <w:szCs w:val="21"/>
          <w:highlight w:val="none"/>
          <w:u w:val="none"/>
          <w:lang w:val="en-US" w:eastAsia="zh-CN" w:bidi="ar"/>
        </w:rPr>
      </w:pPr>
      <w:r>
        <w:rPr>
          <w:rFonts w:hint="eastAsia" w:ascii="宋体" w:hAnsi="宋体" w:eastAsia="宋体" w:cs="宋体"/>
          <w:color w:val="auto"/>
          <w:kern w:val="2"/>
          <w:sz w:val="21"/>
          <w:szCs w:val="21"/>
          <w:highlight w:val="none"/>
          <w:u w:val="none"/>
          <w:lang w:val="en-US" w:eastAsia="zh-CN" w:bidi="ar"/>
        </w:rPr>
        <w:t>（2）总价金额与按分项报价汇总金额不一致的，以分项报价金额计算结果为准。</w:t>
      </w:r>
    </w:p>
    <w:p w14:paraId="37795A44">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kern w:val="2"/>
          <w:sz w:val="21"/>
          <w:szCs w:val="21"/>
          <w:highlight w:val="none"/>
          <w:u w:val="none"/>
          <w:lang w:val="en-US" w:eastAsia="zh-CN" w:bidi="ar"/>
        </w:rPr>
      </w:pPr>
      <w:r>
        <w:rPr>
          <w:rFonts w:hint="eastAsia" w:ascii="宋体" w:hAnsi="宋体" w:eastAsia="宋体" w:cs="宋体"/>
          <w:color w:val="auto"/>
          <w:kern w:val="2"/>
          <w:sz w:val="21"/>
          <w:szCs w:val="21"/>
          <w:highlight w:val="none"/>
          <w:u w:val="none"/>
          <w:lang w:val="en-US" w:eastAsia="zh-CN" w:bidi="ar"/>
        </w:rPr>
        <w:t>（3）分项报价金额小数点有明显错位的，应以总价为准，并修改分项报价。</w:t>
      </w:r>
    </w:p>
    <w:p w14:paraId="32F67333">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kern w:val="2"/>
          <w:sz w:val="21"/>
          <w:szCs w:val="21"/>
          <w:highlight w:val="none"/>
          <w:u w:val="none"/>
          <w:lang w:val="en-US" w:eastAsia="zh-CN" w:bidi="ar"/>
        </w:rPr>
      </w:pPr>
      <w:r>
        <w:rPr>
          <w:rFonts w:hint="eastAsia" w:ascii="宋体" w:hAnsi="宋体" w:eastAsia="宋体" w:cs="宋体"/>
          <w:color w:val="auto"/>
          <w:kern w:val="2"/>
          <w:sz w:val="21"/>
          <w:szCs w:val="21"/>
          <w:highlight w:val="none"/>
          <w:u w:val="none"/>
          <w:lang w:val="en-US" w:eastAsia="zh-CN" w:bidi="ar"/>
        </w:rPr>
        <w:t>（4）同时出现两种以上不一致的，按照前款规定的顺序修正。</w:t>
      </w:r>
    </w:p>
    <w:p w14:paraId="498A1C5D">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kern w:val="2"/>
          <w:sz w:val="21"/>
          <w:szCs w:val="21"/>
          <w:highlight w:val="none"/>
          <w:u w:val="none"/>
          <w:lang w:val="en-US" w:eastAsia="zh-CN" w:bidi="ar"/>
        </w:rPr>
      </w:pPr>
      <w:r>
        <w:rPr>
          <w:rFonts w:hint="eastAsia" w:ascii="宋体" w:hAnsi="宋体" w:eastAsia="宋体" w:cs="宋体"/>
          <w:color w:val="auto"/>
          <w:kern w:val="2"/>
          <w:sz w:val="21"/>
          <w:szCs w:val="21"/>
          <w:highlight w:val="none"/>
          <w:u w:val="none"/>
          <w:lang w:val="en-US" w:eastAsia="zh-CN" w:bidi="ar"/>
        </w:rPr>
        <w:t>（5）如果供应商不接受对其错误的更正，其最后报价将被视为无效报价或确定为无效响应。</w:t>
      </w:r>
    </w:p>
    <w:p w14:paraId="21D0F909">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kern w:val="2"/>
          <w:sz w:val="21"/>
          <w:szCs w:val="21"/>
          <w:highlight w:val="none"/>
          <w:u w:val="none"/>
          <w:lang w:val="en-US" w:eastAsia="zh-CN" w:bidi="ar"/>
        </w:rPr>
      </w:pPr>
      <w:r>
        <w:rPr>
          <w:rFonts w:hint="eastAsia" w:ascii="宋体" w:hAnsi="宋体" w:eastAsia="宋体" w:cs="宋体"/>
          <w:color w:val="auto"/>
          <w:kern w:val="2"/>
          <w:sz w:val="21"/>
          <w:szCs w:val="21"/>
          <w:highlight w:val="none"/>
          <w:u w:val="none"/>
          <w:lang w:val="en-US" w:eastAsia="zh-CN" w:bidi="ar"/>
        </w:rPr>
        <w:t>9.2最后报价的价格扣除原则</w:t>
      </w:r>
    </w:p>
    <w:p w14:paraId="42F337BB">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kern w:val="2"/>
          <w:sz w:val="21"/>
          <w:szCs w:val="21"/>
          <w:highlight w:val="none"/>
          <w:u w:val="none"/>
          <w:lang w:val="en-US" w:eastAsia="zh-CN" w:bidi="ar"/>
        </w:rPr>
      </w:pPr>
      <w:r>
        <w:rPr>
          <w:rFonts w:hint="eastAsia" w:ascii="宋体" w:hAnsi="宋体" w:eastAsia="宋体" w:cs="宋体"/>
          <w:color w:val="auto"/>
          <w:kern w:val="2"/>
          <w:sz w:val="21"/>
          <w:szCs w:val="21"/>
          <w:highlight w:val="none"/>
          <w:u w:val="none"/>
          <w:lang w:val="en-US" w:eastAsia="zh-CN" w:bidi="ar"/>
        </w:rPr>
        <w:t>落实政府采购政策进行价格调整的规则详见第五章评标办法的规定。</w:t>
      </w:r>
    </w:p>
    <w:p w14:paraId="5F30AA85">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kern w:val="2"/>
          <w:sz w:val="21"/>
          <w:szCs w:val="21"/>
          <w:highlight w:val="none"/>
          <w:u w:val="none"/>
          <w:lang w:val="en-US" w:eastAsia="zh-CN" w:bidi="ar"/>
        </w:rPr>
      </w:pPr>
      <w:r>
        <w:rPr>
          <w:rFonts w:hint="eastAsia" w:ascii="宋体" w:hAnsi="宋体" w:eastAsia="宋体" w:cs="宋体"/>
          <w:color w:val="auto"/>
          <w:kern w:val="2"/>
          <w:sz w:val="21"/>
          <w:szCs w:val="21"/>
          <w:highlight w:val="none"/>
          <w:u w:val="none"/>
          <w:lang w:val="en-US" w:eastAsia="zh-CN" w:bidi="ar"/>
        </w:rPr>
        <w:t>9.3磋商报价得分： 以供应商的最后报价作为价格评分依据。供应商的评审价为按上述条款修正并给予价格扣除优惠后的价格。</w:t>
      </w:r>
    </w:p>
    <w:p w14:paraId="0489949D">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kern w:val="2"/>
          <w:sz w:val="21"/>
          <w:szCs w:val="21"/>
          <w:highlight w:val="none"/>
          <w:u w:val="none"/>
          <w:lang w:val="en-US" w:eastAsia="zh-CN" w:bidi="ar"/>
        </w:rPr>
      </w:pPr>
      <w:r>
        <w:rPr>
          <w:rFonts w:hint="eastAsia" w:ascii="宋体" w:hAnsi="宋体" w:eastAsia="宋体" w:cs="宋体"/>
          <w:color w:val="auto"/>
          <w:kern w:val="2"/>
          <w:sz w:val="21"/>
          <w:szCs w:val="21"/>
          <w:highlight w:val="none"/>
          <w:u w:val="none"/>
          <w:lang w:val="en-US" w:eastAsia="zh-CN" w:bidi="ar"/>
        </w:rPr>
        <w:t>价格评分统一采用低价优先法计算，即满足磋商文件要求且价格最低的评审价为评审基准价，其价格分为满分。其他供应商的价格分统一按照下列公式计算：磋商报价得分=（磋商基准价/最后磋商报价） ×价格满分值</w:t>
      </w:r>
      <w:r>
        <w:rPr>
          <w:rFonts w:hint="eastAsia" w:ascii="宋体" w:hAnsi="宋体" w:cs="宋体"/>
          <w:color w:val="auto"/>
          <w:kern w:val="2"/>
          <w:sz w:val="21"/>
          <w:szCs w:val="21"/>
          <w:highlight w:val="none"/>
          <w:u w:val="none"/>
          <w:lang w:val="en-US" w:eastAsia="zh-CN" w:bidi="ar"/>
        </w:rPr>
        <w:t>。</w:t>
      </w:r>
    </w:p>
    <w:p w14:paraId="2E68F68C">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2" w:firstLineChars="200"/>
        <w:jc w:val="both"/>
        <w:rPr>
          <w:rFonts w:hint="eastAsia" w:ascii="宋体" w:hAnsi="宋体" w:eastAsia="宋体" w:cs="宋体"/>
          <w:b/>
          <w:bCs/>
          <w:color w:val="auto"/>
          <w:kern w:val="2"/>
          <w:sz w:val="21"/>
          <w:szCs w:val="21"/>
          <w:highlight w:val="none"/>
          <w:u w:val="none"/>
          <w:lang w:val="en-US" w:eastAsia="zh-CN" w:bidi="ar"/>
        </w:rPr>
      </w:pPr>
      <w:r>
        <w:rPr>
          <w:rFonts w:hint="eastAsia" w:ascii="宋体" w:hAnsi="宋体" w:eastAsia="宋体" w:cs="宋体"/>
          <w:b/>
          <w:bCs/>
          <w:color w:val="auto"/>
          <w:kern w:val="2"/>
          <w:sz w:val="21"/>
          <w:szCs w:val="21"/>
          <w:highlight w:val="none"/>
          <w:u w:val="none"/>
          <w:lang w:val="en-US" w:eastAsia="zh-CN" w:bidi="ar"/>
        </w:rPr>
        <w:t>10.综合评审</w:t>
      </w:r>
    </w:p>
    <w:p w14:paraId="304B689F">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kern w:val="2"/>
          <w:sz w:val="21"/>
          <w:szCs w:val="21"/>
          <w:highlight w:val="none"/>
          <w:u w:val="none"/>
          <w:lang w:val="en-US" w:eastAsia="zh-CN" w:bidi="ar"/>
        </w:rPr>
      </w:pPr>
      <w:r>
        <w:rPr>
          <w:rFonts w:hint="eastAsia" w:ascii="宋体" w:hAnsi="宋体" w:eastAsia="宋体" w:cs="宋体"/>
          <w:color w:val="auto"/>
          <w:kern w:val="2"/>
          <w:sz w:val="21"/>
          <w:szCs w:val="21"/>
          <w:highlight w:val="none"/>
          <w:u w:val="none"/>
          <w:lang w:val="en-US" w:eastAsia="zh-CN" w:bidi="ar"/>
        </w:rPr>
        <w:t>10.1经磋商确定最终采购需求和提交最后报价的供应商后， 由磋商小组采用综合评分法对提交最后报价的供应商的响应文件和最后报价进行综合评分。</w:t>
      </w:r>
    </w:p>
    <w:p w14:paraId="472CAB8C">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kern w:val="2"/>
          <w:sz w:val="21"/>
          <w:szCs w:val="21"/>
          <w:highlight w:val="none"/>
          <w:u w:val="none"/>
          <w:lang w:val="en-US" w:eastAsia="zh-CN" w:bidi="ar"/>
        </w:rPr>
      </w:pPr>
      <w:r>
        <w:rPr>
          <w:rFonts w:hint="eastAsia" w:ascii="宋体" w:hAnsi="宋体" w:eastAsia="宋体" w:cs="宋体"/>
          <w:color w:val="auto"/>
          <w:kern w:val="2"/>
          <w:sz w:val="21"/>
          <w:szCs w:val="21"/>
          <w:highlight w:val="none"/>
          <w:u w:val="none"/>
          <w:lang w:val="en-US" w:eastAsia="zh-CN" w:bidi="ar"/>
        </w:rPr>
        <w:t>10.2评审办法及标准见第五章。</w:t>
      </w:r>
    </w:p>
    <w:p w14:paraId="1B818215">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kern w:val="2"/>
          <w:sz w:val="21"/>
          <w:szCs w:val="21"/>
          <w:highlight w:val="none"/>
          <w:u w:val="none"/>
          <w:lang w:val="en-US" w:eastAsia="zh-CN" w:bidi="ar"/>
        </w:rPr>
      </w:pPr>
      <w:r>
        <w:rPr>
          <w:rFonts w:hint="eastAsia" w:ascii="宋体" w:hAnsi="宋体" w:eastAsia="宋体" w:cs="宋体"/>
          <w:color w:val="auto"/>
          <w:kern w:val="2"/>
          <w:sz w:val="21"/>
          <w:szCs w:val="21"/>
          <w:highlight w:val="none"/>
          <w:u w:val="none"/>
          <w:lang w:val="en-US" w:eastAsia="zh-CN" w:bidi="ar"/>
        </w:rPr>
        <w:t>10.3评审时，磋商小组成员应当独立对每个有效响应的文件进行评价、打分，然后汇总每个供应商每项评分因素的得分。</w:t>
      </w:r>
    </w:p>
    <w:p w14:paraId="14B17D9B">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2" w:firstLineChars="200"/>
        <w:jc w:val="both"/>
        <w:rPr>
          <w:rFonts w:hint="eastAsia" w:ascii="宋体" w:hAnsi="宋体" w:eastAsia="宋体" w:cs="宋体"/>
          <w:b/>
          <w:bCs/>
          <w:color w:val="auto"/>
          <w:kern w:val="2"/>
          <w:sz w:val="21"/>
          <w:szCs w:val="21"/>
          <w:highlight w:val="none"/>
          <w:u w:val="none"/>
          <w:lang w:val="en-US" w:eastAsia="zh-CN" w:bidi="ar"/>
        </w:rPr>
      </w:pPr>
      <w:r>
        <w:rPr>
          <w:rFonts w:hint="eastAsia" w:ascii="宋体" w:hAnsi="宋体" w:eastAsia="宋体" w:cs="宋体"/>
          <w:b/>
          <w:bCs/>
          <w:color w:val="auto"/>
          <w:kern w:val="2"/>
          <w:sz w:val="21"/>
          <w:szCs w:val="21"/>
          <w:highlight w:val="none"/>
          <w:u w:val="none"/>
          <w:lang w:val="en-US" w:eastAsia="zh-CN" w:bidi="ar"/>
        </w:rPr>
        <w:t>11.提出成交供应商</w:t>
      </w:r>
    </w:p>
    <w:p w14:paraId="7BE1DEF1">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kern w:val="2"/>
          <w:sz w:val="21"/>
          <w:szCs w:val="21"/>
          <w:highlight w:val="none"/>
          <w:u w:val="none"/>
          <w:lang w:val="en-US" w:eastAsia="zh-CN" w:bidi="ar"/>
        </w:rPr>
      </w:pPr>
      <w:r>
        <w:rPr>
          <w:rFonts w:hint="eastAsia" w:ascii="宋体" w:hAnsi="宋体" w:eastAsia="宋体" w:cs="宋体"/>
          <w:color w:val="auto"/>
          <w:kern w:val="2"/>
          <w:sz w:val="21"/>
          <w:szCs w:val="21"/>
          <w:highlight w:val="none"/>
          <w:u w:val="none"/>
          <w:lang w:val="en-US" w:eastAsia="zh-CN" w:bidi="ar"/>
        </w:rPr>
        <w:t>11.1磋商小组应当按照综合评分由高到低的顺序提出3名成交候选供应商，并编写评审报告。</w:t>
      </w:r>
    </w:p>
    <w:p w14:paraId="1D3EDC96">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kern w:val="2"/>
          <w:sz w:val="21"/>
          <w:szCs w:val="21"/>
          <w:highlight w:val="none"/>
          <w:u w:val="none"/>
          <w:lang w:val="en-US" w:eastAsia="zh-CN" w:bidi="ar"/>
        </w:rPr>
      </w:pPr>
      <w:r>
        <w:rPr>
          <w:rFonts w:hint="eastAsia" w:ascii="宋体" w:hAnsi="宋体" w:eastAsia="宋体" w:cs="宋体"/>
          <w:color w:val="auto"/>
          <w:kern w:val="2"/>
          <w:sz w:val="21"/>
          <w:szCs w:val="21"/>
          <w:highlight w:val="none"/>
          <w:u w:val="none"/>
          <w:lang w:val="en-US" w:eastAsia="zh-CN" w:bidi="ar"/>
        </w:rPr>
        <w:t>11.2评审得分相同的，按照最后报价由低到高的顺序推荐。评审得分且最后报价相同的，按照技术指标优劣顺序推荐。</w:t>
      </w:r>
    </w:p>
    <w:p w14:paraId="335454F7">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2" w:firstLineChars="200"/>
        <w:jc w:val="both"/>
        <w:rPr>
          <w:rFonts w:hint="eastAsia" w:ascii="宋体" w:hAnsi="宋体" w:eastAsia="宋体" w:cs="宋体"/>
          <w:b/>
          <w:bCs/>
          <w:color w:val="auto"/>
          <w:kern w:val="2"/>
          <w:sz w:val="21"/>
          <w:szCs w:val="21"/>
          <w:highlight w:val="none"/>
          <w:u w:val="none"/>
          <w:lang w:val="en-US" w:eastAsia="zh-CN" w:bidi="ar"/>
        </w:rPr>
      </w:pPr>
      <w:r>
        <w:rPr>
          <w:rFonts w:hint="eastAsia" w:ascii="宋体" w:hAnsi="宋体" w:eastAsia="宋体" w:cs="宋体"/>
          <w:b/>
          <w:bCs/>
          <w:color w:val="auto"/>
          <w:kern w:val="2"/>
          <w:sz w:val="21"/>
          <w:szCs w:val="21"/>
          <w:highlight w:val="none"/>
          <w:u w:val="none"/>
          <w:lang w:val="en-US" w:eastAsia="zh-CN" w:bidi="ar"/>
        </w:rPr>
        <w:t>12.磋商终止</w:t>
      </w:r>
    </w:p>
    <w:p w14:paraId="76EE1039">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kern w:val="2"/>
          <w:sz w:val="21"/>
          <w:szCs w:val="21"/>
          <w:highlight w:val="none"/>
          <w:u w:val="none"/>
          <w:lang w:val="en-US" w:eastAsia="zh-CN" w:bidi="ar"/>
        </w:rPr>
      </w:pPr>
      <w:r>
        <w:rPr>
          <w:rFonts w:hint="eastAsia" w:ascii="宋体" w:hAnsi="宋体" w:eastAsia="宋体" w:cs="宋体"/>
          <w:color w:val="auto"/>
          <w:kern w:val="2"/>
          <w:sz w:val="21"/>
          <w:szCs w:val="21"/>
          <w:highlight w:val="none"/>
          <w:u w:val="none"/>
          <w:lang w:val="en-US" w:eastAsia="zh-CN" w:bidi="ar"/>
        </w:rPr>
        <w:t>12.1出现下列情形之一的，采购人或者采购代理机构应当终止竞争性磋商采购活动，在财政部指定的媒体上发布项目终止公告并说明原因，重新开展采购活动：</w:t>
      </w:r>
    </w:p>
    <w:p w14:paraId="5A8705CE">
      <w:pPr>
        <w:keepNext w:val="0"/>
        <w:keepLines w:val="0"/>
        <w:pageBreakBefore w:val="0"/>
        <w:widowControl w:val="0"/>
        <w:numPr>
          <w:ilvl w:val="0"/>
          <w:numId w:val="2"/>
        </w:numPr>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kern w:val="2"/>
          <w:sz w:val="21"/>
          <w:szCs w:val="21"/>
          <w:highlight w:val="none"/>
          <w:u w:val="none"/>
          <w:lang w:val="en-US" w:eastAsia="zh-CN" w:bidi="ar"/>
        </w:rPr>
      </w:pPr>
      <w:r>
        <w:rPr>
          <w:rFonts w:hint="eastAsia" w:ascii="宋体" w:hAnsi="宋体" w:eastAsia="宋体" w:cs="宋体"/>
          <w:color w:val="auto"/>
          <w:kern w:val="2"/>
          <w:sz w:val="21"/>
          <w:szCs w:val="21"/>
          <w:highlight w:val="none"/>
          <w:u w:val="none"/>
          <w:lang w:val="en-US" w:eastAsia="zh-CN" w:bidi="ar"/>
        </w:rPr>
        <w:t>因情况变化，不再符合规定的竞争性磋商采购方式适用情形的</w:t>
      </w:r>
      <w:r>
        <w:rPr>
          <w:rFonts w:hint="eastAsia" w:ascii="宋体" w:hAnsi="宋体" w:cs="宋体"/>
          <w:color w:val="auto"/>
          <w:kern w:val="2"/>
          <w:sz w:val="21"/>
          <w:szCs w:val="21"/>
          <w:highlight w:val="none"/>
          <w:u w:val="none"/>
          <w:lang w:val="en-US" w:eastAsia="zh-CN" w:bidi="ar"/>
        </w:rPr>
        <w:t>；</w:t>
      </w:r>
    </w:p>
    <w:p w14:paraId="4271043B">
      <w:pPr>
        <w:keepNext w:val="0"/>
        <w:keepLines w:val="0"/>
        <w:pageBreakBefore w:val="0"/>
        <w:widowControl w:val="0"/>
        <w:numPr>
          <w:ilvl w:val="0"/>
          <w:numId w:val="2"/>
        </w:numPr>
        <w:suppressLineNumbers w:val="0"/>
        <w:tabs>
          <w:tab w:val="left" w:pos="900"/>
        </w:tabs>
        <w:kinsoku/>
        <w:wordWrap/>
        <w:topLinePunct w:val="0"/>
        <w:bidi w:val="0"/>
        <w:spacing w:before="0" w:beforeAutospacing="0" w:after="0" w:afterAutospacing="0" w:line="360" w:lineRule="auto"/>
        <w:ind w:left="0" w:right="0" w:firstLine="422" w:firstLineChars="200"/>
        <w:jc w:val="both"/>
        <w:rPr>
          <w:rFonts w:hint="eastAsia" w:ascii="宋体" w:hAnsi="宋体" w:eastAsia="宋体" w:cs="宋体"/>
          <w:color w:val="auto"/>
          <w:kern w:val="2"/>
          <w:sz w:val="21"/>
          <w:szCs w:val="21"/>
          <w:highlight w:val="none"/>
          <w:u w:val="none"/>
          <w:lang w:val="en-US" w:eastAsia="zh-CN" w:bidi="ar"/>
        </w:rPr>
      </w:pPr>
      <w:r>
        <w:rPr>
          <w:rFonts w:hint="eastAsia" w:ascii="宋体" w:hAnsi="宋体" w:cs="宋体"/>
          <w:b/>
          <w:bCs/>
          <w:color w:val="auto"/>
          <w:szCs w:val="21"/>
          <w:highlight w:val="none"/>
          <w:u w:val="none"/>
        </w:rPr>
        <w:t>因系统故障原因造成磋商无法继续进行的</w:t>
      </w:r>
      <w:r>
        <w:rPr>
          <w:rFonts w:hint="eastAsia" w:ascii="宋体" w:hAnsi="宋体" w:cs="宋体"/>
          <w:b/>
          <w:color w:val="auto"/>
          <w:szCs w:val="21"/>
          <w:highlight w:val="none"/>
          <w:u w:val="none"/>
        </w:rPr>
        <w:t>（适用于不见面磋商模式）</w:t>
      </w:r>
      <w:r>
        <w:rPr>
          <w:rFonts w:hint="eastAsia" w:ascii="宋体" w:hAnsi="宋体" w:cs="宋体"/>
          <w:b/>
          <w:color w:val="auto"/>
          <w:szCs w:val="21"/>
          <w:highlight w:val="none"/>
          <w:u w:val="none"/>
          <w:lang w:eastAsia="zh-CN"/>
        </w:rPr>
        <w:t>；</w:t>
      </w:r>
    </w:p>
    <w:p w14:paraId="5CD39B31">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kern w:val="2"/>
          <w:sz w:val="21"/>
          <w:szCs w:val="21"/>
          <w:highlight w:val="none"/>
          <w:u w:val="none"/>
          <w:lang w:val="en-US" w:eastAsia="zh-CN" w:bidi="ar"/>
        </w:rPr>
      </w:pPr>
      <w:r>
        <w:rPr>
          <w:rFonts w:hint="eastAsia" w:ascii="宋体" w:hAnsi="宋体" w:eastAsia="宋体" w:cs="宋体"/>
          <w:color w:val="auto"/>
          <w:kern w:val="2"/>
          <w:sz w:val="21"/>
          <w:szCs w:val="21"/>
          <w:highlight w:val="none"/>
          <w:u w:val="none"/>
          <w:lang w:val="en-US" w:eastAsia="zh-CN" w:bidi="ar"/>
        </w:rPr>
        <w:t>（</w:t>
      </w:r>
      <w:r>
        <w:rPr>
          <w:rFonts w:hint="eastAsia" w:ascii="宋体" w:hAnsi="宋体" w:cs="宋体"/>
          <w:color w:val="auto"/>
          <w:kern w:val="2"/>
          <w:sz w:val="21"/>
          <w:szCs w:val="21"/>
          <w:highlight w:val="none"/>
          <w:u w:val="none"/>
          <w:lang w:val="en-US" w:eastAsia="zh-CN" w:bidi="ar"/>
        </w:rPr>
        <w:t>3</w:t>
      </w:r>
      <w:r>
        <w:rPr>
          <w:rFonts w:hint="eastAsia" w:ascii="宋体" w:hAnsi="宋体" w:eastAsia="宋体" w:cs="宋体"/>
          <w:color w:val="auto"/>
          <w:kern w:val="2"/>
          <w:sz w:val="21"/>
          <w:szCs w:val="21"/>
          <w:highlight w:val="none"/>
          <w:u w:val="none"/>
          <w:lang w:val="en-US" w:eastAsia="zh-CN" w:bidi="ar"/>
        </w:rPr>
        <w:t>）出现影响采购公正的违法、违规行为的；</w:t>
      </w:r>
    </w:p>
    <w:p w14:paraId="48B53D89">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kern w:val="2"/>
          <w:sz w:val="21"/>
          <w:szCs w:val="21"/>
          <w:highlight w:val="none"/>
          <w:u w:val="none"/>
          <w:lang w:val="en-US" w:eastAsia="zh-CN" w:bidi="ar"/>
        </w:rPr>
      </w:pPr>
      <w:r>
        <w:rPr>
          <w:rFonts w:hint="eastAsia" w:ascii="宋体" w:hAnsi="宋体" w:eastAsia="宋体" w:cs="宋体"/>
          <w:color w:val="auto"/>
          <w:kern w:val="2"/>
          <w:sz w:val="21"/>
          <w:szCs w:val="21"/>
          <w:highlight w:val="none"/>
          <w:u w:val="none"/>
          <w:lang w:val="en-US" w:eastAsia="zh-CN" w:bidi="ar"/>
        </w:rPr>
        <w:t>（</w:t>
      </w:r>
      <w:r>
        <w:rPr>
          <w:rFonts w:hint="eastAsia" w:ascii="宋体" w:hAnsi="宋体" w:cs="宋体"/>
          <w:color w:val="auto"/>
          <w:kern w:val="2"/>
          <w:sz w:val="21"/>
          <w:szCs w:val="21"/>
          <w:highlight w:val="none"/>
          <w:u w:val="none"/>
          <w:lang w:val="en-US" w:eastAsia="zh-CN" w:bidi="ar"/>
        </w:rPr>
        <w:t>4</w:t>
      </w:r>
      <w:r>
        <w:rPr>
          <w:rFonts w:hint="eastAsia" w:ascii="宋体" w:hAnsi="宋体" w:eastAsia="宋体" w:cs="宋体"/>
          <w:color w:val="auto"/>
          <w:kern w:val="2"/>
          <w:sz w:val="21"/>
          <w:szCs w:val="21"/>
          <w:highlight w:val="none"/>
          <w:u w:val="none"/>
          <w:lang w:val="en-US" w:eastAsia="zh-CN" w:bidi="ar"/>
        </w:rPr>
        <w:t>）在采购过程中符合竞争要求的供应商或者报价未超过采购预算的供应商不足3家的，或者提交最后报价的供应商少于3家的； （符合供应商须知前附表规定的允许符合要求的供应商只有2家时可以继续进行采购活动的情形，符合竞争要求的供应商或者报价未超过采购预算的供应商或者提交最后报价的供应商不足2家的；）</w:t>
      </w:r>
    </w:p>
    <w:p w14:paraId="3AD94948">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kern w:val="2"/>
          <w:sz w:val="21"/>
          <w:szCs w:val="21"/>
          <w:highlight w:val="none"/>
          <w:u w:val="none"/>
          <w:lang w:val="en-US" w:eastAsia="zh-CN" w:bidi="ar"/>
        </w:rPr>
      </w:pPr>
      <w:r>
        <w:rPr>
          <w:rFonts w:hint="eastAsia" w:ascii="宋体" w:hAnsi="宋体" w:eastAsia="宋体" w:cs="宋体"/>
          <w:color w:val="auto"/>
          <w:kern w:val="2"/>
          <w:sz w:val="21"/>
          <w:szCs w:val="21"/>
          <w:highlight w:val="none"/>
          <w:u w:val="none"/>
          <w:lang w:val="en-US" w:eastAsia="zh-CN" w:bidi="ar"/>
        </w:rPr>
        <w:t>（4）因重大变故，采购任务取消的。</w:t>
      </w:r>
    </w:p>
    <w:p w14:paraId="395A0D4E">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2" w:firstLineChars="200"/>
        <w:jc w:val="both"/>
        <w:rPr>
          <w:rFonts w:hint="eastAsia" w:ascii="宋体" w:hAnsi="宋体" w:eastAsia="宋体" w:cs="宋体"/>
          <w:b/>
          <w:bCs w:val="0"/>
          <w:color w:val="auto"/>
          <w:szCs w:val="21"/>
          <w:highlight w:val="none"/>
          <w:u w:val="none"/>
          <w:lang w:val="en-US"/>
        </w:rPr>
      </w:pPr>
      <w:r>
        <w:rPr>
          <w:rFonts w:hint="eastAsia" w:ascii="宋体" w:hAnsi="宋体" w:eastAsia="宋体" w:cs="宋体"/>
          <w:b/>
          <w:bCs w:val="0"/>
          <w:color w:val="auto"/>
          <w:kern w:val="2"/>
          <w:sz w:val="21"/>
          <w:szCs w:val="21"/>
          <w:highlight w:val="none"/>
          <w:u w:val="none"/>
          <w:lang w:val="en-US" w:eastAsia="zh-CN" w:bidi="ar"/>
        </w:rPr>
        <w:t>五、成交</w:t>
      </w:r>
    </w:p>
    <w:p w14:paraId="70861FF6">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kern w:val="2"/>
          <w:sz w:val="21"/>
          <w:szCs w:val="21"/>
          <w:highlight w:val="none"/>
          <w:u w:val="none"/>
          <w:lang w:val="en-US" w:eastAsia="zh-CN" w:bidi="ar"/>
        </w:rPr>
      </w:pPr>
      <w:r>
        <w:rPr>
          <w:rFonts w:hint="eastAsia" w:ascii="宋体" w:hAnsi="宋体" w:eastAsia="宋体" w:cs="宋体"/>
          <w:color w:val="auto"/>
          <w:kern w:val="2"/>
          <w:sz w:val="21"/>
          <w:szCs w:val="21"/>
          <w:highlight w:val="none"/>
          <w:u w:val="none"/>
          <w:lang w:val="en-US" w:eastAsia="zh-CN" w:bidi="ar"/>
        </w:rPr>
        <w:t>1.采购代理机构应当在评审结束后2个工作日内将评审报告送采购人确认。</w:t>
      </w:r>
    </w:p>
    <w:p w14:paraId="36DD2E3D">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kern w:val="2"/>
          <w:sz w:val="21"/>
          <w:szCs w:val="21"/>
          <w:highlight w:val="none"/>
          <w:u w:val="none"/>
          <w:lang w:val="en-US" w:eastAsia="zh-CN" w:bidi="ar"/>
        </w:rPr>
      </w:pPr>
      <w:r>
        <w:rPr>
          <w:rFonts w:hint="eastAsia" w:ascii="宋体" w:hAnsi="宋体" w:eastAsia="宋体" w:cs="宋体"/>
          <w:color w:val="auto"/>
          <w:kern w:val="2"/>
          <w:sz w:val="21"/>
          <w:szCs w:val="21"/>
          <w:highlight w:val="none"/>
          <w:u w:val="none"/>
          <w:lang w:val="en-US" w:eastAsia="zh-CN" w:bidi="ar"/>
        </w:rPr>
        <w:t>2.采购人应当在收到评审报告后5个工作日内，从评审报告提出的成交候选供应商中，按照排序由高到低的原则确定成交供应商，也可以书面授权磋商小组直接确定成交供应商。采购人逾期未确定成交供应商且不提出异议的，视为确定评审报告提出的排序第一的供应商为成交供应商。</w:t>
      </w:r>
    </w:p>
    <w:p w14:paraId="72BBE82D">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kern w:val="2"/>
          <w:sz w:val="21"/>
          <w:szCs w:val="21"/>
          <w:highlight w:val="none"/>
          <w:u w:val="none"/>
          <w:lang w:val="en-US" w:eastAsia="zh-CN" w:bidi="ar"/>
        </w:rPr>
      </w:pPr>
      <w:r>
        <w:rPr>
          <w:rFonts w:hint="eastAsia" w:ascii="宋体" w:hAnsi="宋体" w:eastAsia="宋体" w:cs="宋体"/>
          <w:color w:val="auto"/>
          <w:kern w:val="2"/>
          <w:sz w:val="21"/>
          <w:szCs w:val="21"/>
          <w:highlight w:val="none"/>
          <w:u w:val="none"/>
          <w:lang w:val="en-US" w:eastAsia="zh-CN" w:bidi="ar"/>
        </w:rPr>
        <w:t>3.采购人或者采购代理机构应当在成交供应商确定后2个工作日内，在指定媒体上公告成交结果，并将磋商文件随成交结果同时公告。</w:t>
      </w:r>
    </w:p>
    <w:p w14:paraId="15B7B4F4">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kern w:val="2"/>
          <w:sz w:val="21"/>
          <w:szCs w:val="21"/>
          <w:highlight w:val="none"/>
          <w:u w:val="none"/>
          <w:lang w:val="en-US" w:eastAsia="zh-CN" w:bidi="ar"/>
        </w:rPr>
      </w:pPr>
      <w:r>
        <w:rPr>
          <w:rFonts w:hint="eastAsia" w:ascii="宋体" w:hAnsi="宋体" w:eastAsia="宋体" w:cs="宋体"/>
          <w:color w:val="auto"/>
          <w:kern w:val="2"/>
          <w:sz w:val="21"/>
          <w:szCs w:val="21"/>
          <w:highlight w:val="none"/>
          <w:u w:val="none"/>
          <w:lang w:val="en-US" w:eastAsia="zh-CN" w:bidi="ar"/>
        </w:rPr>
        <w:t>4.在公告成交结果的同时，采购人或者采购代理机构应当向成交供应商发出成交通知书。</w:t>
      </w:r>
    </w:p>
    <w:p w14:paraId="7383FC90">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kern w:val="2"/>
          <w:sz w:val="21"/>
          <w:szCs w:val="21"/>
          <w:highlight w:val="none"/>
          <w:u w:val="none"/>
          <w:lang w:val="en-US" w:eastAsia="zh-CN" w:bidi="ar"/>
        </w:rPr>
      </w:pPr>
      <w:r>
        <w:rPr>
          <w:rFonts w:hint="eastAsia" w:ascii="宋体" w:hAnsi="宋体" w:eastAsia="宋体" w:cs="宋体"/>
          <w:color w:val="auto"/>
          <w:kern w:val="2"/>
          <w:sz w:val="21"/>
          <w:szCs w:val="21"/>
          <w:highlight w:val="none"/>
          <w:u w:val="none"/>
          <w:lang w:val="en-US" w:eastAsia="zh-CN" w:bidi="ar"/>
        </w:rPr>
        <w:t>5.成交通知书对采购人和成交供应商具有同等法律效力。</w:t>
      </w:r>
    </w:p>
    <w:p w14:paraId="4F876813">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2" w:firstLineChars="200"/>
        <w:jc w:val="both"/>
        <w:rPr>
          <w:rFonts w:hint="eastAsia" w:ascii="宋体" w:hAnsi="宋体" w:eastAsia="宋体" w:cs="宋体"/>
          <w:b/>
          <w:bCs w:val="0"/>
          <w:color w:val="auto"/>
          <w:szCs w:val="21"/>
          <w:highlight w:val="none"/>
          <w:u w:val="none"/>
          <w:lang w:val="en-US"/>
        </w:rPr>
      </w:pPr>
      <w:r>
        <w:rPr>
          <w:rFonts w:hint="eastAsia" w:ascii="宋体" w:hAnsi="宋体" w:eastAsia="宋体" w:cs="宋体"/>
          <w:b/>
          <w:bCs w:val="0"/>
          <w:color w:val="auto"/>
          <w:kern w:val="2"/>
          <w:sz w:val="21"/>
          <w:szCs w:val="21"/>
          <w:highlight w:val="none"/>
          <w:u w:val="none"/>
          <w:lang w:val="en-US" w:eastAsia="zh-CN" w:bidi="ar"/>
        </w:rPr>
        <w:t>六、合同签订相关事项</w:t>
      </w:r>
    </w:p>
    <w:p w14:paraId="0DB63D5D">
      <w:pPr>
        <w:keepNext w:val="0"/>
        <w:keepLines w:val="0"/>
        <w:pageBreakBefore w:val="0"/>
        <w:widowControl w:val="0"/>
        <w:suppressLineNumbers w:val="0"/>
        <w:kinsoku/>
        <w:wordWrap/>
        <w:topLinePunct w:val="0"/>
        <w:bidi w:val="0"/>
        <w:snapToGrid w:val="0"/>
        <w:spacing w:before="0" w:beforeAutospacing="0" w:after="0" w:afterAutospacing="0" w:line="360" w:lineRule="auto"/>
        <w:ind w:left="0" w:right="0" w:firstLine="420" w:firstLineChars="200"/>
        <w:jc w:val="both"/>
        <w:textAlignment w:val="baseline"/>
        <w:rPr>
          <w:rFonts w:hint="eastAsia" w:ascii="宋体" w:hAnsi="宋体" w:eastAsia="宋体" w:cs="宋体"/>
          <w:color w:val="auto"/>
          <w:highlight w:val="none"/>
          <w:u w:val="none"/>
          <w:vertAlign w:val="baseline"/>
          <w:lang w:val="en-US"/>
        </w:rPr>
      </w:pPr>
      <w:r>
        <w:rPr>
          <w:rFonts w:hint="eastAsia" w:ascii="宋体" w:hAnsi="宋体" w:eastAsia="宋体" w:cs="宋体"/>
          <w:color w:val="auto"/>
          <w:kern w:val="2"/>
          <w:sz w:val="21"/>
          <w:szCs w:val="24"/>
          <w:highlight w:val="none"/>
          <w:u w:val="none"/>
          <w:vertAlign w:val="baseline"/>
          <w:lang w:val="en-US" w:eastAsia="zh-CN" w:bidi="ar"/>
        </w:rPr>
        <w:t>1.履约保证金</w:t>
      </w:r>
    </w:p>
    <w:p w14:paraId="71D4E3E3">
      <w:pPr>
        <w:keepNext w:val="0"/>
        <w:keepLines w:val="0"/>
        <w:pageBreakBefore w:val="0"/>
        <w:widowControl w:val="0"/>
        <w:suppressLineNumbers w:val="0"/>
        <w:kinsoku/>
        <w:wordWrap/>
        <w:topLinePunct w:val="0"/>
        <w:bidi w:val="0"/>
        <w:snapToGrid w:val="0"/>
        <w:spacing w:before="0" w:beforeAutospacing="0" w:after="0" w:afterAutospacing="0" w:line="360" w:lineRule="auto"/>
        <w:ind w:left="0" w:right="0" w:firstLine="420" w:firstLineChars="200"/>
        <w:jc w:val="both"/>
        <w:textAlignment w:val="baseline"/>
        <w:rPr>
          <w:rFonts w:hint="eastAsia" w:ascii="宋体" w:hAnsi="宋体" w:eastAsia="宋体" w:cs="宋体"/>
          <w:color w:val="auto"/>
          <w:kern w:val="2"/>
          <w:sz w:val="21"/>
          <w:szCs w:val="24"/>
          <w:highlight w:val="none"/>
          <w:u w:val="none"/>
          <w:vertAlign w:val="baseline"/>
          <w:lang w:val="en-US" w:eastAsia="zh-CN" w:bidi="ar"/>
        </w:rPr>
      </w:pPr>
      <w:r>
        <w:rPr>
          <w:rFonts w:hint="eastAsia" w:ascii="宋体" w:hAnsi="宋体" w:eastAsia="宋体" w:cs="宋体"/>
          <w:color w:val="auto"/>
          <w:kern w:val="2"/>
          <w:sz w:val="21"/>
          <w:szCs w:val="24"/>
          <w:highlight w:val="none"/>
          <w:u w:val="none"/>
          <w:vertAlign w:val="baseline"/>
          <w:lang w:val="en-US" w:eastAsia="zh-CN" w:bidi="ar"/>
        </w:rPr>
        <w:t>本项目不收取履约保证金。</w:t>
      </w:r>
    </w:p>
    <w:p w14:paraId="5D6C3F65">
      <w:pPr>
        <w:keepNext w:val="0"/>
        <w:keepLines w:val="0"/>
        <w:pageBreakBefore w:val="0"/>
        <w:widowControl w:val="0"/>
        <w:suppressLineNumbers w:val="0"/>
        <w:kinsoku/>
        <w:wordWrap/>
        <w:topLinePunct w:val="0"/>
        <w:bidi w:val="0"/>
        <w:snapToGrid w:val="0"/>
        <w:spacing w:before="0" w:beforeAutospacing="0" w:after="0" w:afterAutospacing="0" w:line="360" w:lineRule="auto"/>
        <w:ind w:left="0" w:right="0" w:firstLine="420" w:firstLineChars="200"/>
        <w:jc w:val="both"/>
        <w:textAlignment w:val="baseline"/>
        <w:rPr>
          <w:rFonts w:hint="eastAsia" w:ascii="宋体" w:hAnsi="宋体" w:eastAsia="宋体" w:cs="宋体"/>
          <w:color w:val="auto"/>
          <w:highlight w:val="none"/>
          <w:u w:val="none"/>
          <w:vertAlign w:val="baseline"/>
          <w:lang w:val="en-US"/>
        </w:rPr>
      </w:pPr>
      <w:r>
        <w:rPr>
          <w:rFonts w:hint="eastAsia" w:ascii="宋体" w:hAnsi="宋体" w:eastAsia="宋体" w:cs="宋体"/>
          <w:color w:val="auto"/>
          <w:kern w:val="2"/>
          <w:sz w:val="21"/>
          <w:szCs w:val="24"/>
          <w:highlight w:val="none"/>
          <w:u w:val="none"/>
          <w:vertAlign w:val="baseline"/>
          <w:lang w:val="en-US" w:eastAsia="zh-CN" w:bidi="ar"/>
        </w:rPr>
        <w:t>2.签订合同</w:t>
      </w:r>
    </w:p>
    <w:p w14:paraId="5BC85DDE">
      <w:pPr>
        <w:keepNext w:val="0"/>
        <w:keepLines w:val="0"/>
        <w:pageBreakBefore w:val="0"/>
        <w:widowControl w:val="0"/>
        <w:suppressLineNumbers w:val="0"/>
        <w:kinsoku/>
        <w:wordWrap/>
        <w:topLinePunct w:val="0"/>
        <w:bidi w:val="0"/>
        <w:snapToGrid w:val="0"/>
        <w:spacing w:before="0" w:beforeAutospacing="0" w:after="0" w:afterAutospacing="0" w:line="360" w:lineRule="auto"/>
        <w:ind w:left="0" w:right="0" w:firstLine="420" w:firstLineChars="200"/>
        <w:jc w:val="both"/>
        <w:textAlignment w:val="baseline"/>
        <w:rPr>
          <w:rFonts w:hint="eastAsia" w:ascii="宋体" w:hAnsi="宋体" w:eastAsia="宋体" w:cs="宋体"/>
          <w:color w:val="auto"/>
          <w:highlight w:val="none"/>
          <w:u w:val="none"/>
          <w:vertAlign w:val="baseline"/>
          <w:lang w:val="en-US"/>
        </w:rPr>
      </w:pPr>
      <w:r>
        <w:rPr>
          <w:rFonts w:hint="eastAsia" w:ascii="宋体" w:hAnsi="宋体" w:eastAsia="宋体" w:cs="宋体"/>
          <w:color w:val="auto"/>
          <w:kern w:val="2"/>
          <w:sz w:val="21"/>
          <w:szCs w:val="24"/>
          <w:highlight w:val="none"/>
          <w:u w:val="none"/>
          <w:vertAlign w:val="baseline"/>
          <w:lang w:val="en-US" w:eastAsia="zh-CN" w:bidi="ar"/>
        </w:rPr>
        <w:t>2.l成交供应商应按成交通知书规定的时间、地点，按照采购文件确定的事项与采购人签订政府采购合同，且不得迟于成交通知书发出之日起三十日，由此给采购人造成损失的，成交供应商还应承担赔偿责任。</w:t>
      </w:r>
    </w:p>
    <w:p w14:paraId="670E8AC8">
      <w:pPr>
        <w:keepNext w:val="0"/>
        <w:keepLines w:val="0"/>
        <w:pageBreakBefore w:val="0"/>
        <w:widowControl w:val="0"/>
        <w:suppressLineNumbers w:val="0"/>
        <w:kinsoku/>
        <w:wordWrap/>
        <w:topLinePunct w:val="0"/>
        <w:bidi w:val="0"/>
        <w:snapToGrid w:val="0"/>
        <w:spacing w:before="0" w:beforeAutospacing="0" w:after="0" w:afterAutospacing="0" w:line="360" w:lineRule="auto"/>
        <w:ind w:left="0" w:right="0" w:firstLine="420" w:firstLineChars="200"/>
        <w:jc w:val="both"/>
        <w:textAlignment w:val="baseline"/>
        <w:rPr>
          <w:rFonts w:hint="eastAsia" w:ascii="宋体" w:hAnsi="宋体" w:eastAsia="宋体" w:cs="宋体"/>
          <w:color w:val="auto"/>
          <w:highlight w:val="none"/>
          <w:u w:val="none"/>
          <w:vertAlign w:val="baseline"/>
          <w:lang w:val="en-US"/>
        </w:rPr>
      </w:pPr>
      <w:r>
        <w:rPr>
          <w:rFonts w:hint="eastAsia" w:ascii="宋体" w:hAnsi="宋体" w:eastAsia="宋体" w:cs="宋体"/>
          <w:color w:val="auto"/>
          <w:kern w:val="2"/>
          <w:sz w:val="21"/>
          <w:szCs w:val="24"/>
          <w:highlight w:val="none"/>
          <w:u w:val="none"/>
          <w:vertAlign w:val="baseline"/>
          <w:lang w:val="en-US" w:eastAsia="zh-CN" w:bidi="ar"/>
        </w:rPr>
        <w:t>2.2 采购文件、成交供应商的响应文件及磋商采购过程中有关澄清、承诺文件均应作为合同附件。</w:t>
      </w:r>
    </w:p>
    <w:p w14:paraId="6B24491A">
      <w:pPr>
        <w:keepNext w:val="0"/>
        <w:keepLines w:val="0"/>
        <w:pageBreakBefore w:val="0"/>
        <w:widowControl w:val="0"/>
        <w:suppressLineNumbers w:val="0"/>
        <w:kinsoku/>
        <w:wordWrap/>
        <w:topLinePunct w:val="0"/>
        <w:bidi w:val="0"/>
        <w:snapToGrid w:val="0"/>
        <w:spacing w:before="0" w:beforeAutospacing="0" w:after="0" w:afterAutospacing="0" w:line="360" w:lineRule="auto"/>
        <w:ind w:left="0" w:right="0" w:firstLine="420" w:firstLineChars="200"/>
        <w:jc w:val="both"/>
        <w:textAlignment w:val="baseline"/>
        <w:rPr>
          <w:rFonts w:hint="eastAsia" w:ascii="宋体" w:hAnsi="宋体" w:eastAsia="宋体" w:cs="宋体"/>
          <w:color w:val="auto"/>
          <w:kern w:val="2"/>
          <w:sz w:val="21"/>
          <w:szCs w:val="24"/>
          <w:highlight w:val="none"/>
          <w:u w:val="none"/>
          <w:vertAlign w:val="baseline"/>
          <w:lang w:val="en-US" w:eastAsia="zh-CN" w:bidi="ar"/>
        </w:rPr>
      </w:pPr>
      <w:r>
        <w:rPr>
          <w:rFonts w:hint="eastAsia" w:ascii="宋体" w:hAnsi="宋体" w:eastAsia="宋体" w:cs="宋体"/>
          <w:color w:val="auto"/>
          <w:kern w:val="2"/>
          <w:sz w:val="21"/>
          <w:szCs w:val="24"/>
          <w:highlight w:val="none"/>
          <w:u w:val="none"/>
          <w:lang w:val="en-US" w:eastAsia="zh-CN" w:bidi="ar"/>
        </w:rPr>
        <w:t>2.3 签订合同后，成交供应商不得将成交产品或服务进行转包。未经采购人同意，成交供应商也不得采</w:t>
      </w:r>
      <w:r>
        <w:rPr>
          <w:rFonts w:hint="eastAsia" w:ascii="宋体" w:hAnsi="宋体" w:eastAsia="宋体" w:cs="宋体"/>
          <w:color w:val="auto"/>
          <w:kern w:val="2"/>
          <w:sz w:val="21"/>
          <w:szCs w:val="24"/>
          <w:highlight w:val="none"/>
          <w:u w:val="none"/>
          <w:vertAlign w:val="baseline"/>
          <w:lang w:val="en-US" w:eastAsia="zh-CN" w:bidi="ar"/>
        </w:rPr>
        <w:t>用分包的形式履行合同，否则采购人有权终止合同。转包或分包造成采购人损失的，成交供应商应承担相应赔偿责任。</w:t>
      </w:r>
    </w:p>
    <w:p w14:paraId="47FBB80E">
      <w:pPr>
        <w:keepNext w:val="0"/>
        <w:keepLines w:val="0"/>
        <w:pageBreakBefore w:val="0"/>
        <w:widowControl w:val="0"/>
        <w:suppressLineNumbers w:val="0"/>
        <w:kinsoku/>
        <w:wordWrap/>
        <w:topLinePunct w:val="0"/>
        <w:bidi w:val="0"/>
        <w:snapToGrid w:val="0"/>
        <w:spacing w:before="0" w:beforeAutospacing="0" w:after="0" w:afterAutospacing="0" w:line="360" w:lineRule="auto"/>
        <w:ind w:left="0" w:right="0" w:firstLine="422" w:firstLineChars="200"/>
        <w:jc w:val="both"/>
        <w:textAlignment w:val="baseline"/>
        <w:rPr>
          <w:rFonts w:hint="eastAsia" w:ascii="宋体" w:hAnsi="宋体" w:cs="宋体"/>
          <w:color w:val="auto"/>
          <w:szCs w:val="21"/>
          <w:highlight w:val="none"/>
          <w:u w:val="none"/>
        </w:rPr>
      </w:pPr>
      <w:r>
        <w:rPr>
          <w:rFonts w:hint="eastAsia" w:ascii="宋体" w:hAnsi="宋体" w:eastAsia="宋体" w:cs="宋体"/>
          <w:b/>
          <w:bCs/>
          <w:color w:val="auto"/>
          <w:kern w:val="2"/>
          <w:sz w:val="21"/>
          <w:szCs w:val="24"/>
          <w:highlight w:val="none"/>
          <w:u w:val="none"/>
          <w:vertAlign w:val="baseline"/>
          <w:lang w:val="en-US" w:eastAsia="zh-CN" w:bidi="ar"/>
        </w:rPr>
        <w:t>七、</w:t>
      </w:r>
      <w:bookmarkStart w:id="103" w:name="bookmark17"/>
      <w:bookmarkEnd w:id="103"/>
      <w:r>
        <w:rPr>
          <w:rFonts w:hint="eastAsia" w:ascii="宋体" w:hAnsi="宋体" w:cs="宋体"/>
          <w:b/>
          <w:color w:val="auto"/>
          <w:szCs w:val="21"/>
          <w:highlight w:val="none"/>
          <w:u w:val="none"/>
        </w:rPr>
        <w:t>质疑提出和处理</w:t>
      </w:r>
    </w:p>
    <w:p w14:paraId="0F8FE576">
      <w:pPr>
        <w:pageBreakBefore w:val="0"/>
        <w:kinsoku/>
        <w:topLinePunct w:val="0"/>
        <w:bidi w:val="0"/>
        <w:spacing w:line="360" w:lineRule="auto"/>
        <w:ind w:firstLine="480"/>
        <w:rPr>
          <w:rFonts w:hint="eastAsia" w:ascii="宋体" w:hAnsi="宋体" w:cs="宋体"/>
          <w:color w:val="auto"/>
          <w:szCs w:val="21"/>
          <w:highlight w:val="none"/>
          <w:u w:val="none"/>
        </w:rPr>
      </w:pPr>
      <w:r>
        <w:rPr>
          <w:rFonts w:hint="eastAsia" w:ascii="宋体" w:hAnsi="宋体" w:cs="宋体"/>
          <w:color w:val="auto"/>
          <w:szCs w:val="21"/>
          <w:highlight w:val="none"/>
          <w:u w:val="none"/>
        </w:rPr>
        <w:t>格式请在江苏政府采购网“下载中心</w:t>
      </w:r>
      <w:r>
        <w:rPr>
          <w:rFonts w:hint="eastAsia" w:ascii="宋体" w:hAnsi="宋体" w:cs="宋体"/>
          <w:color w:val="auto"/>
          <w:szCs w:val="21"/>
          <w:highlight w:val="none"/>
          <w:u w:val="none"/>
          <w:lang w:eastAsia="zh-CN"/>
        </w:rPr>
        <w:t>——</w:t>
      </w:r>
      <w:r>
        <w:rPr>
          <w:rFonts w:hint="eastAsia" w:ascii="宋体" w:hAnsi="宋体" w:cs="宋体"/>
          <w:color w:val="auto"/>
          <w:szCs w:val="21"/>
          <w:highlight w:val="none"/>
          <w:u w:val="none"/>
        </w:rPr>
        <w:t>有关质疑资料”下载</w:t>
      </w:r>
    </w:p>
    <w:p w14:paraId="14799758">
      <w:pPr>
        <w:pageBreakBefore w:val="0"/>
        <w:kinsoku/>
        <w:topLinePunct w:val="0"/>
        <w:bidi w:val="0"/>
        <w:spacing w:line="360" w:lineRule="auto"/>
        <w:ind w:firstLine="480"/>
        <w:rPr>
          <w:rFonts w:hint="eastAsia" w:ascii="宋体" w:hAnsi="宋体" w:cs="宋体"/>
          <w:color w:val="auto"/>
          <w:szCs w:val="21"/>
          <w:highlight w:val="none"/>
          <w:u w:val="none"/>
        </w:rPr>
      </w:pPr>
      <w:r>
        <w:rPr>
          <w:rFonts w:hint="eastAsia" w:ascii="宋体" w:hAnsi="宋体" w:cs="宋体"/>
          <w:color w:val="auto"/>
          <w:szCs w:val="21"/>
          <w:highlight w:val="none"/>
          <w:u w:val="none"/>
        </w:rPr>
        <w:t>（一）质疑的提出</w:t>
      </w:r>
    </w:p>
    <w:p w14:paraId="2FE6AF9F">
      <w:pPr>
        <w:pageBreakBefore w:val="0"/>
        <w:tabs>
          <w:tab w:val="left" w:pos="900"/>
        </w:tabs>
        <w:kinsoku/>
        <w:topLinePunct w:val="0"/>
        <w:bidi w:val="0"/>
        <w:spacing w:line="360" w:lineRule="auto"/>
        <w:ind w:firstLine="420" w:firstLineChars="200"/>
        <w:rPr>
          <w:rFonts w:ascii="宋体" w:hAnsi="宋体"/>
          <w:color w:val="auto"/>
          <w:szCs w:val="21"/>
          <w:highlight w:val="none"/>
          <w:u w:val="none"/>
        </w:rPr>
      </w:pPr>
      <w:r>
        <w:rPr>
          <w:rFonts w:hint="eastAsia" w:ascii="宋体" w:hAnsi="宋体" w:cs="宋体"/>
          <w:color w:val="auto"/>
          <w:szCs w:val="21"/>
          <w:highlight w:val="none"/>
          <w:u w:val="none"/>
        </w:rPr>
        <w:t>1.</w:t>
      </w:r>
      <w:r>
        <w:rPr>
          <w:rFonts w:hint="eastAsia" w:ascii="宋体" w:hAnsi="宋体"/>
          <w:color w:val="auto"/>
          <w:szCs w:val="21"/>
          <w:highlight w:val="none"/>
          <w:u w:val="none"/>
        </w:rPr>
        <w:t>磋商供应商认为磋商文件、采购过程和采购结果使自己的权益受到损害的，可以在知道或应知其权益受到损害之日起七个工作日内，以书面形式向代理机构或采购人提出质疑。上述应知其权益受到损害之日，是指：</w:t>
      </w:r>
    </w:p>
    <w:p w14:paraId="2EA5D4D1">
      <w:pPr>
        <w:pageBreakBefore w:val="0"/>
        <w:tabs>
          <w:tab w:val="left" w:pos="900"/>
        </w:tabs>
        <w:kinsoku/>
        <w:topLinePunct w:val="0"/>
        <w:bidi w:val="0"/>
        <w:spacing w:line="360" w:lineRule="auto"/>
        <w:ind w:firstLine="420" w:firstLineChars="200"/>
        <w:rPr>
          <w:rFonts w:ascii="宋体" w:hAnsi="宋体"/>
          <w:color w:val="auto"/>
          <w:szCs w:val="21"/>
          <w:highlight w:val="none"/>
          <w:u w:val="none"/>
        </w:rPr>
      </w:pPr>
      <w:r>
        <w:rPr>
          <w:rFonts w:hint="eastAsia" w:ascii="宋体" w:hAnsi="宋体"/>
          <w:color w:val="auto"/>
          <w:szCs w:val="21"/>
          <w:highlight w:val="none"/>
          <w:u w:val="none"/>
        </w:rPr>
        <w:t>（1）</w:t>
      </w:r>
      <w:r>
        <w:rPr>
          <w:rFonts w:ascii="宋体" w:hAnsi="宋体"/>
          <w:color w:val="auto"/>
          <w:szCs w:val="21"/>
          <w:highlight w:val="none"/>
          <w:u w:val="none"/>
        </w:rPr>
        <w:t>对可以质疑的磋商文件提出质疑的，为收到磋商文件之日或者磋商文件公告期限届满之日；</w:t>
      </w:r>
    </w:p>
    <w:p w14:paraId="0B7E01B8">
      <w:pPr>
        <w:pageBreakBefore w:val="0"/>
        <w:tabs>
          <w:tab w:val="left" w:pos="900"/>
        </w:tabs>
        <w:kinsoku/>
        <w:topLinePunct w:val="0"/>
        <w:bidi w:val="0"/>
        <w:spacing w:line="360" w:lineRule="auto"/>
        <w:ind w:firstLine="420" w:firstLineChars="200"/>
        <w:rPr>
          <w:rFonts w:ascii="宋体" w:hAnsi="宋体"/>
          <w:color w:val="auto"/>
          <w:szCs w:val="21"/>
          <w:highlight w:val="none"/>
          <w:u w:val="none"/>
        </w:rPr>
      </w:pPr>
      <w:r>
        <w:rPr>
          <w:rFonts w:hint="eastAsia" w:ascii="宋体" w:hAnsi="宋体"/>
          <w:color w:val="auto"/>
          <w:szCs w:val="21"/>
          <w:highlight w:val="none"/>
          <w:u w:val="none"/>
        </w:rPr>
        <w:t>（2）</w:t>
      </w:r>
      <w:r>
        <w:rPr>
          <w:rFonts w:ascii="宋体" w:hAnsi="宋体"/>
          <w:color w:val="auto"/>
          <w:szCs w:val="21"/>
          <w:highlight w:val="none"/>
          <w:u w:val="none"/>
        </w:rPr>
        <w:t>对采购过程提出质疑的，为各采购程序环节结束之日；</w:t>
      </w:r>
    </w:p>
    <w:p w14:paraId="00394B2D">
      <w:pPr>
        <w:pageBreakBefore w:val="0"/>
        <w:tabs>
          <w:tab w:val="left" w:pos="900"/>
        </w:tabs>
        <w:kinsoku/>
        <w:topLinePunct w:val="0"/>
        <w:bidi w:val="0"/>
        <w:spacing w:line="360" w:lineRule="auto"/>
        <w:ind w:firstLine="420" w:firstLineChars="200"/>
        <w:rPr>
          <w:rFonts w:ascii="宋体" w:hAnsi="宋体"/>
          <w:color w:val="auto"/>
          <w:szCs w:val="21"/>
          <w:highlight w:val="none"/>
          <w:u w:val="none"/>
        </w:rPr>
      </w:pPr>
      <w:r>
        <w:rPr>
          <w:rFonts w:hint="eastAsia" w:ascii="宋体" w:hAnsi="宋体"/>
          <w:color w:val="auto"/>
          <w:szCs w:val="21"/>
          <w:highlight w:val="none"/>
          <w:u w:val="none"/>
        </w:rPr>
        <w:t>（3）</w:t>
      </w:r>
      <w:r>
        <w:rPr>
          <w:rFonts w:ascii="宋体" w:hAnsi="宋体"/>
          <w:color w:val="auto"/>
          <w:szCs w:val="21"/>
          <w:highlight w:val="none"/>
          <w:u w:val="none"/>
        </w:rPr>
        <w:t>对成交结果提出质疑的，为成交结果公告期限届满之日。</w:t>
      </w:r>
    </w:p>
    <w:p w14:paraId="4EAC30FC">
      <w:pPr>
        <w:pageBreakBefore w:val="0"/>
        <w:kinsoku/>
        <w:topLinePunct w:val="0"/>
        <w:bidi w:val="0"/>
        <w:spacing w:line="360" w:lineRule="auto"/>
        <w:ind w:firstLine="482"/>
        <w:rPr>
          <w:rFonts w:hint="eastAsia" w:ascii="宋体" w:hAnsi="宋体" w:cs="宋体"/>
          <w:b/>
          <w:color w:val="auto"/>
          <w:szCs w:val="21"/>
          <w:highlight w:val="none"/>
          <w:u w:val="none"/>
        </w:rPr>
      </w:pPr>
      <w:r>
        <w:rPr>
          <w:rFonts w:hint="eastAsia" w:ascii="宋体" w:hAnsi="宋体" w:cs="宋体"/>
          <w:b/>
          <w:color w:val="auto"/>
          <w:szCs w:val="21"/>
          <w:highlight w:val="none"/>
          <w:u w:val="none"/>
        </w:rPr>
        <w:t>其中：对评审过程中涉及的身份核对、澄清等程序性事项，供应商如有异议的，必须当场提出。否则，均视为供应商无异议。无论是否成交，供应商事后不得再就前述事项提出任何异议或质疑投诉。</w:t>
      </w:r>
    </w:p>
    <w:p w14:paraId="64021B5E">
      <w:pPr>
        <w:pageBreakBefore w:val="0"/>
        <w:tabs>
          <w:tab w:val="left" w:pos="900"/>
        </w:tabs>
        <w:kinsoku/>
        <w:topLinePunct w:val="0"/>
        <w:bidi w:val="0"/>
        <w:spacing w:line="360" w:lineRule="auto"/>
        <w:ind w:firstLine="420" w:firstLineChars="200"/>
        <w:rPr>
          <w:rFonts w:ascii="宋体" w:hAnsi="宋体"/>
          <w:color w:val="auto"/>
          <w:szCs w:val="21"/>
          <w:highlight w:val="none"/>
          <w:u w:val="none"/>
        </w:rPr>
      </w:pPr>
      <w:r>
        <w:rPr>
          <w:rFonts w:hint="eastAsia" w:ascii="宋体" w:hAnsi="宋体"/>
          <w:color w:val="auto"/>
          <w:szCs w:val="21"/>
          <w:highlight w:val="none"/>
          <w:u w:val="none"/>
          <w:lang w:val="en-US" w:eastAsia="zh-CN"/>
        </w:rPr>
        <w:t>2.</w:t>
      </w:r>
      <w:r>
        <w:rPr>
          <w:rFonts w:hint="eastAsia" w:ascii="宋体" w:hAnsi="宋体"/>
          <w:color w:val="auto"/>
          <w:szCs w:val="21"/>
          <w:highlight w:val="none"/>
          <w:u w:val="none"/>
        </w:rPr>
        <w:t>质疑必须由磋商供应商法定代表人或授权代表（响应文件中所确定的）以原件送达的方式提交，未按上述要求提交的质疑函（含传真、电子邮件等）代理机构有权不予受理。</w:t>
      </w:r>
    </w:p>
    <w:p w14:paraId="52C23253">
      <w:pPr>
        <w:pageBreakBefore w:val="0"/>
        <w:kinsoku/>
        <w:topLinePunct w:val="0"/>
        <w:bidi w:val="0"/>
        <w:spacing w:line="360" w:lineRule="auto"/>
        <w:ind w:firstLine="480"/>
        <w:rPr>
          <w:rFonts w:hint="eastAsia" w:ascii="宋体" w:hAnsi="宋体" w:cs="宋体"/>
          <w:color w:val="auto"/>
          <w:szCs w:val="21"/>
          <w:highlight w:val="none"/>
          <w:u w:val="none"/>
        </w:rPr>
      </w:pPr>
      <w:r>
        <w:rPr>
          <w:rFonts w:hint="eastAsia" w:ascii="宋体" w:hAnsi="宋体"/>
          <w:color w:val="auto"/>
          <w:szCs w:val="21"/>
          <w:highlight w:val="none"/>
          <w:u w:val="none"/>
          <w:lang w:val="en-US" w:eastAsia="zh-CN"/>
        </w:rPr>
        <w:t>3.</w:t>
      </w:r>
      <w:r>
        <w:rPr>
          <w:rFonts w:hint="eastAsia" w:ascii="宋体" w:hAnsi="宋体"/>
          <w:color w:val="auto"/>
          <w:szCs w:val="21"/>
          <w:highlight w:val="none"/>
          <w:u w:val="none"/>
        </w:rPr>
        <w:t>未参加磋商采购活动的供应商或在磋商采购活动中自身权益未受到损害的供应商所提出的质疑不予受理。</w:t>
      </w:r>
      <w:r>
        <w:rPr>
          <w:rFonts w:hint="eastAsia" w:ascii="宋体" w:hAnsi="宋体" w:cs="宋体"/>
          <w:color w:val="auto"/>
          <w:szCs w:val="21"/>
          <w:highlight w:val="none"/>
          <w:u w:val="none"/>
        </w:rPr>
        <w:t>响应文件接收截止后，供应商未进行磋商登记的，不能就响应文件接收截止后的招投标过程、成交结果质疑；在磋商过程中，凡主持人或评审小组明确提出须由供应商确认的事项，供应商当场无异议的，事后不得质疑。</w:t>
      </w:r>
    </w:p>
    <w:p w14:paraId="6F425604">
      <w:pPr>
        <w:pageBreakBefore w:val="0"/>
        <w:tabs>
          <w:tab w:val="left" w:pos="900"/>
        </w:tabs>
        <w:kinsoku/>
        <w:topLinePunct w:val="0"/>
        <w:bidi w:val="0"/>
        <w:spacing w:line="360" w:lineRule="auto"/>
        <w:ind w:firstLine="420" w:firstLineChars="200"/>
        <w:rPr>
          <w:rFonts w:ascii="宋体" w:hAnsi="宋体"/>
          <w:color w:val="auto"/>
          <w:szCs w:val="21"/>
          <w:highlight w:val="none"/>
          <w:u w:val="none"/>
        </w:rPr>
      </w:pPr>
      <w:r>
        <w:rPr>
          <w:rFonts w:hint="eastAsia" w:ascii="宋体" w:hAnsi="宋体"/>
          <w:color w:val="auto"/>
          <w:szCs w:val="21"/>
          <w:highlight w:val="none"/>
          <w:u w:val="none"/>
          <w:lang w:val="en-US" w:eastAsia="zh-CN"/>
        </w:rPr>
        <w:t>4.</w:t>
      </w:r>
      <w:r>
        <w:rPr>
          <w:rFonts w:hint="eastAsia" w:ascii="宋体" w:hAnsi="宋体"/>
          <w:color w:val="auto"/>
          <w:szCs w:val="21"/>
          <w:highlight w:val="none"/>
          <w:u w:val="none"/>
        </w:rPr>
        <w:t>质疑函应当包括下列内容：</w:t>
      </w:r>
    </w:p>
    <w:p w14:paraId="608FBEB1">
      <w:pPr>
        <w:pageBreakBefore w:val="0"/>
        <w:tabs>
          <w:tab w:val="left" w:pos="900"/>
        </w:tabs>
        <w:kinsoku/>
        <w:topLinePunct w:val="0"/>
        <w:bidi w:val="0"/>
        <w:spacing w:line="360" w:lineRule="auto"/>
        <w:ind w:firstLine="420" w:firstLineChars="200"/>
        <w:rPr>
          <w:rFonts w:ascii="宋体" w:hAnsi="宋体"/>
          <w:color w:val="auto"/>
          <w:szCs w:val="21"/>
          <w:highlight w:val="none"/>
          <w:u w:val="none"/>
        </w:rPr>
      </w:pPr>
      <w:r>
        <w:rPr>
          <w:rFonts w:hint="eastAsia" w:ascii="宋体" w:hAnsi="宋体"/>
          <w:color w:val="auto"/>
          <w:szCs w:val="21"/>
          <w:highlight w:val="none"/>
          <w:u w:val="none"/>
        </w:rPr>
        <w:t>（1）质疑供应商的名称、地址、邮编、联系人、联系电话；</w:t>
      </w:r>
    </w:p>
    <w:p w14:paraId="7B66F6AF">
      <w:pPr>
        <w:pageBreakBefore w:val="0"/>
        <w:tabs>
          <w:tab w:val="left" w:pos="900"/>
        </w:tabs>
        <w:kinsoku/>
        <w:topLinePunct w:val="0"/>
        <w:bidi w:val="0"/>
        <w:spacing w:line="360" w:lineRule="auto"/>
        <w:ind w:firstLine="420" w:firstLineChars="200"/>
        <w:rPr>
          <w:rFonts w:ascii="宋体" w:hAnsi="宋体"/>
          <w:color w:val="auto"/>
          <w:szCs w:val="21"/>
          <w:highlight w:val="none"/>
          <w:u w:val="none"/>
        </w:rPr>
      </w:pPr>
      <w:r>
        <w:rPr>
          <w:rFonts w:hint="eastAsia" w:ascii="宋体" w:hAnsi="宋体"/>
          <w:color w:val="auto"/>
          <w:szCs w:val="21"/>
          <w:highlight w:val="none"/>
          <w:u w:val="none"/>
        </w:rPr>
        <w:t>（2）具体的质疑事项及明确的请求；</w:t>
      </w:r>
    </w:p>
    <w:p w14:paraId="449382C9">
      <w:pPr>
        <w:pageBreakBefore w:val="0"/>
        <w:tabs>
          <w:tab w:val="left" w:pos="900"/>
        </w:tabs>
        <w:kinsoku/>
        <w:topLinePunct w:val="0"/>
        <w:bidi w:val="0"/>
        <w:spacing w:line="360" w:lineRule="auto"/>
        <w:ind w:firstLine="420" w:firstLineChars="200"/>
        <w:rPr>
          <w:rFonts w:ascii="宋体" w:hAnsi="宋体"/>
          <w:color w:val="auto"/>
          <w:szCs w:val="21"/>
          <w:highlight w:val="none"/>
          <w:u w:val="none"/>
        </w:rPr>
      </w:pPr>
      <w:r>
        <w:rPr>
          <w:rFonts w:hint="eastAsia" w:ascii="宋体" w:hAnsi="宋体"/>
          <w:color w:val="auto"/>
          <w:szCs w:val="21"/>
          <w:highlight w:val="none"/>
          <w:u w:val="none"/>
        </w:rPr>
        <w:t>（3）认为自己合法权益受到损害或可能受到损害的相关证据材料；</w:t>
      </w:r>
    </w:p>
    <w:p w14:paraId="07012E6C">
      <w:pPr>
        <w:pageBreakBefore w:val="0"/>
        <w:tabs>
          <w:tab w:val="left" w:pos="900"/>
        </w:tabs>
        <w:kinsoku/>
        <w:topLinePunct w:val="0"/>
        <w:bidi w:val="0"/>
        <w:spacing w:line="360" w:lineRule="auto"/>
        <w:ind w:firstLine="420" w:firstLineChars="200"/>
        <w:rPr>
          <w:rFonts w:ascii="宋体" w:hAnsi="宋体"/>
          <w:color w:val="auto"/>
          <w:szCs w:val="21"/>
          <w:highlight w:val="none"/>
          <w:u w:val="none"/>
        </w:rPr>
      </w:pPr>
      <w:r>
        <w:rPr>
          <w:rFonts w:hint="eastAsia" w:ascii="宋体" w:hAnsi="宋体"/>
          <w:color w:val="auto"/>
          <w:szCs w:val="21"/>
          <w:highlight w:val="none"/>
          <w:u w:val="none"/>
        </w:rPr>
        <w:t>（4）提起质疑的日期；</w:t>
      </w:r>
    </w:p>
    <w:p w14:paraId="24B69DF7">
      <w:pPr>
        <w:pageBreakBefore w:val="0"/>
        <w:tabs>
          <w:tab w:val="left" w:pos="900"/>
        </w:tabs>
        <w:kinsoku/>
        <w:topLinePunct w:val="0"/>
        <w:bidi w:val="0"/>
        <w:spacing w:line="360" w:lineRule="auto"/>
        <w:ind w:firstLine="420" w:firstLineChars="200"/>
        <w:rPr>
          <w:rFonts w:ascii="宋体" w:hAnsi="宋体"/>
          <w:color w:val="auto"/>
          <w:szCs w:val="21"/>
          <w:highlight w:val="none"/>
          <w:u w:val="none"/>
        </w:rPr>
      </w:pPr>
      <w:r>
        <w:rPr>
          <w:rFonts w:hint="eastAsia" w:ascii="宋体" w:hAnsi="宋体"/>
          <w:color w:val="auto"/>
          <w:szCs w:val="21"/>
          <w:highlight w:val="none"/>
          <w:u w:val="none"/>
        </w:rPr>
        <w:t>（5）质疑函应当署名：质疑人为自然人的，应当由本人签字并附有效身份证明；质疑人为法人或其他组织的，应当由法定代表人签字并加盖单位公章。质疑人委托代理质疑的，应当向代理机构提交授权委托书，并载明委托代理的具体权限和事项。</w:t>
      </w:r>
    </w:p>
    <w:p w14:paraId="337B1575">
      <w:pPr>
        <w:pageBreakBefore w:val="0"/>
        <w:kinsoku/>
        <w:topLinePunct w:val="0"/>
        <w:bidi w:val="0"/>
        <w:spacing w:line="360" w:lineRule="auto"/>
        <w:ind w:firstLine="480"/>
        <w:rPr>
          <w:rFonts w:hint="eastAsia" w:ascii="宋体" w:hAnsi="宋体" w:cs="宋体"/>
          <w:color w:val="auto"/>
          <w:szCs w:val="21"/>
          <w:highlight w:val="none"/>
          <w:u w:val="none"/>
        </w:rPr>
      </w:pPr>
      <w:r>
        <w:rPr>
          <w:rFonts w:hint="eastAsia" w:ascii="宋体" w:hAnsi="宋体" w:cs="宋体"/>
          <w:color w:val="auto"/>
          <w:szCs w:val="21"/>
          <w:highlight w:val="none"/>
          <w:u w:val="none"/>
          <w:lang w:val="en-US" w:eastAsia="zh-CN"/>
        </w:rPr>
        <w:t>5</w:t>
      </w:r>
      <w:r>
        <w:rPr>
          <w:rFonts w:hint="eastAsia" w:ascii="宋体" w:hAnsi="宋体" w:cs="宋体"/>
          <w:color w:val="auto"/>
          <w:szCs w:val="21"/>
          <w:highlight w:val="none"/>
          <w:u w:val="none"/>
        </w:rPr>
        <w:t>.提出质疑时，必须坚持“谁主张，谁举证”、“实事求是”的原则，不能臆测。属于须由法定部门调查、侦查或先行作出相关认定的事项，质疑人应当依法申请具有法定职权的部门查清、认定，并将相关结果提供给采购单位或采购代理机构。采购单位或采购代理机构不具有法定调查、认定权限。</w:t>
      </w:r>
    </w:p>
    <w:p w14:paraId="35034FBF">
      <w:pPr>
        <w:pageBreakBefore w:val="0"/>
        <w:kinsoku/>
        <w:topLinePunct w:val="0"/>
        <w:bidi w:val="0"/>
        <w:spacing w:line="360" w:lineRule="auto"/>
        <w:ind w:firstLine="480"/>
        <w:rPr>
          <w:rFonts w:hint="eastAsia" w:ascii="宋体" w:hAnsi="宋体" w:cs="宋体"/>
          <w:color w:val="auto"/>
          <w:szCs w:val="21"/>
          <w:highlight w:val="none"/>
          <w:u w:val="none"/>
        </w:rPr>
      </w:pPr>
      <w:r>
        <w:rPr>
          <w:rFonts w:hint="eastAsia" w:ascii="宋体" w:hAnsi="宋体" w:cs="宋体"/>
          <w:color w:val="auto"/>
          <w:szCs w:val="21"/>
          <w:highlight w:val="none"/>
          <w:u w:val="none"/>
          <w:lang w:val="en-US" w:eastAsia="zh-CN"/>
        </w:rPr>
        <w:t>6</w:t>
      </w:r>
      <w:r>
        <w:rPr>
          <w:rFonts w:hint="eastAsia" w:ascii="宋体" w:hAnsi="宋体" w:cs="宋体"/>
          <w:color w:val="auto"/>
          <w:szCs w:val="21"/>
          <w:highlight w:val="none"/>
          <w:u w:val="none"/>
        </w:rPr>
        <w:t>.对本次招标有质疑的，实行实名制，不得进行虚假、恶意质疑。质疑人应在质疑有效期内以书面形式提出《质疑函》（格式请下载），《质疑函》内容应包括质疑事项、主要内容、事实依据、适应法规条款、佐证材料等。同时，质疑人应保证其提出的质疑内容及相关佐证材料的真实性及来源的合法性，并承担相应的法律责任。</w:t>
      </w:r>
    </w:p>
    <w:p w14:paraId="23FDB4DD">
      <w:pPr>
        <w:pageBreakBefore w:val="0"/>
        <w:kinsoku/>
        <w:topLinePunct w:val="0"/>
        <w:bidi w:val="0"/>
        <w:spacing w:line="360" w:lineRule="auto"/>
        <w:ind w:firstLine="480"/>
        <w:rPr>
          <w:rFonts w:hint="eastAsia" w:ascii="宋体" w:hAnsi="宋体" w:cs="宋体"/>
          <w:color w:val="auto"/>
          <w:szCs w:val="21"/>
          <w:highlight w:val="none"/>
          <w:u w:val="none"/>
        </w:rPr>
      </w:pPr>
      <w:r>
        <w:rPr>
          <w:rFonts w:hint="eastAsia" w:ascii="宋体" w:hAnsi="宋体" w:cs="宋体"/>
          <w:color w:val="auto"/>
          <w:szCs w:val="21"/>
          <w:highlight w:val="none"/>
          <w:u w:val="none"/>
        </w:rPr>
        <w:t>对不能提供相关佐证材料的、涉及商业秘密的、非书面形式的、非送达的、匿名的《质疑函》将不予受理。</w:t>
      </w:r>
    </w:p>
    <w:p w14:paraId="59291629">
      <w:pPr>
        <w:pageBreakBefore w:val="0"/>
        <w:kinsoku/>
        <w:topLinePunct w:val="0"/>
        <w:bidi w:val="0"/>
        <w:spacing w:line="360" w:lineRule="auto"/>
        <w:ind w:firstLine="480"/>
        <w:rPr>
          <w:rFonts w:hint="eastAsia" w:ascii="宋体" w:hAnsi="宋体" w:cs="宋体"/>
          <w:color w:val="auto"/>
          <w:szCs w:val="21"/>
          <w:highlight w:val="none"/>
          <w:u w:val="none"/>
        </w:rPr>
      </w:pPr>
      <w:r>
        <w:rPr>
          <w:rFonts w:hint="eastAsia" w:ascii="宋体" w:hAnsi="宋体" w:cs="宋体"/>
          <w:color w:val="auto"/>
          <w:szCs w:val="21"/>
          <w:highlight w:val="none"/>
          <w:u w:val="none"/>
        </w:rPr>
        <w:t>相关佐证材料要具备客观性、关联性、合法性，无法查实的（如宣传册、媒体报道、猜测、推理等）不能作为佐证材料。</w:t>
      </w:r>
    </w:p>
    <w:p w14:paraId="23ED6372">
      <w:pPr>
        <w:pageBreakBefore w:val="0"/>
        <w:kinsoku/>
        <w:topLinePunct w:val="0"/>
        <w:bidi w:val="0"/>
        <w:spacing w:line="360" w:lineRule="auto"/>
        <w:ind w:firstLine="480"/>
        <w:rPr>
          <w:rFonts w:hint="eastAsia" w:ascii="宋体" w:hAnsi="宋体" w:cs="宋体"/>
          <w:color w:val="auto"/>
          <w:szCs w:val="21"/>
          <w:highlight w:val="none"/>
          <w:u w:val="none"/>
        </w:rPr>
      </w:pPr>
      <w:r>
        <w:rPr>
          <w:rFonts w:hint="eastAsia" w:ascii="宋体" w:hAnsi="宋体" w:cs="宋体"/>
          <w:color w:val="auto"/>
          <w:szCs w:val="21"/>
          <w:highlight w:val="none"/>
          <w:u w:val="none"/>
        </w:rPr>
        <w:t>采购单位或采购代理机构不负责搜集相关佐证材料等工作。</w:t>
      </w:r>
    </w:p>
    <w:p w14:paraId="0788CDF6">
      <w:pPr>
        <w:pageBreakBefore w:val="0"/>
        <w:kinsoku/>
        <w:topLinePunct w:val="0"/>
        <w:bidi w:val="0"/>
        <w:spacing w:line="360" w:lineRule="auto"/>
        <w:ind w:firstLine="480"/>
        <w:rPr>
          <w:rFonts w:hint="eastAsia" w:ascii="宋体" w:hAnsi="宋体" w:cs="宋体"/>
          <w:color w:val="auto"/>
          <w:szCs w:val="21"/>
          <w:highlight w:val="none"/>
          <w:u w:val="none"/>
        </w:rPr>
      </w:pPr>
      <w:r>
        <w:rPr>
          <w:rFonts w:hint="eastAsia" w:ascii="宋体" w:hAnsi="宋体" w:cs="宋体"/>
          <w:color w:val="auto"/>
          <w:szCs w:val="21"/>
          <w:highlight w:val="none"/>
          <w:u w:val="none"/>
        </w:rPr>
        <w:t>（二）《质疑函》的受理和回复</w:t>
      </w:r>
    </w:p>
    <w:p w14:paraId="10604865">
      <w:pPr>
        <w:pageBreakBefore w:val="0"/>
        <w:kinsoku/>
        <w:topLinePunct w:val="0"/>
        <w:bidi w:val="0"/>
        <w:spacing w:line="360" w:lineRule="auto"/>
        <w:ind w:firstLine="480"/>
        <w:rPr>
          <w:rFonts w:hint="eastAsia" w:ascii="宋体" w:hAnsi="宋体" w:cs="宋体"/>
          <w:color w:val="auto"/>
          <w:szCs w:val="21"/>
          <w:highlight w:val="none"/>
          <w:u w:val="none"/>
        </w:rPr>
      </w:pPr>
      <w:r>
        <w:rPr>
          <w:rFonts w:hint="eastAsia" w:ascii="宋体" w:hAnsi="宋体" w:cs="宋体"/>
          <w:color w:val="auto"/>
          <w:szCs w:val="21"/>
          <w:highlight w:val="none"/>
          <w:u w:val="none"/>
        </w:rPr>
        <w:t>1.《质疑函》须由质疑人的法定代表人或参加本次磋商被授权人送达采购单位和采购代理机构。质疑答复依据《政府采购质疑和投诉办法》（财政部令第94号）。采购人或采购代理机构质疑接收人及联系方式，见磋商</w:t>
      </w:r>
      <w:r>
        <w:rPr>
          <w:rFonts w:hint="eastAsia"/>
          <w:color w:val="auto"/>
          <w:szCs w:val="21"/>
          <w:highlight w:val="none"/>
          <w:u w:val="none"/>
        </w:rPr>
        <w:t>文件第一部分。</w:t>
      </w:r>
    </w:p>
    <w:p w14:paraId="55A933E8">
      <w:pPr>
        <w:pageBreakBefore w:val="0"/>
        <w:kinsoku/>
        <w:topLinePunct w:val="0"/>
        <w:bidi w:val="0"/>
        <w:spacing w:line="360" w:lineRule="auto"/>
        <w:ind w:firstLine="480"/>
        <w:rPr>
          <w:rFonts w:hint="eastAsia" w:ascii="宋体" w:hAnsi="宋体" w:cs="宋体"/>
          <w:color w:val="auto"/>
          <w:szCs w:val="21"/>
          <w:highlight w:val="none"/>
          <w:u w:val="none"/>
        </w:rPr>
      </w:pPr>
      <w:r>
        <w:rPr>
          <w:rFonts w:hint="eastAsia" w:ascii="宋体" w:hAnsi="宋体" w:cs="宋体"/>
          <w:color w:val="auto"/>
          <w:szCs w:val="21"/>
          <w:highlight w:val="none"/>
          <w:u w:val="none"/>
        </w:rPr>
        <w:t>2.对符合质疑要求的，采购单位、采购代理机构签收并出具《质疑受理通知书》。在处理过程中，发现需要质疑人进一步补充相关佐证材料的，请质疑人在规定的时间内提供，质疑回复时间相应顺延。质疑人不能按时提供相关佐证材料的，视同放弃质疑。</w:t>
      </w:r>
    </w:p>
    <w:p w14:paraId="2FB7DEFD">
      <w:pPr>
        <w:pageBreakBefore w:val="0"/>
        <w:kinsoku/>
        <w:topLinePunct w:val="0"/>
        <w:bidi w:val="0"/>
        <w:spacing w:line="360" w:lineRule="auto"/>
        <w:ind w:firstLine="480"/>
        <w:rPr>
          <w:rFonts w:hint="eastAsia" w:ascii="宋体" w:hAnsi="宋体" w:cs="宋体"/>
          <w:color w:val="auto"/>
          <w:szCs w:val="21"/>
          <w:highlight w:val="none"/>
          <w:u w:val="none"/>
        </w:rPr>
      </w:pPr>
      <w:r>
        <w:rPr>
          <w:rFonts w:hint="eastAsia" w:ascii="宋体" w:hAnsi="宋体" w:cs="宋体"/>
          <w:color w:val="auto"/>
          <w:szCs w:val="21"/>
          <w:highlight w:val="none"/>
          <w:u w:val="none"/>
        </w:rPr>
        <w:t>3.对不符合质疑要求的，出具《质疑退回通知书》并提出相关补充材料要求，质疑人未在规定的时间内提供补充佐证材料的，视同放弃质疑。</w:t>
      </w:r>
    </w:p>
    <w:p w14:paraId="6E81BD7B">
      <w:pPr>
        <w:pageBreakBefore w:val="0"/>
        <w:kinsoku/>
        <w:topLinePunct w:val="0"/>
        <w:bidi w:val="0"/>
        <w:spacing w:line="360" w:lineRule="auto"/>
        <w:ind w:firstLine="480"/>
        <w:rPr>
          <w:rFonts w:hint="eastAsia" w:ascii="宋体" w:hAnsi="宋体" w:cs="宋体"/>
          <w:color w:val="auto"/>
          <w:szCs w:val="21"/>
          <w:highlight w:val="none"/>
          <w:u w:val="none"/>
        </w:rPr>
      </w:pPr>
      <w:r>
        <w:rPr>
          <w:rFonts w:hint="eastAsia" w:ascii="宋体" w:hAnsi="宋体" w:cs="宋体"/>
          <w:color w:val="auto"/>
          <w:szCs w:val="21"/>
          <w:highlight w:val="none"/>
          <w:u w:val="none"/>
        </w:rPr>
        <w:t>4.采购单位、采购代理机构负责将质疑人提出的质疑相关材料提供给相关专家或评审小组审核，并将审核意见回复质疑人。</w:t>
      </w:r>
    </w:p>
    <w:p w14:paraId="7CBDC370">
      <w:pPr>
        <w:pageBreakBefore w:val="0"/>
        <w:kinsoku/>
        <w:topLinePunct w:val="0"/>
        <w:bidi w:val="0"/>
        <w:spacing w:line="360" w:lineRule="auto"/>
        <w:ind w:firstLine="480"/>
        <w:rPr>
          <w:rFonts w:hint="eastAsia" w:ascii="宋体" w:hAnsi="宋体" w:cs="宋体"/>
          <w:color w:val="auto"/>
          <w:szCs w:val="21"/>
          <w:highlight w:val="none"/>
          <w:u w:val="none"/>
        </w:rPr>
      </w:pPr>
      <w:r>
        <w:rPr>
          <w:rFonts w:hint="eastAsia" w:ascii="宋体" w:hAnsi="宋体" w:cs="宋体"/>
          <w:color w:val="auto"/>
          <w:szCs w:val="21"/>
          <w:highlight w:val="none"/>
          <w:u w:val="none"/>
        </w:rPr>
        <w:t>5.因质疑情况复杂，组织论证或审查时间较长的，采购单位、采购代理机构以书面形式通知质疑人，可适当延长质疑回复处理时间。</w:t>
      </w:r>
    </w:p>
    <w:p w14:paraId="459708BC">
      <w:pPr>
        <w:pageBreakBefore w:val="0"/>
        <w:kinsoku/>
        <w:topLinePunct w:val="0"/>
        <w:bidi w:val="0"/>
        <w:spacing w:line="360" w:lineRule="auto"/>
        <w:ind w:firstLine="480"/>
        <w:rPr>
          <w:rFonts w:hint="eastAsia" w:ascii="宋体" w:hAnsi="宋体" w:cs="宋体"/>
          <w:color w:val="auto"/>
          <w:szCs w:val="21"/>
          <w:highlight w:val="none"/>
          <w:u w:val="none"/>
        </w:rPr>
      </w:pPr>
      <w:r>
        <w:rPr>
          <w:rFonts w:hint="eastAsia" w:ascii="宋体" w:hAnsi="宋体" w:cs="宋体"/>
          <w:color w:val="auto"/>
          <w:szCs w:val="21"/>
          <w:highlight w:val="none"/>
          <w:u w:val="none"/>
        </w:rPr>
        <w:t>（三）质疑处理</w:t>
      </w:r>
    </w:p>
    <w:p w14:paraId="1627A06A">
      <w:pPr>
        <w:pageBreakBefore w:val="0"/>
        <w:tabs>
          <w:tab w:val="left" w:pos="900"/>
        </w:tabs>
        <w:kinsoku/>
        <w:topLinePunct w:val="0"/>
        <w:bidi w:val="0"/>
        <w:spacing w:line="360" w:lineRule="auto"/>
        <w:ind w:firstLine="420" w:firstLineChars="200"/>
        <w:rPr>
          <w:rFonts w:ascii="宋体" w:hAnsi="宋体"/>
          <w:color w:val="auto"/>
          <w:szCs w:val="21"/>
          <w:highlight w:val="none"/>
          <w:u w:val="none"/>
        </w:rPr>
      </w:pPr>
      <w:r>
        <w:rPr>
          <w:rFonts w:hint="eastAsia" w:ascii="宋体" w:hAnsi="宋体"/>
          <w:color w:val="auto"/>
          <w:szCs w:val="21"/>
          <w:highlight w:val="none"/>
          <w:u w:val="none"/>
          <w:lang w:val="en-US" w:eastAsia="zh-CN"/>
        </w:rPr>
        <w:t>1.</w:t>
      </w:r>
      <w:r>
        <w:rPr>
          <w:rFonts w:hint="eastAsia" w:ascii="宋体" w:hAnsi="宋体"/>
          <w:color w:val="auto"/>
          <w:szCs w:val="21"/>
          <w:highlight w:val="none"/>
          <w:u w:val="none"/>
        </w:rPr>
        <w:t>代理机构收到质疑函后，将对质疑</w:t>
      </w:r>
      <w:r>
        <w:rPr>
          <w:rFonts w:hint="eastAsia" w:ascii="宋体" w:hAnsi="宋体"/>
          <w:color w:val="auto"/>
          <w:szCs w:val="21"/>
          <w:highlight w:val="none"/>
          <w:u w:val="none"/>
          <w:lang w:val="en-US" w:eastAsia="zh-CN"/>
        </w:rPr>
        <w:t>函</w:t>
      </w:r>
      <w:r>
        <w:rPr>
          <w:rFonts w:hint="eastAsia" w:ascii="宋体" w:hAnsi="宋体"/>
          <w:color w:val="auto"/>
          <w:szCs w:val="21"/>
          <w:highlight w:val="none"/>
          <w:u w:val="none"/>
        </w:rPr>
        <w:t>的形式和内容进行审查，如质疑函内容、格式不符合规定，代理机构将告知质疑人进行补正。</w:t>
      </w:r>
    </w:p>
    <w:p w14:paraId="1AC57FBA">
      <w:pPr>
        <w:pageBreakBefore w:val="0"/>
        <w:tabs>
          <w:tab w:val="left" w:pos="900"/>
        </w:tabs>
        <w:kinsoku/>
        <w:topLinePunct w:val="0"/>
        <w:bidi w:val="0"/>
        <w:spacing w:line="360" w:lineRule="auto"/>
        <w:ind w:firstLine="420" w:firstLineChars="200"/>
        <w:rPr>
          <w:rFonts w:ascii="宋体" w:hAnsi="宋体"/>
          <w:color w:val="auto"/>
          <w:szCs w:val="21"/>
          <w:highlight w:val="none"/>
          <w:u w:val="none"/>
        </w:rPr>
      </w:pPr>
      <w:r>
        <w:rPr>
          <w:rFonts w:hint="eastAsia" w:ascii="宋体" w:hAnsi="宋体"/>
          <w:color w:val="auto"/>
          <w:szCs w:val="21"/>
          <w:highlight w:val="none"/>
          <w:u w:val="none"/>
          <w:lang w:val="en-US" w:eastAsia="zh-CN"/>
        </w:rPr>
        <w:t>2.</w:t>
      </w:r>
      <w:r>
        <w:rPr>
          <w:rFonts w:hint="eastAsia" w:ascii="宋体" w:hAnsi="宋体"/>
          <w:color w:val="auto"/>
          <w:szCs w:val="21"/>
          <w:highlight w:val="none"/>
          <w:u w:val="none"/>
        </w:rPr>
        <w:t>质疑人应当在法定质疑期限内进行补正并重新提交质疑函，拒不补正或者在法定期限内未重新提交质疑函的，为无效质疑，代理机构有权不予受理。</w:t>
      </w:r>
    </w:p>
    <w:p w14:paraId="00D78E82">
      <w:pPr>
        <w:pageBreakBefore w:val="0"/>
        <w:tabs>
          <w:tab w:val="left" w:pos="900"/>
        </w:tabs>
        <w:kinsoku/>
        <w:topLinePunct w:val="0"/>
        <w:bidi w:val="0"/>
        <w:spacing w:line="360" w:lineRule="auto"/>
        <w:ind w:firstLine="420" w:firstLineChars="200"/>
        <w:rPr>
          <w:rFonts w:ascii="宋体" w:hAnsi="宋体"/>
          <w:color w:val="auto"/>
          <w:szCs w:val="21"/>
          <w:highlight w:val="none"/>
          <w:u w:val="none"/>
        </w:rPr>
      </w:pPr>
      <w:r>
        <w:rPr>
          <w:rFonts w:hint="eastAsia" w:ascii="宋体" w:hAnsi="宋体"/>
          <w:color w:val="auto"/>
          <w:szCs w:val="21"/>
          <w:highlight w:val="none"/>
          <w:u w:val="none"/>
          <w:lang w:val="en-US" w:eastAsia="zh-CN"/>
        </w:rPr>
        <w:t>3.</w:t>
      </w:r>
      <w:r>
        <w:rPr>
          <w:rFonts w:hint="eastAsia" w:ascii="宋体" w:hAnsi="宋体"/>
          <w:color w:val="auto"/>
          <w:szCs w:val="21"/>
          <w:highlight w:val="none"/>
          <w:u w:val="none"/>
        </w:rPr>
        <w:t>对于内容、格式符合规定的质疑函，代理机构将在收到参加磋商供应商的书面质疑后七个工作日内作出答复，并以书面形式通知质疑供应商和其他相关供应商，答复的内容不涉及商业秘密。</w:t>
      </w:r>
    </w:p>
    <w:p w14:paraId="522FC5A9">
      <w:pPr>
        <w:pageBreakBefore w:val="0"/>
        <w:tabs>
          <w:tab w:val="left" w:pos="900"/>
        </w:tabs>
        <w:kinsoku/>
        <w:topLinePunct w:val="0"/>
        <w:bidi w:val="0"/>
        <w:spacing w:line="360" w:lineRule="auto"/>
        <w:ind w:firstLine="420" w:firstLineChars="200"/>
        <w:rPr>
          <w:rFonts w:ascii="宋体" w:hAnsi="宋体"/>
          <w:color w:val="auto"/>
          <w:szCs w:val="21"/>
          <w:highlight w:val="none"/>
          <w:u w:val="none"/>
        </w:rPr>
      </w:pPr>
      <w:r>
        <w:rPr>
          <w:rFonts w:hint="eastAsia" w:ascii="宋体" w:hAnsi="宋体"/>
          <w:color w:val="auto"/>
          <w:szCs w:val="21"/>
          <w:highlight w:val="none"/>
          <w:u w:val="none"/>
          <w:lang w:val="en-US" w:eastAsia="zh-CN"/>
        </w:rPr>
        <w:t>4.</w:t>
      </w:r>
      <w:r>
        <w:rPr>
          <w:rFonts w:hint="eastAsia" w:ascii="宋体" w:hAnsi="宋体"/>
          <w:color w:val="auto"/>
          <w:szCs w:val="21"/>
          <w:highlight w:val="none"/>
          <w:u w:val="none"/>
        </w:rPr>
        <w:t>供应商提出书面质疑必须有理、有据，不得恶意质疑或提交虚假质疑。否则，一经查实，代理机构有权依据政府采购的有关规定，报请政府采购监管部门对该供应商进行相应的行政处罚。</w:t>
      </w:r>
    </w:p>
    <w:p w14:paraId="7787CF2B">
      <w:pPr>
        <w:keepNext w:val="0"/>
        <w:keepLines w:val="0"/>
        <w:pageBreakBefore w:val="0"/>
        <w:widowControl w:val="0"/>
        <w:suppressLineNumbers w:val="0"/>
        <w:kinsoku/>
        <w:wordWrap/>
        <w:topLinePunct w:val="0"/>
        <w:bidi w:val="0"/>
        <w:snapToGrid w:val="0"/>
        <w:spacing w:before="0" w:beforeAutospacing="0" w:after="0" w:afterAutospacing="0" w:line="360" w:lineRule="auto"/>
        <w:ind w:left="0" w:right="0" w:firstLine="422" w:firstLineChars="200"/>
        <w:jc w:val="both"/>
        <w:textAlignment w:val="baseline"/>
        <w:rPr>
          <w:rFonts w:hint="eastAsia" w:ascii="宋体" w:hAnsi="宋体" w:eastAsia="宋体" w:cs="宋体"/>
          <w:b/>
          <w:bCs/>
          <w:color w:val="auto"/>
          <w:kern w:val="2"/>
          <w:sz w:val="21"/>
          <w:szCs w:val="24"/>
          <w:highlight w:val="none"/>
          <w:u w:val="none"/>
          <w:vertAlign w:val="baseline"/>
          <w:lang w:val="en-US" w:eastAsia="zh-CN" w:bidi="ar"/>
        </w:rPr>
      </w:pPr>
      <w:r>
        <w:rPr>
          <w:rFonts w:hint="eastAsia" w:ascii="宋体" w:hAnsi="宋体" w:eastAsia="宋体" w:cs="宋体"/>
          <w:b/>
          <w:bCs/>
          <w:color w:val="auto"/>
          <w:kern w:val="2"/>
          <w:sz w:val="21"/>
          <w:szCs w:val="24"/>
          <w:highlight w:val="none"/>
          <w:u w:val="none"/>
          <w:vertAlign w:val="baseline"/>
          <w:lang w:val="en-US" w:eastAsia="zh-CN" w:bidi="ar"/>
        </w:rPr>
        <w:t>八、其他事项说明：</w:t>
      </w:r>
    </w:p>
    <w:p w14:paraId="47C2F587">
      <w:pPr>
        <w:snapToGrid w:val="0"/>
        <w:spacing w:line="360" w:lineRule="auto"/>
        <w:ind w:firstLine="420" w:firstLineChars="200"/>
        <w:textAlignment w:val="baseline"/>
        <w:rPr>
          <w:rFonts w:hint="eastAsia" w:ascii="宋体" w:hAnsi="宋体" w:cs="宋体"/>
          <w:color w:val="auto"/>
          <w:highlight w:val="none"/>
          <w:u w:val="none"/>
        </w:rPr>
      </w:pPr>
      <w:r>
        <w:rPr>
          <w:rFonts w:hint="eastAsia" w:ascii="宋体" w:hAnsi="宋体" w:cs="宋体"/>
          <w:color w:val="auto"/>
          <w:highlight w:val="none"/>
          <w:u w:val="none"/>
        </w:rPr>
        <w:t>采购项目需要落实的政府采购相关法律法规及政策：</w:t>
      </w:r>
    </w:p>
    <w:p w14:paraId="636496EB">
      <w:pPr>
        <w:snapToGrid w:val="0"/>
        <w:spacing w:line="360" w:lineRule="auto"/>
        <w:ind w:firstLine="420" w:firstLineChars="200"/>
        <w:textAlignment w:val="baseline"/>
        <w:rPr>
          <w:rFonts w:hint="eastAsia" w:ascii="宋体" w:hAnsi="宋体" w:cs="宋体"/>
          <w:color w:val="auto"/>
          <w:highlight w:val="none"/>
          <w:u w:val="none"/>
        </w:rPr>
      </w:pPr>
      <w:r>
        <w:rPr>
          <w:rFonts w:hint="eastAsia" w:ascii="宋体" w:hAnsi="宋体" w:cs="宋体"/>
          <w:color w:val="auto"/>
          <w:highlight w:val="none"/>
          <w:u w:val="none"/>
        </w:rPr>
        <w:t>1.《中华人民共和国政府采购法》</w:t>
      </w:r>
    </w:p>
    <w:p w14:paraId="32AA35EA">
      <w:pPr>
        <w:snapToGrid w:val="0"/>
        <w:spacing w:line="360" w:lineRule="auto"/>
        <w:ind w:firstLine="420" w:firstLineChars="200"/>
        <w:textAlignment w:val="baseline"/>
        <w:rPr>
          <w:rFonts w:hint="eastAsia" w:ascii="宋体" w:hAnsi="宋体" w:cs="宋体"/>
          <w:color w:val="auto"/>
          <w:highlight w:val="none"/>
          <w:u w:val="none"/>
        </w:rPr>
      </w:pPr>
      <w:r>
        <w:rPr>
          <w:rFonts w:hint="eastAsia" w:ascii="宋体" w:hAnsi="宋体" w:cs="宋体"/>
          <w:color w:val="auto"/>
          <w:highlight w:val="none"/>
          <w:u w:val="none"/>
        </w:rPr>
        <w:t>2.《中华人民共和国政府采购法实施条例》</w:t>
      </w:r>
    </w:p>
    <w:p w14:paraId="2D6D19F6">
      <w:pPr>
        <w:snapToGrid w:val="0"/>
        <w:spacing w:line="360" w:lineRule="auto"/>
        <w:ind w:firstLine="420" w:firstLineChars="200"/>
        <w:textAlignment w:val="baseline"/>
        <w:rPr>
          <w:rFonts w:hint="eastAsia" w:ascii="宋体" w:hAnsi="宋体" w:cs="宋体"/>
          <w:color w:val="auto"/>
          <w:highlight w:val="none"/>
          <w:u w:val="none"/>
        </w:rPr>
      </w:pPr>
      <w:r>
        <w:rPr>
          <w:rFonts w:hint="eastAsia" w:ascii="宋体" w:hAnsi="宋体" w:cs="宋体"/>
          <w:color w:val="auto"/>
          <w:highlight w:val="none"/>
          <w:u w:val="none"/>
        </w:rPr>
        <w:t>3.《政府采购竞争性磋商采购方式管理办法》</w:t>
      </w:r>
    </w:p>
    <w:p w14:paraId="05911404">
      <w:pPr>
        <w:snapToGrid w:val="0"/>
        <w:spacing w:line="360" w:lineRule="auto"/>
        <w:ind w:firstLine="420" w:firstLineChars="200"/>
        <w:textAlignment w:val="baseline"/>
        <w:rPr>
          <w:rFonts w:hint="eastAsia" w:ascii="宋体" w:hAnsi="宋体" w:cs="宋体"/>
          <w:color w:val="auto"/>
          <w:highlight w:val="none"/>
          <w:u w:val="none"/>
        </w:rPr>
      </w:pPr>
      <w:r>
        <w:rPr>
          <w:rFonts w:hint="eastAsia" w:ascii="宋体" w:hAnsi="宋体" w:cs="宋体"/>
          <w:color w:val="auto"/>
          <w:highlight w:val="none"/>
          <w:u w:val="none"/>
        </w:rPr>
        <w:t xml:space="preserve">4.政府采购促进中小企业发展办法的通知——财库〔2020〕46号 </w:t>
      </w:r>
    </w:p>
    <w:p w14:paraId="0BE23513">
      <w:pPr>
        <w:snapToGrid w:val="0"/>
        <w:spacing w:line="360" w:lineRule="auto"/>
        <w:ind w:firstLine="420" w:firstLineChars="200"/>
        <w:textAlignment w:val="baseline"/>
        <w:rPr>
          <w:rFonts w:hint="eastAsia" w:ascii="宋体" w:hAnsi="宋体" w:cs="宋体"/>
          <w:color w:val="auto"/>
          <w:highlight w:val="none"/>
          <w:u w:val="none"/>
        </w:rPr>
      </w:pPr>
      <w:r>
        <w:rPr>
          <w:rFonts w:hint="eastAsia" w:ascii="宋体" w:hAnsi="宋体" w:cs="宋体"/>
          <w:color w:val="auto"/>
          <w:highlight w:val="none"/>
          <w:u w:val="none"/>
        </w:rPr>
        <w:t>4.1若本项目专门面向中小微企业，不再进行价格扣除。</w:t>
      </w:r>
    </w:p>
    <w:p w14:paraId="1117132C">
      <w:pPr>
        <w:snapToGrid w:val="0"/>
        <w:spacing w:line="360" w:lineRule="auto"/>
        <w:ind w:firstLine="420" w:firstLineChars="200"/>
        <w:textAlignment w:val="baseline"/>
        <w:rPr>
          <w:rFonts w:hint="eastAsia" w:ascii="宋体" w:hAnsi="宋体" w:cs="宋体"/>
          <w:color w:val="auto"/>
          <w:highlight w:val="none"/>
          <w:u w:val="none"/>
        </w:rPr>
      </w:pPr>
      <w:r>
        <w:rPr>
          <w:rFonts w:hint="eastAsia" w:ascii="宋体" w:hAnsi="宋体" w:cs="宋体"/>
          <w:color w:val="auto"/>
          <w:highlight w:val="none"/>
          <w:u w:val="none"/>
        </w:rPr>
        <w:t>4.2若本项目不专门面向中小微企业，执行以下政策：</w:t>
      </w:r>
    </w:p>
    <w:p w14:paraId="37B4887A">
      <w:pPr>
        <w:snapToGrid w:val="0"/>
        <w:spacing w:line="360" w:lineRule="auto"/>
        <w:ind w:firstLine="420" w:firstLineChars="200"/>
        <w:textAlignment w:val="baseline"/>
        <w:rPr>
          <w:rFonts w:hint="eastAsia" w:ascii="宋体" w:hAnsi="宋体" w:cs="宋体"/>
          <w:color w:val="auto"/>
          <w:highlight w:val="none"/>
          <w:u w:val="none"/>
        </w:rPr>
      </w:pPr>
      <w:r>
        <w:rPr>
          <w:rFonts w:hint="eastAsia" w:ascii="宋体" w:hAnsi="宋体" w:cs="宋体"/>
          <w:color w:val="auto"/>
          <w:highlight w:val="none"/>
          <w:u w:val="none"/>
        </w:rPr>
        <w:t>4.2.1供应商需按照采购文件的要求提供相应的《小微企业声明函》。</w:t>
      </w:r>
    </w:p>
    <w:p w14:paraId="300DB332">
      <w:pPr>
        <w:snapToGrid w:val="0"/>
        <w:spacing w:line="360" w:lineRule="auto"/>
        <w:ind w:firstLine="420" w:firstLineChars="200"/>
        <w:textAlignment w:val="baseline"/>
        <w:rPr>
          <w:rFonts w:hint="eastAsia" w:ascii="宋体" w:hAnsi="宋体" w:cs="宋体"/>
          <w:color w:val="auto"/>
          <w:highlight w:val="none"/>
          <w:u w:val="none"/>
        </w:rPr>
      </w:pPr>
      <w:r>
        <w:rPr>
          <w:rFonts w:hint="eastAsia" w:ascii="宋体" w:hAnsi="宋体" w:cs="宋体"/>
          <w:color w:val="auto"/>
          <w:highlight w:val="none"/>
          <w:u w:val="none"/>
        </w:rPr>
        <w:t>企业标准请参照《关于印发中小企业划型标准规定的通知》（工信部联企业〔2011〕300号）文件规定自行填写。</w:t>
      </w:r>
    </w:p>
    <w:p w14:paraId="4CF9B676">
      <w:pPr>
        <w:snapToGrid w:val="0"/>
        <w:spacing w:line="360" w:lineRule="auto"/>
        <w:ind w:firstLine="420" w:firstLineChars="200"/>
        <w:textAlignment w:val="baseline"/>
        <w:rPr>
          <w:rFonts w:hint="eastAsia" w:ascii="宋体" w:hAnsi="宋体" w:cs="宋体"/>
          <w:color w:val="auto"/>
          <w:highlight w:val="none"/>
          <w:u w:val="none"/>
        </w:rPr>
      </w:pPr>
      <w:r>
        <w:rPr>
          <w:rFonts w:hint="eastAsia" w:ascii="宋体" w:hAnsi="宋体" w:cs="宋体"/>
          <w:color w:val="auto"/>
          <w:highlight w:val="none"/>
          <w:u w:val="none"/>
        </w:rPr>
        <w:t>4.2.2监狱和戒毒企业</w:t>
      </w:r>
    </w:p>
    <w:p w14:paraId="02BBA23D">
      <w:pPr>
        <w:snapToGrid w:val="0"/>
        <w:spacing w:line="360" w:lineRule="auto"/>
        <w:ind w:firstLine="420" w:firstLineChars="200"/>
        <w:textAlignment w:val="baseline"/>
        <w:rPr>
          <w:rFonts w:hint="eastAsia" w:ascii="宋体" w:hAnsi="宋体" w:cs="宋体"/>
          <w:color w:val="auto"/>
          <w:highlight w:val="none"/>
          <w:u w:val="none"/>
        </w:rPr>
      </w:pPr>
      <w:r>
        <w:rPr>
          <w:rFonts w:hint="eastAsia" w:ascii="宋体" w:hAnsi="宋体" w:cs="宋体"/>
          <w:color w:val="auto"/>
          <w:highlight w:val="none"/>
          <w:u w:val="none"/>
        </w:rPr>
        <w:t>（1）监狱企业参加政府采购活动时，需提供由省级以上监狱管理局、戒毒管理局（含新疆生产建设兵团）出具的属于监狱企业的证明文件。</w:t>
      </w:r>
    </w:p>
    <w:p w14:paraId="15F45A69">
      <w:pPr>
        <w:snapToGrid w:val="0"/>
        <w:spacing w:line="360" w:lineRule="auto"/>
        <w:ind w:firstLine="420" w:firstLineChars="200"/>
        <w:textAlignment w:val="baseline"/>
        <w:rPr>
          <w:rFonts w:hint="eastAsia" w:ascii="宋体" w:hAnsi="宋体" w:cs="宋体"/>
          <w:color w:val="auto"/>
          <w:highlight w:val="none"/>
          <w:u w:val="none"/>
        </w:rPr>
      </w:pPr>
      <w:r>
        <w:rPr>
          <w:rFonts w:hint="eastAsia" w:ascii="宋体" w:hAnsi="宋体" w:cs="宋体"/>
          <w:color w:val="auto"/>
          <w:highlight w:val="none"/>
          <w:u w:val="none"/>
        </w:rPr>
        <w:t>（2）监狱企业标准请参照《关于政府采购支持监狱企业发展有关问题的通知》（财库〔2014〕68号）。</w:t>
      </w:r>
    </w:p>
    <w:p w14:paraId="397E385E">
      <w:pPr>
        <w:snapToGrid w:val="0"/>
        <w:spacing w:line="360" w:lineRule="auto"/>
        <w:ind w:firstLine="420" w:firstLineChars="200"/>
        <w:textAlignment w:val="baseline"/>
        <w:rPr>
          <w:rFonts w:hint="eastAsia" w:ascii="宋体" w:hAnsi="宋体" w:cs="宋体"/>
          <w:color w:val="auto"/>
          <w:highlight w:val="none"/>
          <w:u w:val="none"/>
        </w:rPr>
      </w:pPr>
      <w:r>
        <w:rPr>
          <w:rFonts w:hint="eastAsia" w:ascii="宋体" w:hAnsi="宋体" w:cs="宋体"/>
          <w:color w:val="auto"/>
          <w:highlight w:val="none"/>
          <w:u w:val="none"/>
        </w:rPr>
        <w:t>4.2.3残疾人福利单位</w:t>
      </w:r>
    </w:p>
    <w:p w14:paraId="525E837B">
      <w:pPr>
        <w:snapToGrid w:val="0"/>
        <w:spacing w:line="360" w:lineRule="auto"/>
        <w:ind w:firstLine="420" w:firstLineChars="200"/>
        <w:textAlignment w:val="baseline"/>
        <w:rPr>
          <w:rFonts w:hint="eastAsia" w:ascii="宋体" w:hAnsi="宋体" w:cs="宋体"/>
          <w:color w:val="auto"/>
          <w:highlight w:val="none"/>
          <w:u w:val="none"/>
        </w:rPr>
      </w:pPr>
      <w:r>
        <w:rPr>
          <w:rFonts w:hint="eastAsia" w:ascii="宋体" w:hAnsi="宋体" w:cs="宋体"/>
          <w:color w:val="auto"/>
          <w:highlight w:val="none"/>
          <w:u w:val="none"/>
        </w:rPr>
        <w:t>（1）残疾人福利单位需按照采购文件的要求提供《残疾人福利性单位声明函》。</w:t>
      </w:r>
    </w:p>
    <w:p w14:paraId="7844BD59">
      <w:pPr>
        <w:snapToGrid w:val="0"/>
        <w:spacing w:line="360" w:lineRule="auto"/>
        <w:ind w:firstLine="420" w:firstLineChars="200"/>
        <w:textAlignment w:val="baseline"/>
        <w:rPr>
          <w:rFonts w:hint="eastAsia" w:ascii="宋体" w:hAnsi="宋体" w:cs="宋体"/>
          <w:color w:val="auto"/>
          <w:highlight w:val="none"/>
          <w:u w:val="none"/>
        </w:rPr>
      </w:pPr>
      <w:r>
        <w:rPr>
          <w:rFonts w:hint="eastAsia" w:ascii="宋体" w:hAnsi="宋体" w:cs="宋体"/>
          <w:color w:val="auto"/>
          <w:highlight w:val="none"/>
          <w:u w:val="none"/>
        </w:rPr>
        <w:t>（2）残疾人福利单位标准请参照《关于促进残疾人就业政府采购政策的通知》（财库〔2017〕141号）。</w:t>
      </w:r>
    </w:p>
    <w:p w14:paraId="2227C1F5">
      <w:pPr>
        <w:snapToGrid w:val="0"/>
        <w:spacing w:line="360" w:lineRule="auto"/>
        <w:ind w:firstLine="420" w:firstLineChars="200"/>
        <w:textAlignment w:val="baseline"/>
        <w:rPr>
          <w:rFonts w:hint="eastAsia" w:ascii="宋体" w:hAnsi="宋体" w:cs="宋体"/>
          <w:color w:val="auto"/>
          <w:highlight w:val="none"/>
          <w:u w:val="none"/>
        </w:rPr>
      </w:pPr>
      <w:r>
        <w:rPr>
          <w:rFonts w:hint="eastAsia" w:ascii="宋体" w:hAnsi="宋体" w:cs="宋体"/>
          <w:color w:val="auto"/>
          <w:highlight w:val="none"/>
          <w:u w:val="none"/>
        </w:rPr>
        <w:t>5.残疾人福利单位、监狱企业属于小型、微型企业的，不重复享受政策。</w:t>
      </w:r>
    </w:p>
    <w:p w14:paraId="001E7919">
      <w:pPr>
        <w:snapToGrid w:val="0"/>
        <w:spacing w:line="360" w:lineRule="auto"/>
        <w:ind w:firstLine="420" w:firstLineChars="200"/>
        <w:textAlignment w:val="baseline"/>
        <w:rPr>
          <w:rFonts w:hint="eastAsia" w:ascii="宋体" w:hAnsi="宋体" w:cs="宋体"/>
          <w:color w:val="auto"/>
          <w:highlight w:val="none"/>
          <w:u w:val="none"/>
        </w:rPr>
      </w:pPr>
      <w:r>
        <w:rPr>
          <w:rFonts w:hint="eastAsia" w:ascii="宋体" w:hAnsi="宋体" w:cs="宋体"/>
          <w:color w:val="auto"/>
          <w:highlight w:val="none"/>
          <w:u w:val="none"/>
        </w:rPr>
        <w:t>6.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p>
    <w:p w14:paraId="064CE443">
      <w:pPr>
        <w:snapToGrid w:val="0"/>
        <w:spacing w:line="360" w:lineRule="auto"/>
        <w:ind w:firstLine="420" w:firstLineChars="200"/>
        <w:textAlignment w:val="baseline"/>
        <w:rPr>
          <w:rFonts w:hint="eastAsia" w:ascii="宋体" w:hAnsi="宋体" w:cs="宋体"/>
          <w:color w:val="auto"/>
          <w:highlight w:val="none"/>
          <w:u w:val="none"/>
        </w:rPr>
      </w:pPr>
      <w:r>
        <w:rPr>
          <w:rFonts w:hint="eastAsia" w:ascii="宋体" w:hAnsi="宋体" w:cs="宋体"/>
          <w:color w:val="auto"/>
          <w:highlight w:val="none"/>
          <w:u w:val="none"/>
        </w:rPr>
        <w:t>联合体各方均为小型、微型企业（残疾人福利单位、监狱企业）的，联合体享受10%（备注：与小微型企业价格扣除数值保持一致。确定后该备注删除）价格扣除，用扣除后的价格参与评审。</w:t>
      </w:r>
    </w:p>
    <w:p w14:paraId="6388A10F">
      <w:pPr>
        <w:snapToGrid w:val="0"/>
        <w:spacing w:line="360" w:lineRule="auto"/>
        <w:ind w:firstLine="420" w:firstLineChars="200"/>
        <w:textAlignment w:val="baseline"/>
        <w:rPr>
          <w:rFonts w:hint="eastAsia" w:ascii="宋体" w:hAnsi="宋体" w:cs="宋体"/>
          <w:color w:val="auto"/>
          <w:highlight w:val="none"/>
          <w:u w:val="none"/>
        </w:rPr>
      </w:pPr>
      <w:r>
        <w:rPr>
          <w:rFonts w:hint="eastAsia" w:ascii="宋体" w:hAnsi="宋体" w:cs="宋体"/>
          <w:color w:val="auto"/>
          <w:highlight w:val="none"/>
          <w:u w:val="none"/>
        </w:rPr>
        <w:t>7.《江苏省财政厅关于进一步加大政府采购支持中小企业力度的通知》苏财购〔2022〕45号</w:t>
      </w:r>
    </w:p>
    <w:p w14:paraId="159DCA75">
      <w:pPr>
        <w:snapToGrid w:val="0"/>
        <w:spacing w:line="360" w:lineRule="auto"/>
        <w:ind w:firstLine="420" w:firstLineChars="200"/>
        <w:textAlignment w:val="baseline"/>
        <w:rPr>
          <w:rFonts w:hint="eastAsia" w:ascii="宋体" w:hAnsi="宋体" w:cs="宋体"/>
          <w:color w:val="auto"/>
          <w:highlight w:val="none"/>
          <w:u w:val="none"/>
        </w:rPr>
      </w:pPr>
      <w:r>
        <w:rPr>
          <w:rFonts w:hint="eastAsia" w:ascii="宋体" w:hAnsi="宋体" w:cs="宋体"/>
          <w:color w:val="auto"/>
          <w:highlight w:val="none"/>
          <w:u w:val="none"/>
        </w:rPr>
        <w:t>8.根据《江苏省财政厅关于加强政府绿色采购有关事项的通知》（苏财购〔2023〕65号）文件精神，严格落实政府绿色采购的各项要求。</w:t>
      </w:r>
    </w:p>
    <w:p w14:paraId="79764970">
      <w:pPr>
        <w:snapToGrid w:val="0"/>
        <w:spacing w:line="360" w:lineRule="auto"/>
        <w:ind w:firstLine="420" w:firstLineChars="200"/>
        <w:textAlignment w:val="baseline"/>
        <w:rPr>
          <w:rFonts w:hint="eastAsia" w:ascii="宋体" w:hAnsi="宋体" w:cs="宋体"/>
          <w:color w:val="auto"/>
          <w:highlight w:val="none"/>
          <w:u w:val="none"/>
        </w:rPr>
      </w:pPr>
      <w:r>
        <w:rPr>
          <w:rFonts w:hint="eastAsia" w:ascii="宋体" w:hAnsi="宋体" w:cs="宋体"/>
          <w:color w:val="auto"/>
          <w:highlight w:val="none"/>
          <w:u w:val="none"/>
        </w:rPr>
        <w:t>9.节能环保</w:t>
      </w:r>
    </w:p>
    <w:p w14:paraId="4CC1971A">
      <w:pPr>
        <w:snapToGrid w:val="0"/>
        <w:spacing w:line="360" w:lineRule="auto"/>
        <w:ind w:firstLine="420" w:firstLineChars="200"/>
        <w:textAlignment w:val="baseline"/>
        <w:rPr>
          <w:rFonts w:hint="eastAsia" w:ascii="宋体" w:hAnsi="宋体" w:cs="宋体"/>
          <w:color w:val="auto"/>
          <w:highlight w:val="none"/>
          <w:u w:val="none"/>
        </w:rPr>
      </w:pPr>
      <w:r>
        <w:rPr>
          <w:rFonts w:hint="eastAsia" w:ascii="宋体" w:hAnsi="宋体" w:cs="宋体"/>
          <w:color w:val="auto"/>
          <w:highlight w:val="none"/>
          <w:u w:val="none"/>
        </w:rPr>
        <w:t>本项目中如有涉及节能环保产品要求的，应当按照《财政部、发展改革委、生态环境部、市场监管总局关于调整优化节能产品、环境标志产品政府采购执行机制的通知》（财库〔2019〕9号）文件执行。</w:t>
      </w:r>
    </w:p>
    <w:p w14:paraId="6D74AC1E">
      <w:pPr>
        <w:snapToGrid w:val="0"/>
        <w:spacing w:line="360" w:lineRule="auto"/>
        <w:ind w:firstLine="420" w:firstLineChars="200"/>
        <w:textAlignment w:val="baseline"/>
        <w:rPr>
          <w:rFonts w:hint="eastAsia" w:ascii="宋体" w:hAnsi="宋体" w:cs="宋体"/>
          <w:color w:val="auto"/>
          <w:highlight w:val="none"/>
          <w:u w:val="none"/>
        </w:rPr>
      </w:pPr>
      <w:r>
        <w:rPr>
          <w:rFonts w:hint="eastAsia" w:ascii="宋体" w:hAnsi="宋体" w:cs="宋体"/>
          <w:color w:val="auto"/>
          <w:highlight w:val="none"/>
          <w:u w:val="none"/>
        </w:rPr>
        <w:t>10.需求标准</w:t>
      </w:r>
    </w:p>
    <w:p w14:paraId="2E495131">
      <w:pPr>
        <w:snapToGrid w:val="0"/>
        <w:spacing w:line="360" w:lineRule="auto"/>
        <w:ind w:firstLine="420" w:firstLineChars="200"/>
        <w:textAlignment w:val="baseline"/>
        <w:rPr>
          <w:rFonts w:hint="eastAsia" w:ascii="宋体" w:hAnsi="宋体" w:cs="宋体"/>
          <w:color w:val="auto"/>
          <w:highlight w:val="none"/>
          <w:u w:val="none"/>
        </w:rPr>
      </w:pPr>
      <w:r>
        <w:rPr>
          <w:rFonts w:hint="eastAsia" w:ascii="宋体" w:hAnsi="宋体" w:cs="宋体"/>
          <w:color w:val="auto"/>
          <w:highlight w:val="none"/>
          <w:u w:val="none"/>
        </w:rPr>
        <w:t>本项目中如有涉及商品包装、快递包装的，应当按照《关于印发〈商品包装政府采购需求标准（试行）〉、〈快递包装政府采购需求标准（试行）〉的通知》（财办库〔2020〕123号）文件执行。</w:t>
      </w:r>
    </w:p>
    <w:p w14:paraId="695FC08A">
      <w:pPr>
        <w:snapToGrid w:val="0"/>
        <w:spacing w:line="360" w:lineRule="auto"/>
        <w:ind w:firstLine="420" w:firstLineChars="200"/>
        <w:textAlignment w:val="baseline"/>
        <w:rPr>
          <w:rFonts w:hint="eastAsia" w:ascii="宋体" w:hAnsi="宋体" w:cs="宋体"/>
          <w:color w:val="auto"/>
          <w:highlight w:val="none"/>
          <w:u w:val="none"/>
        </w:rPr>
      </w:pPr>
      <w:r>
        <w:rPr>
          <w:rFonts w:hint="eastAsia" w:ascii="宋体" w:hAnsi="宋体" w:cs="宋体"/>
          <w:color w:val="auto"/>
          <w:highlight w:val="none"/>
          <w:u w:val="none"/>
        </w:rPr>
        <w:t>本项目中如有涉及采购数据中心相关设备、运维服务的，应当按照《关于印发〈绿色数据中心政府采购需求标准（试行）〉的通知》（财办库〔2023〕7号）文件执行。</w:t>
      </w:r>
    </w:p>
    <w:p w14:paraId="69D06724">
      <w:pPr>
        <w:snapToGrid w:val="0"/>
        <w:spacing w:line="360" w:lineRule="auto"/>
        <w:ind w:firstLine="420" w:firstLineChars="200"/>
        <w:textAlignment w:val="baseline"/>
        <w:rPr>
          <w:rFonts w:hint="eastAsia" w:ascii="宋体" w:hAnsi="宋体" w:cs="宋体"/>
          <w:color w:val="auto"/>
          <w:highlight w:val="none"/>
          <w:u w:val="none"/>
        </w:rPr>
      </w:pPr>
      <w:r>
        <w:rPr>
          <w:rFonts w:hint="eastAsia" w:ascii="宋体" w:hAnsi="宋体" w:cs="宋体"/>
          <w:color w:val="auto"/>
          <w:highlight w:val="none"/>
          <w:u w:val="none"/>
        </w:rPr>
        <w:t>本项目中如有涉及数据库、操作系统、通用服务器、工作站、一体式计算机、便携式计算机、台式计算机等七种软硬件的，应当按照财政部、工信部共同发布的数据库、操作系统、通用服务器、工作站、一体式计算机、便携式计算机、台式计算机等七种软硬件需求标准执行。</w:t>
      </w:r>
    </w:p>
    <w:p w14:paraId="66514C9E">
      <w:pPr>
        <w:snapToGrid w:val="0"/>
        <w:spacing w:line="360" w:lineRule="auto"/>
        <w:ind w:firstLine="420" w:firstLineChars="200"/>
        <w:textAlignment w:val="baseline"/>
        <w:rPr>
          <w:rFonts w:hint="eastAsia" w:ascii="宋体" w:hAnsi="宋体" w:cs="宋体"/>
          <w:color w:val="auto"/>
          <w:highlight w:val="none"/>
          <w:u w:val="none"/>
        </w:rPr>
      </w:pPr>
      <w:r>
        <w:rPr>
          <w:rFonts w:hint="eastAsia" w:ascii="宋体" w:hAnsi="宋体" w:cs="宋体"/>
          <w:color w:val="auto"/>
          <w:highlight w:val="none"/>
          <w:u w:val="none"/>
        </w:rPr>
        <w:t>11.</w:t>
      </w:r>
      <w:r>
        <w:rPr>
          <w:rFonts w:hint="eastAsia" w:ascii="宋体" w:hAnsi="宋体" w:cs="宋体"/>
          <w:color w:val="auto"/>
          <w:szCs w:val="21"/>
          <w:highlight w:val="none"/>
          <w:u w:val="none"/>
        </w:rPr>
        <w:t>《关于推动解决政府采购异常低价问题相关工作的通知》（苏财购〔2025〕62号）。</w:t>
      </w:r>
    </w:p>
    <w:p w14:paraId="0A49C57B">
      <w:pPr>
        <w:snapToGrid w:val="0"/>
        <w:spacing w:line="360" w:lineRule="auto"/>
        <w:ind w:firstLine="420" w:firstLineChars="200"/>
        <w:textAlignment w:val="baseline"/>
        <w:rPr>
          <w:rFonts w:hint="eastAsia" w:ascii="宋体" w:hAnsi="宋体" w:cs="宋体"/>
          <w:color w:val="auto"/>
          <w:highlight w:val="none"/>
          <w:u w:val="none"/>
        </w:rPr>
        <w:sectPr>
          <w:footerReference r:id="rId7" w:type="default"/>
          <w:pgSz w:w="11906" w:h="16838"/>
          <w:pgMar w:top="1440" w:right="1080" w:bottom="1440" w:left="1080" w:header="851" w:footer="992" w:gutter="0"/>
          <w:pgBorders>
            <w:top w:val="none" w:sz="0" w:space="0"/>
            <w:left w:val="none" w:sz="0" w:space="0"/>
            <w:bottom w:val="none" w:sz="0" w:space="0"/>
            <w:right w:val="none" w:sz="0" w:space="0"/>
          </w:pgBorders>
          <w:cols w:space="720" w:num="1"/>
          <w:docGrid w:type="lines" w:linePitch="312" w:charSpace="0"/>
        </w:sectPr>
      </w:pPr>
      <w:r>
        <w:rPr>
          <w:rFonts w:hint="eastAsia" w:ascii="宋体" w:hAnsi="宋体" w:cs="宋体"/>
          <w:color w:val="auto"/>
          <w:highlight w:val="none"/>
          <w:u w:val="none"/>
        </w:rPr>
        <w:t>12.</w:t>
      </w:r>
      <w:r>
        <w:rPr>
          <w:rFonts w:ascii="宋体" w:hAnsi="宋体" w:cs="宋体"/>
          <w:color w:val="auto"/>
          <w:highlight w:val="none"/>
          <w:u w:val="none"/>
        </w:rPr>
        <w:t>成交供应商</w:t>
      </w:r>
      <w:r>
        <w:rPr>
          <w:rFonts w:hint="eastAsia" w:ascii="宋体" w:hAnsi="宋体" w:cs="宋体"/>
          <w:color w:val="auto"/>
          <w:highlight w:val="none"/>
          <w:u w:val="none"/>
        </w:rPr>
        <w:t>可凭政府采购合同办理融资贷款，详情请见泰州市政府采购网“政采贷”专栏。</w:t>
      </w:r>
    </w:p>
    <w:p w14:paraId="78B79E6D">
      <w:pPr>
        <w:pStyle w:val="3"/>
        <w:numPr>
          <w:ilvl w:val="0"/>
          <w:numId w:val="3"/>
        </w:numPr>
        <w:spacing w:line="360" w:lineRule="auto"/>
        <w:ind w:firstLine="422" w:firstLineChars="200"/>
        <w:jc w:val="center"/>
        <w:rPr>
          <w:rFonts w:hint="eastAsia" w:ascii="宋体" w:hAnsi="宋体" w:eastAsia="宋体"/>
          <w:b/>
          <w:sz w:val="21"/>
          <w:szCs w:val="21"/>
          <w:highlight w:val="none"/>
        </w:rPr>
      </w:pPr>
      <w:r>
        <w:rPr>
          <w:rFonts w:hint="eastAsia" w:ascii="宋体" w:hAnsi="宋体" w:eastAsia="宋体"/>
          <w:b/>
          <w:sz w:val="21"/>
          <w:szCs w:val="21"/>
          <w:highlight w:val="none"/>
        </w:rPr>
        <w:t xml:space="preserve"> 合同条款及格式</w:t>
      </w:r>
      <w:bookmarkEnd w:id="87"/>
    </w:p>
    <w:p w14:paraId="3745A27A">
      <w:pPr>
        <w:pStyle w:val="31"/>
        <w:tabs>
          <w:tab w:val="left" w:pos="1050"/>
          <w:tab w:val="right" w:leader="dot" w:pos="9402"/>
        </w:tabs>
        <w:spacing w:line="360" w:lineRule="auto"/>
        <w:ind w:left="0"/>
        <w:jc w:val="center"/>
        <w:outlineLvl w:val="0"/>
        <w:rPr>
          <w:rFonts w:hint="eastAsia" w:ascii="宋体" w:hAnsi="宋体" w:cs="宋体"/>
          <w:b/>
          <w:iCs/>
          <w:szCs w:val="21"/>
          <w:highlight w:val="none"/>
        </w:rPr>
      </w:pPr>
      <w:r>
        <w:rPr>
          <w:rFonts w:hint="eastAsia" w:ascii="宋体" w:hAnsi="宋体" w:cs="宋体"/>
          <w:b/>
          <w:iCs/>
          <w:szCs w:val="21"/>
          <w:highlight w:val="none"/>
        </w:rPr>
        <w:t xml:space="preserve"> 合同授予</w:t>
      </w:r>
    </w:p>
    <w:p w14:paraId="0576E4EF">
      <w:pPr>
        <w:spacing w:line="360" w:lineRule="auto"/>
        <w:ind w:firstLine="480"/>
        <w:rPr>
          <w:rFonts w:hint="eastAsia" w:ascii="宋体" w:hAnsi="宋体" w:cs="宋体"/>
          <w:szCs w:val="21"/>
          <w:highlight w:val="none"/>
        </w:rPr>
      </w:pPr>
      <w:r>
        <w:rPr>
          <w:rFonts w:hint="eastAsia" w:ascii="宋体" w:hAnsi="宋体" w:cs="宋体"/>
          <w:szCs w:val="21"/>
          <w:highlight w:val="none"/>
        </w:rPr>
        <w:t>一、成交供应商在《成交通知书》</w:t>
      </w:r>
      <w:r>
        <w:rPr>
          <w:rFonts w:hint="eastAsia" w:ascii="宋体" w:hAnsi="宋体" w:cs="宋体"/>
          <w:bCs/>
          <w:szCs w:val="21"/>
          <w:highlight w:val="none"/>
        </w:rPr>
        <w:t>发出后30日</w:t>
      </w:r>
      <w:r>
        <w:rPr>
          <w:rFonts w:hint="eastAsia" w:ascii="宋体" w:hAnsi="宋体" w:cs="宋体"/>
          <w:szCs w:val="21"/>
          <w:highlight w:val="none"/>
        </w:rPr>
        <w:t>内须按照磋商文件确定的事项签订采购合同。合同一式</w:t>
      </w:r>
      <w:r>
        <w:rPr>
          <w:rFonts w:hint="eastAsia" w:ascii="宋体" w:hAnsi="宋体" w:cs="宋体"/>
          <w:szCs w:val="21"/>
          <w:highlight w:val="none"/>
          <w:lang w:val="en-US" w:eastAsia="zh-CN"/>
        </w:rPr>
        <w:t>肆</w:t>
      </w:r>
      <w:r>
        <w:rPr>
          <w:rFonts w:hint="eastAsia" w:ascii="宋体" w:hAnsi="宋体" w:cs="宋体"/>
          <w:szCs w:val="21"/>
          <w:highlight w:val="none"/>
        </w:rPr>
        <w:t>份，采购单位</w:t>
      </w:r>
      <w:r>
        <w:rPr>
          <w:rFonts w:hint="eastAsia" w:ascii="宋体" w:hAnsi="宋体" w:cs="宋体"/>
          <w:szCs w:val="21"/>
          <w:highlight w:val="none"/>
          <w:lang w:val="en-US" w:eastAsia="zh-CN"/>
        </w:rPr>
        <w:t>两</w:t>
      </w:r>
      <w:r>
        <w:rPr>
          <w:rFonts w:hint="eastAsia" w:ascii="宋体" w:hAnsi="宋体" w:cs="宋体"/>
          <w:szCs w:val="21"/>
          <w:highlight w:val="none"/>
        </w:rPr>
        <w:t xml:space="preserve">份、供应商两份。所签合同不得对磋商文件作实质性修改。采购单位不得向成交供应商提出不合理的要求作为签订合同的条件，不得与成交供应商私下订立背离磋商文件实质性内容的协议。 </w:t>
      </w:r>
    </w:p>
    <w:p w14:paraId="3D396AA8">
      <w:pPr>
        <w:spacing w:line="360" w:lineRule="auto"/>
        <w:ind w:firstLine="480"/>
        <w:rPr>
          <w:rFonts w:hint="eastAsia" w:ascii="宋体" w:hAnsi="宋体" w:cs="宋体"/>
          <w:szCs w:val="21"/>
          <w:highlight w:val="none"/>
        </w:rPr>
      </w:pPr>
      <w:r>
        <w:rPr>
          <w:rFonts w:hint="eastAsia" w:ascii="宋体" w:hAnsi="宋体" w:cs="宋体"/>
          <w:szCs w:val="21"/>
          <w:highlight w:val="none"/>
        </w:rPr>
        <w:t>二、采购单位按合同约定积极配合成交供应商履约，成交供应商履约到位后，请以书面形式向采购单位提出验收申请，采购单位接到申请后原则上在5个工作日内及时组织相关专业技术人员，必要时邀请质检等部门共同参与验收，并出具验收报告，在法定工作日内支付相应款项。</w:t>
      </w:r>
    </w:p>
    <w:p w14:paraId="5EBD93F5">
      <w:pPr>
        <w:spacing w:line="360" w:lineRule="auto"/>
        <w:ind w:firstLine="480"/>
        <w:rPr>
          <w:rFonts w:hint="eastAsia" w:ascii="宋体" w:hAnsi="宋体" w:cs="宋体"/>
          <w:szCs w:val="21"/>
          <w:highlight w:val="none"/>
        </w:rPr>
      </w:pPr>
      <w:r>
        <w:rPr>
          <w:rFonts w:hint="eastAsia" w:ascii="宋体" w:hAnsi="宋体" w:cs="宋体"/>
          <w:szCs w:val="21"/>
          <w:highlight w:val="none"/>
        </w:rPr>
        <w:t>三、采购单位故意推迟项目验收时间的，与成交供应商串通或要求成交供应商通过减少货物数量或降低服务标准的，在履行合同中采取更改配置、调换物品等手段的，要求成交供应商出具虚假发票或任意更改销售发票的，谋取不正当利益的，承担相应的法律责任。</w:t>
      </w:r>
    </w:p>
    <w:p w14:paraId="29E2118C">
      <w:pPr>
        <w:spacing w:line="360" w:lineRule="auto"/>
        <w:ind w:firstLine="480"/>
        <w:rPr>
          <w:rFonts w:hint="eastAsia" w:ascii="宋体" w:hAnsi="宋体" w:cs="宋体"/>
          <w:szCs w:val="21"/>
          <w:highlight w:val="none"/>
        </w:rPr>
      </w:pPr>
      <w:r>
        <w:rPr>
          <w:rFonts w:hint="eastAsia" w:ascii="宋体" w:hAnsi="宋体" w:cs="宋体"/>
          <w:szCs w:val="21"/>
          <w:highlight w:val="none"/>
        </w:rPr>
        <w:t>四、成交供应商出现违约情形，应当及时纠正或补偿；造成损失的，按照合同约定追究违约责任；发现有假冒、伪劣、走私产品、商业贿赂等违法情形的，应由采购单位移交工商、质监、公安等行政执法部门依法查处。</w:t>
      </w:r>
    </w:p>
    <w:p w14:paraId="60C7DEC8">
      <w:pPr>
        <w:spacing w:line="360" w:lineRule="auto"/>
        <w:ind w:firstLine="480"/>
        <w:rPr>
          <w:rFonts w:hint="eastAsia" w:ascii="宋体" w:hAnsi="宋体" w:cs="宋体"/>
          <w:szCs w:val="21"/>
          <w:highlight w:val="none"/>
        </w:rPr>
      </w:pPr>
      <w:r>
        <w:rPr>
          <w:rFonts w:hint="eastAsia" w:ascii="宋体" w:hAnsi="宋体" w:cs="宋体"/>
          <w:szCs w:val="21"/>
          <w:highlight w:val="none"/>
        </w:rPr>
        <w:t>五、按政府采购合同约定支付的合同款，实行财政国库直接支付。</w:t>
      </w:r>
    </w:p>
    <w:p w14:paraId="6EBA7DF6">
      <w:pPr>
        <w:spacing w:line="360" w:lineRule="auto"/>
        <w:ind w:firstLine="480"/>
        <w:rPr>
          <w:rFonts w:hint="eastAsia" w:ascii="宋体" w:hAnsi="宋体" w:cs="宋体"/>
          <w:szCs w:val="21"/>
          <w:highlight w:val="none"/>
        </w:rPr>
      </w:pPr>
      <w:r>
        <w:rPr>
          <w:rFonts w:hint="eastAsia" w:ascii="宋体" w:hAnsi="宋体" w:cs="宋体"/>
          <w:szCs w:val="21"/>
          <w:highlight w:val="none"/>
        </w:rPr>
        <w:t>六、不响应付款方式的，视同响应文件无效，按无效响应文件处理。</w:t>
      </w:r>
    </w:p>
    <w:p w14:paraId="037F485F">
      <w:pPr>
        <w:spacing w:line="360" w:lineRule="auto"/>
        <w:ind w:firstLine="480"/>
        <w:rPr>
          <w:rFonts w:hint="eastAsia" w:ascii="宋体" w:hAnsi="宋体" w:cs="宋体"/>
          <w:szCs w:val="21"/>
          <w:highlight w:val="none"/>
        </w:rPr>
      </w:pPr>
      <w:r>
        <w:rPr>
          <w:rFonts w:hint="eastAsia" w:ascii="宋体" w:hAnsi="宋体" w:cs="宋体"/>
          <w:szCs w:val="21"/>
          <w:highlight w:val="none"/>
        </w:rPr>
        <w:t>七、付款方式详见磋商文件第四章。</w:t>
      </w:r>
    </w:p>
    <w:p w14:paraId="45081DAF">
      <w:pPr>
        <w:spacing w:line="360" w:lineRule="auto"/>
        <w:ind w:firstLine="480"/>
        <w:rPr>
          <w:rFonts w:hint="eastAsia" w:ascii="宋体" w:hAnsi="宋体" w:cs="宋体"/>
          <w:szCs w:val="21"/>
          <w:highlight w:val="none"/>
        </w:rPr>
      </w:pPr>
      <w:r>
        <w:rPr>
          <w:rFonts w:hint="eastAsia" w:ascii="宋体" w:hAnsi="宋体" w:cs="宋体"/>
          <w:szCs w:val="21"/>
          <w:highlight w:val="none"/>
        </w:rPr>
        <w:t>八、项目款的支付不计息。</w:t>
      </w:r>
    </w:p>
    <w:p w14:paraId="63678CC0">
      <w:pPr>
        <w:spacing w:line="360" w:lineRule="auto"/>
        <w:rPr>
          <w:highlight w:val="none"/>
        </w:rPr>
      </w:pPr>
    </w:p>
    <w:p w14:paraId="168F9B36">
      <w:pPr>
        <w:spacing w:line="360" w:lineRule="auto"/>
        <w:rPr>
          <w:highlight w:val="none"/>
        </w:rPr>
      </w:pPr>
    </w:p>
    <w:p w14:paraId="1E422AF4">
      <w:pPr>
        <w:pStyle w:val="32"/>
        <w:spacing w:before="0" w:after="0" w:line="360" w:lineRule="auto"/>
        <w:jc w:val="center"/>
        <w:rPr>
          <w:rFonts w:hint="eastAsia" w:ascii="宋体" w:hAnsi="宋体" w:cs="宋体"/>
          <w:sz w:val="21"/>
          <w:szCs w:val="21"/>
          <w:highlight w:val="none"/>
        </w:rPr>
        <w:sectPr>
          <w:footerReference r:id="rId8" w:type="default"/>
          <w:pgSz w:w="11906" w:h="16838"/>
          <w:pgMar w:top="1440" w:right="1080" w:bottom="1440" w:left="1080" w:header="851" w:footer="992" w:gutter="0"/>
          <w:pgBorders>
            <w:top w:val="none" w:sz="0" w:space="0"/>
            <w:left w:val="none" w:sz="0" w:space="0"/>
            <w:bottom w:val="none" w:sz="0" w:space="0"/>
            <w:right w:val="none" w:sz="0" w:space="0"/>
          </w:pgBorders>
          <w:cols w:space="720" w:num="1"/>
          <w:docGrid w:type="lines" w:linePitch="312" w:charSpace="0"/>
        </w:sectPr>
      </w:pPr>
      <w:bookmarkStart w:id="104" w:name="_Toc87985472"/>
      <w:bookmarkStart w:id="105" w:name="_Toc498006744"/>
    </w:p>
    <w:p w14:paraId="6B769F4A">
      <w:pPr>
        <w:pStyle w:val="47"/>
        <w:spacing w:line="360" w:lineRule="auto"/>
        <w:ind w:firstLine="210"/>
        <w:jc w:val="center"/>
        <w:rPr>
          <w:rFonts w:hint="eastAsia" w:ascii="黑体" w:hAnsi="宋体" w:eastAsia="黑体"/>
          <w:b/>
          <w:sz w:val="32"/>
          <w:szCs w:val="32"/>
          <w:highlight w:val="none"/>
        </w:rPr>
      </w:pPr>
      <w:bookmarkStart w:id="106" w:name="_Toc86268902"/>
      <w:r>
        <w:rPr>
          <w:rFonts w:hint="eastAsia" w:ascii="黑体" w:hAnsi="宋体" w:eastAsia="黑体"/>
          <w:b/>
          <w:sz w:val="32"/>
          <w:szCs w:val="32"/>
          <w:highlight w:val="none"/>
          <w:lang w:eastAsia="zh-CN"/>
        </w:rPr>
        <w:t>2026年泰州市快速路隧道、桥梁定期检查项目</w:t>
      </w:r>
      <w:r>
        <w:rPr>
          <w:rFonts w:hint="eastAsia" w:ascii="黑体" w:hAnsi="宋体" w:eastAsia="黑体"/>
          <w:b/>
          <w:sz w:val="32"/>
          <w:szCs w:val="32"/>
          <w:highlight w:val="none"/>
        </w:rPr>
        <w:t>合同</w:t>
      </w:r>
    </w:p>
    <w:p w14:paraId="40C9D31E">
      <w:pPr>
        <w:pStyle w:val="48"/>
        <w:spacing w:line="360" w:lineRule="auto"/>
        <w:jc w:val="center"/>
        <w:rPr>
          <w:rFonts w:hint="eastAsia" w:ascii="黑体" w:hAnsi="宋体" w:eastAsia="黑体"/>
          <w:b/>
          <w:sz w:val="32"/>
          <w:szCs w:val="32"/>
          <w:highlight w:val="none"/>
          <w:lang w:eastAsia="zh-CN"/>
        </w:rPr>
      </w:pPr>
      <w:r>
        <w:rPr>
          <w:rFonts w:hint="eastAsia" w:ascii="黑体" w:hAnsi="宋体" w:eastAsia="黑体"/>
          <w:b/>
          <w:sz w:val="32"/>
          <w:szCs w:val="32"/>
          <w:highlight w:val="none"/>
          <w:lang w:eastAsia="zh-CN"/>
        </w:rPr>
        <w:t>（项目编号：    ）</w:t>
      </w:r>
    </w:p>
    <w:p w14:paraId="19B4FBD8">
      <w:pPr>
        <w:tabs>
          <w:tab w:val="left" w:pos="9360"/>
        </w:tabs>
        <w:wordWrap w:val="0"/>
        <w:topLinePunct/>
        <w:spacing w:line="360" w:lineRule="auto"/>
        <w:ind w:firstLine="471"/>
        <w:rPr>
          <w:rFonts w:hint="eastAsia" w:ascii="宋体" w:hAnsi="宋体" w:cs="宋体"/>
          <w:szCs w:val="21"/>
          <w:highlight w:val="none"/>
        </w:rPr>
      </w:pPr>
      <w:r>
        <w:rPr>
          <w:rFonts w:hint="eastAsia" w:ascii="宋体" w:hAnsi="宋体"/>
          <w:szCs w:val="21"/>
          <w:highlight w:val="none"/>
        </w:rPr>
        <w:t>甲方（采购人</w:t>
      </w:r>
      <w:r>
        <w:rPr>
          <w:rFonts w:hint="eastAsia" w:ascii="宋体" w:hAnsi="宋体" w:cs="宋体"/>
          <w:szCs w:val="21"/>
          <w:highlight w:val="none"/>
        </w:rPr>
        <w:t>）：</w:t>
      </w:r>
      <w:r>
        <w:rPr>
          <w:rFonts w:hint="eastAsia" w:ascii="宋体" w:hAnsi="宋体" w:cs="宋体"/>
          <w:szCs w:val="21"/>
          <w:highlight w:val="none"/>
          <w:u w:val="single"/>
        </w:rPr>
        <w:t xml:space="preserve"> 泰州市公路事业发展中心  </w:t>
      </w:r>
      <w:r>
        <w:rPr>
          <w:rFonts w:hint="eastAsia" w:ascii="宋体" w:hAnsi="宋体" w:cs="宋体"/>
          <w:szCs w:val="21"/>
          <w:highlight w:val="none"/>
        </w:rPr>
        <w:t xml:space="preserve"> </w:t>
      </w:r>
    </w:p>
    <w:p w14:paraId="4F2E4E0E">
      <w:pPr>
        <w:tabs>
          <w:tab w:val="left" w:pos="9360"/>
        </w:tabs>
        <w:wordWrap w:val="0"/>
        <w:topLinePunct/>
        <w:spacing w:line="360" w:lineRule="auto"/>
        <w:ind w:firstLine="471"/>
        <w:rPr>
          <w:rFonts w:hint="eastAsia" w:ascii="宋体" w:hAnsi="宋体" w:cs="宋体"/>
          <w:szCs w:val="21"/>
          <w:highlight w:val="none"/>
        </w:rPr>
      </w:pPr>
      <w:r>
        <w:rPr>
          <w:rFonts w:hint="eastAsia" w:ascii="宋体" w:hAnsi="宋体" w:cs="宋体"/>
          <w:szCs w:val="21"/>
          <w:highlight w:val="none"/>
        </w:rPr>
        <w:t>乙方（成交人）：</w:t>
      </w:r>
      <w:r>
        <w:rPr>
          <w:rFonts w:hint="eastAsia" w:ascii="宋体" w:hAnsi="宋体" w:cs="宋体"/>
          <w:szCs w:val="21"/>
          <w:highlight w:val="none"/>
          <w:u w:val="single"/>
        </w:rPr>
        <w:t xml:space="preserve">                        </w:t>
      </w:r>
      <w:r>
        <w:rPr>
          <w:rFonts w:hint="eastAsia" w:ascii="宋体" w:hAnsi="宋体" w:cs="宋体"/>
          <w:szCs w:val="21"/>
          <w:highlight w:val="none"/>
        </w:rPr>
        <w:t xml:space="preserve">    </w:t>
      </w:r>
    </w:p>
    <w:p w14:paraId="3E755EF4">
      <w:pPr>
        <w:spacing w:line="360" w:lineRule="auto"/>
        <w:ind w:firstLine="471"/>
        <w:rPr>
          <w:rFonts w:hint="eastAsia" w:ascii="宋体" w:hAnsi="宋体" w:cs="宋体"/>
          <w:szCs w:val="21"/>
          <w:highlight w:val="none"/>
          <w:u w:val="single"/>
        </w:rPr>
      </w:pPr>
      <w:r>
        <w:rPr>
          <w:rFonts w:hint="eastAsia" w:ascii="宋体" w:hAnsi="宋体" w:cs="宋体"/>
          <w:szCs w:val="21"/>
          <w:highlight w:val="none"/>
        </w:rPr>
        <w:t>签订地点：</w:t>
      </w:r>
      <w:r>
        <w:rPr>
          <w:rFonts w:hint="eastAsia" w:ascii="宋体" w:hAnsi="宋体" w:cs="宋体"/>
          <w:szCs w:val="21"/>
          <w:highlight w:val="none"/>
          <w:u w:val="single"/>
        </w:rPr>
        <w:t xml:space="preserve"> 泰州市  </w:t>
      </w:r>
      <w:r>
        <w:rPr>
          <w:rFonts w:hint="eastAsia" w:ascii="宋体" w:hAnsi="宋体" w:cs="宋体"/>
          <w:szCs w:val="21"/>
          <w:highlight w:val="none"/>
        </w:rPr>
        <w:t xml:space="preserve">   </w:t>
      </w:r>
    </w:p>
    <w:p w14:paraId="37C897C0">
      <w:pPr>
        <w:spacing w:line="360" w:lineRule="auto"/>
        <w:ind w:firstLine="471"/>
        <w:rPr>
          <w:rFonts w:hint="eastAsia" w:ascii="宋体" w:hAnsi="宋体" w:cs="宋体"/>
          <w:szCs w:val="21"/>
          <w:highlight w:val="none"/>
        </w:rPr>
      </w:pPr>
      <w:r>
        <w:rPr>
          <w:rFonts w:hint="eastAsia" w:ascii="宋体" w:hAnsi="宋体" w:cs="宋体"/>
          <w:szCs w:val="21"/>
          <w:highlight w:val="none"/>
        </w:rPr>
        <w:t>甲乙双方根据</w:t>
      </w:r>
      <w:r>
        <w:rPr>
          <w:rFonts w:hint="eastAsia" w:ascii="宋体" w:hAnsi="宋体" w:cs="宋体"/>
          <w:szCs w:val="21"/>
          <w:highlight w:val="none"/>
          <w:u w:val="single"/>
        </w:rPr>
        <w:t>《中华人民共和国政府采购法》、《中华人民共和国民法典》及政府采购文件（采购文件编号：</w:t>
      </w:r>
      <w:r>
        <w:rPr>
          <w:rFonts w:hint="eastAsia" w:ascii="宋体" w:hAnsi="宋体" w:cs="宋体"/>
          <w:szCs w:val="21"/>
          <w:highlight w:val="none"/>
          <w:u w:val="single"/>
          <w:lang w:eastAsia="zh-CN"/>
        </w:rPr>
        <w:t>JSZC-321200-HQGC-C2026-0031</w:t>
      </w:r>
      <w:r>
        <w:rPr>
          <w:rFonts w:hint="eastAsia" w:ascii="宋体" w:hAnsi="宋体" w:cs="宋体"/>
          <w:szCs w:val="21"/>
          <w:highlight w:val="none"/>
          <w:u w:val="single"/>
        </w:rPr>
        <w:t>）</w:t>
      </w:r>
      <w:r>
        <w:rPr>
          <w:rFonts w:hint="eastAsia" w:ascii="宋体" w:hAnsi="宋体" w:cs="宋体"/>
          <w:szCs w:val="21"/>
          <w:highlight w:val="none"/>
        </w:rPr>
        <w:t xml:space="preserve">，按照平等、自愿的原则，协商签订此合同。             </w:t>
      </w:r>
    </w:p>
    <w:p w14:paraId="257263D0">
      <w:pPr>
        <w:tabs>
          <w:tab w:val="left" w:pos="0"/>
          <w:tab w:val="left" w:pos="993"/>
          <w:tab w:val="left" w:pos="1134"/>
        </w:tabs>
        <w:spacing w:line="360" w:lineRule="auto"/>
        <w:ind w:firstLine="472"/>
        <w:rPr>
          <w:rFonts w:hint="eastAsia" w:ascii="宋体" w:hAnsi="宋体" w:cs="宋体"/>
          <w:b/>
          <w:szCs w:val="21"/>
          <w:highlight w:val="none"/>
        </w:rPr>
      </w:pPr>
      <w:r>
        <w:rPr>
          <w:rFonts w:hint="eastAsia" w:ascii="宋体" w:hAnsi="宋体" w:cs="宋体"/>
          <w:b/>
          <w:szCs w:val="21"/>
          <w:highlight w:val="none"/>
        </w:rPr>
        <w:t>一、说明</w:t>
      </w:r>
    </w:p>
    <w:p w14:paraId="306BEBD8">
      <w:pPr>
        <w:tabs>
          <w:tab w:val="left" w:pos="0"/>
          <w:tab w:val="left" w:pos="993"/>
          <w:tab w:val="left" w:pos="1134"/>
        </w:tabs>
        <w:spacing w:line="360" w:lineRule="auto"/>
        <w:ind w:firstLine="461"/>
        <w:rPr>
          <w:rFonts w:hint="eastAsia" w:ascii="宋体" w:hAnsi="宋体" w:cs="宋体"/>
          <w:szCs w:val="21"/>
          <w:highlight w:val="none"/>
        </w:rPr>
      </w:pPr>
      <w:r>
        <w:rPr>
          <w:rFonts w:hint="eastAsia" w:ascii="宋体" w:hAnsi="宋体" w:cs="宋体"/>
          <w:szCs w:val="21"/>
          <w:highlight w:val="none"/>
        </w:rPr>
        <w:t>受甲方委托，</w:t>
      </w:r>
      <w:r>
        <w:rPr>
          <w:rFonts w:hint="eastAsia" w:ascii="宋体" w:hAnsi="宋体" w:cs="宋体"/>
          <w:szCs w:val="21"/>
          <w:highlight w:val="none"/>
          <w:u w:val="single"/>
        </w:rPr>
        <w:t>江苏华强工程投资管理咨询有限公司</w:t>
      </w:r>
      <w:r>
        <w:rPr>
          <w:rFonts w:hint="eastAsia" w:ascii="宋体" w:hAnsi="宋体" w:cs="宋体"/>
          <w:szCs w:val="21"/>
          <w:highlight w:val="none"/>
        </w:rPr>
        <w:t>于</w:t>
      </w:r>
      <w:r>
        <w:rPr>
          <w:rFonts w:hint="eastAsia" w:ascii="宋体" w:hAnsi="宋体" w:cs="宋体"/>
          <w:szCs w:val="21"/>
          <w:highlight w:val="none"/>
          <w:u w:val="single"/>
        </w:rPr>
        <w:t xml:space="preserve">     </w:t>
      </w:r>
      <w:r>
        <w:rPr>
          <w:rFonts w:hint="eastAsia" w:ascii="宋体" w:hAnsi="宋体" w:cs="宋体"/>
          <w:szCs w:val="21"/>
          <w:highlight w:val="none"/>
        </w:rPr>
        <w:t>年</w:t>
      </w:r>
      <w:r>
        <w:rPr>
          <w:rFonts w:hint="eastAsia" w:ascii="宋体" w:hAnsi="宋体" w:cs="宋体"/>
          <w:szCs w:val="21"/>
          <w:highlight w:val="none"/>
          <w:u w:val="single"/>
        </w:rPr>
        <w:t xml:space="preserve">   </w:t>
      </w:r>
      <w:r>
        <w:rPr>
          <w:rFonts w:hint="eastAsia" w:ascii="宋体" w:hAnsi="宋体" w:cs="宋体"/>
          <w:szCs w:val="21"/>
          <w:highlight w:val="none"/>
        </w:rPr>
        <w:t>月</w:t>
      </w:r>
      <w:r>
        <w:rPr>
          <w:rFonts w:hint="eastAsia" w:ascii="宋体" w:hAnsi="宋体" w:cs="宋体"/>
          <w:szCs w:val="21"/>
          <w:highlight w:val="none"/>
          <w:u w:val="single"/>
        </w:rPr>
        <w:t xml:space="preserve">   </w:t>
      </w:r>
      <w:r>
        <w:rPr>
          <w:rFonts w:hint="eastAsia" w:ascii="宋体" w:hAnsi="宋体" w:cs="宋体"/>
          <w:szCs w:val="21"/>
          <w:highlight w:val="none"/>
        </w:rPr>
        <w:t>日组织了</w:t>
      </w:r>
      <w:r>
        <w:rPr>
          <w:rFonts w:hint="eastAsia" w:ascii="宋体" w:hAnsi="宋体" w:cs="宋体"/>
          <w:bCs/>
          <w:szCs w:val="21"/>
          <w:highlight w:val="none"/>
          <w:u w:val="single"/>
          <w:lang w:eastAsia="zh-CN"/>
        </w:rPr>
        <w:t>2026年泰州市快速路隧道、桥梁定期检查项目</w:t>
      </w:r>
      <w:r>
        <w:rPr>
          <w:rFonts w:hint="eastAsia" w:ascii="宋体" w:hAnsi="宋体" w:cs="宋体"/>
          <w:szCs w:val="21"/>
          <w:highlight w:val="none"/>
        </w:rPr>
        <w:t>的</w:t>
      </w:r>
      <w:r>
        <w:rPr>
          <w:rFonts w:hint="eastAsia" w:ascii="宋体" w:hAnsi="宋体" w:cs="宋体"/>
          <w:szCs w:val="21"/>
          <w:highlight w:val="none"/>
          <w:u w:val="single"/>
        </w:rPr>
        <w:t>竞争性磋商</w:t>
      </w:r>
      <w:r>
        <w:rPr>
          <w:rFonts w:hint="eastAsia" w:ascii="宋体" w:hAnsi="宋体" w:cs="宋体"/>
          <w:szCs w:val="21"/>
          <w:highlight w:val="none"/>
        </w:rPr>
        <w:t>，经</w:t>
      </w:r>
      <w:r>
        <w:rPr>
          <w:rFonts w:hint="eastAsia" w:ascii="宋体" w:hAnsi="宋体" w:cs="宋体"/>
          <w:szCs w:val="21"/>
          <w:highlight w:val="none"/>
          <w:u w:val="single"/>
        </w:rPr>
        <w:t>磋商评审小组</w:t>
      </w:r>
      <w:r>
        <w:rPr>
          <w:rFonts w:hint="eastAsia" w:ascii="宋体" w:hAnsi="宋体" w:cs="宋体"/>
          <w:szCs w:val="21"/>
          <w:highlight w:val="none"/>
        </w:rPr>
        <w:t>认真严格的评审，确定由乙方承包本项目。</w:t>
      </w:r>
    </w:p>
    <w:p w14:paraId="374389AC">
      <w:pPr>
        <w:spacing w:line="360" w:lineRule="auto"/>
        <w:ind w:firstLine="472"/>
        <w:rPr>
          <w:rFonts w:hint="eastAsia" w:ascii="宋体" w:hAnsi="宋体" w:cs="宋体"/>
          <w:b/>
          <w:szCs w:val="21"/>
          <w:highlight w:val="none"/>
        </w:rPr>
      </w:pPr>
      <w:r>
        <w:rPr>
          <w:rFonts w:hint="eastAsia" w:ascii="宋体" w:hAnsi="宋体" w:cs="宋体"/>
          <w:b/>
          <w:szCs w:val="21"/>
          <w:highlight w:val="none"/>
        </w:rPr>
        <w:t>二</w:t>
      </w:r>
      <w:r>
        <w:rPr>
          <w:rFonts w:hint="eastAsia" w:ascii="宋体" w:hAnsi="宋体" w:cs="宋体"/>
          <w:szCs w:val="21"/>
          <w:highlight w:val="none"/>
        </w:rPr>
        <w:t>、</w:t>
      </w:r>
      <w:r>
        <w:rPr>
          <w:rFonts w:hint="eastAsia" w:ascii="宋体" w:hAnsi="宋体" w:cs="宋体"/>
          <w:b/>
          <w:szCs w:val="21"/>
          <w:highlight w:val="none"/>
        </w:rPr>
        <w:t>项目基本情况</w:t>
      </w:r>
    </w:p>
    <w:p w14:paraId="35055AE9">
      <w:pPr>
        <w:spacing w:line="360" w:lineRule="auto"/>
        <w:ind w:firstLine="472"/>
        <w:rPr>
          <w:rFonts w:hint="eastAsia" w:ascii="宋体" w:hAnsi="宋体" w:eastAsia="宋体" w:cs="宋体"/>
          <w:bCs/>
          <w:szCs w:val="21"/>
          <w:highlight w:val="none"/>
          <w:u w:val="single"/>
          <w:lang w:eastAsia="zh-CN"/>
        </w:rPr>
      </w:pPr>
      <w:r>
        <w:rPr>
          <w:rFonts w:hint="eastAsia" w:ascii="宋体" w:hAnsi="宋体" w:cs="宋体"/>
          <w:bCs/>
          <w:szCs w:val="21"/>
          <w:highlight w:val="none"/>
        </w:rPr>
        <w:t>1.项目名称：</w:t>
      </w:r>
      <w:r>
        <w:rPr>
          <w:rFonts w:hint="eastAsia" w:ascii="宋体" w:hAnsi="宋体" w:cs="宋体"/>
          <w:bCs/>
          <w:szCs w:val="21"/>
          <w:highlight w:val="none"/>
          <w:u w:val="single"/>
        </w:rPr>
        <w:t xml:space="preserve"> </w:t>
      </w:r>
      <w:r>
        <w:rPr>
          <w:rFonts w:hint="eastAsia" w:ascii="宋体" w:hAnsi="宋体" w:cs="宋体"/>
          <w:bCs/>
          <w:szCs w:val="21"/>
          <w:highlight w:val="none"/>
          <w:u w:val="single"/>
          <w:lang w:eastAsia="zh-CN"/>
        </w:rPr>
        <w:t>2026年泰州市快速路隧道、桥梁定期检查项目</w:t>
      </w:r>
    </w:p>
    <w:p w14:paraId="297D64CD">
      <w:pPr>
        <w:spacing w:line="360" w:lineRule="auto"/>
        <w:ind w:firstLine="472"/>
        <w:rPr>
          <w:rFonts w:hint="eastAsia" w:ascii="宋体" w:hAnsi="宋体" w:cs="宋体"/>
          <w:b/>
          <w:szCs w:val="21"/>
          <w:highlight w:val="none"/>
          <w:u w:val="single"/>
        </w:rPr>
      </w:pPr>
      <w:r>
        <w:rPr>
          <w:rFonts w:hint="eastAsia" w:ascii="宋体" w:hAnsi="宋体" w:cs="宋体"/>
          <w:bCs/>
          <w:szCs w:val="21"/>
          <w:highlight w:val="none"/>
        </w:rPr>
        <w:t>2.项目地点：</w:t>
      </w:r>
      <w:r>
        <w:rPr>
          <w:rFonts w:hint="eastAsia" w:ascii="宋体" w:hAnsi="宋体" w:cs="宋体"/>
          <w:bCs/>
          <w:szCs w:val="21"/>
          <w:highlight w:val="none"/>
          <w:u w:val="single"/>
        </w:rPr>
        <w:t xml:space="preserve"> 泰州市 </w:t>
      </w:r>
    </w:p>
    <w:p w14:paraId="10B1AEB7">
      <w:pPr>
        <w:widowControl/>
        <w:spacing w:line="360" w:lineRule="auto"/>
        <w:ind w:firstLine="471"/>
        <w:jc w:val="left"/>
        <w:rPr>
          <w:rFonts w:hint="eastAsia" w:ascii="宋体" w:hAnsi="宋体" w:cs="宋体"/>
          <w:szCs w:val="21"/>
          <w:highlight w:val="none"/>
          <w:u w:val="single"/>
          <w:lang w:val="en-US" w:eastAsia="zh-CN"/>
        </w:rPr>
      </w:pPr>
      <w:r>
        <w:rPr>
          <w:rFonts w:hint="eastAsia" w:ascii="宋体" w:hAnsi="宋体" w:cs="宋体"/>
          <w:szCs w:val="21"/>
          <w:highlight w:val="none"/>
        </w:rPr>
        <w:t>3.工作内容：</w:t>
      </w:r>
      <w:r>
        <w:rPr>
          <w:rFonts w:hint="eastAsia" w:ascii="宋体" w:hAnsi="宋体" w:cs="宋体"/>
          <w:szCs w:val="21"/>
          <w:highlight w:val="none"/>
          <w:u w:val="single"/>
          <w:lang w:val="en-US" w:eastAsia="zh-CN"/>
        </w:rPr>
        <w:t xml:space="preserve">采购包一 </w:t>
      </w:r>
      <w:r>
        <w:rPr>
          <w:rFonts w:ascii="宋体" w:hAnsi="宋体" w:cs="宋体"/>
          <w:highlight w:val="none"/>
          <w:u w:val="single"/>
        </w:rPr>
        <w:t>按照《公路桥梁技术状况评定标准》（JTG/T H21-2011）、《公路桥涵养护规范》（JTG5120-2021）行业标准及业主要求</w:t>
      </w:r>
      <w:r>
        <w:rPr>
          <w:rFonts w:hint="eastAsia" w:ascii="宋体" w:hAnsi="宋体" w:cs="宋体"/>
          <w:highlight w:val="none"/>
          <w:u w:val="single"/>
          <w:lang w:eastAsia="zh-CN"/>
        </w:rPr>
        <w:t>，</w:t>
      </w:r>
      <w:r>
        <w:rPr>
          <w:rFonts w:hint="eastAsia" w:ascii="宋体" w:hAnsi="宋体" w:cs="宋体"/>
          <w:szCs w:val="21"/>
          <w:highlight w:val="none"/>
          <w:u w:val="single"/>
        </w:rPr>
        <w:t>对泰州市</w:t>
      </w:r>
      <w:r>
        <w:rPr>
          <w:rFonts w:hint="eastAsia" w:ascii="宋体" w:hAnsi="宋体" w:cs="宋体"/>
          <w:highlight w:val="none"/>
          <w:u w:val="single"/>
        </w:rPr>
        <w:t>城市快速路约</w:t>
      </w:r>
      <w:r>
        <w:rPr>
          <w:rFonts w:hint="eastAsia" w:ascii="宋体" w:hAnsi="宋体" w:cs="宋体"/>
          <w:highlight w:val="none"/>
          <w:u w:val="single"/>
          <w:lang w:val="en-US" w:eastAsia="zh-CN"/>
        </w:rPr>
        <w:t>40838.92</w:t>
      </w:r>
      <w:r>
        <w:rPr>
          <w:rFonts w:hint="eastAsia" w:ascii="宋体" w:hAnsi="宋体" w:cs="宋体"/>
          <w:highlight w:val="none"/>
          <w:u w:val="single"/>
        </w:rPr>
        <w:t>延米桥梁</w:t>
      </w:r>
      <w:r>
        <w:rPr>
          <w:rFonts w:hint="eastAsia" w:ascii="宋体" w:hAnsi="宋体" w:cs="宋体"/>
          <w:szCs w:val="21"/>
          <w:highlight w:val="none"/>
          <w:u w:val="single"/>
          <w:lang w:val="en-US" w:eastAsia="zh-CN"/>
        </w:rPr>
        <w:t>进</w:t>
      </w:r>
      <w:r>
        <w:rPr>
          <w:rFonts w:hint="eastAsia" w:ascii="宋体" w:hAnsi="宋体" w:cs="宋体"/>
          <w:szCs w:val="21"/>
          <w:highlight w:val="none"/>
          <w:u w:val="single"/>
        </w:rPr>
        <w:t>行定期检查。</w:t>
      </w:r>
      <w:r>
        <w:rPr>
          <w:rFonts w:ascii="宋体" w:hAnsi="宋体" w:cs="宋体"/>
          <w:highlight w:val="none"/>
          <w:u w:val="single"/>
        </w:rPr>
        <w:t>对桥面设施、桥梁上部结构、下部结构及附属构造物等的技术状况（基本情况，外观质量、缺损和病害情况等）进行检查、桥梁技术状况评定，并根据检查结果提出相应的养护维修建议，提交详细的桥梁检查报告；对桥梁基础数据进行复核、负责桥梁管理系统数据录入</w:t>
      </w:r>
      <w:r>
        <w:rPr>
          <w:rFonts w:hint="eastAsia" w:ascii="宋体" w:hAnsi="宋体" w:cs="宋体"/>
          <w:szCs w:val="21"/>
          <w:highlight w:val="none"/>
          <w:u w:val="single"/>
          <w:lang w:val="en-US" w:eastAsia="zh-CN"/>
        </w:rPr>
        <w:t>。</w:t>
      </w:r>
    </w:p>
    <w:p w14:paraId="4A90E33D">
      <w:pPr>
        <w:widowControl/>
        <w:spacing w:line="360" w:lineRule="auto"/>
        <w:ind w:firstLine="471"/>
        <w:jc w:val="left"/>
        <w:rPr>
          <w:rFonts w:hint="eastAsia" w:ascii="宋体" w:hAnsi="宋体" w:eastAsia="宋体" w:cs="宋体"/>
          <w:szCs w:val="21"/>
          <w:highlight w:val="none"/>
          <w:u w:val="single"/>
          <w:shd w:val="clear" w:color="auto" w:fill="FFFFFF"/>
          <w:lang w:eastAsia="zh-CN"/>
        </w:rPr>
      </w:pPr>
      <w:r>
        <w:rPr>
          <w:rFonts w:hint="eastAsia" w:ascii="宋体" w:hAnsi="宋体" w:cs="宋体"/>
          <w:szCs w:val="21"/>
          <w:highlight w:val="none"/>
          <w:u w:val="single"/>
          <w:lang w:val="en-US" w:eastAsia="zh-CN"/>
        </w:rPr>
        <w:t xml:space="preserve">采购包二 </w:t>
      </w:r>
      <w:r>
        <w:rPr>
          <w:rFonts w:hint="eastAsia" w:ascii="宋体" w:hAnsi="宋体" w:cs="宋体"/>
          <w:szCs w:val="21"/>
          <w:highlight w:val="none"/>
          <w:u w:val="single"/>
        </w:rPr>
        <w:t>按照</w:t>
      </w:r>
      <w:r>
        <w:rPr>
          <w:rFonts w:ascii="宋体" w:hAnsi="宋体" w:cs="宋体"/>
          <w:szCs w:val="21"/>
          <w:highlight w:val="none"/>
          <w:u w:val="single"/>
        </w:rPr>
        <w:t>《公路隧道养护技术规范》（JTGH12—2015）行业标准及业主要求对</w:t>
      </w:r>
      <w:r>
        <w:rPr>
          <w:rFonts w:hint="eastAsia" w:ascii="宋体" w:hAnsi="宋体" w:cs="宋体"/>
          <w:szCs w:val="21"/>
          <w:highlight w:val="none"/>
          <w:u w:val="single"/>
          <w:lang w:val="en-US" w:eastAsia="zh-CN"/>
        </w:rPr>
        <w:t>总长约2045米</w:t>
      </w:r>
      <w:r>
        <w:rPr>
          <w:rFonts w:ascii="宋体" w:hAnsi="宋体" w:cs="宋体"/>
          <w:szCs w:val="21"/>
          <w:highlight w:val="none"/>
          <w:u w:val="single"/>
        </w:rPr>
        <w:t>隧道土建结构、机电设施及其他工程设施进行检查并提供技术状况评定，根据检查结果提出相应的养护维修建议；对隧道基础数据进行复核、负责隧道管理系统数据录入及后期维护。</w:t>
      </w:r>
      <w:r>
        <w:rPr>
          <w:rFonts w:hint="eastAsia" w:ascii="宋体" w:hAnsi="宋体"/>
          <w:color w:val="000000"/>
          <w:szCs w:val="21"/>
          <w:highlight w:val="none"/>
          <w:u w:val="single"/>
        </w:rPr>
        <w:t>定期检查结束后一周内及时跟采购人汇报检查结果，配合采购人做好定检数据的录入、养护方案的制定、科学决策制度、风险辨识手册、应急预案等编制</w:t>
      </w:r>
      <w:r>
        <w:rPr>
          <w:rFonts w:hint="eastAsia" w:ascii="宋体" w:hAnsi="宋体"/>
          <w:color w:val="000000"/>
          <w:szCs w:val="21"/>
          <w:highlight w:val="none"/>
          <w:u w:val="single"/>
          <w:lang w:eastAsia="zh-CN"/>
        </w:rPr>
        <w:t>。</w:t>
      </w:r>
    </w:p>
    <w:p w14:paraId="336A820A">
      <w:pPr>
        <w:spacing w:line="360" w:lineRule="auto"/>
        <w:ind w:firstLine="471"/>
        <w:rPr>
          <w:rFonts w:hint="eastAsia" w:ascii="宋体" w:hAnsi="宋体" w:cs="宋体"/>
          <w:b/>
          <w:szCs w:val="21"/>
          <w:highlight w:val="none"/>
        </w:rPr>
      </w:pPr>
      <w:r>
        <w:rPr>
          <w:rFonts w:hint="eastAsia" w:ascii="宋体" w:hAnsi="宋体" w:cs="宋体"/>
          <w:b/>
          <w:szCs w:val="21"/>
          <w:highlight w:val="none"/>
        </w:rPr>
        <w:t>三、合同文件构成</w:t>
      </w:r>
    </w:p>
    <w:p w14:paraId="180B7C2C">
      <w:pPr>
        <w:spacing w:line="360" w:lineRule="auto"/>
        <w:ind w:firstLine="472"/>
        <w:rPr>
          <w:rFonts w:hint="eastAsia" w:ascii="宋体" w:hAnsi="宋体" w:cs="宋体"/>
          <w:bCs/>
          <w:szCs w:val="21"/>
          <w:highlight w:val="none"/>
        </w:rPr>
      </w:pPr>
      <w:r>
        <w:rPr>
          <w:rFonts w:hint="eastAsia" w:ascii="宋体" w:hAnsi="宋体" w:cs="宋体"/>
          <w:bCs/>
          <w:szCs w:val="21"/>
          <w:highlight w:val="none"/>
        </w:rPr>
        <w:t>本协议书与下列文件一起构成合同文件：</w:t>
      </w:r>
    </w:p>
    <w:p w14:paraId="0BA762DA">
      <w:pPr>
        <w:spacing w:line="360" w:lineRule="auto"/>
        <w:ind w:firstLine="472"/>
        <w:rPr>
          <w:rFonts w:hint="eastAsia" w:ascii="宋体" w:hAnsi="宋体" w:cs="宋体"/>
          <w:bCs/>
          <w:szCs w:val="21"/>
          <w:highlight w:val="none"/>
        </w:rPr>
      </w:pPr>
      <w:r>
        <w:rPr>
          <w:rFonts w:hint="eastAsia" w:ascii="宋体" w:hAnsi="宋体" w:cs="宋体"/>
          <w:bCs/>
          <w:szCs w:val="21"/>
          <w:highlight w:val="none"/>
        </w:rPr>
        <w:t>（1）中标（成交）通知书；</w:t>
      </w:r>
    </w:p>
    <w:p w14:paraId="2F8807E2">
      <w:pPr>
        <w:spacing w:line="360" w:lineRule="auto"/>
        <w:ind w:firstLine="472"/>
        <w:rPr>
          <w:rFonts w:hint="eastAsia" w:ascii="宋体" w:hAnsi="宋体" w:cs="宋体"/>
          <w:bCs/>
          <w:szCs w:val="21"/>
          <w:highlight w:val="none"/>
        </w:rPr>
      </w:pPr>
      <w:r>
        <w:rPr>
          <w:rFonts w:hint="eastAsia" w:ascii="宋体" w:hAnsi="宋体" w:cs="宋体"/>
          <w:bCs/>
          <w:szCs w:val="21"/>
          <w:highlight w:val="none"/>
        </w:rPr>
        <w:t>（2）投标函及其附录；</w:t>
      </w:r>
    </w:p>
    <w:p w14:paraId="10A335E8">
      <w:pPr>
        <w:spacing w:line="360" w:lineRule="auto"/>
        <w:ind w:firstLine="472"/>
        <w:rPr>
          <w:rFonts w:hint="eastAsia" w:ascii="宋体" w:hAnsi="宋体" w:cs="宋体"/>
          <w:bCs/>
          <w:szCs w:val="21"/>
          <w:highlight w:val="none"/>
        </w:rPr>
      </w:pPr>
      <w:r>
        <w:rPr>
          <w:rFonts w:hint="eastAsia" w:ascii="宋体" w:hAnsi="宋体" w:cs="宋体"/>
          <w:bCs/>
          <w:szCs w:val="21"/>
          <w:highlight w:val="none"/>
        </w:rPr>
        <w:t>（3）投标承诺/服务承诺；</w:t>
      </w:r>
    </w:p>
    <w:p w14:paraId="6057BFB9">
      <w:pPr>
        <w:spacing w:line="360" w:lineRule="auto"/>
        <w:ind w:firstLine="472"/>
        <w:rPr>
          <w:rFonts w:hint="eastAsia" w:ascii="宋体" w:hAnsi="宋体" w:cs="宋体"/>
          <w:bCs/>
          <w:szCs w:val="21"/>
          <w:highlight w:val="none"/>
        </w:rPr>
      </w:pPr>
      <w:r>
        <w:rPr>
          <w:rFonts w:hint="eastAsia" w:ascii="宋体" w:hAnsi="宋体" w:cs="宋体"/>
          <w:bCs/>
          <w:szCs w:val="21"/>
          <w:highlight w:val="none"/>
        </w:rPr>
        <w:t>（4）其他合同文件。</w:t>
      </w:r>
    </w:p>
    <w:p w14:paraId="21631020">
      <w:pPr>
        <w:spacing w:line="360" w:lineRule="auto"/>
        <w:ind w:firstLine="472"/>
        <w:rPr>
          <w:rFonts w:hint="eastAsia" w:ascii="宋体" w:hAnsi="宋体" w:cs="宋体"/>
          <w:bCs/>
          <w:szCs w:val="21"/>
          <w:highlight w:val="none"/>
        </w:rPr>
      </w:pPr>
      <w:r>
        <w:rPr>
          <w:rFonts w:hint="eastAsia" w:ascii="宋体" w:hAnsi="宋体" w:cs="宋体"/>
          <w:bCs/>
          <w:szCs w:val="21"/>
          <w:highlight w:val="none"/>
        </w:rPr>
        <w:t>（5）响应文件及评标过程中形成的文字资料、询标纪要均作为本合同的组成部分，具有同等效力。</w:t>
      </w:r>
    </w:p>
    <w:p w14:paraId="706E4F06">
      <w:pPr>
        <w:spacing w:line="360" w:lineRule="auto"/>
        <w:ind w:firstLine="472"/>
        <w:rPr>
          <w:rFonts w:hint="eastAsia" w:ascii="宋体" w:hAnsi="宋体" w:cs="宋体"/>
          <w:bCs/>
          <w:szCs w:val="21"/>
          <w:highlight w:val="none"/>
          <w:lang w:val="en"/>
        </w:rPr>
      </w:pPr>
      <w:r>
        <w:rPr>
          <w:rFonts w:hint="eastAsia" w:ascii="宋体" w:hAnsi="宋体" w:cs="宋体"/>
          <w:bCs/>
          <w:szCs w:val="21"/>
          <w:highlight w:val="none"/>
        </w:rPr>
        <w:t>上述各项合同文件包括合同当事人就该项合同文件所作出的补充和修改，属于同一类内容的文件，应以最新签署的为准。专用合同条款及其附件须经合同当事人签字或盖章。</w:t>
      </w:r>
    </w:p>
    <w:p w14:paraId="52DA8A3F">
      <w:pPr>
        <w:spacing w:line="360" w:lineRule="auto"/>
        <w:ind w:firstLine="422" w:firstLineChars="200"/>
        <w:rPr>
          <w:rFonts w:hint="eastAsia" w:ascii="宋体" w:hAnsi="宋体" w:cs="宋体"/>
          <w:b/>
          <w:szCs w:val="21"/>
          <w:highlight w:val="none"/>
        </w:rPr>
      </w:pPr>
      <w:r>
        <w:rPr>
          <w:rFonts w:hint="eastAsia" w:ascii="宋体" w:hAnsi="宋体" w:cs="宋体"/>
          <w:b/>
          <w:szCs w:val="21"/>
          <w:highlight w:val="none"/>
        </w:rPr>
        <w:t>四、项目负责人</w:t>
      </w:r>
    </w:p>
    <w:p w14:paraId="24F67079">
      <w:pPr>
        <w:spacing w:line="360" w:lineRule="auto"/>
        <w:ind w:firstLine="480"/>
        <w:rPr>
          <w:rFonts w:hint="eastAsia" w:ascii="宋体" w:hAnsi="宋体" w:cs="宋体"/>
          <w:szCs w:val="21"/>
          <w:highlight w:val="none"/>
        </w:rPr>
      </w:pPr>
      <w:r>
        <w:rPr>
          <w:rFonts w:hint="eastAsia" w:ascii="宋体" w:hAnsi="宋体" w:cs="宋体"/>
          <w:szCs w:val="21"/>
          <w:highlight w:val="none"/>
        </w:rPr>
        <w:t xml:space="preserve">姓名 </w:t>
      </w:r>
      <w:r>
        <w:rPr>
          <w:rFonts w:hint="eastAsia" w:ascii="宋体" w:hAnsi="宋体" w:cs="宋体"/>
          <w:szCs w:val="21"/>
          <w:highlight w:val="none"/>
          <w:u w:val="single"/>
        </w:rPr>
        <w:t xml:space="preserve">                </w:t>
      </w:r>
      <w:r>
        <w:rPr>
          <w:rFonts w:hint="eastAsia" w:ascii="宋体" w:hAnsi="宋体" w:cs="宋体"/>
          <w:szCs w:val="21"/>
          <w:highlight w:val="none"/>
        </w:rPr>
        <w:t xml:space="preserve"> 身份证号 </w:t>
      </w:r>
      <w:r>
        <w:rPr>
          <w:rFonts w:hint="eastAsia" w:ascii="宋体" w:hAnsi="宋体" w:cs="宋体"/>
          <w:szCs w:val="21"/>
          <w:highlight w:val="none"/>
          <w:u w:val="single"/>
        </w:rPr>
        <w:t xml:space="preserve">                        </w:t>
      </w:r>
      <w:r>
        <w:rPr>
          <w:rFonts w:hint="eastAsia" w:ascii="宋体" w:hAnsi="宋体" w:cs="宋体"/>
          <w:szCs w:val="21"/>
          <w:highlight w:val="none"/>
        </w:rPr>
        <w:t xml:space="preserve"> </w:t>
      </w:r>
    </w:p>
    <w:p w14:paraId="1D45A6C7">
      <w:pPr>
        <w:spacing w:line="360" w:lineRule="auto"/>
        <w:ind w:firstLine="472"/>
        <w:rPr>
          <w:rFonts w:hint="eastAsia" w:ascii="宋体" w:hAnsi="宋体" w:cs="宋体"/>
          <w:b/>
          <w:szCs w:val="21"/>
          <w:highlight w:val="none"/>
        </w:rPr>
      </w:pPr>
      <w:r>
        <w:rPr>
          <w:rFonts w:hint="eastAsia" w:ascii="宋体" w:hAnsi="宋体" w:cs="宋体"/>
          <w:b/>
          <w:szCs w:val="21"/>
          <w:highlight w:val="none"/>
        </w:rPr>
        <w:t>五、合同工期</w:t>
      </w:r>
    </w:p>
    <w:p w14:paraId="141BEB73">
      <w:pPr>
        <w:spacing w:line="360" w:lineRule="auto"/>
        <w:ind w:firstLine="472"/>
        <w:rPr>
          <w:rFonts w:hint="eastAsia" w:ascii="宋体" w:hAnsi="宋体" w:cs="宋体"/>
          <w:szCs w:val="21"/>
          <w:highlight w:val="none"/>
        </w:rPr>
      </w:pPr>
      <w:r>
        <w:rPr>
          <w:rFonts w:hint="eastAsia" w:ascii="宋体" w:hAnsi="宋体" w:cs="宋体"/>
          <w:szCs w:val="21"/>
          <w:highlight w:val="none"/>
          <w:u w:val="single"/>
        </w:rPr>
        <w:t>30日历天</w:t>
      </w:r>
    </w:p>
    <w:p w14:paraId="0E245560">
      <w:pPr>
        <w:spacing w:line="360" w:lineRule="auto"/>
        <w:ind w:firstLine="472"/>
        <w:rPr>
          <w:rFonts w:hint="eastAsia" w:ascii="宋体" w:hAnsi="宋体" w:cs="宋体"/>
          <w:b/>
          <w:szCs w:val="21"/>
          <w:highlight w:val="none"/>
        </w:rPr>
      </w:pPr>
      <w:r>
        <w:rPr>
          <w:rFonts w:hint="eastAsia" w:ascii="宋体" w:hAnsi="宋体" w:cs="宋体"/>
          <w:b/>
          <w:szCs w:val="21"/>
          <w:highlight w:val="none"/>
        </w:rPr>
        <w:t>六、费用及结算方式</w:t>
      </w:r>
    </w:p>
    <w:p w14:paraId="22EBF900">
      <w:pPr>
        <w:spacing w:line="360" w:lineRule="auto"/>
        <w:ind w:firstLine="471"/>
        <w:rPr>
          <w:rFonts w:hint="eastAsia" w:ascii="宋体" w:hAnsi="宋体" w:cs="宋体"/>
          <w:szCs w:val="21"/>
          <w:highlight w:val="none"/>
          <w:u w:val="single"/>
        </w:rPr>
      </w:pPr>
      <w:r>
        <w:rPr>
          <w:rFonts w:hint="eastAsia" w:ascii="宋体" w:hAnsi="宋体" w:cs="宋体"/>
          <w:szCs w:val="21"/>
          <w:highlight w:val="none"/>
        </w:rPr>
        <w:t>1.合同类型：</w:t>
      </w:r>
      <w:r>
        <w:rPr>
          <w:rFonts w:hint="eastAsia" w:ascii="宋体" w:hAnsi="宋体" w:cs="宋体"/>
          <w:szCs w:val="21"/>
          <w:highlight w:val="none"/>
          <w:u w:val="single"/>
        </w:rPr>
        <w:t xml:space="preserve">单价合同 </w:t>
      </w:r>
    </w:p>
    <w:p w14:paraId="51BC4685">
      <w:pPr>
        <w:spacing w:line="360" w:lineRule="auto"/>
        <w:ind w:firstLine="471"/>
        <w:rPr>
          <w:rFonts w:hint="eastAsia" w:ascii="宋体" w:hAnsi="宋体" w:cs="宋体"/>
          <w:szCs w:val="21"/>
          <w:highlight w:val="none"/>
          <w:u w:val="single"/>
        </w:rPr>
      </w:pPr>
      <w:r>
        <w:rPr>
          <w:rFonts w:hint="eastAsia" w:ascii="宋体" w:hAnsi="宋体" w:cs="宋体"/>
          <w:szCs w:val="21"/>
          <w:highlight w:val="none"/>
        </w:rPr>
        <w:t>2.合同签订金额：</w:t>
      </w:r>
      <w:r>
        <w:rPr>
          <w:rFonts w:hint="eastAsia" w:ascii="宋体" w:hAnsi="宋体" w:cs="宋体"/>
          <w:szCs w:val="21"/>
          <w:highlight w:val="none"/>
          <w:u w:val="single"/>
        </w:rPr>
        <w:t xml:space="preserve">  大写 /（￥：小写）    </w:t>
      </w:r>
    </w:p>
    <w:p w14:paraId="637C8593">
      <w:pPr>
        <w:spacing w:line="360" w:lineRule="auto"/>
        <w:ind w:firstLine="420" w:firstLineChars="200"/>
        <w:rPr>
          <w:rFonts w:hint="default" w:ascii="宋体" w:hAnsi="宋体" w:eastAsia="宋体" w:cs="宋体"/>
          <w:szCs w:val="21"/>
          <w:highlight w:val="none"/>
          <w:u w:val="single"/>
          <w:lang w:val="en-US" w:eastAsia="zh-CN"/>
        </w:rPr>
      </w:pPr>
      <w:r>
        <w:rPr>
          <w:rFonts w:hint="eastAsia" w:ascii="宋体" w:hAnsi="宋体" w:cs="宋体"/>
          <w:szCs w:val="21"/>
          <w:highlight w:val="none"/>
        </w:rPr>
        <w:t>3.付款方式：</w:t>
      </w:r>
      <w:r>
        <w:rPr>
          <w:rFonts w:hint="eastAsia" w:ascii="宋体" w:hAnsi="宋体" w:cs="宋体"/>
          <w:szCs w:val="21"/>
          <w:highlight w:val="none"/>
          <w:u w:val="single"/>
          <w:lang w:val="en-US" w:eastAsia="zh-CN"/>
        </w:rPr>
        <w:t>采购包一</w:t>
      </w:r>
      <w:r>
        <w:rPr>
          <w:rFonts w:hint="eastAsia" w:ascii="宋体" w:hAnsi="宋体" w:cs="宋体"/>
          <w:szCs w:val="21"/>
          <w:highlight w:val="none"/>
          <w:u w:val="single"/>
        </w:rPr>
        <w:t xml:space="preserve"> </w:t>
      </w:r>
      <w:r>
        <w:rPr>
          <w:rFonts w:hint="eastAsia" w:ascii="宋体" w:hAnsi="宋体" w:cs="宋体"/>
          <w:szCs w:val="21"/>
          <w:highlight w:val="none"/>
          <w:u w:val="single"/>
          <w:lang w:val="en-US" w:eastAsia="zh-CN"/>
        </w:rPr>
        <w:t>提供桥梁定期检查报告并经甲方验收合格后支付至计量价的95%，余款在1年后付清。</w:t>
      </w:r>
    </w:p>
    <w:p w14:paraId="3EEA4E22">
      <w:pPr>
        <w:spacing w:line="360" w:lineRule="auto"/>
        <w:ind w:firstLine="420" w:firstLineChars="200"/>
        <w:rPr>
          <w:rFonts w:hint="eastAsia" w:ascii="宋体" w:hAnsi="宋体" w:cs="宋体"/>
          <w:szCs w:val="21"/>
          <w:highlight w:val="none"/>
          <w:u w:val="single"/>
        </w:rPr>
      </w:pPr>
      <w:r>
        <w:rPr>
          <w:rFonts w:hint="eastAsia" w:ascii="宋体" w:hAnsi="宋体" w:cs="宋体"/>
          <w:szCs w:val="21"/>
          <w:highlight w:val="none"/>
          <w:u w:val="single"/>
          <w:lang w:val="en-US" w:eastAsia="zh-CN"/>
        </w:rPr>
        <w:t xml:space="preserve">采购包二  </w:t>
      </w:r>
      <w:r>
        <w:rPr>
          <w:rFonts w:hint="eastAsia" w:ascii="宋体" w:hAnsi="宋体" w:cs="宋体"/>
          <w:szCs w:val="21"/>
          <w:highlight w:val="none"/>
          <w:u w:val="single"/>
          <w:lang w:eastAsia="zh-CN"/>
        </w:rPr>
        <w:t>提供隧道定期检查报告并经甲方验收合格后支付至计量价的95%，余款在1年后付清</w:t>
      </w:r>
      <w:r>
        <w:rPr>
          <w:rFonts w:hint="eastAsia" w:ascii="宋体" w:hAnsi="宋体" w:cs="宋体"/>
          <w:szCs w:val="21"/>
          <w:highlight w:val="none"/>
          <w:u w:val="single"/>
        </w:rPr>
        <w:t>。</w:t>
      </w:r>
    </w:p>
    <w:p w14:paraId="3DC444D2">
      <w:pPr>
        <w:spacing w:line="360" w:lineRule="auto"/>
        <w:ind w:firstLine="471"/>
        <w:rPr>
          <w:rFonts w:hint="eastAsia" w:ascii="宋体" w:hAnsi="宋体" w:cs="宋体"/>
          <w:szCs w:val="21"/>
          <w:highlight w:val="none"/>
        </w:rPr>
      </w:pPr>
      <w:r>
        <w:rPr>
          <w:rFonts w:hint="eastAsia" w:ascii="宋体" w:hAnsi="宋体" w:cs="宋体"/>
          <w:szCs w:val="21"/>
          <w:highlight w:val="none"/>
        </w:rPr>
        <w:t>4.缺陷责任期：</w:t>
      </w:r>
      <w:r>
        <w:rPr>
          <w:rFonts w:hint="eastAsia" w:ascii="宋体" w:hAnsi="宋体" w:cs="宋体"/>
          <w:szCs w:val="21"/>
          <w:highlight w:val="none"/>
          <w:u w:val="single"/>
        </w:rPr>
        <w:t>无。</w:t>
      </w:r>
    </w:p>
    <w:p w14:paraId="2D90F74B">
      <w:pPr>
        <w:spacing w:line="360" w:lineRule="auto"/>
        <w:ind w:firstLine="471"/>
        <w:rPr>
          <w:rFonts w:hint="eastAsia" w:ascii="宋体" w:hAnsi="宋体" w:cs="宋体"/>
          <w:sz w:val="24"/>
          <w:highlight w:val="none"/>
          <w:u w:val="single"/>
        </w:rPr>
      </w:pPr>
      <w:r>
        <w:rPr>
          <w:rFonts w:hint="eastAsia" w:ascii="宋体" w:hAnsi="宋体" w:cs="宋体"/>
          <w:szCs w:val="21"/>
          <w:highlight w:val="none"/>
        </w:rPr>
        <w:t>5.质保金：</w:t>
      </w:r>
      <w:r>
        <w:rPr>
          <w:rFonts w:hint="eastAsia" w:ascii="宋体" w:hAnsi="宋体" w:cs="宋体"/>
          <w:szCs w:val="21"/>
          <w:highlight w:val="none"/>
          <w:u w:val="single"/>
        </w:rPr>
        <w:t xml:space="preserve">不收取质保金。 </w:t>
      </w:r>
    </w:p>
    <w:p w14:paraId="2D6BCB45">
      <w:pPr>
        <w:spacing w:line="360" w:lineRule="auto"/>
        <w:ind w:firstLine="471"/>
        <w:rPr>
          <w:rFonts w:hint="eastAsia" w:ascii="宋体" w:hAnsi="宋体" w:cs="宋体"/>
          <w:b/>
          <w:szCs w:val="21"/>
          <w:highlight w:val="none"/>
          <w:u w:val="single"/>
        </w:rPr>
      </w:pPr>
      <w:r>
        <w:rPr>
          <w:rFonts w:hint="eastAsia" w:ascii="宋体" w:hAnsi="宋体" w:cs="宋体"/>
          <w:b/>
          <w:szCs w:val="21"/>
          <w:highlight w:val="none"/>
        </w:rPr>
        <w:t>七、乙方需要提交的资料套数：</w:t>
      </w:r>
      <w:r>
        <w:rPr>
          <w:rFonts w:hint="eastAsia" w:ascii="宋体" w:hAnsi="宋体" w:cs="宋体"/>
          <w:b/>
          <w:szCs w:val="21"/>
          <w:highlight w:val="none"/>
          <w:u w:val="single"/>
        </w:rPr>
        <w:t>检测报告（三套）、电子文件（一套）。</w:t>
      </w:r>
    </w:p>
    <w:p w14:paraId="1B61D36F">
      <w:pPr>
        <w:spacing w:line="360" w:lineRule="auto"/>
        <w:ind w:firstLine="471"/>
        <w:rPr>
          <w:rFonts w:hint="eastAsia" w:ascii="宋体" w:hAnsi="宋体" w:cs="宋体"/>
          <w:szCs w:val="21"/>
          <w:highlight w:val="none"/>
        </w:rPr>
      </w:pPr>
      <w:r>
        <w:rPr>
          <w:rFonts w:hint="eastAsia" w:ascii="宋体" w:hAnsi="宋体" w:cs="宋体"/>
          <w:b/>
          <w:szCs w:val="21"/>
          <w:highlight w:val="none"/>
        </w:rPr>
        <w:t>八、履约保证金</w:t>
      </w:r>
    </w:p>
    <w:p w14:paraId="12F91A1A">
      <w:pPr>
        <w:spacing w:line="360" w:lineRule="auto"/>
        <w:ind w:firstLine="480"/>
        <w:rPr>
          <w:rFonts w:hint="eastAsia" w:ascii="宋体" w:hAnsi="宋体" w:cs="宋体"/>
          <w:szCs w:val="21"/>
          <w:highlight w:val="none"/>
        </w:rPr>
      </w:pPr>
      <w:r>
        <w:rPr>
          <w:rFonts w:hint="eastAsia" w:ascii="宋体" w:hAnsi="宋体" w:cs="宋体"/>
          <w:szCs w:val="21"/>
          <w:highlight w:val="none"/>
        </w:rPr>
        <w:t>履约保证金为成交价的</w:t>
      </w:r>
      <w:r>
        <w:rPr>
          <w:rFonts w:hint="eastAsia" w:ascii="宋体" w:hAnsi="宋体" w:cs="宋体"/>
          <w:szCs w:val="21"/>
          <w:highlight w:val="none"/>
          <w:u w:val="single"/>
        </w:rPr>
        <w:t xml:space="preserve"> 0%</w:t>
      </w:r>
      <w:r>
        <w:rPr>
          <w:rFonts w:hint="eastAsia" w:ascii="宋体" w:hAnsi="宋体" w:cs="宋体"/>
          <w:szCs w:val="21"/>
          <w:highlight w:val="none"/>
        </w:rPr>
        <w:t>，以保证乙方遵守本合同的一切条款、条件和承诺，该保证金在甲方的规定存续期间不计息。</w:t>
      </w:r>
    </w:p>
    <w:p w14:paraId="796B0393">
      <w:pPr>
        <w:spacing w:line="360" w:lineRule="auto"/>
        <w:ind w:firstLine="472"/>
        <w:rPr>
          <w:rFonts w:hint="eastAsia" w:ascii="宋体" w:hAnsi="宋体" w:cs="宋体"/>
          <w:b/>
          <w:szCs w:val="21"/>
          <w:highlight w:val="none"/>
        </w:rPr>
      </w:pPr>
      <w:r>
        <w:rPr>
          <w:rFonts w:hint="eastAsia" w:ascii="宋体" w:hAnsi="宋体" w:cs="宋体"/>
          <w:b/>
          <w:szCs w:val="21"/>
          <w:highlight w:val="none"/>
        </w:rPr>
        <w:t>九、合同生效和终止</w:t>
      </w:r>
    </w:p>
    <w:p w14:paraId="19751E15">
      <w:pPr>
        <w:spacing w:line="360" w:lineRule="auto"/>
        <w:ind w:firstLine="471"/>
        <w:rPr>
          <w:rFonts w:hint="eastAsia" w:ascii="宋体" w:hAnsi="宋体" w:cs="宋体"/>
          <w:szCs w:val="21"/>
          <w:highlight w:val="none"/>
        </w:rPr>
      </w:pPr>
      <w:r>
        <w:rPr>
          <w:rFonts w:hint="eastAsia" w:ascii="宋体" w:hAnsi="宋体" w:cs="宋体"/>
          <w:szCs w:val="21"/>
          <w:highlight w:val="none"/>
        </w:rPr>
        <w:t>本合同经双方签字盖章后生效，至双方按照合同的规定履行完各自的义务和责任后自然失效。</w:t>
      </w:r>
    </w:p>
    <w:p w14:paraId="3D0FD2E3">
      <w:pPr>
        <w:spacing w:line="360" w:lineRule="auto"/>
        <w:ind w:firstLine="471"/>
        <w:rPr>
          <w:rFonts w:hint="eastAsia" w:ascii="宋体" w:hAnsi="宋体" w:cs="宋体"/>
          <w:b/>
          <w:szCs w:val="21"/>
          <w:highlight w:val="none"/>
        </w:rPr>
      </w:pPr>
      <w:r>
        <w:rPr>
          <w:rFonts w:hint="eastAsia" w:ascii="宋体" w:hAnsi="宋体" w:cs="宋体"/>
          <w:b/>
          <w:szCs w:val="21"/>
          <w:highlight w:val="none"/>
        </w:rPr>
        <w:t>十、违约责任</w:t>
      </w:r>
    </w:p>
    <w:p w14:paraId="231A1E57">
      <w:pPr>
        <w:spacing w:line="360" w:lineRule="auto"/>
        <w:ind w:firstLine="471"/>
        <w:rPr>
          <w:rFonts w:hint="eastAsia" w:ascii="宋体" w:hAnsi="宋体" w:cs="宋体"/>
          <w:bCs/>
          <w:szCs w:val="21"/>
          <w:highlight w:val="none"/>
        </w:rPr>
      </w:pPr>
      <w:r>
        <w:rPr>
          <w:rFonts w:hint="eastAsia" w:ascii="宋体" w:hAnsi="宋体" w:cs="宋体"/>
          <w:bCs/>
          <w:szCs w:val="21"/>
          <w:highlight w:val="none"/>
        </w:rPr>
        <w:t>1.由于甲方提供的资料、文件错误、不准确，造成工期延误或返工时，除工期顺延外，甲方应向乙方支付停工费或返工费，造成质量、安全事故时，由甲方承担法律责任和经济责任。</w:t>
      </w:r>
    </w:p>
    <w:p w14:paraId="5BF61520">
      <w:pPr>
        <w:spacing w:line="360" w:lineRule="auto"/>
        <w:ind w:firstLine="471"/>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2.乙方未按合同约定的时间和质量标准提供服务，除不可抗力或经甲方书面确认认可外，每逾期一天乙方应缴纳2000元违约金，逾期交工违约金限额为10%签约合同价；逾期达30天的，甲方有权解除合同；给甲方造成损失的，甲方可要求乙方承担合同总额20%的违约金及按实赔偿损失（包括诉讼费、律师费、评估费、鉴定费等合理支出），由此产生的相关费用由乙方自行承担，甲方无需支付任何费用。</w:t>
      </w:r>
    </w:p>
    <w:p w14:paraId="17D19811">
      <w:pPr>
        <w:spacing w:line="360" w:lineRule="auto"/>
        <w:ind w:firstLine="471"/>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3.下列情况甲方有权解除合同，并要求乙方承担合同总额20%的违约金及赔偿损失：</w:t>
      </w:r>
    </w:p>
    <w:p w14:paraId="61DC2C6C">
      <w:pPr>
        <w:spacing w:line="360" w:lineRule="auto"/>
        <w:ind w:firstLine="471"/>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（1）乙方未按合同约定的时间和质量标准提供服务逾期达30天；</w:t>
      </w:r>
    </w:p>
    <w:p w14:paraId="29B0FECE">
      <w:pPr>
        <w:spacing w:line="360" w:lineRule="auto"/>
        <w:ind w:firstLine="471"/>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（2）因乙方原因（包括服务质量问题）导致甲方无法实现合同目的的；</w:t>
      </w:r>
    </w:p>
    <w:p w14:paraId="6656B307">
      <w:pPr>
        <w:spacing w:line="360" w:lineRule="auto"/>
        <w:ind w:firstLine="471"/>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（3）乙方丧失履行合同的能力，无法继续履行合同义务；</w:t>
      </w:r>
    </w:p>
    <w:p w14:paraId="4EC92ED5">
      <w:pPr>
        <w:spacing w:line="360" w:lineRule="auto"/>
        <w:ind w:firstLine="471"/>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（4）法律法规规定的其他情形，否则对于乙方逾期合格交付无任何约束，且直接约定违约金标准有利于主张的实现。</w:t>
      </w:r>
    </w:p>
    <w:p w14:paraId="1ED14A28">
      <w:pPr>
        <w:spacing w:line="360" w:lineRule="auto"/>
        <w:ind w:firstLine="471"/>
        <w:rPr>
          <w:rFonts w:hint="eastAsia" w:ascii="宋体" w:hAnsi="宋体" w:cs="宋体"/>
          <w:b/>
          <w:szCs w:val="21"/>
          <w:highlight w:val="none"/>
          <w:lang w:val="zh-CN"/>
        </w:rPr>
      </w:pPr>
      <w:r>
        <w:rPr>
          <w:rFonts w:hint="eastAsia" w:ascii="宋体" w:hAnsi="宋体" w:cs="宋体"/>
          <w:b/>
          <w:szCs w:val="21"/>
          <w:highlight w:val="none"/>
        </w:rPr>
        <w:t>十一、</w:t>
      </w:r>
      <w:r>
        <w:rPr>
          <w:rFonts w:hint="eastAsia" w:ascii="宋体" w:hAnsi="宋体" w:cs="宋体"/>
          <w:b/>
          <w:szCs w:val="21"/>
          <w:highlight w:val="none"/>
          <w:lang w:val="zh-CN"/>
        </w:rPr>
        <w:t>争议处理</w:t>
      </w:r>
    </w:p>
    <w:p w14:paraId="5E16B44D">
      <w:pPr>
        <w:spacing w:line="360" w:lineRule="auto"/>
        <w:ind w:firstLine="471"/>
        <w:jc w:val="left"/>
        <w:rPr>
          <w:rFonts w:hint="eastAsia" w:ascii="宋体" w:hAnsi="宋体" w:cs="宋体"/>
          <w:b/>
          <w:szCs w:val="21"/>
          <w:highlight w:val="none"/>
        </w:rPr>
      </w:pPr>
      <w:r>
        <w:rPr>
          <w:rFonts w:hint="eastAsia" w:ascii="宋体" w:hAnsi="宋体" w:cs="宋体"/>
          <w:szCs w:val="21"/>
          <w:highlight w:val="none"/>
        </w:rPr>
        <w:t>本</w:t>
      </w:r>
      <w:r>
        <w:rPr>
          <w:rFonts w:hint="eastAsia" w:ascii="宋体" w:hAnsi="宋体" w:cs="宋体"/>
          <w:szCs w:val="21"/>
          <w:highlight w:val="none"/>
          <w:lang w:val="zh-CN"/>
        </w:rPr>
        <w:t>合同在履行过程中，</w:t>
      </w:r>
      <w:r>
        <w:rPr>
          <w:rFonts w:hint="eastAsia" w:ascii="宋体" w:hAnsi="宋体" w:cs="宋体"/>
          <w:szCs w:val="21"/>
          <w:highlight w:val="none"/>
        </w:rPr>
        <w:t>如</w:t>
      </w:r>
      <w:r>
        <w:rPr>
          <w:rFonts w:hint="eastAsia" w:ascii="宋体" w:hAnsi="宋体" w:cs="宋体"/>
          <w:szCs w:val="21"/>
          <w:highlight w:val="none"/>
          <w:lang w:val="zh-CN"/>
        </w:rPr>
        <w:t>发生争议，甲方与乙方及时协商解决。协商不成时，</w:t>
      </w:r>
      <w:r>
        <w:rPr>
          <w:rFonts w:hint="eastAsia" w:ascii="宋体" w:hAnsi="宋体" w:cs="宋体"/>
          <w:szCs w:val="21"/>
          <w:highlight w:val="none"/>
        </w:rPr>
        <w:t>应向</w:t>
      </w:r>
      <w:r>
        <w:rPr>
          <w:rFonts w:hint="eastAsia" w:ascii="宋体" w:hAnsi="宋体" w:cs="宋体"/>
          <w:szCs w:val="21"/>
          <w:highlight w:val="none"/>
          <w:lang w:val="zh-CN"/>
        </w:rPr>
        <w:t>甲方所在地人民法院</w:t>
      </w:r>
      <w:r>
        <w:rPr>
          <w:rFonts w:hint="eastAsia" w:ascii="宋体" w:hAnsi="宋体" w:cs="宋体"/>
          <w:szCs w:val="21"/>
          <w:highlight w:val="none"/>
        </w:rPr>
        <w:t>提起诉讼</w:t>
      </w:r>
      <w:r>
        <w:rPr>
          <w:rFonts w:hint="eastAsia" w:ascii="宋体" w:hAnsi="宋体" w:cs="宋体"/>
          <w:szCs w:val="21"/>
          <w:highlight w:val="none"/>
          <w:lang w:val="zh-CN"/>
        </w:rPr>
        <w:t>。</w:t>
      </w:r>
    </w:p>
    <w:p w14:paraId="280FE1AA">
      <w:pPr>
        <w:spacing w:line="360" w:lineRule="auto"/>
        <w:ind w:firstLine="471"/>
        <w:jc w:val="left"/>
        <w:rPr>
          <w:rFonts w:hint="eastAsia" w:ascii="宋体" w:hAnsi="宋体" w:cs="宋体"/>
          <w:b/>
          <w:szCs w:val="21"/>
          <w:highlight w:val="none"/>
          <w:lang w:val="zh-CN"/>
        </w:rPr>
      </w:pPr>
      <w:r>
        <w:rPr>
          <w:rFonts w:hint="eastAsia" w:ascii="宋体" w:hAnsi="宋体" w:cs="宋体"/>
          <w:b/>
          <w:szCs w:val="21"/>
          <w:highlight w:val="none"/>
        </w:rPr>
        <w:t>十二、</w:t>
      </w:r>
      <w:r>
        <w:rPr>
          <w:rFonts w:hint="eastAsia" w:ascii="宋体" w:hAnsi="宋体" w:cs="宋体"/>
          <w:b/>
          <w:szCs w:val="21"/>
          <w:highlight w:val="none"/>
          <w:lang w:val="zh-CN"/>
        </w:rPr>
        <w:t>其他</w:t>
      </w:r>
    </w:p>
    <w:p w14:paraId="0450FB9F">
      <w:pPr>
        <w:spacing w:line="360" w:lineRule="auto"/>
        <w:ind w:firstLine="471"/>
        <w:jc w:val="left"/>
        <w:rPr>
          <w:rFonts w:hint="eastAsia" w:ascii="宋体" w:hAnsi="宋体" w:cs="宋体"/>
          <w:szCs w:val="21"/>
          <w:highlight w:val="none"/>
          <w:lang w:val="zh-CN"/>
        </w:rPr>
      </w:pPr>
      <w:r>
        <w:rPr>
          <w:rFonts w:hint="eastAsia" w:ascii="宋体" w:hAnsi="宋体" w:cs="宋体"/>
          <w:szCs w:val="21"/>
          <w:highlight w:val="none"/>
        </w:rPr>
        <w:t>1</w:t>
      </w:r>
      <w:r>
        <w:rPr>
          <w:rFonts w:hint="eastAsia" w:ascii="宋体" w:hAnsi="宋体" w:cs="宋体"/>
          <w:szCs w:val="21"/>
          <w:highlight w:val="none"/>
          <w:lang w:val="zh-CN"/>
        </w:rPr>
        <w:t>．未经过甲方的书面同意，乙方不得转让其应履行的合同项下的义务，或将部分合同项下的义务分包给其他单位完成。</w:t>
      </w:r>
    </w:p>
    <w:p w14:paraId="31D1B377">
      <w:pPr>
        <w:spacing w:line="360" w:lineRule="auto"/>
        <w:ind w:firstLine="471"/>
        <w:jc w:val="left"/>
        <w:rPr>
          <w:rFonts w:hint="eastAsia" w:ascii="宋体" w:hAnsi="宋体" w:cs="宋体"/>
          <w:szCs w:val="21"/>
          <w:highlight w:val="none"/>
        </w:rPr>
      </w:pPr>
      <w:r>
        <w:rPr>
          <w:rFonts w:hint="eastAsia" w:ascii="宋体" w:hAnsi="宋体" w:cs="宋体"/>
          <w:szCs w:val="21"/>
          <w:highlight w:val="none"/>
          <w:lang w:val="zh-CN"/>
        </w:rPr>
        <w:t>2．</w:t>
      </w:r>
      <w:r>
        <w:rPr>
          <w:rFonts w:hint="eastAsia" w:ascii="宋体" w:hAnsi="宋体" w:cs="宋体"/>
          <w:szCs w:val="21"/>
          <w:highlight w:val="none"/>
        </w:rPr>
        <w:t>保密要求：在合同有效期内及以后的3年内，未经甲方的书面同意，乙方不得泄露甲方与本服务合同有关的保密资料。</w:t>
      </w:r>
    </w:p>
    <w:p w14:paraId="54DEB89E">
      <w:pPr>
        <w:spacing w:line="360" w:lineRule="auto"/>
        <w:ind w:firstLine="471"/>
        <w:jc w:val="left"/>
        <w:rPr>
          <w:rFonts w:hint="eastAsia" w:ascii="宋体" w:hAnsi="宋体" w:cs="宋体"/>
          <w:szCs w:val="21"/>
          <w:highlight w:val="none"/>
        </w:rPr>
      </w:pPr>
      <w:r>
        <w:rPr>
          <w:rFonts w:hint="eastAsia" w:ascii="宋体" w:hAnsi="宋体" w:cs="宋体"/>
          <w:szCs w:val="21"/>
          <w:highlight w:val="none"/>
        </w:rPr>
        <w:t>3.合同履行期内甲乙双方均不得随意变更或解除合同。合同若有未尽事宜，需经双方共同协商，订立补充协议，补充协议条款与本合同条款有冲突的，以补充协议条款为准，补充协议与本合同有同等法律效力。</w:t>
      </w:r>
    </w:p>
    <w:p w14:paraId="7F5D5DCF">
      <w:pPr>
        <w:spacing w:line="360" w:lineRule="auto"/>
        <w:ind w:firstLine="471"/>
        <w:rPr>
          <w:rFonts w:hint="eastAsia" w:ascii="宋体" w:hAnsi="宋体" w:cs="宋体"/>
          <w:szCs w:val="21"/>
          <w:highlight w:val="none"/>
        </w:rPr>
      </w:pPr>
      <w:r>
        <w:rPr>
          <w:rFonts w:hint="eastAsia" w:ascii="宋体" w:hAnsi="宋体" w:cs="宋体"/>
          <w:szCs w:val="21"/>
          <w:highlight w:val="none"/>
        </w:rPr>
        <w:t>4．本合同</w:t>
      </w:r>
      <w:r>
        <w:rPr>
          <w:rFonts w:hint="eastAsia" w:ascii="宋体" w:hAnsi="宋体" w:cs="宋体"/>
          <w:szCs w:val="21"/>
          <w:highlight w:val="none"/>
          <w:u w:val="single"/>
        </w:rPr>
        <w:t xml:space="preserve"> 一式肆份 </w:t>
      </w:r>
      <w:r>
        <w:rPr>
          <w:rFonts w:hint="eastAsia" w:ascii="宋体" w:hAnsi="宋体" w:cs="宋体"/>
          <w:szCs w:val="21"/>
          <w:highlight w:val="none"/>
        </w:rPr>
        <w:t>，自签订之日起生效。</w:t>
      </w:r>
    </w:p>
    <w:p w14:paraId="3BE4DB4A">
      <w:pPr>
        <w:spacing w:line="360" w:lineRule="auto"/>
        <w:ind w:firstLine="471"/>
        <w:rPr>
          <w:rFonts w:hint="eastAsia" w:ascii="宋体" w:hAnsi="宋体" w:cs="宋体"/>
          <w:szCs w:val="21"/>
          <w:highlight w:val="none"/>
        </w:rPr>
      </w:pPr>
      <w:r>
        <w:rPr>
          <w:rFonts w:hint="eastAsia" w:ascii="宋体" w:hAnsi="宋体" w:cs="宋体"/>
          <w:szCs w:val="21"/>
          <w:highlight w:val="none"/>
        </w:rPr>
        <w:t>5．本合同未尽事宜，遵照《中华人民共和国民法典》有关条文执行。</w:t>
      </w:r>
    </w:p>
    <w:p w14:paraId="55BD80EB">
      <w:pPr>
        <w:spacing w:line="360" w:lineRule="auto"/>
        <w:jc w:val="left"/>
        <w:rPr>
          <w:rFonts w:hint="eastAsia" w:ascii="宋体" w:hAnsi="宋体" w:cs="宋体"/>
          <w:szCs w:val="21"/>
          <w:highlight w:val="none"/>
        </w:rPr>
      </w:pPr>
    </w:p>
    <w:p w14:paraId="377B3525">
      <w:pPr>
        <w:spacing w:line="360" w:lineRule="auto"/>
        <w:jc w:val="left"/>
        <w:rPr>
          <w:rFonts w:hint="eastAsia" w:ascii="宋体" w:hAnsi="宋体" w:cs="宋体"/>
          <w:szCs w:val="21"/>
          <w:highlight w:val="none"/>
        </w:rPr>
      </w:pPr>
    </w:p>
    <w:p w14:paraId="588106A2">
      <w:pPr>
        <w:spacing w:line="360" w:lineRule="auto"/>
        <w:jc w:val="left"/>
        <w:rPr>
          <w:rFonts w:hint="eastAsia" w:ascii="宋体" w:hAnsi="宋体" w:cs="宋体"/>
          <w:szCs w:val="21"/>
          <w:highlight w:val="none"/>
        </w:rPr>
      </w:pPr>
    </w:p>
    <w:p w14:paraId="206A9BF1">
      <w:pPr>
        <w:spacing w:line="360" w:lineRule="auto"/>
        <w:jc w:val="left"/>
        <w:rPr>
          <w:rFonts w:hint="eastAsia" w:ascii="宋体" w:hAnsi="宋体" w:cs="宋体"/>
          <w:szCs w:val="21"/>
          <w:highlight w:val="none"/>
        </w:rPr>
      </w:pPr>
    </w:p>
    <w:p w14:paraId="7463F582">
      <w:pPr>
        <w:spacing w:line="360" w:lineRule="auto"/>
        <w:jc w:val="left"/>
        <w:rPr>
          <w:rFonts w:hint="eastAsia" w:ascii="宋体" w:hAnsi="宋体" w:cs="宋体"/>
          <w:szCs w:val="21"/>
          <w:highlight w:val="none"/>
        </w:rPr>
      </w:pPr>
    </w:p>
    <w:p w14:paraId="5B570861">
      <w:pPr>
        <w:spacing w:line="360" w:lineRule="auto"/>
        <w:jc w:val="left"/>
        <w:rPr>
          <w:rFonts w:hint="eastAsia" w:ascii="宋体" w:hAnsi="宋体" w:cs="宋体"/>
          <w:szCs w:val="21"/>
          <w:highlight w:val="none"/>
          <w:u w:val="single"/>
        </w:rPr>
      </w:pPr>
      <w:r>
        <w:rPr>
          <w:rFonts w:hint="eastAsia" w:ascii="宋体" w:hAnsi="宋体" w:cs="宋体"/>
          <w:szCs w:val="21"/>
          <w:highlight w:val="none"/>
        </w:rPr>
        <w:t>甲方：</w:t>
      </w:r>
      <w:r>
        <w:rPr>
          <w:rFonts w:hint="eastAsia" w:ascii="宋体" w:hAnsi="宋体" w:cs="宋体"/>
          <w:szCs w:val="21"/>
          <w:highlight w:val="none"/>
        </w:rPr>
        <w:tab/>
      </w:r>
      <w:r>
        <w:rPr>
          <w:rFonts w:hint="eastAsia" w:ascii="宋体" w:hAnsi="宋体" w:cs="宋体"/>
          <w:szCs w:val="21"/>
          <w:highlight w:val="none"/>
        </w:rPr>
        <w:t xml:space="preserve">                                   乙方：</w:t>
      </w:r>
    </w:p>
    <w:p w14:paraId="34E94575">
      <w:pPr>
        <w:spacing w:line="360" w:lineRule="auto"/>
        <w:jc w:val="left"/>
        <w:rPr>
          <w:rFonts w:hint="eastAsia" w:ascii="宋体" w:hAnsi="宋体" w:cs="宋体"/>
          <w:szCs w:val="21"/>
          <w:highlight w:val="none"/>
        </w:rPr>
      </w:pPr>
      <w:r>
        <w:rPr>
          <w:rFonts w:hint="eastAsia" w:ascii="宋体" w:hAnsi="宋体" w:cs="宋体"/>
          <w:szCs w:val="21"/>
          <w:highlight w:val="none"/>
        </w:rPr>
        <w:t>（盖单位章）                                （盖单位章）</w:t>
      </w:r>
    </w:p>
    <w:p w14:paraId="741A79A2">
      <w:pPr>
        <w:spacing w:line="360" w:lineRule="auto"/>
        <w:jc w:val="left"/>
        <w:rPr>
          <w:rFonts w:hint="eastAsia" w:ascii="宋体" w:hAnsi="宋体" w:cs="宋体"/>
          <w:szCs w:val="21"/>
          <w:highlight w:val="none"/>
        </w:rPr>
      </w:pPr>
      <w:r>
        <w:rPr>
          <w:rFonts w:hint="eastAsia" w:ascii="宋体" w:hAnsi="宋体" w:cs="宋体"/>
          <w:szCs w:val="21"/>
          <w:highlight w:val="none"/>
        </w:rPr>
        <w:t>法定代表人或其委托代理人：                    法定代表人或其委托代理人：</w:t>
      </w:r>
    </w:p>
    <w:p w14:paraId="36B93DC7">
      <w:pPr>
        <w:spacing w:line="360" w:lineRule="auto"/>
        <w:jc w:val="left"/>
        <w:rPr>
          <w:rFonts w:hint="eastAsia" w:ascii="宋体" w:hAnsi="宋体" w:cs="宋体"/>
          <w:szCs w:val="21"/>
          <w:highlight w:val="none"/>
        </w:rPr>
      </w:pPr>
      <w:r>
        <w:rPr>
          <w:rFonts w:hint="eastAsia" w:ascii="宋体" w:hAnsi="宋体" w:cs="宋体"/>
          <w:szCs w:val="21"/>
          <w:highlight w:val="none"/>
        </w:rPr>
        <w:t>（签字）</w:t>
      </w:r>
      <w:r>
        <w:rPr>
          <w:rFonts w:hint="eastAsia" w:ascii="宋体" w:hAnsi="宋体" w:cs="宋体"/>
          <w:szCs w:val="21"/>
          <w:highlight w:val="none"/>
        </w:rPr>
        <w:tab/>
      </w:r>
      <w:r>
        <w:rPr>
          <w:rFonts w:hint="eastAsia" w:ascii="宋体" w:hAnsi="宋体" w:cs="宋体"/>
          <w:szCs w:val="21"/>
          <w:highlight w:val="none"/>
        </w:rPr>
        <w:tab/>
      </w:r>
      <w:r>
        <w:rPr>
          <w:rFonts w:hint="eastAsia" w:ascii="宋体" w:hAnsi="宋体" w:cs="宋体"/>
          <w:szCs w:val="21"/>
          <w:highlight w:val="none"/>
        </w:rPr>
        <w:t xml:space="preserve">                               （签字）</w:t>
      </w:r>
    </w:p>
    <w:p w14:paraId="7B83D3EE">
      <w:pPr>
        <w:spacing w:line="360" w:lineRule="auto"/>
        <w:jc w:val="left"/>
        <w:rPr>
          <w:rFonts w:hint="eastAsia" w:ascii="宋体" w:hAnsi="宋体" w:cs="宋体"/>
          <w:b/>
          <w:szCs w:val="21"/>
          <w:highlight w:val="none"/>
        </w:rPr>
      </w:pPr>
      <w:r>
        <w:rPr>
          <w:rFonts w:hint="eastAsia" w:ascii="宋体" w:hAnsi="宋体" w:cs="宋体"/>
          <w:szCs w:val="21"/>
          <w:highlight w:val="none"/>
        </w:rPr>
        <w:tab/>
      </w:r>
      <w:r>
        <w:rPr>
          <w:rFonts w:hint="eastAsia" w:ascii="宋体" w:hAnsi="宋体" w:cs="宋体"/>
          <w:szCs w:val="21"/>
          <w:highlight w:val="none"/>
        </w:rPr>
        <w:t xml:space="preserve">年  </w:t>
      </w:r>
      <w:r>
        <w:rPr>
          <w:rFonts w:hint="eastAsia" w:ascii="宋体" w:hAnsi="宋体" w:cs="宋体"/>
          <w:szCs w:val="21"/>
          <w:highlight w:val="none"/>
        </w:rPr>
        <w:tab/>
      </w:r>
      <w:r>
        <w:rPr>
          <w:rFonts w:hint="eastAsia" w:ascii="宋体" w:hAnsi="宋体" w:cs="宋体"/>
          <w:szCs w:val="21"/>
          <w:highlight w:val="none"/>
        </w:rPr>
        <w:t>月</w:t>
      </w:r>
      <w:r>
        <w:rPr>
          <w:rFonts w:hint="eastAsia" w:ascii="宋体" w:hAnsi="宋体" w:cs="宋体"/>
          <w:szCs w:val="21"/>
          <w:highlight w:val="none"/>
        </w:rPr>
        <w:tab/>
      </w:r>
      <w:r>
        <w:rPr>
          <w:rFonts w:hint="eastAsia" w:ascii="宋体" w:hAnsi="宋体" w:cs="宋体"/>
          <w:szCs w:val="21"/>
          <w:highlight w:val="none"/>
        </w:rPr>
        <w:t xml:space="preserve">   日</w:t>
      </w:r>
      <w:r>
        <w:rPr>
          <w:rFonts w:hint="eastAsia" w:ascii="宋体" w:hAnsi="宋体" w:cs="宋体"/>
          <w:szCs w:val="21"/>
          <w:highlight w:val="none"/>
        </w:rPr>
        <w:tab/>
      </w:r>
      <w:r>
        <w:rPr>
          <w:rFonts w:hint="eastAsia" w:ascii="宋体" w:hAnsi="宋体" w:cs="宋体"/>
          <w:szCs w:val="21"/>
          <w:highlight w:val="none"/>
        </w:rPr>
        <w:tab/>
      </w:r>
      <w:r>
        <w:rPr>
          <w:rFonts w:hint="eastAsia" w:ascii="宋体" w:hAnsi="宋体" w:cs="宋体"/>
          <w:szCs w:val="21"/>
          <w:highlight w:val="none"/>
        </w:rPr>
        <w:t xml:space="preserve">               年 </w:t>
      </w:r>
      <w:r>
        <w:rPr>
          <w:rFonts w:hint="eastAsia" w:ascii="宋体" w:hAnsi="宋体" w:cs="宋体"/>
          <w:szCs w:val="21"/>
          <w:highlight w:val="none"/>
        </w:rPr>
        <w:tab/>
      </w:r>
      <w:r>
        <w:rPr>
          <w:rFonts w:hint="eastAsia" w:ascii="宋体" w:hAnsi="宋体" w:cs="宋体"/>
          <w:szCs w:val="21"/>
          <w:highlight w:val="none"/>
        </w:rPr>
        <w:t xml:space="preserve">  月 </w:t>
      </w:r>
      <w:r>
        <w:rPr>
          <w:rFonts w:hint="eastAsia" w:ascii="宋体" w:hAnsi="宋体" w:cs="宋体"/>
          <w:szCs w:val="21"/>
          <w:highlight w:val="none"/>
        </w:rPr>
        <w:tab/>
      </w:r>
      <w:r>
        <w:rPr>
          <w:rFonts w:hint="eastAsia" w:ascii="宋体" w:hAnsi="宋体" w:cs="宋体"/>
          <w:szCs w:val="21"/>
          <w:highlight w:val="none"/>
        </w:rPr>
        <w:t xml:space="preserve">  日</w:t>
      </w:r>
    </w:p>
    <w:p w14:paraId="0B664D19">
      <w:pPr>
        <w:spacing w:before="120" w:beforeLines="50" w:line="360" w:lineRule="auto"/>
        <w:rPr>
          <w:rFonts w:hint="eastAsia" w:ascii="宋体" w:hAnsi="宋体" w:cs="宋体"/>
          <w:b/>
          <w:szCs w:val="21"/>
          <w:highlight w:val="none"/>
        </w:rPr>
        <w:sectPr>
          <w:pgSz w:w="11906" w:h="16838"/>
          <w:pgMar w:top="1440" w:right="1080" w:bottom="1440" w:left="1080" w:header="851" w:footer="851" w:gutter="0"/>
          <w:pgBorders>
            <w:top w:val="none" w:sz="0" w:space="0"/>
            <w:left w:val="none" w:sz="0" w:space="0"/>
            <w:bottom w:val="none" w:sz="0" w:space="0"/>
            <w:right w:val="none" w:sz="0" w:space="0"/>
          </w:pgBorders>
          <w:cols w:space="720" w:num="1"/>
          <w:docGrid w:linePitch="312" w:charSpace="0"/>
        </w:sectPr>
      </w:pPr>
    </w:p>
    <w:p w14:paraId="6EA86077">
      <w:pPr>
        <w:spacing w:before="120" w:beforeLines="50" w:line="360" w:lineRule="auto"/>
        <w:rPr>
          <w:rFonts w:hint="eastAsia" w:ascii="宋体" w:hAnsi="宋体" w:cs="宋体"/>
          <w:b/>
          <w:szCs w:val="21"/>
          <w:highlight w:val="none"/>
        </w:rPr>
      </w:pPr>
      <w:r>
        <w:rPr>
          <w:rFonts w:hint="eastAsia" w:ascii="宋体" w:hAnsi="宋体" w:cs="宋体"/>
          <w:b/>
          <w:szCs w:val="21"/>
          <w:highlight w:val="none"/>
        </w:rPr>
        <w:t>附件一  廉政合同</w:t>
      </w:r>
    </w:p>
    <w:p w14:paraId="4C89B1C3">
      <w:pPr>
        <w:spacing w:line="360" w:lineRule="auto"/>
        <w:jc w:val="center"/>
        <w:rPr>
          <w:rFonts w:hint="eastAsia" w:ascii="宋体" w:hAnsi="宋体" w:cs="宋体"/>
          <w:b/>
          <w:szCs w:val="21"/>
          <w:highlight w:val="none"/>
        </w:rPr>
      </w:pPr>
      <w:r>
        <w:rPr>
          <w:rFonts w:hint="eastAsia" w:ascii="宋体" w:hAnsi="宋体" w:cs="宋体"/>
          <w:b/>
          <w:szCs w:val="21"/>
          <w:highlight w:val="none"/>
        </w:rPr>
        <w:t>廉政合同</w:t>
      </w:r>
    </w:p>
    <w:p w14:paraId="59755B7B">
      <w:pPr>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根据交通运输部《关于在交通基础设施建设中加强廉政建设的若干意见》以及有关工程建设、廉政建设的规定，为做好工程建设中的党风廉政建设，保证工程建设高效优质，保证建设资金的安全和有效使用以及投资效益，</w:t>
      </w:r>
      <w:r>
        <w:rPr>
          <w:rFonts w:hint="eastAsia" w:ascii="宋体" w:hAnsi="宋体" w:cs="宋体"/>
          <w:szCs w:val="21"/>
          <w:highlight w:val="none"/>
          <w:u w:val="single"/>
        </w:rPr>
        <w:t xml:space="preserve"> </w:t>
      </w:r>
      <w:r>
        <w:rPr>
          <w:rFonts w:hint="eastAsia" w:ascii="宋体" w:hAnsi="宋体" w:cs="宋体"/>
          <w:szCs w:val="21"/>
          <w:highlight w:val="none"/>
          <w:u w:val="single"/>
          <w:lang w:eastAsia="zh-CN"/>
        </w:rPr>
        <w:t>2026年泰州市快速路隧道、桥梁定期检查项目</w:t>
      </w:r>
      <w:r>
        <w:rPr>
          <w:rFonts w:hint="eastAsia" w:ascii="宋体" w:hAnsi="宋体" w:cs="宋体"/>
          <w:szCs w:val="21"/>
          <w:highlight w:val="none"/>
          <w:u w:val="single"/>
        </w:rPr>
        <w:t xml:space="preserve"> </w:t>
      </w:r>
      <w:r>
        <w:rPr>
          <w:rFonts w:hint="eastAsia" w:ascii="宋体" w:hAnsi="宋体" w:cs="宋体"/>
          <w:szCs w:val="21"/>
          <w:highlight w:val="none"/>
        </w:rPr>
        <w:t>的甲方</w:t>
      </w:r>
      <w:r>
        <w:rPr>
          <w:rFonts w:hint="eastAsia" w:ascii="宋体" w:hAnsi="宋体" w:cs="宋体"/>
          <w:szCs w:val="21"/>
          <w:highlight w:val="none"/>
          <w:u w:val="single"/>
        </w:rPr>
        <w:t xml:space="preserve"> 泰州市公路事业发展中心</w:t>
      </w:r>
      <w:r>
        <w:rPr>
          <w:rFonts w:hint="eastAsia" w:ascii="宋体" w:hAnsi="宋体" w:cs="宋体"/>
          <w:szCs w:val="21"/>
          <w:highlight w:val="none"/>
        </w:rPr>
        <w:t>与乙方</w:t>
      </w:r>
      <w:r>
        <w:rPr>
          <w:rFonts w:hint="eastAsia" w:ascii="宋体" w:hAnsi="宋体" w:cs="宋体"/>
          <w:szCs w:val="21"/>
          <w:highlight w:val="none"/>
          <w:u w:val="single"/>
        </w:rPr>
        <w:t>（全称）</w:t>
      </w:r>
      <w:r>
        <w:rPr>
          <w:rFonts w:hint="eastAsia" w:ascii="宋体" w:hAnsi="宋体" w:cs="宋体"/>
          <w:szCs w:val="21"/>
          <w:highlight w:val="none"/>
        </w:rPr>
        <w:t>特订立如下合同。</w:t>
      </w:r>
    </w:p>
    <w:p w14:paraId="06436F21">
      <w:pPr>
        <w:spacing w:line="360" w:lineRule="auto"/>
        <w:ind w:firstLine="420" w:firstLineChars="200"/>
        <w:rPr>
          <w:rFonts w:hint="eastAsia" w:ascii="宋体" w:hAnsi="宋体" w:cs="宋体"/>
          <w:szCs w:val="21"/>
          <w:highlight w:val="none"/>
        </w:rPr>
      </w:pPr>
      <w:r>
        <w:rPr>
          <w:rFonts w:hint="eastAsia" w:ascii="宋体" w:hAnsi="宋体" w:cs="宋体"/>
          <w:bCs/>
          <w:szCs w:val="21"/>
          <w:highlight w:val="none"/>
        </w:rPr>
        <w:t>第一条</w:t>
      </w:r>
      <w:r>
        <w:rPr>
          <w:rFonts w:hint="eastAsia" w:ascii="宋体" w:hAnsi="宋体" w:cs="宋体"/>
          <w:b/>
          <w:szCs w:val="21"/>
          <w:highlight w:val="none"/>
        </w:rPr>
        <w:t xml:space="preserve"> </w:t>
      </w:r>
      <w:r>
        <w:rPr>
          <w:rFonts w:hint="eastAsia" w:ascii="宋体" w:hAnsi="宋体" w:cs="宋体"/>
          <w:szCs w:val="21"/>
          <w:highlight w:val="none"/>
        </w:rPr>
        <w:t>甲乙双方的权利和义务</w:t>
      </w:r>
    </w:p>
    <w:p w14:paraId="640AF89D">
      <w:pPr>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（一）严格遵守国家有关法律法规及交通运输部的有关规定。</w:t>
      </w:r>
    </w:p>
    <w:p w14:paraId="13F07EA6">
      <w:pPr>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 xml:space="preserve">（二）严格执行 </w:t>
      </w:r>
      <w:r>
        <w:rPr>
          <w:rFonts w:hint="eastAsia" w:ascii="宋体" w:hAnsi="宋体" w:cs="宋体"/>
          <w:szCs w:val="21"/>
          <w:highlight w:val="none"/>
          <w:u w:val="single"/>
          <w:lang w:eastAsia="zh-CN"/>
        </w:rPr>
        <w:t>2026年泰州市快速路隧道、桥梁定期检查项目</w:t>
      </w:r>
      <w:r>
        <w:rPr>
          <w:rFonts w:hint="eastAsia" w:ascii="宋体" w:hAnsi="宋体" w:cs="宋体"/>
          <w:szCs w:val="21"/>
          <w:highlight w:val="none"/>
        </w:rPr>
        <w:t>的合同文件，自觉按合同办事。</w:t>
      </w:r>
    </w:p>
    <w:p w14:paraId="0C375118">
      <w:pPr>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（三）双方的业务活动坚持公开、公正、诚信、透明的原则（除法律认定的商业秘密和合同文件另有规定之外），不得损害国家和集体利益，违反工程建设管理规章制度。</w:t>
      </w:r>
    </w:p>
    <w:p w14:paraId="412EAE55">
      <w:pPr>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（四）建立健全廉政制度，开展廉政教育，设立廉政告示牌，公布举报电话，监督并认真查处违法违纪行为。</w:t>
      </w:r>
    </w:p>
    <w:p w14:paraId="36E2B797">
      <w:pPr>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（五）发现对方在业务活动中有违反廉政规定的行为，有及时提醒对方纠正的权利和义务。</w:t>
      </w:r>
    </w:p>
    <w:p w14:paraId="32A9E4FD">
      <w:pPr>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（六）发现对方严重违反本合同义务条款的行为，有向其上级有关部门举报、建议给予处理并要求告知处理结果的权利。影响合同履行的，可按照合同中关于合同解除的约定处理。</w:t>
      </w:r>
    </w:p>
    <w:p w14:paraId="3AC27C2D">
      <w:pPr>
        <w:spacing w:line="360" w:lineRule="auto"/>
        <w:ind w:firstLine="420" w:firstLineChars="200"/>
        <w:rPr>
          <w:rFonts w:hint="eastAsia" w:ascii="宋体" w:hAnsi="宋体" w:cs="宋体"/>
          <w:szCs w:val="21"/>
          <w:highlight w:val="none"/>
        </w:rPr>
      </w:pPr>
      <w:r>
        <w:rPr>
          <w:rFonts w:hint="eastAsia" w:ascii="宋体" w:hAnsi="宋体" w:cs="宋体"/>
          <w:bCs/>
          <w:szCs w:val="21"/>
          <w:highlight w:val="none"/>
        </w:rPr>
        <w:t>第二条</w:t>
      </w:r>
      <w:r>
        <w:rPr>
          <w:rFonts w:hint="eastAsia" w:ascii="宋体" w:hAnsi="宋体" w:cs="宋体"/>
          <w:b/>
          <w:szCs w:val="21"/>
          <w:highlight w:val="none"/>
        </w:rPr>
        <w:t xml:space="preserve"> </w:t>
      </w:r>
      <w:r>
        <w:rPr>
          <w:rFonts w:hint="eastAsia" w:ascii="宋体" w:hAnsi="宋体" w:cs="宋体"/>
          <w:szCs w:val="21"/>
          <w:highlight w:val="none"/>
        </w:rPr>
        <w:t>甲方的义务</w:t>
      </w:r>
    </w:p>
    <w:p w14:paraId="5222A203">
      <w:pPr>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（一）甲方作为工程项目的建设单位，认真履行合同规定的甲方责任。</w:t>
      </w:r>
    </w:p>
    <w:p w14:paraId="15AE3ADD">
      <w:pPr>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（二）甲方及其工作人员不得索要或接受乙方的礼金、有价证券和贵重物品，不得在乙方报销任何应由甲方或个人支付的费用等。</w:t>
      </w:r>
    </w:p>
    <w:p w14:paraId="5814E7BB">
      <w:pPr>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（三）甲方工作人员不得参加乙方安排的超标准宴请和娱乐活动；不得接受乙方提供的通讯工具、交通工具和高档办公用品等。</w:t>
      </w:r>
    </w:p>
    <w:p w14:paraId="350ADAA9">
      <w:pPr>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（四）甲方及其工作人员不得要求或者接受乙方为其住房装修、婚丧嫁娶活动、配偶子女的工作安排以及出国出境、旅游等提供方便等。</w:t>
      </w:r>
    </w:p>
    <w:p w14:paraId="7C73442E">
      <w:pPr>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（五）甲方工作人员的配偶、子女不得从事与甲方工程有关的    项目。</w:t>
      </w:r>
    </w:p>
    <w:p w14:paraId="6D0BA127">
      <w:pPr>
        <w:spacing w:line="360" w:lineRule="auto"/>
        <w:ind w:firstLine="420" w:firstLineChars="200"/>
        <w:rPr>
          <w:rFonts w:hint="eastAsia" w:ascii="宋体" w:hAnsi="宋体" w:cs="宋体"/>
          <w:szCs w:val="21"/>
          <w:highlight w:val="none"/>
        </w:rPr>
      </w:pPr>
      <w:r>
        <w:rPr>
          <w:rFonts w:hint="eastAsia" w:ascii="宋体" w:hAnsi="宋体" w:cs="宋体"/>
          <w:bCs/>
          <w:szCs w:val="21"/>
          <w:highlight w:val="none"/>
        </w:rPr>
        <w:t>第三条</w:t>
      </w:r>
      <w:r>
        <w:rPr>
          <w:rFonts w:hint="eastAsia" w:ascii="宋体" w:hAnsi="宋体" w:cs="宋体"/>
          <w:b/>
          <w:szCs w:val="21"/>
          <w:highlight w:val="none"/>
        </w:rPr>
        <w:t xml:space="preserve"> </w:t>
      </w:r>
      <w:r>
        <w:rPr>
          <w:rFonts w:hint="eastAsia" w:ascii="宋体" w:hAnsi="宋体" w:cs="宋体"/>
          <w:szCs w:val="21"/>
          <w:highlight w:val="none"/>
        </w:rPr>
        <w:t>乙方的义务</w:t>
      </w:r>
    </w:p>
    <w:p w14:paraId="72324C87">
      <w:pPr>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（一）乙方不得以任何理由向甲方及其工作人员行贿或馈赠礼金、有价证券、贵重礼品。</w:t>
      </w:r>
    </w:p>
    <w:p w14:paraId="0EAEBE86">
      <w:pPr>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二）乙方不得以任何名义为甲方及其工作人员报销应由甲方单位或个人支付的任何费用。</w:t>
      </w:r>
    </w:p>
    <w:p w14:paraId="60CFC84F">
      <w:pPr>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（三）乙方不得以任何理由安排甲方工作人员参加超标准宴请及娱乐活动。</w:t>
      </w:r>
    </w:p>
    <w:p w14:paraId="1E44704B">
      <w:pPr>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（四）乙方不得为甲方单位和个人购置或提供通讯工具、交通工具和高档办公用品等。</w:t>
      </w:r>
    </w:p>
    <w:p w14:paraId="4294AECF">
      <w:pPr>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（五）乙方及其工作人员不得索取或接受工作关系单位的礼金、有价证券和贵重物品，不得在工作关系报销任何应由乙方或个人支付的费用。</w:t>
      </w:r>
    </w:p>
    <w:p w14:paraId="5D031290">
      <w:pPr>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（六）乙方及其工作人员必须严格按照   规程办事，不得损害甲方利益。</w:t>
      </w:r>
    </w:p>
    <w:p w14:paraId="59EC1692">
      <w:pPr>
        <w:spacing w:line="360" w:lineRule="auto"/>
        <w:ind w:firstLine="420" w:firstLineChars="200"/>
        <w:rPr>
          <w:rFonts w:hint="eastAsia" w:ascii="宋体" w:hAnsi="宋体" w:cs="宋体"/>
          <w:szCs w:val="21"/>
          <w:highlight w:val="none"/>
        </w:rPr>
      </w:pPr>
      <w:r>
        <w:rPr>
          <w:rFonts w:hint="eastAsia" w:ascii="宋体" w:hAnsi="宋体" w:cs="宋体"/>
          <w:bCs/>
          <w:szCs w:val="21"/>
          <w:highlight w:val="none"/>
        </w:rPr>
        <w:t>第四条</w:t>
      </w:r>
      <w:r>
        <w:rPr>
          <w:rFonts w:hint="eastAsia" w:ascii="宋体" w:hAnsi="宋体" w:cs="宋体"/>
          <w:b/>
          <w:szCs w:val="21"/>
          <w:highlight w:val="none"/>
        </w:rPr>
        <w:t xml:space="preserve"> </w:t>
      </w:r>
      <w:r>
        <w:rPr>
          <w:rFonts w:hint="eastAsia" w:ascii="宋体" w:hAnsi="宋体" w:cs="宋体"/>
          <w:szCs w:val="21"/>
          <w:highlight w:val="none"/>
        </w:rPr>
        <w:t>违约责任</w:t>
      </w:r>
    </w:p>
    <w:p w14:paraId="512ACD55">
      <w:pPr>
        <w:spacing w:line="360" w:lineRule="auto"/>
        <w:ind w:firstLine="420" w:firstLineChars="200"/>
        <w:rPr>
          <w:szCs w:val="21"/>
          <w:highlight w:val="none"/>
        </w:rPr>
      </w:pPr>
      <w:r>
        <w:rPr>
          <w:szCs w:val="21"/>
          <w:highlight w:val="none"/>
        </w:rPr>
        <w:t>（一）甲方及其工作人员违反本合同第一、二条；按管理权限，依据有关规定给予党纪、政纪或组织处理；涉嫌犯罪的，移交司法机关追究刑事责任；给乙方单位造成经济损失的，应予以赔偿。</w:t>
      </w:r>
    </w:p>
    <w:p w14:paraId="72141E1A">
      <w:pPr>
        <w:spacing w:line="360" w:lineRule="auto"/>
        <w:ind w:firstLine="420" w:firstLineChars="200"/>
        <w:rPr>
          <w:szCs w:val="21"/>
          <w:highlight w:val="none"/>
        </w:rPr>
      </w:pPr>
      <w:r>
        <w:rPr>
          <w:szCs w:val="21"/>
          <w:highlight w:val="none"/>
        </w:rPr>
        <w:t>（二）乙方及其工作人员违反本合同第一、三条，按管理权限依据有关规定，给予党纪、政纪或组织处理；给甲方单位造成经济损失的，应予以赔偿；情节严重的，甲方建议交通工程建设主管部门给予乙方一至三年内不得进入其主管的交通工程建设市场的处罚。</w:t>
      </w:r>
    </w:p>
    <w:p w14:paraId="08D3BEB0">
      <w:pPr>
        <w:spacing w:line="360" w:lineRule="auto"/>
        <w:ind w:firstLine="420" w:firstLineChars="200"/>
        <w:rPr>
          <w:szCs w:val="21"/>
          <w:highlight w:val="none"/>
        </w:rPr>
      </w:pPr>
      <w:r>
        <w:rPr>
          <w:bCs/>
          <w:szCs w:val="21"/>
          <w:highlight w:val="none"/>
        </w:rPr>
        <w:t>第五条</w:t>
      </w:r>
      <w:r>
        <w:rPr>
          <w:rFonts w:hint="eastAsia"/>
          <w:b/>
          <w:szCs w:val="21"/>
          <w:highlight w:val="none"/>
        </w:rPr>
        <w:t xml:space="preserve"> </w:t>
      </w:r>
      <w:r>
        <w:rPr>
          <w:szCs w:val="21"/>
          <w:highlight w:val="none"/>
        </w:rPr>
        <w:t>双方约定：本合同由双方或双方上级单位的纪检监察机关负责监督执行。由甲方或甲方上级单位的纪检监察机关约请乙方或乙方上级单位纪检监察机关对本合同执行情况进行检查；提出在本合同规定范围内的裁定意见。</w:t>
      </w:r>
    </w:p>
    <w:p w14:paraId="3E472780">
      <w:pPr>
        <w:spacing w:line="360" w:lineRule="auto"/>
        <w:ind w:firstLine="420" w:firstLineChars="200"/>
        <w:rPr>
          <w:szCs w:val="21"/>
          <w:highlight w:val="none"/>
        </w:rPr>
      </w:pPr>
      <w:r>
        <w:rPr>
          <w:bCs/>
          <w:szCs w:val="21"/>
          <w:highlight w:val="none"/>
        </w:rPr>
        <w:t>第六条</w:t>
      </w:r>
      <w:r>
        <w:rPr>
          <w:rFonts w:hint="eastAsia"/>
          <w:b/>
          <w:szCs w:val="21"/>
          <w:highlight w:val="none"/>
        </w:rPr>
        <w:t xml:space="preserve"> </w:t>
      </w:r>
      <w:r>
        <w:rPr>
          <w:szCs w:val="21"/>
          <w:highlight w:val="none"/>
        </w:rPr>
        <w:t>本合同有效期为甲乙双方签署之日起至该工程项目</w:t>
      </w:r>
      <w:r>
        <w:rPr>
          <w:rFonts w:hint="eastAsia"/>
          <w:szCs w:val="21"/>
          <w:highlight w:val="none"/>
          <w:u w:val="single"/>
        </w:rPr>
        <w:t xml:space="preserve">         </w:t>
      </w:r>
      <w:r>
        <w:rPr>
          <w:szCs w:val="21"/>
          <w:highlight w:val="none"/>
        </w:rPr>
        <w:t>后止。</w:t>
      </w:r>
    </w:p>
    <w:p w14:paraId="4AC330DE">
      <w:pPr>
        <w:spacing w:line="360" w:lineRule="auto"/>
        <w:ind w:firstLine="420" w:firstLineChars="200"/>
        <w:rPr>
          <w:szCs w:val="21"/>
          <w:highlight w:val="none"/>
        </w:rPr>
      </w:pPr>
      <w:r>
        <w:rPr>
          <w:bCs/>
          <w:szCs w:val="21"/>
          <w:highlight w:val="none"/>
        </w:rPr>
        <w:t>第七条</w:t>
      </w:r>
      <w:r>
        <w:rPr>
          <w:rFonts w:hint="eastAsia"/>
          <w:b/>
          <w:szCs w:val="21"/>
          <w:highlight w:val="none"/>
        </w:rPr>
        <w:t xml:space="preserve"> </w:t>
      </w:r>
      <w:r>
        <w:rPr>
          <w:szCs w:val="21"/>
          <w:highlight w:val="none"/>
        </w:rPr>
        <w:t>本合同作为</w:t>
      </w:r>
      <w:r>
        <w:rPr>
          <w:rFonts w:hint="eastAsia"/>
          <w:szCs w:val="21"/>
          <w:highlight w:val="none"/>
        </w:rPr>
        <w:t>XX</w:t>
      </w:r>
      <w:r>
        <w:rPr>
          <w:szCs w:val="21"/>
          <w:highlight w:val="none"/>
        </w:rPr>
        <w:t>合同的附件，与</w:t>
      </w:r>
      <w:r>
        <w:rPr>
          <w:rFonts w:hint="eastAsia"/>
          <w:szCs w:val="21"/>
          <w:highlight w:val="none"/>
        </w:rPr>
        <w:t>XX</w:t>
      </w:r>
      <w:r>
        <w:rPr>
          <w:szCs w:val="21"/>
          <w:highlight w:val="none"/>
        </w:rPr>
        <w:t>合同具有同等的法律效力，经合同双方签署立即生效。</w:t>
      </w:r>
    </w:p>
    <w:p w14:paraId="3D36868C">
      <w:pPr>
        <w:spacing w:line="360" w:lineRule="auto"/>
        <w:ind w:left="420"/>
        <w:rPr>
          <w:szCs w:val="21"/>
          <w:highlight w:val="none"/>
        </w:rPr>
      </w:pPr>
      <w:r>
        <w:rPr>
          <w:rFonts w:hint="eastAsia"/>
          <w:bCs/>
          <w:szCs w:val="21"/>
          <w:highlight w:val="none"/>
        </w:rPr>
        <w:t>第八条</w:t>
      </w:r>
      <w:r>
        <w:rPr>
          <w:rFonts w:hint="eastAsia"/>
          <w:szCs w:val="21"/>
          <w:highlight w:val="none"/>
        </w:rPr>
        <w:t xml:space="preserve"> </w:t>
      </w:r>
      <w:r>
        <w:rPr>
          <w:szCs w:val="21"/>
          <w:highlight w:val="none"/>
        </w:rPr>
        <w:t>本合同</w:t>
      </w:r>
      <w:r>
        <w:rPr>
          <w:rFonts w:hint="eastAsia"/>
          <w:szCs w:val="21"/>
          <w:highlight w:val="none"/>
        </w:rPr>
        <w:t>一式四份</w:t>
      </w:r>
      <w:r>
        <w:rPr>
          <w:szCs w:val="21"/>
          <w:highlight w:val="none"/>
        </w:rPr>
        <w:t>，</w:t>
      </w:r>
      <w:r>
        <w:rPr>
          <w:rFonts w:hint="eastAsia"/>
          <w:szCs w:val="21"/>
          <w:highlight w:val="none"/>
        </w:rPr>
        <w:t>双方各执两份</w:t>
      </w:r>
      <w:r>
        <w:rPr>
          <w:szCs w:val="21"/>
          <w:highlight w:val="none"/>
        </w:rPr>
        <w:t>。</w:t>
      </w:r>
    </w:p>
    <w:p w14:paraId="6FD470CA">
      <w:pPr>
        <w:spacing w:line="360" w:lineRule="auto"/>
        <w:jc w:val="left"/>
        <w:rPr>
          <w:rFonts w:hint="eastAsia" w:ascii="宋体" w:hAnsi="宋体"/>
          <w:szCs w:val="21"/>
          <w:highlight w:val="none"/>
        </w:rPr>
      </w:pPr>
    </w:p>
    <w:p w14:paraId="43F7DD9C">
      <w:pPr>
        <w:spacing w:line="360" w:lineRule="auto"/>
        <w:jc w:val="left"/>
        <w:rPr>
          <w:rFonts w:hint="eastAsia" w:ascii="宋体" w:hAnsi="宋体"/>
          <w:szCs w:val="21"/>
          <w:highlight w:val="none"/>
        </w:rPr>
      </w:pPr>
    </w:p>
    <w:p w14:paraId="16FD76A0">
      <w:pPr>
        <w:spacing w:line="360" w:lineRule="auto"/>
        <w:jc w:val="left"/>
        <w:rPr>
          <w:rFonts w:hint="eastAsia" w:ascii="宋体" w:hAnsi="宋体"/>
          <w:szCs w:val="21"/>
          <w:highlight w:val="none"/>
          <w:u w:val="single"/>
        </w:rPr>
      </w:pPr>
      <w:r>
        <w:rPr>
          <w:rFonts w:hint="eastAsia" w:ascii="宋体" w:hAnsi="宋体"/>
          <w:szCs w:val="21"/>
          <w:highlight w:val="none"/>
        </w:rPr>
        <w:t>甲方：</w:t>
      </w:r>
      <w:r>
        <w:rPr>
          <w:rFonts w:ascii="宋体" w:hAnsi="宋体"/>
          <w:szCs w:val="21"/>
          <w:highlight w:val="none"/>
        </w:rPr>
        <w:tab/>
      </w:r>
      <w:r>
        <w:rPr>
          <w:rFonts w:ascii="宋体" w:hAnsi="宋体"/>
          <w:szCs w:val="21"/>
          <w:highlight w:val="none"/>
        </w:rPr>
        <w:t xml:space="preserve">       </w:t>
      </w:r>
      <w:r>
        <w:rPr>
          <w:rFonts w:hint="eastAsia" w:ascii="宋体" w:hAnsi="宋体"/>
          <w:szCs w:val="21"/>
          <w:highlight w:val="none"/>
        </w:rPr>
        <w:t xml:space="preserve">                            乙方</w:t>
      </w:r>
      <w:r>
        <w:rPr>
          <w:rFonts w:ascii="宋体" w:hAnsi="宋体"/>
          <w:szCs w:val="21"/>
          <w:highlight w:val="none"/>
        </w:rPr>
        <w:t>：</w:t>
      </w:r>
    </w:p>
    <w:p w14:paraId="14BCA082">
      <w:pPr>
        <w:spacing w:line="360" w:lineRule="auto"/>
        <w:jc w:val="left"/>
        <w:rPr>
          <w:rFonts w:hint="eastAsia" w:ascii="宋体" w:hAnsi="宋体"/>
          <w:szCs w:val="21"/>
          <w:highlight w:val="none"/>
        </w:rPr>
      </w:pPr>
      <w:r>
        <w:rPr>
          <w:rFonts w:hint="eastAsia" w:ascii="宋体" w:hAnsi="宋体"/>
          <w:szCs w:val="21"/>
          <w:highlight w:val="none"/>
        </w:rPr>
        <w:t>（盖单位章）</w:t>
      </w:r>
      <w:r>
        <w:rPr>
          <w:rFonts w:ascii="宋体" w:hAnsi="宋体"/>
          <w:szCs w:val="21"/>
          <w:highlight w:val="none"/>
        </w:rPr>
        <w:t xml:space="preserve">                            </w:t>
      </w:r>
      <w:r>
        <w:rPr>
          <w:rFonts w:hint="eastAsia" w:ascii="宋体" w:hAnsi="宋体"/>
          <w:szCs w:val="21"/>
          <w:highlight w:val="none"/>
        </w:rPr>
        <w:t xml:space="preserve">    </w:t>
      </w:r>
      <w:r>
        <w:rPr>
          <w:rFonts w:ascii="宋体" w:hAnsi="宋体"/>
          <w:szCs w:val="21"/>
          <w:highlight w:val="none"/>
        </w:rPr>
        <w:t>（盖单位章）</w:t>
      </w:r>
    </w:p>
    <w:p w14:paraId="2366608A">
      <w:pPr>
        <w:spacing w:line="360" w:lineRule="auto"/>
        <w:jc w:val="left"/>
        <w:rPr>
          <w:rFonts w:hint="eastAsia" w:ascii="宋体" w:hAnsi="宋体"/>
          <w:szCs w:val="21"/>
          <w:highlight w:val="none"/>
        </w:rPr>
      </w:pPr>
      <w:r>
        <w:rPr>
          <w:rFonts w:hint="eastAsia" w:ascii="宋体" w:hAnsi="宋体"/>
          <w:szCs w:val="21"/>
          <w:highlight w:val="none"/>
        </w:rPr>
        <w:t>法定代表人或其委托代理人：</w:t>
      </w:r>
      <w:r>
        <w:rPr>
          <w:rFonts w:ascii="宋体" w:hAnsi="宋体"/>
          <w:szCs w:val="21"/>
          <w:highlight w:val="none"/>
        </w:rPr>
        <w:t xml:space="preserve">            </w:t>
      </w:r>
      <w:r>
        <w:rPr>
          <w:rFonts w:hint="eastAsia" w:ascii="宋体" w:hAnsi="宋体"/>
          <w:szCs w:val="21"/>
          <w:highlight w:val="none"/>
        </w:rPr>
        <w:t xml:space="preserve">        </w:t>
      </w:r>
      <w:r>
        <w:rPr>
          <w:rFonts w:ascii="宋体" w:hAnsi="宋体"/>
          <w:szCs w:val="21"/>
          <w:highlight w:val="none"/>
        </w:rPr>
        <w:t>法定代表人或其委托代理人：</w:t>
      </w:r>
    </w:p>
    <w:p w14:paraId="29924249">
      <w:pPr>
        <w:spacing w:line="360" w:lineRule="auto"/>
        <w:jc w:val="left"/>
        <w:rPr>
          <w:rFonts w:hint="eastAsia" w:ascii="宋体" w:hAnsi="宋体"/>
          <w:szCs w:val="21"/>
          <w:highlight w:val="none"/>
        </w:rPr>
      </w:pPr>
      <w:r>
        <w:rPr>
          <w:rFonts w:ascii="宋体" w:hAnsi="宋体"/>
          <w:szCs w:val="21"/>
          <w:highlight w:val="none"/>
        </w:rPr>
        <w:t>（签字）</w:t>
      </w:r>
      <w:r>
        <w:rPr>
          <w:rFonts w:ascii="宋体" w:hAnsi="宋体"/>
          <w:szCs w:val="21"/>
          <w:highlight w:val="none"/>
        </w:rPr>
        <w:tab/>
      </w:r>
      <w:r>
        <w:rPr>
          <w:rFonts w:ascii="宋体" w:hAnsi="宋体"/>
          <w:szCs w:val="21"/>
          <w:highlight w:val="none"/>
        </w:rPr>
        <w:tab/>
      </w:r>
      <w:r>
        <w:rPr>
          <w:rFonts w:hint="eastAsia" w:ascii="宋体" w:hAnsi="宋体"/>
          <w:szCs w:val="21"/>
          <w:highlight w:val="none"/>
        </w:rPr>
        <w:t xml:space="preserve">                               </w:t>
      </w:r>
      <w:r>
        <w:rPr>
          <w:rFonts w:ascii="宋体" w:hAnsi="宋体"/>
          <w:szCs w:val="21"/>
          <w:highlight w:val="none"/>
        </w:rPr>
        <w:t>（签字）</w:t>
      </w:r>
    </w:p>
    <w:p w14:paraId="6B05AE2D">
      <w:pPr>
        <w:spacing w:line="360" w:lineRule="auto"/>
        <w:ind w:firstLine="480"/>
        <w:rPr>
          <w:rFonts w:hint="eastAsia" w:ascii="宋体" w:hAnsi="宋体"/>
          <w:szCs w:val="21"/>
          <w:highlight w:val="none"/>
        </w:rPr>
      </w:pPr>
      <w:r>
        <w:rPr>
          <w:rFonts w:ascii="宋体" w:hAnsi="宋体"/>
          <w:szCs w:val="21"/>
          <w:highlight w:val="none"/>
        </w:rPr>
        <w:tab/>
      </w:r>
      <w:r>
        <w:rPr>
          <w:rFonts w:ascii="宋体" w:hAnsi="宋体"/>
          <w:szCs w:val="21"/>
          <w:highlight w:val="none"/>
        </w:rPr>
        <w:t xml:space="preserve">年  </w:t>
      </w:r>
      <w:r>
        <w:rPr>
          <w:rFonts w:ascii="宋体" w:hAnsi="宋体"/>
          <w:szCs w:val="21"/>
          <w:highlight w:val="none"/>
        </w:rPr>
        <w:tab/>
      </w:r>
      <w:r>
        <w:rPr>
          <w:rFonts w:ascii="宋体" w:hAnsi="宋体"/>
          <w:szCs w:val="21"/>
          <w:highlight w:val="none"/>
        </w:rPr>
        <w:t>月</w:t>
      </w:r>
      <w:r>
        <w:rPr>
          <w:rFonts w:ascii="宋体" w:hAnsi="宋体"/>
          <w:szCs w:val="21"/>
          <w:highlight w:val="none"/>
        </w:rPr>
        <w:tab/>
      </w:r>
      <w:r>
        <w:rPr>
          <w:rFonts w:hint="eastAsia" w:ascii="宋体" w:hAnsi="宋体"/>
          <w:szCs w:val="21"/>
          <w:highlight w:val="none"/>
        </w:rPr>
        <w:t xml:space="preserve">   </w:t>
      </w:r>
      <w:r>
        <w:rPr>
          <w:rFonts w:ascii="宋体" w:hAnsi="宋体"/>
          <w:szCs w:val="21"/>
          <w:highlight w:val="none"/>
        </w:rPr>
        <w:t>日</w:t>
      </w:r>
      <w:r>
        <w:rPr>
          <w:rFonts w:ascii="宋体" w:hAnsi="宋体"/>
          <w:szCs w:val="21"/>
          <w:highlight w:val="none"/>
        </w:rPr>
        <w:tab/>
      </w:r>
      <w:r>
        <w:rPr>
          <w:rFonts w:ascii="宋体" w:hAnsi="宋体"/>
          <w:szCs w:val="21"/>
          <w:highlight w:val="none"/>
        </w:rPr>
        <w:tab/>
      </w:r>
      <w:r>
        <w:rPr>
          <w:rFonts w:ascii="宋体" w:hAnsi="宋体"/>
          <w:szCs w:val="21"/>
          <w:highlight w:val="none"/>
        </w:rPr>
        <w:t xml:space="preserve">               </w:t>
      </w:r>
      <w:r>
        <w:rPr>
          <w:rFonts w:hint="eastAsia" w:ascii="宋体" w:hAnsi="宋体"/>
          <w:szCs w:val="21"/>
          <w:highlight w:val="none"/>
        </w:rPr>
        <w:t xml:space="preserve">  </w:t>
      </w:r>
      <w:r>
        <w:rPr>
          <w:rFonts w:ascii="宋体" w:hAnsi="宋体"/>
          <w:szCs w:val="21"/>
          <w:highlight w:val="none"/>
        </w:rPr>
        <w:t xml:space="preserve">年 </w:t>
      </w:r>
      <w:r>
        <w:rPr>
          <w:rFonts w:ascii="宋体" w:hAnsi="宋体"/>
          <w:szCs w:val="21"/>
          <w:highlight w:val="none"/>
        </w:rPr>
        <w:tab/>
      </w:r>
      <w:r>
        <w:rPr>
          <w:rFonts w:ascii="宋体" w:hAnsi="宋体"/>
          <w:szCs w:val="21"/>
          <w:highlight w:val="none"/>
        </w:rPr>
        <w:t xml:space="preserve">  月 </w:t>
      </w:r>
      <w:r>
        <w:rPr>
          <w:rFonts w:ascii="宋体" w:hAnsi="宋体"/>
          <w:szCs w:val="21"/>
          <w:highlight w:val="none"/>
        </w:rPr>
        <w:tab/>
      </w:r>
      <w:r>
        <w:rPr>
          <w:rFonts w:ascii="宋体" w:hAnsi="宋体"/>
          <w:szCs w:val="21"/>
          <w:highlight w:val="none"/>
        </w:rPr>
        <w:t xml:space="preserve">  日</w:t>
      </w:r>
    </w:p>
    <w:p w14:paraId="53F7F560">
      <w:pPr>
        <w:snapToGrid w:val="0"/>
        <w:spacing w:line="360" w:lineRule="auto"/>
        <w:rPr>
          <w:rFonts w:hint="eastAsia" w:ascii="宋体" w:hAnsi="宋体"/>
          <w:szCs w:val="21"/>
          <w:highlight w:val="none"/>
        </w:rPr>
      </w:pPr>
    </w:p>
    <w:p w14:paraId="6A8D359F">
      <w:pPr>
        <w:widowControl/>
        <w:spacing w:line="360" w:lineRule="auto"/>
        <w:jc w:val="center"/>
        <w:rPr>
          <w:rFonts w:hint="eastAsia" w:ascii="宋体" w:hAnsi="宋体" w:cs="宋体"/>
          <w:b/>
          <w:szCs w:val="21"/>
          <w:highlight w:val="none"/>
        </w:rPr>
        <w:sectPr>
          <w:pgSz w:w="11906" w:h="16838"/>
          <w:pgMar w:top="1440" w:right="1080" w:bottom="1440" w:left="1080" w:header="851" w:footer="851" w:gutter="0"/>
          <w:pgBorders>
            <w:top w:val="none" w:sz="0" w:space="0"/>
            <w:left w:val="none" w:sz="0" w:space="0"/>
            <w:bottom w:val="none" w:sz="0" w:space="0"/>
            <w:right w:val="none" w:sz="0" w:space="0"/>
          </w:pgBorders>
          <w:cols w:space="720" w:num="1"/>
          <w:docGrid w:linePitch="312" w:charSpace="0"/>
        </w:sectPr>
      </w:pPr>
    </w:p>
    <w:p w14:paraId="464EF51F">
      <w:pPr>
        <w:spacing w:before="120" w:beforeLines="50" w:line="360" w:lineRule="auto"/>
        <w:rPr>
          <w:rFonts w:hint="eastAsia" w:ascii="宋体" w:hAnsi="宋体"/>
          <w:b/>
          <w:szCs w:val="21"/>
          <w:highlight w:val="none"/>
        </w:rPr>
      </w:pPr>
      <w:r>
        <w:rPr>
          <w:rFonts w:hint="eastAsia" w:ascii="宋体" w:hAnsi="宋体"/>
          <w:b/>
          <w:szCs w:val="21"/>
          <w:highlight w:val="none"/>
        </w:rPr>
        <w:t>附件二  安全生产合同</w:t>
      </w:r>
    </w:p>
    <w:p w14:paraId="5E1E705D">
      <w:pPr>
        <w:spacing w:line="360" w:lineRule="auto"/>
        <w:jc w:val="center"/>
        <w:rPr>
          <w:rFonts w:hint="eastAsia" w:ascii="宋体" w:hAnsi="宋体" w:cs="宋体"/>
          <w:b/>
          <w:bCs/>
          <w:szCs w:val="21"/>
          <w:highlight w:val="none"/>
        </w:rPr>
      </w:pPr>
      <w:r>
        <w:rPr>
          <w:rFonts w:hint="eastAsia" w:ascii="宋体" w:hAnsi="宋体" w:cs="宋体"/>
          <w:b/>
          <w:bCs/>
          <w:szCs w:val="21"/>
          <w:highlight w:val="none"/>
        </w:rPr>
        <w:t>安全生产合同</w:t>
      </w:r>
    </w:p>
    <w:p w14:paraId="50C99246">
      <w:pPr>
        <w:spacing w:line="360" w:lineRule="auto"/>
        <w:ind w:firstLine="420" w:firstLineChars="200"/>
        <w:jc w:val="left"/>
        <w:rPr>
          <w:rFonts w:hint="eastAsia" w:ascii="宋体" w:hAnsi="宋体" w:cs="宋体"/>
          <w:szCs w:val="21"/>
          <w:highlight w:val="none"/>
        </w:rPr>
      </w:pPr>
      <w:r>
        <w:rPr>
          <w:rFonts w:hint="eastAsia" w:ascii="宋体" w:hAnsi="宋体" w:cs="宋体"/>
          <w:szCs w:val="21"/>
          <w:highlight w:val="none"/>
        </w:rPr>
        <w:t xml:space="preserve">为在 </w:t>
      </w:r>
      <w:r>
        <w:rPr>
          <w:rFonts w:hint="eastAsia" w:ascii="宋体" w:hAnsi="宋体" w:cs="宋体"/>
          <w:szCs w:val="21"/>
          <w:highlight w:val="none"/>
          <w:u w:val="single"/>
        </w:rPr>
        <w:t xml:space="preserve"> </w:t>
      </w:r>
      <w:r>
        <w:rPr>
          <w:rFonts w:hint="eastAsia" w:ascii="宋体" w:hAnsi="宋体" w:cs="宋体"/>
          <w:szCs w:val="21"/>
          <w:highlight w:val="none"/>
          <w:u w:val="single"/>
          <w:lang w:eastAsia="zh-CN"/>
        </w:rPr>
        <w:t>2026年泰州市快速路隧道、桥梁定期检查项目</w:t>
      </w:r>
      <w:r>
        <w:rPr>
          <w:rFonts w:hint="eastAsia" w:ascii="宋体" w:hAnsi="宋体" w:cs="宋体"/>
          <w:szCs w:val="21"/>
          <w:highlight w:val="none"/>
          <w:u w:val="single"/>
        </w:rPr>
        <w:t xml:space="preserve">  </w:t>
      </w:r>
      <w:r>
        <w:rPr>
          <w:rFonts w:hint="eastAsia" w:ascii="宋体" w:hAnsi="宋体" w:cs="宋体"/>
          <w:szCs w:val="21"/>
          <w:highlight w:val="none"/>
        </w:rPr>
        <w:t>（项目名称、标段号）施工合同的实施过程中创造安全、高效的施工环境，切实搞好本项目的安全管理工作，本项目发包人</w:t>
      </w:r>
      <w:r>
        <w:rPr>
          <w:rFonts w:hint="eastAsia" w:ascii="宋体" w:hAnsi="宋体" w:cs="宋体"/>
          <w:szCs w:val="21"/>
          <w:highlight w:val="none"/>
          <w:u w:val="single"/>
        </w:rPr>
        <w:t xml:space="preserve"> 泰州市公路事业发展中心</w:t>
      </w:r>
      <w:r>
        <w:rPr>
          <w:rFonts w:hint="eastAsia" w:ascii="宋体" w:hAnsi="宋体" w:cs="宋体"/>
          <w:szCs w:val="21"/>
          <w:highlight w:val="none"/>
        </w:rPr>
        <w:t>（发包人名称，以下简称“甲方”）与承包人</w:t>
      </w:r>
      <w:r>
        <w:rPr>
          <w:rFonts w:hint="eastAsia" w:ascii="宋体" w:hAnsi="宋体" w:cs="宋体"/>
          <w:szCs w:val="21"/>
          <w:highlight w:val="none"/>
          <w:u w:val="single"/>
        </w:rPr>
        <w:tab/>
      </w:r>
      <w:r>
        <w:rPr>
          <w:rFonts w:hint="eastAsia" w:ascii="宋体" w:hAnsi="宋体" w:cs="宋体"/>
          <w:szCs w:val="21"/>
          <w:highlight w:val="none"/>
          <w:u w:val="single"/>
        </w:rPr>
        <w:t xml:space="preserve">      </w:t>
      </w:r>
      <w:r>
        <w:rPr>
          <w:rFonts w:hint="eastAsia" w:ascii="宋体" w:hAnsi="宋体" w:cs="宋体"/>
          <w:szCs w:val="21"/>
          <w:highlight w:val="none"/>
        </w:rPr>
        <w:t>（承包人名称，以下简称“乙方”）特此签订安全生产合同。</w:t>
      </w:r>
    </w:p>
    <w:p w14:paraId="5FFD763F">
      <w:pPr>
        <w:spacing w:line="360" w:lineRule="auto"/>
        <w:ind w:firstLine="420" w:firstLineChars="200"/>
        <w:jc w:val="left"/>
        <w:rPr>
          <w:rFonts w:hint="eastAsia" w:ascii="宋体" w:hAnsi="宋体" w:cs="宋体"/>
          <w:szCs w:val="21"/>
          <w:highlight w:val="none"/>
        </w:rPr>
      </w:pPr>
      <w:r>
        <w:rPr>
          <w:rFonts w:hint="eastAsia" w:ascii="宋体" w:hAnsi="宋体" w:cs="宋体"/>
          <w:szCs w:val="21"/>
          <w:highlight w:val="none"/>
        </w:rPr>
        <w:t>1.甲方职责</w:t>
      </w:r>
    </w:p>
    <w:p w14:paraId="19AE4188">
      <w:pPr>
        <w:spacing w:line="360" w:lineRule="auto"/>
        <w:ind w:firstLine="210" w:firstLineChars="100"/>
        <w:jc w:val="left"/>
        <w:rPr>
          <w:rFonts w:hint="eastAsia" w:ascii="宋体" w:hAnsi="宋体" w:cs="宋体"/>
          <w:szCs w:val="21"/>
          <w:highlight w:val="none"/>
        </w:rPr>
      </w:pPr>
      <w:r>
        <w:rPr>
          <w:rFonts w:hint="eastAsia" w:ascii="宋体" w:hAnsi="宋体" w:cs="宋体"/>
          <w:szCs w:val="21"/>
          <w:highlight w:val="none"/>
        </w:rPr>
        <w:t>（1）严格遵守国家有关安全生产的法律法规，认真执行工程承包合同中的有关安全要求。</w:t>
      </w:r>
    </w:p>
    <w:p w14:paraId="4D14AE6F">
      <w:pPr>
        <w:spacing w:line="360" w:lineRule="auto"/>
        <w:ind w:firstLine="210" w:firstLineChars="100"/>
        <w:jc w:val="left"/>
        <w:rPr>
          <w:rFonts w:hint="eastAsia" w:ascii="宋体" w:hAnsi="宋体" w:cs="宋体"/>
          <w:szCs w:val="21"/>
          <w:highlight w:val="none"/>
        </w:rPr>
      </w:pPr>
      <w:r>
        <w:rPr>
          <w:rFonts w:hint="eastAsia" w:ascii="宋体" w:hAnsi="宋体" w:cs="宋体"/>
          <w:szCs w:val="21"/>
          <w:highlight w:val="none"/>
        </w:rPr>
        <w:t>（2）按照“安全第一、预防为主、综合治理”和坚持“管生产必须管安全”的原则进行安全生产管理，做到生产与安全工作同时计划、布置、检查、总结和评比。</w:t>
      </w:r>
    </w:p>
    <w:p w14:paraId="2D74C2B9">
      <w:pPr>
        <w:spacing w:line="360" w:lineRule="auto"/>
        <w:ind w:firstLine="210" w:firstLineChars="100"/>
        <w:jc w:val="left"/>
        <w:rPr>
          <w:rFonts w:hint="eastAsia" w:ascii="宋体" w:hAnsi="宋体" w:cs="宋体"/>
          <w:szCs w:val="21"/>
          <w:highlight w:val="none"/>
        </w:rPr>
      </w:pPr>
      <w:r>
        <w:rPr>
          <w:rFonts w:hint="eastAsia" w:ascii="宋体" w:hAnsi="宋体" w:cs="宋体"/>
          <w:szCs w:val="21"/>
          <w:highlight w:val="none"/>
        </w:rPr>
        <w:t>（3）重要的安全设施必须坚持与主体工程“三同时”的原则，即：同时设计、审批，同时施工，同时验收，投入使用。</w:t>
      </w:r>
    </w:p>
    <w:p w14:paraId="735F0A59">
      <w:pPr>
        <w:spacing w:line="360" w:lineRule="auto"/>
        <w:ind w:firstLine="210" w:firstLineChars="100"/>
        <w:jc w:val="left"/>
        <w:rPr>
          <w:rFonts w:hint="eastAsia" w:ascii="宋体" w:hAnsi="宋体" w:cs="宋体"/>
          <w:szCs w:val="21"/>
          <w:highlight w:val="none"/>
        </w:rPr>
      </w:pPr>
      <w:r>
        <w:rPr>
          <w:rFonts w:hint="eastAsia" w:ascii="宋体" w:hAnsi="宋体" w:cs="宋体"/>
          <w:szCs w:val="21"/>
          <w:highlight w:val="none"/>
        </w:rPr>
        <w:t>（4）定期召开安全生产调度会，及时传达中央及地方有关安全生产的精神。</w:t>
      </w:r>
    </w:p>
    <w:p w14:paraId="201CDBB0">
      <w:pPr>
        <w:spacing w:line="360" w:lineRule="auto"/>
        <w:ind w:firstLine="210" w:firstLineChars="100"/>
        <w:jc w:val="left"/>
        <w:rPr>
          <w:rFonts w:hint="eastAsia" w:ascii="宋体" w:hAnsi="宋体" w:cs="宋体"/>
          <w:szCs w:val="21"/>
          <w:highlight w:val="none"/>
        </w:rPr>
      </w:pPr>
      <w:r>
        <w:rPr>
          <w:rFonts w:hint="eastAsia" w:ascii="宋体" w:hAnsi="宋体" w:cs="宋体"/>
          <w:szCs w:val="21"/>
          <w:highlight w:val="none"/>
        </w:rPr>
        <w:t>（5）组织对乙方施工现场进行安全生产检查，监督乙方及时处理发现的各种安全隐患。</w:t>
      </w:r>
    </w:p>
    <w:p w14:paraId="0E24C363">
      <w:pPr>
        <w:spacing w:line="360" w:lineRule="auto"/>
        <w:ind w:firstLine="420" w:firstLineChars="200"/>
        <w:jc w:val="left"/>
        <w:rPr>
          <w:rFonts w:hint="eastAsia" w:ascii="宋体" w:hAnsi="宋体" w:cs="宋体"/>
          <w:szCs w:val="21"/>
          <w:highlight w:val="none"/>
        </w:rPr>
      </w:pPr>
      <w:r>
        <w:rPr>
          <w:rFonts w:hint="eastAsia" w:ascii="宋体" w:hAnsi="宋体" w:cs="宋体"/>
          <w:szCs w:val="21"/>
          <w:highlight w:val="none"/>
        </w:rPr>
        <w:t>2.乙方职责</w:t>
      </w:r>
    </w:p>
    <w:p w14:paraId="33685547">
      <w:pPr>
        <w:spacing w:line="360" w:lineRule="auto"/>
        <w:ind w:firstLine="210" w:firstLineChars="100"/>
        <w:jc w:val="left"/>
        <w:rPr>
          <w:rFonts w:hint="eastAsia" w:ascii="宋体" w:hAnsi="宋体" w:cs="宋体"/>
          <w:szCs w:val="21"/>
          <w:highlight w:val="none"/>
        </w:rPr>
      </w:pPr>
      <w:r>
        <w:rPr>
          <w:rFonts w:hint="eastAsia" w:ascii="宋体" w:hAnsi="宋体" w:cs="宋体"/>
          <w:szCs w:val="21"/>
          <w:highlight w:val="none"/>
        </w:rPr>
        <w:t>（1）严格遵守《中华人民共和国安全生产法》《建设工程安全生产管理条例》等国家有关安全生产的法律法规、《公路水运工程安全生产监督管理办法》和《公路工程施工安全技术规范》等有关安全生产的规定。认真执行工程承包合同中的有关安全要求。</w:t>
      </w:r>
    </w:p>
    <w:p w14:paraId="449C53FE">
      <w:pPr>
        <w:spacing w:line="360" w:lineRule="auto"/>
        <w:ind w:firstLine="210" w:firstLineChars="100"/>
        <w:jc w:val="left"/>
        <w:rPr>
          <w:rFonts w:hint="eastAsia" w:ascii="宋体" w:hAnsi="宋体" w:cs="宋体"/>
          <w:szCs w:val="21"/>
          <w:highlight w:val="none"/>
        </w:rPr>
      </w:pPr>
      <w:r>
        <w:rPr>
          <w:rFonts w:hint="eastAsia" w:ascii="宋体" w:hAnsi="宋体" w:cs="宋体"/>
          <w:szCs w:val="21"/>
          <w:highlight w:val="none"/>
        </w:rPr>
        <w:t>（2）坚持“安全第一、预防为主、综合治理”和“管生产必须管安全”的原则， 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合同的各项规定，做到生产与安全工作同时计划、布置、检查、总结和评比。</w:t>
      </w:r>
    </w:p>
    <w:p w14:paraId="3C4F10E3">
      <w:pPr>
        <w:spacing w:line="360" w:lineRule="auto"/>
        <w:ind w:firstLine="210" w:firstLineChars="100"/>
        <w:jc w:val="left"/>
        <w:rPr>
          <w:rFonts w:hint="eastAsia" w:ascii="宋体" w:hAnsi="宋体" w:cs="宋体"/>
          <w:szCs w:val="21"/>
          <w:highlight w:val="none"/>
        </w:rPr>
      </w:pPr>
      <w:r>
        <w:rPr>
          <w:rFonts w:hint="eastAsia" w:ascii="宋体" w:hAnsi="宋体" w:cs="宋体"/>
          <w:szCs w:val="21"/>
          <w:highlight w:val="none"/>
        </w:rPr>
        <w:t>（3）建立健全安全生产责任制。从派往项目实施的项目负责人到生产工人（包括临时雇请的民工）的安全生产管理系统必须做到纵向到底，一环不漏；各职能部门、人员的安全生产责任制做到横向到边，人人有责。项目负责人是安全生产的第一责任人。现场设置的安全机构，应按《公路水运工程安全生产监督管理办法》规定的最低数量和资质条件配备专职安全生产管理人员，专职负责所有员工的安全和治安保卫工作及预防事故的发生。安全机构人员有权按有关规定发布指令，并采取保护性措施防止事故发生。</w:t>
      </w:r>
    </w:p>
    <w:p w14:paraId="4047B798">
      <w:pPr>
        <w:spacing w:line="360" w:lineRule="auto"/>
        <w:ind w:firstLine="210" w:firstLineChars="100"/>
        <w:jc w:val="left"/>
        <w:rPr>
          <w:rFonts w:hint="eastAsia" w:ascii="宋体" w:hAnsi="宋体" w:cs="宋体"/>
          <w:szCs w:val="21"/>
          <w:highlight w:val="none"/>
        </w:rPr>
      </w:pPr>
      <w:r>
        <w:rPr>
          <w:rFonts w:hint="eastAsia" w:ascii="宋体" w:hAnsi="宋体" w:cs="宋体"/>
          <w:szCs w:val="21"/>
          <w:highlight w:val="none"/>
        </w:rPr>
        <w:t>（4）乙方在任何时候都应采取各种合理的预防措施，防止其员工发生任何违法、违禁、暴力或妨碍治安的行为。</w:t>
      </w:r>
    </w:p>
    <w:p w14:paraId="1A5B27F9">
      <w:pPr>
        <w:spacing w:line="360" w:lineRule="auto"/>
        <w:ind w:firstLine="210" w:firstLineChars="100"/>
        <w:jc w:val="left"/>
        <w:rPr>
          <w:rFonts w:hint="eastAsia" w:ascii="宋体" w:hAnsi="宋体" w:cs="宋体"/>
          <w:szCs w:val="21"/>
          <w:highlight w:val="none"/>
        </w:rPr>
      </w:pPr>
      <w:r>
        <w:rPr>
          <w:rFonts w:hint="eastAsia" w:ascii="宋体" w:hAnsi="宋体" w:cs="宋体"/>
          <w:szCs w:val="21"/>
          <w:highlight w:val="none"/>
        </w:rPr>
        <w:t>（5）乙方必须具有劳动安全管理部门颁发的安全生产考核合格证书，参加施工的人员，必须接受安全技术教育，熟知和遵守本工种的各项安全技术操作规程， 定期进行安全技术考核，合格者方准上岗操作。对于从事电气、起重、建筑登高架设作业、锅炉、压力容器、焊接、机动车船艇驾驶、爆破、潜水、瓦斯检验等特殊工种的人员，经过专业培训，获得《安全操作合格证》后，方准持证上岗。施工现场如出现特种作业无证操作现象时，项目负责人必须承担管理责任。</w:t>
      </w:r>
    </w:p>
    <w:p w14:paraId="3619488F">
      <w:pPr>
        <w:spacing w:line="360" w:lineRule="auto"/>
        <w:ind w:firstLine="210" w:firstLineChars="100"/>
        <w:jc w:val="left"/>
        <w:rPr>
          <w:rFonts w:hint="eastAsia" w:ascii="宋体" w:hAnsi="宋体" w:cs="宋体"/>
          <w:szCs w:val="21"/>
          <w:highlight w:val="none"/>
        </w:rPr>
      </w:pPr>
      <w:r>
        <w:rPr>
          <w:rFonts w:hint="eastAsia" w:ascii="宋体" w:hAnsi="宋体" w:cs="宋体"/>
          <w:szCs w:val="21"/>
          <w:highlight w:val="none"/>
        </w:rPr>
        <w:t>（6）对于易燃易爆的材料除应专门妥善保管之外，还应配备有足够的消防设施，所有施工人员都应熟悉消防设备的性能和使用方法；乙方不得将任何种类的爆炸物给予、易货或以其他方式转让给任何其他人，或允许、容忍上述同样行为。</w:t>
      </w:r>
    </w:p>
    <w:p w14:paraId="03016C45">
      <w:pPr>
        <w:spacing w:line="360" w:lineRule="auto"/>
        <w:ind w:firstLine="210" w:firstLineChars="100"/>
        <w:jc w:val="left"/>
        <w:rPr>
          <w:rFonts w:hint="eastAsia" w:ascii="宋体" w:hAnsi="宋体" w:cs="宋体"/>
          <w:szCs w:val="21"/>
          <w:highlight w:val="none"/>
        </w:rPr>
      </w:pPr>
      <w:r>
        <w:rPr>
          <w:rFonts w:hint="eastAsia" w:ascii="宋体" w:hAnsi="宋体" w:cs="宋体"/>
          <w:szCs w:val="21"/>
          <w:highlight w:val="none"/>
        </w:rPr>
        <w:t>（7）操作人员上岗，必须按规定穿戴防护用品。施工负责人和安全检查员应随时检查劳动防护用品的穿戴情况，不按规定穿戴防护用品的人员不得上岗。</w:t>
      </w:r>
    </w:p>
    <w:p w14:paraId="68A35021">
      <w:pPr>
        <w:spacing w:line="360" w:lineRule="auto"/>
        <w:ind w:firstLine="210" w:firstLineChars="100"/>
        <w:jc w:val="left"/>
        <w:rPr>
          <w:rFonts w:hint="eastAsia" w:ascii="宋体" w:hAnsi="宋体" w:cs="宋体"/>
          <w:szCs w:val="21"/>
          <w:highlight w:val="none"/>
        </w:rPr>
      </w:pPr>
      <w:r>
        <w:rPr>
          <w:rFonts w:hint="eastAsia" w:ascii="宋体" w:hAnsi="宋体" w:cs="宋体"/>
          <w:szCs w:val="21"/>
          <w:highlight w:val="none"/>
        </w:rPr>
        <w:t>（8）所有施工机具设备和高空作业的设备均应定期检查，并有安全员的签字记录，保证其经常处于完好状态；不合格的机具、设备和劳动保护用品严禁使用。</w:t>
      </w:r>
    </w:p>
    <w:p w14:paraId="5C46039D">
      <w:pPr>
        <w:spacing w:line="360" w:lineRule="auto"/>
        <w:ind w:firstLine="210" w:firstLineChars="100"/>
        <w:jc w:val="left"/>
        <w:rPr>
          <w:rFonts w:hint="eastAsia" w:ascii="宋体" w:hAnsi="宋体" w:cs="宋体"/>
          <w:szCs w:val="21"/>
          <w:highlight w:val="none"/>
        </w:rPr>
      </w:pPr>
      <w:r>
        <w:rPr>
          <w:rFonts w:hint="eastAsia" w:ascii="宋体" w:hAnsi="宋体" w:cs="宋体"/>
          <w:szCs w:val="21"/>
          <w:highlight w:val="none"/>
        </w:rPr>
        <w:t>（9）施工中采用新技术、新工艺、新设备、新材料时，必须制定相应的安全技术措施，施工现场必须具有相关的安全标志牌。</w:t>
      </w:r>
    </w:p>
    <w:p w14:paraId="05059806">
      <w:pPr>
        <w:spacing w:line="360" w:lineRule="auto"/>
        <w:ind w:firstLine="210" w:firstLineChars="100"/>
        <w:jc w:val="left"/>
        <w:rPr>
          <w:rFonts w:hint="eastAsia" w:ascii="宋体" w:hAnsi="宋体" w:cs="宋体"/>
          <w:szCs w:val="21"/>
          <w:highlight w:val="none"/>
        </w:rPr>
      </w:pPr>
      <w:r>
        <w:rPr>
          <w:rFonts w:hint="eastAsia" w:ascii="宋体" w:hAnsi="宋体" w:cs="宋体"/>
          <w:szCs w:val="21"/>
          <w:highlight w:val="none"/>
        </w:rPr>
        <w:t>（10）乙方必须按照本工程项目特点，组织制定本工程实施中的生产安全事故应急救援预案；如果发生安全事故，应按照《国务院关于特大安全事故行政责任追究的规定》以及其他有关规定，及时上报有关部门，并坚持“四不放过”的原则， 严肃处理相关责任人。</w:t>
      </w:r>
    </w:p>
    <w:p w14:paraId="42A5C691">
      <w:pPr>
        <w:spacing w:line="360" w:lineRule="auto"/>
        <w:ind w:firstLine="210" w:firstLineChars="100"/>
        <w:jc w:val="left"/>
        <w:rPr>
          <w:rFonts w:hint="eastAsia" w:ascii="宋体" w:hAnsi="宋体" w:cs="宋体"/>
          <w:szCs w:val="21"/>
          <w:highlight w:val="none"/>
        </w:rPr>
      </w:pPr>
      <w:r>
        <w:rPr>
          <w:rFonts w:hint="eastAsia" w:ascii="宋体" w:hAnsi="宋体" w:cs="宋体"/>
          <w:szCs w:val="21"/>
          <w:highlight w:val="none"/>
        </w:rPr>
        <w:t>（11）安全生产费用按照《公路水运工程安全生产监督管理办法》的相关规定使用和管理。</w:t>
      </w:r>
    </w:p>
    <w:p w14:paraId="6CBF7ED7">
      <w:pPr>
        <w:spacing w:line="360" w:lineRule="auto"/>
        <w:ind w:firstLine="420" w:firstLineChars="200"/>
        <w:jc w:val="left"/>
        <w:rPr>
          <w:rFonts w:hint="eastAsia" w:ascii="宋体" w:hAnsi="宋体" w:cs="宋体"/>
          <w:szCs w:val="21"/>
          <w:highlight w:val="none"/>
        </w:rPr>
      </w:pPr>
      <w:r>
        <w:rPr>
          <w:rFonts w:hint="eastAsia" w:ascii="宋体" w:hAnsi="宋体" w:cs="宋体"/>
          <w:szCs w:val="21"/>
          <w:highlight w:val="none"/>
        </w:rPr>
        <w:t>3. 违约责任</w:t>
      </w:r>
    </w:p>
    <w:p w14:paraId="0971F9F7">
      <w:pPr>
        <w:spacing w:line="360" w:lineRule="auto"/>
        <w:ind w:firstLine="420" w:firstLineChars="200"/>
        <w:jc w:val="left"/>
        <w:rPr>
          <w:rFonts w:hint="eastAsia" w:ascii="宋体" w:hAnsi="宋体" w:cs="宋体"/>
          <w:szCs w:val="21"/>
          <w:highlight w:val="none"/>
        </w:rPr>
      </w:pPr>
      <w:r>
        <w:rPr>
          <w:rFonts w:hint="eastAsia" w:ascii="宋体" w:hAnsi="宋体" w:cs="宋体"/>
          <w:szCs w:val="21"/>
          <w:highlight w:val="none"/>
        </w:rPr>
        <w:t>如因甲方或乙方违约造成安全事故，将依法追究责任。</w:t>
      </w:r>
    </w:p>
    <w:p w14:paraId="748F35F2">
      <w:pPr>
        <w:spacing w:line="360" w:lineRule="auto"/>
        <w:ind w:firstLine="420" w:firstLineChars="200"/>
        <w:jc w:val="left"/>
        <w:rPr>
          <w:rFonts w:hint="eastAsia" w:ascii="宋体" w:hAnsi="宋体" w:cs="宋体"/>
          <w:szCs w:val="21"/>
          <w:highlight w:val="none"/>
        </w:rPr>
      </w:pPr>
      <w:r>
        <w:rPr>
          <w:rFonts w:hint="eastAsia" w:ascii="宋体" w:hAnsi="宋体" w:cs="宋体"/>
          <w:szCs w:val="21"/>
          <w:highlight w:val="none"/>
        </w:rPr>
        <w:t>4. 本合同由双方法定代表人或其授权的代理人签署并加盖单位公章后生效，全部工程竣工验收合格、缺陷责任期满后失效。</w:t>
      </w:r>
    </w:p>
    <w:p w14:paraId="35156E1D">
      <w:pPr>
        <w:spacing w:line="360" w:lineRule="auto"/>
        <w:ind w:firstLine="420" w:firstLineChars="200"/>
        <w:jc w:val="left"/>
        <w:rPr>
          <w:rFonts w:hint="eastAsia" w:ascii="宋体" w:hAnsi="宋体" w:cs="宋体"/>
          <w:szCs w:val="21"/>
          <w:highlight w:val="none"/>
        </w:rPr>
      </w:pPr>
      <w:r>
        <w:rPr>
          <w:rFonts w:hint="eastAsia" w:ascii="宋体" w:hAnsi="宋体" w:cs="宋体"/>
          <w:szCs w:val="21"/>
          <w:highlight w:val="none"/>
        </w:rPr>
        <w:t>5.</w:t>
      </w:r>
      <w:r>
        <w:rPr>
          <w:rFonts w:hint="eastAsia" w:ascii="宋体" w:hAnsi="宋体" w:cs="宋体"/>
          <w:szCs w:val="21"/>
          <w:highlight w:val="none"/>
        </w:rPr>
        <w:tab/>
      </w:r>
      <w:r>
        <w:rPr>
          <w:rFonts w:hint="eastAsia" w:ascii="宋体" w:hAnsi="宋体" w:cs="宋体"/>
          <w:szCs w:val="21"/>
          <w:highlight w:val="none"/>
        </w:rPr>
        <w:t>本合同一式肆份，合同双方各贰份。</w:t>
      </w:r>
    </w:p>
    <w:p w14:paraId="122E2947">
      <w:pPr>
        <w:spacing w:line="360" w:lineRule="auto"/>
        <w:jc w:val="left"/>
        <w:rPr>
          <w:rFonts w:hint="eastAsia" w:ascii="宋体" w:hAnsi="宋体" w:cs="宋体"/>
          <w:szCs w:val="21"/>
          <w:highlight w:val="none"/>
        </w:rPr>
      </w:pPr>
    </w:p>
    <w:p w14:paraId="0FF23B00">
      <w:pPr>
        <w:spacing w:line="360" w:lineRule="auto"/>
        <w:jc w:val="left"/>
        <w:rPr>
          <w:rFonts w:hint="eastAsia" w:ascii="宋体" w:hAnsi="宋体" w:cs="宋体"/>
          <w:szCs w:val="21"/>
          <w:highlight w:val="none"/>
          <w:u w:val="single"/>
        </w:rPr>
      </w:pPr>
      <w:r>
        <w:rPr>
          <w:rFonts w:hint="eastAsia" w:ascii="宋体" w:hAnsi="宋体" w:cs="宋体"/>
          <w:szCs w:val="21"/>
          <w:highlight w:val="none"/>
        </w:rPr>
        <w:t>甲方：</w:t>
      </w:r>
      <w:r>
        <w:rPr>
          <w:rFonts w:hint="eastAsia" w:ascii="宋体" w:hAnsi="宋体" w:cs="宋体"/>
          <w:szCs w:val="21"/>
          <w:highlight w:val="none"/>
        </w:rPr>
        <w:tab/>
      </w:r>
      <w:r>
        <w:rPr>
          <w:rFonts w:hint="eastAsia" w:ascii="宋体" w:hAnsi="宋体" w:cs="宋体"/>
          <w:szCs w:val="21"/>
          <w:highlight w:val="none"/>
        </w:rPr>
        <w:t xml:space="preserve">                                   乙方：</w:t>
      </w:r>
    </w:p>
    <w:p w14:paraId="5ACE16EF">
      <w:pPr>
        <w:spacing w:line="360" w:lineRule="auto"/>
        <w:jc w:val="left"/>
        <w:rPr>
          <w:rFonts w:hint="eastAsia" w:ascii="宋体" w:hAnsi="宋体" w:cs="宋体"/>
          <w:szCs w:val="21"/>
          <w:highlight w:val="none"/>
        </w:rPr>
      </w:pPr>
      <w:r>
        <w:rPr>
          <w:rFonts w:hint="eastAsia" w:ascii="宋体" w:hAnsi="宋体" w:cs="宋体"/>
          <w:szCs w:val="21"/>
          <w:highlight w:val="none"/>
        </w:rPr>
        <w:t>（盖单位章）                                （盖单位章）</w:t>
      </w:r>
    </w:p>
    <w:p w14:paraId="2F52C7E9">
      <w:pPr>
        <w:spacing w:line="360" w:lineRule="auto"/>
        <w:jc w:val="left"/>
        <w:rPr>
          <w:rFonts w:hint="eastAsia" w:ascii="宋体" w:hAnsi="宋体" w:cs="宋体"/>
          <w:szCs w:val="21"/>
          <w:highlight w:val="none"/>
        </w:rPr>
      </w:pPr>
      <w:r>
        <w:rPr>
          <w:rFonts w:hint="eastAsia" w:ascii="宋体" w:hAnsi="宋体" w:cs="宋体"/>
          <w:szCs w:val="21"/>
          <w:highlight w:val="none"/>
        </w:rPr>
        <w:t>法定代表人或其委托代理人：                    法定代表人或其委托代理人：</w:t>
      </w:r>
    </w:p>
    <w:p w14:paraId="15CBFD81">
      <w:pPr>
        <w:spacing w:line="360" w:lineRule="auto"/>
        <w:jc w:val="left"/>
        <w:rPr>
          <w:rFonts w:hint="eastAsia" w:ascii="宋体" w:hAnsi="宋体" w:cs="宋体"/>
          <w:szCs w:val="21"/>
          <w:highlight w:val="none"/>
        </w:rPr>
      </w:pPr>
    </w:p>
    <w:p w14:paraId="4DC8F8C2">
      <w:pPr>
        <w:spacing w:line="360" w:lineRule="auto"/>
        <w:jc w:val="left"/>
        <w:rPr>
          <w:rFonts w:hint="eastAsia" w:ascii="宋体" w:hAnsi="宋体" w:cs="宋体"/>
          <w:szCs w:val="21"/>
          <w:highlight w:val="none"/>
        </w:rPr>
      </w:pPr>
      <w:r>
        <w:rPr>
          <w:rFonts w:hint="eastAsia" w:ascii="宋体" w:hAnsi="宋体" w:cs="宋体"/>
          <w:szCs w:val="21"/>
          <w:highlight w:val="none"/>
        </w:rPr>
        <w:t>（签字）</w:t>
      </w:r>
      <w:r>
        <w:rPr>
          <w:rFonts w:hint="eastAsia" w:ascii="宋体" w:hAnsi="宋体" w:cs="宋体"/>
          <w:szCs w:val="21"/>
          <w:highlight w:val="none"/>
        </w:rPr>
        <w:tab/>
      </w:r>
      <w:r>
        <w:rPr>
          <w:rFonts w:hint="eastAsia" w:ascii="宋体" w:hAnsi="宋体" w:cs="宋体"/>
          <w:szCs w:val="21"/>
          <w:highlight w:val="none"/>
        </w:rPr>
        <w:tab/>
      </w:r>
      <w:r>
        <w:rPr>
          <w:rFonts w:hint="eastAsia" w:ascii="宋体" w:hAnsi="宋体" w:cs="宋体"/>
          <w:szCs w:val="21"/>
          <w:highlight w:val="none"/>
        </w:rPr>
        <w:t xml:space="preserve">                               （签字）</w:t>
      </w:r>
    </w:p>
    <w:p w14:paraId="31FBFB7A">
      <w:pPr>
        <w:spacing w:line="360" w:lineRule="auto"/>
        <w:ind w:firstLine="1050" w:firstLineChars="500"/>
        <w:jc w:val="left"/>
        <w:rPr>
          <w:rFonts w:hint="eastAsia" w:ascii="宋体" w:hAnsi="宋体"/>
          <w:szCs w:val="21"/>
          <w:highlight w:val="none"/>
        </w:rPr>
        <w:sectPr>
          <w:footerReference r:id="rId9" w:type="default"/>
          <w:pgSz w:w="11907" w:h="16840"/>
          <w:pgMar w:top="1134" w:right="1134" w:bottom="1134" w:left="1560" w:header="851" w:footer="851" w:gutter="0"/>
          <w:pgBorders>
            <w:top w:val="none" w:sz="0" w:space="0"/>
            <w:left w:val="none" w:sz="0" w:space="0"/>
            <w:bottom w:val="none" w:sz="0" w:space="0"/>
            <w:right w:val="none" w:sz="0" w:space="0"/>
          </w:pgBorders>
          <w:cols w:space="720" w:num="1"/>
          <w:docGrid w:linePitch="312" w:charSpace="0"/>
        </w:sectPr>
      </w:pPr>
      <w:r>
        <w:rPr>
          <w:rFonts w:hint="eastAsia" w:ascii="宋体" w:hAnsi="宋体" w:cs="宋体"/>
          <w:szCs w:val="21"/>
          <w:highlight w:val="none"/>
        </w:rPr>
        <w:tab/>
      </w:r>
      <w:r>
        <w:rPr>
          <w:rFonts w:hint="eastAsia" w:ascii="宋体" w:hAnsi="宋体" w:cs="宋体"/>
          <w:szCs w:val="21"/>
          <w:highlight w:val="none"/>
        </w:rPr>
        <w:t xml:space="preserve">年  </w:t>
      </w:r>
      <w:r>
        <w:rPr>
          <w:rFonts w:hint="eastAsia" w:ascii="宋体" w:hAnsi="宋体" w:cs="宋体"/>
          <w:szCs w:val="21"/>
          <w:highlight w:val="none"/>
        </w:rPr>
        <w:tab/>
      </w:r>
      <w:r>
        <w:rPr>
          <w:rFonts w:hint="eastAsia" w:ascii="宋体" w:hAnsi="宋体" w:cs="宋体"/>
          <w:szCs w:val="21"/>
          <w:highlight w:val="none"/>
        </w:rPr>
        <w:t>月</w:t>
      </w:r>
      <w:r>
        <w:rPr>
          <w:rFonts w:hint="eastAsia" w:ascii="宋体" w:hAnsi="宋体" w:cs="宋体"/>
          <w:szCs w:val="21"/>
          <w:highlight w:val="none"/>
        </w:rPr>
        <w:tab/>
      </w:r>
      <w:r>
        <w:rPr>
          <w:rFonts w:hint="eastAsia" w:ascii="宋体" w:hAnsi="宋体" w:cs="宋体"/>
          <w:szCs w:val="21"/>
          <w:highlight w:val="none"/>
        </w:rPr>
        <w:t>日</w:t>
      </w:r>
      <w:r>
        <w:rPr>
          <w:rFonts w:hint="eastAsia" w:ascii="宋体" w:hAnsi="宋体" w:cs="宋体"/>
          <w:szCs w:val="21"/>
          <w:highlight w:val="none"/>
        </w:rPr>
        <w:tab/>
      </w:r>
      <w:r>
        <w:rPr>
          <w:rFonts w:hint="eastAsia" w:ascii="宋体" w:hAnsi="宋体" w:cs="宋体"/>
          <w:szCs w:val="21"/>
          <w:highlight w:val="none"/>
        </w:rPr>
        <w:tab/>
      </w:r>
      <w:r>
        <w:rPr>
          <w:rFonts w:hint="eastAsia" w:ascii="宋体" w:hAnsi="宋体" w:cs="宋体"/>
          <w:szCs w:val="21"/>
          <w:highlight w:val="none"/>
        </w:rPr>
        <w:t xml:space="preserve">               </w:t>
      </w:r>
      <w:r>
        <w:rPr>
          <w:rFonts w:ascii="宋体" w:hAnsi="宋体"/>
          <w:szCs w:val="21"/>
          <w:highlight w:val="none"/>
        </w:rPr>
        <w:t xml:space="preserve">年 </w:t>
      </w:r>
      <w:r>
        <w:rPr>
          <w:rFonts w:ascii="宋体" w:hAnsi="宋体"/>
          <w:szCs w:val="21"/>
          <w:highlight w:val="none"/>
        </w:rPr>
        <w:tab/>
      </w:r>
      <w:r>
        <w:rPr>
          <w:rFonts w:ascii="宋体" w:hAnsi="宋体"/>
          <w:szCs w:val="21"/>
          <w:highlight w:val="none"/>
        </w:rPr>
        <w:t xml:space="preserve">  月 </w:t>
      </w:r>
      <w:r>
        <w:rPr>
          <w:rFonts w:ascii="宋体" w:hAnsi="宋体"/>
          <w:szCs w:val="21"/>
          <w:highlight w:val="none"/>
        </w:rPr>
        <w:tab/>
      </w:r>
      <w:r>
        <w:rPr>
          <w:rFonts w:ascii="宋体" w:hAnsi="宋体"/>
          <w:szCs w:val="21"/>
          <w:highlight w:val="none"/>
        </w:rPr>
        <w:t xml:space="preserve">  日</w:t>
      </w:r>
    </w:p>
    <w:p w14:paraId="2AEB385C">
      <w:pPr>
        <w:pStyle w:val="3"/>
        <w:numPr>
          <w:ilvl w:val="0"/>
          <w:numId w:val="3"/>
        </w:numPr>
        <w:spacing w:line="360" w:lineRule="auto"/>
        <w:ind w:firstLine="422" w:firstLineChars="200"/>
        <w:jc w:val="center"/>
        <w:rPr>
          <w:rFonts w:hint="eastAsia" w:ascii="宋体" w:hAnsi="宋体" w:eastAsia="宋体"/>
          <w:b/>
          <w:sz w:val="21"/>
          <w:szCs w:val="21"/>
          <w:highlight w:val="none"/>
        </w:rPr>
      </w:pPr>
      <w:r>
        <w:rPr>
          <w:rFonts w:hint="eastAsia" w:ascii="宋体" w:hAnsi="宋体" w:eastAsia="宋体"/>
          <w:b/>
          <w:sz w:val="21"/>
          <w:szCs w:val="21"/>
          <w:highlight w:val="none"/>
        </w:rPr>
        <w:t xml:space="preserve"> 项目需求</w:t>
      </w:r>
      <w:bookmarkEnd w:id="106"/>
    </w:p>
    <w:p w14:paraId="748396D8">
      <w:pPr>
        <w:jc w:val="center"/>
        <w:rPr>
          <w:rFonts w:hint="eastAsia" w:ascii="宋体" w:hAnsi="宋体"/>
          <w:b/>
          <w:sz w:val="21"/>
          <w:szCs w:val="21"/>
          <w:highlight w:val="none"/>
          <w:lang w:val="en-US" w:eastAsia="zh-CN"/>
        </w:rPr>
      </w:pPr>
      <w:r>
        <w:rPr>
          <w:rFonts w:hint="eastAsia" w:ascii="宋体" w:hAnsi="宋体"/>
          <w:b/>
          <w:sz w:val="21"/>
          <w:szCs w:val="21"/>
          <w:highlight w:val="none"/>
          <w:lang w:val="en-US" w:eastAsia="zh-CN"/>
        </w:rPr>
        <w:t>采购包一  快速路桥梁定期检查</w:t>
      </w:r>
    </w:p>
    <w:p w14:paraId="5A20057E">
      <w:pPr>
        <w:pageBreakBefore w:val="0"/>
        <w:numPr>
          <w:ilvl w:val="0"/>
          <w:numId w:val="4"/>
        </w:numPr>
        <w:kinsoku/>
        <w:autoSpaceDE w:val="0"/>
        <w:autoSpaceDN w:val="0"/>
        <w:bidi w:val="0"/>
        <w:adjustRightInd w:val="0"/>
        <w:spacing w:line="360" w:lineRule="auto"/>
        <w:ind w:left="210" w:leftChars="0" w:firstLineChars="0"/>
        <w:rPr>
          <w:rFonts w:hint="eastAsia" w:ascii="宋体" w:hAnsi="宋体" w:cs="宋体"/>
          <w:b/>
          <w:bCs/>
          <w:szCs w:val="21"/>
          <w:highlight w:val="none"/>
          <w:lang w:val="en-US" w:eastAsia="zh-CN"/>
        </w:rPr>
      </w:pPr>
      <w:r>
        <w:rPr>
          <w:rFonts w:hint="eastAsia" w:ascii="宋体" w:hAnsi="宋体" w:cs="宋体"/>
          <w:b/>
          <w:bCs/>
          <w:szCs w:val="21"/>
          <w:highlight w:val="none"/>
          <w:lang w:val="en-US" w:eastAsia="zh-CN"/>
        </w:rPr>
        <w:t>项目概况</w:t>
      </w:r>
    </w:p>
    <w:p w14:paraId="79975E23">
      <w:pPr>
        <w:pageBreakBefore w:val="0"/>
        <w:kinsoku/>
        <w:bidi w:val="0"/>
        <w:spacing w:line="360" w:lineRule="auto"/>
        <w:ind w:firstLine="420" w:firstLineChars="200"/>
        <w:rPr>
          <w:rFonts w:hint="default" w:ascii="宋体" w:hAnsi="宋体" w:cs="宋体"/>
          <w:szCs w:val="21"/>
          <w:highlight w:val="none"/>
          <w:lang w:val="en-US" w:eastAsia="zh-CN"/>
        </w:rPr>
      </w:pPr>
      <w:r>
        <w:rPr>
          <w:rFonts w:hint="eastAsia" w:ascii="宋体" w:hAnsi="宋体" w:cs="宋体"/>
          <w:szCs w:val="21"/>
          <w:highlight w:val="none"/>
        </w:rPr>
        <w:t>为进一步加强我市城市快速路桥梁养护管理工作，为桥梁预防性养护、桥梁维修改造工程提供检查依据，对泰州市城市快速路约</w:t>
      </w:r>
      <w:r>
        <w:rPr>
          <w:rFonts w:hint="eastAsia" w:ascii="宋体" w:hAnsi="宋体" w:eastAsia="宋体" w:cs="宋体"/>
          <w:i w:val="0"/>
          <w:iCs w:val="0"/>
          <w:color w:val="000000"/>
          <w:kern w:val="0"/>
          <w:sz w:val="21"/>
          <w:szCs w:val="21"/>
          <w:highlight w:val="none"/>
          <w:u w:val="none"/>
          <w:lang w:val="en-US" w:eastAsia="zh-CN" w:bidi="ar"/>
        </w:rPr>
        <w:t>40838.92</w:t>
      </w:r>
      <w:r>
        <w:rPr>
          <w:rFonts w:hint="eastAsia" w:ascii="宋体" w:hAnsi="宋体" w:cs="宋体"/>
          <w:szCs w:val="21"/>
          <w:highlight w:val="none"/>
        </w:rPr>
        <w:t>延米桥梁</w:t>
      </w:r>
      <w:r>
        <w:rPr>
          <w:rFonts w:hint="eastAsia" w:ascii="宋体" w:hAnsi="宋体" w:cs="宋体"/>
          <w:szCs w:val="21"/>
          <w:highlight w:val="none"/>
          <w:lang w:val="en-US" w:eastAsia="zh-CN"/>
        </w:rPr>
        <w:t>进</w:t>
      </w:r>
      <w:r>
        <w:rPr>
          <w:rFonts w:hint="eastAsia" w:ascii="宋体" w:hAnsi="宋体" w:cs="宋体"/>
          <w:szCs w:val="21"/>
          <w:highlight w:val="none"/>
        </w:rPr>
        <w:t>行定期检查。</w:t>
      </w:r>
    </w:p>
    <w:p w14:paraId="62D66610">
      <w:pPr>
        <w:pageBreakBefore w:val="0"/>
        <w:kinsoku/>
        <w:autoSpaceDE w:val="0"/>
        <w:autoSpaceDN w:val="0"/>
        <w:bidi w:val="0"/>
        <w:adjustRightInd w:val="0"/>
        <w:spacing w:line="360" w:lineRule="auto"/>
        <w:rPr>
          <w:rFonts w:hint="eastAsia" w:ascii="宋体" w:hAnsi="宋体" w:cs="宋体"/>
          <w:b/>
          <w:bCs/>
          <w:szCs w:val="21"/>
          <w:highlight w:val="none"/>
        </w:rPr>
      </w:pPr>
      <w:r>
        <w:rPr>
          <w:rFonts w:hint="eastAsia" w:ascii="宋体" w:hAnsi="宋体" w:cs="宋体"/>
          <w:b/>
          <w:bCs/>
          <w:szCs w:val="21"/>
          <w:highlight w:val="none"/>
          <w:lang w:val="en-US" w:eastAsia="zh-CN"/>
        </w:rPr>
        <w:t>二、</w:t>
      </w:r>
      <w:r>
        <w:rPr>
          <w:rFonts w:hint="eastAsia" w:ascii="宋体" w:hAnsi="宋体" w:cs="宋体"/>
          <w:b/>
          <w:bCs/>
          <w:szCs w:val="21"/>
          <w:highlight w:val="none"/>
        </w:rPr>
        <w:t>服务需求</w:t>
      </w:r>
    </w:p>
    <w:p w14:paraId="3FF0B16D">
      <w:pPr>
        <w:pageBreakBefore w:val="0"/>
        <w:kinsoku/>
        <w:bidi w:val="0"/>
        <w:spacing w:line="360" w:lineRule="auto"/>
        <w:ind w:firstLine="211" w:firstLineChars="100"/>
        <w:jc w:val="left"/>
        <w:rPr>
          <w:rFonts w:hint="eastAsia" w:ascii="宋体" w:hAnsi="宋体" w:eastAsia="宋体" w:cs="宋体"/>
          <w:b/>
          <w:bCs/>
          <w:szCs w:val="21"/>
          <w:highlight w:val="none"/>
          <w:lang w:val="en-US" w:eastAsia="zh-CN"/>
        </w:rPr>
      </w:pPr>
      <w:r>
        <w:rPr>
          <w:rFonts w:hint="eastAsia" w:ascii="宋体" w:hAnsi="宋体" w:eastAsia="宋体" w:cs="宋体"/>
          <w:b/>
          <w:bCs/>
          <w:szCs w:val="21"/>
          <w:highlight w:val="none"/>
          <w:lang w:val="en-US" w:eastAsia="zh-CN"/>
        </w:rPr>
        <w:t xml:space="preserve">1.检查内容 </w:t>
      </w:r>
    </w:p>
    <w:p w14:paraId="76C511FF">
      <w:pPr>
        <w:pageBreakBefore w:val="0"/>
        <w:kinsoku/>
        <w:bidi w:val="0"/>
        <w:spacing w:line="360" w:lineRule="auto"/>
        <w:ind w:firstLine="211" w:firstLineChars="100"/>
        <w:jc w:val="left"/>
        <w:rPr>
          <w:rFonts w:hint="eastAsia" w:ascii="宋体" w:hAnsi="宋体" w:eastAsia="宋体" w:cs="宋体"/>
          <w:szCs w:val="21"/>
          <w:highlight w:val="none"/>
          <w:lang w:val="en-US" w:eastAsia="zh-CN"/>
        </w:rPr>
      </w:pPr>
      <w:r>
        <w:rPr>
          <w:rFonts w:hint="eastAsia" w:ascii="宋体" w:hAnsi="宋体" w:eastAsia="宋体" w:cs="宋体"/>
          <w:b/>
          <w:bCs/>
          <w:szCs w:val="21"/>
          <w:highlight w:val="none"/>
          <w:lang w:val="en-US" w:eastAsia="zh-CN"/>
        </w:rPr>
        <w:t>1.1主要工作内容：</w:t>
      </w:r>
      <w:r>
        <w:rPr>
          <w:rFonts w:hint="eastAsia" w:ascii="宋体" w:hAnsi="宋体" w:eastAsia="宋体" w:cs="宋体"/>
          <w:szCs w:val="21"/>
          <w:highlight w:val="none"/>
          <w:lang w:val="en-US" w:eastAsia="zh-CN"/>
        </w:rPr>
        <w:t xml:space="preserve"> </w:t>
      </w:r>
    </w:p>
    <w:p w14:paraId="6D076829">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检查内容主要包括（但不限于）：按照《公路桥梁技术状况评定标准》（JTG/T H21-2011）、《公路桥涵养护规范》（JTG5120-2021）行业标准及业主要求对桥面设施、桥梁上部结构、下部结构及附属构造物</w:t>
      </w:r>
      <w:r>
        <w:rPr>
          <w:rFonts w:hint="eastAsia" w:ascii="宋体" w:hAnsi="宋体" w:cs="宋体"/>
          <w:szCs w:val="21"/>
          <w:highlight w:val="none"/>
          <w:lang w:val="en-US" w:eastAsia="zh-CN"/>
        </w:rPr>
        <w:t>（包含桥梁声屏障）</w:t>
      </w:r>
      <w:r>
        <w:rPr>
          <w:rFonts w:hint="eastAsia" w:ascii="宋体" w:hAnsi="宋体" w:eastAsia="宋体" w:cs="宋体"/>
          <w:szCs w:val="21"/>
          <w:highlight w:val="none"/>
          <w:lang w:val="en-US" w:eastAsia="zh-CN"/>
        </w:rPr>
        <w:t xml:space="preserve">等的技术状况（基本情况，外观质量、缺损和病害情况等）进行检查、桥梁技术状况评定，并根据检查结果提出相应的养护维修建议，提交详细的桥梁检查报告；对桥梁基础数据进行复核、负责桥梁管理系统数据录入。 </w:t>
      </w:r>
    </w:p>
    <w:p w14:paraId="203DD292">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主要适用标准、规范为：《公路桥涵养护规范》（JTG5120-2021）、《工程测量规范》（GB 50026-2007）、《公路桥梁技术状况评定标准》（JTGT H21-2011）等。 </w:t>
      </w:r>
    </w:p>
    <w:p w14:paraId="48CCB717">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本项目全部桥梁的定期检查及技术状况评定（如裂缝限制等数据）按照《公路桥涵养护规范》（JTG5120-2021）、《公路桥梁技术状况评定标准》（JTGT H21-2011）上具体规定及方法列明，且其有关技术文件，均应按统一格式完整的录入桥梁养护技术档案及数据库。 </w:t>
      </w:r>
    </w:p>
    <w:p w14:paraId="56257DFD">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1.1.1本项目的桥梁定期检查应按《公路桥涵养护规范》（JTG5120-2021）定期检查的相关要求和本规范要求达到的指标和标准，完成下列主要工作：</w:t>
      </w:r>
    </w:p>
    <w:p w14:paraId="6972ACE7">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①校核桥梁基本数据；（桥梁基本状况卡片见《公路桥涵养护规范》（JTG5120-2021）附录A） </w:t>
      </w:r>
    </w:p>
    <w:p w14:paraId="51E70208">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②填写桥梁定期检查记录表，记录各部件缺损状况并做出技术状况评分；（《公路桥梁技术状况评定标准》（JTGT H21-2011）附录A） </w:t>
      </w:r>
    </w:p>
    <w:p w14:paraId="3666C8DE">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③判断缺损原因，估定维修范围及方式，提出有关维修整治方案的建议以及维修清单； </w:t>
      </w:r>
    </w:p>
    <w:p w14:paraId="5DBEFEF9">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④对难以判断损坏原因和程度的部件，提出特殊检查（专门检查）的要求； </w:t>
      </w:r>
    </w:p>
    <w:p w14:paraId="542EFE6E">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⑤对损坏严重、危及安全运行的危险桥梁，提出处治建议； </w:t>
      </w:r>
    </w:p>
    <w:p w14:paraId="1531FCE9">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⑥根据桥梁的技术状况，确定下次检查时间； </w:t>
      </w:r>
    </w:p>
    <w:p w14:paraId="5493D745">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⑦绘制桥梁病害示意图或提供病害照片。 </w:t>
      </w:r>
    </w:p>
    <w:p w14:paraId="5C741603">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⑧其他。</w:t>
      </w:r>
    </w:p>
    <w:p w14:paraId="48CD4C10">
      <w:pPr>
        <w:spacing w:line="360" w:lineRule="auto"/>
        <w:ind w:left="-59" w:leftChars="-28" w:firstLine="422" w:firstLineChars="200"/>
        <w:jc w:val="left"/>
        <w:rPr>
          <w:rFonts w:ascii="宋体" w:hAnsi="宋体"/>
          <w:b/>
          <w:szCs w:val="21"/>
          <w:highlight w:val="none"/>
        </w:rPr>
      </w:pPr>
      <w:r>
        <w:rPr>
          <w:rFonts w:hint="eastAsia" w:ascii="宋体" w:hAnsi="宋体"/>
          <w:b/>
          <w:szCs w:val="21"/>
          <w:highlight w:val="none"/>
        </w:rPr>
        <w:t>1.2服务要求</w:t>
      </w:r>
    </w:p>
    <w:p w14:paraId="0458EF49">
      <w:pPr>
        <w:spacing w:line="360" w:lineRule="auto"/>
        <w:ind w:left="-59" w:leftChars="-28" w:firstLine="420" w:firstLineChars="200"/>
        <w:jc w:val="left"/>
        <w:rPr>
          <w:rFonts w:ascii="宋体" w:hAnsi="宋体"/>
          <w:szCs w:val="21"/>
          <w:highlight w:val="none"/>
        </w:rPr>
      </w:pPr>
      <w:r>
        <w:rPr>
          <w:rFonts w:hint="eastAsia" w:ascii="宋体" w:hAnsi="宋体"/>
          <w:szCs w:val="21"/>
          <w:highlight w:val="none"/>
        </w:rPr>
        <w:t>1.2.1桥梁检查中发现的各种缺损以及病害均应在现场用油漆等将其范围、程度及定期检查日期标记清楚。发现三类以上桥梁及有严重缺损和难以判明损坏原因和程度的桥梁，应作影像纪录，并附病害状况说明。</w:t>
      </w:r>
    </w:p>
    <w:p w14:paraId="53BCE111">
      <w:pPr>
        <w:spacing w:line="360" w:lineRule="auto"/>
        <w:ind w:left="-59" w:leftChars="-28" w:firstLine="420" w:firstLineChars="200"/>
        <w:jc w:val="left"/>
        <w:rPr>
          <w:rFonts w:hint="eastAsia" w:ascii="宋体" w:hAnsi="宋体"/>
          <w:szCs w:val="21"/>
          <w:highlight w:val="none"/>
        </w:rPr>
      </w:pPr>
      <w:bookmarkStart w:id="107" w:name="OLE_LINK3"/>
      <w:r>
        <w:rPr>
          <w:rFonts w:hint="eastAsia" w:ascii="宋体" w:hAnsi="宋体"/>
          <w:szCs w:val="21"/>
          <w:highlight w:val="none"/>
        </w:rPr>
        <w:t>1.2.2 桥梁定期检查后形成桥梁定期检查与检查评定报告。该报告应包括下列内容：</w:t>
      </w:r>
    </w:p>
    <w:bookmarkEnd w:id="107"/>
    <w:p w14:paraId="1FF61113">
      <w:pPr>
        <w:spacing w:line="360" w:lineRule="auto"/>
        <w:ind w:left="-59" w:leftChars="-28" w:firstLine="420" w:firstLineChars="200"/>
        <w:jc w:val="left"/>
        <w:rPr>
          <w:rFonts w:ascii="宋体" w:hAnsi="宋体"/>
          <w:szCs w:val="21"/>
          <w:highlight w:val="none"/>
        </w:rPr>
      </w:pPr>
      <w:r>
        <w:rPr>
          <w:rFonts w:hint="eastAsia" w:ascii="宋体" w:hAnsi="宋体"/>
          <w:szCs w:val="21"/>
          <w:highlight w:val="none"/>
        </w:rPr>
        <w:t>（1）桥梁定期检查数据表。当天检查的桥梁现场记录，应在次日内整理成每座桥梁定期检查数据表。</w:t>
      </w:r>
    </w:p>
    <w:p w14:paraId="22294796">
      <w:pPr>
        <w:spacing w:line="360" w:lineRule="auto"/>
        <w:ind w:left="-59" w:leftChars="-28" w:firstLine="420" w:firstLineChars="200"/>
        <w:jc w:val="left"/>
        <w:rPr>
          <w:rFonts w:ascii="宋体" w:hAnsi="宋体"/>
          <w:szCs w:val="21"/>
          <w:highlight w:val="none"/>
        </w:rPr>
      </w:pPr>
      <w:r>
        <w:rPr>
          <w:rFonts w:hint="eastAsia" w:ascii="宋体" w:hAnsi="宋体"/>
          <w:szCs w:val="21"/>
          <w:highlight w:val="none"/>
        </w:rPr>
        <w:t>（2）典型缺损和病害的照片（照片上应有简洁明了的标注）及说明。缺损状况的描述应采用专业标准术语，说明缺损的部位、类型、性质、范围、数量和程度等。</w:t>
      </w:r>
    </w:p>
    <w:p w14:paraId="3890A75F">
      <w:pPr>
        <w:spacing w:line="360" w:lineRule="auto"/>
        <w:ind w:left="-59" w:leftChars="-28" w:firstLine="420" w:firstLineChars="200"/>
        <w:jc w:val="left"/>
        <w:rPr>
          <w:rFonts w:hint="eastAsia" w:ascii="宋体" w:hAnsi="宋体"/>
          <w:szCs w:val="21"/>
          <w:highlight w:val="none"/>
        </w:rPr>
      </w:pPr>
      <w:r>
        <w:rPr>
          <w:rFonts w:hint="eastAsia" w:ascii="宋体" w:hAnsi="宋体"/>
          <w:szCs w:val="21"/>
          <w:highlight w:val="none"/>
        </w:rPr>
        <w:t>（3）两张总体照片。一张桥面正面照片，一张桥梁上游侧立面照片。对由于桥梁长度较长而影响拍摄效果的，必须分段拍摄，以全面反映桥梁的现状。桥梁改建后应重新拍照一次。如果桥梁拓宽改造后，上下游桥梁结构或长度不一致，或起至桩号不一致还要有下游侧立面照片，并标注清楚。</w:t>
      </w:r>
    </w:p>
    <w:p w14:paraId="51E4CBC4">
      <w:pPr>
        <w:spacing w:line="360" w:lineRule="auto"/>
        <w:ind w:left="-59" w:leftChars="-28" w:firstLine="420" w:firstLineChars="200"/>
        <w:jc w:val="left"/>
        <w:rPr>
          <w:rFonts w:hint="eastAsia" w:ascii="宋体" w:hAnsi="宋体"/>
          <w:szCs w:val="21"/>
          <w:highlight w:val="none"/>
        </w:rPr>
      </w:pPr>
      <w:r>
        <w:rPr>
          <w:rFonts w:hint="eastAsia" w:ascii="宋体" w:hAnsi="宋体"/>
          <w:szCs w:val="21"/>
          <w:highlight w:val="none"/>
        </w:rPr>
        <w:t>（4）桥梁技术状况等级评定汇总表。</w:t>
      </w:r>
    </w:p>
    <w:p w14:paraId="416FB575">
      <w:pPr>
        <w:spacing w:line="360" w:lineRule="auto"/>
        <w:ind w:left="-59" w:leftChars="-28" w:firstLine="420" w:firstLineChars="200"/>
        <w:jc w:val="left"/>
        <w:rPr>
          <w:rFonts w:hint="eastAsia" w:ascii="宋体" w:hAnsi="宋体"/>
          <w:szCs w:val="21"/>
          <w:highlight w:val="none"/>
        </w:rPr>
      </w:pPr>
      <w:r>
        <w:rPr>
          <w:rFonts w:hint="eastAsia" w:ascii="宋体" w:hAnsi="宋体"/>
          <w:szCs w:val="21"/>
          <w:highlight w:val="none"/>
        </w:rPr>
        <w:t>（5）复核标段内所有桥梁的养护维修情况。</w:t>
      </w:r>
    </w:p>
    <w:p w14:paraId="32BFF8BD">
      <w:pPr>
        <w:spacing w:line="360" w:lineRule="auto"/>
        <w:ind w:left="-59" w:leftChars="-28" w:firstLine="420" w:firstLineChars="200"/>
        <w:jc w:val="left"/>
        <w:rPr>
          <w:rFonts w:hint="eastAsia" w:ascii="宋体" w:hAnsi="宋体"/>
          <w:szCs w:val="21"/>
          <w:highlight w:val="none"/>
        </w:rPr>
      </w:pPr>
      <w:r>
        <w:rPr>
          <w:rFonts w:hint="eastAsia" w:ascii="宋体" w:hAnsi="宋体"/>
          <w:szCs w:val="21"/>
          <w:highlight w:val="none"/>
        </w:rPr>
        <w:t>（6）分析病害原因，需要大中修或改建的桥梁计划，说明维修的项目，拟用的维修方案建议等。</w:t>
      </w:r>
    </w:p>
    <w:p w14:paraId="34E48295">
      <w:pPr>
        <w:spacing w:line="360" w:lineRule="auto"/>
        <w:ind w:left="-59" w:leftChars="-28" w:firstLine="420" w:firstLineChars="200"/>
        <w:jc w:val="left"/>
        <w:rPr>
          <w:rFonts w:hint="eastAsia" w:ascii="宋体" w:hAnsi="宋体"/>
          <w:szCs w:val="21"/>
          <w:highlight w:val="none"/>
        </w:rPr>
      </w:pPr>
      <w:r>
        <w:rPr>
          <w:rFonts w:hint="eastAsia" w:ascii="宋体" w:hAnsi="宋体"/>
          <w:szCs w:val="21"/>
          <w:highlight w:val="none"/>
        </w:rPr>
        <w:t>（7）需要进行特殊检查的桥梁，说明检验项目及理由。</w:t>
      </w:r>
    </w:p>
    <w:p w14:paraId="083D6206">
      <w:pPr>
        <w:spacing w:line="360" w:lineRule="auto"/>
        <w:ind w:left="-59" w:leftChars="-28" w:firstLine="420" w:firstLineChars="200"/>
        <w:jc w:val="left"/>
        <w:rPr>
          <w:rFonts w:hint="eastAsia" w:ascii="宋体" w:hAnsi="宋体"/>
          <w:szCs w:val="21"/>
          <w:highlight w:val="none"/>
        </w:rPr>
      </w:pPr>
      <w:r>
        <w:rPr>
          <w:rFonts w:hint="eastAsia" w:ascii="宋体" w:hAnsi="宋体"/>
          <w:szCs w:val="21"/>
          <w:highlight w:val="none"/>
        </w:rPr>
        <w:t>（8）对于存在重大问题的桥梁制定处治建议报告。</w:t>
      </w:r>
    </w:p>
    <w:p w14:paraId="1673ED92">
      <w:pPr>
        <w:spacing w:line="360" w:lineRule="auto"/>
        <w:ind w:left="-59" w:leftChars="-28" w:firstLine="420" w:firstLineChars="200"/>
        <w:jc w:val="left"/>
        <w:rPr>
          <w:rFonts w:hint="eastAsia" w:ascii="宋体" w:hAnsi="宋体"/>
          <w:szCs w:val="21"/>
          <w:highlight w:val="none"/>
        </w:rPr>
      </w:pPr>
      <w:r>
        <w:rPr>
          <w:rFonts w:hint="eastAsia" w:ascii="宋体" w:hAnsi="宋体"/>
          <w:szCs w:val="21"/>
          <w:highlight w:val="none"/>
        </w:rPr>
        <w:t>1.2.3桥梁定期检查过程中应完成下列内容：</w:t>
      </w:r>
    </w:p>
    <w:p w14:paraId="6E26CEA5">
      <w:pPr>
        <w:spacing w:line="360" w:lineRule="auto"/>
        <w:ind w:left="-59" w:leftChars="-28" w:firstLine="420" w:firstLineChars="200"/>
        <w:jc w:val="left"/>
        <w:rPr>
          <w:rFonts w:ascii="宋体" w:hAnsi="宋体"/>
          <w:szCs w:val="21"/>
          <w:highlight w:val="none"/>
        </w:rPr>
      </w:pPr>
      <w:r>
        <w:rPr>
          <w:rFonts w:hint="eastAsia" w:ascii="宋体" w:hAnsi="宋体"/>
          <w:szCs w:val="21"/>
          <w:highlight w:val="none"/>
        </w:rPr>
        <w:t>（1）定期检查完成后，对桥梁基本技术状况健康卡片进行更新。</w:t>
      </w:r>
    </w:p>
    <w:p w14:paraId="2AACE02A">
      <w:pPr>
        <w:spacing w:line="360" w:lineRule="auto"/>
        <w:ind w:left="-59" w:leftChars="-28" w:firstLine="420" w:firstLineChars="200"/>
        <w:jc w:val="left"/>
        <w:rPr>
          <w:rFonts w:ascii="宋体" w:hAnsi="宋体"/>
          <w:color w:val="000000"/>
          <w:szCs w:val="21"/>
          <w:highlight w:val="none"/>
        </w:rPr>
      </w:pPr>
      <w:r>
        <w:rPr>
          <w:rFonts w:hint="eastAsia" w:ascii="宋体" w:hAnsi="宋体"/>
          <w:color w:val="000000"/>
          <w:szCs w:val="21"/>
          <w:highlight w:val="none"/>
        </w:rPr>
        <w:t>（2）人员素质，到场要求：</w:t>
      </w:r>
    </w:p>
    <w:p w14:paraId="41D58F71">
      <w:pPr>
        <w:spacing w:line="360" w:lineRule="auto"/>
        <w:ind w:left="-59" w:leftChars="-28" w:firstLine="420" w:firstLineChars="200"/>
        <w:jc w:val="left"/>
        <w:rPr>
          <w:rFonts w:ascii="宋体" w:hAnsi="宋体"/>
          <w:color w:val="000000"/>
          <w:szCs w:val="21"/>
          <w:highlight w:val="none"/>
        </w:rPr>
      </w:pPr>
      <w:r>
        <w:rPr>
          <w:rFonts w:hint="eastAsia" w:ascii="宋体" w:hAnsi="宋体"/>
          <w:color w:val="000000"/>
          <w:szCs w:val="21"/>
          <w:highlight w:val="none"/>
        </w:rPr>
        <w:t>在现场工作时，应遵守政府有关安全法律法规，制定严格的检测方案，在进行检测时应严格按设计要求和规范规定进行，并且保证桥梁的安全和检测人员的安全。</w:t>
      </w:r>
    </w:p>
    <w:p w14:paraId="2206DF93">
      <w:pPr>
        <w:spacing w:line="360" w:lineRule="auto"/>
        <w:ind w:left="-59" w:leftChars="-28" w:firstLine="420" w:firstLineChars="200"/>
        <w:jc w:val="left"/>
        <w:rPr>
          <w:rFonts w:ascii="宋体" w:hAnsi="宋体"/>
          <w:color w:val="000000"/>
          <w:szCs w:val="21"/>
          <w:highlight w:val="none"/>
        </w:rPr>
      </w:pPr>
      <w:r>
        <w:rPr>
          <w:rFonts w:hint="eastAsia" w:ascii="宋体" w:hAnsi="宋体"/>
          <w:color w:val="000000"/>
          <w:szCs w:val="21"/>
          <w:highlight w:val="none"/>
        </w:rPr>
        <w:t>要对作业员工进行安全培训教育，进作业前的安全技术交底，并进行三级教育、岗前培训。作业人员应统一着装、穿戴整洁、持证挂牌上岗。</w:t>
      </w:r>
    </w:p>
    <w:p w14:paraId="0ECE01FB">
      <w:pPr>
        <w:spacing w:line="360" w:lineRule="auto"/>
        <w:ind w:left="-59" w:leftChars="-28" w:firstLine="420" w:firstLineChars="200"/>
        <w:jc w:val="left"/>
        <w:rPr>
          <w:rFonts w:ascii="宋体" w:hAnsi="宋体"/>
          <w:color w:val="000000"/>
          <w:szCs w:val="21"/>
          <w:highlight w:val="none"/>
        </w:rPr>
      </w:pPr>
      <w:r>
        <w:rPr>
          <w:rFonts w:hint="eastAsia" w:ascii="宋体" w:hAnsi="宋体"/>
          <w:color w:val="000000"/>
          <w:szCs w:val="21"/>
          <w:highlight w:val="none"/>
        </w:rPr>
        <w:t>进行检测作业时，应在作业区域设置合理、明显的指示、警示、安全施工标志，安全警示标志必须符合国家标准。</w:t>
      </w:r>
    </w:p>
    <w:p w14:paraId="205D64CA">
      <w:pPr>
        <w:spacing w:line="360" w:lineRule="auto"/>
        <w:ind w:left="-59" w:leftChars="-28" w:firstLine="420" w:firstLineChars="200"/>
        <w:jc w:val="left"/>
        <w:rPr>
          <w:rFonts w:ascii="宋体" w:hAnsi="宋体"/>
          <w:color w:val="000000"/>
          <w:szCs w:val="21"/>
          <w:highlight w:val="none"/>
        </w:rPr>
      </w:pPr>
      <w:r>
        <w:rPr>
          <w:rFonts w:hint="eastAsia" w:ascii="宋体" w:hAnsi="宋体"/>
          <w:color w:val="000000"/>
          <w:szCs w:val="21"/>
          <w:highlight w:val="none"/>
        </w:rPr>
        <w:t>在作业现场，应采取必要的安全措施，并应保障甲方免于承担由此导致的一切诉讼、争执、索赔、罚款，任何事故和责任均由乙方人承担。</w:t>
      </w:r>
    </w:p>
    <w:p w14:paraId="44997A5A">
      <w:pPr>
        <w:spacing w:line="360" w:lineRule="auto"/>
        <w:ind w:left="-59" w:leftChars="-28" w:firstLine="420" w:firstLineChars="200"/>
        <w:jc w:val="left"/>
        <w:rPr>
          <w:rFonts w:ascii="宋体" w:hAnsi="宋体"/>
          <w:color w:val="000000"/>
          <w:szCs w:val="21"/>
          <w:highlight w:val="none"/>
        </w:rPr>
      </w:pPr>
      <w:r>
        <w:rPr>
          <w:rFonts w:hint="eastAsia" w:ascii="宋体" w:hAnsi="宋体"/>
          <w:color w:val="000000"/>
          <w:szCs w:val="21"/>
          <w:highlight w:val="none"/>
        </w:rPr>
        <w:t>作业人员服务期间应保持稳定，且原则上不得更换，若确需更换应向采购方提出书面申请，经采购方批准后方可进行更换，更换人员资格不得低于文件要求。采购方有权对中标单位聘用的人员和培训情况进行考察，发现有不符合投标文件及工作要求的人员，有权要求中标单位限期更换人员或重新培训合格后上岗。</w:t>
      </w:r>
    </w:p>
    <w:p w14:paraId="77F91DD3">
      <w:pPr>
        <w:spacing w:line="360" w:lineRule="auto"/>
        <w:ind w:left="-59" w:leftChars="-28" w:firstLine="420" w:firstLineChars="200"/>
        <w:jc w:val="left"/>
        <w:rPr>
          <w:rFonts w:ascii="宋体" w:hAnsi="宋体"/>
          <w:color w:val="000000"/>
          <w:szCs w:val="21"/>
          <w:highlight w:val="none"/>
        </w:rPr>
      </w:pPr>
      <w:r>
        <w:rPr>
          <w:rFonts w:hint="eastAsia" w:ascii="宋体" w:hAnsi="宋体"/>
          <w:color w:val="000000"/>
          <w:szCs w:val="21"/>
          <w:highlight w:val="none"/>
        </w:rPr>
        <w:t>（3）数据准确性、报告质量要求</w:t>
      </w:r>
    </w:p>
    <w:p w14:paraId="0EAE3D14">
      <w:pPr>
        <w:spacing w:line="360" w:lineRule="auto"/>
        <w:ind w:left="-59" w:leftChars="-28" w:firstLine="420" w:firstLineChars="200"/>
        <w:jc w:val="left"/>
        <w:rPr>
          <w:rFonts w:hint="eastAsia" w:ascii="宋体" w:hAnsi="宋体"/>
          <w:color w:val="000000"/>
          <w:szCs w:val="21"/>
          <w:highlight w:val="none"/>
        </w:rPr>
      </w:pPr>
      <w:r>
        <w:rPr>
          <w:rFonts w:hint="eastAsia" w:ascii="宋体" w:hAnsi="宋体"/>
          <w:color w:val="000000"/>
          <w:szCs w:val="21"/>
          <w:highlight w:val="none"/>
        </w:rPr>
        <w:t>进场核验，按照文件的要求，对拟投入本项目的人员、设备是否到位的情况进行现场比对，由采购人出具进场核验报告，认定是否达到相关要求，评定合格或不合格的行为。完成全部检测工作后，供应商需在规定时间内提交正规检测报告。</w:t>
      </w:r>
    </w:p>
    <w:p w14:paraId="6700E100">
      <w:pPr>
        <w:spacing w:line="360" w:lineRule="auto"/>
        <w:ind w:left="-59" w:leftChars="-28" w:firstLine="420" w:firstLineChars="200"/>
        <w:jc w:val="left"/>
        <w:rPr>
          <w:rFonts w:ascii="宋体" w:hAnsi="宋体"/>
          <w:color w:val="000000"/>
          <w:szCs w:val="21"/>
          <w:highlight w:val="none"/>
        </w:rPr>
      </w:pPr>
      <w:r>
        <w:rPr>
          <w:rFonts w:hint="eastAsia" w:ascii="宋体" w:hAnsi="宋体"/>
          <w:color w:val="000000"/>
          <w:szCs w:val="21"/>
          <w:highlight w:val="none"/>
        </w:rPr>
        <w:t>（4）定期检查结束后一周内及时跟采购人汇报检查结果，配合采购人做好定检数据的系统录入、养护方案的制定、科学决策制度、风险辨识手册、应急预案等编制。</w:t>
      </w:r>
    </w:p>
    <w:p w14:paraId="1E9980BE">
      <w:pPr>
        <w:spacing w:line="360" w:lineRule="auto"/>
        <w:ind w:firstLine="310" w:firstLineChars="147"/>
        <w:rPr>
          <w:rFonts w:ascii="宋体" w:hAnsi="宋体" w:cs="方正仿宋_GBK"/>
          <w:b/>
          <w:szCs w:val="21"/>
          <w:highlight w:val="none"/>
        </w:rPr>
      </w:pPr>
      <w:r>
        <w:rPr>
          <w:rFonts w:hint="eastAsia" w:ascii="宋体" w:hAnsi="宋体"/>
          <w:b/>
          <w:szCs w:val="21"/>
          <w:highlight w:val="none"/>
        </w:rPr>
        <w:t>2.</w:t>
      </w:r>
      <w:r>
        <w:rPr>
          <w:rFonts w:hint="eastAsia" w:ascii="宋体" w:hAnsi="宋体" w:cs="方正仿宋_GBK"/>
          <w:b/>
          <w:szCs w:val="21"/>
          <w:highlight w:val="none"/>
        </w:rPr>
        <w:t xml:space="preserve"> 资料提交方式</w:t>
      </w:r>
    </w:p>
    <w:p w14:paraId="56F46E57">
      <w:pPr>
        <w:pStyle w:val="6"/>
        <w:spacing w:line="360" w:lineRule="auto"/>
        <w:ind w:right="320" w:firstLine="420" w:firstLineChars="200"/>
        <w:jc w:val="lef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桥梁按《公路桥涵养护规范》（JTG5120-2021）有关规定提交资料的报告及各类定期检查报告一律按正式打印文本交付外，还需将病害图片（图片上的病害要做简洁明了的标注）采用光盘记录交付。定期检查单位提交3份定期检查报告（供应商盖章）和对应的电子版本报告。同时桥梁数据资料按委托人时限要求录入桥梁数据管理系统并通过管养单位交接验收。</w:t>
      </w:r>
    </w:p>
    <w:bookmarkEnd w:id="104"/>
    <w:bookmarkEnd w:id="105"/>
    <w:p w14:paraId="784D2C69">
      <w:pPr>
        <w:pStyle w:val="6"/>
        <w:spacing w:line="360" w:lineRule="auto"/>
        <w:ind w:right="320" w:firstLine="422" w:firstLineChars="200"/>
        <w:jc w:val="center"/>
        <w:rPr>
          <w:rFonts w:hint="eastAsia" w:ascii="宋体" w:hAnsi="宋体" w:eastAsia="宋体"/>
          <w:b/>
          <w:bCs/>
          <w:color w:val="000000" w:themeColor="text1"/>
          <w:sz w:val="21"/>
          <w:szCs w:val="21"/>
          <w:highlight w:val="none"/>
          <w14:textFill>
            <w14:solidFill>
              <w14:schemeClr w14:val="tx1"/>
            </w14:solidFill>
          </w14:textFill>
        </w:rPr>
      </w:pPr>
      <w:bookmarkStart w:id="108" w:name="_Toc86268903"/>
      <w:bookmarkStart w:id="109" w:name="_Toc26554097"/>
      <w:bookmarkStart w:id="110" w:name="_Toc61149622"/>
      <w:bookmarkStart w:id="111" w:name="_Toc23828480"/>
      <w:r>
        <w:rPr>
          <w:rFonts w:hint="eastAsia" w:ascii="宋体" w:hAnsi="宋体" w:eastAsia="宋体"/>
          <w:b/>
          <w:bCs/>
          <w:color w:val="000000" w:themeColor="text1"/>
          <w:sz w:val="21"/>
          <w:szCs w:val="21"/>
          <w:highlight w:val="none"/>
          <w:lang w:val="en-US" w:eastAsia="zh-CN"/>
          <w14:textFill>
            <w14:solidFill>
              <w14:schemeClr w14:val="tx1"/>
            </w14:solidFill>
          </w14:textFill>
        </w:rPr>
        <w:t>附件：2026年快速路桥梁定检清单</w:t>
      </w:r>
    </w:p>
    <w:tbl>
      <w:tblPr>
        <w:tblStyle w:val="19"/>
        <w:tblW w:w="922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050"/>
        <w:gridCol w:w="3630"/>
        <w:gridCol w:w="2445"/>
        <w:gridCol w:w="2100"/>
      </w:tblGrid>
      <w:tr w14:paraId="2226750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0"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174DF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序号</w:t>
            </w:r>
          </w:p>
        </w:tc>
        <w:tc>
          <w:tcPr>
            <w:tcW w:w="3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A4008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桥梁名称</w:t>
            </w:r>
          </w:p>
        </w:tc>
        <w:tc>
          <w:tcPr>
            <w:tcW w:w="24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AAFA0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所属路线</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F0D8F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桥梁总长</w:t>
            </w:r>
          </w:p>
        </w:tc>
      </w:tr>
      <w:tr w14:paraId="0261207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0"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4C5F7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7C104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永兴路（凤凰东路）-太湖路高架</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6C6AA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东风快速路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A5C73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1682.24 </w:t>
            </w:r>
          </w:p>
        </w:tc>
      </w:tr>
      <w:tr w14:paraId="53A0F90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AFED5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555E7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海军东路上跨桥</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E4853D">
            <w:pPr>
              <w:jc w:val="center"/>
              <w:rPr>
                <w:rFonts w:hint="eastAsia" w:ascii="宋体" w:hAnsi="宋体" w:eastAsia="宋体" w:cs="宋体"/>
                <w:i w:val="0"/>
                <w:iCs w:val="0"/>
                <w:color w:val="000000"/>
                <w:sz w:val="21"/>
                <w:szCs w:val="21"/>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C24C1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528.14 </w:t>
            </w:r>
          </w:p>
        </w:tc>
      </w:tr>
      <w:tr w14:paraId="401E39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A6551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8A07C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姜高路-药城大道高架</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96A633">
            <w:pPr>
              <w:jc w:val="center"/>
              <w:rPr>
                <w:rFonts w:hint="eastAsia" w:ascii="宋体" w:hAnsi="宋体" w:eastAsia="宋体" w:cs="宋体"/>
                <w:i w:val="0"/>
                <w:iCs w:val="0"/>
                <w:color w:val="000000"/>
                <w:sz w:val="21"/>
                <w:szCs w:val="21"/>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57D29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1418.14 </w:t>
            </w:r>
          </w:p>
        </w:tc>
      </w:tr>
      <w:tr w14:paraId="4328029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C8A46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C0DED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健康大道上跨桥</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DE7FDC">
            <w:pPr>
              <w:jc w:val="center"/>
              <w:rPr>
                <w:rFonts w:hint="eastAsia" w:ascii="宋体" w:hAnsi="宋体" w:eastAsia="宋体" w:cs="宋体"/>
                <w:i w:val="0"/>
                <w:iCs w:val="0"/>
                <w:color w:val="000000"/>
                <w:sz w:val="21"/>
                <w:szCs w:val="21"/>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52A5D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423.14 </w:t>
            </w:r>
          </w:p>
        </w:tc>
      </w:tr>
      <w:tr w14:paraId="0D93E7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49901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B044E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创新大道-金果路高架</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A9F4D8">
            <w:pPr>
              <w:jc w:val="center"/>
              <w:rPr>
                <w:rFonts w:hint="eastAsia" w:ascii="宋体" w:hAnsi="宋体" w:eastAsia="宋体" w:cs="宋体"/>
                <w:i w:val="0"/>
                <w:iCs w:val="0"/>
                <w:color w:val="000000"/>
                <w:sz w:val="21"/>
                <w:szCs w:val="21"/>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46D67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3222.91 </w:t>
            </w:r>
          </w:p>
        </w:tc>
      </w:tr>
      <w:tr w14:paraId="3E5A54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ADEAE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3C567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创业大道出口A匝道桥(下行)</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625B8C">
            <w:pPr>
              <w:jc w:val="center"/>
              <w:rPr>
                <w:rFonts w:hint="eastAsia" w:ascii="宋体" w:hAnsi="宋体" w:eastAsia="宋体" w:cs="宋体"/>
                <w:i w:val="0"/>
                <w:iCs w:val="0"/>
                <w:color w:val="000000"/>
                <w:sz w:val="21"/>
                <w:szCs w:val="21"/>
                <w:highlight w:val="none"/>
                <w:u w:val="none"/>
              </w:rPr>
            </w:pP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EA25A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177.97 </w:t>
            </w:r>
          </w:p>
        </w:tc>
      </w:tr>
      <w:tr w14:paraId="5A7D10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4F677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69BE5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创业大道入口B匝道桥(上行)</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AD1CB2">
            <w:pPr>
              <w:jc w:val="center"/>
              <w:rPr>
                <w:rFonts w:hint="eastAsia" w:ascii="宋体" w:hAnsi="宋体" w:eastAsia="宋体" w:cs="宋体"/>
                <w:i w:val="0"/>
                <w:iCs w:val="0"/>
                <w:color w:val="000000"/>
                <w:sz w:val="21"/>
                <w:szCs w:val="21"/>
                <w:highlight w:val="none"/>
                <w:u w:val="none"/>
              </w:rPr>
            </w:pP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FA5FC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177.97 </w:t>
            </w:r>
          </w:p>
        </w:tc>
      </w:tr>
      <w:tr w14:paraId="13442D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C6068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2B2D2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向阳河小桥</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0C16B2">
            <w:pPr>
              <w:jc w:val="center"/>
              <w:rPr>
                <w:rFonts w:hint="eastAsia" w:ascii="宋体" w:hAnsi="宋体" w:eastAsia="宋体" w:cs="宋体"/>
                <w:i w:val="0"/>
                <w:iCs w:val="0"/>
                <w:color w:val="000000"/>
                <w:sz w:val="21"/>
                <w:szCs w:val="21"/>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8E8DF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34.84 </w:t>
            </w:r>
          </w:p>
        </w:tc>
      </w:tr>
      <w:tr w14:paraId="5EEF1AA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A6DA1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93302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周山河大桥</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4521A7">
            <w:pPr>
              <w:jc w:val="center"/>
              <w:rPr>
                <w:rFonts w:hint="eastAsia" w:ascii="宋体" w:hAnsi="宋体" w:eastAsia="宋体" w:cs="宋体"/>
                <w:i w:val="0"/>
                <w:iCs w:val="0"/>
                <w:color w:val="000000"/>
                <w:sz w:val="21"/>
                <w:szCs w:val="21"/>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CE6CA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106.88 </w:t>
            </w:r>
          </w:p>
        </w:tc>
      </w:tr>
      <w:tr w14:paraId="71A467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50437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DEBC5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小港河桥</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105D04">
            <w:pPr>
              <w:jc w:val="center"/>
              <w:rPr>
                <w:rFonts w:hint="eastAsia" w:ascii="宋体" w:hAnsi="宋体" w:eastAsia="宋体" w:cs="宋体"/>
                <w:i w:val="0"/>
                <w:iCs w:val="0"/>
                <w:color w:val="000000"/>
                <w:sz w:val="21"/>
                <w:szCs w:val="21"/>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4B3B7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44.48 </w:t>
            </w:r>
          </w:p>
        </w:tc>
      </w:tr>
      <w:tr w14:paraId="69A886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03AEF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650F9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永寨河桥</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B00FB0">
            <w:pPr>
              <w:jc w:val="center"/>
              <w:rPr>
                <w:rFonts w:hint="eastAsia" w:ascii="宋体" w:hAnsi="宋体" w:eastAsia="宋体" w:cs="宋体"/>
                <w:i w:val="0"/>
                <w:iCs w:val="0"/>
                <w:color w:val="000000"/>
                <w:sz w:val="21"/>
                <w:szCs w:val="21"/>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94376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34.08 </w:t>
            </w:r>
          </w:p>
        </w:tc>
      </w:tr>
      <w:tr w14:paraId="4B84CF1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FD5D2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6A7AC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界河桥</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C91CD2">
            <w:pPr>
              <w:jc w:val="center"/>
              <w:rPr>
                <w:rFonts w:hint="eastAsia" w:ascii="宋体" w:hAnsi="宋体" w:eastAsia="宋体" w:cs="宋体"/>
                <w:i w:val="0"/>
                <w:iCs w:val="0"/>
                <w:color w:val="000000"/>
                <w:sz w:val="21"/>
                <w:szCs w:val="21"/>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154F9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46.08 </w:t>
            </w:r>
          </w:p>
        </w:tc>
      </w:tr>
      <w:tr w14:paraId="1FB6742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5B875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6EC1D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生产河桥</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31A41E">
            <w:pPr>
              <w:jc w:val="center"/>
              <w:rPr>
                <w:rFonts w:hint="eastAsia" w:ascii="宋体" w:hAnsi="宋体" w:eastAsia="宋体" w:cs="宋体"/>
                <w:i w:val="0"/>
                <w:iCs w:val="0"/>
                <w:color w:val="000000"/>
                <w:sz w:val="21"/>
                <w:szCs w:val="21"/>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BF132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86.08 </w:t>
            </w:r>
          </w:p>
        </w:tc>
      </w:tr>
      <w:tr w14:paraId="74F3CA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AC206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19E50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双庆河桥</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9539D5">
            <w:pPr>
              <w:jc w:val="center"/>
              <w:rPr>
                <w:rFonts w:hint="eastAsia" w:ascii="宋体" w:hAnsi="宋体" w:eastAsia="宋体" w:cs="宋体"/>
                <w:i w:val="0"/>
                <w:iCs w:val="0"/>
                <w:color w:val="000000"/>
                <w:sz w:val="21"/>
                <w:szCs w:val="21"/>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B589A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53.48 </w:t>
            </w:r>
          </w:p>
        </w:tc>
      </w:tr>
      <w:tr w14:paraId="61FDD4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20BA7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FEA54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乐园桥</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342277">
            <w:pPr>
              <w:jc w:val="center"/>
              <w:rPr>
                <w:rFonts w:hint="eastAsia" w:ascii="宋体" w:hAnsi="宋体" w:eastAsia="宋体" w:cs="宋体"/>
                <w:i w:val="0"/>
                <w:iCs w:val="0"/>
                <w:color w:val="000000"/>
                <w:sz w:val="21"/>
                <w:szCs w:val="21"/>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4DEAB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44.48 </w:t>
            </w:r>
          </w:p>
        </w:tc>
      </w:tr>
      <w:tr w14:paraId="7A7C6A6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20766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D1C34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集成河桥</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336A6F">
            <w:pPr>
              <w:jc w:val="center"/>
              <w:rPr>
                <w:rFonts w:hint="eastAsia" w:ascii="宋体" w:hAnsi="宋体" w:eastAsia="宋体" w:cs="宋体"/>
                <w:i w:val="0"/>
                <w:iCs w:val="0"/>
                <w:color w:val="000000"/>
                <w:sz w:val="21"/>
                <w:szCs w:val="21"/>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F9A7A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53.48 </w:t>
            </w:r>
          </w:p>
        </w:tc>
      </w:tr>
      <w:tr w14:paraId="305FDC3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34235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91D71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232省道入口RU匝道桥(下行)</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951B85">
            <w:pPr>
              <w:jc w:val="center"/>
              <w:rPr>
                <w:rFonts w:hint="eastAsia" w:ascii="宋体" w:hAnsi="宋体" w:eastAsia="宋体" w:cs="宋体"/>
                <w:i w:val="0"/>
                <w:iCs w:val="0"/>
                <w:color w:val="000000"/>
                <w:sz w:val="21"/>
                <w:szCs w:val="21"/>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6CF96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241.45 </w:t>
            </w:r>
          </w:p>
        </w:tc>
      </w:tr>
      <w:tr w14:paraId="0350E5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999EF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F860F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232省道出口LD匝道桥(上行)</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17D908">
            <w:pPr>
              <w:jc w:val="center"/>
              <w:rPr>
                <w:rFonts w:hint="eastAsia" w:ascii="宋体" w:hAnsi="宋体" w:eastAsia="宋体" w:cs="宋体"/>
                <w:i w:val="0"/>
                <w:iCs w:val="0"/>
                <w:color w:val="000000"/>
                <w:sz w:val="21"/>
                <w:szCs w:val="21"/>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DB076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241.45 </w:t>
            </w:r>
          </w:p>
        </w:tc>
      </w:tr>
      <w:tr w14:paraId="51B86E8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03DCA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EF118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232省道出口RD匝道桥(下行)</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3725E0">
            <w:pPr>
              <w:jc w:val="center"/>
              <w:rPr>
                <w:rFonts w:hint="eastAsia" w:ascii="宋体" w:hAnsi="宋体" w:eastAsia="宋体" w:cs="宋体"/>
                <w:i w:val="0"/>
                <w:iCs w:val="0"/>
                <w:color w:val="000000"/>
                <w:sz w:val="21"/>
                <w:szCs w:val="21"/>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1FDAE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260.65 </w:t>
            </w:r>
          </w:p>
        </w:tc>
      </w:tr>
      <w:tr w14:paraId="0B2F8F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CE716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B6ECC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232省道入口LU匝道桥(上行)</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447B7B">
            <w:pPr>
              <w:jc w:val="center"/>
              <w:rPr>
                <w:rFonts w:hint="eastAsia" w:ascii="宋体" w:hAnsi="宋体" w:eastAsia="宋体" w:cs="宋体"/>
                <w:i w:val="0"/>
                <w:iCs w:val="0"/>
                <w:color w:val="000000"/>
                <w:sz w:val="21"/>
                <w:szCs w:val="21"/>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CFA48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260.65 </w:t>
            </w:r>
          </w:p>
        </w:tc>
      </w:tr>
      <w:tr w14:paraId="1DCBF4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C76CE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941EE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葛港河中桥</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7D49DF">
            <w:pPr>
              <w:jc w:val="center"/>
              <w:rPr>
                <w:rFonts w:hint="eastAsia" w:ascii="宋体" w:hAnsi="宋体" w:eastAsia="宋体" w:cs="宋体"/>
                <w:i w:val="0"/>
                <w:iCs w:val="0"/>
                <w:color w:val="000000"/>
                <w:sz w:val="21"/>
                <w:szCs w:val="21"/>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FAF22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53.48 </w:t>
            </w:r>
          </w:p>
        </w:tc>
      </w:tr>
      <w:tr w14:paraId="24CDE1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76A12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70498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梅网河中桥</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96C40C">
            <w:pPr>
              <w:jc w:val="center"/>
              <w:rPr>
                <w:rFonts w:hint="eastAsia" w:ascii="宋体" w:hAnsi="宋体" w:eastAsia="宋体" w:cs="宋体"/>
                <w:i w:val="0"/>
                <w:iCs w:val="0"/>
                <w:color w:val="000000"/>
                <w:sz w:val="21"/>
                <w:szCs w:val="21"/>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4D6C1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44.48 </w:t>
            </w:r>
          </w:p>
        </w:tc>
      </w:tr>
      <w:tr w14:paraId="088E42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9A0DC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7D4F0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葛庄河中桥(辅路)</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DFFDC2">
            <w:pPr>
              <w:jc w:val="center"/>
              <w:rPr>
                <w:rFonts w:hint="eastAsia" w:ascii="宋体" w:hAnsi="宋体" w:eastAsia="宋体" w:cs="宋体"/>
                <w:i w:val="0"/>
                <w:iCs w:val="0"/>
                <w:color w:val="000000"/>
                <w:sz w:val="21"/>
                <w:szCs w:val="21"/>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DC0EB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44.48 </w:t>
            </w:r>
          </w:p>
        </w:tc>
      </w:tr>
      <w:tr w14:paraId="732E25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2ABC2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24</w:t>
            </w:r>
          </w:p>
        </w:tc>
        <w:tc>
          <w:tcPr>
            <w:tcW w:w="3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4529F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青年南路-祥泰路高架桥</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（西延段）（非并线段）</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81A126">
            <w:pPr>
              <w:jc w:val="center"/>
              <w:rPr>
                <w:rFonts w:hint="eastAsia" w:ascii="宋体" w:hAnsi="宋体" w:eastAsia="宋体" w:cs="宋体"/>
                <w:i w:val="0"/>
                <w:iCs w:val="0"/>
                <w:color w:val="000000"/>
                <w:sz w:val="21"/>
                <w:szCs w:val="21"/>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A4DDC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886.00 </w:t>
            </w:r>
          </w:p>
        </w:tc>
      </w:tr>
      <w:tr w14:paraId="74E88C4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33CF1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FF40D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江州南路入口L1匝道桥(下行)</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36C96D">
            <w:pPr>
              <w:jc w:val="center"/>
              <w:rPr>
                <w:rFonts w:hint="eastAsia" w:ascii="宋体" w:hAnsi="宋体" w:eastAsia="宋体" w:cs="宋体"/>
                <w:i w:val="0"/>
                <w:iCs w:val="0"/>
                <w:color w:val="000000"/>
                <w:sz w:val="21"/>
                <w:szCs w:val="21"/>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8FC5C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151.72 </w:t>
            </w:r>
          </w:p>
        </w:tc>
      </w:tr>
      <w:tr w14:paraId="766EEA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7A8A7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A14FE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江州南路出口R1匝道桥(上行)</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288F21">
            <w:pPr>
              <w:jc w:val="center"/>
              <w:rPr>
                <w:rFonts w:hint="eastAsia" w:ascii="宋体" w:hAnsi="宋体" w:eastAsia="宋体" w:cs="宋体"/>
                <w:i w:val="0"/>
                <w:iCs w:val="0"/>
                <w:color w:val="000000"/>
                <w:sz w:val="21"/>
                <w:szCs w:val="21"/>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BAE56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181.45 </w:t>
            </w:r>
          </w:p>
        </w:tc>
      </w:tr>
      <w:tr w14:paraId="0951E3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B5FF9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9FE9A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江州南路出口L2匝道桥(下行)</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1B735F">
            <w:pPr>
              <w:jc w:val="center"/>
              <w:rPr>
                <w:rFonts w:hint="eastAsia" w:ascii="宋体" w:hAnsi="宋体" w:eastAsia="宋体" w:cs="宋体"/>
                <w:i w:val="0"/>
                <w:iCs w:val="0"/>
                <w:color w:val="000000"/>
                <w:sz w:val="21"/>
                <w:szCs w:val="21"/>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A1F6D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151.45 </w:t>
            </w:r>
          </w:p>
        </w:tc>
      </w:tr>
      <w:tr w14:paraId="730504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11619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7B1C3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江州南路入口R2匝道桥(上行)</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035AC9">
            <w:pPr>
              <w:jc w:val="center"/>
              <w:rPr>
                <w:rFonts w:hint="eastAsia" w:ascii="宋体" w:hAnsi="宋体" w:eastAsia="宋体" w:cs="宋体"/>
                <w:i w:val="0"/>
                <w:iCs w:val="0"/>
                <w:color w:val="000000"/>
                <w:sz w:val="21"/>
                <w:szCs w:val="21"/>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F8CB5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151.45 </w:t>
            </w:r>
          </w:p>
        </w:tc>
      </w:tr>
      <w:tr w14:paraId="53056C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93B1A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F0627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祥泰路入口L3匝道桥(下行)</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3EDA8F">
            <w:pPr>
              <w:jc w:val="center"/>
              <w:rPr>
                <w:rFonts w:hint="eastAsia" w:ascii="宋体" w:hAnsi="宋体" w:eastAsia="宋体" w:cs="宋体"/>
                <w:i w:val="0"/>
                <w:iCs w:val="0"/>
                <w:color w:val="000000"/>
                <w:sz w:val="21"/>
                <w:szCs w:val="21"/>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493E4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178.70 </w:t>
            </w:r>
          </w:p>
        </w:tc>
      </w:tr>
      <w:tr w14:paraId="65B403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6AB3E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BE3A5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老通扬运河东大桥(辅路)</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B3DBEB">
            <w:pPr>
              <w:jc w:val="center"/>
              <w:rPr>
                <w:rFonts w:hint="eastAsia" w:ascii="宋体" w:hAnsi="宋体" w:eastAsia="宋体" w:cs="宋体"/>
                <w:i w:val="0"/>
                <w:iCs w:val="0"/>
                <w:color w:val="000000"/>
                <w:sz w:val="21"/>
                <w:szCs w:val="21"/>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3679D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106.95 </w:t>
            </w:r>
          </w:p>
        </w:tc>
      </w:tr>
      <w:tr w14:paraId="25C0A4E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9769D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2CC29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塘沟河中桥(辅路)</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3724F7">
            <w:pPr>
              <w:jc w:val="center"/>
              <w:rPr>
                <w:rFonts w:hint="eastAsia" w:ascii="宋体" w:hAnsi="宋体" w:eastAsia="宋体" w:cs="宋体"/>
                <w:i w:val="0"/>
                <w:iCs w:val="0"/>
                <w:color w:val="000000"/>
                <w:sz w:val="21"/>
                <w:szCs w:val="21"/>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55F6C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39.00 </w:t>
            </w:r>
          </w:p>
        </w:tc>
      </w:tr>
      <w:tr w14:paraId="39AA49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07EC0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E5D8F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七里河小桥(辅路)</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CB7919">
            <w:pPr>
              <w:jc w:val="center"/>
              <w:rPr>
                <w:rFonts w:hint="eastAsia" w:ascii="宋体" w:hAnsi="宋体" w:eastAsia="宋体" w:cs="宋体"/>
                <w:i w:val="0"/>
                <w:iCs w:val="0"/>
                <w:color w:val="000000"/>
                <w:sz w:val="21"/>
                <w:szCs w:val="21"/>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06B14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30.00 </w:t>
            </w:r>
          </w:p>
        </w:tc>
      </w:tr>
      <w:tr w14:paraId="3443ED8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94849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86D6D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老通扬运河西大桥(辅路)</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0345C0">
            <w:pPr>
              <w:jc w:val="center"/>
              <w:rPr>
                <w:rFonts w:hint="eastAsia" w:ascii="宋体" w:hAnsi="宋体" w:eastAsia="宋体" w:cs="宋体"/>
                <w:i w:val="0"/>
                <w:iCs w:val="0"/>
                <w:color w:val="000000"/>
                <w:sz w:val="21"/>
                <w:szCs w:val="21"/>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86B9A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106.82 </w:t>
            </w:r>
          </w:p>
        </w:tc>
      </w:tr>
      <w:tr w14:paraId="2D6F5F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630BA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CEEFA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前进河中桥</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BFF98C">
            <w:pPr>
              <w:jc w:val="center"/>
              <w:rPr>
                <w:rFonts w:hint="eastAsia" w:ascii="宋体" w:hAnsi="宋体" w:eastAsia="宋体" w:cs="宋体"/>
                <w:i w:val="0"/>
                <w:iCs w:val="0"/>
                <w:color w:val="000000"/>
                <w:sz w:val="21"/>
                <w:szCs w:val="21"/>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55A21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53.48 </w:t>
            </w:r>
          </w:p>
        </w:tc>
      </w:tr>
      <w:tr w14:paraId="677DB6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C96A0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DB8C6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东谢河中桥(辅路)</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6A4799">
            <w:pPr>
              <w:jc w:val="center"/>
              <w:rPr>
                <w:rFonts w:hint="eastAsia" w:ascii="宋体" w:hAnsi="宋体" w:eastAsia="宋体" w:cs="宋体"/>
                <w:i w:val="0"/>
                <w:iCs w:val="0"/>
                <w:color w:val="000000"/>
                <w:sz w:val="21"/>
                <w:szCs w:val="21"/>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A5ED5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44.48 </w:t>
            </w:r>
          </w:p>
        </w:tc>
      </w:tr>
      <w:tr w14:paraId="3E9CCF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C6A90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34A6C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鸾凤桥(辅路)</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2051F1">
            <w:pPr>
              <w:jc w:val="center"/>
              <w:rPr>
                <w:rFonts w:hint="eastAsia" w:ascii="宋体" w:hAnsi="宋体" w:eastAsia="宋体" w:cs="宋体"/>
                <w:i w:val="0"/>
                <w:iCs w:val="0"/>
                <w:color w:val="000000"/>
                <w:sz w:val="21"/>
                <w:szCs w:val="21"/>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74670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47.48 </w:t>
            </w:r>
          </w:p>
        </w:tc>
      </w:tr>
      <w:tr w14:paraId="3CA9EC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F4392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CEC8C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南官河大桥</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6AAFC3">
            <w:pPr>
              <w:jc w:val="center"/>
              <w:rPr>
                <w:rFonts w:hint="eastAsia" w:ascii="宋体" w:hAnsi="宋体" w:eastAsia="宋体" w:cs="宋体"/>
                <w:i w:val="0"/>
                <w:iCs w:val="0"/>
                <w:color w:val="000000"/>
                <w:sz w:val="21"/>
                <w:szCs w:val="21"/>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59EBD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97.20 </w:t>
            </w:r>
          </w:p>
        </w:tc>
      </w:tr>
      <w:tr w14:paraId="7898FA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3FD8E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8CCD8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中干河桥(辅路)</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7F135B">
            <w:pPr>
              <w:jc w:val="center"/>
              <w:rPr>
                <w:rFonts w:hint="eastAsia" w:ascii="宋体" w:hAnsi="宋体" w:eastAsia="宋体" w:cs="宋体"/>
                <w:i w:val="0"/>
                <w:iCs w:val="0"/>
                <w:color w:val="000000"/>
                <w:sz w:val="21"/>
                <w:szCs w:val="21"/>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A26DA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44.48 </w:t>
            </w:r>
          </w:p>
        </w:tc>
      </w:tr>
      <w:tr w14:paraId="78DF176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3B886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48152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泰渔路—红旗大道高架</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13187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东环快速路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326E9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2029.10 </w:t>
            </w:r>
          </w:p>
        </w:tc>
      </w:tr>
      <w:tr w14:paraId="245F61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15A15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40</w:t>
            </w:r>
          </w:p>
        </w:tc>
        <w:tc>
          <w:tcPr>
            <w:tcW w:w="3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5E3AE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站前路-凤凰路高架桥</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（北延段）</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9C75B1">
            <w:pPr>
              <w:jc w:val="center"/>
              <w:rPr>
                <w:rFonts w:hint="eastAsia" w:ascii="宋体" w:hAnsi="宋体" w:eastAsia="宋体" w:cs="宋体"/>
                <w:i w:val="0"/>
                <w:iCs w:val="0"/>
                <w:color w:val="000000"/>
                <w:sz w:val="21"/>
                <w:szCs w:val="21"/>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24640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3032.42 </w:t>
            </w:r>
          </w:p>
        </w:tc>
      </w:tr>
      <w:tr w14:paraId="0E5A17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F5682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41</w:t>
            </w:r>
          </w:p>
        </w:tc>
        <w:tc>
          <w:tcPr>
            <w:tcW w:w="3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F87E6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站前路-凤凰路高架桥</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（东环高架段）</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FA6BDB">
            <w:pPr>
              <w:jc w:val="center"/>
              <w:rPr>
                <w:rFonts w:hint="eastAsia" w:ascii="宋体" w:hAnsi="宋体" w:eastAsia="宋体" w:cs="宋体"/>
                <w:i w:val="0"/>
                <w:iCs w:val="0"/>
                <w:color w:val="000000"/>
                <w:sz w:val="21"/>
                <w:szCs w:val="21"/>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C8415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5201.64 </w:t>
            </w:r>
          </w:p>
        </w:tc>
      </w:tr>
      <w:tr w14:paraId="09E546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FF201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42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7533D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泰渔路出口R4匝道桥(下行)</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E9B8A2">
            <w:pPr>
              <w:jc w:val="center"/>
              <w:rPr>
                <w:rFonts w:hint="eastAsia" w:ascii="宋体" w:hAnsi="宋体" w:eastAsia="宋体" w:cs="宋体"/>
                <w:i w:val="0"/>
                <w:iCs w:val="0"/>
                <w:color w:val="000000"/>
                <w:sz w:val="21"/>
                <w:szCs w:val="21"/>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03775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200.00 </w:t>
            </w:r>
          </w:p>
        </w:tc>
      </w:tr>
      <w:tr w14:paraId="4AB80B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0B9A7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43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6305E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泰渔路入口L4匝道桥(上行)</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82F920">
            <w:pPr>
              <w:jc w:val="center"/>
              <w:rPr>
                <w:rFonts w:hint="eastAsia" w:ascii="宋体" w:hAnsi="宋体" w:eastAsia="宋体" w:cs="宋体"/>
                <w:i w:val="0"/>
                <w:iCs w:val="0"/>
                <w:color w:val="000000"/>
                <w:sz w:val="21"/>
                <w:szCs w:val="21"/>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83330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198.00 </w:t>
            </w:r>
          </w:p>
        </w:tc>
      </w:tr>
      <w:tr w14:paraId="1BEFB7A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2FB73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44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31D05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红旗大道入口R3匝道桥(下行)</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04ABFF">
            <w:pPr>
              <w:jc w:val="center"/>
              <w:rPr>
                <w:rFonts w:hint="eastAsia" w:ascii="宋体" w:hAnsi="宋体" w:eastAsia="宋体" w:cs="宋体"/>
                <w:i w:val="0"/>
                <w:iCs w:val="0"/>
                <w:color w:val="000000"/>
                <w:sz w:val="21"/>
                <w:szCs w:val="21"/>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97D4E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242.00 </w:t>
            </w:r>
          </w:p>
        </w:tc>
      </w:tr>
      <w:tr w14:paraId="0E5A54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E9A1F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45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9B1BA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红旗大道出口L3匝道桥(上行)</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461A4B">
            <w:pPr>
              <w:jc w:val="center"/>
              <w:rPr>
                <w:rFonts w:hint="eastAsia" w:ascii="宋体" w:hAnsi="宋体" w:eastAsia="宋体" w:cs="宋体"/>
                <w:i w:val="0"/>
                <w:iCs w:val="0"/>
                <w:color w:val="000000"/>
                <w:sz w:val="21"/>
                <w:szCs w:val="21"/>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F5AC4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262.00 </w:t>
            </w:r>
          </w:p>
        </w:tc>
      </w:tr>
      <w:tr w14:paraId="11B48B5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2969A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46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43850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运河路入口R2匝道桥(下行)</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0AE73A">
            <w:pPr>
              <w:jc w:val="center"/>
              <w:rPr>
                <w:rFonts w:hint="eastAsia" w:ascii="宋体" w:hAnsi="宋体" w:eastAsia="宋体" w:cs="宋体"/>
                <w:i w:val="0"/>
                <w:iCs w:val="0"/>
                <w:color w:val="000000"/>
                <w:sz w:val="21"/>
                <w:szCs w:val="21"/>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B87BB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252.18 </w:t>
            </w:r>
          </w:p>
        </w:tc>
      </w:tr>
      <w:tr w14:paraId="717B27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6DA8E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47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0FAE4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运河路出口L2匝道桥(上行)</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2ECFE6">
            <w:pPr>
              <w:jc w:val="center"/>
              <w:rPr>
                <w:rFonts w:hint="eastAsia" w:ascii="宋体" w:hAnsi="宋体" w:eastAsia="宋体" w:cs="宋体"/>
                <w:i w:val="0"/>
                <w:iCs w:val="0"/>
                <w:color w:val="000000"/>
                <w:sz w:val="21"/>
                <w:szCs w:val="21"/>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B1107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192.18 </w:t>
            </w:r>
          </w:p>
        </w:tc>
      </w:tr>
      <w:tr w14:paraId="79C3E72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0F813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48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CE7C8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南通路出口K匝道桥(下行)</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5C92DD">
            <w:pPr>
              <w:jc w:val="center"/>
              <w:rPr>
                <w:rFonts w:hint="eastAsia" w:ascii="宋体" w:hAnsi="宋体" w:eastAsia="宋体" w:cs="宋体"/>
                <w:i w:val="0"/>
                <w:iCs w:val="0"/>
                <w:color w:val="000000"/>
                <w:sz w:val="21"/>
                <w:szCs w:val="21"/>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027E8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125.43 </w:t>
            </w:r>
          </w:p>
        </w:tc>
      </w:tr>
      <w:tr w14:paraId="1EEB72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C5B97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49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65B95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南通路入口L匝道桥(上行)</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C2F535">
            <w:pPr>
              <w:jc w:val="center"/>
              <w:rPr>
                <w:rFonts w:hint="eastAsia" w:ascii="宋体" w:hAnsi="宋体" w:eastAsia="宋体" w:cs="宋体"/>
                <w:i w:val="0"/>
                <w:iCs w:val="0"/>
                <w:color w:val="000000"/>
                <w:sz w:val="21"/>
                <w:szCs w:val="21"/>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0BC9A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125.43 </w:t>
            </w:r>
          </w:p>
        </w:tc>
      </w:tr>
      <w:tr w14:paraId="02198C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B1E67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50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5BCA5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济川东路入口E匝道桥(下行)</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74D3C5">
            <w:pPr>
              <w:jc w:val="center"/>
              <w:rPr>
                <w:rFonts w:hint="eastAsia" w:ascii="宋体" w:hAnsi="宋体" w:eastAsia="宋体" w:cs="宋体"/>
                <w:i w:val="0"/>
                <w:iCs w:val="0"/>
                <w:color w:val="000000"/>
                <w:sz w:val="21"/>
                <w:szCs w:val="21"/>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46975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187.00 </w:t>
            </w:r>
          </w:p>
        </w:tc>
      </w:tr>
      <w:tr w14:paraId="1733D9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4A5B1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51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AF829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济川东路出口F匝道桥(上行)</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583B84">
            <w:pPr>
              <w:jc w:val="center"/>
              <w:rPr>
                <w:rFonts w:hint="eastAsia" w:ascii="宋体" w:hAnsi="宋体" w:eastAsia="宋体" w:cs="宋体"/>
                <w:i w:val="0"/>
                <w:iCs w:val="0"/>
                <w:color w:val="000000"/>
                <w:sz w:val="21"/>
                <w:szCs w:val="21"/>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3407A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188.00 </w:t>
            </w:r>
          </w:p>
        </w:tc>
      </w:tr>
      <w:tr w14:paraId="6D8194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82696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52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17AE2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济川东路出口G匝道桥(下行)</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23D65E">
            <w:pPr>
              <w:jc w:val="center"/>
              <w:rPr>
                <w:rFonts w:hint="eastAsia" w:ascii="宋体" w:hAnsi="宋体" w:eastAsia="宋体" w:cs="宋体"/>
                <w:i w:val="0"/>
                <w:iCs w:val="0"/>
                <w:color w:val="000000"/>
                <w:sz w:val="21"/>
                <w:szCs w:val="21"/>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49032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347.52 </w:t>
            </w:r>
          </w:p>
        </w:tc>
      </w:tr>
      <w:tr w14:paraId="54BF475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9D086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53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C7992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济川东路入口H匝道桥(上行)</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E6563D">
            <w:pPr>
              <w:jc w:val="center"/>
              <w:rPr>
                <w:rFonts w:hint="eastAsia" w:ascii="宋体" w:hAnsi="宋体" w:eastAsia="宋体" w:cs="宋体"/>
                <w:i w:val="0"/>
                <w:iCs w:val="0"/>
                <w:color w:val="000000"/>
                <w:sz w:val="21"/>
                <w:szCs w:val="21"/>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52420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378.51 </w:t>
            </w:r>
          </w:p>
        </w:tc>
      </w:tr>
      <w:tr w14:paraId="3F9AD3B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D93B0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54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D4308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凤凰东路入口A匝道桥(下行)</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288C23">
            <w:pPr>
              <w:jc w:val="center"/>
              <w:rPr>
                <w:rFonts w:hint="eastAsia" w:ascii="宋体" w:hAnsi="宋体" w:eastAsia="宋体" w:cs="宋体"/>
                <w:i w:val="0"/>
                <w:iCs w:val="0"/>
                <w:color w:val="000000"/>
                <w:sz w:val="21"/>
                <w:szCs w:val="21"/>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DD332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431.96 </w:t>
            </w:r>
          </w:p>
        </w:tc>
      </w:tr>
      <w:tr w14:paraId="095A03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C9115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55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8FE08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凤凰东路出口B匝道桥(上行)</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C054C5">
            <w:pPr>
              <w:jc w:val="center"/>
              <w:rPr>
                <w:rFonts w:hint="eastAsia" w:ascii="宋体" w:hAnsi="宋体" w:eastAsia="宋体" w:cs="宋体"/>
                <w:i w:val="0"/>
                <w:iCs w:val="0"/>
                <w:color w:val="000000"/>
                <w:sz w:val="21"/>
                <w:szCs w:val="21"/>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F614D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369.22 </w:t>
            </w:r>
          </w:p>
        </w:tc>
      </w:tr>
      <w:tr w14:paraId="5BF55A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59CB0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56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E0A0D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凤凰东路入口C匝道桥(下行)</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944B5B">
            <w:pPr>
              <w:jc w:val="center"/>
              <w:rPr>
                <w:rFonts w:hint="eastAsia" w:ascii="宋体" w:hAnsi="宋体" w:eastAsia="宋体" w:cs="宋体"/>
                <w:i w:val="0"/>
                <w:iCs w:val="0"/>
                <w:color w:val="000000"/>
                <w:sz w:val="21"/>
                <w:szCs w:val="21"/>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4A715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39.00 </w:t>
            </w:r>
          </w:p>
        </w:tc>
      </w:tr>
      <w:tr w14:paraId="679DFAE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A2A34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57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77745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凤凰东路出口D匝道桥(上行)</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9A3EE1">
            <w:pPr>
              <w:jc w:val="center"/>
              <w:rPr>
                <w:rFonts w:hint="eastAsia" w:ascii="宋体" w:hAnsi="宋体" w:eastAsia="宋体" w:cs="宋体"/>
                <w:i w:val="0"/>
                <w:iCs w:val="0"/>
                <w:color w:val="000000"/>
                <w:sz w:val="21"/>
                <w:szCs w:val="21"/>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692F7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39.00 </w:t>
            </w:r>
          </w:p>
        </w:tc>
      </w:tr>
      <w:tr w14:paraId="57A8AD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38DFC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58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A94DC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京泰路入口A匝道桥(下行)</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548B36">
            <w:pPr>
              <w:jc w:val="center"/>
              <w:rPr>
                <w:rFonts w:hint="eastAsia" w:ascii="宋体" w:hAnsi="宋体" w:eastAsia="宋体" w:cs="宋体"/>
                <w:i w:val="0"/>
                <w:iCs w:val="0"/>
                <w:color w:val="000000"/>
                <w:sz w:val="21"/>
                <w:szCs w:val="21"/>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813CC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151.45 </w:t>
            </w:r>
          </w:p>
        </w:tc>
      </w:tr>
      <w:tr w14:paraId="084249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54E68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59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0203B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京泰路出口B匝道桥(上行)</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F6490A">
            <w:pPr>
              <w:jc w:val="center"/>
              <w:rPr>
                <w:rFonts w:hint="eastAsia" w:ascii="宋体" w:hAnsi="宋体" w:eastAsia="宋体" w:cs="宋体"/>
                <w:i w:val="0"/>
                <w:iCs w:val="0"/>
                <w:color w:val="000000"/>
                <w:sz w:val="21"/>
                <w:szCs w:val="21"/>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90FD8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151.45 </w:t>
            </w:r>
          </w:p>
        </w:tc>
      </w:tr>
      <w:tr w14:paraId="5BBFCF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55E09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60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4FE76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京泰路入口C匝道桥(上行)</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4EE71C">
            <w:pPr>
              <w:jc w:val="center"/>
              <w:rPr>
                <w:rFonts w:hint="eastAsia" w:ascii="宋体" w:hAnsi="宋体" w:eastAsia="宋体" w:cs="宋体"/>
                <w:i w:val="0"/>
                <w:iCs w:val="0"/>
                <w:color w:val="000000"/>
                <w:sz w:val="21"/>
                <w:szCs w:val="21"/>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CF30B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150.45 </w:t>
            </w:r>
          </w:p>
        </w:tc>
      </w:tr>
      <w:tr w14:paraId="2B41C9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028DD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61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45838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京泰路出口D匝道桥(下行)</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B42691">
            <w:pPr>
              <w:jc w:val="center"/>
              <w:rPr>
                <w:rFonts w:hint="eastAsia" w:ascii="宋体" w:hAnsi="宋体" w:eastAsia="宋体" w:cs="宋体"/>
                <w:i w:val="0"/>
                <w:iCs w:val="0"/>
                <w:color w:val="000000"/>
                <w:sz w:val="21"/>
                <w:szCs w:val="21"/>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84901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150.45 </w:t>
            </w:r>
          </w:p>
        </w:tc>
      </w:tr>
      <w:tr w14:paraId="1C208D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3BB2F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62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B3E04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S231入口E匝道桥(上行)</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8673B4">
            <w:pPr>
              <w:jc w:val="center"/>
              <w:rPr>
                <w:rFonts w:hint="eastAsia" w:ascii="宋体" w:hAnsi="宋体" w:eastAsia="宋体" w:cs="宋体"/>
                <w:i w:val="0"/>
                <w:iCs w:val="0"/>
                <w:color w:val="000000"/>
                <w:sz w:val="21"/>
                <w:szCs w:val="21"/>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6C422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180.00 </w:t>
            </w:r>
          </w:p>
        </w:tc>
      </w:tr>
      <w:tr w14:paraId="7CE7A1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2CC9C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63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88C6E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S231出口F匝道桥(下行)</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ADA45A">
            <w:pPr>
              <w:jc w:val="center"/>
              <w:rPr>
                <w:rFonts w:hint="eastAsia" w:ascii="宋体" w:hAnsi="宋体" w:eastAsia="宋体" w:cs="宋体"/>
                <w:i w:val="0"/>
                <w:iCs w:val="0"/>
                <w:color w:val="000000"/>
                <w:sz w:val="21"/>
                <w:szCs w:val="21"/>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D4949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180.00 </w:t>
            </w:r>
          </w:p>
        </w:tc>
      </w:tr>
      <w:tr w14:paraId="30A486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6504B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64</w:t>
            </w:r>
          </w:p>
        </w:tc>
        <w:tc>
          <w:tcPr>
            <w:tcW w:w="3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6F242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海陵北路入口G匝道桥(下行)</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08428F">
            <w:pPr>
              <w:jc w:val="center"/>
              <w:rPr>
                <w:rFonts w:hint="eastAsia" w:ascii="宋体" w:hAnsi="宋体" w:eastAsia="宋体" w:cs="宋体"/>
                <w:i w:val="0"/>
                <w:iCs w:val="0"/>
                <w:color w:val="000000"/>
                <w:sz w:val="21"/>
                <w:szCs w:val="21"/>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540DE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151.45 </w:t>
            </w:r>
          </w:p>
        </w:tc>
      </w:tr>
      <w:tr w14:paraId="485DE1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0289D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65</w:t>
            </w:r>
          </w:p>
        </w:tc>
        <w:tc>
          <w:tcPr>
            <w:tcW w:w="3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5F413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海陵北路出口H匝道桥(上行)</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FC9FB8">
            <w:pPr>
              <w:jc w:val="center"/>
              <w:rPr>
                <w:rFonts w:hint="eastAsia" w:ascii="宋体" w:hAnsi="宋体" w:eastAsia="宋体" w:cs="宋体"/>
                <w:i w:val="0"/>
                <w:iCs w:val="0"/>
                <w:color w:val="000000"/>
                <w:sz w:val="21"/>
                <w:szCs w:val="21"/>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A459E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151.45 </w:t>
            </w:r>
          </w:p>
        </w:tc>
      </w:tr>
      <w:tr w14:paraId="18234E7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25451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66</w:t>
            </w:r>
          </w:p>
        </w:tc>
        <w:tc>
          <w:tcPr>
            <w:tcW w:w="3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5887E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江州北路入口I匝道桥(下行)</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DDDEE0">
            <w:pPr>
              <w:jc w:val="center"/>
              <w:rPr>
                <w:rFonts w:hint="eastAsia" w:ascii="宋体" w:hAnsi="宋体" w:eastAsia="宋体" w:cs="宋体"/>
                <w:i w:val="0"/>
                <w:iCs w:val="0"/>
                <w:color w:val="000000"/>
                <w:sz w:val="21"/>
                <w:szCs w:val="21"/>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DFFDF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181.45 </w:t>
            </w:r>
          </w:p>
        </w:tc>
      </w:tr>
      <w:tr w14:paraId="411A5C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9A500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67</w:t>
            </w:r>
          </w:p>
        </w:tc>
        <w:tc>
          <w:tcPr>
            <w:tcW w:w="3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F2D33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江州北路出口J匝道桥(上行)</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BB8DB5">
            <w:pPr>
              <w:jc w:val="center"/>
              <w:rPr>
                <w:rFonts w:hint="eastAsia" w:ascii="宋体" w:hAnsi="宋体" w:eastAsia="宋体" w:cs="宋体"/>
                <w:i w:val="0"/>
                <w:iCs w:val="0"/>
                <w:color w:val="000000"/>
                <w:sz w:val="21"/>
                <w:szCs w:val="21"/>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D2396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181.45 </w:t>
            </w:r>
          </w:p>
        </w:tc>
      </w:tr>
      <w:tr w14:paraId="33259D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F25F0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68</w:t>
            </w:r>
          </w:p>
        </w:tc>
        <w:tc>
          <w:tcPr>
            <w:tcW w:w="3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F169E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江州北路入口L匝道桥(上行)</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FA7955">
            <w:pPr>
              <w:jc w:val="center"/>
              <w:rPr>
                <w:rFonts w:hint="eastAsia" w:ascii="宋体" w:hAnsi="宋体" w:eastAsia="宋体" w:cs="宋体"/>
                <w:i w:val="0"/>
                <w:iCs w:val="0"/>
                <w:color w:val="000000"/>
                <w:sz w:val="21"/>
                <w:szCs w:val="21"/>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4DDF5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181.45 </w:t>
            </w:r>
          </w:p>
        </w:tc>
      </w:tr>
      <w:tr w14:paraId="165FD47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F5E19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69</w:t>
            </w:r>
          </w:p>
        </w:tc>
        <w:tc>
          <w:tcPr>
            <w:tcW w:w="3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EC60F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江州北路出口M匝道桥(下行)</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FE2F45">
            <w:pPr>
              <w:jc w:val="center"/>
              <w:rPr>
                <w:rFonts w:hint="eastAsia" w:ascii="宋体" w:hAnsi="宋体" w:eastAsia="宋体" w:cs="宋体"/>
                <w:i w:val="0"/>
                <w:iCs w:val="0"/>
                <w:color w:val="000000"/>
                <w:sz w:val="21"/>
                <w:szCs w:val="21"/>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AF567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181.45 </w:t>
            </w:r>
          </w:p>
        </w:tc>
      </w:tr>
      <w:tr w14:paraId="51D03E2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8D3FA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70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EED1C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无名桥16K+945(西石羊河)</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6B55F6">
            <w:pPr>
              <w:jc w:val="center"/>
              <w:rPr>
                <w:rFonts w:hint="eastAsia" w:ascii="宋体" w:hAnsi="宋体" w:eastAsia="宋体" w:cs="宋体"/>
                <w:i w:val="0"/>
                <w:iCs w:val="0"/>
                <w:color w:val="000000"/>
                <w:sz w:val="21"/>
                <w:szCs w:val="21"/>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59271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66.88 </w:t>
            </w:r>
          </w:p>
        </w:tc>
      </w:tr>
      <w:tr w14:paraId="3955E4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F66C1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71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944EA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五汊港中桥</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208FC1">
            <w:pPr>
              <w:jc w:val="center"/>
              <w:rPr>
                <w:rFonts w:hint="eastAsia" w:ascii="宋体" w:hAnsi="宋体" w:eastAsia="宋体" w:cs="宋体"/>
                <w:i w:val="0"/>
                <w:iCs w:val="0"/>
                <w:color w:val="000000"/>
                <w:sz w:val="21"/>
                <w:szCs w:val="21"/>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3F4B3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66.88 </w:t>
            </w:r>
          </w:p>
        </w:tc>
      </w:tr>
      <w:tr w14:paraId="6A1117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F3F1E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BE72D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无名桥19K+747(中桥河)</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43F7A1">
            <w:pPr>
              <w:jc w:val="center"/>
              <w:rPr>
                <w:rFonts w:hint="eastAsia" w:ascii="宋体" w:hAnsi="宋体" w:eastAsia="宋体" w:cs="宋体"/>
                <w:i w:val="0"/>
                <w:iCs w:val="0"/>
                <w:color w:val="000000"/>
                <w:sz w:val="21"/>
                <w:szCs w:val="21"/>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94504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44.48 </w:t>
            </w:r>
          </w:p>
        </w:tc>
      </w:tr>
      <w:tr w14:paraId="50D479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24A3B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73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79328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无名桥20K+243(地方泄洪河)</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BF924F">
            <w:pPr>
              <w:jc w:val="center"/>
              <w:rPr>
                <w:rFonts w:hint="eastAsia" w:ascii="宋体" w:hAnsi="宋体" w:eastAsia="宋体" w:cs="宋体"/>
                <w:i w:val="0"/>
                <w:iCs w:val="0"/>
                <w:color w:val="000000"/>
                <w:sz w:val="21"/>
                <w:szCs w:val="21"/>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F04BF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34.84 </w:t>
            </w:r>
          </w:p>
        </w:tc>
      </w:tr>
      <w:tr w14:paraId="641B90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9AE7D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74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FBD29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泰东河大桥</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E6A435">
            <w:pPr>
              <w:jc w:val="center"/>
              <w:rPr>
                <w:rFonts w:hint="eastAsia" w:ascii="宋体" w:hAnsi="宋体" w:eastAsia="宋体" w:cs="宋体"/>
                <w:i w:val="0"/>
                <w:iCs w:val="0"/>
                <w:color w:val="000000"/>
                <w:sz w:val="21"/>
                <w:szCs w:val="21"/>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B73C4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787.06 </w:t>
            </w:r>
          </w:p>
        </w:tc>
      </w:tr>
      <w:tr w14:paraId="4CAEBD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FD16B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75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C7DE4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无名桥21K+966(地方泄洪河)</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7CBF6F">
            <w:pPr>
              <w:jc w:val="center"/>
              <w:rPr>
                <w:rFonts w:hint="eastAsia" w:ascii="宋体" w:hAnsi="宋体" w:eastAsia="宋体" w:cs="宋体"/>
                <w:i w:val="0"/>
                <w:iCs w:val="0"/>
                <w:color w:val="000000"/>
                <w:sz w:val="21"/>
                <w:szCs w:val="21"/>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61916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66.88 </w:t>
            </w:r>
          </w:p>
        </w:tc>
      </w:tr>
      <w:tr w14:paraId="147012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E6FCC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76</w:t>
            </w:r>
          </w:p>
        </w:tc>
        <w:tc>
          <w:tcPr>
            <w:tcW w:w="3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77C6F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老盐河中桥</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861C24">
            <w:pPr>
              <w:jc w:val="center"/>
              <w:rPr>
                <w:rFonts w:hint="eastAsia" w:ascii="宋体" w:hAnsi="宋体" w:eastAsia="宋体" w:cs="宋体"/>
                <w:i w:val="0"/>
                <w:iCs w:val="0"/>
                <w:color w:val="000000"/>
                <w:sz w:val="21"/>
                <w:szCs w:val="21"/>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0F6FB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66.88 </w:t>
            </w:r>
          </w:p>
        </w:tc>
      </w:tr>
      <w:tr w14:paraId="7DBCA2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C4DE3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77</w:t>
            </w:r>
          </w:p>
        </w:tc>
        <w:tc>
          <w:tcPr>
            <w:tcW w:w="3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6BC6E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刘垛南港桥</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086856">
            <w:pPr>
              <w:jc w:val="center"/>
              <w:rPr>
                <w:rFonts w:hint="eastAsia" w:ascii="宋体" w:hAnsi="宋体" w:eastAsia="宋体" w:cs="宋体"/>
                <w:i w:val="0"/>
                <w:iCs w:val="0"/>
                <w:color w:val="000000"/>
                <w:sz w:val="21"/>
                <w:szCs w:val="21"/>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86A2E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34.84 </w:t>
            </w:r>
          </w:p>
        </w:tc>
      </w:tr>
      <w:tr w14:paraId="0832FE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72BAA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78</w:t>
            </w:r>
          </w:p>
        </w:tc>
        <w:tc>
          <w:tcPr>
            <w:tcW w:w="3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7336C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卤汀河大桥</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8A2E73">
            <w:pPr>
              <w:jc w:val="center"/>
              <w:rPr>
                <w:rFonts w:hint="eastAsia" w:ascii="宋体" w:hAnsi="宋体" w:eastAsia="宋体" w:cs="宋体"/>
                <w:i w:val="0"/>
                <w:iCs w:val="0"/>
                <w:color w:val="000000"/>
                <w:sz w:val="21"/>
                <w:szCs w:val="21"/>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186E1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886.30 </w:t>
            </w:r>
          </w:p>
        </w:tc>
      </w:tr>
      <w:tr w14:paraId="44CBDB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D73A1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79</w:t>
            </w:r>
          </w:p>
        </w:tc>
        <w:tc>
          <w:tcPr>
            <w:tcW w:w="3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4D783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北星河中桥</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76CBC4">
            <w:pPr>
              <w:jc w:val="center"/>
              <w:rPr>
                <w:rFonts w:hint="eastAsia" w:ascii="宋体" w:hAnsi="宋体" w:eastAsia="宋体" w:cs="宋体"/>
                <w:i w:val="0"/>
                <w:iCs w:val="0"/>
                <w:color w:val="000000"/>
                <w:sz w:val="21"/>
                <w:szCs w:val="21"/>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B4C2E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66.88 </w:t>
            </w:r>
          </w:p>
        </w:tc>
      </w:tr>
      <w:tr w14:paraId="0D66A4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99757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80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4746D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K27+400平桥(技校河)</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D6A3DD">
            <w:pPr>
              <w:jc w:val="center"/>
              <w:rPr>
                <w:rFonts w:hint="eastAsia" w:ascii="宋体" w:hAnsi="宋体" w:eastAsia="宋体" w:cs="宋体"/>
                <w:i w:val="0"/>
                <w:iCs w:val="0"/>
                <w:color w:val="000000"/>
                <w:sz w:val="21"/>
                <w:szCs w:val="21"/>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7B27F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35.24 </w:t>
            </w:r>
          </w:p>
        </w:tc>
      </w:tr>
      <w:tr w14:paraId="1BA49E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0D760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81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90A87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九里沟中桥</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8F66E3">
            <w:pPr>
              <w:jc w:val="center"/>
              <w:rPr>
                <w:rFonts w:hint="eastAsia" w:ascii="宋体" w:hAnsi="宋体" w:eastAsia="宋体" w:cs="宋体"/>
                <w:i w:val="0"/>
                <w:iCs w:val="0"/>
                <w:color w:val="000000"/>
                <w:sz w:val="21"/>
                <w:szCs w:val="21"/>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4CD52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66.88 </w:t>
            </w:r>
          </w:p>
        </w:tc>
      </w:tr>
      <w:tr w14:paraId="0158F4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30B87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82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F9A4C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永定下行转东风上行A匝道桥</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2A8BC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东风永定互通</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E52DD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198.97 </w:t>
            </w:r>
          </w:p>
        </w:tc>
      </w:tr>
      <w:tr w14:paraId="0F2D9F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223F6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83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9C811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东风下行转永定上行B匝道桥</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DAC1D4">
            <w:pPr>
              <w:jc w:val="center"/>
              <w:rPr>
                <w:rFonts w:hint="eastAsia" w:ascii="宋体" w:hAnsi="宋体" w:eastAsia="宋体" w:cs="宋体"/>
                <w:i w:val="0"/>
                <w:iCs w:val="0"/>
                <w:color w:val="000000"/>
                <w:sz w:val="21"/>
                <w:szCs w:val="21"/>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D6787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622.97 </w:t>
            </w:r>
          </w:p>
        </w:tc>
      </w:tr>
      <w:tr w14:paraId="51EC9E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466A9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84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C3CD1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东风下行转永定下行C匝道桥</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6666CF">
            <w:pPr>
              <w:jc w:val="center"/>
              <w:rPr>
                <w:rFonts w:hint="eastAsia" w:ascii="宋体" w:hAnsi="宋体" w:eastAsia="宋体" w:cs="宋体"/>
                <w:i w:val="0"/>
                <w:iCs w:val="0"/>
                <w:color w:val="000000"/>
                <w:sz w:val="21"/>
                <w:szCs w:val="21"/>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F163B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354.56 </w:t>
            </w:r>
          </w:p>
        </w:tc>
      </w:tr>
      <w:tr w14:paraId="37E23BB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27C53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85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A67ED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永定上行转东风上行D匝道桥</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50C431">
            <w:pPr>
              <w:jc w:val="center"/>
              <w:rPr>
                <w:rFonts w:hint="eastAsia" w:ascii="宋体" w:hAnsi="宋体" w:eastAsia="宋体" w:cs="宋体"/>
                <w:i w:val="0"/>
                <w:iCs w:val="0"/>
                <w:color w:val="000000"/>
                <w:sz w:val="21"/>
                <w:szCs w:val="21"/>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5F9E6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595.27 </w:t>
            </w:r>
          </w:p>
        </w:tc>
      </w:tr>
      <w:tr w14:paraId="45A935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769C9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86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43F0B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东环上行转永定下行A匝道桥</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ABEC1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东环永定互通</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D513D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839.38 </w:t>
            </w:r>
          </w:p>
        </w:tc>
      </w:tr>
      <w:tr w14:paraId="3E5726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E232B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87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45E52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东环上行转永定上行B匝道桥</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7F20A9">
            <w:pPr>
              <w:jc w:val="center"/>
              <w:rPr>
                <w:rFonts w:hint="eastAsia" w:ascii="宋体" w:hAnsi="宋体" w:eastAsia="宋体" w:cs="宋体"/>
                <w:i w:val="0"/>
                <w:iCs w:val="0"/>
                <w:color w:val="000000"/>
                <w:sz w:val="21"/>
                <w:szCs w:val="21"/>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E7429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407.00 </w:t>
            </w:r>
          </w:p>
        </w:tc>
      </w:tr>
      <w:tr w14:paraId="083F903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43FFA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88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B0ECA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永定下行转东环下行C匝道桥</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8A94D5">
            <w:pPr>
              <w:jc w:val="center"/>
              <w:rPr>
                <w:rFonts w:hint="eastAsia" w:ascii="宋体" w:hAnsi="宋体" w:eastAsia="宋体" w:cs="宋体"/>
                <w:i w:val="0"/>
                <w:iCs w:val="0"/>
                <w:color w:val="000000"/>
                <w:sz w:val="21"/>
                <w:szCs w:val="21"/>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191BD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864.47 </w:t>
            </w:r>
          </w:p>
        </w:tc>
      </w:tr>
      <w:tr w14:paraId="7D4E49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948A3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89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A404F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永定上行转东环下行D匝道桥</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1EBBE5">
            <w:pPr>
              <w:jc w:val="center"/>
              <w:rPr>
                <w:rFonts w:hint="eastAsia" w:ascii="宋体" w:hAnsi="宋体" w:eastAsia="宋体" w:cs="宋体"/>
                <w:i w:val="0"/>
                <w:iCs w:val="0"/>
                <w:color w:val="000000"/>
                <w:sz w:val="21"/>
                <w:szCs w:val="21"/>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0C517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276.00 </w:t>
            </w:r>
          </w:p>
        </w:tc>
      </w:tr>
      <w:tr w14:paraId="61E0083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13FBE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90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33218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永定东环互通接东环N匝道桥</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78BF91">
            <w:pPr>
              <w:jc w:val="center"/>
              <w:rPr>
                <w:rFonts w:hint="eastAsia" w:ascii="宋体" w:hAnsi="宋体" w:eastAsia="宋体" w:cs="宋体"/>
                <w:i w:val="0"/>
                <w:iCs w:val="0"/>
                <w:color w:val="000000"/>
                <w:sz w:val="21"/>
                <w:szCs w:val="21"/>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52EA2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90.00 </w:t>
            </w:r>
          </w:p>
        </w:tc>
      </w:tr>
      <w:tr w14:paraId="4BFD93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23F6F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91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76883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东环下行转站前上行A匝道桥</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27865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站前东环互通</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5A187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942.55 </w:t>
            </w:r>
          </w:p>
        </w:tc>
      </w:tr>
      <w:tr w14:paraId="627FDF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EF1E8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92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116BE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东环下行转站前下行B匝道桥</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10598A">
            <w:pPr>
              <w:jc w:val="center"/>
              <w:rPr>
                <w:rFonts w:hint="eastAsia" w:ascii="宋体" w:hAnsi="宋体" w:eastAsia="宋体" w:cs="宋体"/>
                <w:i w:val="0"/>
                <w:iCs w:val="0"/>
                <w:color w:val="000000"/>
                <w:sz w:val="21"/>
                <w:szCs w:val="21"/>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9D052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390.84 </w:t>
            </w:r>
          </w:p>
        </w:tc>
      </w:tr>
      <w:tr w14:paraId="31F7FD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AD9BF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93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62D72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站前上行转东环上行C匝道桥</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621A72">
            <w:pPr>
              <w:jc w:val="center"/>
              <w:rPr>
                <w:rFonts w:hint="eastAsia" w:ascii="宋体" w:hAnsi="宋体" w:eastAsia="宋体" w:cs="宋体"/>
                <w:i w:val="0"/>
                <w:iCs w:val="0"/>
                <w:color w:val="000000"/>
                <w:sz w:val="21"/>
                <w:szCs w:val="21"/>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9B599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765.44 </w:t>
            </w:r>
          </w:p>
        </w:tc>
      </w:tr>
      <w:tr w14:paraId="3ED5D6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71AF1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94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B7E9D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东环上行转站前上行D匝道桥</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1E4792">
            <w:pPr>
              <w:jc w:val="center"/>
              <w:rPr>
                <w:rFonts w:hint="eastAsia" w:ascii="宋体" w:hAnsi="宋体" w:eastAsia="宋体" w:cs="宋体"/>
                <w:i w:val="0"/>
                <w:iCs w:val="0"/>
                <w:color w:val="000000"/>
                <w:sz w:val="21"/>
                <w:szCs w:val="21"/>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B8D63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441.76 </w:t>
            </w:r>
          </w:p>
        </w:tc>
      </w:tr>
      <w:tr w14:paraId="5ACAFA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2EA2B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95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1A342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站前下行转东环上行E匝道桥</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DBA38B">
            <w:pPr>
              <w:jc w:val="center"/>
              <w:rPr>
                <w:rFonts w:hint="eastAsia" w:ascii="宋体" w:hAnsi="宋体" w:eastAsia="宋体" w:cs="宋体"/>
                <w:i w:val="0"/>
                <w:iCs w:val="0"/>
                <w:color w:val="000000"/>
                <w:sz w:val="21"/>
                <w:szCs w:val="21"/>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81282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324.66 </w:t>
            </w:r>
          </w:p>
        </w:tc>
      </w:tr>
      <w:tr w14:paraId="7F72845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C563A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96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963CC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站前下行转东环下行F匝道桥</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7188D2">
            <w:pPr>
              <w:jc w:val="center"/>
              <w:rPr>
                <w:rFonts w:hint="eastAsia" w:ascii="宋体" w:hAnsi="宋体" w:eastAsia="宋体" w:cs="宋体"/>
                <w:i w:val="0"/>
                <w:iCs w:val="0"/>
                <w:color w:val="000000"/>
                <w:sz w:val="21"/>
                <w:szCs w:val="21"/>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3ACD8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918.77 </w:t>
            </w:r>
          </w:p>
        </w:tc>
      </w:tr>
      <w:tr w14:paraId="26F6F10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63320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97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59EE6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站前上行转东风上行ES匝道桥</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9AFF8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站前东风互通</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E717E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661.76 </w:t>
            </w:r>
          </w:p>
        </w:tc>
      </w:tr>
      <w:tr w14:paraId="6160EC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1A4B7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98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3DD59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站前下行转东风上行WS匝道桥</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337BFA">
            <w:pPr>
              <w:jc w:val="center"/>
              <w:rPr>
                <w:rFonts w:hint="eastAsia" w:ascii="宋体" w:hAnsi="宋体" w:eastAsia="宋体" w:cs="宋体"/>
                <w:i w:val="0"/>
                <w:iCs w:val="0"/>
                <w:color w:val="000000"/>
                <w:sz w:val="21"/>
                <w:szCs w:val="21"/>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A930B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275.67 </w:t>
            </w:r>
          </w:p>
        </w:tc>
      </w:tr>
      <w:tr w14:paraId="7BFF95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E3632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99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3D1B0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东风下行转站前上行SE匝道桥</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20E78B">
            <w:pPr>
              <w:jc w:val="center"/>
              <w:rPr>
                <w:rFonts w:hint="eastAsia" w:ascii="宋体" w:hAnsi="宋体" w:eastAsia="宋体" w:cs="宋体"/>
                <w:i w:val="0"/>
                <w:iCs w:val="0"/>
                <w:color w:val="000000"/>
                <w:sz w:val="21"/>
                <w:szCs w:val="21"/>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532F0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427.50 </w:t>
            </w:r>
          </w:p>
        </w:tc>
      </w:tr>
      <w:tr w14:paraId="7556363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92612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BDB01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东风下行转站前下行SW匝道桥</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752DB7">
            <w:pPr>
              <w:jc w:val="center"/>
              <w:rPr>
                <w:rFonts w:hint="eastAsia" w:ascii="宋体" w:hAnsi="宋体" w:eastAsia="宋体" w:cs="宋体"/>
                <w:i w:val="0"/>
                <w:iCs w:val="0"/>
                <w:color w:val="000000"/>
                <w:sz w:val="21"/>
                <w:szCs w:val="21"/>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B047B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701.68 </w:t>
            </w:r>
          </w:p>
        </w:tc>
      </w:tr>
      <w:tr w14:paraId="3B56EA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163B1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E8EC6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站前路转长江大道I匝道桥(上行)</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E1479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站前S506互通</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6C1EE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899.56 </w:t>
            </w:r>
          </w:p>
        </w:tc>
      </w:tr>
      <w:tr w14:paraId="138023B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28AE1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CB1C2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站前路入口C匝道桥(下行)</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703E05">
            <w:pPr>
              <w:jc w:val="center"/>
              <w:rPr>
                <w:rFonts w:hint="eastAsia" w:ascii="宋体" w:hAnsi="宋体" w:eastAsia="宋体" w:cs="宋体"/>
                <w:i w:val="0"/>
                <w:iCs w:val="0"/>
                <w:color w:val="000000"/>
                <w:sz w:val="21"/>
                <w:szCs w:val="21"/>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ADDF7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231.31 </w:t>
            </w:r>
          </w:p>
        </w:tc>
      </w:tr>
      <w:tr w14:paraId="48ABE3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01121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小计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5B1FF41B">
            <w:pPr>
              <w:rPr>
                <w:rFonts w:hint="eastAsia" w:ascii="宋体" w:hAnsi="宋体" w:eastAsia="宋体" w:cs="宋体"/>
                <w:i w:val="0"/>
                <w:iCs w:val="0"/>
                <w:color w:val="000000"/>
                <w:sz w:val="21"/>
                <w:szCs w:val="21"/>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0A45B95C">
            <w:pPr>
              <w:jc w:val="center"/>
              <w:rPr>
                <w:rFonts w:hint="eastAsia" w:ascii="宋体" w:hAnsi="宋体" w:eastAsia="宋体" w:cs="宋体"/>
                <w:i w:val="0"/>
                <w:iCs w:val="0"/>
                <w:color w:val="000000"/>
                <w:sz w:val="21"/>
                <w:szCs w:val="21"/>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C4679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40838.92 </w:t>
            </w:r>
          </w:p>
        </w:tc>
      </w:tr>
    </w:tbl>
    <w:p w14:paraId="5B12CC7C">
      <w:pPr>
        <w:rPr>
          <w:highlight w:val="none"/>
        </w:rPr>
      </w:pPr>
    </w:p>
    <w:p w14:paraId="51217277">
      <w:pPr>
        <w:spacing w:line="360" w:lineRule="auto"/>
        <w:rPr>
          <w:rFonts w:hint="eastAsia" w:ascii="宋体" w:hAnsi="宋体" w:eastAsia="宋体" w:cs="宋体"/>
          <w:b/>
          <w:kern w:val="0"/>
          <w:sz w:val="21"/>
          <w:szCs w:val="21"/>
          <w:highlight w:val="none"/>
        </w:rPr>
      </w:pPr>
      <w:r>
        <w:rPr>
          <w:rFonts w:hint="eastAsia" w:ascii="宋体" w:hAnsi="宋体" w:eastAsia="宋体" w:cs="宋体"/>
          <w:b/>
          <w:kern w:val="0"/>
          <w:sz w:val="21"/>
          <w:szCs w:val="21"/>
          <w:highlight w:val="none"/>
        </w:rPr>
        <w:t>三、服务期限</w:t>
      </w:r>
    </w:p>
    <w:p w14:paraId="3D6504C5">
      <w:pPr>
        <w:pageBreakBefore w:val="0"/>
        <w:kinsoku/>
        <w:bidi w:val="0"/>
        <w:spacing w:line="360" w:lineRule="auto"/>
        <w:ind w:firstLine="420" w:firstLineChars="200"/>
        <w:outlineLvl w:val="2"/>
        <w:rPr>
          <w:rFonts w:hint="eastAsia" w:ascii="宋体" w:hAnsi="宋体" w:eastAsia="宋体" w:cs="宋体"/>
          <w:color w:val="FF0000"/>
          <w:szCs w:val="21"/>
          <w:highlight w:val="none"/>
          <w:lang w:eastAsia="zh-CN"/>
        </w:rPr>
      </w:pPr>
      <w:r>
        <w:rPr>
          <w:rFonts w:hint="eastAsia" w:ascii="宋体" w:hAnsi="宋体" w:cs="宋体"/>
          <w:highlight w:val="none"/>
          <w:lang w:eastAsia="zh-CN"/>
        </w:rPr>
        <w:t>合同签订后50日历天内提交桥梁定期检查报告</w:t>
      </w:r>
      <w:r>
        <w:rPr>
          <w:rFonts w:ascii="宋体" w:hAnsi="宋体" w:cs="宋体"/>
          <w:highlight w:val="none"/>
        </w:rPr>
        <w:t>。若采购人另有要求，按照采购人要求执行</w:t>
      </w:r>
      <w:r>
        <w:rPr>
          <w:rFonts w:hint="eastAsia" w:ascii="宋体" w:hAnsi="宋体" w:cs="宋体"/>
          <w:highlight w:val="none"/>
          <w:lang w:eastAsia="zh-CN"/>
        </w:rPr>
        <w:t>。</w:t>
      </w:r>
    </w:p>
    <w:p w14:paraId="5A0C60DD">
      <w:pPr>
        <w:spacing w:line="360" w:lineRule="auto"/>
        <w:rPr>
          <w:rFonts w:hint="eastAsia" w:ascii="宋体" w:hAnsi="宋体" w:eastAsia="宋体" w:cs="宋体"/>
          <w:b/>
          <w:kern w:val="0"/>
          <w:sz w:val="21"/>
          <w:szCs w:val="21"/>
          <w:highlight w:val="none"/>
        </w:rPr>
      </w:pPr>
      <w:r>
        <w:rPr>
          <w:rFonts w:hint="eastAsia" w:ascii="宋体" w:hAnsi="宋体" w:eastAsia="宋体" w:cs="宋体"/>
          <w:b/>
          <w:kern w:val="0"/>
          <w:sz w:val="21"/>
          <w:szCs w:val="21"/>
          <w:highlight w:val="none"/>
          <w:lang w:val="en-US" w:eastAsia="zh-CN"/>
        </w:rPr>
        <w:t>四</w:t>
      </w:r>
      <w:r>
        <w:rPr>
          <w:rFonts w:hint="eastAsia" w:ascii="宋体" w:hAnsi="宋体" w:eastAsia="宋体" w:cs="宋体"/>
          <w:b/>
          <w:kern w:val="0"/>
          <w:sz w:val="21"/>
          <w:szCs w:val="21"/>
          <w:highlight w:val="none"/>
        </w:rPr>
        <w:t>、付款方式</w:t>
      </w:r>
    </w:p>
    <w:p w14:paraId="64A8A437">
      <w:pPr>
        <w:pageBreakBefore w:val="0"/>
        <w:kinsoku/>
        <w:bidi w:val="0"/>
        <w:spacing w:line="360" w:lineRule="auto"/>
        <w:ind w:firstLine="420" w:firstLineChars="200"/>
        <w:rPr>
          <w:rFonts w:hint="eastAsia" w:ascii="宋体" w:hAnsi="宋体" w:eastAsia="宋体" w:cs="宋体"/>
          <w:szCs w:val="21"/>
          <w:highlight w:val="none"/>
          <w:u w:val="none"/>
          <w:lang w:val="en-US" w:eastAsia="zh-CN"/>
        </w:rPr>
      </w:pPr>
      <w:r>
        <w:rPr>
          <w:rFonts w:hint="eastAsia" w:ascii="宋体" w:hAnsi="宋体" w:cs="宋体"/>
          <w:szCs w:val="21"/>
          <w:highlight w:val="none"/>
          <w:u w:val="none"/>
          <w:lang w:val="en-US" w:eastAsia="zh-CN"/>
        </w:rPr>
        <w:t>提供桥梁定期检查报告并经甲方验收合格后支付至计量价的95%，余款在1年后付清</w:t>
      </w:r>
      <w:r>
        <w:rPr>
          <w:rFonts w:hint="eastAsia" w:ascii="宋体" w:hAnsi="宋体" w:eastAsia="宋体" w:cs="宋体"/>
          <w:szCs w:val="21"/>
          <w:highlight w:val="none"/>
          <w:u w:val="none"/>
          <w:lang w:val="en-US" w:eastAsia="zh-CN"/>
        </w:rPr>
        <w:t>。</w:t>
      </w:r>
    </w:p>
    <w:p w14:paraId="2BE8C98B">
      <w:pPr>
        <w:spacing w:line="360" w:lineRule="auto"/>
        <w:ind w:firstLine="420"/>
        <w:rPr>
          <w:rFonts w:hint="eastAsia" w:ascii="宋体" w:hAnsi="宋体" w:cs="宋体"/>
          <w:b/>
          <w:bCs/>
          <w:szCs w:val="21"/>
          <w:highlight w:val="none"/>
          <w:lang w:val="en-US" w:eastAsia="zh-CN"/>
        </w:rPr>
      </w:pPr>
    </w:p>
    <w:p w14:paraId="106131C7">
      <w:pPr>
        <w:spacing w:line="360" w:lineRule="auto"/>
        <w:ind w:firstLine="420"/>
        <w:jc w:val="center"/>
        <w:rPr>
          <w:rFonts w:hint="default" w:ascii="宋体" w:hAnsi="宋体" w:cs="宋体"/>
          <w:b/>
          <w:bCs/>
          <w:szCs w:val="21"/>
          <w:highlight w:val="none"/>
          <w:lang w:val="en-US" w:eastAsia="zh-CN"/>
        </w:rPr>
      </w:pPr>
      <w:r>
        <w:rPr>
          <w:rFonts w:hint="eastAsia" w:ascii="宋体" w:hAnsi="宋体" w:cs="宋体"/>
          <w:b/>
          <w:bCs/>
          <w:szCs w:val="21"/>
          <w:highlight w:val="none"/>
          <w:lang w:val="en-US" w:eastAsia="zh-CN"/>
        </w:rPr>
        <w:t xml:space="preserve">采购包二  </w:t>
      </w:r>
      <w:r>
        <w:rPr>
          <w:rFonts w:hint="eastAsia" w:ascii="宋体" w:hAnsi="宋体" w:eastAsia="宋体" w:cs="宋体"/>
          <w:b/>
          <w:bCs/>
          <w:szCs w:val="21"/>
          <w:highlight w:val="none"/>
          <w:lang w:eastAsia="zh-CN"/>
        </w:rPr>
        <w:t>快速路隧道定</w:t>
      </w:r>
      <w:r>
        <w:rPr>
          <w:rFonts w:hint="eastAsia" w:ascii="宋体" w:hAnsi="宋体" w:cs="宋体"/>
          <w:b/>
          <w:bCs/>
          <w:szCs w:val="21"/>
          <w:highlight w:val="none"/>
          <w:lang w:eastAsia="zh-CN"/>
        </w:rPr>
        <w:t>期检查</w:t>
      </w:r>
    </w:p>
    <w:p w14:paraId="1CDDEE60">
      <w:pPr>
        <w:numPr>
          <w:ilvl w:val="0"/>
          <w:numId w:val="0"/>
        </w:numPr>
        <w:autoSpaceDE w:val="0"/>
        <w:autoSpaceDN w:val="0"/>
        <w:adjustRightInd w:val="0"/>
        <w:spacing w:line="360" w:lineRule="auto"/>
        <w:ind w:left="210" w:leftChars="0"/>
        <w:rPr>
          <w:rFonts w:hint="eastAsia" w:ascii="宋体" w:hAnsi="宋体" w:cs="宋体"/>
          <w:b/>
          <w:bCs/>
          <w:szCs w:val="21"/>
          <w:highlight w:val="none"/>
        </w:rPr>
      </w:pPr>
      <w:r>
        <w:rPr>
          <w:rFonts w:hint="eastAsia" w:ascii="宋体" w:hAnsi="宋体" w:cs="宋体"/>
          <w:b/>
          <w:bCs/>
          <w:szCs w:val="21"/>
          <w:highlight w:val="none"/>
          <w:lang w:val="en-US" w:eastAsia="zh-CN"/>
        </w:rPr>
        <w:t>一、</w:t>
      </w:r>
      <w:r>
        <w:rPr>
          <w:rFonts w:hint="eastAsia" w:ascii="宋体" w:hAnsi="宋体" w:cs="宋体"/>
          <w:b/>
          <w:bCs/>
          <w:szCs w:val="21"/>
          <w:highlight w:val="none"/>
        </w:rPr>
        <w:t>项目概况</w:t>
      </w:r>
    </w:p>
    <w:p w14:paraId="090EA142">
      <w:pPr>
        <w:spacing w:line="360" w:lineRule="auto"/>
        <w:ind w:firstLine="420" w:firstLineChars="200"/>
        <w:jc w:val="left"/>
        <w:rPr>
          <w:rFonts w:hint="eastAsia" w:ascii="宋体" w:hAnsi="宋体" w:cs="宋体"/>
          <w:szCs w:val="21"/>
          <w:highlight w:val="none"/>
        </w:rPr>
      </w:pPr>
      <w:r>
        <w:rPr>
          <w:rFonts w:hint="eastAsia" w:ascii="宋体" w:hAnsi="宋体" w:cs="宋体"/>
          <w:szCs w:val="21"/>
          <w:highlight w:val="none"/>
        </w:rPr>
        <w:t>按照《公路隧道养护技术规范》（JTGH12—2015）行业标准及业主要求对隧道土建结构、机电设施及其他工程设施进行检查并提供技术状况评定，根据检查结果提出相应的养护维修建议；对隧道基础数据进行复核、负责隧道管理系统数据录入及后期维护。定期检查结束后一周内及时跟采购人汇报检查结果，配合采购人做好定检数据的录入、养护方案的制定、科学决策制度、风险辨识手册、应急预案等编制。</w:t>
      </w:r>
    </w:p>
    <w:p w14:paraId="114D264A">
      <w:pPr>
        <w:spacing w:line="360" w:lineRule="auto"/>
        <w:ind w:firstLine="420" w:firstLineChars="200"/>
        <w:jc w:val="left"/>
        <w:rPr>
          <w:rFonts w:hint="eastAsia" w:ascii="宋体" w:hAnsi="宋体" w:cs="宋体"/>
          <w:szCs w:val="21"/>
          <w:highlight w:val="none"/>
        </w:rPr>
      </w:pPr>
      <w:r>
        <w:rPr>
          <w:rFonts w:hint="eastAsia" w:ascii="宋体" w:hAnsi="宋体" w:cs="宋体"/>
          <w:szCs w:val="21"/>
          <w:highlight w:val="none"/>
        </w:rPr>
        <w:t>永定路一号隧道下穿鼓楼南路和海陵南路，全长1043米（其中暗埋段为680米，敞开段为363米）；永定路二号隧道全长512米（其中暗埋段为160米，敞开段为352米）；汇景隧道全长490米（其中暗埋段为130米，敞开段为360米）。三座隧道道路等级为城市快速路，采用双向六车道，设计车速80km/h，隧道限高4.5m。</w:t>
      </w:r>
    </w:p>
    <w:p w14:paraId="57C29908">
      <w:pPr>
        <w:spacing w:line="360" w:lineRule="auto"/>
        <w:rPr>
          <w:rFonts w:hint="eastAsia" w:ascii="宋体" w:hAnsi="宋体" w:cs="宋体"/>
          <w:b/>
          <w:szCs w:val="21"/>
          <w:highlight w:val="none"/>
        </w:rPr>
      </w:pPr>
      <w:r>
        <w:rPr>
          <w:rFonts w:hint="eastAsia" w:ascii="宋体" w:hAnsi="宋体" w:cs="宋体"/>
          <w:b/>
          <w:bCs/>
          <w:szCs w:val="21"/>
          <w:highlight w:val="none"/>
        </w:rPr>
        <w:t>二、</w:t>
      </w:r>
      <w:bookmarkStart w:id="112" w:name="_Toc463993343"/>
      <w:r>
        <w:rPr>
          <w:rFonts w:hint="eastAsia" w:ascii="宋体" w:hAnsi="宋体" w:cs="宋体"/>
          <w:b/>
          <w:szCs w:val="21"/>
          <w:highlight w:val="none"/>
        </w:rPr>
        <w:t>技术标准和要求</w:t>
      </w:r>
      <w:bookmarkEnd w:id="112"/>
    </w:p>
    <w:p w14:paraId="5F75B1EE">
      <w:pPr>
        <w:spacing w:line="360" w:lineRule="auto"/>
        <w:ind w:firstLine="420" w:firstLineChars="200"/>
        <w:jc w:val="left"/>
        <w:rPr>
          <w:rFonts w:hint="eastAsia" w:ascii="宋体" w:hAnsi="宋体" w:cs="宋体"/>
          <w:szCs w:val="21"/>
          <w:highlight w:val="none"/>
        </w:rPr>
      </w:pPr>
      <w:r>
        <w:rPr>
          <w:rFonts w:hint="eastAsia" w:ascii="宋体" w:hAnsi="宋体" w:cs="宋体"/>
          <w:szCs w:val="21"/>
          <w:highlight w:val="none"/>
        </w:rPr>
        <w:t>当使用于质量鉴定检测的几种标准与规范出现意义不明或不一致时，在引用标准或规范发生分歧时应按以下顺序优先考虑：</w:t>
      </w:r>
    </w:p>
    <w:p w14:paraId="4137D220">
      <w:pPr>
        <w:spacing w:line="360" w:lineRule="auto"/>
        <w:ind w:firstLine="420" w:firstLineChars="200"/>
        <w:jc w:val="left"/>
        <w:rPr>
          <w:rFonts w:hint="eastAsia" w:ascii="宋体" w:hAnsi="宋体" w:cs="宋体"/>
          <w:szCs w:val="21"/>
          <w:highlight w:val="none"/>
        </w:rPr>
      </w:pPr>
      <w:r>
        <w:rPr>
          <w:rFonts w:hint="eastAsia" w:ascii="宋体" w:hAnsi="宋体" w:cs="宋体"/>
          <w:szCs w:val="21"/>
          <w:highlight w:val="none"/>
        </w:rPr>
        <w:t>1.现行的交通运输部的行业标准或规范；</w:t>
      </w:r>
    </w:p>
    <w:p w14:paraId="1584E73A">
      <w:pPr>
        <w:spacing w:line="360" w:lineRule="auto"/>
        <w:ind w:firstLine="420" w:firstLineChars="200"/>
        <w:jc w:val="left"/>
        <w:rPr>
          <w:rFonts w:hint="eastAsia" w:ascii="宋体" w:hAnsi="宋体" w:cs="宋体"/>
          <w:szCs w:val="21"/>
          <w:highlight w:val="none"/>
        </w:rPr>
      </w:pPr>
      <w:r>
        <w:rPr>
          <w:rFonts w:hint="eastAsia" w:ascii="宋体" w:hAnsi="宋体" w:cs="宋体"/>
          <w:szCs w:val="21"/>
          <w:highlight w:val="none"/>
        </w:rPr>
        <w:t>2.中华人民共和国国家标准；</w:t>
      </w:r>
    </w:p>
    <w:p w14:paraId="26A74821">
      <w:pPr>
        <w:spacing w:line="360" w:lineRule="auto"/>
        <w:ind w:firstLine="420" w:firstLineChars="200"/>
        <w:jc w:val="left"/>
        <w:rPr>
          <w:rFonts w:hint="eastAsia" w:ascii="宋体" w:hAnsi="宋体" w:cs="宋体"/>
          <w:szCs w:val="21"/>
          <w:highlight w:val="none"/>
        </w:rPr>
      </w:pPr>
      <w:r>
        <w:rPr>
          <w:rFonts w:hint="eastAsia" w:ascii="宋体" w:hAnsi="宋体" w:cs="宋体"/>
          <w:szCs w:val="21"/>
          <w:highlight w:val="none"/>
        </w:rPr>
        <w:t>3.相关行业的标准或规范；</w:t>
      </w:r>
    </w:p>
    <w:p w14:paraId="7A86EC55">
      <w:pPr>
        <w:spacing w:line="360" w:lineRule="auto"/>
        <w:ind w:firstLine="420" w:firstLineChars="200"/>
        <w:jc w:val="left"/>
        <w:rPr>
          <w:rFonts w:hint="eastAsia" w:ascii="宋体" w:hAnsi="宋体" w:cs="宋体"/>
          <w:szCs w:val="21"/>
          <w:highlight w:val="none"/>
        </w:rPr>
      </w:pPr>
      <w:r>
        <w:rPr>
          <w:rFonts w:hint="eastAsia" w:ascii="宋体" w:hAnsi="宋体" w:cs="宋体"/>
          <w:szCs w:val="21"/>
          <w:highlight w:val="none"/>
        </w:rPr>
        <w:t>采购文件所引用的标准或规范，如果目前有新颁或修改，则按新的规范、标准执行。在工程实施全过程中，所引用的标准或规范如果有修改或新颁，应由业主决定是否采用新标准或规范，中标人应按业主的决定执行。采用新标准、规范所增加的费用由中标人承担。</w:t>
      </w:r>
    </w:p>
    <w:p w14:paraId="25256A9F">
      <w:pPr>
        <w:spacing w:line="360" w:lineRule="auto"/>
        <w:rPr>
          <w:rFonts w:hint="eastAsia" w:ascii="宋体" w:hAnsi="宋体" w:cs="宋体"/>
          <w:b/>
          <w:szCs w:val="21"/>
          <w:highlight w:val="none"/>
        </w:rPr>
      </w:pPr>
      <w:r>
        <w:rPr>
          <w:rFonts w:hint="eastAsia" w:ascii="宋体" w:hAnsi="宋体" w:cs="宋体"/>
          <w:b/>
          <w:szCs w:val="21"/>
          <w:highlight w:val="none"/>
        </w:rPr>
        <w:t>三、服务期限</w:t>
      </w:r>
    </w:p>
    <w:p w14:paraId="7ED45DA7">
      <w:pPr>
        <w:spacing w:line="360" w:lineRule="auto"/>
        <w:ind w:firstLine="420" w:firstLineChars="200"/>
        <w:jc w:val="left"/>
        <w:rPr>
          <w:rFonts w:hint="eastAsia" w:ascii="宋体" w:hAnsi="宋体" w:cs="宋体"/>
          <w:szCs w:val="21"/>
          <w:highlight w:val="none"/>
        </w:rPr>
      </w:pPr>
      <w:r>
        <w:rPr>
          <w:rFonts w:hint="eastAsia" w:ascii="宋体" w:hAnsi="宋体" w:cs="宋体"/>
          <w:szCs w:val="21"/>
          <w:highlight w:val="none"/>
          <w:lang w:eastAsia="zh-CN"/>
        </w:rPr>
        <w:t>合同签订后30日历天内提交隧道定期检查报告</w:t>
      </w:r>
      <w:r>
        <w:rPr>
          <w:rFonts w:ascii="宋体" w:hAnsi="宋体" w:cs="宋体"/>
          <w:szCs w:val="21"/>
          <w:highlight w:val="none"/>
        </w:rPr>
        <w:t>。若采购人另有要求，按照采购人要求执行</w:t>
      </w:r>
      <w:r>
        <w:rPr>
          <w:rFonts w:hint="eastAsia" w:ascii="宋体" w:hAnsi="宋体" w:cs="宋体"/>
          <w:szCs w:val="21"/>
          <w:highlight w:val="none"/>
        </w:rPr>
        <w:t>。</w:t>
      </w:r>
    </w:p>
    <w:p w14:paraId="3419DE08">
      <w:pPr>
        <w:spacing w:line="360" w:lineRule="auto"/>
        <w:rPr>
          <w:rFonts w:hint="eastAsia" w:ascii="宋体" w:hAnsi="宋体" w:cs="宋体"/>
          <w:b/>
          <w:szCs w:val="21"/>
          <w:highlight w:val="none"/>
        </w:rPr>
      </w:pPr>
      <w:r>
        <w:rPr>
          <w:rFonts w:hint="eastAsia" w:ascii="宋体" w:hAnsi="宋体" w:cs="宋体"/>
          <w:b/>
          <w:szCs w:val="21"/>
          <w:highlight w:val="none"/>
        </w:rPr>
        <w:t>四、付款方式</w:t>
      </w:r>
    </w:p>
    <w:p w14:paraId="5F67B73D">
      <w:pPr>
        <w:spacing w:line="360" w:lineRule="auto"/>
        <w:ind w:firstLine="420" w:firstLineChars="200"/>
        <w:jc w:val="left"/>
        <w:rPr>
          <w:rFonts w:hint="eastAsia" w:ascii="宋体" w:hAnsi="宋体" w:cs="宋体"/>
          <w:szCs w:val="21"/>
          <w:highlight w:val="none"/>
        </w:rPr>
      </w:pPr>
      <w:r>
        <w:rPr>
          <w:rFonts w:hint="eastAsia" w:ascii="宋体" w:hAnsi="宋体" w:cs="宋体"/>
          <w:szCs w:val="21"/>
          <w:highlight w:val="none"/>
          <w:lang w:eastAsia="zh-CN"/>
        </w:rPr>
        <w:t>提供隧道定期检查报告并经甲方验收合格后支付至计量价的95%，余款在1年后付清</w:t>
      </w:r>
      <w:r>
        <w:rPr>
          <w:rFonts w:hint="eastAsia" w:ascii="宋体" w:hAnsi="宋体" w:cs="宋体"/>
          <w:szCs w:val="21"/>
          <w:highlight w:val="none"/>
        </w:rPr>
        <w:t>。</w:t>
      </w:r>
    </w:p>
    <w:p w14:paraId="28ED934D">
      <w:pPr>
        <w:pStyle w:val="6"/>
        <w:ind w:right="320"/>
        <w:jc w:val="center"/>
        <w:rPr>
          <w:rFonts w:hint="eastAsia" w:ascii="宋体" w:hAnsi="宋体" w:eastAsia="宋体" w:cs="宋体"/>
          <w:b/>
          <w:sz w:val="21"/>
          <w:szCs w:val="21"/>
          <w:highlight w:val="none"/>
        </w:rPr>
      </w:pPr>
      <w:r>
        <w:rPr>
          <w:rFonts w:hint="eastAsia" w:ascii="宋体" w:hAnsi="宋体" w:eastAsia="宋体" w:cs="宋体"/>
          <w:b/>
          <w:sz w:val="21"/>
          <w:szCs w:val="21"/>
          <w:highlight w:val="none"/>
        </w:rPr>
        <w:t>附件：隧道定期检查清单</w:t>
      </w:r>
    </w:p>
    <w:tbl>
      <w:tblPr>
        <w:tblStyle w:val="19"/>
        <w:tblW w:w="4998" w:type="pct"/>
        <w:tblInd w:w="0" w:type="dxa"/>
        <w:tblLayout w:type="autofit"/>
        <w:tblCellMar>
          <w:top w:w="0" w:type="dxa"/>
          <w:left w:w="108" w:type="dxa"/>
          <w:bottom w:w="0" w:type="dxa"/>
          <w:right w:w="108" w:type="dxa"/>
        </w:tblCellMar>
      </w:tblPr>
      <w:tblGrid>
        <w:gridCol w:w="1066"/>
        <w:gridCol w:w="2133"/>
        <w:gridCol w:w="1718"/>
        <w:gridCol w:w="2946"/>
        <w:gridCol w:w="1562"/>
      </w:tblGrid>
      <w:tr w14:paraId="3BC74F76">
        <w:tblPrEx>
          <w:tblCellMar>
            <w:top w:w="0" w:type="dxa"/>
            <w:left w:w="108" w:type="dxa"/>
            <w:bottom w:w="0" w:type="dxa"/>
            <w:right w:w="108" w:type="dxa"/>
          </w:tblCellMar>
        </w:tblPrEx>
        <w:trPr>
          <w:trHeight w:val="567" w:hRule="exact"/>
        </w:trPr>
        <w:tc>
          <w:tcPr>
            <w:tcW w:w="565" w:type="pct"/>
            <w:tcBorders>
              <w:top w:val="single" w:color="000000" w:sz="8" w:space="0"/>
              <w:left w:val="single" w:color="000000" w:sz="8" w:space="0"/>
              <w:bottom w:val="single" w:color="000000" w:sz="8" w:space="0"/>
              <w:right w:val="single" w:color="000000" w:sz="8" w:space="0"/>
            </w:tcBorders>
            <w:shd w:val="clear" w:color="auto" w:fill="auto"/>
            <w:vAlign w:val="center"/>
          </w:tcPr>
          <w:p w14:paraId="3D38B947">
            <w:pPr>
              <w:widowControl/>
              <w:jc w:val="center"/>
              <w:textAlignment w:val="center"/>
              <w:rPr>
                <w:rFonts w:hint="eastAsia" w:ascii="宋体" w:hAnsi="宋体" w:cs="宋体"/>
                <w:color w:val="000000"/>
                <w:szCs w:val="21"/>
                <w:highlight w:val="none"/>
              </w:rPr>
            </w:pPr>
            <w:r>
              <w:rPr>
                <w:rFonts w:hint="eastAsia" w:ascii="宋体" w:hAnsi="宋体" w:cs="宋体"/>
                <w:color w:val="000000"/>
                <w:szCs w:val="21"/>
                <w:highlight w:val="none"/>
                <w:lang w:bidi="ar"/>
              </w:rPr>
              <w:t>序号</w:t>
            </w:r>
          </w:p>
        </w:tc>
        <w:tc>
          <w:tcPr>
            <w:tcW w:w="1131" w:type="pct"/>
            <w:tcBorders>
              <w:top w:val="single" w:color="000000" w:sz="8" w:space="0"/>
              <w:left w:val="single" w:color="000000" w:sz="8" w:space="0"/>
              <w:bottom w:val="single" w:color="000000" w:sz="8" w:space="0"/>
              <w:right w:val="single" w:color="000000" w:sz="8" w:space="0"/>
            </w:tcBorders>
            <w:shd w:val="clear" w:color="auto" w:fill="auto"/>
            <w:vAlign w:val="center"/>
          </w:tcPr>
          <w:p w14:paraId="4428BD7F">
            <w:pPr>
              <w:widowControl/>
              <w:jc w:val="center"/>
              <w:textAlignment w:val="center"/>
              <w:rPr>
                <w:rFonts w:hint="eastAsia" w:ascii="宋体" w:hAnsi="宋体" w:cs="宋体"/>
                <w:color w:val="000000"/>
                <w:szCs w:val="21"/>
                <w:highlight w:val="none"/>
              </w:rPr>
            </w:pPr>
            <w:r>
              <w:rPr>
                <w:rFonts w:hint="eastAsia" w:ascii="宋体" w:hAnsi="宋体" w:cs="宋体"/>
                <w:color w:val="000000"/>
                <w:szCs w:val="21"/>
                <w:highlight w:val="none"/>
                <w:lang w:bidi="ar"/>
              </w:rPr>
              <w:t>桥名</w:t>
            </w:r>
          </w:p>
        </w:tc>
        <w:tc>
          <w:tcPr>
            <w:tcW w:w="911" w:type="pct"/>
            <w:tcBorders>
              <w:top w:val="single" w:color="000000" w:sz="8" w:space="0"/>
              <w:left w:val="single" w:color="000000" w:sz="8" w:space="0"/>
              <w:bottom w:val="single" w:color="000000" w:sz="8" w:space="0"/>
              <w:right w:val="single" w:color="000000" w:sz="8" w:space="0"/>
            </w:tcBorders>
            <w:shd w:val="clear" w:color="auto" w:fill="auto"/>
            <w:vAlign w:val="center"/>
          </w:tcPr>
          <w:p w14:paraId="69FA8FC5">
            <w:pPr>
              <w:widowControl/>
              <w:jc w:val="center"/>
              <w:textAlignment w:val="center"/>
              <w:rPr>
                <w:rFonts w:hint="eastAsia" w:ascii="宋体" w:hAnsi="宋体" w:cs="宋体"/>
                <w:color w:val="000000"/>
                <w:szCs w:val="21"/>
                <w:highlight w:val="none"/>
              </w:rPr>
            </w:pPr>
            <w:r>
              <w:rPr>
                <w:rFonts w:hint="eastAsia" w:ascii="宋体" w:hAnsi="宋体" w:cs="宋体"/>
                <w:color w:val="000000"/>
                <w:szCs w:val="21"/>
                <w:highlight w:val="none"/>
                <w:lang w:bidi="ar"/>
              </w:rPr>
              <w:t>所属路线</w:t>
            </w:r>
          </w:p>
        </w:tc>
        <w:tc>
          <w:tcPr>
            <w:tcW w:w="1562" w:type="pct"/>
            <w:tcBorders>
              <w:top w:val="single" w:color="000000" w:sz="8" w:space="0"/>
              <w:left w:val="single" w:color="000000" w:sz="8" w:space="0"/>
              <w:bottom w:val="single" w:color="000000" w:sz="8" w:space="0"/>
              <w:right w:val="single" w:color="000000" w:sz="8" w:space="0"/>
            </w:tcBorders>
            <w:shd w:val="clear" w:color="auto" w:fill="auto"/>
            <w:vAlign w:val="center"/>
          </w:tcPr>
          <w:p w14:paraId="4C6A6237">
            <w:pPr>
              <w:widowControl/>
              <w:jc w:val="center"/>
              <w:textAlignment w:val="center"/>
              <w:rPr>
                <w:rFonts w:hint="eastAsia" w:ascii="宋体" w:hAnsi="宋体" w:cs="宋体"/>
                <w:color w:val="000000"/>
                <w:szCs w:val="21"/>
                <w:highlight w:val="none"/>
              </w:rPr>
            </w:pPr>
            <w:r>
              <w:rPr>
                <w:rFonts w:hint="eastAsia" w:ascii="宋体" w:hAnsi="宋体" w:cs="宋体"/>
                <w:color w:val="000000"/>
                <w:szCs w:val="21"/>
                <w:highlight w:val="none"/>
                <w:lang w:bidi="ar"/>
              </w:rPr>
              <w:t>隧道总长</w:t>
            </w:r>
          </w:p>
        </w:tc>
        <w:tc>
          <w:tcPr>
            <w:tcW w:w="828" w:type="pct"/>
            <w:tcBorders>
              <w:top w:val="single" w:color="000000" w:sz="8" w:space="0"/>
              <w:left w:val="single" w:color="000000" w:sz="8" w:space="0"/>
              <w:bottom w:val="single" w:color="000000" w:sz="8" w:space="0"/>
              <w:right w:val="single" w:color="000000" w:sz="8" w:space="0"/>
            </w:tcBorders>
            <w:shd w:val="clear" w:color="auto" w:fill="auto"/>
            <w:vAlign w:val="center"/>
          </w:tcPr>
          <w:p w14:paraId="2846B62B">
            <w:pPr>
              <w:widowControl/>
              <w:jc w:val="center"/>
              <w:textAlignment w:val="center"/>
              <w:rPr>
                <w:rFonts w:hint="eastAsia" w:ascii="宋体" w:hAnsi="宋体" w:cs="宋体"/>
                <w:color w:val="000000"/>
                <w:szCs w:val="21"/>
                <w:highlight w:val="none"/>
              </w:rPr>
            </w:pPr>
            <w:r>
              <w:rPr>
                <w:rFonts w:hint="eastAsia" w:ascii="宋体" w:hAnsi="宋体" w:cs="宋体"/>
                <w:color w:val="000000"/>
                <w:szCs w:val="21"/>
                <w:highlight w:val="none"/>
                <w:lang w:bidi="ar"/>
              </w:rPr>
              <w:t>隧道净宽</w:t>
            </w:r>
          </w:p>
        </w:tc>
      </w:tr>
      <w:tr w14:paraId="089C3779">
        <w:tblPrEx>
          <w:tblCellMar>
            <w:top w:w="0" w:type="dxa"/>
            <w:left w:w="108" w:type="dxa"/>
            <w:bottom w:w="0" w:type="dxa"/>
            <w:right w:w="108" w:type="dxa"/>
          </w:tblCellMar>
        </w:tblPrEx>
        <w:trPr>
          <w:trHeight w:val="567" w:hRule="exact"/>
        </w:trPr>
        <w:tc>
          <w:tcPr>
            <w:tcW w:w="565" w:type="pct"/>
            <w:tcBorders>
              <w:top w:val="nil"/>
              <w:left w:val="single" w:color="000000" w:sz="8" w:space="0"/>
              <w:bottom w:val="single" w:color="000000" w:sz="8" w:space="0"/>
              <w:right w:val="single" w:color="000000" w:sz="8" w:space="0"/>
            </w:tcBorders>
            <w:shd w:val="clear" w:color="auto" w:fill="auto"/>
            <w:vAlign w:val="center"/>
          </w:tcPr>
          <w:p w14:paraId="6840326A">
            <w:pPr>
              <w:widowControl/>
              <w:jc w:val="center"/>
              <w:textAlignment w:val="center"/>
              <w:rPr>
                <w:rFonts w:hint="eastAsia" w:ascii="宋体" w:hAnsi="宋体" w:cs="宋体"/>
                <w:color w:val="000000"/>
                <w:szCs w:val="21"/>
                <w:highlight w:val="none"/>
              </w:rPr>
            </w:pPr>
            <w:r>
              <w:rPr>
                <w:rFonts w:hint="eastAsia" w:ascii="宋体" w:hAnsi="宋体" w:cs="宋体"/>
                <w:color w:val="000000"/>
                <w:szCs w:val="21"/>
                <w:highlight w:val="none"/>
                <w:lang w:bidi="ar"/>
              </w:rPr>
              <w:t>1</w:t>
            </w:r>
          </w:p>
        </w:tc>
        <w:tc>
          <w:tcPr>
            <w:tcW w:w="1131" w:type="pct"/>
            <w:tcBorders>
              <w:top w:val="nil"/>
              <w:left w:val="single" w:color="000000" w:sz="8" w:space="0"/>
              <w:bottom w:val="single" w:color="000000" w:sz="8" w:space="0"/>
              <w:right w:val="single" w:color="000000" w:sz="8" w:space="0"/>
            </w:tcBorders>
            <w:shd w:val="clear" w:color="auto" w:fill="auto"/>
            <w:vAlign w:val="center"/>
          </w:tcPr>
          <w:p w14:paraId="01DAF077">
            <w:pPr>
              <w:widowControl/>
              <w:jc w:val="center"/>
              <w:textAlignment w:val="center"/>
              <w:rPr>
                <w:rFonts w:hint="eastAsia" w:ascii="宋体" w:hAnsi="宋体" w:cs="宋体"/>
                <w:color w:val="000000"/>
                <w:szCs w:val="21"/>
                <w:highlight w:val="none"/>
              </w:rPr>
            </w:pPr>
            <w:r>
              <w:rPr>
                <w:rFonts w:hint="eastAsia" w:ascii="宋体" w:hAnsi="宋体" w:cs="宋体"/>
                <w:color w:val="000000"/>
                <w:szCs w:val="21"/>
                <w:highlight w:val="none"/>
                <w:lang w:bidi="ar"/>
              </w:rPr>
              <w:t>永定路一号隧道</w:t>
            </w:r>
          </w:p>
        </w:tc>
        <w:tc>
          <w:tcPr>
            <w:tcW w:w="911" w:type="pct"/>
            <w:tcBorders>
              <w:top w:val="nil"/>
              <w:left w:val="single" w:color="000000" w:sz="8" w:space="0"/>
              <w:bottom w:val="single" w:color="000000" w:sz="8" w:space="0"/>
              <w:right w:val="single" w:color="000000" w:sz="8" w:space="0"/>
            </w:tcBorders>
            <w:shd w:val="clear" w:color="auto" w:fill="auto"/>
            <w:vAlign w:val="center"/>
          </w:tcPr>
          <w:p w14:paraId="4747C48B">
            <w:pPr>
              <w:widowControl/>
              <w:jc w:val="center"/>
              <w:textAlignment w:val="center"/>
              <w:rPr>
                <w:rFonts w:hint="eastAsia" w:ascii="宋体" w:hAnsi="宋体" w:cs="宋体"/>
                <w:color w:val="000000"/>
                <w:szCs w:val="21"/>
                <w:highlight w:val="none"/>
              </w:rPr>
            </w:pPr>
            <w:r>
              <w:rPr>
                <w:rFonts w:hint="eastAsia" w:ascii="宋体" w:hAnsi="宋体" w:cs="宋体"/>
                <w:color w:val="000000"/>
                <w:szCs w:val="21"/>
                <w:highlight w:val="none"/>
                <w:lang w:bidi="ar"/>
              </w:rPr>
              <w:t>永定快速路</w:t>
            </w:r>
          </w:p>
        </w:tc>
        <w:tc>
          <w:tcPr>
            <w:tcW w:w="1562" w:type="pct"/>
            <w:tcBorders>
              <w:top w:val="nil"/>
              <w:left w:val="single" w:color="000000" w:sz="8" w:space="0"/>
              <w:bottom w:val="single" w:color="000000" w:sz="8" w:space="0"/>
              <w:right w:val="single" w:color="000000" w:sz="8" w:space="0"/>
            </w:tcBorders>
            <w:shd w:val="clear" w:color="auto" w:fill="auto"/>
            <w:vAlign w:val="center"/>
          </w:tcPr>
          <w:p w14:paraId="274BF4FF">
            <w:pPr>
              <w:widowControl/>
              <w:jc w:val="center"/>
              <w:textAlignment w:val="center"/>
              <w:rPr>
                <w:rFonts w:hint="eastAsia" w:ascii="宋体" w:hAnsi="宋体" w:cs="宋体"/>
                <w:color w:val="000000"/>
                <w:szCs w:val="21"/>
                <w:highlight w:val="none"/>
              </w:rPr>
            </w:pPr>
            <w:r>
              <w:rPr>
                <w:rFonts w:hint="eastAsia" w:ascii="宋体" w:hAnsi="宋体" w:cs="宋体"/>
                <w:color w:val="000000"/>
                <w:szCs w:val="21"/>
                <w:highlight w:val="none"/>
                <w:lang w:bidi="ar"/>
              </w:rPr>
              <w:t>1043m（其中暗埋段为680米，敞开段为363米）</w:t>
            </w:r>
          </w:p>
        </w:tc>
        <w:tc>
          <w:tcPr>
            <w:tcW w:w="828" w:type="pct"/>
            <w:tcBorders>
              <w:top w:val="nil"/>
              <w:left w:val="single" w:color="000000" w:sz="8" w:space="0"/>
              <w:bottom w:val="single" w:color="000000" w:sz="8" w:space="0"/>
              <w:right w:val="single" w:color="000000" w:sz="8" w:space="0"/>
            </w:tcBorders>
            <w:shd w:val="clear" w:color="auto" w:fill="auto"/>
            <w:vAlign w:val="center"/>
          </w:tcPr>
          <w:p w14:paraId="2802A5B7">
            <w:pPr>
              <w:widowControl/>
              <w:jc w:val="center"/>
              <w:textAlignment w:val="center"/>
              <w:rPr>
                <w:rFonts w:hint="eastAsia" w:ascii="宋体" w:hAnsi="宋体" w:cs="宋体"/>
                <w:color w:val="000000"/>
                <w:szCs w:val="21"/>
                <w:highlight w:val="none"/>
              </w:rPr>
            </w:pPr>
            <w:r>
              <w:rPr>
                <w:rFonts w:hint="eastAsia" w:ascii="宋体" w:hAnsi="宋体" w:cs="宋体"/>
                <w:color w:val="000000"/>
                <w:szCs w:val="21"/>
                <w:highlight w:val="none"/>
                <w:lang w:bidi="ar"/>
              </w:rPr>
              <w:t>27.4m</w:t>
            </w:r>
          </w:p>
        </w:tc>
      </w:tr>
      <w:tr w14:paraId="7F16DFC3">
        <w:tblPrEx>
          <w:tblCellMar>
            <w:top w:w="0" w:type="dxa"/>
            <w:left w:w="108" w:type="dxa"/>
            <w:bottom w:w="0" w:type="dxa"/>
            <w:right w:w="108" w:type="dxa"/>
          </w:tblCellMar>
        </w:tblPrEx>
        <w:trPr>
          <w:trHeight w:val="567" w:hRule="exact"/>
        </w:trPr>
        <w:tc>
          <w:tcPr>
            <w:tcW w:w="565" w:type="pct"/>
            <w:tcBorders>
              <w:top w:val="nil"/>
              <w:left w:val="single" w:color="000000" w:sz="8" w:space="0"/>
              <w:bottom w:val="single" w:color="000000" w:sz="8" w:space="0"/>
              <w:right w:val="single" w:color="000000" w:sz="8" w:space="0"/>
            </w:tcBorders>
            <w:shd w:val="clear" w:color="auto" w:fill="auto"/>
            <w:vAlign w:val="center"/>
          </w:tcPr>
          <w:p w14:paraId="6C08D633">
            <w:pPr>
              <w:widowControl/>
              <w:jc w:val="center"/>
              <w:textAlignment w:val="center"/>
              <w:rPr>
                <w:rFonts w:hint="eastAsia" w:ascii="宋体" w:hAnsi="宋体" w:cs="宋体"/>
                <w:color w:val="000000"/>
                <w:szCs w:val="21"/>
                <w:highlight w:val="none"/>
              </w:rPr>
            </w:pPr>
            <w:r>
              <w:rPr>
                <w:rFonts w:hint="eastAsia" w:ascii="宋体" w:hAnsi="宋体" w:cs="宋体"/>
                <w:color w:val="000000"/>
                <w:szCs w:val="21"/>
                <w:highlight w:val="none"/>
                <w:lang w:bidi="ar"/>
              </w:rPr>
              <w:t>2</w:t>
            </w:r>
          </w:p>
        </w:tc>
        <w:tc>
          <w:tcPr>
            <w:tcW w:w="1131" w:type="pct"/>
            <w:tcBorders>
              <w:top w:val="nil"/>
              <w:left w:val="single" w:color="000000" w:sz="8" w:space="0"/>
              <w:bottom w:val="single" w:color="000000" w:sz="8" w:space="0"/>
              <w:right w:val="single" w:color="000000" w:sz="8" w:space="0"/>
            </w:tcBorders>
            <w:shd w:val="clear" w:color="auto" w:fill="auto"/>
            <w:vAlign w:val="center"/>
          </w:tcPr>
          <w:p w14:paraId="2A0E5A0A">
            <w:pPr>
              <w:widowControl/>
              <w:jc w:val="center"/>
              <w:textAlignment w:val="center"/>
              <w:rPr>
                <w:rFonts w:hint="eastAsia" w:ascii="宋体" w:hAnsi="宋体" w:cs="宋体"/>
                <w:color w:val="000000"/>
                <w:szCs w:val="21"/>
                <w:highlight w:val="none"/>
              </w:rPr>
            </w:pPr>
            <w:r>
              <w:rPr>
                <w:rFonts w:hint="eastAsia" w:ascii="宋体" w:hAnsi="宋体" w:cs="宋体"/>
                <w:color w:val="000000"/>
                <w:szCs w:val="21"/>
                <w:highlight w:val="none"/>
                <w:lang w:bidi="ar"/>
              </w:rPr>
              <w:t>永定路二号隧道</w:t>
            </w:r>
          </w:p>
        </w:tc>
        <w:tc>
          <w:tcPr>
            <w:tcW w:w="911" w:type="pct"/>
            <w:tcBorders>
              <w:top w:val="nil"/>
              <w:left w:val="single" w:color="000000" w:sz="8" w:space="0"/>
              <w:bottom w:val="single" w:color="000000" w:sz="8" w:space="0"/>
              <w:right w:val="single" w:color="000000" w:sz="8" w:space="0"/>
            </w:tcBorders>
            <w:shd w:val="clear" w:color="auto" w:fill="auto"/>
            <w:vAlign w:val="center"/>
          </w:tcPr>
          <w:p w14:paraId="03A100B0">
            <w:pPr>
              <w:widowControl/>
              <w:jc w:val="center"/>
              <w:textAlignment w:val="center"/>
              <w:rPr>
                <w:rFonts w:hint="eastAsia" w:ascii="宋体" w:hAnsi="宋体" w:cs="宋体"/>
                <w:color w:val="000000"/>
                <w:szCs w:val="21"/>
                <w:highlight w:val="none"/>
              </w:rPr>
            </w:pPr>
            <w:r>
              <w:rPr>
                <w:rFonts w:hint="eastAsia" w:ascii="宋体" w:hAnsi="宋体" w:cs="宋体"/>
                <w:color w:val="000000"/>
                <w:szCs w:val="21"/>
                <w:highlight w:val="none"/>
                <w:lang w:bidi="ar"/>
              </w:rPr>
              <w:t>永定快速路</w:t>
            </w:r>
          </w:p>
        </w:tc>
        <w:tc>
          <w:tcPr>
            <w:tcW w:w="1562" w:type="pct"/>
            <w:tcBorders>
              <w:top w:val="nil"/>
              <w:left w:val="single" w:color="000000" w:sz="8" w:space="0"/>
              <w:bottom w:val="single" w:color="000000" w:sz="8" w:space="0"/>
              <w:right w:val="single" w:color="000000" w:sz="8" w:space="0"/>
            </w:tcBorders>
            <w:shd w:val="clear" w:color="auto" w:fill="auto"/>
            <w:vAlign w:val="center"/>
          </w:tcPr>
          <w:p w14:paraId="52A40540">
            <w:pPr>
              <w:widowControl/>
              <w:jc w:val="center"/>
              <w:textAlignment w:val="center"/>
              <w:rPr>
                <w:rFonts w:hint="eastAsia" w:ascii="宋体" w:hAnsi="宋体" w:cs="宋体"/>
                <w:color w:val="000000"/>
                <w:szCs w:val="21"/>
                <w:highlight w:val="none"/>
              </w:rPr>
            </w:pPr>
            <w:r>
              <w:rPr>
                <w:rFonts w:hint="eastAsia" w:ascii="宋体" w:hAnsi="宋体" w:cs="宋体"/>
                <w:color w:val="000000"/>
                <w:szCs w:val="21"/>
                <w:highlight w:val="none"/>
                <w:lang w:bidi="ar"/>
              </w:rPr>
              <w:t>512m（其中暗埋段为160米，敞开段为352米）</w:t>
            </w:r>
          </w:p>
        </w:tc>
        <w:tc>
          <w:tcPr>
            <w:tcW w:w="828" w:type="pct"/>
            <w:tcBorders>
              <w:top w:val="nil"/>
              <w:left w:val="single" w:color="000000" w:sz="8" w:space="0"/>
              <w:bottom w:val="single" w:color="000000" w:sz="8" w:space="0"/>
              <w:right w:val="single" w:color="000000" w:sz="8" w:space="0"/>
            </w:tcBorders>
            <w:shd w:val="clear" w:color="auto" w:fill="auto"/>
            <w:vAlign w:val="center"/>
          </w:tcPr>
          <w:p w14:paraId="796A539E">
            <w:pPr>
              <w:widowControl/>
              <w:jc w:val="center"/>
              <w:textAlignment w:val="center"/>
              <w:rPr>
                <w:rFonts w:hint="eastAsia" w:ascii="宋体" w:hAnsi="宋体" w:cs="宋体"/>
                <w:color w:val="000000"/>
                <w:szCs w:val="21"/>
                <w:highlight w:val="none"/>
              </w:rPr>
            </w:pPr>
            <w:r>
              <w:rPr>
                <w:rFonts w:hint="eastAsia" w:ascii="宋体" w:hAnsi="宋体" w:cs="宋体"/>
                <w:color w:val="000000"/>
                <w:szCs w:val="21"/>
                <w:highlight w:val="none"/>
                <w:lang w:bidi="ar"/>
              </w:rPr>
              <w:t>27.4m</w:t>
            </w:r>
          </w:p>
        </w:tc>
      </w:tr>
      <w:tr w14:paraId="778199AA">
        <w:tblPrEx>
          <w:tblCellMar>
            <w:top w:w="0" w:type="dxa"/>
            <w:left w:w="108" w:type="dxa"/>
            <w:bottom w:w="0" w:type="dxa"/>
            <w:right w:w="108" w:type="dxa"/>
          </w:tblCellMar>
        </w:tblPrEx>
        <w:trPr>
          <w:trHeight w:val="567" w:hRule="exact"/>
        </w:trPr>
        <w:tc>
          <w:tcPr>
            <w:tcW w:w="565" w:type="pct"/>
            <w:tcBorders>
              <w:top w:val="nil"/>
              <w:left w:val="single" w:color="000000" w:sz="8" w:space="0"/>
              <w:bottom w:val="single" w:color="000000" w:sz="8" w:space="0"/>
              <w:right w:val="single" w:color="000000" w:sz="8" w:space="0"/>
            </w:tcBorders>
            <w:shd w:val="clear" w:color="auto" w:fill="auto"/>
            <w:vAlign w:val="center"/>
          </w:tcPr>
          <w:p w14:paraId="2B933659">
            <w:pPr>
              <w:widowControl/>
              <w:jc w:val="center"/>
              <w:textAlignment w:val="center"/>
              <w:rPr>
                <w:rFonts w:hint="eastAsia" w:ascii="宋体" w:hAnsi="宋体" w:cs="宋体"/>
                <w:color w:val="000000"/>
                <w:szCs w:val="21"/>
                <w:highlight w:val="none"/>
              </w:rPr>
            </w:pPr>
            <w:r>
              <w:rPr>
                <w:rFonts w:hint="eastAsia" w:ascii="宋体" w:hAnsi="宋体" w:cs="宋体"/>
                <w:color w:val="000000"/>
                <w:szCs w:val="21"/>
                <w:highlight w:val="none"/>
                <w:lang w:bidi="ar"/>
              </w:rPr>
              <w:t>3</w:t>
            </w:r>
          </w:p>
        </w:tc>
        <w:tc>
          <w:tcPr>
            <w:tcW w:w="1131" w:type="pct"/>
            <w:tcBorders>
              <w:top w:val="nil"/>
              <w:left w:val="single" w:color="000000" w:sz="8" w:space="0"/>
              <w:bottom w:val="single" w:color="000000" w:sz="8" w:space="0"/>
              <w:right w:val="single" w:color="000000" w:sz="8" w:space="0"/>
            </w:tcBorders>
            <w:shd w:val="clear" w:color="auto" w:fill="auto"/>
            <w:vAlign w:val="center"/>
          </w:tcPr>
          <w:p w14:paraId="4998CD92">
            <w:pPr>
              <w:widowControl/>
              <w:jc w:val="center"/>
              <w:textAlignment w:val="center"/>
              <w:rPr>
                <w:rFonts w:hint="eastAsia" w:ascii="宋体" w:hAnsi="宋体" w:cs="宋体"/>
                <w:color w:val="000000"/>
                <w:szCs w:val="21"/>
                <w:highlight w:val="none"/>
              </w:rPr>
            </w:pPr>
            <w:r>
              <w:rPr>
                <w:rFonts w:hint="eastAsia" w:ascii="宋体" w:hAnsi="宋体" w:cs="宋体"/>
                <w:color w:val="000000"/>
                <w:szCs w:val="21"/>
                <w:highlight w:val="none"/>
                <w:lang w:bidi="ar"/>
              </w:rPr>
              <w:t>汇景隧道</w:t>
            </w:r>
          </w:p>
        </w:tc>
        <w:tc>
          <w:tcPr>
            <w:tcW w:w="911" w:type="pct"/>
            <w:tcBorders>
              <w:top w:val="nil"/>
              <w:left w:val="single" w:color="000000" w:sz="8" w:space="0"/>
              <w:bottom w:val="single" w:color="000000" w:sz="8" w:space="0"/>
              <w:right w:val="single" w:color="000000" w:sz="8" w:space="0"/>
            </w:tcBorders>
            <w:shd w:val="clear" w:color="auto" w:fill="auto"/>
            <w:vAlign w:val="center"/>
          </w:tcPr>
          <w:p w14:paraId="061340B2">
            <w:pPr>
              <w:widowControl/>
              <w:jc w:val="center"/>
              <w:textAlignment w:val="center"/>
              <w:rPr>
                <w:rFonts w:hint="eastAsia" w:ascii="宋体" w:hAnsi="宋体" w:cs="宋体"/>
                <w:color w:val="000000"/>
                <w:szCs w:val="21"/>
                <w:highlight w:val="none"/>
              </w:rPr>
            </w:pPr>
            <w:r>
              <w:rPr>
                <w:rFonts w:hint="eastAsia" w:ascii="宋体" w:hAnsi="宋体" w:cs="宋体"/>
                <w:color w:val="000000"/>
                <w:szCs w:val="21"/>
                <w:highlight w:val="none"/>
                <w:lang w:bidi="ar"/>
              </w:rPr>
              <w:t>东风快速路</w:t>
            </w:r>
          </w:p>
        </w:tc>
        <w:tc>
          <w:tcPr>
            <w:tcW w:w="1562" w:type="pct"/>
            <w:tcBorders>
              <w:top w:val="nil"/>
              <w:left w:val="single" w:color="000000" w:sz="8" w:space="0"/>
              <w:bottom w:val="single" w:color="000000" w:sz="8" w:space="0"/>
              <w:right w:val="single" w:color="000000" w:sz="8" w:space="0"/>
            </w:tcBorders>
            <w:shd w:val="clear" w:color="auto" w:fill="auto"/>
            <w:vAlign w:val="center"/>
          </w:tcPr>
          <w:p w14:paraId="2BA59A4C">
            <w:pPr>
              <w:widowControl/>
              <w:jc w:val="center"/>
              <w:textAlignment w:val="center"/>
              <w:rPr>
                <w:rFonts w:hint="eastAsia" w:ascii="宋体" w:hAnsi="宋体" w:cs="宋体"/>
                <w:color w:val="000000"/>
                <w:szCs w:val="21"/>
                <w:highlight w:val="none"/>
              </w:rPr>
            </w:pPr>
            <w:r>
              <w:rPr>
                <w:rFonts w:hint="eastAsia" w:ascii="宋体" w:hAnsi="宋体" w:cs="宋体"/>
                <w:color w:val="000000"/>
                <w:szCs w:val="21"/>
                <w:highlight w:val="none"/>
                <w:lang w:bidi="ar"/>
              </w:rPr>
              <w:t>490m（其中暗埋段为130米，敞开段为360米）</w:t>
            </w:r>
          </w:p>
        </w:tc>
        <w:tc>
          <w:tcPr>
            <w:tcW w:w="828" w:type="pct"/>
            <w:tcBorders>
              <w:top w:val="nil"/>
              <w:left w:val="single" w:color="000000" w:sz="8" w:space="0"/>
              <w:bottom w:val="single" w:color="000000" w:sz="8" w:space="0"/>
              <w:right w:val="single" w:color="000000" w:sz="8" w:space="0"/>
            </w:tcBorders>
            <w:shd w:val="clear" w:color="auto" w:fill="auto"/>
            <w:vAlign w:val="center"/>
          </w:tcPr>
          <w:p w14:paraId="0B1D20D7">
            <w:pPr>
              <w:widowControl/>
              <w:jc w:val="center"/>
              <w:textAlignment w:val="center"/>
              <w:rPr>
                <w:rFonts w:hint="eastAsia" w:ascii="宋体" w:hAnsi="宋体" w:cs="宋体"/>
                <w:color w:val="000000"/>
                <w:szCs w:val="21"/>
                <w:highlight w:val="none"/>
              </w:rPr>
            </w:pPr>
            <w:r>
              <w:rPr>
                <w:rFonts w:hint="eastAsia" w:ascii="宋体" w:hAnsi="宋体" w:cs="宋体"/>
                <w:color w:val="000000"/>
                <w:szCs w:val="21"/>
                <w:highlight w:val="none"/>
                <w:lang w:bidi="ar"/>
              </w:rPr>
              <w:t>27.4m</w:t>
            </w:r>
          </w:p>
        </w:tc>
      </w:tr>
    </w:tbl>
    <w:p w14:paraId="41F10C7D">
      <w:pPr>
        <w:pStyle w:val="6"/>
        <w:ind w:right="320"/>
        <w:jc w:val="center"/>
        <w:rPr>
          <w:rFonts w:hint="eastAsia" w:ascii="宋体" w:hAnsi="宋体" w:eastAsia="宋体" w:cs="宋体"/>
          <w:b/>
          <w:sz w:val="21"/>
          <w:szCs w:val="21"/>
          <w:highlight w:val="none"/>
        </w:rPr>
      </w:pPr>
    </w:p>
    <w:p w14:paraId="70B73C04">
      <w:pPr>
        <w:pStyle w:val="6"/>
        <w:ind w:right="320"/>
        <w:jc w:val="center"/>
        <w:rPr>
          <w:rFonts w:hint="eastAsia" w:ascii="宋体" w:hAnsi="宋体" w:eastAsia="宋体" w:cs="宋体"/>
          <w:b/>
          <w:sz w:val="21"/>
          <w:szCs w:val="21"/>
          <w:highlight w:val="none"/>
        </w:rPr>
      </w:pPr>
    </w:p>
    <w:p w14:paraId="7BEBB2BF">
      <w:pPr>
        <w:pStyle w:val="6"/>
        <w:ind w:right="320"/>
        <w:jc w:val="center"/>
        <w:rPr>
          <w:rFonts w:hint="eastAsia" w:ascii="宋体" w:hAnsi="宋体" w:eastAsia="宋体" w:cs="宋体"/>
          <w:b/>
          <w:sz w:val="21"/>
          <w:szCs w:val="21"/>
          <w:highlight w:val="none"/>
        </w:rPr>
      </w:pPr>
    </w:p>
    <w:p w14:paraId="43E79115">
      <w:pPr>
        <w:pStyle w:val="6"/>
        <w:ind w:right="320"/>
        <w:jc w:val="center"/>
        <w:rPr>
          <w:rFonts w:hint="eastAsia" w:ascii="宋体" w:hAnsi="宋体" w:eastAsia="宋体" w:cs="宋体"/>
          <w:b/>
          <w:sz w:val="21"/>
          <w:szCs w:val="21"/>
          <w:highlight w:val="none"/>
        </w:rPr>
      </w:pPr>
    </w:p>
    <w:p w14:paraId="44EB71AC">
      <w:pPr>
        <w:pStyle w:val="6"/>
        <w:ind w:right="320"/>
        <w:jc w:val="center"/>
        <w:rPr>
          <w:rFonts w:hint="eastAsia" w:ascii="宋体" w:hAnsi="宋体" w:eastAsia="宋体" w:cs="宋体"/>
          <w:b/>
          <w:sz w:val="21"/>
          <w:szCs w:val="21"/>
          <w:highlight w:val="none"/>
        </w:rPr>
      </w:pPr>
    </w:p>
    <w:p w14:paraId="71FEFCC3">
      <w:pPr>
        <w:pStyle w:val="6"/>
        <w:ind w:right="320"/>
        <w:jc w:val="center"/>
        <w:rPr>
          <w:rFonts w:hint="eastAsia" w:ascii="宋体" w:hAnsi="宋体" w:eastAsia="宋体" w:cs="宋体"/>
          <w:b/>
          <w:sz w:val="21"/>
          <w:szCs w:val="21"/>
          <w:highlight w:val="none"/>
        </w:rPr>
        <w:sectPr>
          <w:pgSz w:w="11907" w:h="16840"/>
          <w:pgMar w:top="1134" w:right="1134" w:bottom="1134" w:left="1560" w:header="851" w:footer="851" w:gutter="0"/>
          <w:pgBorders>
            <w:top w:val="none" w:sz="0" w:space="0"/>
            <w:left w:val="none" w:sz="0" w:space="0"/>
            <w:bottom w:val="none" w:sz="0" w:space="0"/>
            <w:right w:val="none" w:sz="0" w:space="0"/>
          </w:pgBorders>
          <w:cols w:space="720" w:num="1"/>
          <w:docGrid w:linePitch="312" w:charSpace="0"/>
        </w:sectPr>
      </w:pPr>
    </w:p>
    <w:p w14:paraId="5778E975">
      <w:pPr>
        <w:pStyle w:val="3"/>
        <w:numPr>
          <w:ilvl w:val="0"/>
          <w:numId w:val="5"/>
        </w:numPr>
        <w:spacing w:line="360" w:lineRule="auto"/>
        <w:ind w:firstLine="422" w:firstLineChars="200"/>
        <w:jc w:val="center"/>
        <w:rPr>
          <w:rFonts w:hint="eastAsia" w:ascii="宋体" w:hAnsi="宋体" w:eastAsia="宋体"/>
          <w:b/>
          <w:sz w:val="21"/>
          <w:szCs w:val="21"/>
          <w:highlight w:val="none"/>
        </w:rPr>
      </w:pPr>
      <w:r>
        <w:rPr>
          <w:rFonts w:hint="eastAsia" w:ascii="宋体" w:hAnsi="宋体" w:eastAsia="宋体"/>
          <w:b/>
          <w:sz w:val="21"/>
          <w:szCs w:val="21"/>
          <w:highlight w:val="none"/>
        </w:rPr>
        <w:t xml:space="preserve"> 评审方法和评审标准</w:t>
      </w:r>
      <w:bookmarkEnd w:id="108"/>
    </w:p>
    <w:p w14:paraId="54A1035F">
      <w:pPr>
        <w:spacing w:line="360" w:lineRule="auto"/>
        <w:ind w:firstLine="482"/>
        <w:rPr>
          <w:rFonts w:hint="eastAsia" w:ascii="宋体" w:hAnsi="宋体" w:cs="宋体"/>
          <w:b/>
          <w:szCs w:val="21"/>
          <w:highlight w:val="none"/>
        </w:rPr>
      </w:pPr>
      <w:r>
        <w:rPr>
          <w:rFonts w:hint="eastAsia" w:ascii="宋体" w:hAnsi="宋体" w:cs="宋体"/>
          <w:b/>
          <w:szCs w:val="21"/>
          <w:highlight w:val="none"/>
        </w:rPr>
        <w:t>一、磋商模式</w:t>
      </w:r>
    </w:p>
    <w:p w14:paraId="400B337F">
      <w:pPr>
        <w:spacing w:line="360" w:lineRule="auto"/>
        <w:ind w:firstLine="480"/>
        <w:rPr>
          <w:rFonts w:hint="eastAsia" w:ascii="宋体" w:hAnsi="宋体" w:cs="宋体"/>
          <w:szCs w:val="21"/>
          <w:highlight w:val="none"/>
        </w:rPr>
      </w:pPr>
      <w:r>
        <w:rPr>
          <w:rFonts w:hint="eastAsia" w:ascii="宋体" w:hAnsi="宋体" w:cs="宋体"/>
          <w:szCs w:val="21"/>
          <w:highlight w:val="none"/>
        </w:rPr>
        <w:t>不见面远程磋商模式：开标当天各供应商在各自地点通过苏采云系统及时登录不见面开标大厅，参加磋商活动。</w:t>
      </w:r>
    </w:p>
    <w:p w14:paraId="08C35CC4">
      <w:pPr>
        <w:spacing w:line="360" w:lineRule="auto"/>
        <w:ind w:firstLine="482"/>
        <w:rPr>
          <w:rFonts w:hint="eastAsia" w:ascii="宋体" w:hAnsi="宋体" w:cs="宋体"/>
          <w:b/>
          <w:szCs w:val="21"/>
          <w:highlight w:val="none"/>
        </w:rPr>
      </w:pPr>
      <w:r>
        <w:rPr>
          <w:rFonts w:hint="eastAsia" w:ascii="宋体" w:hAnsi="宋体" w:cs="宋体"/>
          <w:b/>
          <w:szCs w:val="21"/>
          <w:highlight w:val="none"/>
        </w:rPr>
        <w:t>二、磋商组织及磋商小组职责</w:t>
      </w:r>
    </w:p>
    <w:p w14:paraId="49CA8592">
      <w:pPr>
        <w:spacing w:line="360" w:lineRule="auto"/>
        <w:ind w:firstLine="480"/>
        <w:rPr>
          <w:rFonts w:hint="eastAsia" w:ascii="宋体" w:hAnsi="宋体" w:cs="宋体"/>
          <w:szCs w:val="21"/>
          <w:highlight w:val="none"/>
        </w:rPr>
      </w:pPr>
      <w:r>
        <w:rPr>
          <w:rFonts w:hint="eastAsia" w:ascii="宋体" w:hAnsi="宋体" w:cs="宋体"/>
          <w:szCs w:val="21"/>
          <w:highlight w:val="none"/>
        </w:rPr>
        <w:t>1.本次竞争性磋商依据《中华人民共和国政府采购法》《政府采购竞争性磋商采购方式管理暂行办法》及有关法规成立磋商小组。磋商小组由采购人代表和评审专家共3人及以上单数组成。</w:t>
      </w:r>
    </w:p>
    <w:p w14:paraId="79731EFB">
      <w:pPr>
        <w:spacing w:line="360" w:lineRule="auto"/>
        <w:ind w:firstLine="480"/>
        <w:rPr>
          <w:rFonts w:hint="eastAsia" w:ascii="宋体" w:hAnsi="宋体" w:cs="宋体"/>
          <w:szCs w:val="21"/>
          <w:highlight w:val="none"/>
        </w:rPr>
      </w:pPr>
      <w:r>
        <w:rPr>
          <w:rFonts w:hint="eastAsia" w:ascii="宋体" w:hAnsi="宋体" w:cs="宋体"/>
          <w:szCs w:val="21"/>
          <w:highlight w:val="none"/>
        </w:rPr>
        <w:t>2.磋商小组的职责：</w:t>
      </w:r>
    </w:p>
    <w:p w14:paraId="5078876E">
      <w:pPr>
        <w:spacing w:line="360" w:lineRule="auto"/>
        <w:ind w:firstLine="480"/>
        <w:rPr>
          <w:rFonts w:hint="eastAsia" w:ascii="宋体" w:hAnsi="宋体" w:cs="宋体"/>
          <w:szCs w:val="21"/>
          <w:highlight w:val="none"/>
        </w:rPr>
      </w:pPr>
      <w:r>
        <w:rPr>
          <w:rFonts w:hint="eastAsia" w:ascii="宋体" w:hAnsi="宋体" w:cs="宋体"/>
          <w:szCs w:val="21"/>
          <w:highlight w:val="none"/>
        </w:rPr>
        <w:t>（1）磋商小组成员应当按照客观、公正、审慎的原则，根据磋商文件规定的评审程序、评审方法和评审标准进行独立评审。未实质性响应磋商文件的响应文件按无效响应处理，磋商小组应当告知提交响应文件的供应商。</w:t>
      </w:r>
    </w:p>
    <w:p w14:paraId="3AF077BB">
      <w:pPr>
        <w:spacing w:line="360" w:lineRule="auto"/>
        <w:ind w:firstLine="480"/>
        <w:rPr>
          <w:rFonts w:hint="eastAsia" w:ascii="宋体" w:hAnsi="宋体" w:cs="宋体"/>
          <w:szCs w:val="21"/>
          <w:highlight w:val="none"/>
        </w:rPr>
      </w:pPr>
      <w:r>
        <w:rPr>
          <w:rFonts w:hint="eastAsia" w:ascii="宋体" w:hAnsi="宋体" w:cs="宋体"/>
          <w:szCs w:val="21"/>
          <w:highlight w:val="none"/>
        </w:rPr>
        <w:t>（2）磋商文件内容违反国家有关强制性规定的，磋商小组应当停止评审并向采购人或者采购代理机构说明情况。</w:t>
      </w:r>
    </w:p>
    <w:p w14:paraId="362E0292">
      <w:pPr>
        <w:spacing w:line="360" w:lineRule="auto"/>
        <w:ind w:firstLine="480"/>
        <w:rPr>
          <w:rFonts w:hint="eastAsia" w:ascii="宋体" w:hAnsi="宋体" w:cs="宋体"/>
          <w:szCs w:val="21"/>
          <w:highlight w:val="none"/>
        </w:rPr>
      </w:pPr>
      <w:r>
        <w:rPr>
          <w:rFonts w:hint="eastAsia" w:ascii="宋体" w:hAnsi="宋体" w:cs="宋体"/>
          <w:szCs w:val="21"/>
          <w:highlight w:val="none"/>
        </w:rPr>
        <w:t>（3）磋商小组成员应当遵守评审工作纪律，不得泄露评审情况和评审中获悉的商业秘密，对个人的评审意见承担法律责任。</w:t>
      </w:r>
    </w:p>
    <w:p w14:paraId="1E257960">
      <w:pPr>
        <w:spacing w:line="360" w:lineRule="auto"/>
        <w:ind w:firstLine="480"/>
        <w:rPr>
          <w:rFonts w:hint="eastAsia" w:ascii="宋体" w:hAnsi="宋体" w:cs="宋体"/>
          <w:szCs w:val="21"/>
          <w:highlight w:val="none"/>
        </w:rPr>
      </w:pPr>
      <w:r>
        <w:rPr>
          <w:rFonts w:hint="eastAsia" w:ascii="宋体" w:hAnsi="宋体" w:cs="宋体"/>
          <w:szCs w:val="21"/>
          <w:highlight w:val="none"/>
        </w:rPr>
        <w:t>（4）磋商小组成员在评审过程中发现供应商有行贿、提供虚假材料或者串通投标等违法行为的，应当及时向财政部门报告。</w:t>
      </w:r>
    </w:p>
    <w:p w14:paraId="1EAE25A7">
      <w:pPr>
        <w:spacing w:line="360" w:lineRule="auto"/>
        <w:ind w:firstLine="480"/>
        <w:rPr>
          <w:rFonts w:hint="eastAsia" w:ascii="宋体" w:hAnsi="宋体" w:cs="宋体"/>
          <w:szCs w:val="21"/>
          <w:highlight w:val="none"/>
        </w:rPr>
      </w:pPr>
      <w:r>
        <w:rPr>
          <w:rFonts w:hint="eastAsia" w:ascii="宋体" w:hAnsi="宋体" w:cs="宋体"/>
          <w:szCs w:val="21"/>
          <w:highlight w:val="none"/>
        </w:rPr>
        <w:t>（5）磋商小组成员在评审过程中受到非法干涉的，应当及时向财政、监察等部门举报。</w:t>
      </w:r>
    </w:p>
    <w:p w14:paraId="19E73FFA">
      <w:pPr>
        <w:spacing w:line="360" w:lineRule="auto"/>
        <w:ind w:firstLine="480"/>
        <w:rPr>
          <w:rFonts w:hint="eastAsia" w:ascii="宋体" w:hAnsi="宋体" w:cs="宋体"/>
          <w:szCs w:val="21"/>
          <w:highlight w:val="none"/>
        </w:rPr>
      </w:pPr>
      <w:r>
        <w:rPr>
          <w:rFonts w:hint="eastAsia" w:ascii="宋体" w:hAnsi="宋体" w:cs="宋体"/>
          <w:szCs w:val="21"/>
          <w:highlight w:val="none"/>
        </w:rPr>
        <w:t>（6）配合采购单位答复供应商提出的质疑；配合财政部门的投诉处理和监督检查工作。</w:t>
      </w:r>
    </w:p>
    <w:p w14:paraId="578E1829">
      <w:pPr>
        <w:spacing w:line="360" w:lineRule="auto"/>
        <w:ind w:firstLine="480"/>
        <w:rPr>
          <w:rFonts w:hint="eastAsia" w:ascii="宋体" w:hAnsi="宋体" w:cs="宋体"/>
          <w:szCs w:val="21"/>
          <w:highlight w:val="none"/>
        </w:rPr>
      </w:pPr>
      <w:r>
        <w:rPr>
          <w:rFonts w:hint="eastAsia" w:ascii="宋体" w:hAnsi="宋体" w:cs="宋体"/>
          <w:szCs w:val="21"/>
          <w:highlight w:val="none"/>
        </w:rPr>
        <w:t>3.评审有关记录由磋商小组成员签名，存档备查。</w:t>
      </w:r>
    </w:p>
    <w:p w14:paraId="0141BB88">
      <w:pPr>
        <w:spacing w:line="360" w:lineRule="auto"/>
        <w:ind w:firstLine="482"/>
        <w:rPr>
          <w:rFonts w:hint="eastAsia" w:ascii="宋体" w:hAnsi="宋体" w:cs="宋体"/>
          <w:b/>
          <w:szCs w:val="21"/>
          <w:highlight w:val="none"/>
        </w:rPr>
      </w:pPr>
      <w:r>
        <w:rPr>
          <w:rFonts w:hint="eastAsia" w:ascii="宋体" w:hAnsi="宋体" w:cs="宋体"/>
          <w:b/>
          <w:szCs w:val="21"/>
          <w:highlight w:val="none"/>
        </w:rPr>
        <w:t>三、评审步骤</w:t>
      </w:r>
    </w:p>
    <w:p w14:paraId="51C413B1">
      <w:pPr>
        <w:spacing w:line="360" w:lineRule="auto"/>
        <w:ind w:firstLine="480"/>
        <w:rPr>
          <w:rFonts w:hint="eastAsia" w:ascii="宋体" w:hAnsi="宋体" w:cs="宋体"/>
          <w:szCs w:val="21"/>
          <w:highlight w:val="none"/>
        </w:rPr>
      </w:pPr>
      <w:r>
        <w:rPr>
          <w:rFonts w:hint="eastAsia" w:ascii="宋体" w:hAnsi="宋体" w:cs="宋体"/>
          <w:szCs w:val="21"/>
          <w:highlight w:val="none"/>
          <w:lang w:val="zh-CN"/>
        </w:rPr>
        <w:t>第一阶段：</w:t>
      </w:r>
      <w:r>
        <w:rPr>
          <w:rFonts w:hint="eastAsia" w:ascii="宋体" w:hAnsi="宋体" w:cs="宋体"/>
          <w:szCs w:val="21"/>
          <w:highlight w:val="none"/>
        </w:rPr>
        <w:t>采购人代表</w:t>
      </w:r>
      <w:r>
        <w:rPr>
          <w:rFonts w:hint="eastAsia" w:ascii="宋体" w:hAnsi="宋体" w:cs="宋体"/>
          <w:szCs w:val="21"/>
          <w:highlight w:val="none"/>
          <w:lang w:val="zh-CN"/>
        </w:rPr>
        <w:t>对每个供应商的资格进行审查。</w:t>
      </w:r>
      <w:r>
        <w:rPr>
          <w:rFonts w:hint="eastAsia" w:ascii="宋体" w:hAnsi="宋体" w:cs="宋体"/>
          <w:szCs w:val="21"/>
          <w:highlight w:val="none"/>
        </w:rPr>
        <w:t>供应商资格不合格的，其响应文件判定为无效响应文件。</w:t>
      </w:r>
    </w:p>
    <w:p w14:paraId="6A344B7C">
      <w:pPr>
        <w:spacing w:line="360" w:lineRule="auto"/>
        <w:ind w:firstLine="480"/>
        <w:rPr>
          <w:rFonts w:hint="eastAsia" w:ascii="宋体" w:hAnsi="宋体" w:cs="宋体"/>
          <w:szCs w:val="21"/>
          <w:highlight w:val="none"/>
        </w:rPr>
      </w:pPr>
      <w:r>
        <w:rPr>
          <w:rFonts w:hint="eastAsia" w:ascii="宋体" w:hAnsi="宋体" w:cs="宋体"/>
          <w:szCs w:val="21"/>
          <w:highlight w:val="none"/>
          <w:lang w:val="zh-CN"/>
        </w:rPr>
        <w:t>第二阶段：</w:t>
      </w:r>
      <w:r>
        <w:rPr>
          <w:rFonts w:hint="eastAsia" w:ascii="宋体" w:hAnsi="宋体" w:cs="宋体"/>
          <w:szCs w:val="21"/>
          <w:highlight w:val="none"/>
        </w:rPr>
        <w:t>依据磋商文件的规定，由磋商小组</w:t>
      </w:r>
      <w:r>
        <w:rPr>
          <w:rFonts w:hint="eastAsia" w:ascii="宋体" w:hAnsi="宋体" w:cs="宋体"/>
          <w:szCs w:val="21"/>
          <w:highlight w:val="none"/>
          <w:lang w:val="zh-CN"/>
        </w:rPr>
        <w:t>对每个符合资格要求的供应商</w:t>
      </w:r>
      <w:r>
        <w:rPr>
          <w:rFonts w:hint="eastAsia" w:ascii="宋体" w:hAnsi="宋体" w:cs="宋体"/>
          <w:szCs w:val="21"/>
          <w:highlight w:val="none"/>
        </w:rPr>
        <w:t xml:space="preserve">从响应文件的有效性、完整性和对磋商文件的响应程度进行审查，以确定是否对磋商文件的实质性要求作出响应。未通过符合性审查的响应文件，将被判定为不满足磋商文件实质性要求。 </w:t>
      </w:r>
    </w:p>
    <w:p w14:paraId="7340C5B6">
      <w:pPr>
        <w:spacing w:line="360" w:lineRule="auto"/>
        <w:ind w:firstLine="480"/>
        <w:rPr>
          <w:rFonts w:hint="eastAsia" w:ascii="宋体" w:hAnsi="宋体" w:cs="宋体"/>
          <w:szCs w:val="21"/>
          <w:highlight w:val="none"/>
        </w:rPr>
      </w:pPr>
      <w:r>
        <w:rPr>
          <w:rFonts w:hint="eastAsia" w:ascii="宋体" w:hAnsi="宋体" w:cs="宋体"/>
          <w:szCs w:val="21"/>
          <w:highlight w:val="none"/>
          <w:lang w:val="zh-CN"/>
        </w:rPr>
        <w:t>第三阶段：</w:t>
      </w:r>
      <w:r>
        <w:rPr>
          <w:rFonts w:hint="eastAsia" w:ascii="宋体" w:hAnsi="宋体" w:cs="宋体"/>
          <w:szCs w:val="21"/>
          <w:highlight w:val="none"/>
        </w:rPr>
        <w:t>磋商小组与通过符合性审查的供应商单一分别进行磋商。单一分别磋商结束后，系统进入商务技术响应文件评审。</w:t>
      </w:r>
    </w:p>
    <w:p w14:paraId="16EDC604">
      <w:pPr>
        <w:spacing w:line="360" w:lineRule="auto"/>
        <w:ind w:firstLine="480"/>
        <w:rPr>
          <w:rFonts w:hint="eastAsia" w:ascii="宋体" w:hAnsi="宋体" w:cs="宋体"/>
          <w:szCs w:val="21"/>
          <w:highlight w:val="none"/>
        </w:rPr>
      </w:pPr>
      <w:r>
        <w:rPr>
          <w:rFonts w:hint="eastAsia" w:ascii="宋体" w:hAnsi="宋体" w:cs="宋体"/>
          <w:szCs w:val="21"/>
          <w:highlight w:val="none"/>
          <w:lang w:val="zh-CN"/>
        </w:rPr>
        <w:t>第</w:t>
      </w:r>
      <w:r>
        <w:rPr>
          <w:rFonts w:hint="eastAsia" w:ascii="宋体" w:hAnsi="宋体" w:cs="宋体"/>
          <w:szCs w:val="21"/>
          <w:highlight w:val="none"/>
        </w:rPr>
        <w:t>四</w:t>
      </w:r>
      <w:r>
        <w:rPr>
          <w:rFonts w:hint="eastAsia" w:ascii="宋体" w:hAnsi="宋体" w:cs="宋体"/>
          <w:szCs w:val="21"/>
          <w:highlight w:val="none"/>
          <w:lang w:val="zh-CN"/>
        </w:rPr>
        <w:t>阶段：</w:t>
      </w:r>
      <w:r>
        <w:rPr>
          <w:rFonts w:hint="eastAsia" w:ascii="宋体" w:hAnsi="宋体" w:cs="宋体"/>
          <w:szCs w:val="21"/>
          <w:highlight w:val="none"/>
        </w:rPr>
        <w:t>系统商务技术响应文件评审结束后，进入最后报价环节，供应商在系统规定的时间内完成最终报价后，磋商小组对响应报价的供应商进行价格部分评审</w:t>
      </w:r>
      <w:r>
        <w:rPr>
          <w:rFonts w:hint="eastAsia" w:ascii="宋体" w:hAnsi="宋体" w:cs="宋体"/>
          <w:szCs w:val="21"/>
          <w:highlight w:val="none"/>
          <w:lang w:val="zh-CN"/>
        </w:rPr>
        <w:t>。</w:t>
      </w:r>
    </w:p>
    <w:p w14:paraId="3AD23456">
      <w:pPr>
        <w:spacing w:line="360" w:lineRule="auto"/>
        <w:ind w:firstLine="482"/>
        <w:rPr>
          <w:rFonts w:hint="eastAsia" w:ascii="宋体" w:hAnsi="宋体" w:cs="宋体"/>
          <w:b/>
          <w:szCs w:val="21"/>
          <w:highlight w:val="none"/>
        </w:rPr>
      </w:pPr>
      <w:r>
        <w:rPr>
          <w:rFonts w:hint="eastAsia" w:ascii="宋体" w:hAnsi="宋体" w:cs="宋体"/>
          <w:b/>
          <w:szCs w:val="21"/>
          <w:highlight w:val="none"/>
        </w:rPr>
        <w:t>四、磋商程序</w:t>
      </w:r>
    </w:p>
    <w:p w14:paraId="2D2E9984">
      <w:pPr>
        <w:spacing w:line="360" w:lineRule="auto"/>
        <w:ind w:firstLine="480"/>
        <w:rPr>
          <w:rFonts w:hint="eastAsia" w:ascii="宋体" w:hAnsi="宋体" w:cs="宋体"/>
          <w:szCs w:val="21"/>
          <w:highlight w:val="none"/>
        </w:rPr>
      </w:pPr>
      <w:r>
        <w:rPr>
          <w:rFonts w:hint="eastAsia" w:ascii="宋体" w:hAnsi="宋体" w:cs="宋体"/>
          <w:szCs w:val="21"/>
          <w:highlight w:val="none"/>
        </w:rPr>
        <w:t>1.对于通过资格审查和符合性审查的供应商，磋商小组将集中与单一供应商分别进行磋商。磋商小组通过苏采云系统向供应商发布“磋商函”，供应商应当按照要求在苏采云系统提交“磋商响应函”并加盖CA电子公章。</w:t>
      </w:r>
    </w:p>
    <w:p w14:paraId="6FC4215C">
      <w:pPr>
        <w:spacing w:line="360" w:lineRule="auto"/>
        <w:ind w:firstLine="480"/>
        <w:rPr>
          <w:rFonts w:hint="eastAsia" w:ascii="宋体" w:hAnsi="宋体" w:cs="宋体"/>
          <w:szCs w:val="21"/>
          <w:highlight w:val="none"/>
        </w:rPr>
      </w:pPr>
      <w:r>
        <w:rPr>
          <w:rFonts w:hint="eastAsia" w:ascii="宋体" w:hAnsi="宋体" w:cs="宋体"/>
          <w:szCs w:val="21"/>
          <w:highlight w:val="none"/>
        </w:rPr>
        <w:t>在磋商过程中，磋商小组可能根据磋商文件和磋商情况实质性变动的内容有：</w:t>
      </w:r>
      <w:r>
        <w:rPr>
          <w:rFonts w:hint="eastAsia" w:ascii="宋体" w:hAnsi="宋体" w:cs="宋体"/>
          <w:b/>
          <w:bCs/>
          <w:szCs w:val="21"/>
          <w:highlight w:val="none"/>
        </w:rPr>
        <w:t>采购需求中的技术、服务要求以及合同草案条款</w:t>
      </w:r>
      <w:r>
        <w:rPr>
          <w:rFonts w:hint="eastAsia" w:ascii="宋体" w:hAnsi="宋体" w:cs="宋体"/>
          <w:szCs w:val="21"/>
          <w:highlight w:val="none"/>
        </w:rPr>
        <w:t>。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p>
    <w:p w14:paraId="5240C068">
      <w:pPr>
        <w:spacing w:line="360" w:lineRule="auto"/>
        <w:ind w:firstLine="480"/>
        <w:rPr>
          <w:rFonts w:hint="eastAsia" w:ascii="宋体" w:hAnsi="宋体" w:cs="宋体"/>
          <w:szCs w:val="21"/>
          <w:highlight w:val="none"/>
        </w:rPr>
      </w:pPr>
      <w:r>
        <w:rPr>
          <w:rFonts w:hint="eastAsia" w:ascii="宋体" w:hAnsi="宋体" w:cs="宋体"/>
          <w:szCs w:val="21"/>
          <w:highlight w:val="none"/>
        </w:rPr>
        <w:t xml:space="preserve"> 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p>
    <w:p w14:paraId="19222489">
      <w:pPr>
        <w:spacing w:line="360" w:lineRule="auto"/>
        <w:ind w:firstLine="480"/>
        <w:rPr>
          <w:rFonts w:hint="eastAsia" w:ascii="宋体" w:hAnsi="宋体" w:cs="宋体"/>
          <w:szCs w:val="21"/>
          <w:highlight w:val="none"/>
        </w:rPr>
      </w:pPr>
      <w:r>
        <w:rPr>
          <w:rFonts w:hint="eastAsia" w:ascii="宋体" w:hAnsi="宋体" w:cs="宋体"/>
          <w:szCs w:val="21"/>
          <w:highlight w:val="none"/>
        </w:rPr>
        <w:t>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w:t>
      </w:r>
      <w:r>
        <w:rPr>
          <w:rFonts w:hint="eastAsia" w:ascii="宋体" w:hAnsi="宋体" w:cs="宋体"/>
          <w:b/>
          <w:bCs/>
          <w:szCs w:val="21"/>
          <w:highlight w:val="none"/>
        </w:rPr>
        <w:t>15分钟内</w:t>
      </w:r>
      <w:r>
        <w:rPr>
          <w:rFonts w:hint="eastAsia" w:ascii="宋体" w:hAnsi="宋体" w:cs="宋体"/>
          <w:szCs w:val="21"/>
          <w:highlight w:val="none"/>
        </w:rPr>
        <w:t>提交最后报价。</w:t>
      </w:r>
    </w:p>
    <w:p w14:paraId="4DE04B93">
      <w:pPr>
        <w:spacing w:line="360" w:lineRule="auto"/>
        <w:ind w:firstLine="480"/>
        <w:rPr>
          <w:rFonts w:hint="eastAsia" w:ascii="宋体" w:hAnsi="宋体" w:cs="宋体"/>
          <w:szCs w:val="21"/>
          <w:highlight w:val="none"/>
        </w:rPr>
      </w:pPr>
      <w:r>
        <w:rPr>
          <w:rFonts w:hint="eastAsia" w:ascii="宋体" w:hAnsi="宋体" w:cs="宋体"/>
          <w:szCs w:val="21"/>
          <w:highlight w:val="none"/>
        </w:rPr>
        <w:t>最后报价是供应商响应文件的有效组成部分，提交最后报价的供应商不得少于3家。符合《政府采购竞争性磋商采购方式管理暂行办法》第三条第一款第四项及《财政部关于竞争性磋商采购方式管理暂行办法有关问题的补充通知》（财库〔2015〕124号）规定情形的，提交最后报价的供应商可以为2家。</w:t>
      </w:r>
    </w:p>
    <w:p w14:paraId="30C01BE6">
      <w:pPr>
        <w:spacing w:line="360" w:lineRule="auto"/>
        <w:ind w:firstLine="480"/>
        <w:rPr>
          <w:rFonts w:hint="eastAsia" w:ascii="宋体" w:hAnsi="宋体" w:cs="宋体"/>
          <w:szCs w:val="21"/>
          <w:highlight w:val="none"/>
        </w:rPr>
      </w:pPr>
      <w:r>
        <w:rPr>
          <w:rFonts w:hint="eastAsia" w:ascii="宋体" w:hAnsi="宋体" w:cs="宋体"/>
          <w:szCs w:val="21"/>
          <w:highlight w:val="none"/>
        </w:rPr>
        <w:t>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p>
    <w:p w14:paraId="54FB03B2">
      <w:pPr>
        <w:spacing w:line="360" w:lineRule="auto"/>
        <w:ind w:firstLine="480"/>
        <w:rPr>
          <w:rFonts w:hint="eastAsia" w:ascii="宋体" w:hAnsi="宋体" w:cs="宋体"/>
          <w:szCs w:val="21"/>
          <w:highlight w:val="none"/>
        </w:rPr>
      </w:pPr>
      <w:r>
        <w:rPr>
          <w:rFonts w:hint="eastAsia" w:ascii="宋体" w:hAnsi="宋体" w:cs="宋体"/>
          <w:szCs w:val="21"/>
          <w:highlight w:val="none"/>
        </w:rPr>
        <w:t>4.除非在磋商中磋商小组对采购需求中的技术、服务要求以及合同草案条款做了实质性变更，</w:t>
      </w:r>
      <w:r>
        <w:rPr>
          <w:rFonts w:hint="eastAsia" w:ascii="宋体" w:hAnsi="宋体" w:cs="宋体"/>
          <w:b/>
          <w:bCs/>
          <w:szCs w:val="21"/>
          <w:highlight w:val="none"/>
        </w:rPr>
        <w:t>否则采购单位不接受供应商高于自己前一轮的磋商报价</w:t>
      </w:r>
      <w:r>
        <w:rPr>
          <w:rFonts w:hint="eastAsia" w:ascii="宋体" w:hAnsi="宋体" w:cs="宋体"/>
          <w:szCs w:val="21"/>
          <w:highlight w:val="none"/>
        </w:rPr>
        <w:t>。</w:t>
      </w:r>
    </w:p>
    <w:p w14:paraId="3CC9A5E5">
      <w:pPr>
        <w:spacing w:line="360" w:lineRule="auto"/>
        <w:ind w:firstLine="480"/>
        <w:rPr>
          <w:rFonts w:hint="eastAsia" w:ascii="宋体" w:hAnsi="宋体" w:cs="宋体"/>
          <w:szCs w:val="21"/>
          <w:highlight w:val="none"/>
        </w:rPr>
      </w:pPr>
      <w:r>
        <w:rPr>
          <w:rFonts w:hint="eastAsia" w:ascii="宋体" w:hAnsi="宋体" w:cs="宋体"/>
          <w:szCs w:val="21"/>
          <w:highlight w:val="none"/>
        </w:rPr>
        <w:t>5.在磋商中，磋商的任何一方不得透露与磋商有关的其他响应磋商的供应商的技术资料、价格及其他信息。</w:t>
      </w:r>
    </w:p>
    <w:p w14:paraId="604261EB">
      <w:pPr>
        <w:keepNext w:val="0"/>
        <w:keepLines w:val="0"/>
        <w:pageBreakBefore w:val="0"/>
        <w:widowControl w:val="0"/>
        <w:suppressLineNumbers w:val="0"/>
        <w:kinsoku/>
        <w:wordWrap/>
        <w:topLinePunct w:val="0"/>
        <w:bidi w:val="0"/>
        <w:snapToGrid w:val="0"/>
        <w:spacing w:before="0" w:beforeAutospacing="0" w:after="0" w:afterAutospacing="0" w:line="360" w:lineRule="auto"/>
        <w:ind w:left="0" w:right="0" w:firstLine="420" w:firstLineChars="200"/>
        <w:jc w:val="both"/>
        <w:textAlignment w:val="baseline"/>
        <w:rPr>
          <w:rFonts w:hint="eastAsia" w:ascii="宋体" w:hAnsi="宋体" w:eastAsia="宋体" w:cs="宋体"/>
          <w:b/>
          <w:bCs/>
          <w:kern w:val="2"/>
          <w:sz w:val="21"/>
          <w:szCs w:val="24"/>
          <w:highlight w:val="none"/>
          <w:vertAlign w:val="baseline"/>
          <w:lang w:val="en-US" w:eastAsia="zh-CN" w:bidi="ar"/>
        </w:rPr>
      </w:pPr>
      <w:r>
        <w:rPr>
          <w:rFonts w:hint="eastAsia" w:ascii="宋体" w:hAnsi="宋体" w:cs="宋体"/>
          <w:szCs w:val="21"/>
          <w:highlight w:val="none"/>
        </w:rPr>
        <w:t>6.</w:t>
      </w:r>
      <w:r>
        <w:rPr>
          <w:rFonts w:hint="eastAsia" w:ascii="宋体" w:hAnsi="宋体" w:eastAsia="宋体" w:cs="宋体"/>
          <w:b/>
          <w:bCs/>
          <w:kern w:val="2"/>
          <w:sz w:val="21"/>
          <w:szCs w:val="24"/>
          <w:highlight w:val="none"/>
          <w:vertAlign w:val="baseline"/>
          <w:lang w:val="en-US" w:eastAsia="zh-CN" w:bidi="ar"/>
        </w:rPr>
        <w:t>评审中出现下列情形之一的，评审委员会应当启动异常低价投标（响应）审查程序：</w:t>
      </w:r>
    </w:p>
    <w:p w14:paraId="13464A0B">
      <w:pPr>
        <w:keepNext w:val="0"/>
        <w:keepLines w:val="0"/>
        <w:pageBreakBefore w:val="0"/>
        <w:widowControl w:val="0"/>
        <w:suppressLineNumbers w:val="0"/>
        <w:kinsoku/>
        <w:wordWrap/>
        <w:topLinePunct w:val="0"/>
        <w:bidi w:val="0"/>
        <w:snapToGrid w:val="0"/>
        <w:spacing w:before="0" w:beforeAutospacing="0" w:after="0" w:afterAutospacing="0" w:line="360" w:lineRule="auto"/>
        <w:ind w:left="0" w:right="0" w:firstLine="420" w:firstLineChars="200"/>
        <w:jc w:val="both"/>
        <w:textAlignment w:val="baseline"/>
        <w:rPr>
          <w:rFonts w:hint="eastAsia" w:ascii="宋体" w:hAnsi="宋体" w:eastAsia="宋体" w:cs="宋体"/>
          <w:kern w:val="2"/>
          <w:sz w:val="21"/>
          <w:szCs w:val="24"/>
          <w:highlight w:val="none"/>
          <w:vertAlign w:val="baseline"/>
          <w:lang w:val="en-US" w:eastAsia="zh-CN" w:bidi="ar"/>
        </w:rPr>
      </w:pPr>
      <w:r>
        <w:rPr>
          <w:rFonts w:hint="eastAsia" w:ascii="宋体" w:hAnsi="宋体" w:eastAsia="宋体" w:cs="宋体"/>
          <w:kern w:val="2"/>
          <w:sz w:val="21"/>
          <w:szCs w:val="24"/>
          <w:highlight w:val="none"/>
          <w:vertAlign w:val="baseline"/>
          <w:lang w:val="en-US" w:eastAsia="zh-CN" w:bidi="ar"/>
        </w:rPr>
        <w:t xml:space="preserve">（1）评审过程中出现下列情形之一的，评审委员会应当启动异常低价投标（响应）审查程序： </w:t>
      </w:r>
    </w:p>
    <w:p w14:paraId="2E0475A2">
      <w:pPr>
        <w:keepNext w:val="0"/>
        <w:keepLines w:val="0"/>
        <w:pageBreakBefore w:val="0"/>
        <w:widowControl w:val="0"/>
        <w:suppressLineNumbers w:val="0"/>
        <w:kinsoku/>
        <w:wordWrap/>
        <w:topLinePunct w:val="0"/>
        <w:bidi w:val="0"/>
        <w:snapToGrid w:val="0"/>
        <w:spacing w:before="0" w:beforeAutospacing="0" w:after="0" w:afterAutospacing="0" w:line="360" w:lineRule="auto"/>
        <w:ind w:left="0" w:right="0" w:firstLine="420" w:firstLineChars="200"/>
        <w:jc w:val="both"/>
        <w:textAlignment w:val="baseline"/>
        <w:rPr>
          <w:rFonts w:hint="eastAsia" w:ascii="宋体" w:hAnsi="宋体" w:eastAsia="宋体" w:cs="宋体"/>
          <w:kern w:val="2"/>
          <w:sz w:val="21"/>
          <w:szCs w:val="24"/>
          <w:highlight w:val="none"/>
          <w:vertAlign w:val="baseline"/>
          <w:lang w:val="en-US" w:eastAsia="zh-CN" w:bidi="ar"/>
        </w:rPr>
      </w:pPr>
      <w:r>
        <w:rPr>
          <w:rFonts w:hint="eastAsia" w:ascii="宋体" w:hAnsi="宋体" w:eastAsia="宋体" w:cs="宋体"/>
          <w:kern w:val="2"/>
          <w:sz w:val="21"/>
          <w:szCs w:val="24"/>
          <w:highlight w:val="none"/>
          <w:vertAlign w:val="baseline"/>
          <w:lang w:val="en-US" w:eastAsia="zh-CN" w:bidi="ar"/>
        </w:rPr>
        <w:t>①投标（响应）报价低于全部通过符合性审查供应商投标（响应）报价平均值</w:t>
      </w:r>
      <w:r>
        <w:rPr>
          <w:rFonts w:hint="eastAsia" w:ascii="宋体" w:hAnsi="宋体" w:cs="宋体"/>
          <w:kern w:val="2"/>
          <w:sz w:val="21"/>
          <w:szCs w:val="24"/>
          <w:highlight w:val="none"/>
          <w:vertAlign w:val="baseline"/>
          <w:lang w:val="en-US" w:eastAsia="zh-CN" w:bidi="ar"/>
        </w:rPr>
        <w:t>50</w:t>
      </w:r>
      <w:r>
        <w:rPr>
          <w:rFonts w:hint="eastAsia" w:ascii="宋体" w:hAnsi="宋体" w:eastAsia="宋体" w:cs="宋体"/>
          <w:kern w:val="2"/>
          <w:sz w:val="21"/>
          <w:szCs w:val="24"/>
          <w:highlight w:val="none"/>
          <w:vertAlign w:val="baseline"/>
          <w:lang w:val="en-US" w:eastAsia="zh-CN" w:bidi="ar"/>
        </w:rPr>
        <w:t>%的，即投标（响应）报价〈全部通过符合性审查供应商投标（响应）报价平均值×</w:t>
      </w:r>
      <w:r>
        <w:rPr>
          <w:rFonts w:hint="eastAsia" w:ascii="宋体" w:hAnsi="宋体" w:cs="宋体"/>
          <w:kern w:val="2"/>
          <w:sz w:val="21"/>
          <w:szCs w:val="24"/>
          <w:highlight w:val="none"/>
          <w:vertAlign w:val="baseline"/>
          <w:lang w:val="en-US" w:eastAsia="zh-CN" w:bidi="ar"/>
        </w:rPr>
        <w:t>50</w:t>
      </w:r>
      <w:r>
        <w:rPr>
          <w:rFonts w:hint="eastAsia" w:ascii="宋体" w:hAnsi="宋体" w:eastAsia="宋体" w:cs="宋体"/>
          <w:kern w:val="2"/>
          <w:sz w:val="21"/>
          <w:szCs w:val="24"/>
          <w:highlight w:val="none"/>
          <w:vertAlign w:val="baseline"/>
          <w:lang w:val="en-US" w:eastAsia="zh-CN" w:bidi="ar"/>
        </w:rPr>
        <w:t>%；</w:t>
      </w:r>
    </w:p>
    <w:p w14:paraId="2F585A76">
      <w:pPr>
        <w:keepNext w:val="0"/>
        <w:keepLines w:val="0"/>
        <w:pageBreakBefore w:val="0"/>
        <w:widowControl w:val="0"/>
        <w:suppressLineNumbers w:val="0"/>
        <w:kinsoku/>
        <w:wordWrap/>
        <w:topLinePunct w:val="0"/>
        <w:bidi w:val="0"/>
        <w:snapToGrid w:val="0"/>
        <w:spacing w:before="0" w:beforeAutospacing="0" w:after="0" w:afterAutospacing="0" w:line="360" w:lineRule="auto"/>
        <w:ind w:left="0" w:right="0" w:firstLine="420" w:firstLineChars="200"/>
        <w:jc w:val="both"/>
        <w:textAlignment w:val="baseline"/>
        <w:rPr>
          <w:rFonts w:hint="eastAsia" w:ascii="宋体" w:hAnsi="宋体" w:eastAsia="宋体" w:cs="宋体"/>
          <w:kern w:val="2"/>
          <w:sz w:val="21"/>
          <w:szCs w:val="24"/>
          <w:highlight w:val="none"/>
          <w:vertAlign w:val="baseline"/>
          <w:lang w:val="en-US" w:eastAsia="zh-CN" w:bidi="ar"/>
        </w:rPr>
      </w:pPr>
      <w:r>
        <w:rPr>
          <w:rFonts w:hint="eastAsia" w:ascii="宋体" w:hAnsi="宋体" w:eastAsia="宋体" w:cs="宋体"/>
          <w:kern w:val="2"/>
          <w:sz w:val="21"/>
          <w:szCs w:val="24"/>
          <w:highlight w:val="none"/>
          <w:vertAlign w:val="baseline"/>
          <w:lang w:val="en-US" w:eastAsia="zh-CN" w:bidi="ar"/>
        </w:rPr>
        <w:t>②投标（响应）报价低于通过符合性审查的次低报价供应商投标（响应）报价</w:t>
      </w:r>
      <w:r>
        <w:rPr>
          <w:rFonts w:hint="eastAsia" w:ascii="宋体" w:hAnsi="宋体" w:cs="宋体"/>
          <w:kern w:val="2"/>
          <w:sz w:val="21"/>
          <w:szCs w:val="24"/>
          <w:highlight w:val="none"/>
          <w:vertAlign w:val="baseline"/>
          <w:lang w:val="en-US" w:eastAsia="zh-CN" w:bidi="ar"/>
        </w:rPr>
        <w:t>50</w:t>
      </w:r>
      <w:r>
        <w:rPr>
          <w:rFonts w:hint="eastAsia" w:ascii="宋体" w:hAnsi="宋体" w:eastAsia="宋体" w:cs="宋体"/>
          <w:kern w:val="2"/>
          <w:sz w:val="21"/>
          <w:szCs w:val="24"/>
          <w:highlight w:val="none"/>
          <w:vertAlign w:val="baseline"/>
          <w:lang w:val="en-US" w:eastAsia="zh-CN" w:bidi="ar"/>
        </w:rPr>
        <w:t>%的，即投标（响应）报价〈通过符合性审查的次低报价供应商投标（响应）报价×</w:t>
      </w:r>
      <w:r>
        <w:rPr>
          <w:rFonts w:hint="eastAsia" w:ascii="宋体" w:hAnsi="宋体" w:cs="宋体"/>
          <w:kern w:val="2"/>
          <w:sz w:val="21"/>
          <w:szCs w:val="24"/>
          <w:highlight w:val="none"/>
          <w:vertAlign w:val="baseline"/>
          <w:lang w:val="en-US" w:eastAsia="zh-CN" w:bidi="ar"/>
        </w:rPr>
        <w:t>50</w:t>
      </w:r>
      <w:r>
        <w:rPr>
          <w:rFonts w:hint="eastAsia" w:ascii="宋体" w:hAnsi="宋体" w:eastAsia="宋体" w:cs="宋体"/>
          <w:kern w:val="2"/>
          <w:sz w:val="21"/>
          <w:szCs w:val="24"/>
          <w:highlight w:val="none"/>
          <w:vertAlign w:val="baseline"/>
          <w:lang w:val="en-US" w:eastAsia="zh-CN" w:bidi="ar"/>
        </w:rPr>
        <w:t>%；</w:t>
      </w:r>
    </w:p>
    <w:p w14:paraId="540DC08A">
      <w:pPr>
        <w:keepNext w:val="0"/>
        <w:keepLines w:val="0"/>
        <w:pageBreakBefore w:val="0"/>
        <w:widowControl w:val="0"/>
        <w:suppressLineNumbers w:val="0"/>
        <w:kinsoku/>
        <w:wordWrap/>
        <w:topLinePunct w:val="0"/>
        <w:bidi w:val="0"/>
        <w:snapToGrid w:val="0"/>
        <w:spacing w:before="0" w:beforeAutospacing="0" w:after="0" w:afterAutospacing="0" w:line="360" w:lineRule="auto"/>
        <w:ind w:left="0" w:right="0" w:firstLine="420" w:firstLineChars="200"/>
        <w:jc w:val="both"/>
        <w:textAlignment w:val="baseline"/>
        <w:rPr>
          <w:rFonts w:hint="eastAsia" w:ascii="宋体" w:hAnsi="宋体" w:eastAsia="宋体" w:cs="宋体"/>
          <w:kern w:val="2"/>
          <w:sz w:val="21"/>
          <w:szCs w:val="24"/>
          <w:highlight w:val="none"/>
          <w:vertAlign w:val="baseline"/>
          <w:lang w:val="en-US" w:eastAsia="zh-CN" w:bidi="ar"/>
        </w:rPr>
      </w:pPr>
      <w:r>
        <w:rPr>
          <w:rFonts w:hint="eastAsia" w:ascii="宋体" w:hAnsi="宋体" w:eastAsia="宋体" w:cs="宋体"/>
          <w:kern w:val="2"/>
          <w:sz w:val="21"/>
          <w:szCs w:val="24"/>
          <w:highlight w:val="none"/>
          <w:vertAlign w:val="baseline"/>
          <w:lang w:val="en-US" w:eastAsia="zh-CN" w:bidi="ar"/>
        </w:rPr>
        <w:t>③投标（响应）报价低于采购项目最高限价</w:t>
      </w:r>
      <w:r>
        <w:rPr>
          <w:rFonts w:hint="eastAsia" w:ascii="宋体" w:hAnsi="宋体" w:cs="宋体"/>
          <w:kern w:val="2"/>
          <w:sz w:val="21"/>
          <w:szCs w:val="24"/>
          <w:highlight w:val="none"/>
          <w:vertAlign w:val="baseline"/>
          <w:lang w:val="en-US" w:eastAsia="zh-CN" w:bidi="ar"/>
        </w:rPr>
        <w:t>50</w:t>
      </w:r>
      <w:r>
        <w:rPr>
          <w:rFonts w:hint="eastAsia" w:ascii="宋体" w:hAnsi="宋体" w:eastAsia="宋体" w:cs="宋体"/>
          <w:kern w:val="2"/>
          <w:sz w:val="21"/>
          <w:szCs w:val="24"/>
          <w:highlight w:val="none"/>
          <w:vertAlign w:val="baseline"/>
          <w:lang w:val="en-US" w:eastAsia="zh-CN" w:bidi="ar"/>
        </w:rPr>
        <w:t>%的，即投标（响应）报价〈采购项目最高限价 ×</w:t>
      </w:r>
      <w:r>
        <w:rPr>
          <w:rFonts w:hint="eastAsia" w:ascii="宋体" w:hAnsi="宋体" w:cs="宋体"/>
          <w:kern w:val="2"/>
          <w:sz w:val="21"/>
          <w:szCs w:val="24"/>
          <w:highlight w:val="none"/>
          <w:vertAlign w:val="baseline"/>
          <w:lang w:val="en-US" w:eastAsia="zh-CN" w:bidi="ar"/>
        </w:rPr>
        <w:t>45</w:t>
      </w:r>
      <w:r>
        <w:rPr>
          <w:rFonts w:hint="eastAsia" w:ascii="宋体" w:hAnsi="宋体" w:eastAsia="宋体" w:cs="宋体"/>
          <w:kern w:val="2"/>
          <w:sz w:val="21"/>
          <w:szCs w:val="24"/>
          <w:highlight w:val="none"/>
          <w:vertAlign w:val="baseline"/>
          <w:lang w:val="en-US" w:eastAsia="zh-CN" w:bidi="ar"/>
        </w:rPr>
        <w:t>%；</w:t>
      </w:r>
    </w:p>
    <w:p w14:paraId="04BC3F0B">
      <w:pPr>
        <w:keepNext w:val="0"/>
        <w:keepLines w:val="0"/>
        <w:pageBreakBefore w:val="0"/>
        <w:widowControl w:val="0"/>
        <w:suppressLineNumbers w:val="0"/>
        <w:kinsoku/>
        <w:wordWrap/>
        <w:topLinePunct w:val="0"/>
        <w:bidi w:val="0"/>
        <w:snapToGrid w:val="0"/>
        <w:spacing w:before="0" w:beforeAutospacing="0" w:after="0" w:afterAutospacing="0" w:line="360" w:lineRule="auto"/>
        <w:ind w:left="0" w:right="0" w:firstLine="420" w:firstLineChars="200"/>
        <w:jc w:val="both"/>
        <w:textAlignment w:val="baseline"/>
        <w:rPr>
          <w:rFonts w:hint="eastAsia" w:ascii="宋体" w:hAnsi="宋体" w:eastAsia="宋体" w:cs="宋体"/>
          <w:kern w:val="2"/>
          <w:sz w:val="21"/>
          <w:szCs w:val="24"/>
          <w:highlight w:val="none"/>
          <w:vertAlign w:val="baseline"/>
          <w:lang w:val="en-US" w:eastAsia="zh-CN" w:bidi="ar"/>
        </w:rPr>
      </w:pPr>
      <w:r>
        <w:rPr>
          <w:rFonts w:hint="eastAsia" w:ascii="宋体" w:hAnsi="宋体" w:eastAsia="宋体" w:cs="宋体"/>
          <w:kern w:val="2"/>
          <w:sz w:val="21"/>
          <w:szCs w:val="24"/>
          <w:highlight w:val="none"/>
          <w:vertAlign w:val="baseline"/>
          <w:lang w:val="en-US" w:eastAsia="zh-CN" w:bidi="ar"/>
        </w:rPr>
        <w:t>④评审委员会基于专业判断，认为供应商报价过低，有可能影响产品质量或者不能诚信履约的其他情形。</w:t>
      </w:r>
    </w:p>
    <w:p w14:paraId="5BB0BBEE">
      <w:pPr>
        <w:keepNext w:val="0"/>
        <w:keepLines w:val="0"/>
        <w:pageBreakBefore w:val="0"/>
        <w:widowControl w:val="0"/>
        <w:suppressLineNumbers w:val="0"/>
        <w:kinsoku/>
        <w:wordWrap/>
        <w:topLinePunct w:val="0"/>
        <w:bidi w:val="0"/>
        <w:snapToGrid w:val="0"/>
        <w:spacing w:before="0" w:beforeAutospacing="0" w:after="0" w:afterAutospacing="0" w:line="360" w:lineRule="auto"/>
        <w:ind w:left="0" w:right="0" w:firstLine="420" w:firstLineChars="200"/>
        <w:jc w:val="both"/>
        <w:textAlignment w:val="baseline"/>
        <w:rPr>
          <w:rFonts w:hint="eastAsia" w:ascii="宋体" w:hAnsi="宋体" w:eastAsia="宋体" w:cs="宋体"/>
          <w:kern w:val="2"/>
          <w:sz w:val="21"/>
          <w:szCs w:val="24"/>
          <w:highlight w:val="none"/>
          <w:vertAlign w:val="baseline"/>
          <w:lang w:val="en-US" w:eastAsia="zh-CN" w:bidi="ar"/>
        </w:rPr>
      </w:pPr>
      <w:r>
        <w:rPr>
          <w:rFonts w:hint="eastAsia" w:ascii="宋体" w:hAnsi="宋体" w:eastAsia="宋体" w:cs="宋体"/>
          <w:kern w:val="2"/>
          <w:sz w:val="21"/>
          <w:szCs w:val="24"/>
          <w:highlight w:val="none"/>
          <w:vertAlign w:val="baseline"/>
          <w:lang w:val="en-US" w:eastAsia="zh-CN" w:bidi="ar"/>
        </w:rPr>
        <w:t>（2）评审委员会启动异常低价投标(响应)审查后，属于前述第①项至第④项情形的，应当要求相关供应商在评审现场合理的时间内对投标(响应)价格作出解释，提供项目具体成本测算等与报价合理性相关的书面说明及必要的证明材料，证明材料包括但不限于人工成本（银行工资发放流水记录）、施工器具使用费（采购原始发票或租赁费支付发票）、企业管理费测算等，给予相关供应商的合理时间一般不少于30分钟。其中，属于第③项情形，供应商已随投标(响应)文件一并提交相关书面说明及必要的证明材料的，在评审现场可不再重复提交。</w:t>
      </w:r>
    </w:p>
    <w:p w14:paraId="6D5A2ED2">
      <w:pPr>
        <w:keepNext w:val="0"/>
        <w:keepLines w:val="0"/>
        <w:pageBreakBefore w:val="0"/>
        <w:widowControl w:val="0"/>
        <w:suppressLineNumbers w:val="0"/>
        <w:kinsoku/>
        <w:wordWrap/>
        <w:topLinePunct w:val="0"/>
        <w:bidi w:val="0"/>
        <w:snapToGrid w:val="0"/>
        <w:spacing w:before="0" w:beforeAutospacing="0" w:after="0" w:afterAutospacing="0" w:line="360" w:lineRule="auto"/>
        <w:ind w:left="0" w:right="0" w:firstLine="420" w:firstLineChars="200"/>
        <w:jc w:val="both"/>
        <w:textAlignment w:val="baseline"/>
        <w:rPr>
          <w:rFonts w:hint="eastAsia" w:ascii="宋体" w:hAnsi="宋体" w:eastAsia="宋体" w:cs="宋体"/>
          <w:kern w:val="2"/>
          <w:sz w:val="21"/>
          <w:szCs w:val="24"/>
          <w:highlight w:val="none"/>
          <w:vertAlign w:val="baseline"/>
          <w:lang w:val="en-US" w:eastAsia="zh-CN" w:bidi="ar"/>
        </w:rPr>
      </w:pPr>
      <w:r>
        <w:rPr>
          <w:rFonts w:hint="eastAsia" w:ascii="宋体" w:hAnsi="宋体" w:eastAsia="宋体" w:cs="宋体"/>
          <w:kern w:val="2"/>
          <w:sz w:val="21"/>
          <w:szCs w:val="24"/>
          <w:highlight w:val="none"/>
          <w:vertAlign w:val="baseline"/>
          <w:lang w:val="en-US" w:eastAsia="zh-CN" w:bidi="ar"/>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471BAF4A">
      <w:pPr>
        <w:keepNext w:val="0"/>
        <w:keepLines w:val="0"/>
        <w:pageBreakBefore w:val="0"/>
        <w:widowControl w:val="0"/>
        <w:suppressLineNumbers w:val="0"/>
        <w:kinsoku/>
        <w:wordWrap/>
        <w:topLinePunct w:val="0"/>
        <w:bidi w:val="0"/>
        <w:snapToGrid w:val="0"/>
        <w:spacing w:before="0" w:beforeAutospacing="0" w:after="0" w:afterAutospacing="0" w:line="360" w:lineRule="auto"/>
        <w:ind w:left="0" w:right="0" w:firstLine="420" w:firstLineChars="200"/>
        <w:jc w:val="both"/>
        <w:textAlignment w:val="baseline"/>
        <w:rPr>
          <w:rFonts w:hint="eastAsia" w:ascii="宋体" w:hAnsi="宋体" w:eastAsia="宋体" w:cs="宋体"/>
          <w:kern w:val="2"/>
          <w:sz w:val="21"/>
          <w:szCs w:val="24"/>
          <w:highlight w:val="none"/>
          <w:vertAlign w:val="baseline"/>
          <w:lang w:val="en-US" w:eastAsia="zh-CN" w:bidi="ar"/>
        </w:rPr>
      </w:pPr>
      <w:r>
        <w:rPr>
          <w:rFonts w:hint="eastAsia" w:ascii="宋体" w:hAnsi="宋体" w:eastAsia="宋体" w:cs="宋体"/>
          <w:kern w:val="2"/>
          <w:sz w:val="21"/>
          <w:szCs w:val="24"/>
          <w:highlight w:val="none"/>
          <w:vertAlign w:val="baseline"/>
          <w:lang w:val="en-US" w:eastAsia="zh-CN" w:bidi="ar"/>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231AEB37">
      <w:pPr>
        <w:keepNext w:val="0"/>
        <w:keepLines w:val="0"/>
        <w:pageBreakBefore w:val="0"/>
        <w:widowControl w:val="0"/>
        <w:suppressLineNumbers w:val="0"/>
        <w:kinsoku/>
        <w:wordWrap/>
        <w:topLinePunct w:val="0"/>
        <w:bidi w:val="0"/>
        <w:snapToGrid w:val="0"/>
        <w:spacing w:before="0" w:beforeAutospacing="0" w:after="0" w:afterAutospacing="0" w:line="360" w:lineRule="auto"/>
        <w:ind w:left="0" w:right="0" w:firstLine="420" w:firstLineChars="200"/>
        <w:jc w:val="both"/>
        <w:textAlignment w:val="baseline"/>
        <w:rPr>
          <w:rFonts w:hint="eastAsia" w:ascii="宋体" w:hAnsi="宋体" w:eastAsia="宋体" w:cs="宋体"/>
          <w:kern w:val="2"/>
          <w:sz w:val="21"/>
          <w:szCs w:val="24"/>
          <w:highlight w:val="none"/>
          <w:vertAlign w:val="baseline"/>
          <w:lang w:val="en-US" w:eastAsia="zh-CN" w:bidi="ar"/>
        </w:rPr>
      </w:pPr>
      <w:r>
        <w:rPr>
          <w:rFonts w:hint="eastAsia" w:ascii="宋体" w:hAnsi="宋体" w:eastAsia="宋体" w:cs="宋体"/>
          <w:kern w:val="2"/>
          <w:sz w:val="21"/>
          <w:szCs w:val="24"/>
          <w:highlight w:val="none"/>
          <w:vertAlign w:val="baseline"/>
          <w:lang w:val="en-US" w:eastAsia="zh-CN" w:bidi="ar"/>
        </w:rPr>
        <w:t>异常低价投标(响应)审查的启动原因、审查意见和审查结果应当在评审报告中记录，并随供应商提供的相关书面说明及证明材料，以及评审委员会有关互联网浏览、查询历史一并归档。</w:t>
      </w:r>
    </w:p>
    <w:p w14:paraId="35EAEE9C">
      <w:pPr>
        <w:pageBreakBefore w:val="0"/>
        <w:spacing w:line="360" w:lineRule="auto"/>
        <w:ind w:firstLine="422"/>
        <w:rPr>
          <w:rFonts w:hint="eastAsia" w:ascii="宋体" w:hAnsi="宋体" w:eastAsia="宋体" w:cs="宋体"/>
          <w:b/>
          <w:bCs/>
          <w:szCs w:val="21"/>
          <w:highlight w:val="none"/>
          <w:lang w:val="en-US" w:eastAsia="zh-CN"/>
        </w:rPr>
      </w:pPr>
      <w:r>
        <w:rPr>
          <w:rFonts w:hint="eastAsia" w:ascii="宋体" w:hAnsi="宋体" w:eastAsia="宋体" w:cs="宋体"/>
          <w:b/>
          <w:bCs/>
          <w:szCs w:val="21"/>
          <w:highlight w:val="none"/>
          <w:lang w:val="en-US" w:eastAsia="zh-CN"/>
        </w:rPr>
        <w:t>7.本项目共分2个采购包，同一供应商最多可响应2个采购包。开标及评标均按采购包1、采购包2依次进行。供应商在2个采购包中仅限成交1个采购包；若供应商在采购包1被推荐为第一成交候选人，</w:t>
      </w:r>
      <w:r>
        <w:rPr>
          <w:rFonts w:hint="eastAsia" w:ascii="宋体" w:hAnsi="宋体" w:cs="宋体"/>
          <w:b/>
          <w:bCs/>
          <w:szCs w:val="21"/>
          <w:highlight w:val="none"/>
          <w:lang w:val="en-US" w:eastAsia="zh-CN"/>
        </w:rPr>
        <w:t>则</w:t>
      </w:r>
      <w:r>
        <w:rPr>
          <w:rFonts w:hint="eastAsia" w:ascii="宋体" w:hAnsi="宋体" w:eastAsia="宋体" w:cs="宋体"/>
          <w:b/>
          <w:bCs/>
          <w:szCs w:val="21"/>
          <w:highlight w:val="none"/>
          <w:lang w:val="en-US" w:eastAsia="zh-CN"/>
        </w:rPr>
        <w:t>不再参与采购包2的评审。</w:t>
      </w:r>
    </w:p>
    <w:p w14:paraId="24C8B7BE">
      <w:pPr>
        <w:pageBreakBefore w:val="0"/>
        <w:spacing w:line="360" w:lineRule="auto"/>
        <w:ind w:firstLine="422"/>
        <w:rPr>
          <w:rFonts w:hint="eastAsia" w:ascii="宋体" w:hAnsi="宋体" w:eastAsia="宋体" w:cs="宋体"/>
          <w:b/>
          <w:bCs/>
          <w:color w:val="E54C5E" w:themeColor="accent6"/>
          <w:szCs w:val="21"/>
          <w:highlight w:val="none"/>
          <w14:textFill>
            <w14:solidFill>
              <w14:schemeClr w14:val="accent6"/>
            </w14:solidFill>
          </w14:textFill>
        </w:rPr>
      </w:pPr>
      <w:r>
        <w:rPr>
          <w:rFonts w:hint="eastAsia" w:ascii="宋体" w:hAnsi="宋体" w:cs="宋体"/>
          <w:b/>
          <w:bCs/>
          <w:szCs w:val="21"/>
          <w:highlight w:val="none"/>
          <w:lang w:val="en-US" w:eastAsia="zh-CN"/>
        </w:rPr>
        <w:t>8.</w:t>
      </w:r>
      <w:r>
        <w:rPr>
          <w:rFonts w:hint="eastAsia" w:ascii="宋体" w:hAnsi="宋体" w:eastAsia="宋体" w:cs="宋体"/>
          <w:b/>
          <w:bCs/>
          <w:szCs w:val="21"/>
          <w:highlight w:val="none"/>
          <w:lang w:val="en-US" w:eastAsia="zh-CN"/>
        </w:rPr>
        <w:t>当第一成交候选人因项目质疑、投诉导致成交结果无效时，</w:t>
      </w:r>
      <w:r>
        <w:rPr>
          <w:rFonts w:hint="eastAsia" w:ascii="宋体" w:hAnsi="宋体" w:cs="宋体"/>
          <w:b/>
          <w:bCs/>
          <w:szCs w:val="21"/>
          <w:highlight w:val="none"/>
          <w:lang w:val="en-US" w:eastAsia="zh-CN"/>
        </w:rPr>
        <w:t>后续采购包</w:t>
      </w:r>
      <w:r>
        <w:rPr>
          <w:rFonts w:hint="eastAsia" w:ascii="宋体" w:hAnsi="宋体" w:eastAsia="宋体" w:cs="宋体"/>
          <w:b/>
          <w:bCs/>
          <w:szCs w:val="21"/>
          <w:highlight w:val="none"/>
          <w:lang w:val="en-US" w:eastAsia="zh-CN"/>
        </w:rPr>
        <w:t>不因</w:t>
      </w:r>
      <w:r>
        <w:rPr>
          <w:rFonts w:hint="eastAsia" w:ascii="宋体" w:hAnsi="宋体" w:cs="宋体"/>
          <w:b/>
          <w:bCs/>
          <w:szCs w:val="21"/>
          <w:highlight w:val="none"/>
          <w:lang w:val="en-US" w:eastAsia="zh-CN"/>
        </w:rPr>
        <w:t>该采购包</w:t>
      </w:r>
      <w:r>
        <w:rPr>
          <w:rFonts w:hint="eastAsia" w:ascii="宋体" w:hAnsi="宋体" w:eastAsia="宋体" w:cs="宋体"/>
          <w:b/>
          <w:bCs/>
          <w:szCs w:val="21"/>
          <w:highlight w:val="none"/>
          <w:lang w:val="en-US" w:eastAsia="zh-CN"/>
        </w:rPr>
        <w:t>第一成交候选人</w:t>
      </w:r>
      <w:r>
        <w:rPr>
          <w:rFonts w:hint="eastAsia" w:ascii="宋体" w:hAnsi="宋体" w:cs="宋体"/>
          <w:b/>
          <w:bCs/>
          <w:szCs w:val="21"/>
          <w:highlight w:val="none"/>
          <w:lang w:val="en-US" w:eastAsia="zh-CN"/>
        </w:rPr>
        <w:t>的</w:t>
      </w:r>
      <w:r>
        <w:rPr>
          <w:rFonts w:hint="eastAsia" w:ascii="宋体" w:hAnsi="宋体" w:eastAsia="宋体" w:cs="宋体"/>
          <w:b/>
          <w:bCs/>
          <w:szCs w:val="21"/>
          <w:highlight w:val="none"/>
          <w:lang w:val="en-US" w:eastAsia="zh-CN"/>
        </w:rPr>
        <w:t>资格</w:t>
      </w:r>
      <w:r>
        <w:rPr>
          <w:rFonts w:hint="eastAsia" w:ascii="宋体" w:hAnsi="宋体" w:cs="宋体"/>
          <w:b/>
          <w:bCs/>
          <w:szCs w:val="21"/>
          <w:highlight w:val="none"/>
          <w:lang w:val="en-US" w:eastAsia="zh-CN"/>
        </w:rPr>
        <w:t>取消</w:t>
      </w:r>
      <w:r>
        <w:rPr>
          <w:rFonts w:hint="eastAsia" w:ascii="宋体" w:hAnsi="宋体" w:eastAsia="宋体" w:cs="宋体"/>
          <w:b/>
          <w:bCs/>
          <w:szCs w:val="21"/>
          <w:highlight w:val="none"/>
          <w:lang w:val="en-US" w:eastAsia="zh-CN"/>
        </w:rPr>
        <w:t>，而影响其他</w:t>
      </w:r>
      <w:r>
        <w:rPr>
          <w:rFonts w:hint="eastAsia" w:ascii="宋体" w:hAnsi="宋体" w:cs="宋体"/>
          <w:b/>
          <w:bCs/>
          <w:szCs w:val="21"/>
          <w:highlight w:val="none"/>
          <w:lang w:val="en-US" w:eastAsia="zh-CN"/>
        </w:rPr>
        <w:t>采购包</w:t>
      </w:r>
      <w:r>
        <w:rPr>
          <w:rFonts w:hint="eastAsia" w:ascii="宋体" w:hAnsi="宋体" w:eastAsia="宋体" w:cs="宋体"/>
          <w:b/>
          <w:bCs/>
          <w:szCs w:val="21"/>
          <w:highlight w:val="none"/>
          <w:lang w:val="en-US" w:eastAsia="zh-CN"/>
        </w:rPr>
        <w:t>的成交候选人入选名单。采购人有权从合格的成交候选人中另行确定成交供应商；没有合格的成交候选人的，则重新开展政府采购活动 。</w:t>
      </w:r>
    </w:p>
    <w:p w14:paraId="7D9F90E8">
      <w:pPr>
        <w:adjustRightInd w:val="0"/>
        <w:snapToGrid w:val="0"/>
        <w:spacing w:line="360" w:lineRule="auto"/>
        <w:rPr>
          <w:rFonts w:hint="eastAsia" w:ascii="宋体" w:hAnsi="宋体" w:cs="宋体"/>
          <w:b/>
          <w:bCs/>
          <w:szCs w:val="21"/>
          <w:highlight w:val="none"/>
        </w:rPr>
      </w:pPr>
      <w:r>
        <w:rPr>
          <w:rFonts w:hint="eastAsia" w:ascii="宋体" w:hAnsi="宋体" w:cs="宋体"/>
          <w:b/>
          <w:bCs/>
          <w:szCs w:val="21"/>
          <w:highlight w:val="none"/>
        </w:rPr>
        <w:t>八、凡对本次采购提出询问，请按以下方式联系。</w:t>
      </w:r>
    </w:p>
    <w:p w14:paraId="64954B24">
      <w:pPr>
        <w:spacing w:line="360" w:lineRule="auto"/>
        <w:ind w:firstLine="482"/>
        <w:rPr>
          <w:rFonts w:hint="eastAsia" w:ascii="宋体" w:hAnsi="宋体" w:cs="宋体"/>
          <w:b/>
          <w:szCs w:val="21"/>
          <w:highlight w:val="none"/>
        </w:rPr>
      </w:pPr>
      <w:r>
        <w:rPr>
          <w:rFonts w:hint="eastAsia" w:ascii="宋体" w:hAnsi="宋体" w:cs="宋体"/>
          <w:b/>
          <w:szCs w:val="21"/>
          <w:highlight w:val="none"/>
        </w:rPr>
        <w:t>五、磋商评定结果的方法</w:t>
      </w:r>
    </w:p>
    <w:p w14:paraId="4E708F60">
      <w:pPr>
        <w:spacing w:line="360" w:lineRule="auto"/>
        <w:ind w:firstLine="480"/>
        <w:rPr>
          <w:rFonts w:hint="eastAsia" w:ascii="宋体" w:hAnsi="宋体" w:cs="宋体"/>
          <w:szCs w:val="21"/>
          <w:highlight w:val="none"/>
        </w:rPr>
      </w:pPr>
      <w:r>
        <w:rPr>
          <w:rFonts w:hint="eastAsia" w:ascii="宋体" w:hAnsi="宋体" w:cs="宋体"/>
          <w:szCs w:val="21"/>
          <w:highlight w:val="none"/>
        </w:rPr>
        <w:t>1.</w:t>
      </w:r>
      <w:r>
        <w:rPr>
          <w:rFonts w:hint="eastAsia" w:ascii="宋体" w:hAnsi="宋体" w:cs="宋体"/>
          <w:b/>
          <w:szCs w:val="21"/>
          <w:highlight w:val="none"/>
          <w:u w:val="single"/>
        </w:rPr>
        <w:t>经磋商确定最终采购需求和提交最后报价的供应商后，</w:t>
      </w:r>
      <w:r>
        <w:rPr>
          <w:rFonts w:hint="eastAsia" w:ascii="宋体" w:hAnsi="宋体" w:cs="宋体"/>
          <w:szCs w:val="21"/>
          <w:highlight w:val="none"/>
        </w:rPr>
        <w:t>由磋商小组采用综合评分法</w:t>
      </w:r>
      <w:r>
        <w:rPr>
          <w:rFonts w:hint="eastAsia" w:ascii="宋体" w:hAnsi="宋体" w:cs="宋体"/>
          <w:b/>
          <w:szCs w:val="21"/>
          <w:highlight w:val="none"/>
          <w:u w:val="single"/>
        </w:rPr>
        <w:t>对提交最后报价的供应商的响应文件和最后报价</w:t>
      </w:r>
      <w:r>
        <w:rPr>
          <w:rFonts w:hint="eastAsia" w:ascii="宋体" w:hAnsi="宋体" w:cs="宋体"/>
          <w:szCs w:val="21"/>
          <w:highlight w:val="none"/>
        </w:rPr>
        <w:t>进行综合评分。综合评分法，是指响应文件满足磋商文件全部实质性要求且按评审因素的量化指标评审得分最高的供应商为成交候选供应商的评审方法。</w:t>
      </w:r>
    </w:p>
    <w:p w14:paraId="4F3933E9">
      <w:pPr>
        <w:spacing w:line="360" w:lineRule="auto"/>
        <w:ind w:firstLine="480"/>
        <w:rPr>
          <w:rFonts w:hint="eastAsia" w:ascii="宋体" w:hAnsi="宋体" w:cs="宋体"/>
          <w:szCs w:val="21"/>
          <w:highlight w:val="none"/>
        </w:rPr>
      </w:pPr>
      <w:r>
        <w:rPr>
          <w:rFonts w:hint="eastAsia" w:ascii="宋体" w:hAnsi="宋体" w:cs="宋体"/>
          <w:szCs w:val="21"/>
          <w:highlight w:val="none"/>
        </w:rPr>
        <w:t>2.评审时，磋商小组各成员应当独立对每个有效响应的文件进行评价、打分，然后汇总每个供应商每项评分因素的得分（计算结果均四舍五入保留两位小数）。</w:t>
      </w:r>
    </w:p>
    <w:p w14:paraId="608949E9">
      <w:pPr>
        <w:spacing w:line="360" w:lineRule="auto"/>
        <w:ind w:firstLine="480"/>
        <w:rPr>
          <w:rFonts w:hint="eastAsia" w:ascii="宋体" w:hAnsi="宋体" w:cs="宋体"/>
          <w:szCs w:val="21"/>
          <w:highlight w:val="none"/>
        </w:rPr>
      </w:pPr>
      <w:r>
        <w:rPr>
          <w:rFonts w:hint="eastAsia" w:ascii="宋体" w:hAnsi="宋体" w:cs="宋体"/>
          <w:szCs w:val="21"/>
          <w:highlight w:val="none"/>
        </w:rPr>
        <w:t xml:space="preserve">3.本次项目磋商的商务技术和报价评审总分值为100分。 </w:t>
      </w:r>
    </w:p>
    <w:p w14:paraId="0DE54870">
      <w:pPr>
        <w:spacing w:line="360" w:lineRule="auto"/>
        <w:ind w:firstLine="480"/>
        <w:rPr>
          <w:rFonts w:hint="eastAsia" w:ascii="宋体" w:hAnsi="宋体" w:cs="宋体"/>
          <w:szCs w:val="21"/>
          <w:highlight w:val="none"/>
        </w:rPr>
      </w:pPr>
      <w:r>
        <w:rPr>
          <w:rFonts w:hint="eastAsia" w:ascii="宋体" w:hAnsi="宋体" w:cs="宋体"/>
          <w:szCs w:val="21"/>
          <w:highlight w:val="none"/>
        </w:rPr>
        <w:t>4.商务技术分按算术平均值计算，分值四舍五入保留两位小数。</w:t>
      </w:r>
    </w:p>
    <w:p w14:paraId="3018AD88">
      <w:pPr>
        <w:spacing w:line="360" w:lineRule="auto"/>
        <w:ind w:firstLine="480"/>
        <w:rPr>
          <w:rFonts w:hint="eastAsia" w:ascii="宋体" w:hAnsi="宋体" w:cs="宋体"/>
          <w:szCs w:val="21"/>
          <w:highlight w:val="none"/>
        </w:rPr>
      </w:pPr>
      <w:r>
        <w:rPr>
          <w:rFonts w:hint="eastAsia" w:ascii="宋体" w:hAnsi="宋体" w:cs="宋体"/>
          <w:szCs w:val="21"/>
          <w:highlight w:val="none"/>
        </w:rPr>
        <w:t>5.报价分统一采用低价优先法计算直接取得，与商务技术分相加为供应商的综合得分（四舍五入保留两位小数）。</w:t>
      </w:r>
    </w:p>
    <w:p w14:paraId="3DC600C4">
      <w:pPr>
        <w:spacing w:line="360" w:lineRule="auto"/>
        <w:ind w:firstLine="480"/>
        <w:rPr>
          <w:rFonts w:hint="eastAsia" w:ascii="宋体" w:hAnsi="宋体" w:cs="宋体"/>
          <w:szCs w:val="21"/>
          <w:highlight w:val="none"/>
        </w:rPr>
      </w:pPr>
      <w:r>
        <w:rPr>
          <w:rFonts w:hint="eastAsia" w:ascii="宋体" w:hAnsi="宋体" w:cs="宋体"/>
          <w:szCs w:val="21"/>
          <w:highlight w:val="none"/>
        </w:rPr>
        <w:t>6.综合得分最高的供应商被推荐为成交候选人并出具评审磋商报告。</w:t>
      </w:r>
    </w:p>
    <w:p w14:paraId="7018282E">
      <w:pPr>
        <w:spacing w:line="360" w:lineRule="auto"/>
        <w:ind w:firstLine="480"/>
        <w:rPr>
          <w:rFonts w:hint="eastAsia" w:ascii="宋体" w:hAnsi="宋体" w:cs="宋体"/>
          <w:szCs w:val="21"/>
          <w:highlight w:val="none"/>
        </w:rPr>
      </w:pPr>
      <w:r>
        <w:rPr>
          <w:rFonts w:hint="eastAsia" w:ascii="宋体" w:hAnsi="宋体" w:cs="宋体"/>
          <w:szCs w:val="21"/>
          <w:highlight w:val="none"/>
        </w:rPr>
        <w:t xml:space="preserve">7.确定成交候选人的特殊情况处理： </w:t>
      </w:r>
    </w:p>
    <w:p w14:paraId="69CA69C4">
      <w:pPr>
        <w:spacing w:line="360" w:lineRule="auto"/>
        <w:ind w:firstLine="480"/>
        <w:rPr>
          <w:rFonts w:hint="eastAsia" w:ascii="宋体" w:hAnsi="宋体" w:cs="宋体"/>
          <w:szCs w:val="21"/>
          <w:highlight w:val="none"/>
        </w:rPr>
      </w:pPr>
      <w:r>
        <w:rPr>
          <w:rFonts w:hint="eastAsia" w:ascii="宋体" w:hAnsi="宋体" w:cs="宋体"/>
          <w:szCs w:val="21"/>
          <w:highlight w:val="none"/>
        </w:rPr>
        <w:t>（1）若总分相同，则按最终报价响应得分高者优先中标。</w:t>
      </w:r>
    </w:p>
    <w:p w14:paraId="15486430">
      <w:pPr>
        <w:spacing w:line="360" w:lineRule="auto"/>
        <w:ind w:firstLine="480"/>
        <w:rPr>
          <w:rFonts w:hint="eastAsia" w:ascii="宋体" w:hAnsi="宋体" w:cs="宋体"/>
          <w:szCs w:val="21"/>
          <w:highlight w:val="none"/>
        </w:rPr>
      </w:pPr>
      <w:r>
        <w:rPr>
          <w:rFonts w:hint="eastAsia" w:ascii="宋体" w:hAnsi="宋体" w:cs="宋体"/>
          <w:szCs w:val="21"/>
          <w:highlight w:val="none"/>
        </w:rPr>
        <w:t>（2）若总分且最终报价响应得分相同，则采取现场抽签的方式确定（供应商的抽签顺序分别为各供应商递交响应文件签到顺序号）。</w:t>
      </w:r>
    </w:p>
    <w:p w14:paraId="15385311">
      <w:pPr>
        <w:spacing w:line="360" w:lineRule="auto"/>
        <w:ind w:firstLine="480"/>
        <w:rPr>
          <w:rFonts w:hint="eastAsia" w:ascii="宋体" w:hAnsi="宋体" w:cs="宋体"/>
          <w:szCs w:val="21"/>
          <w:highlight w:val="none"/>
        </w:rPr>
      </w:pPr>
      <w:r>
        <w:rPr>
          <w:rFonts w:hint="eastAsia" w:ascii="宋体" w:hAnsi="宋体" w:cs="宋体"/>
          <w:szCs w:val="21"/>
          <w:highlight w:val="none"/>
        </w:rPr>
        <w:t>8.磋商评审时，评委对评审的细则若有争议，由磋商小组集体讨论确定，并对未尽情况有最终解释权。</w:t>
      </w:r>
    </w:p>
    <w:tbl>
      <w:tblPr>
        <w:tblStyle w:val="19"/>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119"/>
        <w:gridCol w:w="1468"/>
        <w:gridCol w:w="858"/>
        <w:gridCol w:w="5984"/>
      </w:tblGrid>
      <w:tr w14:paraId="1DA687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75" w:hRule="atLeast"/>
          <w:jc w:val="center"/>
        </w:trPr>
        <w:tc>
          <w:tcPr>
            <w:tcW w:w="1371" w:type="pct"/>
            <w:gridSpan w:val="2"/>
            <w:tcBorders>
              <w:top w:val="single" w:color="000000" w:sz="4" w:space="0"/>
              <w:left w:val="single" w:color="000000" w:sz="4" w:space="0"/>
              <w:bottom w:val="single" w:color="000000" w:sz="4" w:space="0"/>
              <w:right w:val="single" w:color="auto" w:sz="4" w:space="0"/>
            </w:tcBorders>
            <w:vAlign w:val="center"/>
          </w:tcPr>
          <w:p w14:paraId="2CD76D8C">
            <w:pPr>
              <w:spacing w:line="320" w:lineRule="exact"/>
              <w:jc w:val="center"/>
              <w:rPr>
                <w:rFonts w:hint="eastAsia" w:ascii="宋体" w:hAnsi="宋体" w:cs="方正仿宋_GBK"/>
                <w:b/>
                <w:bCs/>
                <w:szCs w:val="21"/>
                <w:highlight w:val="none"/>
              </w:rPr>
            </w:pPr>
            <w:r>
              <w:rPr>
                <w:rFonts w:hint="eastAsia" w:ascii="宋体" w:hAnsi="宋体" w:cs="方正仿宋_GBK"/>
                <w:b/>
                <w:bCs/>
                <w:szCs w:val="21"/>
                <w:highlight w:val="none"/>
              </w:rPr>
              <w:t>评分内容</w:t>
            </w:r>
          </w:p>
        </w:tc>
        <w:tc>
          <w:tcPr>
            <w:tcW w:w="455" w:type="pct"/>
            <w:tcBorders>
              <w:top w:val="single" w:color="000000" w:sz="4" w:space="0"/>
              <w:left w:val="nil"/>
              <w:bottom w:val="single" w:color="000000" w:sz="4" w:space="0"/>
              <w:right w:val="single" w:color="auto" w:sz="4" w:space="0"/>
            </w:tcBorders>
            <w:vAlign w:val="center"/>
          </w:tcPr>
          <w:p w14:paraId="5F925A71">
            <w:pPr>
              <w:spacing w:line="320" w:lineRule="exact"/>
              <w:jc w:val="center"/>
              <w:rPr>
                <w:rFonts w:hint="eastAsia" w:ascii="宋体" w:hAnsi="宋体" w:cs="方正仿宋_GBK"/>
                <w:b/>
                <w:bCs/>
                <w:szCs w:val="21"/>
                <w:highlight w:val="none"/>
              </w:rPr>
            </w:pPr>
            <w:r>
              <w:rPr>
                <w:rFonts w:hint="eastAsia" w:ascii="宋体" w:hAnsi="宋体" w:cs="方正仿宋_GBK"/>
                <w:b/>
                <w:bCs/>
                <w:szCs w:val="21"/>
                <w:highlight w:val="none"/>
              </w:rPr>
              <w:t>分值</w:t>
            </w:r>
          </w:p>
        </w:tc>
        <w:tc>
          <w:tcPr>
            <w:tcW w:w="3172" w:type="pct"/>
            <w:tcBorders>
              <w:top w:val="single" w:color="000000" w:sz="4" w:space="0"/>
              <w:left w:val="nil"/>
              <w:bottom w:val="single" w:color="000000" w:sz="4" w:space="0"/>
              <w:right w:val="single" w:color="000000" w:sz="4" w:space="0"/>
            </w:tcBorders>
            <w:vAlign w:val="center"/>
          </w:tcPr>
          <w:p w14:paraId="0CA47EF0">
            <w:pPr>
              <w:spacing w:line="320" w:lineRule="exact"/>
              <w:jc w:val="center"/>
              <w:rPr>
                <w:rFonts w:hint="eastAsia" w:ascii="宋体" w:hAnsi="宋体" w:cs="方正仿宋_GBK"/>
                <w:b/>
                <w:bCs/>
                <w:szCs w:val="21"/>
                <w:highlight w:val="none"/>
              </w:rPr>
            </w:pPr>
            <w:r>
              <w:rPr>
                <w:rFonts w:hint="eastAsia" w:ascii="宋体" w:hAnsi="宋体" w:cs="方正仿宋_GBK"/>
                <w:b/>
                <w:bCs/>
                <w:szCs w:val="21"/>
                <w:highlight w:val="none"/>
              </w:rPr>
              <w:t>评分标准</w:t>
            </w:r>
          </w:p>
        </w:tc>
      </w:tr>
      <w:tr w14:paraId="4A8ED7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37" w:hRule="atLeast"/>
          <w:jc w:val="center"/>
        </w:trPr>
        <w:tc>
          <w:tcPr>
            <w:tcW w:w="593" w:type="pct"/>
            <w:tcBorders>
              <w:top w:val="single" w:color="000000" w:sz="4" w:space="0"/>
              <w:left w:val="single" w:color="000000" w:sz="4" w:space="0"/>
              <w:bottom w:val="single" w:color="000000" w:sz="4" w:space="0"/>
              <w:right w:val="single" w:color="auto" w:sz="4" w:space="0"/>
            </w:tcBorders>
            <w:vAlign w:val="center"/>
          </w:tcPr>
          <w:p w14:paraId="18A9B3FD">
            <w:pPr>
              <w:spacing w:line="320" w:lineRule="exact"/>
              <w:jc w:val="center"/>
              <w:rPr>
                <w:rFonts w:hint="eastAsia" w:ascii="宋体" w:hAnsi="宋体" w:cs="方正仿宋_GBK"/>
                <w:szCs w:val="21"/>
                <w:highlight w:val="none"/>
              </w:rPr>
            </w:pPr>
            <w:r>
              <w:rPr>
                <w:rFonts w:hint="eastAsia" w:ascii="宋体" w:hAnsi="宋体" w:cs="方正仿宋_GBK"/>
                <w:szCs w:val="21"/>
                <w:highlight w:val="none"/>
              </w:rPr>
              <w:t>价格部分</w:t>
            </w:r>
          </w:p>
          <w:p w14:paraId="416AAD01">
            <w:pPr>
              <w:spacing w:line="320" w:lineRule="exact"/>
              <w:jc w:val="center"/>
              <w:rPr>
                <w:rFonts w:hint="eastAsia" w:ascii="宋体" w:hAnsi="宋体" w:cs="方正仿宋_GBK"/>
                <w:szCs w:val="21"/>
                <w:highlight w:val="none"/>
              </w:rPr>
            </w:pPr>
            <w:r>
              <w:rPr>
                <w:rFonts w:hint="eastAsia" w:ascii="宋体" w:hAnsi="宋体" w:cs="方正仿宋_GBK"/>
                <w:szCs w:val="21"/>
                <w:highlight w:val="none"/>
              </w:rPr>
              <w:t>（20分）</w:t>
            </w:r>
          </w:p>
        </w:tc>
        <w:tc>
          <w:tcPr>
            <w:tcW w:w="778" w:type="pct"/>
            <w:tcBorders>
              <w:top w:val="single" w:color="000000" w:sz="4" w:space="0"/>
              <w:left w:val="nil"/>
              <w:bottom w:val="single" w:color="000000" w:sz="4" w:space="0"/>
              <w:right w:val="single" w:color="auto" w:sz="4" w:space="0"/>
            </w:tcBorders>
            <w:vAlign w:val="center"/>
          </w:tcPr>
          <w:p w14:paraId="347BCCC4">
            <w:pPr>
              <w:spacing w:line="320" w:lineRule="exact"/>
              <w:jc w:val="center"/>
              <w:rPr>
                <w:rFonts w:hint="eastAsia" w:ascii="宋体" w:hAnsi="宋体" w:cs="方正仿宋_GBK"/>
                <w:szCs w:val="21"/>
                <w:highlight w:val="none"/>
              </w:rPr>
            </w:pPr>
            <w:r>
              <w:rPr>
                <w:rFonts w:hint="eastAsia" w:ascii="宋体" w:hAnsi="宋体" w:cs="方正仿宋_GBK"/>
                <w:szCs w:val="21"/>
                <w:highlight w:val="none"/>
                <w:lang w:val="en-US" w:eastAsia="zh-CN"/>
              </w:rPr>
              <w:t>响应</w:t>
            </w:r>
            <w:r>
              <w:rPr>
                <w:rFonts w:hint="eastAsia" w:ascii="宋体" w:hAnsi="宋体" w:cs="方正仿宋_GBK"/>
                <w:szCs w:val="21"/>
                <w:highlight w:val="none"/>
              </w:rPr>
              <w:t>报价</w:t>
            </w:r>
          </w:p>
        </w:tc>
        <w:tc>
          <w:tcPr>
            <w:tcW w:w="455" w:type="pct"/>
            <w:tcBorders>
              <w:top w:val="single" w:color="000000" w:sz="4" w:space="0"/>
              <w:left w:val="nil"/>
              <w:bottom w:val="single" w:color="000000" w:sz="4" w:space="0"/>
              <w:right w:val="single" w:color="auto" w:sz="4" w:space="0"/>
            </w:tcBorders>
            <w:vAlign w:val="center"/>
          </w:tcPr>
          <w:p w14:paraId="0C6B4709">
            <w:pPr>
              <w:spacing w:line="320" w:lineRule="exact"/>
              <w:jc w:val="center"/>
              <w:rPr>
                <w:rFonts w:hint="eastAsia" w:ascii="宋体" w:hAnsi="宋体" w:cs="方正仿宋_GBK"/>
                <w:szCs w:val="21"/>
                <w:highlight w:val="none"/>
              </w:rPr>
            </w:pPr>
            <w:r>
              <w:rPr>
                <w:rFonts w:hint="eastAsia" w:ascii="宋体" w:hAnsi="宋体" w:cs="方正仿宋_GBK"/>
                <w:szCs w:val="21"/>
                <w:highlight w:val="none"/>
              </w:rPr>
              <w:t>20分</w:t>
            </w:r>
          </w:p>
        </w:tc>
        <w:tc>
          <w:tcPr>
            <w:tcW w:w="3172" w:type="pct"/>
            <w:tcBorders>
              <w:top w:val="single" w:color="auto" w:sz="4" w:space="0"/>
              <w:left w:val="nil"/>
              <w:bottom w:val="single" w:color="auto" w:sz="4" w:space="0"/>
              <w:right w:val="single" w:color="000000" w:sz="4" w:space="0"/>
            </w:tcBorders>
            <w:vAlign w:val="center"/>
          </w:tcPr>
          <w:p w14:paraId="0A90D0DB">
            <w:pPr>
              <w:spacing w:line="360" w:lineRule="auto"/>
              <w:ind w:firstLine="420" w:firstLineChars="200"/>
              <w:rPr>
                <w:rFonts w:hint="eastAsia" w:ascii="宋体" w:hAnsi="宋体" w:cs="方正仿宋_GBK"/>
                <w:szCs w:val="21"/>
                <w:highlight w:val="none"/>
              </w:rPr>
            </w:pPr>
            <w:r>
              <w:rPr>
                <w:rFonts w:hint="eastAsia" w:ascii="宋体" w:hAnsi="宋体" w:cs="方正仿宋_GBK"/>
                <w:szCs w:val="21"/>
                <w:highlight w:val="none"/>
              </w:rPr>
              <w:t>报价得分最高为20分。价格分统一采用低价优先法计算，即满足磋商文件要求且最后评审价格最低（未超采购预算）的供应商的价格为磋商基准价，其价格分为满分。</w:t>
            </w:r>
          </w:p>
          <w:p w14:paraId="70A917F4">
            <w:pPr>
              <w:spacing w:line="360" w:lineRule="auto"/>
              <w:ind w:firstLine="420" w:firstLineChars="200"/>
              <w:rPr>
                <w:rFonts w:hint="eastAsia" w:ascii="宋体" w:hAnsi="宋体" w:cs="方正仿宋_GBK"/>
                <w:szCs w:val="21"/>
                <w:highlight w:val="none"/>
              </w:rPr>
            </w:pPr>
            <w:r>
              <w:rPr>
                <w:rFonts w:hint="eastAsia" w:ascii="宋体" w:hAnsi="宋体" w:cs="方正仿宋_GBK"/>
                <w:szCs w:val="21"/>
                <w:highlight w:val="none"/>
              </w:rPr>
              <w:t>价格得分计算方法(价格得分最高20分)：根据各中标人通过符合性审查的有效投标报价中的最低价作为评标基准价。</w:t>
            </w:r>
          </w:p>
          <w:p w14:paraId="2208E6E6">
            <w:pPr>
              <w:spacing w:line="360" w:lineRule="auto"/>
              <w:ind w:firstLine="420" w:firstLineChars="200"/>
              <w:rPr>
                <w:rFonts w:hint="eastAsia" w:ascii="宋体" w:hAnsi="宋体" w:eastAsia="宋体" w:cs="方正仿宋_GBK"/>
                <w:szCs w:val="21"/>
                <w:highlight w:val="none"/>
                <w:lang w:eastAsia="zh-CN"/>
              </w:rPr>
            </w:pPr>
            <w:r>
              <w:rPr>
                <w:rFonts w:hint="eastAsia" w:ascii="宋体" w:hAnsi="宋体" w:cs="方正仿宋_GBK"/>
                <w:szCs w:val="21"/>
                <w:highlight w:val="none"/>
              </w:rPr>
              <w:t>价格得分=（评标基准价／投标报价）×价格权值(20%)×100（计算到小数点后二位）</w:t>
            </w:r>
            <w:r>
              <w:rPr>
                <w:rFonts w:hint="eastAsia" w:ascii="宋体" w:hAnsi="宋体" w:cs="方正仿宋_GBK"/>
                <w:szCs w:val="21"/>
                <w:highlight w:val="none"/>
                <w:lang w:eastAsia="zh-CN"/>
              </w:rPr>
              <w:t>。</w:t>
            </w:r>
          </w:p>
        </w:tc>
      </w:tr>
      <w:tr w14:paraId="74230F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37" w:hRule="atLeast"/>
          <w:jc w:val="center"/>
        </w:trPr>
        <w:tc>
          <w:tcPr>
            <w:tcW w:w="593" w:type="pct"/>
            <w:vMerge w:val="restart"/>
            <w:tcBorders>
              <w:top w:val="single" w:color="auto" w:sz="4" w:space="0"/>
              <w:left w:val="single" w:color="auto" w:sz="4" w:space="0"/>
              <w:bottom w:val="single" w:color="auto" w:sz="4" w:space="0"/>
              <w:right w:val="single" w:color="auto" w:sz="4" w:space="0"/>
            </w:tcBorders>
            <w:vAlign w:val="center"/>
          </w:tcPr>
          <w:p w14:paraId="64F7C48D">
            <w:pPr>
              <w:spacing w:line="320" w:lineRule="exact"/>
              <w:jc w:val="center"/>
              <w:rPr>
                <w:rFonts w:hint="eastAsia" w:ascii="宋体" w:hAnsi="宋体" w:cs="方正仿宋_GBK"/>
                <w:szCs w:val="21"/>
                <w:highlight w:val="none"/>
              </w:rPr>
            </w:pPr>
            <w:r>
              <w:rPr>
                <w:rFonts w:hint="eastAsia" w:ascii="宋体" w:hAnsi="宋体" w:cs="方正仿宋_GBK"/>
                <w:szCs w:val="21"/>
                <w:highlight w:val="none"/>
              </w:rPr>
              <w:t>商务部分</w:t>
            </w:r>
          </w:p>
          <w:p w14:paraId="103C5355">
            <w:pPr>
              <w:spacing w:line="320" w:lineRule="exact"/>
              <w:rPr>
                <w:rFonts w:hint="eastAsia" w:ascii="宋体" w:hAnsi="宋体" w:cs="方正仿宋_GBK"/>
                <w:color w:val="FF0000"/>
                <w:szCs w:val="21"/>
                <w:highlight w:val="none"/>
              </w:rPr>
            </w:pPr>
            <w:r>
              <w:rPr>
                <w:rFonts w:hint="eastAsia" w:ascii="宋体" w:hAnsi="宋体" w:cs="方正仿宋_GBK"/>
                <w:szCs w:val="21"/>
                <w:highlight w:val="none"/>
              </w:rPr>
              <w:t>（40分）</w:t>
            </w:r>
          </w:p>
        </w:tc>
        <w:tc>
          <w:tcPr>
            <w:tcW w:w="778" w:type="pct"/>
            <w:tcBorders>
              <w:top w:val="single" w:color="auto" w:sz="4" w:space="0"/>
              <w:left w:val="nil"/>
              <w:bottom w:val="single" w:color="auto" w:sz="4" w:space="0"/>
              <w:right w:val="single" w:color="auto" w:sz="4" w:space="0"/>
            </w:tcBorders>
            <w:vAlign w:val="center"/>
          </w:tcPr>
          <w:p w14:paraId="75558BE3">
            <w:pPr>
              <w:spacing w:line="320" w:lineRule="exact"/>
              <w:jc w:val="center"/>
              <w:rPr>
                <w:rFonts w:hint="eastAsia" w:ascii="宋体" w:hAnsi="宋体" w:cs="方正仿宋_GBK"/>
                <w:szCs w:val="21"/>
                <w:highlight w:val="none"/>
              </w:rPr>
            </w:pPr>
            <w:r>
              <w:rPr>
                <w:rFonts w:hint="eastAsia" w:ascii="宋体" w:hAnsi="宋体" w:cs="方正仿宋_GBK"/>
                <w:szCs w:val="21"/>
                <w:highlight w:val="none"/>
              </w:rPr>
              <w:t>业绩</w:t>
            </w:r>
          </w:p>
        </w:tc>
        <w:tc>
          <w:tcPr>
            <w:tcW w:w="455" w:type="pct"/>
            <w:tcBorders>
              <w:top w:val="single" w:color="auto" w:sz="4" w:space="0"/>
              <w:left w:val="nil"/>
              <w:bottom w:val="single" w:color="auto" w:sz="4" w:space="0"/>
              <w:right w:val="single" w:color="auto" w:sz="4" w:space="0"/>
            </w:tcBorders>
            <w:vAlign w:val="center"/>
          </w:tcPr>
          <w:p w14:paraId="6DE48384">
            <w:pPr>
              <w:spacing w:line="320" w:lineRule="exact"/>
              <w:jc w:val="center"/>
              <w:rPr>
                <w:rFonts w:hint="eastAsia" w:ascii="宋体" w:hAnsi="宋体" w:cs="方正仿宋_GBK"/>
                <w:szCs w:val="21"/>
                <w:highlight w:val="none"/>
              </w:rPr>
            </w:pPr>
            <w:r>
              <w:rPr>
                <w:rFonts w:hint="eastAsia" w:ascii="宋体" w:hAnsi="宋体" w:cs="方正仿宋_GBK"/>
                <w:szCs w:val="21"/>
                <w:highlight w:val="none"/>
              </w:rPr>
              <w:t>15分</w:t>
            </w:r>
          </w:p>
        </w:tc>
        <w:tc>
          <w:tcPr>
            <w:tcW w:w="3172" w:type="pct"/>
            <w:tcBorders>
              <w:top w:val="single" w:color="auto" w:sz="4" w:space="0"/>
              <w:left w:val="nil"/>
              <w:bottom w:val="single" w:color="auto" w:sz="4" w:space="0"/>
              <w:right w:val="single" w:color="auto" w:sz="4" w:space="0"/>
            </w:tcBorders>
            <w:vAlign w:val="center"/>
          </w:tcPr>
          <w:p w14:paraId="5847DC4C">
            <w:pPr>
              <w:spacing w:line="360" w:lineRule="auto"/>
              <w:ind w:firstLine="420" w:firstLineChars="200"/>
              <w:rPr>
                <w:rFonts w:hint="eastAsia" w:ascii="宋体" w:cs="宋体"/>
                <w:szCs w:val="21"/>
                <w:highlight w:val="none"/>
                <w:lang w:val="en-US" w:eastAsia="zh-CN"/>
              </w:rPr>
            </w:pPr>
            <w:r>
              <w:rPr>
                <w:rFonts w:hint="eastAsia" w:ascii="宋体" w:cs="宋体"/>
                <w:szCs w:val="21"/>
                <w:highlight w:val="none"/>
                <w:lang w:val="en-US" w:eastAsia="zh-CN"/>
              </w:rPr>
              <w:t>采购包一</w:t>
            </w:r>
          </w:p>
          <w:p w14:paraId="7E2DE88D">
            <w:pPr>
              <w:spacing w:line="360" w:lineRule="auto"/>
              <w:ind w:firstLine="420" w:firstLineChars="200"/>
              <w:rPr>
                <w:rFonts w:hint="eastAsia" w:ascii="宋体" w:hAnsi="宋体" w:cs="方正仿宋_GBK"/>
                <w:szCs w:val="21"/>
                <w:highlight w:val="none"/>
              </w:rPr>
            </w:pPr>
            <w:r>
              <w:rPr>
                <w:rFonts w:hint="eastAsia" w:ascii="宋体" w:hAnsi="宋体" w:cs="方正仿宋_GBK"/>
                <w:szCs w:val="21"/>
                <w:highlight w:val="none"/>
                <w:lang w:val="en-US" w:eastAsia="zh-CN"/>
              </w:rPr>
              <w:t>供</w:t>
            </w:r>
            <w:r>
              <w:rPr>
                <w:rFonts w:hint="eastAsia" w:ascii="宋体" w:hAnsi="宋体" w:cs="方正仿宋_GBK"/>
                <w:szCs w:val="21"/>
                <w:highlight w:val="none"/>
              </w:rPr>
              <w:t>应商</w:t>
            </w:r>
            <w:r>
              <w:rPr>
                <w:rFonts w:hint="eastAsia" w:ascii="宋体" w:hAnsi="宋体" w:cs="方正仿宋_GBK"/>
                <w:szCs w:val="21"/>
                <w:highlight w:val="none"/>
                <w:lang w:val="en-US" w:eastAsia="zh-CN"/>
              </w:rPr>
              <w:t>自</w:t>
            </w:r>
            <w:r>
              <w:rPr>
                <w:rFonts w:hint="eastAsia" w:ascii="宋体" w:hAnsi="宋体" w:cs="方正仿宋_GBK"/>
                <w:b/>
                <w:bCs/>
                <w:szCs w:val="21"/>
                <w:highlight w:val="none"/>
              </w:rPr>
              <w:t>202</w:t>
            </w:r>
            <w:r>
              <w:rPr>
                <w:rFonts w:hint="eastAsia" w:ascii="宋体" w:hAnsi="宋体" w:cs="方正仿宋_GBK"/>
                <w:b/>
                <w:bCs/>
                <w:szCs w:val="21"/>
                <w:highlight w:val="none"/>
                <w:lang w:val="en-US" w:eastAsia="zh-CN"/>
              </w:rPr>
              <w:t>1</w:t>
            </w:r>
            <w:r>
              <w:rPr>
                <w:rFonts w:hint="eastAsia" w:ascii="宋体" w:hAnsi="宋体" w:cs="方正仿宋_GBK"/>
                <w:b/>
                <w:bCs/>
                <w:szCs w:val="21"/>
                <w:highlight w:val="none"/>
              </w:rPr>
              <w:t>年1月1日至今</w:t>
            </w:r>
            <w:r>
              <w:rPr>
                <w:rFonts w:hint="eastAsia" w:ascii="宋体" w:hAnsi="宋体" w:cs="方正仿宋_GBK"/>
                <w:szCs w:val="21"/>
                <w:highlight w:val="none"/>
              </w:rPr>
              <w:t>（以合同签订时间为准）</w:t>
            </w:r>
            <w:r>
              <w:rPr>
                <w:rFonts w:hint="eastAsia" w:ascii="宋体" w:hAnsi="宋体" w:cs="方正仿宋_GBK"/>
                <w:szCs w:val="21"/>
                <w:highlight w:val="none"/>
                <w:lang w:eastAsia="zh-CN"/>
              </w:rPr>
              <w:t>，</w:t>
            </w:r>
            <w:r>
              <w:rPr>
                <w:rFonts w:hint="eastAsia" w:ascii="宋体" w:hAnsi="宋体" w:cs="方正仿宋_GBK"/>
                <w:szCs w:val="21"/>
                <w:highlight w:val="none"/>
              </w:rPr>
              <w:t>独立承担过一级及以上公路或城市快速路桥梁定期检查项目业绩</w:t>
            </w:r>
            <w:r>
              <w:rPr>
                <w:rFonts w:hint="eastAsia" w:ascii="宋体" w:hAnsi="宋体" w:cs="方正仿宋_GBK"/>
                <w:szCs w:val="21"/>
                <w:highlight w:val="none"/>
                <w:lang w:val="en-US" w:eastAsia="zh-CN"/>
              </w:rPr>
              <w:t>有</w:t>
            </w:r>
            <w:r>
              <w:rPr>
                <w:rFonts w:hint="eastAsia" w:ascii="宋体" w:hAnsi="宋体" w:cs="方正仿宋_GBK"/>
                <w:szCs w:val="21"/>
                <w:highlight w:val="none"/>
              </w:rPr>
              <w:t>一个得</w:t>
            </w:r>
            <w:r>
              <w:rPr>
                <w:rFonts w:hint="eastAsia" w:ascii="宋体" w:hAnsi="宋体" w:cs="方正仿宋_GBK"/>
                <w:szCs w:val="21"/>
                <w:highlight w:val="none"/>
                <w:lang w:val="en-US" w:eastAsia="zh-CN"/>
              </w:rPr>
              <w:t>5</w:t>
            </w:r>
            <w:r>
              <w:rPr>
                <w:rFonts w:hint="eastAsia" w:ascii="宋体" w:hAnsi="宋体" w:cs="方正仿宋_GBK"/>
                <w:szCs w:val="21"/>
                <w:highlight w:val="none"/>
              </w:rPr>
              <w:t>分，本项最高得</w:t>
            </w:r>
            <w:r>
              <w:rPr>
                <w:rFonts w:hint="eastAsia" w:ascii="宋体" w:hAnsi="宋体" w:cs="方正仿宋_GBK"/>
                <w:szCs w:val="21"/>
                <w:highlight w:val="none"/>
                <w:lang w:val="en-US" w:eastAsia="zh-CN"/>
              </w:rPr>
              <w:t>15</w:t>
            </w:r>
            <w:r>
              <w:rPr>
                <w:rFonts w:hint="eastAsia" w:ascii="宋体" w:hAnsi="宋体" w:cs="方正仿宋_GBK"/>
                <w:szCs w:val="21"/>
                <w:highlight w:val="none"/>
              </w:rPr>
              <w:t>分。</w:t>
            </w:r>
          </w:p>
          <w:p w14:paraId="2112BEBC">
            <w:pPr>
              <w:spacing w:line="360" w:lineRule="auto"/>
              <w:ind w:firstLine="420" w:firstLineChars="200"/>
              <w:rPr>
                <w:rFonts w:hint="eastAsia" w:ascii="宋体" w:cs="宋体"/>
                <w:szCs w:val="21"/>
                <w:highlight w:val="none"/>
                <w:lang w:val="en-US" w:eastAsia="zh-CN"/>
              </w:rPr>
            </w:pPr>
            <w:r>
              <w:rPr>
                <w:rFonts w:hint="eastAsia" w:ascii="宋体" w:cs="宋体"/>
                <w:szCs w:val="21"/>
                <w:highlight w:val="none"/>
                <w:lang w:val="en-US" w:eastAsia="zh-CN"/>
              </w:rPr>
              <w:t>采购包二</w:t>
            </w:r>
          </w:p>
          <w:p w14:paraId="72964920">
            <w:pPr>
              <w:spacing w:line="360" w:lineRule="auto"/>
              <w:ind w:firstLine="420" w:firstLineChars="200"/>
              <w:rPr>
                <w:rFonts w:ascii="宋体" w:cs="宋体"/>
                <w:szCs w:val="21"/>
                <w:highlight w:val="none"/>
              </w:rPr>
            </w:pPr>
            <w:r>
              <w:rPr>
                <w:rFonts w:hint="eastAsia" w:ascii="宋体" w:cs="宋体"/>
                <w:szCs w:val="21"/>
                <w:highlight w:val="none"/>
              </w:rPr>
              <w:t>供应商</w:t>
            </w:r>
            <w:r>
              <w:rPr>
                <w:rFonts w:hint="eastAsia" w:ascii="宋体" w:cs="宋体"/>
                <w:szCs w:val="21"/>
                <w:highlight w:val="none"/>
                <w:lang w:val="en-US" w:eastAsia="zh-CN"/>
              </w:rPr>
              <w:t>自</w:t>
            </w:r>
            <w:r>
              <w:rPr>
                <w:rFonts w:ascii="宋体" w:cs="宋体"/>
                <w:b/>
                <w:bCs/>
                <w:szCs w:val="21"/>
                <w:highlight w:val="none"/>
              </w:rPr>
              <w:t>20</w:t>
            </w:r>
            <w:r>
              <w:rPr>
                <w:rFonts w:hint="eastAsia" w:ascii="宋体" w:cs="宋体"/>
                <w:b/>
                <w:bCs/>
                <w:szCs w:val="21"/>
                <w:highlight w:val="none"/>
              </w:rPr>
              <w:t>2</w:t>
            </w:r>
            <w:r>
              <w:rPr>
                <w:rFonts w:hint="eastAsia" w:ascii="宋体" w:cs="宋体"/>
                <w:b/>
                <w:bCs/>
                <w:szCs w:val="21"/>
                <w:highlight w:val="none"/>
                <w:lang w:val="en-US" w:eastAsia="zh-CN"/>
              </w:rPr>
              <w:t>1</w:t>
            </w:r>
            <w:r>
              <w:rPr>
                <w:rFonts w:hint="eastAsia" w:ascii="宋体" w:cs="宋体"/>
                <w:b/>
                <w:bCs/>
                <w:szCs w:val="21"/>
                <w:highlight w:val="none"/>
              </w:rPr>
              <w:t>年1月</w:t>
            </w:r>
            <w:r>
              <w:rPr>
                <w:rFonts w:ascii="宋体" w:cs="宋体"/>
                <w:b/>
                <w:bCs/>
                <w:szCs w:val="21"/>
                <w:highlight w:val="none"/>
              </w:rPr>
              <w:t>1</w:t>
            </w:r>
            <w:r>
              <w:rPr>
                <w:rFonts w:hint="eastAsia" w:ascii="宋体" w:cs="宋体"/>
                <w:b/>
                <w:bCs/>
                <w:szCs w:val="21"/>
                <w:highlight w:val="none"/>
              </w:rPr>
              <w:t>日至今</w:t>
            </w:r>
            <w:r>
              <w:rPr>
                <w:rFonts w:hint="eastAsia" w:ascii="宋体" w:cs="宋体"/>
                <w:szCs w:val="21"/>
                <w:highlight w:val="none"/>
              </w:rPr>
              <w:t>独立承</w:t>
            </w:r>
            <w:r>
              <w:rPr>
                <w:rFonts w:hint="eastAsia" w:ascii="宋体" w:hAnsi="宋体" w:cs="宋体"/>
                <w:szCs w:val="21"/>
                <w:highlight w:val="none"/>
              </w:rPr>
              <w:t>担长</w:t>
            </w:r>
            <w:r>
              <w:rPr>
                <w:rFonts w:hint="eastAsia" w:ascii="宋体" w:hAnsi="宋体" w:cs="宋体"/>
                <w:highlight w:val="none"/>
              </w:rPr>
              <w:t>隧道（长隧道认定标准参照《公路工程技术标准》JTG B01-2014）定</w:t>
            </w:r>
            <w:r>
              <w:rPr>
                <w:highlight w:val="none"/>
              </w:rPr>
              <w:t>期检查项</w:t>
            </w:r>
            <w:r>
              <w:rPr>
                <w:rFonts w:hint="eastAsia" w:ascii="宋体" w:cs="宋体"/>
                <w:szCs w:val="21"/>
                <w:highlight w:val="none"/>
              </w:rPr>
              <w:t>目，每有一个得</w:t>
            </w:r>
            <w:r>
              <w:rPr>
                <w:rFonts w:hint="eastAsia" w:ascii="宋体" w:cs="宋体"/>
                <w:szCs w:val="21"/>
                <w:highlight w:val="none"/>
                <w:lang w:val="en-US" w:eastAsia="zh-CN"/>
              </w:rPr>
              <w:t>5</w:t>
            </w:r>
            <w:r>
              <w:rPr>
                <w:rFonts w:hint="eastAsia" w:ascii="宋体" w:cs="宋体"/>
                <w:szCs w:val="21"/>
                <w:highlight w:val="none"/>
              </w:rPr>
              <w:t>分，本项最高得15分。</w:t>
            </w:r>
          </w:p>
          <w:p w14:paraId="0A80394E">
            <w:pPr>
              <w:spacing w:line="360" w:lineRule="auto"/>
              <w:ind w:firstLine="420" w:firstLineChars="200"/>
              <w:rPr>
                <w:color w:val="FF0000"/>
                <w:highlight w:val="none"/>
              </w:rPr>
            </w:pPr>
            <w:r>
              <w:rPr>
                <w:rFonts w:hint="eastAsia" w:ascii="宋体" w:cs="宋体"/>
                <w:szCs w:val="21"/>
                <w:highlight w:val="none"/>
              </w:rPr>
              <w:t>注：业绩证明材料至少提供合同，业绩有效时间以合同时间为准。</w:t>
            </w:r>
            <w:r>
              <w:rPr>
                <w:rFonts w:hint="eastAsia" w:ascii="宋体" w:cs="宋体"/>
                <w:szCs w:val="21"/>
                <w:highlight w:val="none"/>
                <w:lang w:val="en-US" w:eastAsia="zh-CN"/>
              </w:rPr>
              <w:t>响应</w:t>
            </w:r>
            <w:r>
              <w:rPr>
                <w:rFonts w:hint="eastAsia" w:ascii="宋体" w:cs="宋体"/>
                <w:szCs w:val="21"/>
                <w:highlight w:val="none"/>
              </w:rPr>
              <w:t>文件中</w:t>
            </w:r>
            <w:r>
              <w:rPr>
                <w:rFonts w:hint="eastAsia" w:hAnsi="Times New Roman" w:cs="宋体"/>
                <w:szCs w:val="21"/>
                <w:highlight w:val="none"/>
              </w:rPr>
              <w:t>提供</w:t>
            </w:r>
            <w:r>
              <w:rPr>
                <w:rFonts w:hint="eastAsia" w:hAnsi="Times New Roman" w:cs="宋体"/>
                <w:szCs w:val="21"/>
                <w:highlight w:val="none"/>
                <w:lang w:val="en-US" w:eastAsia="zh-CN"/>
              </w:rPr>
              <w:t>证明材料扫描</w:t>
            </w:r>
            <w:r>
              <w:rPr>
                <w:rFonts w:hint="eastAsia" w:hAnsi="Times New Roman" w:cs="宋体"/>
                <w:szCs w:val="21"/>
                <w:highlight w:val="none"/>
              </w:rPr>
              <w:t>件</w:t>
            </w:r>
            <w:r>
              <w:rPr>
                <w:rFonts w:hint="eastAsia" w:hAnsi="Times New Roman" w:cs="宋体"/>
                <w:szCs w:val="21"/>
                <w:highlight w:val="none"/>
                <w:lang w:val="en-US" w:eastAsia="zh-CN"/>
              </w:rPr>
              <w:t>加盖电子公章</w:t>
            </w:r>
            <w:r>
              <w:rPr>
                <w:rFonts w:hint="eastAsia" w:hAnsi="Times New Roman" w:cs="宋体"/>
                <w:szCs w:val="21"/>
                <w:highlight w:val="none"/>
              </w:rPr>
              <w:t>。</w:t>
            </w:r>
          </w:p>
        </w:tc>
      </w:tr>
      <w:tr w14:paraId="54034F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37" w:hRule="atLeast"/>
          <w:jc w:val="center"/>
        </w:trPr>
        <w:tc>
          <w:tcPr>
            <w:tcW w:w="593" w:type="pct"/>
            <w:vMerge w:val="continue"/>
            <w:tcBorders>
              <w:top w:val="single" w:color="auto" w:sz="4" w:space="0"/>
              <w:left w:val="single" w:color="auto" w:sz="4" w:space="0"/>
              <w:bottom w:val="single" w:color="auto" w:sz="4" w:space="0"/>
              <w:right w:val="single" w:color="auto" w:sz="4" w:space="0"/>
            </w:tcBorders>
            <w:vAlign w:val="center"/>
          </w:tcPr>
          <w:p w14:paraId="00118589">
            <w:pPr>
              <w:spacing w:line="320" w:lineRule="exact"/>
              <w:jc w:val="center"/>
              <w:rPr>
                <w:rFonts w:hint="eastAsia" w:ascii="宋体" w:hAnsi="宋体" w:cs="方正仿宋_GBK"/>
                <w:szCs w:val="21"/>
                <w:highlight w:val="none"/>
              </w:rPr>
            </w:pPr>
          </w:p>
        </w:tc>
        <w:tc>
          <w:tcPr>
            <w:tcW w:w="778" w:type="pct"/>
            <w:tcBorders>
              <w:top w:val="single" w:color="auto" w:sz="4" w:space="0"/>
              <w:left w:val="nil"/>
              <w:bottom w:val="single" w:color="auto" w:sz="4" w:space="0"/>
              <w:right w:val="single" w:color="auto" w:sz="4" w:space="0"/>
            </w:tcBorders>
            <w:vAlign w:val="center"/>
          </w:tcPr>
          <w:p w14:paraId="3B3C79F7">
            <w:pPr>
              <w:spacing w:line="320" w:lineRule="exact"/>
              <w:jc w:val="center"/>
              <w:rPr>
                <w:rFonts w:hint="eastAsia" w:ascii="宋体" w:hAnsi="宋体" w:cs="方正仿宋_GBK"/>
                <w:szCs w:val="21"/>
                <w:highlight w:val="none"/>
              </w:rPr>
            </w:pPr>
            <w:r>
              <w:rPr>
                <w:rFonts w:hint="eastAsia" w:ascii="宋体" w:hAnsi="宋体" w:cs="方正仿宋_GBK"/>
                <w:szCs w:val="21"/>
                <w:highlight w:val="none"/>
              </w:rPr>
              <w:t>综合能力</w:t>
            </w:r>
          </w:p>
        </w:tc>
        <w:tc>
          <w:tcPr>
            <w:tcW w:w="455" w:type="pct"/>
            <w:tcBorders>
              <w:top w:val="single" w:color="auto" w:sz="4" w:space="0"/>
              <w:left w:val="nil"/>
              <w:bottom w:val="single" w:color="auto" w:sz="4" w:space="0"/>
              <w:right w:val="single" w:color="auto" w:sz="4" w:space="0"/>
            </w:tcBorders>
            <w:vAlign w:val="center"/>
          </w:tcPr>
          <w:p w14:paraId="1A1FBE1E">
            <w:pPr>
              <w:spacing w:line="320" w:lineRule="exact"/>
              <w:jc w:val="center"/>
              <w:rPr>
                <w:rFonts w:hint="eastAsia" w:ascii="宋体" w:hAnsi="宋体" w:cs="方正仿宋_GBK"/>
                <w:szCs w:val="21"/>
                <w:highlight w:val="none"/>
              </w:rPr>
            </w:pPr>
            <w:r>
              <w:rPr>
                <w:rFonts w:hint="eastAsia" w:ascii="宋体" w:hAnsi="宋体" w:cs="方正仿宋_GBK"/>
                <w:szCs w:val="21"/>
                <w:highlight w:val="none"/>
              </w:rPr>
              <w:t>5分</w:t>
            </w:r>
          </w:p>
        </w:tc>
        <w:tc>
          <w:tcPr>
            <w:tcW w:w="3172" w:type="pct"/>
            <w:tcBorders>
              <w:top w:val="single" w:color="auto" w:sz="4" w:space="0"/>
              <w:left w:val="nil"/>
              <w:bottom w:val="single" w:color="auto" w:sz="4" w:space="0"/>
              <w:right w:val="single" w:color="auto" w:sz="4" w:space="0"/>
            </w:tcBorders>
            <w:shd w:val="clear" w:color="auto" w:fill="auto"/>
            <w:vAlign w:val="center"/>
          </w:tcPr>
          <w:p w14:paraId="4ECD4DA7">
            <w:pPr>
              <w:spacing w:line="360" w:lineRule="auto"/>
              <w:ind w:firstLine="420" w:firstLineChars="200"/>
              <w:rPr>
                <w:rFonts w:ascii="宋体" w:cs="宋体"/>
                <w:szCs w:val="21"/>
                <w:highlight w:val="none"/>
              </w:rPr>
            </w:pPr>
            <w:r>
              <w:rPr>
                <w:rFonts w:hint="eastAsia" w:ascii="宋体" w:cs="宋体"/>
                <w:szCs w:val="21"/>
                <w:highlight w:val="none"/>
              </w:rPr>
              <w:t>供应商具备质量体系认证证书，且证书在有效期内，得2分。</w:t>
            </w:r>
          </w:p>
          <w:p w14:paraId="7D522932">
            <w:pPr>
              <w:spacing w:line="360" w:lineRule="auto"/>
              <w:ind w:firstLine="420" w:firstLineChars="200"/>
              <w:rPr>
                <w:rFonts w:ascii="宋体" w:hAnsi="Courier New"/>
                <w:color w:val="FF0000"/>
                <w:szCs w:val="20"/>
                <w:highlight w:val="none"/>
              </w:rPr>
            </w:pPr>
            <w:r>
              <w:rPr>
                <w:rFonts w:hint="eastAsia" w:ascii="宋体" w:cs="宋体"/>
                <w:szCs w:val="21"/>
                <w:highlight w:val="none"/>
              </w:rPr>
              <w:t>注：</w:t>
            </w:r>
            <w:r>
              <w:rPr>
                <w:rFonts w:hint="eastAsia" w:ascii="宋体" w:cs="宋体"/>
                <w:szCs w:val="21"/>
                <w:highlight w:val="none"/>
                <w:lang w:val="en-US" w:eastAsia="zh-CN"/>
              </w:rPr>
              <w:t>响应文件中提供有效的证明材料扫描件加盖电子公章</w:t>
            </w:r>
            <w:r>
              <w:rPr>
                <w:rFonts w:hint="eastAsia" w:hAnsi="Times New Roman" w:cs="宋体"/>
                <w:szCs w:val="21"/>
                <w:highlight w:val="none"/>
              </w:rPr>
              <w:t>。</w:t>
            </w:r>
          </w:p>
        </w:tc>
      </w:tr>
      <w:tr w14:paraId="79F433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37" w:hRule="atLeast"/>
          <w:jc w:val="center"/>
        </w:trPr>
        <w:tc>
          <w:tcPr>
            <w:tcW w:w="593" w:type="pct"/>
            <w:vMerge w:val="continue"/>
            <w:tcBorders>
              <w:top w:val="single" w:color="auto" w:sz="4" w:space="0"/>
              <w:left w:val="single" w:color="auto" w:sz="4" w:space="0"/>
              <w:bottom w:val="single" w:color="auto" w:sz="4" w:space="0"/>
              <w:right w:val="single" w:color="auto" w:sz="4" w:space="0"/>
            </w:tcBorders>
            <w:vAlign w:val="center"/>
          </w:tcPr>
          <w:p w14:paraId="1DFCE1DF">
            <w:pPr>
              <w:spacing w:line="320" w:lineRule="exact"/>
              <w:jc w:val="center"/>
              <w:rPr>
                <w:rFonts w:hint="eastAsia" w:ascii="宋体" w:hAnsi="宋体" w:cs="方正仿宋_GBK"/>
                <w:szCs w:val="21"/>
                <w:highlight w:val="none"/>
              </w:rPr>
            </w:pPr>
          </w:p>
        </w:tc>
        <w:tc>
          <w:tcPr>
            <w:tcW w:w="778" w:type="pct"/>
            <w:tcBorders>
              <w:top w:val="single" w:color="auto" w:sz="4" w:space="0"/>
              <w:left w:val="nil"/>
              <w:bottom w:val="single" w:color="auto" w:sz="4" w:space="0"/>
              <w:right w:val="single" w:color="auto" w:sz="4" w:space="0"/>
            </w:tcBorders>
            <w:vAlign w:val="center"/>
          </w:tcPr>
          <w:p w14:paraId="0971DF50">
            <w:pPr>
              <w:spacing w:line="320" w:lineRule="exact"/>
              <w:jc w:val="center"/>
              <w:rPr>
                <w:rFonts w:hint="eastAsia" w:ascii="宋体" w:hAnsi="宋体" w:cs="方正仿宋_GBK"/>
                <w:szCs w:val="21"/>
                <w:highlight w:val="none"/>
              </w:rPr>
            </w:pPr>
            <w:r>
              <w:rPr>
                <w:rFonts w:hint="eastAsia" w:ascii="宋体" w:hAnsi="宋体" w:cs="方正仿宋_GBK"/>
                <w:szCs w:val="21"/>
                <w:highlight w:val="none"/>
              </w:rPr>
              <w:t>人员配备</w:t>
            </w:r>
          </w:p>
        </w:tc>
        <w:tc>
          <w:tcPr>
            <w:tcW w:w="455" w:type="pct"/>
            <w:tcBorders>
              <w:top w:val="single" w:color="auto" w:sz="4" w:space="0"/>
              <w:left w:val="nil"/>
              <w:bottom w:val="single" w:color="auto" w:sz="4" w:space="0"/>
              <w:right w:val="single" w:color="auto" w:sz="4" w:space="0"/>
            </w:tcBorders>
            <w:vAlign w:val="center"/>
          </w:tcPr>
          <w:p w14:paraId="7090B57C">
            <w:pPr>
              <w:spacing w:line="320" w:lineRule="exact"/>
              <w:jc w:val="center"/>
              <w:rPr>
                <w:rFonts w:hint="eastAsia" w:ascii="宋体" w:hAnsi="宋体" w:cs="方正仿宋_GBK"/>
                <w:szCs w:val="21"/>
                <w:highlight w:val="none"/>
              </w:rPr>
            </w:pPr>
            <w:r>
              <w:rPr>
                <w:rFonts w:hint="eastAsia" w:ascii="宋体" w:hAnsi="宋体" w:cs="方正仿宋_GBK"/>
                <w:szCs w:val="21"/>
                <w:highlight w:val="none"/>
              </w:rPr>
              <w:t>20分</w:t>
            </w:r>
          </w:p>
        </w:tc>
        <w:tc>
          <w:tcPr>
            <w:tcW w:w="3172" w:type="pct"/>
            <w:tcBorders>
              <w:top w:val="single" w:color="auto" w:sz="4" w:space="0"/>
              <w:left w:val="nil"/>
              <w:bottom w:val="single" w:color="auto" w:sz="4" w:space="0"/>
              <w:right w:val="single" w:color="auto" w:sz="4" w:space="0"/>
            </w:tcBorders>
            <w:vAlign w:val="center"/>
          </w:tcPr>
          <w:p w14:paraId="1B7E1CA1">
            <w:pPr>
              <w:spacing w:line="360" w:lineRule="auto"/>
              <w:ind w:firstLine="422" w:firstLineChars="200"/>
              <w:rPr>
                <w:rFonts w:hint="eastAsia" w:ascii="宋体" w:cs="宋体"/>
                <w:b/>
                <w:bCs/>
                <w:szCs w:val="21"/>
                <w:highlight w:val="none"/>
                <w:lang w:val="en-US" w:eastAsia="zh-CN"/>
              </w:rPr>
            </w:pPr>
            <w:r>
              <w:rPr>
                <w:rFonts w:hint="eastAsia" w:ascii="宋体" w:cs="宋体"/>
                <w:b/>
                <w:bCs/>
                <w:szCs w:val="21"/>
                <w:highlight w:val="none"/>
                <w:lang w:val="en-US" w:eastAsia="zh-CN"/>
              </w:rPr>
              <w:t>采购包一</w:t>
            </w:r>
          </w:p>
          <w:p w14:paraId="6E1A8590">
            <w:pPr>
              <w:spacing w:line="360" w:lineRule="auto"/>
              <w:ind w:firstLine="420" w:firstLineChars="200"/>
              <w:rPr>
                <w:rFonts w:hint="eastAsia" w:ascii="宋体" w:hAnsi="宋体" w:cs="方正仿宋_GBK"/>
                <w:szCs w:val="21"/>
                <w:highlight w:val="none"/>
                <w:lang w:val="en-US" w:eastAsia="zh-CN"/>
              </w:rPr>
            </w:pPr>
            <w:r>
              <w:rPr>
                <w:rFonts w:hint="eastAsia" w:ascii="宋体" w:hAnsi="宋体" w:cs="方正仿宋_GBK"/>
                <w:szCs w:val="21"/>
                <w:highlight w:val="none"/>
                <w:lang w:val="en-US" w:eastAsia="zh-CN"/>
              </w:rPr>
              <w:t>1. 项目负责人（10分）</w:t>
            </w:r>
          </w:p>
          <w:p w14:paraId="3AC90F90">
            <w:pPr>
              <w:spacing w:line="360" w:lineRule="auto"/>
              <w:ind w:firstLine="420" w:firstLineChars="200"/>
              <w:rPr>
                <w:rFonts w:hint="eastAsia" w:ascii="宋体" w:hAnsi="宋体" w:cs="方正仿宋_GBK"/>
                <w:szCs w:val="21"/>
                <w:highlight w:val="none"/>
                <w:lang w:val="en-US" w:eastAsia="zh-CN"/>
              </w:rPr>
            </w:pPr>
            <w:r>
              <w:rPr>
                <w:rFonts w:hint="eastAsia" w:ascii="宋体" w:hAnsi="宋体" w:cs="方正仿宋_GBK"/>
                <w:szCs w:val="21"/>
                <w:highlight w:val="none"/>
                <w:lang w:val="en-US" w:eastAsia="zh-CN"/>
              </w:rPr>
              <w:t>1.1供应商拟投入本项目的负责人具有交通工程相关专业中级职称，且具有《公路工程检测工程师证书》（</w:t>
            </w:r>
            <w:r>
              <w:rPr>
                <w:rFonts w:hint="eastAsia" w:ascii="宋体" w:hAnsi="宋体" w:eastAsia="宋体" w:cs="宋体"/>
                <w:color w:val="auto"/>
                <w:kern w:val="0"/>
                <w:sz w:val="21"/>
                <w:szCs w:val="21"/>
                <w:highlight w:val="none"/>
              </w:rPr>
              <w:t>具备桥梁专业</w:t>
            </w:r>
            <w:r>
              <w:rPr>
                <w:rFonts w:hint="eastAsia" w:ascii="宋体" w:hAnsi="宋体" w:cs="方正仿宋_GBK"/>
                <w:szCs w:val="21"/>
                <w:highlight w:val="none"/>
                <w:lang w:val="en-US" w:eastAsia="zh-CN"/>
              </w:rPr>
              <w:t>），得2分；具有交通工程相关专业高级及以上职称，且具有《公路工程检测工程师证书》（</w:t>
            </w:r>
            <w:r>
              <w:rPr>
                <w:rFonts w:hint="eastAsia" w:ascii="宋体" w:hAnsi="宋体" w:eastAsia="宋体" w:cs="宋体"/>
                <w:color w:val="auto"/>
                <w:kern w:val="0"/>
                <w:sz w:val="21"/>
                <w:szCs w:val="21"/>
                <w:highlight w:val="none"/>
              </w:rPr>
              <w:t>具备桥梁专业</w:t>
            </w:r>
            <w:r>
              <w:rPr>
                <w:rFonts w:hint="eastAsia" w:ascii="宋体" w:hAnsi="宋体" w:cs="方正仿宋_GBK"/>
                <w:szCs w:val="21"/>
                <w:highlight w:val="none"/>
                <w:lang w:val="en-US" w:eastAsia="zh-CN"/>
              </w:rPr>
              <w:t>），得4分。本项最高得4分。</w:t>
            </w:r>
          </w:p>
          <w:p w14:paraId="3415D859">
            <w:pPr>
              <w:spacing w:line="360" w:lineRule="auto"/>
              <w:ind w:firstLine="420" w:firstLineChars="200"/>
              <w:rPr>
                <w:rFonts w:hint="eastAsia" w:ascii="宋体" w:hAnsi="宋体" w:cs="方正仿宋_GBK"/>
                <w:szCs w:val="21"/>
                <w:highlight w:val="none"/>
                <w:lang w:val="en-US" w:eastAsia="zh-CN"/>
              </w:rPr>
            </w:pPr>
            <w:r>
              <w:rPr>
                <w:rFonts w:hint="eastAsia" w:ascii="宋体" w:hAnsi="宋体" w:cs="方正仿宋_GBK"/>
                <w:szCs w:val="21"/>
                <w:highlight w:val="none"/>
                <w:lang w:val="en-US" w:eastAsia="zh-CN"/>
              </w:rPr>
              <w:t>1.2供应商拟投入本项目的项目负责人</w:t>
            </w:r>
            <w:r>
              <w:rPr>
                <w:rFonts w:hint="eastAsia" w:ascii="宋体" w:hAnsi="宋体" w:cs="方正仿宋_GBK"/>
                <w:b/>
                <w:bCs/>
                <w:szCs w:val="21"/>
                <w:highlight w:val="none"/>
                <w:lang w:val="en-US" w:eastAsia="zh-CN"/>
              </w:rPr>
              <w:t>自2021年1月1日至今</w:t>
            </w:r>
            <w:r>
              <w:rPr>
                <w:rFonts w:hint="eastAsia" w:ascii="宋体" w:hAnsi="宋体" w:cs="方正仿宋_GBK"/>
                <w:szCs w:val="21"/>
                <w:highlight w:val="none"/>
                <w:lang w:val="en-US" w:eastAsia="zh-CN"/>
              </w:rPr>
              <w:t>（以合同签订时间为准），担任过一级及以上公路或城市快速路桥梁定期检查项目的项目负责人或技术负责人的，有一个得3分，最多得6分。</w:t>
            </w:r>
          </w:p>
          <w:p w14:paraId="78EFA263">
            <w:pPr>
              <w:spacing w:line="360" w:lineRule="auto"/>
              <w:ind w:firstLine="420" w:firstLineChars="200"/>
              <w:rPr>
                <w:rFonts w:hint="eastAsia" w:ascii="宋体" w:hAnsi="宋体" w:cs="方正仿宋_GBK"/>
                <w:szCs w:val="21"/>
                <w:highlight w:val="none"/>
                <w:lang w:val="en-US" w:eastAsia="zh-CN"/>
              </w:rPr>
            </w:pPr>
            <w:r>
              <w:rPr>
                <w:rFonts w:hint="eastAsia" w:ascii="宋体" w:hAnsi="宋体" w:cs="方正仿宋_GBK"/>
                <w:szCs w:val="21"/>
                <w:highlight w:val="none"/>
                <w:lang w:val="en-US" w:eastAsia="zh-CN"/>
              </w:rPr>
              <w:t>2. 技术负责人（4分）</w:t>
            </w:r>
          </w:p>
          <w:p w14:paraId="29AF3C86">
            <w:pPr>
              <w:spacing w:line="360" w:lineRule="auto"/>
              <w:ind w:firstLine="420" w:firstLineChars="200"/>
              <w:rPr>
                <w:rFonts w:hint="eastAsia" w:ascii="宋体" w:hAnsi="宋体" w:cs="方正仿宋_GBK"/>
                <w:szCs w:val="21"/>
                <w:highlight w:val="none"/>
                <w:lang w:val="en-US" w:eastAsia="zh-CN"/>
              </w:rPr>
            </w:pPr>
            <w:r>
              <w:rPr>
                <w:rFonts w:hint="eastAsia" w:ascii="宋体" w:hAnsi="宋体" w:cs="方正仿宋_GBK"/>
                <w:szCs w:val="21"/>
                <w:highlight w:val="none"/>
                <w:lang w:val="en-US" w:eastAsia="zh-CN"/>
              </w:rPr>
              <w:t>供应商拟投入本项目的技术负责人具有交通工程相关专业中级职称，且具有《公路工程检测工程师证书》（</w:t>
            </w:r>
            <w:r>
              <w:rPr>
                <w:rFonts w:hint="eastAsia" w:ascii="宋体" w:hAnsi="宋体" w:eastAsia="宋体" w:cs="宋体"/>
                <w:color w:val="auto"/>
                <w:kern w:val="0"/>
                <w:sz w:val="21"/>
                <w:szCs w:val="21"/>
                <w:highlight w:val="none"/>
              </w:rPr>
              <w:t>具备桥梁专业</w:t>
            </w:r>
            <w:r>
              <w:rPr>
                <w:rFonts w:hint="eastAsia" w:ascii="宋体" w:hAnsi="宋体" w:cs="方正仿宋_GBK"/>
                <w:szCs w:val="21"/>
                <w:highlight w:val="none"/>
                <w:lang w:val="en-US" w:eastAsia="zh-CN"/>
              </w:rPr>
              <w:t>），得2分；具有交通工程相关专业高级工程师及以上职称，且具有《公路工程检测工程师证书》（</w:t>
            </w:r>
            <w:r>
              <w:rPr>
                <w:rFonts w:hint="eastAsia" w:ascii="宋体" w:hAnsi="宋体" w:eastAsia="宋体" w:cs="宋体"/>
                <w:color w:val="auto"/>
                <w:kern w:val="0"/>
                <w:sz w:val="21"/>
                <w:szCs w:val="21"/>
                <w:highlight w:val="none"/>
              </w:rPr>
              <w:t>具备桥梁专业</w:t>
            </w:r>
            <w:r>
              <w:rPr>
                <w:rFonts w:hint="eastAsia" w:ascii="宋体" w:hAnsi="宋体" w:cs="方正仿宋_GBK"/>
                <w:szCs w:val="21"/>
                <w:highlight w:val="none"/>
                <w:lang w:val="en-US" w:eastAsia="zh-CN"/>
              </w:rPr>
              <w:t>），得4分。本项最高得4分。</w:t>
            </w:r>
          </w:p>
          <w:p w14:paraId="1860C4A1">
            <w:pPr>
              <w:spacing w:line="360" w:lineRule="auto"/>
              <w:ind w:firstLine="420" w:firstLineChars="200"/>
              <w:rPr>
                <w:rFonts w:hint="eastAsia" w:ascii="宋体" w:hAnsi="宋体" w:cs="方正仿宋_GBK"/>
                <w:szCs w:val="21"/>
                <w:highlight w:val="none"/>
                <w:lang w:val="en-US" w:eastAsia="zh-CN"/>
              </w:rPr>
            </w:pPr>
            <w:r>
              <w:rPr>
                <w:rFonts w:hint="eastAsia" w:ascii="宋体" w:hAnsi="宋体" w:cs="方正仿宋_GBK"/>
                <w:szCs w:val="21"/>
                <w:highlight w:val="none"/>
                <w:lang w:val="en-US" w:eastAsia="zh-CN"/>
              </w:rPr>
              <w:t>3.其他人员（6分）</w:t>
            </w:r>
          </w:p>
          <w:p w14:paraId="4BB66B28">
            <w:pPr>
              <w:spacing w:line="360" w:lineRule="auto"/>
              <w:ind w:firstLine="420" w:firstLineChars="200"/>
              <w:rPr>
                <w:rFonts w:hint="eastAsia" w:ascii="宋体" w:hAnsi="宋体" w:cs="方正仿宋_GBK"/>
                <w:szCs w:val="21"/>
                <w:highlight w:val="none"/>
                <w:lang w:val="en-US" w:eastAsia="zh-CN"/>
              </w:rPr>
            </w:pPr>
            <w:r>
              <w:rPr>
                <w:rFonts w:hint="eastAsia" w:ascii="宋体" w:hAnsi="宋体" w:cs="方正仿宋_GBK"/>
                <w:szCs w:val="21"/>
                <w:highlight w:val="none"/>
                <w:lang w:val="en-US" w:eastAsia="zh-CN"/>
              </w:rPr>
              <w:t>拟投入本项目的其他人员（除项目负责人和技术负责人外），具有交通工程相关专业工程师职称的，有1个得1分；具有交通工程相关专业高级及以上职称的，有1个得2分；最多得6分，同一人员不重复得分。</w:t>
            </w:r>
          </w:p>
          <w:p w14:paraId="32462E24">
            <w:pPr>
              <w:spacing w:line="360" w:lineRule="auto"/>
              <w:ind w:firstLine="422" w:firstLineChars="200"/>
              <w:rPr>
                <w:rFonts w:hint="eastAsia" w:ascii="宋体" w:eastAsia="宋体" w:cs="宋体"/>
                <w:b/>
                <w:bCs/>
                <w:szCs w:val="21"/>
                <w:highlight w:val="none"/>
                <w:lang w:val="en-US" w:eastAsia="zh-CN"/>
              </w:rPr>
            </w:pPr>
            <w:r>
              <w:rPr>
                <w:rFonts w:hint="eastAsia" w:ascii="宋体" w:cs="宋体"/>
                <w:b/>
                <w:bCs/>
                <w:szCs w:val="21"/>
                <w:highlight w:val="none"/>
                <w:lang w:val="en-US" w:eastAsia="zh-CN"/>
              </w:rPr>
              <w:t>采购包二</w:t>
            </w:r>
          </w:p>
          <w:p w14:paraId="7A8F4370">
            <w:pPr>
              <w:spacing w:line="360" w:lineRule="auto"/>
              <w:ind w:firstLine="420" w:firstLineChars="200"/>
              <w:rPr>
                <w:rFonts w:ascii="宋体" w:cs="宋体"/>
                <w:szCs w:val="21"/>
                <w:highlight w:val="none"/>
              </w:rPr>
            </w:pPr>
            <w:r>
              <w:rPr>
                <w:rFonts w:hint="eastAsia" w:ascii="宋体" w:cs="宋体"/>
                <w:szCs w:val="21"/>
                <w:highlight w:val="none"/>
              </w:rPr>
              <w:t>1.项目负责人（10分）</w:t>
            </w:r>
          </w:p>
          <w:p w14:paraId="5DC2B2A4">
            <w:pPr>
              <w:spacing w:line="360" w:lineRule="auto"/>
              <w:ind w:firstLine="420" w:firstLineChars="200"/>
              <w:rPr>
                <w:rFonts w:ascii="宋体" w:cs="宋体"/>
                <w:szCs w:val="21"/>
                <w:highlight w:val="none"/>
              </w:rPr>
            </w:pPr>
            <w:r>
              <w:rPr>
                <w:rFonts w:hint="eastAsia" w:ascii="宋体" w:cs="宋体"/>
                <w:szCs w:val="21"/>
                <w:highlight w:val="none"/>
              </w:rPr>
              <w:t>1.1</w:t>
            </w:r>
            <w:r>
              <w:rPr>
                <w:rFonts w:hint="eastAsia" w:ascii="宋体" w:hAnsi="宋体" w:cs="方正仿宋_GBK"/>
                <w:szCs w:val="21"/>
                <w:highlight w:val="none"/>
                <w:lang w:val="en-US" w:eastAsia="zh-CN"/>
              </w:rPr>
              <w:t>供应商拟投入本项目的</w:t>
            </w:r>
            <w:r>
              <w:rPr>
                <w:rFonts w:hint="eastAsia" w:ascii="宋体" w:cs="宋体"/>
                <w:szCs w:val="21"/>
                <w:highlight w:val="none"/>
              </w:rPr>
              <w:t>负责人具有交通工程相关专业中级职称，且具有《公路工程检测工程师证书》（具备</w:t>
            </w:r>
            <w:r>
              <w:rPr>
                <w:rFonts w:hint="eastAsia" w:ascii="宋体" w:cs="宋体"/>
                <w:szCs w:val="21"/>
                <w:highlight w:val="none"/>
                <w:lang w:val="en-US" w:eastAsia="zh-CN"/>
              </w:rPr>
              <w:t>隧道</w:t>
            </w:r>
            <w:r>
              <w:rPr>
                <w:rFonts w:hint="eastAsia" w:ascii="宋体" w:cs="宋体"/>
                <w:szCs w:val="21"/>
                <w:highlight w:val="none"/>
              </w:rPr>
              <w:t>专业），得2分</w:t>
            </w:r>
            <w:r>
              <w:rPr>
                <w:rFonts w:hint="eastAsia" w:ascii="宋体" w:cs="宋体"/>
                <w:szCs w:val="21"/>
                <w:highlight w:val="none"/>
                <w:lang w:eastAsia="zh-CN"/>
              </w:rPr>
              <w:t>；</w:t>
            </w:r>
            <w:r>
              <w:rPr>
                <w:rFonts w:hint="eastAsia" w:ascii="宋体" w:cs="宋体"/>
                <w:szCs w:val="21"/>
                <w:highlight w:val="none"/>
              </w:rPr>
              <w:t>具有交通工程相关专业高级及以上职称，且具有《公路工程检测工程师证书》（具备</w:t>
            </w:r>
            <w:r>
              <w:rPr>
                <w:rFonts w:hint="eastAsia" w:ascii="宋体" w:cs="宋体"/>
                <w:szCs w:val="21"/>
                <w:highlight w:val="none"/>
                <w:lang w:val="en-US" w:eastAsia="zh-CN"/>
              </w:rPr>
              <w:t>隧道</w:t>
            </w:r>
            <w:r>
              <w:rPr>
                <w:rFonts w:hint="eastAsia" w:ascii="宋体" w:cs="宋体"/>
                <w:szCs w:val="21"/>
                <w:highlight w:val="none"/>
              </w:rPr>
              <w:t>专业），得4分。本项最高得4分。</w:t>
            </w:r>
          </w:p>
          <w:p w14:paraId="114C27D4">
            <w:pPr>
              <w:spacing w:line="360" w:lineRule="auto"/>
              <w:ind w:firstLine="420" w:firstLineChars="200"/>
              <w:rPr>
                <w:rFonts w:hint="eastAsia" w:ascii="宋体" w:eastAsia="宋体" w:cs="宋体"/>
                <w:szCs w:val="21"/>
                <w:highlight w:val="none"/>
                <w:lang w:eastAsia="zh-CN"/>
              </w:rPr>
            </w:pPr>
            <w:r>
              <w:rPr>
                <w:rFonts w:hint="eastAsia" w:ascii="宋体" w:cs="宋体"/>
                <w:szCs w:val="21"/>
                <w:highlight w:val="none"/>
              </w:rPr>
              <w:t>1.2</w:t>
            </w:r>
            <w:r>
              <w:rPr>
                <w:rFonts w:hint="eastAsia" w:ascii="宋体" w:hAnsi="宋体" w:cs="方正仿宋_GBK"/>
                <w:szCs w:val="21"/>
                <w:highlight w:val="none"/>
                <w:lang w:val="en-US" w:eastAsia="zh-CN"/>
              </w:rPr>
              <w:t>供应商拟投入本项目的</w:t>
            </w:r>
            <w:r>
              <w:rPr>
                <w:rFonts w:hint="eastAsia" w:ascii="宋体" w:cs="宋体"/>
                <w:szCs w:val="21"/>
                <w:highlight w:val="none"/>
              </w:rPr>
              <w:t>项目负责人自</w:t>
            </w:r>
            <w:r>
              <w:rPr>
                <w:rFonts w:hint="eastAsia" w:ascii="宋体" w:cs="宋体"/>
                <w:b/>
                <w:bCs/>
                <w:szCs w:val="21"/>
                <w:highlight w:val="none"/>
                <w:lang w:val="en-US" w:eastAsia="zh-CN"/>
              </w:rPr>
              <w:t>2021</w:t>
            </w:r>
            <w:r>
              <w:rPr>
                <w:rFonts w:hint="eastAsia" w:ascii="宋体" w:cs="宋体"/>
                <w:b/>
                <w:bCs/>
                <w:szCs w:val="21"/>
                <w:highlight w:val="none"/>
              </w:rPr>
              <w:t>年</w:t>
            </w:r>
            <w:r>
              <w:rPr>
                <w:rFonts w:hint="eastAsia" w:ascii="宋体" w:cs="宋体"/>
                <w:b/>
                <w:bCs/>
                <w:szCs w:val="21"/>
                <w:highlight w:val="none"/>
                <w:lang w:val="en-US" w:eastAsia="zh-CN"/>
              </w:rPr>
              <w:t>1</w:t>
            </w:r>
            <w:r>
              <w:rPr>
                <w:rFonts w:hint="eastAsia" w:ascii="宋体" w:cs="宋体"/>
                <w:b/>
                <w:bCs/>
                <w:szCs w:val="21"/>
                <w:highlight w:val="none"/>
              </w:rPr>
              <w:t>月</w:t>
            </w:r>
            <w:r>
              <w:rPr>
                <w:rFonts w:hint="eastAsia" w:ascii="宋体" w:cs="宋体"/>
                <w:b/>
                <w:bCs/>
                <w:szCs w:val="21"/>
                <w:highlight w:val="none"/>
                <w:lang w:val="en-US" w:eastAsia="zh-CN"/>
              </w:rPr>
              <w:t>1</w:t>
            </w:r>
            <w:r>
              <w:rPr>
                <w:rFonts w:hint="eastAsia" w:ascii="宋体" w:cs="宋体"/>
                <w:b/>
                <w:bCs/>
                <w:szCs w:val="21"/>
                <w:highlight w:val="none"/>
              </w:rPr>
              <w:t>日至今</w:t>
            </w:r>
            <w:r>
              <w:rPr>
                <w:rFonts w:hint="eastAsia" w:ascii="宋体" w:cs="宋体"/>
                <w:szCs w:val="21"/>
                <w:highlight w:val="none"/>
              </w:rPr>
              <w:t>（以合同签订时间为准），担任过隧道定期检查项目</w:t>
            </w:r>
            <w:r>
              <w:rPr>
                <w:rFonts w:hint="eastAsia" w:ascii="宋体" w:cs="宋体"/>
                <w:szCs w:val="21"/>
                <w:highlight w:val="none"/>
                <w:lang w:eastAsia="zh-CN"/>
              </w:rPr>
              <w:t>（</w:t>
            </w:r>
            <w:r>
              <w:rPr>
                <w:rFonts w:hint="eastAsia" w:ascii="宋体" w:cs="宋体"/>
                <w:szCs w:val="21"/>
                <w:highlight w:val="none"/>
                <w:lang w:val="en-US" w:eastAsia="zh-CN"/>
              </w:rPr>
              <w:t>含土建及机电）</w:t>
            </w:r>
            <w:r>
              <w:rPr>
                <w:rFonts w:hint="eastAsia" w:ascii="宋体" w:cs="宋体"/>
                <w:szCs w:val="21"/>
                <w:highlight w:val="none"/>
              </w:rPr>
              <w:t>的项目负责人或技术负责人的，有一个得</w:t>
            </w:r>
            <w:r>
              <w:rPr>
                <w:rFonts w:hint="eastAsia" w:ascii="宋体" w:cs="宋体"/>
                <w:szCs w:val="21"/>
                <w:highlight w:val="none"/>
                <w:lang w:val="en-US" w:eastAsia="zh-CN"/>
              </w:rPr>
              <w:t>3</w:t>
            </w:r>
            <w:r>
              <w:rPr>
                <w:rFonts w:hint="eastAsia" w:ascii="宋体" w:cs="宋体"/>
                <w:szCs w:val="21"/>
                <w:highlight w:val="none"/>
              </w:rPr>
              <w:t>分，最多得6分</w:t>
            </w:r>
            <w:r>
              <w:rPr>
                <w:rFonts w:hint="eastAsia" w:ascii="宋体" w:cs="宋体"/>
                <w:szCs w:val="21"/>
                <w:highlight w:val="none"/>
                <w:lang w:eastAsia="zh-CN"/>
              </w:rPr>
              <w:t>。</w:t>
            </w:r>
          </w:p>
          <w:p w14:paraId="31A0B939">
            <w:pPr>
              <w:spacing w:line="360" w:lineRule="auto"/>
              <w:ind w:firstLine="420" w:firstLineChars="200"/>
              <w:rPr>
                <w:rFonts w:ascii="宋体" w:cs="宋体"/>
                <w:szCs w:val="21"/>
                <w:highlight w:val="none"/>
              </w:rPr>
            </w:pPr>
            <w:r>
              <w:rPr>
                <w:rFonts w:hint="eastAsia" w:ascii="宋体" w:cs="宋体"/>
                <w:szCs w:val="21"/>
                <w:highlight w:val="none"/>
              </w:rPr>
              <w:t>2.技术负责人（4分）</w:t>
            </w:r>
          </w:p>
          <w:p w14:paraId="426EE519">
            <w:pPr>
              <w:spacing w:line="360" w:lineRule="auto"/>
              <w:ind w:firstLine="420" w:firstLineChars="200"/>
              <w:rPr>
                <w:rFonts w:ascii="宋体" w:cs="宋体"/>
                <w:szCs w:val="21"/>
                <w:highlight w:val="none"/>
              </w:rPr>
            </w:pPr>
            <w:r>
              <w:rPr>
                <w:rFonts w:hint="eastAsia" w:ascii="宋体" w:hAnsi="宋体" w:cs="方正仿宋_GBK"/>
                <w:szCs w:val="21"/>
                <w:highlight w:val="none"/>
                <w:lang w:val="en-US" w:eastAsia="zh-CN"/>
              </w:rPr>
              <w:t>供应商拟投入本项目的</w:t>
            </w:r>
            <w:r>
              <w:rPr>
                <w:rFonts w:hint="eastAsia" w:ascii="宋体" w:cs="宋体"/>
                <w:szCs w:val="21"/>
                <w:highlight w:val="none"/>
              </w:rPr>
              <w:t>技术负责人具有交通工程相关专业中级职称，且具有《公路工程检测工程师证书》（具备</w:t>
            </w:r>
            <w:r>
              <w:rPr>
                <w:rFonts w:hint="eastAsia" w:ascii="宋体" w:cs="宋体"/>
                <w:szCs w:val="21"/>
                <w:highlight w:val="none"/>
                <w:lang w:val="en-US" w:eastAsia="zh-CN"/>
              </w:rPr>
              <w:t>桥隧</w:t>
            </w:r>
            <w:r>
              <w:rPr>
                <w:rFonts w:hint="eastAsia" w:ascii="宋体" w:cs="宋体"/>
                <w:szCs w:val="21"/>
                <w:highlight w:val="none"/>
              </w:rPr>
              <w:t>专业），得2分</w:t>
            </w:r>
            <w:r>
              <w:rPr>
                <w:rFonts w:hint="eastAsia" w:ascii="宋体" w:cs="宋体"/>
                <w:szCs w:val="21"/>
                <w:highlight w:val="none"/>
                <w:lang w:eastAsia="zh-CN"/>
              </w:rPr>
              <w:t>；</w:t>
            </w:r>
            <w:r>
              <w:rPr>
                <w:rFonts w:hint="eastAsia" w:ascii="宋体" w:cs="宋体"/>
                <w:szCs w:val="21"/>
                <w:highlight w:val="none"/>
              </w:rPr>
              <w:t>具有交通工程相关专业高级工程师及以上职称，且具有《公路工程检测工程师证书》（具备</w:t>
            </w:r>
            <w:r>
              <w:rPr>
                <w:rFonts w:hint="eastAsia" w:ascii="宋体" w:cs="宋体"/>
                <w:szCs w:val="21"/>
                <w:highlight w:val="none"/>
                <w:lang w:val="en-US" w:eastAsia="zh-CN"/>
              </w:rPr>
              <w:t>桥隧</w:t>
            </w:r>
            <w:r>
              <w:rPr>
                <w:rFonts w:hint="eastAsia" w:ascii="宋体" w:cs="宋体"/>
                <w:szCs w:val="21"/>
                <w:highlight w:val="none"/>
              </w:rPr>
              <w:t>专业），得4分。本项最高得4分。</w:t>
            </w:r>
          </w:p>
          <w:p w14:paraId="3357B7F0">
            <w:pPr>
              <w:spacing w:line="360" w:lineRule="auto"/>
              <w:ind w:firstLine="420" w:firstLineChars="200"/>
              <w:rPr>
                <w:rFonts w:ascii="宋体" w:cs="宋体"/>
                <w:szCs w:val="21"/>
                <w:highlight w:val="none"/>
              </w:rPr>
            </w:pPr>
            <w:r>
              <w:rPr>
                <w:rFonts w:hint="eastAsia" w:ascii="宋体" w:cs="宋体"/>
                <w:szCs w:val="21"/>
                <w:highlight w:val="none"/>
              </w:rPr>
              <w:t>3.其他人员（6分）</w:t>
            </w:r>
          </w:p>
          <w:p w14:paraId="47385372">
            <w:pPr>
              <w:spacing w:line="360" w:lineRule="auto"/>
              <w:ind w:firstLine="420" w:firstLineChars="200"/>
              <w:rPr>
                <w:rFonts w:ascii="宋体" w:cs="宋体"/>
                <w:szCs w:val="21"/>
                <w:highlight w:val="none"/>
              </w:rPr>
            </w:pPr>
            <w:r>
              <w:rPr>
                <w:rFonts w:hint="eastAsia" w:ascii="宋体" w:hAnsi="宋体" w:cs="方正仿宋_GBK"/>
                <w:szCs w:val="21"/>
                <w:highlight w:val="none"/>
                <w:lang w:val="en-US" w:eastAsia="zh-CN"/>
              </w:rPr>
              <w:t>供应商拟投入本项目的</w:t>
            </w:r>
            <w:r>
              <w:rPr>
                <w:rFonts w:hint="eastAsia" w:ascii="宋体" w:cs="宋体"/>
                <w:szCs w:val="21"/>
                <w:highlight w:val="none"/>
              </w:rPr>
              <w:t>其他人员（除项目负责人和技术负责人外），具有交通工程相关专业工程师职称的，有1个得1分；具有交通工程相关专业高级及以上职称的，有1个得2分；最多得6分，同一人员不重复得分。</w:t>
            </w:r>
          </w:p>
          <w:p w14:paraId="56E60D69">
            <w:pPr>
              <w:spacing w:line="360" w:lineRule="auto"/>
              <w:ind w:firstLine="420" w:firstLineChars="200"/>
              <w:rPr>
                <w:rFonts w:ascii="宋体" w:cs="宋体"/>
                <w:szCs w:val="21"/>
                <w:highlight w:val="none"/>
              </w:rPr>
            </w:pPr>
            <w:r>
              <w:rPr>
                <w:rFonts w:hint="eastAsia" w:ascii="宋体" w:cs="宋体"/>
                <w:szCs w:val="21"/>
                <w:highlight w:val="none"/>
              </w:rPr>
              <w:t> 注：1.</w:t>
            </w:r>
            <w:r>
              <w:rPr>
                <w:rFonts w:hint="eastAsia" w:ascii="宋体" w:cs="宋体"/>
                <w:szCs w:val="21"/>
                <w:highlight w:val="none"/>
                <w:lang w:val="en-US" w:eastAsia="zh-CN"/>
              </w:rPr>
              <w:t>响应文件中提供相关人员有效证书及业绩证明材料扫描件并加盖电子公章。</w:t>
            </w:r>
          </w:p>
          <w:p w14:paraId="07FD14ED">
            <w:pPr>
              <w:spacing w:line="360" w:lineRule="auto"/>
              <w:ind w:firstLine="420" w:firstLineChars="200"/>
              <w:rPr>
                <w:rFonts w:hint="default" w:ascii="宋体" w:eastAsia="宋体" w:cs="宋体"/>
                <w:szCs w:val="21"/>
                <w:highlight w:val="none"/>
                <w:lang w:val="en-US" w:eastAsia="zh-CN"/>
              </w:rPr>
            </w:pPr>
            <w:r>
              <w:rPr>
                <w:rFonts w:hint="eastAsia" w:ascii="宋体" w:cs="宋体"/>
                <w:szCs w:val="21"/>
                <w:highlight w:val="none"/>
              </w:rPr>
              <w:t>2.</w:t>
            </w:r>
            <w:r>
              <w:rPr>
                <w:rFonts w:hint="eastAsia" w:ascii="宋体" w:cs="宋体"/>
                <w:b/>
                <w:bCs/>
                <w:szCs w:val="21"/>
                <w:highlight w:val="none"/>
              </w:rPr>
              <w:t>项目负责人业绩和供应商单位业绩不得共用同一项目材料，重复业绩不得累计加分。</w:t>
            </w:r>
          </w:p>
          <w:p w14:paraId="529D5C8B">
            <w:pPr>
              <w:spacing w:line="360" w:lineRule="auto"/>
              <w:ind w:firstLine="420" w:firstLineChars="200"/>
              <w:rPr>
                <w:rFonts w:hint="default" w:ascii="宋体" w:hAnsi="宋体" w:eastAsia="宋体" w:cs="方正仿宋_GBK"/>
                <w:szCs w:val="21"/>
                <w:highlight w:val="none"/>
                <w:lang w:val="en-US" w:eastAsia="zh-CN"/>
              </w:rPr>
            </w:pPr>
            <w:r>
              <w:rPr>
                <w:rFonts w:hint="eastAsia" w:ascii="宋体" w:cs="宋体"/>
                <w:szCs w:val="21"/>
                <w:highlight w:val="none"/>
                <w:lang w:val="en-US" w:eastAsia="zh-CN"/>
              </w:rPr>
              <w:t>3.响应文件中</w:t>
            </w:r>
            <w:r>
              <w:rPr>
                <w:rFonts w:hint="eastAsia" w:ascii="宋体" w:cs="宋体"/>
                <w:szCs w:val="21"/>
                <w:highlight w:val="none"/>
              </w:rPr>
              <w:t>提供</w:t>
            </w:r>
            <w:r>
              <w:rPr>
                <w:rFonts w:hint="eastAsia" w:ascii="宋体" w:cs="宋体"/>
                <w:szCs w:val="21"/>
                <w:highlight w:val="none"/>
                <w:lang w:eastAsia="zh-CN"/>
              </w:rPr>
              <w:t>2026年1月（含）至开标当日任一月份</w:t>
            </w:r>
            <w:r>
              <w:rPr>
                <w:rFonts w:hint="eastAsia" w:ascii="宋体" w:cs="宋体"/>
                <w:szCs w:val="21"/>
                <w:highlight w:val="none"/>
              </w:rPr>
              <w:t>供应商为项目管理机构人员缴纳的社保证明材料</w:t>
            </w:r>
            <w:r>
              <w:rPr>
                <w:rFonts w:hint="eastAsia" w:ascii="宋体" w:cs="宋体"/>
                <w:szCs w:val="21"/>
                <w:highlight w:val="none"/>
                <w:lang w:val="en-US" w:eastAsia="zh-CN"/>
              </w:rPr>
              <w:t>加盖电子公章。</w:t>
            </w:r>
          </w:p>
        </w:tc>
      </w:tr>
      <w:tr w14:paraId="347DF3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593" w:type="pct"/>
            <w:vMerge w:val="restart"/>
            <w:tcBorders>
              <w:top w:val="single" w:color="auto" w:sz="4" w:space="0"/>
              <w:left w:val="single" w:color="auto" w:sz="4" w:space="0"/>
              <w:right w:val="single" w:color="auto" w:sz="4" w:space="0"/>
            </w:tcBorders>
            <w:vAlign w:val="center"/>
          </w:tcPr>
          <w:p w14:paraId="28747AF2">
            <w:pPr>
              <w:spacing w:line="320" w:lineRule="exact"/>
              <w:jc w:val="center"/>
              <w:rPr>
                <w:rFonts w:hint="eastAsia" w:ascii="宋体" w:hAnsi="宋体" w:cs="方正仿宋_GBK"/>
                <w:szCs w:val="21"/>
                <w:highlight w:val="none"/>
              </w:rPr>
            </w:pPr>
            <w:r>
              <w:rPr>
                <w:rFonts w:hint="eastAsia" w:ascii="宋体" w:hAnsi="宋体" w:cs="方正仿宋_GBK"/>
                <w:szCs w:val="21"/>
                <w:highlight w:val="none"/>
              </w:rPr>
              <w:t>技术部分</w:t>
            </w:r>
          </w:p>
          <w:p w14:paraId="179D5B60">
            <w:pPr>
              <w:spacing w:line="320" w:lineRule="exact"/>
              <w:jc w:val="center"/>
              <w:rPr>
                <w:rFonts w:hint="eastAsia" w:ascii="宋体" w:hAnsi="宋体" w:cs="方正仿宋_GBK"/>
                <w:szCs w:val="21"/>
                <w:highlight w:val="none"/>
              </w:rPr>
            </w:pPr>
            <w:r>
              <w:rPr>
                <w:rFonts w:hint="eastAsia" w:ascii="宋体" w:hAnsi="宋体" w:cs="方正仿宋_GBK"/>
                <w:szCs w:val="21"/>
                <w:highlight w:val="none"/>
              </w:rPr>
              <w:t>（4</w:t>
            </w:r>
            <w:r>
              <w:rPr>
                <w:rFonts w:hint="eastAsia" w:ascii="宋体" w:hAnsi="宋体" w:cs="方正仿宋_GBK"/>
                <w:szCs w:val="21"/>
                <w:highlight w:val="none"/>
                <w:lang w:val="en-US" w:eastAsia="zh-CN"/>
              </w:rPr>
              <w:t>3</w:t>
            </w:r>
            <w:r>
              <w:rPr>
                <w:rFonts w:hint="eastAsia" w:ascii="宋体" w:hAnsi="宋体" w:cs="方正仿宋_GBK"/>
                <w:szCs w:val="21"/>
                <w:highlight w:val="none"/>
              </w:rPr>
              <w:t>分）</w:t>
            </w:r>
          </w:p>
          <w:p w14:paraId="0AC733F7">
            <w:pPr>
              <w:spacing w:line="320" w:lineRule="exact"/>
              <w:jc w:val="center"/>
              <w:rPr>
                <w:rFonts w:hint="eastAsia" w:ascii="宋体" w:hAnsi="宋体" w:cs="方正仿宋_GBK"/>
                <w:szCs w:val="21"/>
                <w:highlight w:val="none"/>
              </w:rPr>
            </w:pPr>
          </w:p>
        </w:tc>
        <w:tc>
          <w:tcPr>
            <w:tcW w:w="778" w:type="pct"/>
            <w:tcBorders>
              <w:top w:val="single" w:color="auto" w:sz="4" w:space="0"/>
              <w:left w:val="nil"/>
              <w:bottom w:val="single" w:color="auto" w:sz="4" w:space="0"/>
              <w:right w:val="single" w:color="auto" w:sz="4" w:space="0"/>
            </w:tcBorders>
            <w:vAlign w:val="center"/>
          </w:tcPr>
          <w:p w14:paraId="17214627">
            <w:pPr>
              <w:spacing w:line="360" w:lineRule="exact"/>
              <w:jc w:val="center"/>
              <w:outlineLvl w:val="2"/>
              <w:rPr>
                <w:rFonts w:hint="eastAsia" w:ascii="宋体" w:hAnsi="宋体" w:cs="宋体"/>
                <w:szCs w:val="21"/>
                <w:highlight w:val="none"/>
              </w:rPr>
            </w:pPr>
            <w:r>
              <w:rPr>
                <w:rFonts w:hint="eastAsia" w:ascii="宋体" w:hAnsi="宋体"/>
                <w:szCs w:val="21"/>
                <w:highlight w:val="none"/>
              </w:rPr>
              <w:t>试验检测工作的程序与方法</w:t>
            </w:r>
          </w:p>
        </w:tc>
        <w:tc>
          <w:tcPr>
            <w:tcW w:w="455" w:type="pct"/>
            <w:tcBorders>
              <w:top w:val="single" w:color="auto" w:sz="4" w:space="0"/>
              <w:left w:val="nil"/>
              <w:bottom w:val="single" w:color="auto" w:sz="4" w:space="0"/>
              <w:right w:val="single" w:color="auto" w:sz="4" w:space="0"/>
            </w:tcBorders>
            <w:vAlign w:val="center"/>
          </w:tcPr>
          <w:p w14:paraId="728CFB37">
            <w:pPr>
              <w:spacing w:line="264" w:lineRule="auto"/>
              <w:jc w:val="center"/>
              <w:outlineLvl w:val="2"/>
              <w:rPr>
                <w:rFonts w:hint="eastAsia" w:ascii="宋体" w:hAnsi="宋体" w:cs="宋体"/>
                <w:szCs w:val="21"/>
                <w:highlight w:val="none"/>
              </w:rPr>
            </w:pPr>
            <w:r>
              <w:rPr>
                <w:rFonts w:hint="eastAsia" w:ascii="宋体" w:hAnsi="宋体" w:cs="宋体"/>
                <w:szCs w:val="21"/>
                <w:highlight w:val="none"/>
              </w:rPr>
              <w:t>8分</w:t>
            </w:r>
          </w:p>
        </w:tc>
        <w:tc>
          <w:tcPr>
            <w:tcW w:w="3172" w:type="pct"/>
            <w:tcBorders>
              <w:top w:val="single" w:color="auto" w:sz="4" w:space="0"/>
              <w:left w:val="nil"/>
              <w:bottom w:val="single" w:color="auto" w:sz="4" w:space="0"/>
              <w:right w:val="single" w:color="auto" w:sz="4" w:space="0"/>
            </w:tcBorders>
            <w:vAlign w:val="center"/>
          </w:tcPr>
          <w:p w14:paraId="258E5DE6">
            <w:pPr>
              <w:spacing w:line="360" w:lineRule="auto"/>
              <w:ind w:firstLine="420" w:firstLineChars="200"/>
              <w:rPr>
                <w:rFonts w:ascii="宋体" w:cs="宋体"/>
                <w:szCs w:val="21"/>
                <w:highlight w:val="none"/>
                <w:lang w:val="zh-CN"/>
              </w:rPr>
            </w:pPr>
            <w:r>
              <w:rPr>
                <w:rFonts w:hint="eastAsia" w:ascii="宋体" w:cs="宋体"/>
                <w:szCs w:val="21"/>
                <w:highlight w:val="none"/>
                <w:lang w:val="zh-CN"/>
              </w:rPr>
              <w:t>根据检测工作的程序检测的内容、方法、检测频率、检测手段、检测资料及分析报告、最终报告的形成的可行性、针对性和可靠性等方面进行评审。</w:t>
            </w:r>
          </w:p>
          <w:p w14:paraId="61B51034">
            <w:pPr>
              <w:spacing w:line="360" w:lineRule="auto"/>
              <w:ind w:firstLine="420" w:firstLineChars="200"/>
              <w:rPr>
                <w:rFonts w:ascii="宋体" w:cs="宋体"/>
                <w:szCs w:val="21"/>
                <w:highlight w:val="none"/>
                <w:lang w:val="zh-CN"/>
              </w:rPr>
            </w:pPr>
            <w:r>
              <w:rPr>
                <w:rFonts w:hint="eastAsia" w:ascii="宋体" w:cs="宋体"/>
                <w:szCs w:val="21"/>
                <w:highlight w:val="none"/>
                <w:lang w:val="zh-CN"/>
              </w:rPr>
              <w:t>可行性、针对性高和可靠性强的得</w:t>
            </w:r>
            <w:r>
              <w:rPr>
                <w:rFonts w:hint="eastAsia" w:ascii="宋体" w:cs="宋体"/>
                <w:szCs w:val="21"/>
                <w:highlight w:val="none"/>
              </w:rPr>
              <w:t>8</w:t>
            </w:r>
            <w:r>
              <w:rPr>
                <w:rFonts w:hint="eastAsia" w:ascii="宋体" w:cs="宋体"/>
                <w:szCs w:val="21"/>
                <w:highlight w:val="none"/>
                <w:lang w:val="zh-CN"/>
              </w:rPr>
              <w:t>分，</w:t>
            </w:r>
          </w:p>
          <w:p w14:paraId="7A3B77F3">
            <w:pPr>
              <w:spacing w:line="360" w:lineRule="auto"/>
              <w:ind w:firstLine="420" w:firstLineChars="200"/>
              <w:rPr>
                <w:rFonts w:ascii="宋体" w:cs="宋体"/>
                <w:szCs w:val="21"/>
                <w:highlight w:val="none"/>
                <w:lang w:val="zh-CN"/>
              </w:rPr>
            </w:pPr>
            <w:r>
              <w:rPr>
                <w:rFonts w:hint="eastAsia" w:ascii="宋体" w:cs="宋体"/>
                <w:szCs w:val="21"/>
                <w:highlight w:val="none"/>
                <w:lang w:val="zh-CN"/>
              </w:rPr>
              <w:t>可行性、针对性一般，可靠性一般的</w:t>
            </w:r>
            <w:r>
              <w:rPr>
                <w:rFonts w:hint="eastAsia" w:ascii="宋体" w:cs="宋体"/>
                <w:szCs w:val="21"/>
                <w:highlight w:val="none"/>
              </w:rPr>
              <w:t>5</w:t>
            </w:r>
            <w:r>
              <w:rPr>
                <w:rFonts w:hint="eastAsia" w:ascii="宋体" w:cs="宋体"/>
                <w:szCs w:val="21"/>
                <w:highlight w:val="none"/>
                <w:lang w:val="zh-CN"/>
              </w:rPr>
              <w:t>分，</w:t>
            </w:r>
          </w:p>
          <w:p w14:paraId="5675960B">
            <w:pPr>
              <w:spacing w:line="360" w:lineRule="auto"/>
              <w:ind w:firstLine="420" w:firstLineChars="200"/>
              <w:rPr>
                <w:rFonts w:ascii="宋体" w:cs="宋体"/>
                <w:szCs w:val="21"/>
                <w:highlight w:val="none"/>
                <w:lang w:val="zh-CN"/>
              </w:rPr>
            </w:pPr>
            <w:r>
              <w:rPr>
                <w:rFonts w:hint="eastAsia" w:ascii="宋体" w:cs="宋体"/>
                <w:szCs w:val="21"/>
                <w:highlight w:val="none"/>
                <w:lang w:val="zh-CN"/>
              </w:rPr>
              <w:t>可行性、针对性较差，可靠性不强的得</w:t>
            </w:r>
            <w:r>
              <w:rPr>
                <w:rFonts w:hint="eastAsia" w:ascii="宋体" w:cs="宋体"/>
                <w:szCs w:val="21"/>
                <w:highlight w:val="none"/>
              </w:rPr>
              <w:t>2</w:t>
            </w:r>
            <w:r>
              <w:rPr>
                <w:rFonts w:hint="eastAsia" w:ascii="宋体" w:cs="宋体"/>
                <w:szCs w:val="21"/>
                <w:highlight w:val="none"/>
                <w:lang w:val="zh-CN"/>
              </w:rPr>
              <w:t>分。</w:t>
            </w:r>
          </w:p>
          <w:p w14:paraId="780A0C12">
            <w:pPr>
              <w:spacing w:line="360" w:lineRule="auto"/>
              <w:ind w:firstLine="420" w:firstLineChars="200"/>
              <w:rPr>
                <w:rFonts w:hint="eastAsia" w:hAnsi="宋体"/>
                <w:szCs w:val="21"/>
                <w:highlight w:val="none"/>
              </w:rPr>
            </w:pPr>
            <w:r>
              <w:rPr>
                <w:rFonts w:hint="eastAsia" w:ascii="宋体" w:cs="宋体"/>
                <w:szCs w:val="21"/>
                <w:highlight w:val="none"/>
                <w:lang w:val="zh-CN"/>
              </w:rPr>
              <w:t>未提供不得分。</w:t>
            </w:r>
          </w:p>
        </w:tc>
      </w:tr>
      <w:tr w14:paraId="33D082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593" w:type="pct"/>
            <w:vMerge w:val="continue"/>
            <w:tcBorders>
              <w:left w:val="single" w:color="auto" w:sz="4" w:space="0"/>
              <w:right w:val="single" w:color="auto" w:sz="4" w:space="0"/>
            </w:tcBorders>
            <w:vAlign w:val="center"/>
          </w:tcPr>
          <w:p w14:paraId="5F006F1F">
            <w:pPr>
              <w:spacing w:line="320" w:lineRule="exact"/>
              <w:jc w:val="center"/>
              <w:rPr>
                <w:rFonts w:hint="eastAsia" w:ascii="宋体" w:hAnsi="宋体" w:cs="方正仿宋_GBK"/>
                <w:szCs w:val="21"/>
                <w:highlight w:val="none"/>
              </w:rPr>
            </w:pPr>
          </w:p>
        </w:tc>
        <w:tc>
          <w:tcPr>
            <w:tcW w:w="778" w:type="pct"/>
            <w:tcBorders>
              <w:top w:val="single" w:color="auto" w:sz="4" w:space="0"/>
              <w:left w:val="nil"/>
              <w:bottom w:val="single" w:color="auto" w:sz="4" w:space="0"/>
              <w:right w:val="single" w:color="auto" w:sz="4" w:space="0"/>
            </w:tcBorders>
            <w:vAlign w:val="center"/>
          </w:tcPr>
          <w:p w14:paraId="2EB3E74F">
            <w:pPr>
              <w:spacing w:line="360" w:lineRule="exact"/>
              <w:jc w:val="center"/>
              <w:outlineLvl w:val="2"/>
              <w:rPr>
                <w:rFonts w:hint="eastAsia" w:ascii="宋体" w:hAnsi="宋体" w:cs="宋体"/>
                <w:szCs w:val="21"/>
                <w:highlight w:val="none"/>
              </w:rPr>
            </w:pPr>
            <w:r>
              <w:rPr>
                <w:rFonts w:ascii="宋体" w:hAnsi="宋体"/>
                <w:szCs w:val="21"/>
                <w:highlight w:val="none"/>
              </w:rPr>
              <w:t>检测工作服务的目标及保证措施</w:t>
            </w:r>
          </w:p>
        </w:tc>
        <w:tc>
          <w:tcPr>
            <w:tcW w:w="455" w:type="pct"/>
            <w:tcBorders>
              <w:top w:val="single" w:color="auto" w:sz="4" w:space="0"/>
              <w:left w:val="nil"/>
              <w:bottom w:val="single" w:color="auto" w:sz="4" w:space="0"/>
              <w:right w:val="single" w:color="auto" w:sz="4" w:space="0"/>
            </w:tcBorders>
            <w:vAlign w:val="center"/>
          </w:tcPr>
          <w:p w14:paraId="46BD7C85">
            <w:pPr>
              <w:spacing w:line="264" w:lineRule="auto"/>
              <w:jc w:val="center"/>
              <w:outlineLvl w:val="2"/>
              <w:rPr>
                <w:rFonts w:hint="eastAsia" w:ascii="宋体" w:hAnsi="宋体" w:cs="宋体"/>
                <w:szCs w:val="21"/>
                <w:highlight w:val="none"/>
              </w:rPr>
            </w:pPr>
            <w:r>
              <w:rPr>
                <w:rFonts w:hint="eastAsia" w:ascii="宋体" w:hAnsi="宋体" w:cs="宋体"/>
                <w:szCs w:val="21"/>
                <w:highlight w:val="none"/>
              </w:rPr>
              <w:t>8分</w:t>
            </w:r>
          </w:p>
        </w:tc>
        <w:tc>
          <w:tcPr>
            <w:tcW w:w="3172" w:type="pct"/>
            <w:tcBorders>
              <w:top w:val="single" w:color="auto" w:sz="4" w:space="0"/>
              <w:left w:val="nil"/>
              <w:bottom w:val="single" w:color="auto" w:sz="4" w:space="0"/>
              <w:right w:val="single" w:color="auto" w:sz="4" w:space="0"/>
            </w:tcBorders>
            <w:vAlign w:val="center"/>
          </w:tcPr>
          <w:p w14:paraId="6E5EC458">
            <w:pPr>
              <w:spacing w:line="360" w:lineRule="auto"/>
              <w:ind w:firstLine="420" w:firstLineChars="200"/>
              <w:rPr>
                <w:rFonts w:ascii="宋体" w:cs="宋体"/>
                <w:szCs w:val="21"/>
                <w:highlight w:val="none"/>
                <w:lang w:val="zh-CN"/>
              </w:rPr>
            </w:pPr>
            <w:r>
              <w:rPr>
                <w:rFonts w:hint="eastAsia" w:ascii="宋体" w:cs="宋体"/>
                <w:szCs w:val="21"/>
                <w:highlight w:val="none"/>
                <w:lang w:val="zh-CN"/>
              </w:rPr>
              <w:t>根据检测工作服务的目标、保证检测精度的技术措施、检测进度计划及保证检测进度的措施、检测工作质量与服务保证措施、安全生产管理措施、配合、协调工作的要求等方面进行评分：</w:t>
            </w:r>
          </w:p>
          <w:p w14:paraId="449F4F7E">
            <w:pPr>
              <w:spacing w:line="360" w:lineRule="auto"/>
              <w:ind w:firstLine="420" w:firstLineChars="200"/>
              <w:rPr>
                <w:rFonts w:ascii="宋体" w:cs="宋体"/>
                <w:szCs w:val="21"/>
                <w:highlight w:val="none"/>
                <w:lang w:val="zh-CN"/>
              </w:rPr>
            </w:pPr>
            <w:r>
              <w:rPr>
                <w:rFonts w:hint="eastAsia" w:ascii="宋体" w:cs="宋体"/>
                <w:szCs w:val="21"/>
                <w:highlight w:val="none"/>
                <w:lang w:val="zh-CN"/>
              </w:rPr>
              <w:t>内容完整性强、进度计划合理、方案科学合理得</w:t>
            </w:r>
            <w:r>
              <w:rPr>
                <w:rFonts w:hint="eastAsia" w:ascii="宋体" w:cs="宋体"/>
                <w:szCs w:val="21"/>
                <w:highlight w:val="none"/>
              </w:rPr>
              <w:t>8</w:t>
            </w:r>
            <w:r>
              <w:rPr>
                <w:rFonts w:hint="eastAsia" w:ascii="宋体" w:cs="宋体"/>
                <w:szCs w:val="21"/>
                <w:highlight w:val="none"/>
                <w:lang w:val="zh-CN"/>
              </w:rPr>
              <w:t>分；</w:t>
            </w:r>
          </w:p>
          <w:p w14:paraId="2EB9616D">
            <w:pPr>
              <w:spacing w:line="360" w:lineRule="auto"/>
              <w:ind w:firstLine="420" w:firstLineChars="200"/>
              <w:rPr>
                <w:rFonts w:ascii="宋体" w:cs="宋体"/>
                <w:szCs w:val="21"/>
                <w:highlight w:val="none"/>
                <w:lang w:val="zh-CN"/>
              </w:rPr>
            </w:pPr>
            <w:r>
              <w:rPr>
                <w:rFonts w:hint="eastAsia" w:ascii="宋体" w:cs="宋体"/>
                <w:szCs w:val="21"/>
                <w:highlight w:val="none"/>
                <w:lang w:val="zh-CN"/>
              </w:rPr>
              <w:t>内容完整性强、进度计划基本可行或方案较为科学合理得</w:t>
            </w:r>
            <w:r>
              <w:rPr>
                <w:rFonts w:hint="eastAsia" w:ascii="宋体" w:cs="宋体"/>
                <w:szCs w:val="21"/>
                <w:highlight w:val="none"/>
              </w:rPr>
              <w:t>5</w:t>
            </w:r>
            <w:r>
              <w:rPr>
                <w:rFonts w:hint="eastAsia" w:ascii="宋体" w:cs="宋体"/>
                <w:szCs w:val="21"/>
                <w:highlight w:val="none"/>
                <w:lang w:val="zh-CN"/>
              </w:rPr>
              <w:t>分；内容完整性较差或进度计划不合理或方案不合理得</w:t>
            </w:r>
            <w:r>
              <w:rPr>
                <w:rFonts w:hint="eastAsia" w:ascii="宋体" w:cs="宋体"/>
                <w:szCs w:val="21"/>
                <w:highlight w:val="none"/>
              </w:rPr>
              <w:t>2</w:t>
            </w:r>
            <w:r>
              <w:rPr>
                <w:rFonts w:hint="eastAsia" w:ascii="宋体" w:cs="宋体"/>
                <w:szCs w:val="21"/>
                <w:highlight w:val="none"/>
                <w:lang w:val="zh-CN"/>
              </w:rPr>
              <w:t>分。</w:t>
            </w:r>
          </w:p>
          <w:p w14:paraId="18DB6579">
            <w:pPr>
              <w:spacing w:line="360" w:lineRule="auto"/>
              <w:ind w:firstLine="420" w:firstLineChars="200"/>
              <w:rPr>
                <w:highlight w:val="none"/>
              </w:rPr>
            </w:pPr>
            <w:r>
              <w:rPr>
                <w:rFonts w:hint="eastAsia" w:ascii="宋体" w:cs="宋体"/>
                <w:szCs w:val="21"/>
                <w:highlight w:val="none"/>
                <w:lang w:val="zh-CN"/>
              </w:rPr>
              <w:t>未提供不得分。</w:t>
            </w:r>
          </w:p>
        </w:tc>
      </w:tr>
      <w:tr w14:paraId="0B6F7E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46" w:hRule="atLeast"/>
          <w:jc w:val="center"/>
        </w:trPr>
        <w:tc>
          <w:tcPr>
            <w:tcW w:w="593" w:type="pct"/>
            <w:vMerge w:val="continue"/>
            <w:tcBorders>
              <w:left w:val="single" w:color="auto" w:sz="4" w:space="0"/>
              <w:right w:val="single" w:color="auto" w:sz="4" w:space="0"/>
            </w:tcBorders>
            <w:vAlign w:val="center"/>
          </w:tcPr>
          <w:p w14:paraId="6126E8FA">
            <w:pPr>
              <w:spacing w:line="320" w:lineRule="exact"/>
              <w:rPr>
                <w:rFonts w:hint="eastAsia" w:ascii="宋体" w:hAnsi="宋体" w:cs="方正仿宋_GBK"/>
                <w:szCs w:val="21"/>
                <w:highlight w:val="none"/>
              </w:rPr>
            </w:pPr>
          </w:p>
        </w:tc>
        <w:tc>
          <w:tcPr>
            <w:tcW w:w="778" w:type="pct"/>
            <w:tcBorders>
              <w:top w:val="single" w:color="auto" w:sz="4" w:space="0"/>
              <w:left w:val="nil"/>
              <w:bottom w:val="single" w:color="auto" w:sz="4" w:space="0"/>
              <w:right w:val="single" w:color="auto" w:sz="4" w:space="0"/>
            </w:tcBorders>
            <w:vAlign w:val="center"/>
          </w:tcPr>
          <w:p w14:paraId="2CC4B6EF">
            <w:pPr>
              <w:spacing w:line="360" w:lineRule="exact"/>
              <w:jc w:val="center"/>
              <w:outlineLvl w:val="2"/>
              <w:rPr>
                <w:rFonts w:hint="eastAsia" w:ascii="宋体" w:hAnsi="宋体" w:cs="宋体"/>
                <w:szCs w:val="21"/>
                <w:highlight w:val="none"/>
              </w:rPr>
            </w:pPr>
            <w:r>
              <w:rPr>
                <w:rFonts w:hint="eastAsia" w:ascii="宋体" w:hAnsi="宋体"/>
                <w:szCs w:val="21"/>
                <w:highlight w:val="none"/>
              </w:rPr>
              <w:t>本项目的重点和难点分析及对策措施</w:t>
            </w:r>
          </w:p>
        </w:tc>
        <w:tc>
          <w:tcPr>
            <w:tcW w:w="455" w:type="pct"/>
            <w:tcBorders>
              <w:top w:val="single" w:color="auto" w:sz="4" w:space="0"/>
              <w:left w:val="nil"/>
              <w:bottom w:val="single" w:color="auto" w:sz="4" w:space="0"/>
              <w:right w:val="single" w:color="auto" w:sz="4" w:space="0"/>
            </w:tcBorders>
            <w:vAlign w:val="center"/>
          </w:tcPr>
          <w:p w14:paraId="11AAA8D2">
            <w:pPr>
              <w:pStyle w:val="9"/>
              <w:spacing w:line="360" w:lineRule="auto"/>
              <w:jc w:val="center"/>
              <w:rPr>
                <w:rFonts w:hint="eastAsia" w:hAnsi="宋体"/>
                <w:szCs w:val="21"/>
                <w:highlight w:val="none"/>
                <w:lang w:val="zh-CN"/>
              </w:rPr>
            </w:pPr>
            <w:r>
              <w:rPr>
                <w:rFonts w:hint="eastAsia" w:hAnsi="宋体"/>
                <w:szCs w:val="21"/>
                <w:highlight w:val="none"/>
              </w:rPr>
              <w:t>8</w:t>
            </w:r>
            <w:r>
              <w:rPr>
                <w:rFonts w:hint="eastAsia" w:hAnsi="宋体"/>
                <w:szCs w:val="21"/>
                <w:highlight w:val="none"/>
                <w:lang w:val="zh-CN"/>
              </w:rPr>
              <w:t>分</w:t>
            </w:r>
          </w:p>
        </w:tc>
        <w:tc>
          <w:tcPr>
            <w:tcW w:w="3172" w:type="pct"/>
            <w:tcBorders>
              <w:top w:val="single" w:color="auto" w:sz="4" w:space="0"/>
              <w:left w:val="nil"/>
              <w:bottom w:val="single" w:color="auto" w:sz="4" w:space="0"/>
              <w:right w:val="single" w:color="auto" w:sz="4" w:space="0"/>
            </w:tcBorders>
            <w:vAlign w:val="center"/>
          </w:tcPr>
          <w:p w14:paraId="5B1B4A64">
            <w:pPr>
              <w:spacing w:line="360" w:lineRule="auto"/>
              <w:ind w:firstLine="420" w:firstLineChars="200"/>
              <w:rPr>
                <w:rFonts w:ascii="宋体" w:cs="宋体"/>
                <w:szCs w:val="21"/>
                <w:highlight w:val="none"/>
                <w:lang w:val="zh-CN"/>
              </w:rPr>
            </w:pPr>
            <w:r>
              <w:rPr>
                <w:rFonts w:hint="eastAsia" w:ascii="宋体" w:cs="宋体"/>
                <w:szCs w:val="21"/>
                <w:highlight w:val="none"/>
                <w:lang w:val="zh-CN"/>
              </w:rPr>
              <w:t>供应商针对本项目概况及沿线情况是否掌握、检测工作重点难点的分析是否准确、采取的相应措施是否有效等方面进行编制。</w:t>
            </w:r>
          </w:p>
          <w:p w14:paraId="4101D0D2">
            <w:pPr>
              <w:spacing w:line="360" w:lineRule="auto"/>
              <w:ind w:firstLine="420" w:firstLineChars="200"/>
              <w:rPr>
                <w:rFonts w:ascii="宋体" w:cs="宋体"/>
                <w:szCs w:val="21"/>
                <w:highlight w:val="none"/>
                <w:lang w:val="zh-CN"/>
              </w:rPr>
            </w:pPr>
            <w:r>
              <w:rPr>
                <w:rFonts w:hint="eastAsia" w:ascii="宋体" w:cs="宋体"/>
                <w:szCs w:val="21"/>
                <w:highlight w:val="none"/>
                <w:lang w:val="zh-CN"/>
              </w:rPr>
              <w:t>方案完善、可行性、针对性高和可靠性强的得</w:t>
            </w:r>
            <w:r>
              <w:rPr>
                <w:rFonts w:hint="eastAsia" w:ascii="宋体" w:cs="宋体"/>
                <w:szCs w:val="21"/>
                <w:highlight w:val="none"/>
              </w:rPr>
              <w:t>8</w:t>
            </w:r>
            <w:r>
              <w:rPr>
                <w:rFonts w:hint="eastAsia" w:ascii="宋体" w:cs="宋体"/>
                <w:szCs w:val="21"/>
                <w:highlight w:val="none"/>
                <w:lang w:val="zh-CN"/>
              </w:rPr>
              <w:t>分，</w:t>
            </w:r>
          </w:p>
          <w:p w14:paraId="7DB4D0BE">
            <w:pPr>
              <w:spacing w:line="360" w:lineRule="auto"/>
              <w:ind w:firstLine="420" w:firstLineChars="200"/>
              <w:rPr>
                <w:rFonts w:ascii="宋体" w:cs="宋体"/>
                <w:szCs w:val="21"/>
                <w:highlight w:val="none"/>
                <w:lang w:val="zh-CN"/>
              </w:rPr>
            </w:pPr>
            <w:r>
              <w:rPr>
                <w:rFonts w:hint="eastAsia" w:ascii="宋体" w:cs="宋体"/>
                <w:szCs w:val="21"/>
                <w:highlight w:val="none"/>
                <w:lang w:val="zh-CN"/>
              </w:rPr>
              <w:t>可行性或针对性或可靠性基本可行的</w:t>
            </w:r>
            <w:r>
              <w:rPr>
                <w:rFonts w:hint="eastAsia" w:ascii="宋体" w:cs="宋体"/>
                <w:szCs w:val="21"/>
                <w:highlight w:val="none"/>
              </w:rPr>
              <w:t>5</w:t>
            </w:r>
            <w:r>
              <w:rPr>
                <w:rFonts w:hint="eastAsia" w:ascii="宋体" w:cs="宋体"/>
                <w:szCs w:val="21"/>
                <w:highlight w:val="none"/>
                <w:lang w:val="zh-CN"/>
              </w:rPr>
              <w:t>分，</w:t>
            </w:r>
          </w:p>
          <w:p w14:paraId="1CB8FBAB">
            <w:pPr>
              <w:spacing w:line="360" w:lineRule="auto"/>
              <w:ind w:firstLine="420" w:firstLineChars="200"/>
              <w:rPr>
                <w:rFonts w:ascii="宋体" w:cs="宋体"/>
                <w:szCs w:val="21"/>
                <w:highlight w:val="none"/>
                <w:lang w:val="zh-CN"/>
              </w:rPr>
            </w:pPr>
            <w:r>
              <w:rPr>
                <w:rFonts w:hint="eastAsia" w:ascii="宋体" w:cs="宋体"/>
                <w:szCs w:val="21"/>
                <w:highlight w:val="none"/>
                <w:lang w:val="zh-CN"/>
              </w:rPr>
              <w:t>可行性或针对性或可靠性不强，执行有困难的得</w:t>
            </w:r>
            <w:r>
              <w:rPr>
                <w:rFonts w:hint="eastAsia" w:ascii="宋体" w:cs="宋体"/>
                <w:szCs w:val="21"/>
                <w:highlight w:val="none"/>
              </w:rPr>
              <w:t>2</w:t>
            </w:r>
            <w:r>
              <w:rPr>
                <w:rFonts w:hint="eastAsia" w:ascii="宋体" w:cs="宋体"/>
                <w:szCs w:val="21"/>
                <w:highlight w:val="none"/>
                <w:lang w:val="zh-CN"/>
              </w:rPr>
              <w:t>分。</w:t>
            </w:r>
          </w:p>
          <w:p w14:paraId="7F9B7F4C">
            <w:pPr>
              <w:spacing w:line="360" w:lineRule="auto"/>
              <w:ind w:firstLine="420" w:firstLineChars="200"/>
              <w:rPr>
                <w:rFonts w:hint="eastAsia" w:hAnsi="宋体"/>
                <w:szCs w:val="21"/>
                <w:highlight w:val="none"/>
                <w:lang w:val="zh-CN"/>
              </w:rPr>
            </w:pPr>
            <w:r>
              <w:rPr>
                <w:rFonts w:hint="eastAsia" w:ascii="宋体" w:cs="宋体"/>
                <w:szCs w:val="21"/>
                <w:highlight w:val="none"/>
                <w:lang w:val="zh-CN"/>
              </w:rPr>
              <w:t>未提供不得分。</w:t>
            </w:r>
          </w:p>
        </w:tc>
      </w:tr>
      <w:tr w14:paraId="1AE4B3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46" w:hRule="atLeast"/>
          <w:jc w:val="center"/>
        </w:trPr>
        <w:tc>
          <w:tcPr>
            <w:tcW w:w="593" w:type="pct"/>
            <w:vMerge w:val="continue"/>
            <w:tcBorders>
              <w:left w:val="single" w:color="auto" w:sz="4" w:space="0"/>
              <w:right w:val="single" w:color="auto" w:sz="4" w:space="0"/>
            </w:tcBorders>
            <w:vAlign w:val="center"/>
          </w:tcPr>
          <w:p w14:paraId="4F65D8F6">
            <w:pPr>
              <w:spacing w:line="320" w:lineRule="exact"/>
              <w:rPr>
                <w:rFonts w:hint="eastAsia" w:ascii="宋体" w:hAnsi="宋体" w:cs="方正仿宋_GBK"/>
                <w:szCs w:val="21"/>
                <w:highlight w:val="none"/>
              </w:rPr>
            </w:pPr>
          </w:p>
        </w:tc>
        <w:tc>
          <w:tcPr>
            <w:tcW w:w="778" w:type="pct"/>
            <w:tcBorders>
              <w:top w:val="single" w:color="auto" w:sz="4" w:space="0"/>
              <w:left w:val="nil"/>
              <w:bottom w:val="single" w:color="auto" w:sz="4" w:space="0"/>
              <w:right w:val="single" w:color="auto" w:sz="4" w:space="0"/>
            </w:tcBorders>
            <w:vAlign w:val="center"/>
          </w:tcPr>
          <w:p w14:paraId="11414769">
            <w:pPr>
              <w:spacing w:line="360" w:lineRule="exact"/>
              <w:jc w:val="center"/>
              <w:outlineLvl w:val="2"/>
              <w:rPr>
                <w:rFonts w:hint="eastAsia" w:ascii="宋体" w:hAnsi="宋体"/>
                <w:szCs w:val="21"/>
                <w:highlight w:val="none"/>
              </w:rPr>
            </w:pPr>
            <w:r>
              <w:rPr>
                <w:rFonts w:hint="eastAsia" w:ascii="宋体" w:hAnsi="宋体"/>
                <w:szCs w:val="21"/>
                <w:highlight w:val="none"/>
              </w:rPr>
              <w:t>交通组织方案及应急预案</w:t>
            </w:r>
          </w:p>
        </w:tc>
        <w:tc>
          <w:tcPr>
            <w:tcW w:w="455" w:type="pct"/>
            <w:tcBorders>
              <w:top w:val="single" w:color="auto" w:sz="4" w:space="0"/>
              <w:left w:val="nil"/>
              <w:bottom w:val="single" w:color="auto" w:sz="4" w:space="0"/>
              <w:right w:val="single" w:color="auto" w:sz="4" w:space="0"/>
            </w:tcBorders>
            <w:vAlign w:val="center"/>
          </w:tcPr>
          <w:p w14:paraId="105D4C28">
            <w:pPr>
              <w:spacing w:line="264" w:lineRule="auto"/>
              <w:jc w:val="center"/>
              <w:outlineLvl w:val="2"/>
              <w:rPr>
                <w:rFonts w:ascii="宋体" w:hAnsi="Courier New"/>
                <w:szCs w:val="20"/>
                <w:highlight w:val="none"/>
                <w:lang w:val="zh-CN"/>
              </w:rPr>
            </w:pPr>
            <w:r>
              <w:rPr>
                <w:rFonts w:hint="eastAsia" w:ascii="宋体" w:hAnsi="Courier New"/>
                <w:szCs w:val="20"/>
                <w:highlight w:val="none"/>
              </w:rPr>
              <w:t>8</w:t>
            </w:r>
            <w:r>
              <w:rPr>
                <w:rFonts w:hint="eastAsia" w:ascii="宋体" w:hAnsi="Courier New"/>
                <w:szCs w:val="20"/>
                <w:highlight w:val="none"/>
                <w:lang w:val="zh-CN"/>
              </w:rPr>
              <w:t>分</w:t>
            </w:r>
          </w:p>
        </w:tc>
        <w:tc>
          <w:tcPr>
            <w:tcW w:w="3172" w:type="pct"/>
            <w:tcBorders>
              <w:top w:val="single" w:color="auto" w:sz="4" w:space="0"/>
              <w:left w:val="nil"/>
              <w:bottom w:val="single" w:color="auto" w:sz="4" w:space="0"/>
              <w:right w:val="single" w:color="auto" w:sz="4" w:space="0"/>
            </w:tcBorders>
            <w:vAlign w:val="center"/>
          </w:tcPr>
          <w:p w14:paraId="663F592B">
            <w:pPr>
              <w:spacing w:line="360" w:lineRule="auto"/>
              <w:ind w:firstLine="420" w:firstLineChars="200"/>
              <w:rPr>
                <w:rFonts w:ascii="宋体" w:cs="宋体"/>
                <w:szCs w:val="21"/>
                <w:highlight w:val="none"/>
                <w:lang w:val="zh-CN"/>
              </w:rPr>
            </w:pPr>
            <w:r>
              <w:rPr>
                <w:rFonts w:hint="eastAsia" w:ascii="宋体" w:cs="宋体"/>
                <w:szCs w:val="21"/>
                <w:highlight w:val="none"/>
              </w:rPr>
              <w:t>1.</w:t>
            </w:r>
            <w:r>
              <w:rPr>
                <w:rFonts w:hint="eastAsia" w:ascii="宋体" w:cs="宋体"/>
                <w:szCs w:val="21"/>
                <w:highlight w:val="none"/>
                <w:lang w:val="zh-CN"/>
              </w:rPr>
              <w:t>交通组织方案全面、得力，分析准确、清晰，保障措施切实可行等方面进行编制</w:t>
            </w:r>
          </w:p>
          <w:p w14:paraId="274CC121">
            <w:pPr>
              <w:spacing w:line="360" w:lineRule="auto"/>
              <w:ind w:firstLine="420" w:firstLineChars="200"/>
              <w:rPr>
                <w:rFonts w:ascii="宋体" w:cs="宋体"/>
                <w:szCs w:val="21"/>
                <w:highlight w:val="none"/>
                <w:lang w:val="zh-CN"/>
              </w:rPr>
            </w:pPr>
            <w:r>
              <w:rPr>
                <w:rFonts w:hint="eastAsia" w:ascii="宋体" w:cs="宋体"/>
                <w:szCs w:val="21"/>
                <w:highlight w:val="none"/>
                <w:lang w:val="zh-CN"/>
              </w:rPr>
              <w:t>方案完善、可行性、针对性高和可靠性强的得4分，</w:t>
            </w:r>
          </w:p>
          <w:p w14:paraId="4699E827">
            <w:pPr>
              <w:spacing w:line="360" w:lineRule="auto"/>
              <w:ind w:firstLine="420" w:firstLineChars="200"/>
              <w:rPr>
                <w:rFonts w:ascii="宋体" w:cs="宋体"/>
                <w:szCs w:val="21"/>
                <w:highlight w:val="none"/>
                <w:lang w:val="zh-CN"/>
              </w:rPr>
            </w:pPr>
            <w:r>
              <w:rPr>
                <w:rFonts w:hint="eastAsia" w:ascii="宋体" w:cs="宋体"/>
                <w:szCs w:val="21"/>
                <w:highlight w:val="none"/>
                <w:lang w:val="zh-CN"/>
              </w:rPr>
              <w:t>可行性或针对性或可靠性基本可行的3分，</w:t>
            </w:r>
          </w:p>
          <w:p w14:paraId="196BFFDB">
            <w:pPr>
              <w:spacing w:line="360" w:lineRule="auto"/>
              <w:ind w:firstLine="420" w:firstLineChars="200"/>
              <w:rPr>
                <w:rFonts w:ascii="宋体" w:cs="宋体"/>
                <w:szCs w:val="21"/>
                <w:highlight w:val="none"/>
                <w:lang w:val="zh-CN"/>
              </w:rPr>
            </w:pPr>
            <w:r>
              <w:rPr>
                <w:rFonts w:hint="eastAsia" w:ascii="宋体" w:cs="宋体"/>
                <w:szCs w:val="21"/>
                <w:highlight w:val="none"/>
                <w:lang w:val="zh-CN"/>
              </w:rPr>
              <w:t>可行性或针对性或可靠性不强，执行有困难的得2分。</w:t>
            </w:r>
          </w:p>
          <w:p w14:paraId="5F43264F">
            <w:pPr>
              <w:spacing w:line="360" w:lineRule="auto"/>
              <w:ind w:firstLine="420" w:firstLineChars="200"/>
              <w:rPr>
                <w:rFonts w:ascii="宋体" w:cs="宋体"/>
                <w:szCs w:val="21"/>
                <w:highlight w:val="none"/>
                <w:lang w:val="zh-CN"/>
              </w:rPr>
            </w:pPr>
            <w:r>
              <w:rPr>
                <w:rFonts w:hint="eastAsia" w:ascii="宋体" w:cs="宋体"/>
                <w:szCs w:val="21"/>
                <w:highlight w:val="none"/>
                <w:lang w:val="zh-CN"/>
              </w:rPr>
              <w:t>未提供不得分。</w:t>
            </w:r>
          </w:p>
          <w:p w14:paraId="2E2195EB">
            <w:pPr>
              <w:spacing w:line="360" w:lineRule="auto"/>
              <w:ind w:firstLine="420" w:firstLineChars="200"/>
              <w:rPr>
                <w:rFonts w:ascii="宋体" w:cs="宋体"/>
                <w:szCs w:val="21"/>
                <w:highlight w:val="none"/>
                <w:lang w:val="zh-CN"/>
              </w:rPr>
            </w:pPr>
            <w:r>
              <w:rPr>
                <w:rFonts w:hint="eastAsia" w:ascii="宋体" w:cs="宋体"/>
                <w:szCs w:val="21"/>
                <w:highlight w:val="none"/>
              </w:rPr>
              <w:t>2.</w:t>
            </w:r>
            <w:r>
              <w:rPr>
                <w:rFonts w:hint="eastAsia" w:ascii="宋体" w:cs="宋体"/>
                <w:szCs w:val="21"/>
                <w:highlight w:val="none"/>
                <w:lang w:val="zh-CN"/>
              </w:rPr>
              <w:t>提供针对本项目突发事件应急方案，包括但不限于突发事故应急预案、突发事故发生后保障项目进度承诺、采购人临时安排的紧急任务应急预案。</w:t>
            </w:r>
          </w:p>
          <w:p w14:paraId="59811D74">
            <w:pPr>
              <w:spacing w:line="360" w:lineRule="auto"/>
              <w:ind w:firstLine="420" w:firstLineChars="200"/>
              <w:rPr>
                <w:rFonts w:ascii="宋体" w:cs="宋体"/>
                <w:szCs w:val="21"/>
                <w:highlight w:val="none"/>
                <w:lang w:val="zh-CN"/>
              </w:rPr>
            </w:pPr>
            <w:r>
              <w:rPr>
                <w:rFonts w:hint="eastAsia" w:ascii="宋体" w:cs="宋体"/>
                <w:szCs w:val="21"/>
                <w:highlight w:val="none"/>
                <w:lang w:val="zh-CN"/>
              </w:rPr>
              <w:t>方案切实可行、满足项目需求，得4分；</w:t>
            </w:r>
          </w:p>
          <w:p w14:paraId="4953D71D">
            <w:pPr>
              <w:spacing w:line="360" w:lineRule="auto"/>
              <w:ind w:firstLine="420" w:firstLineChars="200"/>
              <w:rPr>
                <w:rFonts w:ascii="宋体" w:cs="宋体"/>
                <w:szCs w:val="21"/>
                <w:highlight w:val="none"/>
                <w:lang w:val="zh-CN"/>
              </w:rPr>
            </w:pPr>
            <w:r>
              <w:rPr>
                <w:rFonts w:hint="eastAsia" w:ascii="宋体" w:cs="宋体"/>
                <w:szCs w:val="21"/>
                <w:highlight w:val="none"/>
                <w:lang w:val="zh-CN"/>
              </w:rPr>
              <w:t>满足项目需求，但存在1处瑕疵：3分；</w:t>
            </w:r>
          </w:p>
          <w:p w14:paraId="3070438F">
            <w:pPr>
              <w:spacing w:line="360" w:lineRule="auto"/>
              <w:ind w:firstLine="420" w:firstLineChars="200"/>
              <w:rPr>
                <w:rFonts w:ascii="宋体" w:cs="宋体"/>
                <w:szCs w:val="21"/>
                <w:highlight w:val="none"/>
                <w:lang w:val="zh-CN"/>
              </w:rPr>
            </w:pPr>
            <w:r>
              <w:rPr>
                <w:rFonts w:hint="eastAsia" w:ascii="宋体" w:cs="宋体"/>
                <w:szCs w:val="21"/>
                <w:highlight w:val="none"/>
                <w:lang w:val="zh-CN"/>
              </w:rPr>
              <w:t>满足项目需求，但存在2处瑕疵：2分；</w:t>
            </w:r>
          </w:p>
          <w:p w14:paraId="5DDC9E7D">
            <w:pPr>
              <w:spacing w:line="360" w:lineRule="auto"/>
              <w:ind w:firstLine="420" w:firstLineChars="200"/>
              <w:rPr>
                <w:rFonts w:ascii="宋体" w:cs="宋体"/>
                <w:szCs w:val="21"/>
                <w:highlight w:val="none"/>
                <w:lang w:val="zh-CN"/>
              </w:rPr>
            </w:pPr>
            <w:r>
              <w:rPr>
                <w:rFonts w:hint="eastAsia" w:ascii="宋体" w:cs="宋体"/>
                <w:szCs w:val="21"/>
                <w:highlight w:val="none"/>
                <w:lang w:val="zh-CN"/>
              </w:rPr>
              <w:t xml:space="preserve">未提供不得分。 </w:t>
            </w:r>
          </w:p>
          <w:p w14:paraId="73B8FD92">
            <w:pPr>
              <w:spacing w:line="360" w:lineRule="auto"/>
              <w:ind w:firstLine="420" w:firstLineChars="200"/>
              <w:rPr>
                <w:rFonts w:ascii="宋体" w:cs="宋体"/>
                <w:szCs w:val="21"/>
                <w:highlight w:val="none"/>
              </w:rPr>
            </w:pPr>
            <w:r>
              <w:rPr>
                <w:rFonts w:hint="eastAsia" w:ascii="宋体" w:cs="宋体"/>
                <w:szCs w:val="21"/>
                <w:highlight w:val="none"/>
              </w:rPr>
              <w:t>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p>
        </w:tc>
      </w:tr>
      <w:tr w14:paraId="2F94C5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46" w:hRule="atLeast"/>
          <w:jc w:val="center"/>
        </w:trPr>
        <w:tc>
          <w:tcPr>
            <w:tcW w:w="593" w:type="pct"/>
            <w:vMerge w:val="continue"/>
            <w:tcBorders>
              <w:left w:val="single" w:color="auto" w:sz="4" w:space="0"/>
              <w:bottom w:val="single" w:color="auto" w:sz="4" w:space="0"/>
              <w:right w:val="single" w:color="auto" w:sz="4" w:space="0"/>
            </w:tcBorders>
            <w:vAlign w:val="center"/>
          </w:tcPr>
          <w:p w14:paraId="52D6E4CF">
            <w:pPr>
              <w:spacing w:line="320" w:lineRule="exact"/>
              <w:rPr>
                <w:rFonts w:hint="eastAsia" w:ascii="宋体" w:hAnsi="宋体" w:cs="方正仿宋_GBK"/>
                <w:szCs w:val="21"/>
                <w:highlight w:val="none"/>
              </w:rPr>
            </w:pPr>
          </w:p>
        </w:tc>
        <w:tc>
          <w:tcPr>
            <w:tcW w:w="778" w:type="pct"/>
            <w:tcBorders>
              <w:top w:val="single" w:color="auto" w:sz="4" w:space="0"/>
              <w:left w:val="nil"/>
              <w:bottom w:val="single" w:color="auto" w:sz="4" w:space="0"/>
              <w:right w:val="single" w:color="auto" w:sz="4" w:space="0"/>
            </w:tcBorders>
            <w:vAlign w:val="center"/>
          </w:tcPr>
          <w:p w14:paraId="1914BA02">
            <w:pPr>
              <w:spacing w:line="360" w:lineRule="exact"/>
              <w:jc w:val="center"/>
              <w:outlineLvl w:val="2"/>
              <w:rPr>
                <w:rFonts w:hint="eastAsia" w:ascii="宋体" w:hAnsi="宋体"/>
                <w:szCs w:val="21"/>
                <w:highlight w:val="none"/>
              </w:rPr>
            </w:pPr>
            <w:r>
              <w:rPr>
                <w:rFonts w:hint="eastAsia" w:ascii="宋体" w:hAnsi="宋体"/>
                <w:szCs w:val="21"/>
                <w:highlight w:val="none"/>
              </w:rPr>
              <w:t>投入的设备</w:t>
            </w:r>
          </w:p>
        </w:tc>
        <w:tc>
          <w:tcPr>
            <w:tcW w:w="455" w:type="pct"/>
            <w:tcBorders>
              <w:top w:val="single" w:color="auto" w:sz="4" w:space="0"/>
              <w:left w:val="nil"/>
              <w:bottom w:val="single" w:color="auto" w:sz="4" w:space="0"/>
              <w:right w:val="single" w:color="auto" w:sz="4" w:space="0"/>
            </w:tcBorders>
            <w:vAlign w:val="center"/>
          </w:tcPr>
          <w:p w14:paraId="4B30AC47">
            <w:pPr>
              <w:spacing w:line="264" w:lineRule="auto"/>
              <w:jc w:val="center"/>
              <w:outlineLvl w:val="2"/>
              <w:rPr>
                <w:rFonts w:hint="eastAsia" w:ascii="宋体" w:hAnsi="宋体" w:cs="宋体"/>
                <w:szCs w:val="21"/>
                <w:highlight w:val="none"/>
              </w:rPr>
            </w:pPr>
            <w:r>
              <w:rPr>
                <w:rFonts w:hint="eastAsia" w:ascii="宋体" w:hAnsi="宋体"/>
                <w:szCs w:val="21"/>
                <w:highlight w:val="none"/>
                <w:lang w:val="en-US" w:eastAsia="zh-CN"/>
              </w:rPr>
              <w:t>11</w:t>
            </w:r>
            <w:r>
              <w:rPr>
                <w:rFonts w:hint="eastAsia" w:ascii="宋体" w:hAnsi="宋体"/>
                <w:szCs w:val="21"/>
                <w:highlight w:val="none"/>
              </w:rPr>
              <w:t>分</w:t>
            </w:r>
          </w:p>
        </w:tc>
        <w:tc>
          <w:tcPr>
            <w:tcW w:w="3172" w:type="pct"/>
            <w:tcBorders>
              <w:top w:val="single" w:color="auto" w:sz="4" w:space="0"/>
              <w:left w:val="nil"/>
              <w:bottom w:val="single" w:color="auto" w:sz="4" w:space="0"/>
              <w:right w:val="single" w:color="auto" w:sz="4" w:space="0"/>
            </w:tcBorders>
            <w:vAlign w:val="center"/>
          </w:tcPr>
          <w:p w14:paraId="254DF98F">
            <w:pPr>
              <w:spacing w:line="360" w:lineRule="auto"/>
              <w:ind w:firstLine="420" w:firstLineChars="200"/>
              <w:rPr>
                <w:rFonts w:ascii="宋体" w:cs="宋体"/>
                <w:szCs w:val="21"/>
                <w:highlight w:val="none"/>
                <w:lang w:val="zh-CN"/>
              </w:rPr>
            </w:pPr>
            <w:r>
              <w:rPr>
                <w:rFonts w:hint="eastAsia" w:ascii="宋体" w:cs="宋体"/>
                <w:szCs w:val="21"/>
                <w:highlight w:val="none"/>
                <w:lang w:val="zh-CN"/>
              </w:rPr>
              <w:t>据拟投入设备的种类是否齐备，技术性能是否先进，数量是否满足检查工作要求，是否符合本项目检测特点进行评分。</w:t>
            </w:r>
          </w:p>
          <w:p w14:paraId="3B6BADA7">
            <w:pPr>
              <w:spacing w:line="360" w:lineRule="auto"/>
              <w:ind w:firstLine="420" w:firstLineChars="200"/>
              <w:rPr>
                <w:rFonts w:ascii="宋体" w:cs="宋体"/>
                <w:szCs w:val="21"/>
                <w:highlight w:val="none"/>
                <w:lang w:val="zh-CN"/>
              </w:rPr>
            </w:pPr>
            <w:r>
              <w:rPr>
                <w:rFonts w:hint="eastAsia" w:ascii="宋体" w:cs="宋体"/>
                <w:szCs w:val="21"/>
                <w:highlight w:val="none"/>
                <w:lang w:val="zh-CN"/>
              </w:rPr>
              <w:t>投入的设备种类齐备、性能先进、数量充足得</w:t>
            </w:r>
            <w:r>
              <w:rPr>
                <w:rFonts w:hint="eastAsia" w:ascii="宋体" w:cs="宋体"/>
                <w:szCs w:val="21"/>
                <w:highlight w:val="none"/>
                <w:lang w:val="en-US" w:eastAsia="zh-CN"/>
              </w:rPr>
              <w:t>11</w:t>
            </w:r>
            <w:r>
              <w:rPr>
                <w:rFonts w:hint="eastAsia" w:ascii="宋体" w:cs="宋体"/>
                <w:szCs w:val="21"/>
                <w:highlight w:val="none"/>
                <w:lang w:val="zh-CN"/>
              </w:rPr>
              <w:t>分；</w:t>
            </w:r>
          </w:p>
          <w:p w14:paraId="2CF1BD2E">
            <w:pPr>
              <w:spacing w:line="360" w:lineRule="auto"/>
              <w:ind w:firstLine="420" w:firstLineChars="200"/>
              <w:rPr>
                <w:rFonts w:ascii="宋体" w:cs="宋体"/>
                <w:szCs w:val="21"/>
                <w:highlight w:val="none"/>
                <w:lang w:val="zh-CN"/>
              </w:rPr>
            </w:pPr>
            <w:r>
              <w:rPr>
                <w:rFonts w:hint="eastAsia" w:ascii="宋体" w:cs="宋体"/>
                <w:szCs w:val="21"/>
                <w:highlight w:val="none"/>
                <w:lang w:val="zh-CN"/>
              </w:rPr>
              <w:t>投入的设备种类、性能、数量基本满足需求得</w:t>
            </w:r>
            <w:r>
              <w:rPr>
                <w:rFonts w:hint="eastAsia" w:ascii="宋体" w:cs="宋体"/>
                <w:szCs w:val="21"/>
                <w:highlight w:val="none"/>
                <w:lang w:val="en-US" w:eastAsia="zh-CN"/>
              </w:rPr>
              <w:t>8</w:t>
            </w:r>
            <w:r>
              <w:rPr>
                <w:rFonts w:hint="eastAsia" w:ascii="宋体" w:cs="宋体"/>
                <w:szCs w:val="21"/>
                <w:highlight w:val="none"/>
                <w:lang w:val="zh-CN"/>
              </w:rPr>
              <w:t>分；</w:t>
            </w:r>
          </w:p>
          <w:p w14:paraId="50F35B90">
            <w:pPr>
              <w:spacing w:line="360" w:lineRule="auto"/>
              <w:ind w:firstLine="420" w:firstLineChars="200"/>
              <w:rPr>
                <w:rFonts w:ascii="宋体" w:cs="宋体"/>
                <w:szCs w:val="21"/>
                <w:highlight w:val="none"/>
                <w:lang w:val="zh-CN"/>
              </w:rPr>
            </w:pPr>
            <w:r>
              <w:rPr>
                <w:rFonts w:hint="eastAsia" w:ascii="宋体" w:cs="宋体"/>
                <w:szCs w:val="21"/>
                <w:highlight w:val="none"/>
                <w:lang w:val="zh-CN"/>
              </w:rPr>
              <w:t>投入的设备种类欠缺、性能一般、数量不足得</w:t>
            </w:r>
            <w:r>
              <w:rPr>
                <w:rFonts w:hint="eastAsia" w:ascii="宋体" w:cs="宋体"/>
                <w:szCs w:val="21"/>
                <w:highlight w:val="none"/>
                <w:lang w:val="en-US" w:eastAsia="zh-CN"/>
              </w:rPr>
              <w:t>5</w:t>
            </w:r>
            <w:r>
              <w:rPr>
                <w:rFonts w:hint="eastAsia" w:ascii="宋体" w:cs="宋体"/>
                <w:szCs w:val="21"/>
                <w:highlight w:val="none"/>
                <w:lang w:val="zh-CN"/>
              </w:rPr>
              <w:t>分；</w:t>
            </w:r>
          </w:p>
          <w:p w14:paraId="230C7297">
            <w:pPr>
              <w:spacing w:line="360" w:lineRule="auto"/>
              <w:ind w:firstLine="420" w:firstLineChars="200"/>
              <w:rPr>
                <w:highlight w:val="none"/>
              </w:rPr>
            </w:pPr>
            <w:r>
              <w:rPr>
                <w:rFonts w:hint="eastAsia" w:ascii="宋体" w:cs="宋体"/>
                <w:szCs w:val="21"/>
                <w:highlight w:val="none"/>
                <w:lang w:val="zh-CN"/>
              </w:rPr>
              <w:t>未提供不得分。</w:t>
            </w:r>
          </w:p>
        </w:tc>
      </w:tr>
    </w:tbl>
    <w:p w14:paraId="795948E9">
      <w:pPr>
        <w:spacing w:line="360" w:lineRule="auto"/>
        <w:ind w:firstLine="482"/>
        <w:rPr>
          <w:rFonts w:hint="eastAsia" w:ascii="宋体" w:hAnsi="宋体" w:cs="宋体"/>
          <w:b/>
          <w:bCs/>
          <w:szCs w:val="21"/>
          <w:highlight w:val="none"/>
        </w:rPr>
      </w:pPr>
      <w:r>
        <w:rPr>
          <w:rFonts w:hint="eastAsia" w:ascii="宋体" w:hAnsi="宋体" w:cs="宋体"/>
          <w:b/>
          <w:bCs/>
          <w:szCs w:val="21"/>
          <w:highlight w:val="none"/>
        </w:rPr>
        <w:t>注：1.上述响应文件中，证书或证明或业绩必须提供复印件或扫描件（加盖供应商</w:t>
      </w:r>
      <w:r>
        <w:rPr>
          <w:rFonts w:hint="eastAsia" w:ascii="宋体" w:hAnsi="宋体" w:cs="宋体"/>
          <w:b/>
          <w:bCs/>
          <w:szCs w:val="21"/>
          <w:highlight w:val="none"/>
          <w:lang w:val="en-US" w:eastAsia="zh-CN"/>
        </w:rPr>
        <w:t>电子公章</w:t>
      </w:r>
      <w:r>
        <w:rPr>
          <w:rFonts w:hint="eastAsia" w:ascii="宋体" w:hAnsi="宋体" w:cs="宋体"/>
          <w:b/>
          <w:bCs/>
          <w:szCs w:val="21"/>
          <w:highlight w:val="none"/>
        </w:rPr>
        <w:t xml:space="preserve">），如发现弄虚作假的，将按照本采购文件相关条款规定予以处理。 </w:t>
      </w:r>
    </w:p>
    <w:p w14:paraId="714EF8C5">
      <w:pPr>
        <w:spacing w:line="360" w:lineRule="auto"/>
        <w:ind w:firstLine="482"/>
        <w:rPr>
          <w:rFonts w:hint="eastAsia" w:ascii="宋体" w:hAnsi="宋体" w:cs="宋体"/>
          <w:b/>
          <w:bCs/>
          <w:szCs w:val="21"/>
          <w:highlight w:val="none"/>
        </w:rPr>
      </w:pPr>
      <w:r>
        <w:rPr>
          <w:rFonts w:hint="eastAsia" w:ascii="宋体" w:hAnsi="宋体" w:cs="宋体"/>
          <w:b/>
          <w:bCs/>
          <w:szCs w:val="21"/>
          <w:highlight w:val="none"/>
        </w:rPr>
        <w:t>2.评委依据采购文件载明的方法评分，评分四舍五入精确到小数点后两位。</w:t>
      </w:r>
    </w:p>
    <w:p w14:paraId="7DAA8D95">
      <w:pPr>
        <w:spacing w:line="360" w:lineRule="auto"/>
        <w:ind w:firstLine="482"/>
        <w:rPr>
          <w:rFonts w:hint="eastAsia" w:ascii="宋体" w:hAnsi="宋体" w:cs="宋体"/>
          <w:b/>
          <w:bCs/>
          <w:szCs w:val="21"/>
          <w:highlight w:val="none"/>
        </w:rPr>
      </w:pPr>
      <w:r>
        <w:rPr>
          <w:rFonts w:hint="eastAsia" w:ascii="宋体" w:hAnsi="宋体" w:cs="宋体"/>
          <w:b/>
          <w:bCs/>
          <w:szCs w:val="21"/>
          <w:highlight w:val="none"/>
        </w:rPr>
        <w:t>3.政府采购政策功能的落实：本项目不专门面向中小微企业。供应商应在响应文件中提交《中小企业声明函》，对小型和微型企业产品的价格给予10%的扣除。</w:t>
      </w:r>
    </w:p>
    <w:p w14:paraId="13067C40">
      <w:pPr>
        <w:spacing w:line="360" w:lineRule="auto"/>
        <w:ind w:firstLine="482"/>
        <w:rPr>
          <w:rFonts w:hint="eastAsia" w:ascii="宋体" w:hAnsi="宋体" w:cs="宋体"/>
          <w:b/>
          <w:szCs w:val="21"/>
          <w:highlight w:val="none"/>
        </w:rPr>
      </w:pPr>
      <w:r>
        <w:rPr>
          <w:rFonts w:hint="eastAsia" w:ascii="宋体" w:hAnsi="宋体" w:cs="宋体"/>
          <w:b/>
          <w:szCs w:val="21"/>
          <w:highlight w:val="none"/>
        </w:rPr>
        <w:t>六、成交供应商的确定</w:t>
      </w:r>
    </w:p>
    <w:p w14:paraId="7AD9651C">
      <w:pPr>
        <w:spacing w:line="360" w:lineRule="auto"/>
        <w:ind w:firstLine="480"/>
        <w:rPr>
          <w:rFonts w:hint="eastAsia" w:ascii="宋体" w:hAnsi="宋体" w:cs="宋体"/>
          <w:szCs w:val="21"/>
          <w:highlight w:val="none"/>
        </w:rPr>
      </w:pPr>
      <w:r>
        <w:rPr>
          <w:rFonts w:hint="eastAsia" w:ascii="宋体" w:hAnsi="宋体" w:cs="宋体"/>
          <w:szCs w:val="21"/>
          <w:highlight w:val="none"/>
        </w:rPr>
        <w:t>磋商小组汇总各评委评分后，按照得分从高到低的顺序推荐3名成交候选人，并编写评审报告。</w:t>
      </w:r>
    </w:p>
    <w:p w14:paraId="0108D66A">
      <w:pPr>
        <w:spacing w:line="360" w:lineRule="auto"/>
        <w:ind w:firstLine="480"/>
        <w:rPr>
          <w:rFonts w:hint="eastAsia" w:ascii="宋体" w:hAnsi="宋体" w:cs="宋体"/>
          <w:szCs w:val="21"/>
          <w:highlight w:val="none"/>
        </w:rPr>
      </w:pPr>
      <w:r>
        <w:rPr>
          <w:rFonts w:hint="eastAsia" w:ascii="宋体" w:hAnsi="宋体" w:cs="宋体"/>
          <w:szCs w:val="21"/>
          <w:highlight w:val="none"/>
        </w:rPr>
        <w:t>采购人委托磋商小组直接确定排名第一的成交候选人为成交供应商。</w:t>
      </w:r>
    </w:p>
    <w:p w14:paraId="4B166212">
      <w:pPr>
        <w:spacing w:line="360" w:lineRule="auto"/>
        <w:ind w:firstLine="482"/>
        <w:rPr>
          <w:rFonts w:hint="eastAsia" w:ascii="宋体" w:hAnsi="宋体" w:cs="宋体"/>
          <w:b/>
          <w:szCs w:val="21"/>
          <w:highlight w:val="none"/>
        </w:rPr>
      </w:pPr>
      <w:r>
        <w:rPr>
          <w:rFonts w:hint="eastAsia" w:ascii="宋体" w:hAnsi="宋体" w:cs="宋体"/>
          <w:b/>
          <w:szCs w:val="21"/>
          <w:highlight w:val="none"/>
        </w:rPr>
        <w:t>当成交商无正当理由放弃成交，被查实存在影响成交结果的违法行为等情形，采购人有权按照政府采购相关法律法规的规定对其采取惩戒措施，包含但不限于列入采购失信人黑名单等措施。</w:t>
      </w:r>
    </w:p>
    <w:p w14:paraId="34BD23E8">
      <w:pPr>
        <w:spacing w:line="360" w:lineRule="auto"/>
        <w:ind w:firstLine="482"/>
        <w:rPr>
          <w:rFonts w:hint="eastAsia" w:ascii="宋体" w:hAnsi="宋体" w:cs="宋体"/>
          <w:b/>
          <w:szCs w:val="21"/>
          <w:highlight w:val="none"/>
        </w:rPr>
      </w:pPr>
      <w:r>
        <w:rPr>
          <w:rFonts w:hint="eastAsia" w:ascii="宋体" w:hAnsi="宋体" w:cs="宋体"/>
          <w:b/>
          <w:szCs w:val="21"/>
          <w:highlight w:val="none"/>
        </w:rPr>
        <w:t>当排名第一的成交候选人放弃成交、因不可抗力不能履行合同，或者被查实存在影响成交结果的违法行为等情形，不符合成交条件的，采购人可以按照磋商小组提出的成交候选人名单排序依次确定其他成交候选人为成交商，也可以重新组织采购。</w:t>
      </w:r>
    </w:p>
    <w:p w14:paraId="571758A4">
      <w:pPr>
        <w:spacing w:line="360" w:lineRule="auto"/>
        <w:ind w:firstLine="482"/>
        <w:rPr>
          <w:rFonts w:hint="eastAsia" w:ascii="宋体" w:hAnsi="宋体" w:cs="宋体"/>
          <w:b/>
          <w:szCs w:val="21"/>
          <w:highlight w:val="none"/>
        </w:rPr>
      </w:pPr>
      <w:r>
        <w:rPr>
          <w:rFonts w:hint="eastAsia" w:ascii="宋体" w:hAnsi="宋体" w:cs="宋体"/>
          <w:b/>
          <w:szCs w:val="21"/>
          <w:highlight w:val="none"/>
        </w:rPr>
        <w:t>七、公告成交结果及发放成交通知书</w:t>
      </w:r>
    </w:p>
    <w:p w14:paraId="35B071DB">
      <w:pPr>
        <w:spacing w:line="360" w:lineRule="auto"/>
        <w:ind w:firstLine="480"/>
        <w:rPr>
          <w:rFonts w:hint="eastAsia" w:ascii="宋体" w:hAnsi="宋体" w:cs="宋体"/>
          <w:szCs w:val="21"/>
          <w:highlight w:val="none"/>
        </w:rPr>
      </w:pPr>
      <w:r>
        <w:rPr>
          <w:rFonts w:hint="eastAsia" w:ascii="宋体" w:hAnsi="宋体" w:cs="宋体"/>
          <w:szCs w:val="21"/>
          <w:highlight w:val="none"/>
        </w:rPr>
        <w:t>1.自确定成交供应商之日起2个工作日内，在江苏政府采购网公告成交结果，公告期限为1个工作日。</w:t>
      </w:r>
    </w:p>
    <w:p w14:paraId="4D0CB613">
      <w:pPr>
        <w:spacing w:line="360" w:lineRule="auto"/>
        <w:ind w:firstLine="480"/>
        <w:rPr>
          <w:rFonts w:hint="eastAsia" w:ascii="宋体" w:hAnsi="宋体" w:cs="宋体"/>
          <w:szCs w:val="21"/>
          <w:highlight w:val="none"/>
        </w:rPr>
      </w:pPr>
      <w:r>
        <w:rPr>
          <w:rFonts w:hint="eastAsia" w:ascii="宋体" w:hAnsi="宋体" w:cs="宋体"/>
          <w:szCs w:val="21"/>
          <w:highlight w:val="none"/>
        </w:rPr>
        <w:t>2.公告成交结果的同时，采购代理机构向成交供应商发放成交通知书。成交通知书发出后，采购人不得违法改变成交结果，成交供应商无正当理由不得放弃成交。</w:t>
      </w:r>
    </w:p>
    <w:p w14:paraId="7BB1D6BB">
      <w:pPr>
        <w:tabs>
          <w:tab w:val="left" w:pos="360"/>
          <w:tab w:val="left" w:pos="1080"/>
        </w:tabs>
        <w:spacing w:line="360" w:lineRule="auto"/>
        <w:ind w:firstLine="883" w:firstLineChars="200"/>
        <w:rPr>
          <w:rFonts w:hint="eastAsia" w:ascii="宋体" w:hAnsi="宋体" w:cs="宋体"/>
          <w:b/>
          <w:bCs/>
          <w:szCs w:val="21"/>
          <w:highlight w:val="none"/>
        </w:rPr>
      </w:pPr>
      <w:r>
        <w:rPr>
          <w:rFonts w:hint="eastAsia"/>
          <w:b/>
          <w:sz w:val="44"/>
          <w:szCs w:val="44"/>
          <w:highlight w:val="none"/>
        </w:rPr>
        <w:br w:type="page" w:clear="all"/>
      </w:r>
    </w:p>
    <w:p w14:paraId="7087D059">
      <w:pPr>
        <w:pStyle w:val="17"/>
        <w:spacing w:line="360" w:lineRule="auto"/>
        <w:rPr>
          <w:rFonts w:hint="eastAsia" w:ascii="宋体" w:hAnsi="宋体"/>
          <w:bCs w:val="0"/>
          <w:sz w:val="21"/>
          <w:szCs w:val="21"/>
          <w:highlight w:val="none"/>
        </w:rPr>
      </w:pPr>
      <w:bookmarkStart w:id="113" w:name="_Toc107246273"/>
      <w:r>
        <w:rPr>
          <w:rFonts w:hint="eastAsia" w:ascii="宋体" w:hAnsi="宋体"/>
          <w:bCs w:val="0"/>
          <w:sz w:val="21"/>
          <w:szCs w:val="21"/>
          <w:highlight w:val="none"/>
        </w:rPr>
        <w:t>第六章 响应文件格式</w:t>
      </w:r>
      <w:bookmarkEnd w:id="113"/>
    </w:p>
    <w:p w14:paraId="2550CF75">
      <w:pPr>
        <w:spacing w:line="360" w:lineRule="auto"/>
        <w:rPr>
          <w:rFonts w:ascii="Microsoft New Tai Lue" w:hAnsi="Microsoft New Tai Lue" w:cs="Microsoft New Tai Lue"/>
          <w:b/>
          <w:bCs/>
          <w:highlight w:val="none"/>
        </w:rPr>
      </w:pPr>
    </w:p>
    <w:p w14:paraId="28338F5A">
      <w:pPr>
        <w:spacing w:line="360" w:lineRule="auto"/>
        <w:ind w:firstLine="482"/>
        <w:rPr>
          <w:rFonts w:hint="eastAsia" w:ascii="宋体" w:hAnsi="宋体" w:cs="宋体"/>
          <w:b/>
          <w:bCs/>
          <w:szCs w:val="21"/>
          <w:highlight w:val="none"/>
        </w:rPr>
      </w:pPr>
      <w:r>
        <w:rPr>
          <w:rFonts w:hint="eastAsia" w:ascii="宋体" w:hAnsi="宋体" w:cs="宋体"/>
          <w:b/>
          <w:bCs/>
          <w:szCs w:val="21"/>
          <w:highlight w:val="none"/>
        </w:rPr>
        <w:t>一、资格审查文件</w:t>
      </w:r>
    </w:p>
    <w:p w14:paraId="5D0F2CFC">
      <w:pPr>
        <w:spacing w:line="360" w:lineRule="auto"/>
        <w:ind w:firstLine="480"/>
        <w:rPr>
          <w:rFonts w:hint="eastAsia" w:ascii="宋体" w:hAnsi="宋体" w:cs="宋体"/>
          <w:szCs w:val="21"/>
          <w:highlight w:val="none"/>
          <w:u w:val="single"/>
        </w:rPr>
      </w:pPr>
      <w:r>
        <w:rPr>
          <w:rFonts w:hint="eastAsia" w:ascii="宋体" w:hAnsi="宋体" w:cs="宋体"/>
          <w:szCs w:val="21"/>
          <w:highlight w:val="none"/>
          <w:u w:val="single"/>
        </w:rPr>
        <w:t>1.法定代表人身份证明书及法定代表人身份证复印件；</w:t>
      </w:r>
    </w:p>
    <w:p w14:paraId="2A3DAFB7">
      <w:pPr>
        <w:spacing w:line="360" w:lineRule="auto"/>
        <w:ind w:firstLine="480"/>
        <w:rPr>
          <w:rFonts w:hint="eastAsia" w:ascii="宋体" w:hAnsi="宋体" w:cs="宋体"/>
          <w:szCs w:val="21"/>
          <w:highlight w:val="none"/>
          <w:u w:val="single"/>
        </w:rPr>
      </w:pPr>
      <w:r>
        <w:rPr>
          <w:rFonts w:hint="eastAsia" w:ascii="宋体" w:hAnsi="宋体" w:cs="宋体"/>
          <w:szCs w:val="21"/>
          <w:highlight w:val="none"/>
          <w:u w:val="single"/>
        </w:rPr>
        <w:t>2.法定代表人授权委托书及授权委托人身份证复印件（如有）；</w:t>
      </w:r>
    </w:p>
    <w:p w14:paraId="1B8AD61A">
      <w:pPr>
        <w:spacing w:line="360" w:lineRule="auto"/>
        <w:ind w:firstLine="480"/>
        <w:rPr>
          <w:rFonts w:hint="eastAsia" w:ascii="宋体" w:hAnsi="宋体" w:cs="宋体"/>
          <w:szCs w:val="21"/>
          <w:highlight w:val="none"/>
          <w:u w:val="single"/>
        </w:rPr>
      </w:pPr>
      <w:r>
        <w:rPr>
          <w:rFonts w:hint="eastAsia" w:ascii="宋体" w:hAnsi="宋体" w:cs="宋体"/>
          <w:szCs w:val="21"/>
          <w:highlight w:val="none"/>
          <w:u w:val="single"/>
        </w:rPr>
        <w:t>3.响应人营业执照复印件；</w:t>
      </w:r>
    </w:p>
    <w:p w14:paraId="38445606">
      <w:pPr>
        <w:spacing w:line="360" w:lineRule="auto"/>
        <w:ind w:firstLine="480"/>
        <w:rPr>
          <w:rFonts w:hint="eastAsia" w:ascii="宋体" w:hAnsi="宋体" w:cs="宋体"/>
          <w:szCs w:val="21"/>
          <w:highlight w:val="none"/>
          <w:u w:val="single"/>
        </w:rPr>
      </w:pPr>
      <w:r>
        <w:rPr>
          <w:rFonts w:hint="eastAsia" w:ascii="宋体" w:hAnsi="宋体" w:cs="宋体"/>
          <w:szCs w:val="21"/>
          <w:highlight w:val="none"/>
          <w:u w:val="single"/>
        </w:rPr>
        <w:t xml:space="preserve">4.2024年度或2025年度经会计师事务所审计的财务报告（须提供加盖会计师事务所公章及注册会计师签章的复印件）；没有经审计的财务报告的，也可以提供2025年或2026年任意一个月的财务报表，或提供距离投标截止时间6个月内基本开户银行出具的资信证明复印件； </w:t>
      </w:r>
    </w:p>
    <w:p w14:paraId="0B292956">
      <w:pPr>
        <w:spacing w:line="360" w:lineRule="auto"/>
        <w:ind w:firstLine="480"/>
        <w:rPr>
          <w:rFonts w:hint="eastAsia" w:ascii="宋体" w:hAnsi="宋体" w:cs="宋体"/>
          <w:szCs w:val="21"/>
          <w:highlight w:val="none"/>
          <w:u w:val="single"/>
          <w:lang w:val="en-US" w:eastAsia="zh-CN"/>
        </w:rPr>
      </w:pPr>
      <w:r>
        <w:rPr>
          <w:rFonts w:hint="eastAsia" w:ascii="宋体" w:hAnsi="宋体" w:cs="宋体"/>
          <w:szCs w:val="21"/>
          <w:highlight w:val="none"/>
          <w:u w:val="single"/>
        </w:rPr>
        <w:t>5.</w:t>
      </w:r>
      <w:r>
        <w:rPr>
          <w:rFonts w:hint="eastAsia" w:ascii="宋体" w:hAnsi="宋体" w:cs="宋体"/>
          <w:szCs w:val="21"/>
          <w:highlight w:val="none"/>
          <w:u w:val="single"/>
          <w:lang w:eastAsia="zh-CN"/>
        </w:rPr>
        <w:t>2026年1月（含）至开标当日任一月份依法缴纳税收（依法缴纳税收材料是指：税务部门出具的税收证明或完税凭证或银行出具的税收缴款证明）的相关材料复印件，如依法免税或不需要纳税的，则应提供相应证明材料复印件；</w:t>
      </w:r>
      <w:r>
        <w:rPr>
          <w:rFonts w:hint="eastAsia" w:ascii="宋体" w:hAnsi="宋体" w:cs="宋体"/>
          <w:szCs w:val="21"/>
          <w:highlight w:val="none"/>
          <w:u w:val="single"/>
          <w:lang w:val="en-US" w:eastAsia="zh-CN"/>
        </w:rPr>
        <w:t xml:space="preserve">  </w:t>
      </w:r>
    </w:p>
    <w:p w14:paraId="5469EEB2">
      <w:pPr>
        <w:spacing w:line="360" w:lineRule="auto"/>
        <w:ind w:firstLine="480"/>
        <w:rPr>
          <w:rFonts w:hint="eastAsia" w:ascii="宋体" w:hAnsi="宋体" w:cs="宋体"/>
          <w:szCs w:val="21"/>
          <w:highlight w:val="none"/>
          <w:u w:val="single"/>
          <w:lang w:eastAsia="zh-CN"/>
        </w:rPr>
      </w:pPr>
      <w:r>
        <w:rPr>
          <w:rFonts w:hint="eastAsia" w:ascii="宋体" w:hAnsi="宋体" w:cs="宋体"/>
          <w:szCs w:val="21"/>
          <w:highlight w:val="none"/>
          <w:u w:val="single"/>
        </w:rPr>
        <w:t>6.</w:t>
      </w:r>
      <w:r>
        <w:rPr>
          <w:rFonts w:hint="eastAsia" w:ascii="宋体" w:hAnsi="宋体" w:cs="宋体"/>
          <w:szCs w:val="21"/>
          <w:highlight w:val="none"/>
          <w:u w:val="single"/>
          <w:lang w:eastAsia="zh-CN"/>
        </w:rPr>
        <w:t>2026年1月（含）至开标当日任一月份的依法缴纳社会保障资金的相关材料复印件（社会保障资金材料是指：人社部门或税务机关或银行出具的缴纳社保的凭证），如依法不需要缴纳社会保障资金的，则应提供相应证明材料复印件；</w:t>
      </w:r>
    </w:p>
    <w:p w14:paraId="605B8BC6">
      <w:pPr>
        <w:spacing w:line="360" w:lineRule="auto"/>
        <w:ind w:firstLine="420" w:firstLineChars="200"/>
        <w:rPr>
          <w:rFonts w:hint="eastAsia" w:ascii="宋体" w:hAnsi="宋体" w:cs="宋体"/>
          <w:szCs w:val="21"/>
          <w:highlight w:val="none"/>
          <w:u w:val="single"/>
        </w:rPr>
      </w:pPr>
      <w:r>
        <w:rPr>
          <w:rFonts w:hint="eastAsia" w:ascii="宋体" w:hAnsi="宋体" w:cs="宋体"/>
          <w:szCs w:val="21"/>
          <w:highlight w:val="none"/>
          <w:u w:val="single"/>
        </w:rPr>
        <w:t>7.投标人符合《中华人民共和国政府采购法》第二十二条规定条件的承诺函；</w:t>
      </w:r>
    </w:p>
    <w:p w14:paraId="330E20F1">
      <w:pPr>
        <w:spacing w:line="360" w:lineRule="auto"/>
        <w:ind w:firstLine="480"/>
        <w:rPr>
          <w:rFonts w:hint="eastAsia" w:ascii="宋体" w:hAnsi="宋体" w:cs="宋体"/>
          <w:szCs w:val="21"/>
          <w:highlight w:val="none"/>
          <w:u w:val="single"/>
        </w:rPr>
      </w:pPr>
      <w:r>
        <w:rPr>
          <w:rFonts w:hint="eastAsia" w:ascii="宋体" w:hAnsi="宋体" w:cs="宋体"/>
          <w:szCs w:val="21"/>
          <w:highlight w:val="none"/>
          <w:u w:val="single"/>
        </w:rPr>
        <w:t>8.诚信承诺书；</w:t>
      </w:r>
    </w:p>
    <w:p w14:paraId="40129A9D">
      <w:pPr>
        <w:spacing w:line="360" w:lineRule="auto"/>
        <w:ind w:firstLine="480"/>
        <w:rPr>
          <w:rFonts w:hint="eastAsia" w:ascii="宋体" w:hAnsi="宋体" w:cs="宋体"/>
          <w:bCs/>
          <w:szCs w:val="21"/>
          <w:highlight w:val="none"/>
          <w:u w:val="single"/>
        </w:rPr>
      </w:pPr>
      <w:r>
        <w:rPr>
          <w:rFonts w:hint="eastAsia" w:ascii="宋体" w:hAnsi="宋体" w:cs="宋体"/>
          <w:szCs w:val="21"/>
          <w:highlight w:val="none"/>
          <w:u w:val="single"/>
        </w:rPr>
        <w:t>9</w:t>
      </w:r>
      <w:r>
        <w:rPr>
          <w:rFonts w:hint="eastAsia" w:ascii="宋体" w:hAnsi="宋体" w:cs="宋体"/>
          <w:bCs/>
          <w:szCs w:val="21"/>
          <w:highlight w:val="none"/>
          <w:u w:val="single"/>
        </w:rPr>
        <w:t>.供应商未被列入失信被执行人名单、政府采购严重违法失信行为记录名单网站查询证明材料；</w:t>
      </w:r>
    </w:p>
    <w:p w14:paraId="24C24371">
      <w:pPr>
        <w:spacing w:line="360" w:lineRule="auto"/>
        <w:ind w:firstLine="480"/>
        <w:rPr>
          <w:rFonts w:hint="eastAsia" w:ascii="宋体" w:hAnsi="宋体" w:cs="宋体"/>
          <w:szCs w:val="21"/>
          <w:highlight w:val="none"/>
          <w:u w:val="single"/>
        </w:rPr>
      </w:pPr>
      <w:r>
        <w:rPr>
          <w:rFonts w:hint="eastAsia" w:ascii="宋体" w:hAnsi="宋体" w:cs="宋体"/>
          <w:bCs/>
          <w:szCs w:val="21"/>
          <w:highlight w:val="none"/>
          <w:u w:val="single"/>
        </w:rPr>
        <w:t>10.《中小企业声明函》或《残疾人福利性单位声明函》或监狱和戒毒企业证明材料。</w:t>
      </w:r>
    </w:p>
    <w:p w14:paraId="4BA207B0">
      <w:pPr>
        <w:spacing w:line="360" w:lineRule="auto"/>
        <w:ind w:firstLine="480"/>
        <w:rPr>
          <w:rFonts w:hint="eastAsia" w:ascii="宋体" w:hAnsi="宋体" w:cs="宋体"/>
          <w:szCs w:val="21"/>
          <w:highlight w:val="none"/>
        </w:rPr>
      </w:pPr>
      <w:r>
        <w:rPr>
          <w:rFonts w:hint="eastAsia" w:ascii="宋体" w:hAnsi="宋体" w:cs="宋体"/>
          <w:szCs w:val="21"/>
          <w:highlight w:val="none"/>
        </w:rPr>
        <w:t>注：上述1—10中任何一条不符合要求，则资格性审查不通过，按无效响应文件处理。</w:t>
      </w:r>
    </w:p>
    <w:p w14:paraId="220DC946">
      <w:pPr>
        <w:pStyle w:val="33"/>
        <w:spacing w:line="360" w:lineRule="auto"/>
        <w:ind w:firstLine="480"/>
        <w:rPr>
          <w:rFonts w:hint="eastAsia" w:cs="宋体"/>
          <w:highlight w:val="none"/>
          <w:lang w:val="zh-CN" w:eastAsia="zh-CN"/>
        </w:rPr>
      </w:pPr>
      <w:r>
        <w:rPr>
          <w:rFonts w:hint="eastAsia" w:cs="宋体"/>
          <w:highlight w:val="none"/>
          <w:lang w:val="zh-CN" w:eastAsia="zh-CN"/>
        </w:rPr>
        <w:t>（</w:t>
      </w:r>
      <w:r>
        <w:rPr>
          <w:rFonts w:hint="eastAsia" w:cs="宋体"/>
          <w:highlight w:val="none"/>
          <w:lang w:eastAsia="zh-CN"/>
        </w:rPr>
        <w:t>磋商</w:t>
      </w:r>
      <w:r>
        <w:rPr>
          <w:rFonts w:hint="eastAsia" w:cs="宋体"/>
          <w:highlight w:val="none"/>
          <w:lang w:val="zh-CN" w:eastAsia="zh-CN"/>
        </w:rPr>
        <w:t>文件要求提供的</w:t>
      </w:r>
      <w:r>
        <w:rPr>
          <w:rFonts w:hint="eastAsia" w:cs="宋体"/>
          <w:b/>
          <w:bCs/>
          <w:highlight w:val="none"/>
          <w:lang w:val="zh-CN" w:eastAsia="zh-CN"/>
        </w:rPr>
        <w:t>资格审查证明材料</w:t>
      </w:r>
      <w:r>
        <w:rPr>
          <w:rFonts w:hint="eastAsia" w:cs="宋体"/>
          <w:highlight w:val="none"/>
          <w:lang w:val="zh-CN" w:eastAsia="zh-CN"/>
        </w:rPr>
        <w:t>中没有对应的接口上传的资料，可以在本部分的其他材料的接口中上传）</w:t>
      </w:r>
    </w:p>
    <w:p w14:paraId="05EF5036">
      <w:pPr>
        <w:spacing w:line="360" w:lineRule="auto"/>
        <w:ind w:firstLine="482"/>
        <w:rPr>
          <w:rFonts w:hint="eastAsia" w:ascii="宋体" w:hAnsi="宋体" w:cs="宋体"/>
          <w:b/>
          <w:bCs/>
          <w:szCs w:val="21"/>
          <w:highlight w:val="none"/>
        </w:rPr>
      </w:pPr>
      <w:r>
        <w:rPr>
          <w:rFonts w:hint="eastAsia" w:ascii="宋体" w:hAnsi="宋体" w:cs="宋体"/>
          <w:b/>
          <w:bCs/>
          <w:szCs w:val="21"/>
          <w:highlight w:val="none"/>
        </w:rPr>
        <w:t>二、符合性审查文件</w:t>
      </w:r>
    </w:p>
    <w:p w14:paraId="48E4C98F">
      <w:pPr>
        <w:spacing w:line="360" w:lineRule="auto"/>
        <w:ind w:firstLine="480"/>
        <w:rPr>
          <w:rFonts w:hint="eastAsia" w:ascii="宋体" w:hAnsi="宋体" w:cs="宋体"/>
          <w:szCs w:val="21"/>
          <w:highlight w:val="none"/>
        </w:rPr>
      </w:pPr>
      <w:r>
        <w:rPr>
          <w:rFonts w:hint="eastAsia" w:ascii="宋体" w:hAnsi="宋体" w:cs="宋体"/>
          <w:szCs w:val="21"/>
          <w:highlight w:val="none"/>
        </w:rPr>
        <w:t>1.竞争性磋商响应函（格式参见第六章）；</w:t>
      </w:r>
    </w:p>
    <w:p w14:paraId="0C1557A8">
      <w:pPr>
        <w:spacing w:line="360" w:lineRule="auto"/>
        <w:ind w:firstLine="480"/>
        <w:rPr>
          <w:rFonts w:hint="eastAsia" w:ascii="宋体" w:hAnsi="宋体" w:cs="宋体"/>
          <w:szCs w:val="21"/>
          <w:highlight w:val="none"/>
        </w:rPr>
      </w:pPr>
      <w:r>
        <w:rPr>
          <w:rFonts w:hint="eastAsia" w:ascii="宋体" w:hAnsi="宋体" w:cs="宋体"/>
          <w:szCs w:val="21"/>
          <w:highlight w:val="none"/>
        </w:rPr>
        <w:t>2.</w:t>
      </w:r>
      <w:r>
        <w:rPr>
          <w:rFonts w:hint="eastAsia" w:ascii="宋体" w:hAnsi="宋体" w:cs="宋体"/>
          <w:szCs w:val="21"/>
          <w:highlight w:val="none"/>
          <w:lang w:val="en-US" w:eastAsia="zh-CN"/>
        </w:rPr>
        <w:t>首次分项报价表</w:t>
      </w:r>
      <w:r>
        <w:rPr>
          <w:rFonts w:hint="eastAsia" w:ascii="宋体" w:hAnsi="宋体" w:cs="宋体"/>
          <w:szCs w:val="21"/>
          <w:highlight w:val="none"/>
        </w:rPr>
        <w:t>；</w:t>
      </w:r>
    </w:p>
    <w:p w14:paraId="29D0804E">
      <w:pPr>
        <w:spacing w:line="360" w:lineRule="auto"/>
        <w:ind w:firstLine="480"/>
        <w:rPr>
          <w:rFonts w:hint="eastAsia" w:ascii="宋体" w:hAnsi="宋体" w:cs="宋体"/>
          <w:szCs w:val="21"/>
          <w:highlight w:val="none"/>
        </w:rPr>
      </w:pPr>
      <w:r>
        <w:rPr>
          <w:rFonts w:hint="eastAsia" w:ascii="宋体" w:hAnsi="宋体" w:cs="宋体"/>
          <w:szCs w:val="21"/>
          <w:highlight w:val="none"/>
        </w:rPr>
        <w:t>3.供应商情况表；</w:t>
      </w:r>
    </w:p>
    <w:p w14:paraId="3ED6F39F">
      <w:pPr>
        <w:spacing w:line="360" w:lineRule="auto"/>
        <w:ind w:firstLine="480"/>
        <w:rPr>
          <w:rFonts w:hint="eastAsia" w:ascii="宋体" w:hAnsi="宋体" w:cs="宋体"/>
          <w:szCs w:val="21"/>
          <w:highlight w:val="none"/>
        </w:rPr>
      </w:pPr>
      <w:r>
        <w:rPr>
          <w:rFonts w:hint="eastAsia" w:ascii="宋体" w:hAnsi="宋体" w:cs="宋体"/>
          <w:szCs w:val="21"/>
          <w:highlight w:val="none"/>
        </w:rPr>
        <w:t>4.技术商务条款响应正负偏离表（格式参见第六章）；</w:t>
      </w:r>
    </w:p>
    <w:p w14:paraId="574CF8F2">
      <w:pPr>
        <w:spacing w:line="360" w:lineRule="auto"/>
        <w:ind w:firstLine="480"/>
        <w:rPr>
          <w:rFonts w:hint="eastAsia" w:ascii="宋体" w:hAnsi="宋体" w:cs="宋体"/>
          <w:szCs w:val="21"/>
          <w:highlight w:val="none"/>
        </w:rPr>
      </w:pPr>
      <w:r>
        <w:rPr>
          <w:rFonts w:hint="eastAsia" w:ascii="宋体" w:hAnsi="宋体" w:cs="宋体"/>
          <w:szCs w:val="21"/>
          <w:highlight w:val="none"/>
        </w:rPr>
        <w:t>5.第四章项目需求中要求提供的材料（如有）；</w:t>
      </w:r>
    </w:p>
    <w:p w14:paraId="3EF7421E">
      <w:pPr>
        <w:spacing w:line="360" w:lineRule="auto"/>
        <w:ind w:firstLine="480"/>
        <w:rPr>
          <w:rFonts w:hint="eastAsia" w:ascii="宋体" w:hAnsi="宋体" w:cs="宋体"/>
          <w:szCs w:val="21"/>
          <w:highlight w:val="none"/>
        </w:rPr>
      </w:pPr>
      <w:r>
        <w:rPr>
          <w:rFonts w:hint="eastAsia" w:ascii="宋体" w:hAnsi="宋体" w:cs="宋体"/>
          <w:szCs w:val="21"/>
          <w:highlight w:val="none"/>
        </w:rPr>
        <w:t>6.项目组成人员表；</w:t>
      </w:r>
    </w:p>
    <w:p w14:paraId="2EB04973">
      <w:pPr>
        <w:spacing w:line="360" w:lineRule="auto"/>
        <w:ind w:firstLine="480"/>
        <w:rPr>
          <w:rFonts w:hint="eastAsia" w:ascii="宋体" w:hAnsi="宋体" w:cs="宋体"/>
          <w:szCs w:val="21"/>
          <w:highlight w:val="none"/>
        </w:rPr>
      </w:pPr>
      <w:r>
        <w:rPr>
          <w:rFonts w:hint="eastAsia" w:ascii="宋体" w:hAnsi="宋体" w:cs="宋体"/>
          <w:szCs w:val="21"/>
          <w:highlight w:val="none"/>
        </w:rPr>
        <w:t>7.供应商认为需要提交的其他资料。</w:t>
      </w:r>
    </w:p>
    <w:p w14:paraId="3BFE7E5E">
      <w:pPr>
        <w:spacing w:line="360" w:lineRule="auto"/>
        <w:ind w:firstLine="482"/>
        <w:rPr>
          <w:rFonts w:hint="eastAsia" w:ascii="宋体" w:hAnsi="宋体" w:cs="宋体"/>
          <w:b/>
          <w:bCs/>
          <w:szCs w:val="21"/>
          <w:highlight w:val="none"/>
        </w:rPr>
      </w:pPr>
      <w:r>
        <w:rPr>
          <w:rFonts w:hint="eastAsia" w:ascii="宋体" w:hAnsi="宋体" w:cs="宋体"/>
          <w:b/>
          <w:bCs/>
          <w:szCs w:val="21"/>
          <w:highlight w:val="none"/>
        </w:rPr>
        <w:t>三、商务技术文件</w:t>
      </w:r>
    </w:p>
    <w:p w14:paraId="2D42C1D4">
      <w:pPr>
        <w:spacing w:line="360" w:lineRule="auto"/>
        <w:ind w:firstLine="480"/>
        <w:rPr>
          <w:rFonts w:hint="eastAsia" w:ascii="宋体" w:hAnsi="宋体" w:cs="宋体"/>
          <w:szCs w:val="21"/>
          <w:highlight w:val="none"/>
        </w:rPr>
      </w:pPr>
      <w:r>
        <w:rPr>
          <w:rFonts w:hint="eastAsia" w:ascii="宋体" w:hAnsi="宋体" w:cs="宋体"/>
          <w:szCs w:val="21"/>
          <w:highlight w:val="none"/>
        </w:rPr>
        <w:t>1.评审办法中所涉及的事项需提供的所有资料；</w:t>
      </w:r>
    </w:p>
    <w:p w14:paraId="7512A825">
      <w:pPr>
        <w:spacing w:line="360" w:lineRule="auto"/>
        <w:ind w:firstLine="480"/>
        <w:rPr>
          <w:rFonts w:hint="eastAsia" w:ascii="宋体" w:hAnsi="宋体" w:cs="宋体"/>
          <w:szCs w:val="21"/>
          <w:highlight w:val="none"/>
        </w:rPr>
      </w:pPr>
      <w:r>
        <w:rPr>
          <w:rFonts w:hint="eastAsia" w:ascii="宋体" w:hAnsi="宋体" w:cs="宋体"/>
          <w:szCs w:val="21"/>
          <w:highlight w:val="none"/>
        </w:rPr>
        <w:t>2.评审办法中未涉及的事项，供应商认为需要提交的其他资料。</w:t>
      </w:r>
    </w:p>
    <w:p w14:paraId="67C9943E">
      <w:pPr>
        <w:spacing w:line="360" w:lineRule="auto"/>
        <w:ind w:firstLine="480"/>
        <w:rPr>
          <w:rFonts w:hint="eastAsia" w:ascii="宋体" w:hAnsi="宋体" w:cs="宋体"/>
          <w:bCs/>
          <w:szCs w:val="21"/>
          <w:highlight w:val="none"/>
        </w:rPr>
      </w:pPr>
      <w:r>
        <w:rPr>
          <w:rFonts w:hint="eastAsia" w:ascii="宋体" w:hAnsi="宋体" w:cs="宋体"/>
          <w:szCs w:val="21"/>
          <w:highlight w:val="none"/>
        </w:rPr>
        <w:t>注：为方便评委评审，请供应商按评审办法中所涉及的事项顺序进行编制，可以补充相关材料；</w:t>
      </w:r>
    </w:p>
    <w:p w14:paraId="3B48F1A7">
      <w:pPr>
        <w:spacing w:line="360" w:lineRule="auto"/>
        <w:ind w:firstLine="482"/>
        <w:rPr>
          <w:rFonts w:hint="eastAsia" w:ascii="宋体" w:hAnsi="宋体" w:cs="宋体"/>
          <w:b/>
          <w:bCs/>
          <w:szCs w:val="21"/>
          <w:highlight w:val="none"/>
        </w:rPr>
      </w:pPr>
      <w:r>
        <w:rPr>
          <w:rFonts w:hint="eastAsia" w:ascii="宋体" w:hAnsi="宋体" w:cs="宋体"/>
          <w:b/>
          <w:bCs/>
          <w:szCs w:val="21"/>
          <w:highlight w:val="none"/>
        </w:rPr>
        <w:t>四、报价响应文件</w:t>
      </w:r>
    </w:p>
    <w:p w14:paraId="786B796B">
      <w:pPr>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1.磋商响应报价表（开标一览表）；</w:t>
      </w:r>
    </w:p>
    <w:p w14:paraId="4E1DF156">
      <w:pPr>
        <w:spacing w:before="100" w:after="100" w:line="360" w:lineRule="auto"/>
        <w:ind w:firstLine="422" w:firstLineChars="200"/>
        <w:rPr>
          <w:rFonts w:hint="eastAsia" w:ascii="宋体" w:hAnsi="宋体" w:cs="宋体"/>
          <w:b/>
          <w:szCs w:val="21"/>
          <w:highlight w:val="none"/>
          <w:u w:val="single"/>
        </w:rPr>
      </w:pPr>
      <w:r>
        <w:rPr>
          <w:rFonts w:hint="eastAsia" w:ascii="宋体" w:hAnsi="宋体" w:cs="宋体"/>
          <w:b/>
          <w:szCs w:val="21"/>
          <w:highlight w:val="none"/>
          <w:u w:val="single"/>
        </w:rPr>
        <w:t>2.二次报价将在开标系统内填写。考虑磋商报价的方便，供应商在填写最终承诺报价后，（第一次报价－最终承诺报价）除以第一次报价后得出的优惠率视同为需求表中全部分项设备或服务的优惠浮动值（特定分项优惠除外）。此优惠率调整原则适用于合同内价格的计算及项目增减、变更时价格的计算。</w:t>
      </w:r>
    </w:p>
    <w:p w14:paraId="6DC046A2">
      <w:pPr>
        <w:spacing w:before="100" w:after="100" w:line="360" w:lineRule="auto"/>
        <w:rPr>
          <w:rFonts w:hint="eastAsia" w:ascii="宋体" w:hAnsi="宋体" w:cs="宋体"/>
          <w:b/>
          <w:szCs w:val="21"/>
          <w:highlight w:val="none"/>
        </w:rPr>
        <w:sectPr>
          <w:pgSz w:w="11907" w:h="16840"/>
          <w:pgMar w:top="1134" w:right="1134" w:bottom="1134" w:left="1560" w:header="851" w:footer="851" w:gutter="0"/>
          <w:pgBorders>
            <w:top w:val="none" w:sz="0" w:space="0"/>
            <w:left w:val="none" w:sz="0" w:space="0"/>
            <w:bottom w:val="none" w:sz="0" w:space="0"/>
            <w:right w:val="none" w:sz="0" w:space="0"/>
          </w:pgBorders>
          <w:cols w:space="720" w:num="1"/>
          <w:docGrid w:linePitch="312" w:charSpace="0"/>
        </w:sectPr>
      </w:pPr>
    </w:p>
    <w:p w14:paraId="04629F41">
      <w:pPr>
        <w:spacing w:before="100" w:after="100" w:line="360" w:lineRule="auto"/>
        <w:rPr>
          <w:rFonts w:hint="eastAsia" w:ascii="宋体" w:hAnsi="宋体" w:cs="宋体"/>
          <w:b/>
          <w:szCs w:val="21"/>
          <w:highlight w:val="none"/>
        </w:rPr>
      </w:pPr>
      <w:r>
        <w:rPr>
          <w:rFonts w:hint="eastAsia" w:ascii="宋体" w:hAnsi="宋体" w:cs="宋体"/>
          <w:b/>
          <w:szCs w:val="21"/>
          <w:highlight w:val="none"/>
        </w:rPr>
        <w:t>封面</w:t>
      </w:r>
    </w:p>
    <w:p w14:paraId="56843164">
      <w:pPr>
        <w:spacing w:line="360" w:lineRule="auto"/>
        <w:jc w:val="center"/>
        <w:rPr>
          <w:rFonts w:ascii="Microsoft New Tai Lue" w:hAnsi="Microsoft New Tai Lue" w:cs="Microsoft New Tai Lue"/>
          <w:b/>
          <w:sz w:val="72"/>
          <w:szCs w:val="84"/>
          <w:highlight w:val="none"/>
        </w:rPr>
      </w:pPr>
    </w:p>
    <w:p w14:paraId="2867ACAF">
      <w:pPr>
        <w:spacing w:line="360" w:lineRule="auto"/>
        <w:jc w:val="center"/>
        <w:rPr>
          <w:rFonts w:hint="eastAsia" w:ascii="新宋体" w:hAnsi="新宋体" w:eastAsia="新宋体"/>
          <w:b/>
          <w:bCs/>
          <w:sz w:val="32"/>
          <w:szCs w:val="32"/>
          <w:highlight w:val="none"/>
          <w:lang w:eastAsia="zh-CN"/>
        </w:rPr>
      </w:pPr>
      <w:r>
        <w:rPr>
          <w:rFonts w:hint="eastAsia" w:ascii="新宋体" w:hAnsi="新宋体" w:eastAsia="新宋体"/>
          <w:b/>
          <w:bCs/>
          <w:sz w:val="32"/>
          <w:szCs w:val="32"/>
          <w:highlight w:val="none"/>
          <w:lang w:eastAsia="zh-CN"/>
        </w:rPr>
        <w:t>2026年泰州市快速路隧道、桥梁定期检查项目</w:t>
      </w:r>
    </w:p>
    <w:p w14:paraId="2C5889DF">
      <w:pPr>
        <w:pStyle w:val="2"/>
        <w:ind w:firstLine="643"/>
        <w:rPr>
          <w:rFonts w:hint="eastAsia" w:ascii="新宋体" w:hAnsi="新宋体" w:eastAsia="新宋体"/>
          <w:b/>
          <w:bCs/>
          <w:sz w:val="32"/>
          <w:szCs w:val="32"/>
          <w:highlight w:val="none"/>
        </w:rPr>
      </w:pPr>
    </w:p>
    <w:p w14:paraId="5BADF0C0">
      <w:pPr>
        <w:pStyle w:val="2"/>
        <w:ind w:firstLine="643"/>
        <w:rPr>
          <w:rFonts w:hint="eastAsia" w:ascii="新宋体" w:hAnsi="新宋体" w:eastAsia="新宋体"/>
          <w:b/>
          <w:bCs/>
          <w:sz w:val="32"/>
          <w:szCs w:val="32"/>
          <w:highlight w:val="none"/>
        </w:rPr>
      </w:pPr>
    </w:p>
    <w:p w14:paraId="3AF9CD31">
      <w:pPr>
        <w:pStyle w:val="34"/>
        <w:spacing w:line="360" w:lineRule="auto"/>
        <w:rPr>
          <w:highlight w:val="none"/>
        </w:rPr>
      </w:pPr>
    </w:p>
    <w:p w14:paraId="1C41A9AB">
      <w:pPr>
        <w:pStyle w:val="9"/>
        <w:spacing w:line="360" w:lineRule="auto"/>
        <w:jc w:val="center"/>
        <w:rPr>
          <w:rFonts w:ascii="Microsoft New Tai Lue" w:hAnsi="Microsoft New Tai Lue" w:cs="Microsoft New Tai Lue"/>
          <w:b/>
          <w:sz w:val="84"/>
          <w:szCs w:val="84"/>
          <w:highlight w:val="none"/>
        </w:rPr>
      </w:pPr>
      <w:bookmarkStart w:id="114" w:name="_Toc100905255"/>
      <w:r>
        <w:rPr>
          <w:rFonts w:hint="eastAsia" w:ascii="Microsoft New Tai Lue" w:hAnsi="Microsoft New Tai Lue" w:cs="Microsoft New Tai Lue"/>
          <w:b/>
          <w:sz w:val="84"/>
          <w:szCs w:val="84"/>
          <w:highlight w:val="none"/>
        </w:rPr>
        <w:t>响</w:t>
      </w:r>
      <w:r>
        <w:rPr>
          <w:rFonts w:ascii="Microsoft New Tai Lue" w:hAnsi="Microsoft New Tai Lue" w:cs="Microsoft New Tai Lue"/>
          <w:b/>
          <w:sz w:val="84"/>
          <w:szCs w:val="84"/>
          <w:highlight w:val="none"/>
        </w:rPr>
        <w:t xml:space="preserve"> </w:t>
      </w:r>
      <w:r>
        <w:rPr>
          <w:rFonts w:hint="eastAsia" w:ascii="Microsoft New Tai Lue" w:hAnsi="Microsoft New Tai Lue" w:cs="Microsoft New Tai Lue"/>
          <w:b/>
          <w:sz w:val="84"/>
          <w:szCs w:val="84"/>
          <w:highlight w:val="none"/>
        </w:rPr>
        <w:t xml:space="preserve"> 应</w:t>
      </w:r>
      <w:r>
        <w:rPr>
          <w:rFonts w:ascii="Microsoft New Tai Lue" w:hAnsi="Microsoft New Tai Lue" w:cs="Microsoft New Tai Lue"/>
          <w:b/>
          <w:sz w:val="84"/>
          <w:szCs w:val="84"/>
          <w:highlight w:val="none"/>
        </w:rPr>
        <w:t xml:space="preserve"> 文 件</w:t>
      </w:r>
      <w:bookmarkEnd w:id="114"/>
    </w:p>
    <w:p w14:paraId="1E16C8EF">
      <w:pPr>
        <w:spacing w:line="360" w:lineRule="auto"/>
        <w:ind w:right="640"/>
        <w:jc w:val="center"/>
        <w:rPr>
          <w:rFonts w:ascii="Microsoft New Tai Lue" w:hAnsi="Microsoft New Tai Lue" w:cs="Microsoft New Tai Lue"/>
          <w:b/>
          <w:sz w:val="44"/>
          <w:szCs w:val="44"/>
          <w:highlight w:val="none"/>
        </w:rPr>
      </w:pPr>
    </w:p>
    <w:p w14:paraId="6B273B0F">
      <w:pPr>
        <w:spacing w:line="360" w:lineRule="auto"/>
        <w:ind w:right="640" w:firstLine="2209" w:firstLineChars="500"/>
        <w:rPr>
          <w:rFonts w:ascii="Microsoft New Tai Lue" w:hAnsi="Microsoft New Tai Lue" w:cs="Microsoft New Tai Lue"/>
          <w:b/>
          <w:sz w:val="44"/>
          <w:szCs w:val="44"/>
          <w:highlight w:val="none"/>
        </w:rPr>
      </w:pPr>
      <w:r>
        <w:rPr>
          <w:rFonts w:ascii="Microsoft New Tai Lue" w:hAnsi="Microsoft New Tai Lue" w:cs="Microsoft New Tai Lue"/>
          <w:b/>
          <w:sz w:val="44"/>
          <w:szCs w:val="44"/>
          <w:highlight w:val="none"/>
        </w:rPr>
        <w:t>项目编号：</w:t>
      </w:r>
    </w:p>
    <w:p w14:paraId="5B119E2A">
      <w:pPr>
        <w:pStyle w:val="9"/>
        <w:spacing w:line="360" w:lineRule="auto"/>
        <w:rPr>
          <w:rFonts w:ascii="Microsoft New Tai Lue" w:hAnsi="Microsoft New Tai Lue" w:cs="Microsoft New Tai Lue"/>
          <w:sz w:val="28"/>
          <w:szCs w:val="28"/>
          <w:highlight w:val="none"/>
        </w:rPr>
      </w:pPr>
    </w:p>
    <w:p w14:paraId="4DEDAADE">
      <w:pPr>
        <w:pStyle w:val="9"/>
        <w:spacing w:line="360" w:lineRule="auto"/>
        <w:rPr>
          <w:rFonts w:ascii="Microsoft New Tai Lue" w:hAnsi="Microsoft New Tai Lue" w:cs="Microsoft New Tai Lue"/>
          <w:sz w:val="28"/>
          <w:szCs w:val="28"/>
          <w:highlight w:val="none"/>
        </w:rPr>
      </w:pPr>
    </w:p>
    <w:p w14:paraId="31C0D8EC">
      <w:pPr>
        <w:pStyle w:val="9"/>
        <w:spacing w:line="360" w:lineRule="auto"/>
        <w:rPr>
          <w:rFonts w:ascii="Microsoft New Tai Lue" w:hAnsi="Microsoft New Tai Lue" w:cs="Microsoft New Tai Lue"/>
          <w:sz w:val="28"/>
          <w:szCs w:val="28"/>
          <w:highlight w:val="none"/>
        </w:rPr>
      </w:pPr>
    </w:p>
    <w:p w14:paraId="4E4E9A25">
      <w:pPr>
        <w:pStyle w:val="9"/>
        <w:spacing w:line="360" w:lineRule="auto"/>
        <w:rPr>
          <w:rFonts w:ascii="Microsoft New Tai Lue" w:hAnsi="Microsoft New Tai Lue" w:cs="Microsoft New Tai Lue"/>
          <w:sz w:val="28"/>
          <w:szCs w:val="28"/>
          <w:highlight w:val="none"/>
        </w:rPr>
      </w:pPr>
    </w:p>
    <w:p w14:paraId="387C5110">
      <w:pPr>
        <w:pStyle w:val="9"/>
        <w:spacing w:line="360" w:lineRule="auto"/>
        <w:jc w:val="center"/>
        <w:rPr>
          <w:rFonts w:ascii="Microsoft New Tai Lue" w:hAnsi="Microsoft New Tai Lue" w:cs="Microsoft New Tai Lue"/>
          <w:b/>
          <w:sz w:val="32"/>
          <w:szCs w:val="32"/>
          <w:highlight w:val="none"/>
        </w:rPr>
      </w:pPr>
      <w:r>
        <w:rPr>
          <w:rFonts w:ascii="Microsoft New Tai Lue" w:hAnsi="Microsoft New Tai Lue" w:cs="Microsoft New Tai Lue"/>
          <w:b/>
          <w:sz w:val="32"/>
          <w:szCs w:val="24"/>
          <w:highlight w:val="none"/>
        </w:rPr>
        <w:t>投标人名称：</w:t>
      </w:r>
      <w:r>
        <w:rPr>
          <w:rFonts w:ascii="Microsoft New Tai Lue" w:hAnsi="Microsoft New Tai Lue" w:cs="Microsoft New Tai Lue"/>
          <w:b/>
          <w:sz w:val="32"/>
          <w:szCs w:val="32"/>
          <w:highlight w:val="none"/>
        </w:rPr>
        <w:t>_____________________</w:t>
      </w:r>
    </w:p>
    <w:p w14:paraId="143EA191">
      <w:pPr>
        <w:pStyle w:val="9"/>
        <w:spacing w:line="360" w:lineRule="auto"/>
        <w:jc w:val="center"/>
        <w:rPr>
          <w:rFonts w:ascii="Microsoft New Tai Lue" w:hAnsi="Microsoft New Tai Lue" w:cs="Microsoft New Tai Lue"/>
          <w:b/>
          <w:sz w:val="32"/>
          <w:szCs w:val="32"/>
          <w:highlight w:val="none"/>
        </w:rPr>
      </w:pPr>
      <w:r>
        <w:rPr>
          <w:rFonts w:ascii="Microsoft New Tai Lue" w:hAnsi="Microsoft New Tai Lue" w:cs="Microsoft New Tai Lue"/>
          <w:b/>
          <w:sz w:val="32"/>
          <w:szCs w:val="32"/>
          <w:highlight w:val="none"/>
        </w:rPr>
        <w:t>地址：_____________________</w:t>
      </w:r>
    </w:p>
    <w:p w14:paraId="41C8E77B">
      <w:pPr>
        <w:spacing w:line="360" w:lineRule="auto"/>
        <w:jc w:val="center"/>
        <w:rPr>
          <w:rFonts w:ascii="Microsoft New Tai Lue" w:hAnsi="Microsoft New Tai Lue" w:cs="Microsoft New Tai Lue"/>
          <w:b/>
          <w:sz w:val="32"/>
          <w:highlight w:val="none"/>
        </w:rPr>
      </w:pPr>
      <w:r>
        <w:rPr>
          <w:rFonts w:hint="eastAsia" w:ascii="Microsoft New Tai Lue" w:hAnsi="Microsoft New Tai Lue" w:cs="Microsoft New Tai Lue"/>
          <w:b/>
          <w:sz w:val="32"/>
          <w:highlight w:val="none"/>
        </w:rPr>
        <w:t>二〇二</w:t>
      </w:r>
      <w:r>
        <w:rPr>
          <w:rFonts w:hint="eastAsia" w:ascii="Microsoft New Tai Lue" w:hAnsi="Microsoft New Tai Lue" w:cs="Microsoft New Tai Lue"/>
          <w:b/>
          <w:sz w:val="32"/>
          <w:highlight w:val="none"/>
          <w:lang w:val="en-US" w:eastAsia="zh-CN"/>
        </w:rPr>
        <w:t>六</w:t>
      </w:r>
      <w:r>
        <w:rPr>
          <w:rFonts w:ascii="Microsoft New Tai Lue" w:hAnsi="Microsoft New Tai Lue" w:cs="Microsoft New Tai Lue"/>
          <w:b/>
          <w:sz w:val="32"/>
          <w:highlight w:val="none"/>
        </w:rPr>
        <w:t>年  月  日</w:t>
      </w:r>
    </w:p>
    <w:p w14:paraId="53652F2D">
      <w:pPr>
        <w:spacing w:line="360" w:lineRule="auto"/>
        <w:rPr>
          <w:rFonts w:ascii="Microsoft New Tai Lue" w:hAnsi="Microsoft New Tai Lue" w:cs="Microsoft New Tai Lue"/>
          <w:b/>
          <w:highlight w:val="none"/>
        </w:rPr>
      </w:pPr>
      <w:r>
        <w:rPr>
          <w:rFonts w:ascii="Microsoft New Tai Lue" w:hAnsi="Microsoft New Tai Lue" w:cs="Microsoft New Tai Lue"/>
          <w:b/>
          <w:highlight w:val="none"/>
        </w:rPr>
        <w:br w:type="page"/>
      </w:r>
      <w:bookmarkEnd w:id="109"/>
      <w:bookmarkEnd w:id="110"/>
      <w:bookmarkEnd w:id="111"/>
      <w:bookmarkStart w:id="115" w:name="_Toc456102122"/>
      <w:bookmarkStart w:id="116" w:name="_Toc456102676"/>
      <w:bookmarkStart w:id="117" w:name="_Toc456102499"/>
      <w:bookmarkStart w:id="118" w:name="_Toc337816640"/>
    </w:p>
    <w:p w14:paraId="6BCFB4DA">
      <w:pPr>
        <w:spacing w:line="360" w:lineRule="auto"/>
        <w:rPr>
          <w:rFonts w:hint="eastAsia" w:ascii="宋体" w:hAnsi="宋体"/>
          <w:b/>
          <w:bCs/>
          <w:szCs w:val="21"/>
          <w:highlight w:val="none"/>
        </w:rPr>
      </w:pPr>
      <w:r>
        <w:rPr>
          <w:rFonts w:hint="eastAsia" w:ascii="宋体" w:hAnsi="宋体"/>
          <w:b/>
          <w:bCs/>
          <w:szCs w:val="21"/>
          <w:highlight w:val="none"/>
        </w:rPr>
        <w:t>附件：</w:t>
      </w:r>
    </w:p>
    <w:p w14:paraId="1A59F16E">
      <w:pPr>
        <w:spacing w:line="360" w:lineRule="auto"/>
        <w:jc w:val="center"/>
        <w:outlineLvl w:val="4"/>
        <w:rPr>
          <w:rFonts w:hint="eastAsia" w:ascii="宋体" w:hAnsi="宋体" w:cs="宋体"/>
          <w:b/>
          <w:bCs/>
          <w:szCs w:val="21"/>
          <w:highlight w:val="none"/>
        </w:rPr>
      </w:pPr>
      <w:r>
        <w:rPr>
          <w:rFonts w:hint="eastAsia" w:ascii="宋体" w:hAnsi="宋体" w:cs="宋体"/>
          <w:b/>
          <w:bCs/>
          <w:szCs w:val="21"/>
          <w:highlight w:val="none"/>
        </w:rPr>
        <w:t>1.法定代表人身份证明</w:t>
      </w:r>
    </w:p>
    <w:p w14:paraId="078FC189">
      <w:pPr>
        <w:spacing w:line="360" w:lineRule="auto"/>
        <w:ind w:firstLine="480"/>
        <w:rPr>
          <w:rFonts w:hint="eastAsia" w:ascii="宋体" w:hAnsi="宋体" w:cs="宋体"/>
          <w:szCs w:val="21"/>
          <w:highlight w:val="none"/>
        </w:rPr>
      </w:pPr>
      <w:r>
        <w:rPr>
          <w:rFonts w:hint="eastAsia" w:ascii="宋体" w:hAnsi="宋体" w:cs="宋体"/>
          <w:szCs w:val="21"/>
          <w:highlight w:val="none"/>
        </w:rPr>
        <w:t>单位名称：</w:t>
      </w:r>
      <w:r>
        <w:rPr>
          <w:rFonts w:hint="eastAsia" w:ascii="宋体" w:hAnsi="宋体" w:cs="宋体"/>
          <w:szCs w:val="21"/>
          <w:highlight w:val="none"/>
          <w:u w:val="single"/>
        </w:rPr>
        <w:t xml:space="preserve">                                         </w:t>
      </w:r>
    </w:p>
    <w:p w14:paraId="31005D91">
      <w:pPr>
        <w:spacing w:line="360" w:lineRule="auto"/>
        <w:ind w:firstLine="480"/>
        <w:rPr>
          <w:rFonts w:hint="eastAsia" w:ascii="宋体" w:hAnsi="宋体" w:cs="宋体"/>
          <w:szCs w:val="21"/>
          <w:highlight w:val="none"/>
        </w:rPr>
      </w:pPr>
      <w:r>
        <w:rPr>
          <w:rFonts w:hint="eastAsia" w:ascii="宋体" w:hAnsi="宋体" w:cs="宋体"/>
          <w:szCs w:val="21"/>
          <w:highlight w:val="none"/>
        </w:rPr>
        <w:t>单位性质：</w:t>
      </w:r>
      <w:r>
        <w:rPr>
          <w:rFonts w:hint="eastAsia" w:ascii="宋体" w:hAnsi="宋体" w:cs="宋体"/>
          <w:szCs w:val="21"/>
          <w:highlight w:val="none"/>
          <w:u w:val="single"/>
        </w:rPr>
        <w:t xml:space="preserve">                                         </w:t>
      </w:r>
    </w:p>
    <w:p w14:paraId="76125160">
      <w:pPr>
        <w:spacing w:line="360" w:lineRule="auto"/>
        <w:ind w:firstLine="480"/>
        <w:rPr>
          <w:rFonts w:hint="eastAsia" w:ascii="宋体" w:hAnsi="宋体" w:cs="宋体"/>
          <w:szCs w:val="21"/>
          <w:highlight w:val="none"/>
        </w:rPr>
      </w:pPr>
      <w:r>
        <w:rPr>
          <w:rFonts w:hint="eastAsia" w:ascii="宋体" w:hAnsi="宋体" w:cs="宋体"/>
          <w:szCs w:val="21"/>
          <w:highlight w:val="none"/>
        </w:rPr>
        <w:t>地    址：</w:t>
      </w:r>
      <w:r>
        <w:rPr>
          <w:rFonts w:hint="eastAsia" w:ascii="宋体" w:hAnsi="宋体" w:cs="宋体"/>
          <w:szCs w:val="21"/>
          <w:highlight w:val="none"/>
          <w:u w:val="single"/>
        </w:rPr>
        <w:t xml:space="preserve">                                          </w:t>
      </w:r>
    </w:p>
    <w:p w14:paraId="37C8B794">
      <w:pPr>
        <w:spacing w:line="360" w:lineRule="auto"/>
        <w:ind w:firstLine="480"/>
        <w:rPr>
          <w:rFonts w:hint="eastAsia" w:ascii="宋体" w:hAnsi="宋体" w:cs="宋体"/>
          <w:szCs w:val="21"/>
          <w:highlight w:val="none"/>
        </w:rPr>
      </w:pPr>
      <w:r>
        <w:rPr>
          <w:rFonts w:hint="eastAsia" w:ascii="宋体" w:hAnsi="宋体" w:cs="宋体"/>
          <w:szCs w:val="21"/>
          <w:highlight w:val="none"/>
        </w:rPr>
        <w:t>成立时间：</w:t>
      </w:r>
      <w:r>
        <w:rPr>
          <w:rFonts w:hint="eastAsia" w:ascii="宋体" w:hAnsi="宋体" w:cs="宋体"/>
          <w:szCs w:val="21"/>
          <w:highlight w:val="none"/>
          <w:u w:val="single"/>
        </w:rPr>
        <w:t xml:space="preserve">           </w:t>
      </w:r>
      <w:r>
        <w:rPr>
          <w:rFonts w:hint="eastAsia" w:ascii="宋体" w:hAnsi="宋体" w:cs="宋体"/>
          <w:szCs w:val="21"/>
          <w:highlight w:val="none"/>
        </w:rPr>
        <w:t>年</w:t>
      </w:r>
      <w:r>
        <w:rPr>
          <w:rFonts w:hint="eastAsia" w:ascii="宋体" w:hAnsi="宋体" w:cs="宋体"/>
          <w:szCs w:val="21"/>
          <w:highlight w:val="none"/>
          <w:u w:val="single"/>
        </w:rPr>
        <w:t xml:space="preserve">         </w:t>
      </w:r>
      <w:r>
        <w:rPr>
          <w:rFonts w:hint="eastAsia" w:ascii="宋体" w:hAnsi="宋体" w:cs="宋体"/>
          <w:szCs w:val="21"/>
          <w:highlight w:val="none"/>
        </w:rPr>
        <w:t>月</w:t>
      </w:r>
      <w:r>
        <w:rPr>
          <w:rFonts w:hint="eastAsia" w:ascii="宋体" w:hAnsi="宋体" w:cs="宋体"/>
          <w:szCs w:val="21"/>
          <w:highlight w:val="none"/>
          <w:u w:val="single"/>
        </w:rPr>
        <w:t xml:space="preserve">         </w:t>
      </w:r>
      <w:r>
        <w:rPr>
          <w:rFonts w:hint="eastAsia" w:ascii="宋体" w:hAnsi="宋体" w:cs="宋体"/>
          <w:szCs w:val="21"/>
          <w:highlight w:val="none"/>
        </w:rPr>
        <w:t>日</w:t>
      </w:r>
    </w:p>
    <w:p w14:paraId="2A376B3B">
      <w:pPr>
        <w:spacing w:line="360" w:lineRule="auto"/>
        <w:ind w:firstLine="480"/>
        <w:rPr>
          <w:rFonts w:hint="eastAsia" w:ascii="宋体" w:hAnsi="宋体" w:cs="宋体"/>
          <w:szCs w:val="21"/>
          <w:highlight w:val="none"/>
        </w:rPr>
      </w:pPr>
      <w:r>
        <w:rPr>
          <w:rFonts w:hint="eastAsia" w:ascii="宋体" w:hAnsi="宋体" w:cs="宋体"/>
          <w:szCs w:val="21"/>
          <w:highlight w:val="none"/>
        </w:rPr>
        <w:t>经营期限：</w:t>
      </w:r>
      <w:r>
        <w:rPr>
          <w:rFonts w:hint="eastAsia" w:ascii="宋体" w:hAnsi="宋体" w:cs="宋体"/>
          <w:szCs w:val="21"/>
          <w:highlight w:val="none"/>
          <w:u w:val="single"/>
        </w:rPr>
        <w:t xml:space="preserve">                                  </w:t>
      </w:r>
    </w:p>
    <w:p w14:paraId="2B196E55">
      <w:pPr>
        <w:spacing w:line="360" w:lineRule="auto"/>
        <w:ind w:firstLine="480"/>
        <w:rPr>
          <w:rFonts w:hint="eastAsia" w:ascii="宋体" w:hAnsi="宋体" w:cs="宋体"/>
          <w:szCs w:val="21"/>
          <w:highlight w:val="none"/>
        </w:rPr>
      </w:pPr>
      <w:r>
        <w:rPr>
          <w:rFonts w:hint="eastAsia" w:ascii="宋体" w:hAnsi="宋体" w:cs="宋体"/>
          <w:szCs w:val="21"/>
          <w:highlight w:val="none"/>
        </w:rPr>
        <w:t>姓    名：</w:t>
      </w:r>
      <w:r>
        <w:rPr>
          <w:rFonts w:hint="eastAsia" w:ascii="宋体" w:hAnsi="宋体" w:cs="宋体"/>
          <w:szCs w:val="21"/>
          <w:highlight w:val="none"/>
          <w:u w:val="single"/>
        </w:rPr>
        <w:t xml:space="preserve">             </w:t>
      </w:r>
      <w:r>
        <w:rPr>
          <w:rFonts w:hint="eastAsia" w:ascii="宋体" w:hAnsi="宋体" w:cs="宋体"/>
          <w:szCs w:val="21"/>
          <w:highlight w:val="none"/>
        </w:rPr>
        <w:t>性别：</w:t>
      </w:r>
      <w:r>
        <w:rPr>
          <w:rFonts w:hint="eastAsia" w:ascii="宋体" w:hAnsi="宋体" w:cs="宋体"/>
          <w:szCs w:val="21"/>
          <w:highlight w:val="none"/>
          <w:u w:val="single"/>
        </w:rPr>
        <w:t xml:space="preserve">          </w:t>
      </w:r>
      <w:r>
        <w:rPr>
          <w:rFonts w:hint="eastAsia" w:ascii="宋体" w:hAnsi="宋体" w:cs="宋体"/>
          <w:szCs w:val="21"/>
          <w:highlight w:val="none"/>
        </w:rPr>
        <w:t>年龄：</w:t>
      </w:r>
      <w:r>
        <w:rPr>
          <w:rFonts w:hint="eastAsia" w:ascii="宋体" w:hAnsi="宋体" w:cs="宋体"/>
          <w:szCs w:val="21"/>
          <w:highlight w:val="none"/>
          <w:u w:val="single"/>
        </w:rPr>
        <w:t xml:space="preserve">            </w:t>
      </w:r>
      <w:r>
        <w:rPr>
          <w:rFonts w:hint="eastAsia" w:ascii="宋体" w:hAnsi="宋体" w:cs="宋体"/>
          <w:szCs w:val="21"/>
          <w:highlight w:val="none"/>
        </w:rPr>
        <w:t>职务：</w:t>
      </w:r>
      <w:r>
        <w:rPr>
          <w:rFonts w:hint="eastAsia" w:ascii="宋体" w:hAnsi="宋体" w:cs="宋体"/>
          <w:szCs w:val="21"/>
          <w:highlight w:val="none"/>
          <w:u w:val="single"/>
        </w:rPr>
        <w:t xml:space="preserve">               </w:t>
      </w:r>
      <w:r>
        <w:rPr>
          <w:rFonts w:hint="eastAsia" w:ascii="宋体" w:hAnsi="宋体" w:cs="宋体"/>
          <w:szCs w:val="21"/>
          <w:highlight w:val="none"/>
        </w:rPr>
        <w:t>手机（必填）：</w:t>
      </w:r>
      <w:r>
        <w:rPr>
          <w:rFonts w:hint="eastAsia" w:ascii="宋体" w:hAnsi="宋体" w:cs="宋体"/>
          <w:szCs w:val="21"/>
          <w:highlight w:val="none"/>
          <w:u w:val="single"/>
        </w:rPr>
        <w:t xml:space="preserve">                   </w:t>
      </w:r>
      <w:r>
        <w:rPr>
          <w:rFonts w:hint="eastAsia" w:ascii="宋体" w:hAnsi="宋体" w:cs="宋体"/>
          <w:szCs w:val="21"/>
          <w:highlight w:val="none"/>
        </w:rPr>
        <w:t>系：</w:t>
      </w:r>
      <w:r>
        <w:rPr>
          <w:rFonts w:hint="eastAsia" w:ascii="宋体" w:hAnsi="宋体" w:cs="宋体"/>
          <w:szCs w:val="21"/>
          <w:highlight w:val="none"/>
          <w:u w:val="single"/>
        </w:rPr>
        <w:t xml:space="preserve">     （响应供应商名称）            </w:t>
      </w:r>
      <w:r>
        <w:rPr>
          <w:rFonts w:hint="eastAsia" w:ascii="宋体" w:hAnsi="宋体" w:cs="宋体"/>
          <w:szCs w:val="21"/>
          <w:highlight w:val="none"/>
        </w:rPr>
        <w:t>的法定代表人。</w:t>
      </w:r>
    </w:p>
    <w:p w14:paraId="09AA79B1">
      <w:pPr>
        <w:spacing w:line="360" w:lineRule="auto"/>
        <w:ind w:firstLine="480"/>
        <w:rPr>
          <w:rFonts w:hint="eastAsia" w:ascii="宋体" w:hAnsi="宋体" w:cs="宋体"/>
          <w:szCs w:val="21"/>
          <w:highlight w:val="none"/>
        </w:rPr>
      </w:pPr>
      <w:r>
        <w:rPr>
          <w:rFonts w:hint="eastAsia" w:ascii="宋体" w:hAnsi="宋体" w:cs="宋体"/>
          <w:szCs w:val="21"/>
          <w:highlight w:val="none"/>
        </w:rPr>
        <w:t>特此证明</w:t>
      </w:r>
    </w:p>
    <w:p w14:paraId="6C0B215D">
      <w:pPr>
        <w:spacing w:line="360" w:lineRule="auto"/>
        <w:ind w:firstLine="480"/>
        <w:rPr>
          <w:rFonts w:hint="eastAsia" w:ascii="宋体" w:hAnsi="宋体" w:cs="宋体"/>
          <w:szCs w:val="21"/>
          <w:highlight w:val="none"/>
        </w:rPr>
      </w:pPr>
      <w:r>
        <w:rPr>
          <w:rFonts w:hint="eastAsia" w:ascii="宋体" w:hAnsi="宋体" w:cs="宋体"/>
          <w:szCs w:val="21"/>
          <w:highlight w:val="none"/>
        </w:rPr>
        <w:t>磋商响应人（盖法人章）：</w:t>
      </w:r>
      <w:r>
        <w:rPr>
          <w:rFonts w:hint="eastAsia" w:ascii="宋体" w:hAnsi="宋体" w:cs="宋体"/>
          <w:szCs w:val="21"/>
          <w:highlight w:val="none"/>
          <w:u w:val="single"/>
        </w:rPr>
        <w:t xml:space="preserve">                   </w:t>
      </w:r>
    </w:p>
    <w:p w14:paraId="020BD11E">
      <w:pPr>
        <w:spacing w:line="360" w:lineRule="auto"/>
        <w:ind w:firstLine="480"/>
        <w:rPr>
          <w:rFonts w:hint="eastAsia" w:ascii="宋体" w:hAnsi="宋体" w:cs="宋体"/>
          <w:szCs w:val="21"/>
          <w:highlight w:val="none"/>
        </w:rPr>
      </w:pPr>
      <w:r>
        <w:rPr>
          <w:rFonts w:hint="eastAsia" w:ascii="宋体" w:hAnsi="宋体" w:cs="宋体"/>
          <w:szCs w:val="21"/>
          <w:highlight w:val="none"/>
        </w:rPr>
        <w:t>日   期：</w:t>
      </w:r>
      <w:r>
        <w:rPr>
          <w:rFonts w:hint="eastAsia" w:ascii="宋体" w:hAnsi="宋体" w:cs="宋体"/>
          <w:szCs w:val="21"/>
          <w:highlight w:val="none"/>
          <w:u w:val="single"/>
        </w:rPr>
        <w:t xml:space="preserve">        </w:t>
      </w:r>
      <w:r>
        <w:rPr>
          <w:rFonts w:hint="eastAsia" w:ascii="宋体" w:hAnsi="宋体" w:cs="宋体"/>
          <w:szCs w:val="21"/>
          <w:highlight w:val="none"/>
        </w:rPr>
        <w:t>年</w:t>
      </w:r>
      <w:r>
        <w:rPr>
          <w:rFonts w:hint="eastAsia" w:ascii="宋体" w:hAnsi="宋体" w:cs="宋体"/>
          <w:szCs w:val="21"/>
          <w:highlight w:val="none"/>
          <w:u w:val="single"/>
        </w:rPr>
        <w:t xml:space="preserve">      </w:t>
      </w:r>
      <w:r>
        <w:rPr>
          <w:rFonts w:hint="eastAsia" w:ascii="宋体" w:hAnsi="宋体" w:cs="宋体"/>
          <w:szCs w:val="21"/>
          <w:highlight w:val="none"/>
        </w:rPr>
        <w:t>月</w:t>
      </w:r>
      <w:r>
        <w:rPr>
          <w:rFonts w:hint="eastAsia" w:ascii="宋体" w:hAnsi="宋体" w:cs="宋体"/>
          <w:szCs w:val="21"/>
          <w:highlight w:val="none"/>
          <w:u w:val="single"/>
        </w:rPr>
        <w:t xml:space="preserve">      </w:t>
      </w:r>
      <w:r>
        <w:rPr>
          <w:rFonts w:hint="eastAsia" w:ascii="宋体" w:hAnsi="宋体" w:cs="宋体"/>
          <w:szCs w:val="21"/>
          <w:highlight w:val="none"/>
        </w:rPr>
        <w:t>日</w:t>
      </w:r>
    </w:p>
    <w:p w14:paraId="1A6227C5">
      <w:pPr>
        <w:spacing w:line="360" w:lineRule="auto"/>
        <w:ind w:firstLine="480"/>
        <w:rPr>
          <w:rFonts w:hint="eastAsia" w:ascii="宋体" w:hAnsi="宋体" w:cs="宋体"/>
          <w:szCs w:val="21"/>
          <w:highlight w:val="none"/>
        </w:rPr>
      </w:pPr>
    </w:p>
    <w:p w14:paraId="429C6911">
      <w:pPr>
        <w:spacing w:line="360" w:lineRule="auto"/>
        <w:rPr>
          <w:rFonts w:hint="eastAsia" w:ascii="宋体" w:hAnsi="宋体" w:cs="宋体"/>
          <w:szCs w:val="21"/>
          <w:highlight w:val="none"/>
        </w:rPr>
      </w:pPr>
      <w:r>
        <w:rPr>
          <w:rFonts w:hint="eastAsia" w:ascii="宋体" w:hAnsi="宋体" w:cs="宋体"/>
          <w:szCs w:val="21"/>
          <w:highlight w:val="none"/>
        </w:rPr>
        <w:t>法定代表人（单位负责人）有效期内的身份证复印件（正反面）</w:t>
      </w:r>
    </w:p>
    <w:tbl>
      <w:tblPr>
        <w:tblStyle w:val="19"/>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78"/>
        <w:gridCol w:w="284"/>
        <w:gridCol w:w="4677"/>
      </w:tblGrid>
      <w:tr w14:paraId="2DBEF4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8" w:hRule="atLeast"/>
        </w:trPr>
        <w:tc>
          <w:tcPr>
            <w:tcW w:w="4678" w:type="dxa"/>
            <w:vAlign w:val="center"/>
          </w:tcPr>
          <w:p w14:paraId="05777A03">
            <w:pPr>
              <w:pStyle w:val="6"/>
              <w:spacing w:line="360" w:lineRule="auto"/>
              <w:jc w:val="center"/>
              <w:rPr>
                <w:i/>
                <w:sz w:val="20"/>
                <w:highlight w:val="none"/>
              </w:rPr>
            </w:pPr>
            <w:r>
              <w:rPr>
                <w:i/>
                <w:sz w:val="24"/>
                <w:highlight w:val="none"/>
              </w:rPr>
              <w:t>身份证正面</w:t>
            </w:r>
          </w:p>
        </w:tc>
        <w:tc>
          <w:tcPr>
            <w:tcW w:w="284" w:type="dxa"/>
            <w:tcBorders>
              <w:top w:val="nil"/>
              <w:bottom w:val="nil"/>
            </w:tcBorders>
          </w:tcPr>
          <w:p w14:paraId="5390677B">
            <w:pPr>
              <w:widowControl/>
              <w:spacing w:line="360" w:lineRule="auto"/>
              <w:jc w:val="left"/>
              <w:rPr>
                <w:sz w:val="20"/>
                <w:highlight w:val="none"/>
              </w:rPr>
            </w:pPr>
          </w:p>
        </w:tc>
        <w:tc>
          <w:tcPr>
            <w:tcW w:w="4677" w:type="dxa"/>
            <w:vAlign w:val="center"/>
          </w:tcPr>
          <w:p w14:paraId="65DEC1D5">
            <w:pPr>
              <w:widowControl/>
              <w:spacing w:line="360" w:lineRule="auto"/>
              <w:jc w:val="center"/>
              <w:rPr>
                <w:sz w:val="20"/>
                <w:highlight w:val="none"/>
              </w:rPr>
            </w:pPr>
            <w:r>
              <w:rPr>
                <w:i/>
                <w:sz w:val="24"/>
                <w:highlight w:val="none"/>
              </w:rPr>
              <w:t>身份证反面</w:t>
            </w:r>
          </w:p>
        </w:tc>
      </w:tr>
    </w:tbl>
    <w:p w14:paraId="11BC7034">
      <w:pPr>
        <w:pStyle w:val="5"/>
        <w:spacing w:line="360" w:lineRule="auto"/>
        <w:rPr>
          <w:highlight w:val="none"/>
        </w:rPr>
      </w:pPr>
    </w:p>
    <w:p w14:paraId="052943F3">
      <w:pPr>
        <w:pStyle w:val="4"/>
        <w:spacing w:before="0" w:after="0" w:line="360" w:lineRule="auto"/>
        <w:ind w:firstLine="422" w:firstLineChars="200"/>
        <w:rPr>
          <w:rFonts w:hint="eastAsia" w:ascii="宋体" w:hAnsi="宋体" w:eastAsia="宋体"/>
          <w:sz w:val="21"/>
          <w:szCs w:val="21"/>
          <w:highlight w:val="none"/>
        </w:rPr>
        <w:sectPr>
          <w:footerReference r:id="rId10" w:type="default"/>
          <w:pgSz w:w="11907" w:h="16840"/>
          <w:pgMar w:top="1134" w:right="1134" w:bottom="1134" w:left="1560" w:header="851" w:footer="851" w:gutter="0"/>
          <w:pgBorders>
            <w:top w:val="none" w:sz="0" w:space="0"/>
            <w:left w:val="none" w:sz="0" w:space="0"/>
            <w:bottom w:val="none" w:sz="0" w:space="0"/>
            <w:right w:val="none" w:sz="0" w:space="0"/>
          </w:pgBorders>
          <w:cols w:space="720" w:num="1"/>
          <w:docGrid w:linePitch="312" w:charSpace="0"/>
        </w:sectPr>
      </w:pPr>
    </w:p>
    <w:p w14:paraId="1B207894">
      <w:pPr>
        <w:pStyle w:val="4"/>
        <w:spacing w:before="0" w:after="0" w:line="360" w:lineRule="auto"/>
        <w:ind w:firstLine="422" w:firstLineChars="200"/>
        <w:rPr>
          <w:rFonts w:hint="eastAsia" w:ascii="宋体" w:hAnsi="宋体" w:eastAsia="宋体"/>
          <w:sz w:val="21"/>
          <w:szCs w:val="21"/>
          <w:highlight w:val="none"/>
        </w:rPr>
      </w:pPr>
      <w:r>
        <w:rPr>
          <w:rFonts w:hint="eastAsia" w:ascii="宋体" w:hAnsi="宋体" w:eastAsia="宋体"/>
          <w:sz w:val="21"/>
          <w:szCs w:val="21"/>
          <w:highlight w:val="none"/>
        </w:rPr>
        <w:t>2.法定代表人授权书</w:t>
      </w:r>
    </w:p>
    <w:p w14:paraId="47BE7B30">
      <w:pPr>
        <w:pStyle w:val="35"/>
        <w:spacing w:line="360" w:lineRule="auto"/>
        <w:ind w:firstLine="422" w:firstLineChars="200"/>
        <w:jc w:val="center"/>
        <w:rPr>
          <w:rFonts w:hint="eastAsia" w:ascii="宋体" w:hAnsi="宋体"/>
          <w:b/>
          <w:sz w:val="21"/>
          <w:szCs w:val="21"/>
          <w:highlight w:val="none"/>
        </w:rPr>
      </w:pPr>
    </w:p>
    <w:p w14:paraId="7188CDD5">
      <w:pPr>
        <w:pStyle w:val="35"/>
        <w:spacing w:line="360" w:lineRule="auto"/>
        <w:ind w:left="420" w:leftChars="200"/>
        <w:rPr>
          <w:rFonts w:hint="eastAsia" w:ascii="宋体" w:hAnsi="宋体"/>
          <w:sz w:val="21"/>
          <w:szCs w:val="21"/>
          <w:highlight w:val="none"/>
        </w:rPr>
      </w:pPr>
      <w:r>
        <w:rPr>
          <w:rFonts w:hint="eastAsia" w:ascii="宋体" w:hAnsi="宋体"/>
          <w:sz w:val="21"/>
          <w:szCs w:val="21"/>
          <w:highlight w:val="none"/>
        </w:rPr>
        <w:t>本授权书声明：</w:t>
      </w:r>
      <w:r>
        <w:rPr>
          <w:rFonts w:hint="eastAsia" w:ascii="宋体" w:hAnsi="宋体"/>
          <w:sz w:val="21"/>
          <w:szCs w:val="21"/>
          <w:highlight w:val="none"/>
          <w:u w:val="single"/>
        </w:rPr>
        <w:t xml:space="preserve">      （供应商名称）</w:t>
      </w:r>
      <w:r>
        <w:rPr>
          <w:rFonts w:hint="eastAsia" w:ascii="宋体" w:hAnsi="宋体"/>
          <w:sz w:val="21"/>
          <w:szCs w:val="21"/>
          <w:highlight w:val="none"/>
        </w:rPr>
        <w:t>授权</w:t>
      </w:r>
      <w:r>
        <w:rPr>
          <w:rFonts w:hint="eastAsia" w:ascii="宋体" w:hAnsi="宋体"/>
          <w:sz w:val="21"/>
          <w:szCs w:val="21"/>
          <w:highlight w:val="none"/>
          <w:u w:val="single"/>
        </w:rPr>
        <w:t xml:space="preserve">              </w:t>
      </w:r>
      <w:r>
        <w:rPr>
          <w:rFonts w:hint="eastAsia" w:ascii="宋体" w:hAnsi="宋体"/>
          <w:sz w:val="21"/>
          <w:szCs w:val="21"/>
          <w:highlight w:val="none"/>
        </w:rPr>
        <w:t>（被授权人的姓名）为我方就</w:t>
      </w:r>
      <w:r>
        <w:rPr>
          <w:rFonts w:hint="eastAsia" w:ascii="宋体" w:hAnsi="宋体"/>
          <w:sz w:val="21"/>
          <w:szCs w:val="21"/>
          <w:highlight w:val="none"/>
          <w:u w:val="single"/>
        </w:rPr>
        <w:t xml:space="preserve">        </w:t>
      </w:r>
      <w:r>
        <w:rPr>
          <w:rFonts w:hint="eastAsia" w:ascii="宋体" w:hAnsi="宋体"/>
          <w:sz w:val="21"/>
          <w:szCs w:val="21"/>
          <w:highlight w:val="none"/>
        </w:rPr>
        <w:t>项目采购活动的合法代理人，以本公司名义全权处理一切与该项目采购有关的事务</w:t>
      </w:r>
      <w:r>
        <w:rPr>
          <w:rFonts w:hint="eastAsia"/>
          <w:sz w:val="21"/>
          <w:szCs w:val="21"/>
          <w:highlight w:val="none"/>
        </w:rPr>
        <w:t>，其后果由我单位承担。</w:t>
      </w:r>
    </w:p>
    <w:p w14:paraId="284D45B6">
      <w:pPr>
        <w:spacing w:line="360" w:lineRule="auto"/>
        <w:ind w:firstLine="420" w:firstLineChars="200"/>
        <w:rPr>
          <w:rFonts w:ascii="Microsoft New Tai Lue" w:hAnsi="Microsoft New Tai Lue" w:cs="Microsoft New Tai Lue"/>
          <w:szCs w:val="21"/>
          <w:highlight w:val="none"/>
        </w:rPr>
      </w:pPr>
      <w:r>
        <w:rPr>
          <w:rFonts w:hint="eastAsia" w:ascii="Microsoft New Tai Lue" w:hAnsi="Microsoft New Tai Lue" w:cs="Microsoft New Tai Lue"/>
          <w:szCs w:val="21"/>
          <w:highlight w:val="none"/>
        </w:rPr>
        <w:t>代理人无转委托权，特此委托。</w:t>
      </w:r>
    </w:p>
    <w:p w14:paraId="37782F29">
      <w:pPr>
        <w:pStyle w:val="35"/>
        <w:spacing w:line="360" w:lineRule="auto"/>
        <w:ind w:firstLine="420" w:firstLineChars="200"/>
        <w:rPr>
          <w:sz w:val="21"/>
          <w:szCs w:val="21"/>
          <w:highlight w:val="none"/>
        </w:rPr>
      </w:pPr>
      <w:r>
        <w:rPr>
          <w:rFonts w:hint="eastAsia"/>
          <w:sz w:val="21"/>
          <w:szCs w:val="21"/>
          <w:highlight w:val="none"/>
        </w:rPr>
        <w:t>委托期限：自本授权委托书签署之日起至投标有效期届满之日止。</w:t>
      </w:r>
    </w:p>
    <w:p w14:paraId="18B5FBC8">
      <w:pPr>
        <w:pStyle w:val="35"/>
        <w:spacing w:line="360" w:lineRule="auto"/>
        <w:ind w:firstLine="420" w:firstLineChars="200"/>
        <w:rPr>
          <w:rFonts w:hint="eastAsia" w:ascii="宋体" w:hAnsi="宋体"/>
          <w:sz w:val="21"/>
          <w:szCs w:val="21"/>
          <w:highlight w:val="none"/>
        </w:rPr>
      </w:pPr>
      <w:r>
        <w:rPr>
          <w:rFonts w:hint="eastAsia" w:ascii="宋体" w:hAnsi="宋体"/>
          <w:sz w:val="21"/>
          <w:szCs w:val="21"/>
          <w:highlight w:val="none"/>
        </w:rPr>
        <w:t>法定代表人：（签字或盖章）_______________________</w:t>
      </w:r>
    </w:p>
    <w:p w14:paraId="1888F0DD">
      <w:pPr>
        <w:pStyle w:val="35"/>
        <w:spacing w:line="360" w:lineRule="auto"/>
        <w:ind w:firstLine="420" w:firstLineChars="200"/>
        <w:rPr>
          <w:rFonts w:hint="eastAsia" w:ascii="宋体" w:hAnsi="宋体"/>
          <w:sz w:val="21"/>
          <w:szCs w:val="21"/>
          <w:highlight w:val="none"/>
        </w:rPr>
      </w:pPr>
    </w:p>
    <w:p w14:paraId="588D1385">
      <w:pPr>
        <w:pStyle w:val="35"/>
        <w:spacing w:line="360" w:lineRule="auto"/>
        <w:ind w:firstLine="420" w:firstLineChars="200"/>
        <w:rPr>
          <w:rFonts w:hint="eastAsia" w:ascii="宋体" w:hAnsi="宋体"/>
          <w:sz w:val="21"/>
          <w:szCs w:val="21"/>
          <w:highlight w:val="none"/>
        </w:rPr>
      </w:pPr>
      <w:r>
        <w:rPr>
          <w:rFonts w:hint="eastAsia" w:ascii="宋体" w:hAnsi="宋体"/>
          <w:sz w:val="21"/>
          <w:szCs w:val="21"/>
          <w:highlight w:val="none"/>
        </w:rPr>
        <w:t>授权单位名称（盖章）：_________________________________</w:t>
      </w:r>
    </w:p>
    <w:p w14:paraId="3732A8DD">
      <w:pPr>
        <w:pStyle w:val="35"/>
        <w:spacing w:line="360" w:lineRule="auto"/>
        <w:ind w:firstLine="420" w:firstLineChars="200"/>
        <w:rPr>
          <w:rFonts w:hint="eastAsia" w:ascii="宋体" w:hAnsi="宋体"/>
          <w:sz w:val="21"/>
          <w:szCs w:val="21"/>
          <w:highlight w:val="none"/>
        </w:rPr>
      </w:pPr>
      <w:r>
        <w:rPr>
          <w:rFonts w:hint="eastAsia" w:ascii="宋体" w:hAnsi="宋体"/>
          <w:sz w:val="21"/>
          <w:szCs w:val="21"/>
          <w:highlight w:val="none"/>
        </w:rPr>
        <w:t>地址：_____________________________________</w:t>
      </w:r>
    </w:p>
    <w:p w14:paraId="2D84EE11">
      <w:pPr>
        <w:pStyle w:val="35"/>
        <w:spacing w:line="360" w:lineRule="auto"/>
        <w:ind w:firstLine="420" w:firstLineChars="200"/>
        <w:rPr>
          <w:highlight w:val="none"/>
        </w:rPr>
      </w:pPr>
      <w:r>
        <w:rPr>
          <w:rFonts w:hint="eastAsia" w:ascii="宋体" w:hAnsi="宋体"/>
          <w:sz w:val="21"/>
          <w:szCs w:val="21"/>
          <w:highlight w:val="none"/>
        </w:rPr>
        <w:t>日期：</w:t>
      </w:r>
      <w:bookmarkStart w:id="119" w:name="_格式3__银行出具的资信证明"/>
      <w:bookmarkEnd w:id="119"/>
      <w:bookmarkStart w:id="120" w:name="_Hlt26955070"/>
      <w:bookmarkEnd w:id="120"/>
      <w:bookmarkStart w:id="121" w:name="_Hlt26671380"/>
      <w:bookmarkEnd w:id="121"/>
      <w:r>
        <w:rPr>
          <w:rFonts w:hint="eastAsia" w:ascii="宋体" w:hAnsi="宋体"/>
          <w:sz w:val="21"/>
          <w:szCs w:val="21"/>
          <w:highlight w:val="none"/>
        </w:rPr>
        <w:t xml:space="preserve">     年  月  日</w:t>
      </w:r>
    </w:p>
    <w:p w14:paraId="5FADDC76">
      <w:pPr>
        <w:spacing w:line="360" w:lineRule="auto"/>
        <w:rPr>
          <w:szCs w:val="21"/>
          <w:highlight w:val="none"/>
        </w:rPr>
      </w:pPr>
    </w:p>
    <w:p w14:paraId="2BEF965A">
      <w:pPr>
        <w:spacing w:line="360" w:lineRule="auto"/>
        <w:rPr>
          <w:rFonts w:ascii="Microsoft New Tai Lue" w:hAnsi="Microsoft New Tai Lue" w:cs="Microsoft New Tai Lue"/>
          <w:highlight w:val="none"/>
        </w:rPr>
      </w:pPr>
      <w:r>
        <w:rPr>
          <w:rFonts w:hint="eastAsia"/>
          <w:szCs w:val="21"/>
          <w:highlight w:val="none"/>
        </w:rPr>
        <w:t>附：</w:t>
      </w:r>
      <w:r>
        <w:rPr>
          <w:szCs w:val="21"/>
          <w:highlight w:val="none"/>
        </w:rPr>
        <w:t>授权代表</w:t>
      </w:r>
      <w:r>
        <w:rPr>
          <w:rFonts w:hint="eastAsia"/>
          <w:szCs w:val="21"/>
          <w:highlight w:val="none"/>
        </w:rPr>
        <w:t>有效期内的身份证复印件</w:t>
      </w:r>
      <w:r>
        <w:rPr>
          <w:rFonts w:ascii="Microsoft New Tai Lue" w:hAnsi="Microsoft New Tai Lue" w:cs="Microsoft New Tai Lue"/>
          <w:highlight w:val="none"/>
        </w:rPr>
        <w:t>（正反面）</w:t>
      </w:r>
    </w:p>
    <w:tbl>
      <w:tblPr>
        <w:tblStyle w:val="19"/>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78"/>
        <w:gridCol w:w="278"/>
        <w:gridCol w:w="4695"/>
      </w:tblGrid>
      <w:tr w14:paraId="600126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9" w:hRule="atLeast"/>
        </w:trPr>
        <w:tc>
          <w:tcPr>
            <w:tcW w:w="4678" w:type="dxa"/>
            <w:vAlign w:val="center"/>
          </w:tcPr>
          <w:p w14:paraId="2167BB5C">
            <w:pPr>
              <w:pStyle w:val="6"/>
              <w:spacing w:line="360" w:lineRule="auto"/>
              <w:jc w:val="center"/>
              <w:rPr>
                <w:i/>
                <w:sz w:val="20"/>
                <w:highlight w:val="none"/>
              </w:rPr>
            </w:pPr>
            <w:r>
              <w:rPr>
                <w:i/>
                <w:sz w:val="24"/>
                <w:highlight w:val="none"/>
              </w:rPr>
              <w:t>身份证正面</w:t>
            </w:r>
          </w:p>
        </w:tc>
        <w:tc>
          <w:tcPr>
            <w:tcW w:w="278" w:type="dxa"/>
            <w:tcBorders>
              <w:top w:val="nil"/>
              <w:bottom w:val="nil"/>
            </w:tcBorders>
          </w:tcPr>
          <w:p w14:paraId="238B88E6">
            <w:pPr>
              <w:widowControl/>
              <w:spacing w:line="360" w:lineRule="auto"/>
              <w:jc w:val="left"/>
              <w:rPr>
                <w:sz w:val="20"/>
                <w:highlight w:val="none"/>
              </w:rPr>
            </w:pPr>
          </w:p>
        </w:tc>
        <w:tc>
          <w:tcPr>
            <w:tcW w:w="4695" w:type="dxa"/>
            <w:vAlign w:val="center"/>
          </w:tcPr>
          <w:p w14:paraId="3B0F962E">
            <w:pPr>
              <w:widowControl/>
              <w:spacing w:line="360" w:lineRule="auto"/>
              <w:jc w:val="center"/>
              <w:rPr>
                <w:sz w:val="20"/>
                <w:highlight w:val="none"/>
              </w:rPr>
            </w:pPr>
            <w:r>
              <w:rPr>
                <w:i/>
                <w:sz w:val="24"/>
                <w:highlight w:val="none"/>
              </w:rPr>
              <w:t>身份证反面</w:t>
            </w:r>
          </w:p>
        </w:tc>
      </w:tr>
    </w:tbl>
    <w:p w14:paraId="27214591">
      <w:pPr>
        <w:pStyle w:val="15"/>
        <w:spacing w:line="360" w:lineRule="auto"/>
        <w:rPr>
          <w:rFonts w:ascii="Times New Roman" w:hAnsi="Times New Roman"/>
          <w:b/>
          <w:bCs/>
          <w:szCs w:val="21"/>
          <w:highlight w:val="none"/>
        </w:rPr>
      </w:pPr>
      <w:r>
        <w:rPr>
          <w:rFonts w:ascii="Times New Roman" w:hAnsi="Times New Roman"/>
          <w:b/>
          <w:bCs/>
          <w:szCs w:val="21"/>
          <w:highlight w:val="none"/>
        </w:rPr>
        <w:t>注：</w:t>
      </w:r>
    </w:p>
    <w:p w14:paraId="42768346">
      <w:pPr>
        <w:pStyle w:val="15"/>
        <w:spacing w:line="360" w:lineRule="auto"/>
        <w:ind w:firstLine="420"/>
        <w:rPr>
          <w:rFonts w:ascii="Times New Roman" w:hAnsi="Times New Roman"/>
          <w:b/>
          <w:bCs/>
          <w:szCs w:val="21"/>
          <w:highlight w:val="none"/>
        </w:rPr>
      </w:pPr>
      <w:r>
        <w:rPr>
          <w:rFonts w:hint="eastAsia" w:ascii="Times New Roman" w:hAnsi="Times New Roman"/>
          <w:b/>
          <w:bCs/>
          <w:szCs w:val="21"/>
          <w:highlight w:val="none"/>
        </w:rPr>
        <w:t>1.若供应商为分公司、分支机构等依法无须设置法定代表人职务的单位（仅当招标文件注明允许上述单位投标时），法定代表人签字处可由单位负责人签署。</w:t>
      </w:r>
    </w:p>
    <w:p w14:paraId="5796E5BA">
      <w:pPr>
        <w:pStyle w:val="15"/>
        <w:spacing w:line="360" w:lineRule="auto"/>
        <w:ind w:firstLine="420"/>
        <w:rPr>
          <w:rFonts w:ascii="Times New Roman" w:hAnsi="Times New Roman"/>
          <w:b/>
          <w:bCs/>
          <w:szCs w:val="21"/>
          <w:highlight w:val="none"/>
        </w:rPr>
      </w:pPr>
      <w:r>
        <w:rPr>
          <w:rFonts w:hint="eastAsia" w:ascii="Times New Roman" w:hAnsi="Times New Roman"/>
          <w:b/>
          <w:bCs/>
          <w:szCs w:val="21"/>
          <w:highlight w:val="none"/>
        </w:rPr>
        <w:t>2.若响应文件中签字之处均为法定代表人（单位负责人）本人签署，则可不提供本《授权委托书》，但须提供《法定代表人（单位负责人）身份证明》。</w:t>
      </w:r>
    </w:p>
    <w:p w14:paraId="52F7ED7B">
      <w:pPr>
        <w:pStyle w:val="5"/>
        <w:spacing w:line="360" w:lineRule="auto"/>
        <w:rPr>
          <w:highlight w:val="none"/>
        </w:rPr>
      </w:pPr>
    </w:p>
    <w:p w14:paraId="0C5E6A84">
      <w:pPr>
        <w:pStyle w:val="4"/>
        <w:spacing w:line="360" w:lineRule="auto"/>
        <w:jc w:val="both"/>
        <w:rPr>
          <w:rFonts w:hint="eastAsia" w:ascii="宋体" w:hAnsi="宋体" w:eastAsia="宋体"/>
          <w:sz w:val="21"/>
          <w:szCs w:val="21"/>
          <w:highlight w:val="none"/>
        </w:rPr>
        <w:sectPr>
          <w:pgSz w:w="11907" w:h="16840"/>
          <w:pgMar w:top="1134" w:right="1134" w:bottom="1134" w:left="1560" w:header="851" w:footer="851" w:gutter="0"/>
          <w:pgBorders>
            <w:top w:val="none" w:sz="0" w:space="0"/>
            <w:left w:val="none" w:sz="0" w:space="0"/>
            <w:bottom w:val="none" w:sz="0" w:space="0"/>
            <w:right w:val="none" w:sz="0" w:space="0"/>
          </w:pgBorders>
          <w:cols w:space="720" w:num="1"/>
          <w:docGrid w:linePitch="312" w:charSpace="0"/>
        </w:sectPr>
      </w:pPr>
    </w:p>
    <w:p w14:paraId="1D2913D6">
      <w:pPr>
        <w:pStyle w:val="4"/>
        <w:spacing w:line="360" w:lineRule="auto"/>
        <w:rPr>
          <w:rFonts w:hint="eastAsia" w:ascii="宋体" w:hAnsi="宋体" w:eastAsia="宋体"/>
          <w:sz w:val="21"/>
          <w:szCs w:val="21"/>
          <w:highlight w:val="none"/>
        </w:rPr>
      </w:pPr>
      <w:r>
        <w:rPr>
          <w:rFonts w:hint="eastAsia" w:ascii="宋体" w:hAnsi="宋体" w:eastAsia="宋体"/>
          <w:sz w:val="21"/>
          <w:szCs w:val="21"/>
          <w:highlight w:val="none"/>
        </w:rPr>
        <w:t xml:space="preserve">3.供应商资格声明书 </w:t>
      </w:r>
    </w:p>
    <w:p w14:paraId="4BEAAFF7">
      <w:pPr>
        <w:tabs>
          <w:tab w:val="left" w:pos="5580"/>
        </w:tabs>
        <w:spacing w:line="360" w:lineRule="auto"/>
        <w:rPr>
          <w:szCs w:val="21"/>
          <w:highlight w:val="none"/>
        </w:rPr>
      </w:pPr>
      <w:r>
        <w:rPr>
          <w:rFonts w:hint="eastAsia"/>
          <w:szCs w:val="21"/>
          <w:highlight w:val="none"/>
        </w:rPr>
        <w:t>致：</w:t>
      </w:r>
      <w:r>
        <w:rPr>
          <w:rFonts w:hint="eastAsia"/>
          <w:szCs w:val="21"/>
          <w:highlight w:val="none"/>
          <w:u w:val="single"/>
        </w:rPr>
        <w:t>采购人</w:t>
      </w:r>
    </w:p>
    <w:p w14:paraId="056D6B8E">
      <w:pPr>
        <w:spacing w:line="360" w:lineRule="auto"/>
        <w:ind w:firstLine="420" w:firstLineChars="200"/>
        <w:rPr>
          <w:szCs w:val="21"/>
          <w:highlight w:val="none"/>
        </w:rPr>
      </w:pPr>
      <w:r>
        <w:rPr>
          <w:rFonts w:hint="eastAsia"/>
          <w:szCs w:val="21"/>
          <w:highlight w:val="none"/>
        </w:rPr>
        <w:t>在参与本次项目响应中，我单位承诺：</w:t>
      </w:r>
    </w:p>
    <w:p w14:paraId="51C3CB60">
      <w:pPr>
        <w:numPr>
          <w:ilvl w:val="0"/>
          <w:numId w:val="6"/>
        </w:numPr>
        <w:autoSpaceDE w:val="0"/>
        <w:autoSpaceDN w:val="0"/>
        <w:spacing w:line="360" w:lineRule="auto"/>
        <w:ind w:left="1134"/>
        <w:jc w:val="left"/>
        <w:rPr>
          <w:szCs w:val="21"/>
          <w:highlight w:val="none"/>
        </w:rPr>
      </w:pPr>
      <w:r>
        <w:rPr>
          <w:rFonts w:hint="eastAsia"/>
          <w:szCs w:val="21"/>
          <w:highlight w:val="none"/>
        </w:rPr>
        <w:t>具有良好的商业信誉和健全的财务会计制度；</w:t>
      </w:r>
    </w:p>
    <w:p w14:paraId="5F5E02D5">
      <w:pPr>
        <w:numPr>
          <w:ilvl w:val="0"/>
          <w:numId w:val="6"/>
        </w:numPr>
        <w:autoSpaceDE w:val="0"/>
        <w:autoSpaceDN w:val="0"/>
        <w:spacing w:line="360" w:lineRule="auto"/>
        <w:ind w:left="1134"/>
        <w:jc w:val="left"/>
        <w:rPr>
          <w:szCs w:val="21"/>
          <w:highlight w:val="none"/>
        </w:rPr>
      </w:pPr>
      <w:r>
        <w:rPr>
          <w:rFonts w:hint="eastAsia"/>
          <w:szCs w:val="21"/>
          <w:highlight w:val="none"/>
        </w:rPr>
        <w:t>具有履行合同所必需的设备和专业技术能力；</w:t>
      </w:r>
    </w:p>
    <w:p w14:paraId="349F80DE">
      <w:pPr>
        <w:numPr>
          <w:ilvl w:val="0"/>
          <w:numId w:val="6"/>
        </w:numPr>
        <w:autoSpaceDE w:val="0"/>
        <w:autoSpaceDN w:val="0"/>
        <w:spacing w:line="360" w:lineRule="auto"/>
        <w:ind w:left="1134"/>
        <w:jc w:val="left"/>
        <w:rPr>
          <w:szCs w:val="21"/>
          <w:highlight w:val="none"/>
        </w:rPr>
      </w:pPr>
      <w:r>
        <w:rPr>
          <w:rFonts w:hint="eastAsia"/>
          <w:szCs w:val="21"/>
          <w:highlight w:val="none"/>
        </w:rPr>
        <w:t>具有依法缴纳税收和社会保障资金的良好记录；</w:t>
      </w:r>
    </w:p>
    <w:p w14:paraId="661F962B">
      <w:pPr>
        <w:numPr>
          <w:ilvl w:val="0"/>
          <w:numId w:val="6"/>
        </w:numPr>
        <w:autoSpaceDE w:val="0"/>
        <w:autoSpaceDN w:val="0"/>
        <w:spacing w:line="360" w:lineRule="auto"/>
        <w:ind w:left="1134"/>
        <w:jc w:val="left"/>
        <w:rPr>
          <w:szCs w:val="21"/>
          <w:highlight w:val="none"/>
        </w:rPr>
      </w:pPr>
      <w:r>
        <w:rPr>
          <w:rFonts w:hint="eastAsia"/>
          <w:szCs w:val="21"/>
          <w:highlight w:val="none"/>
        </w:rPr>
        <w:t>参加政府采购活动前三年内，在经营活动中没有重大违法记录（重大违法记录是指因违法经营受到刑事处罚或者责令停产停业、吊销许可证或者执照、较大数额罚款等行政处罚，不包括因违法经营被禁止在一定期限内参加政府采购活动，但期限已经届满的情形）；</w:t>
      </w:r>
    </w:p>
    <w:p w14:paraId="64D0E16F">
      <w:pPr>
        <w:numPr>
          <w:ilvl w:val="0"/>
          <w:numId w:val="6"/>
        </w:numPr>
        <w:autoSpaceDE w:val="0"/>
        <w:autoSpaceDN w:val="0"/>
        <w:spacing w:line="360" w:lineRule="auto"/>
        <w:ind w:left="1134"/>
        <w:jc w:val="left"/>
        <w:rPr>
          <w:szCs w:val="21"/>
          <w:highlight w:val="none"/>
        </w:rPr>
      </w:pPr>
      <w:r>
        <w:rPr>
          <w:rFonts w:hint="eastAsia"/>
          <w:szCs w:val="21"/>
          <w:highlight w:val="none"/>
        </w:rPr>
        <w:t>我单位不存在为采购项目提供整体设计、规范编制或者项目管理、监理、检测等服务后，再参加该采购项目的其他采购活动的情形（单一来源采购项目除外）；</w:t>
      </w:r>
    </w:p>
    <w:p w14:paraId="3C655C28">
      <w:pPr>
        <w:numPr>
          <w:ilvl w:val="0"/>
          <w:numId w:val="6"/>
        </w:numPr>
        <w:autoSpaceDE w:val="0"/>
        <w:autoSpaceDN w:val="0"/>
        <w:spacing w:line="360" w:lineRule="auto"/>
        <w:ind w:left="1134"/>
        <w:jc w:val="left"/>
        <w:rPr>
          <w:szCs w:val="21"/>
          <w:highlight w:val="none"/>
        </w:rPr>
      </w:pPr>
      <w:r>
        <w:rPr>
          <w:rFonts w:hint="eastAsia"/>
          <w:szCs w:val="21"/>
          <w:highlight w:val="none"/>
        </w:rPr>
        <w:t>与我单位存在“单位负责人为同一人或者存在直接控股、管理关系”的其他法人单位信息如下（如有，不论其是否参加同一合同项下的政府采购活动均须填写）：</w:t>
      </w:r>
    </w:p>
    <w:tbl>
      <w:tblPr>
        <w:tblStyle w:val="1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50"/>
        <w:gridCol w:w="4574"/>
        <w:gridCol w:w="2976"/>
      </w:tblGrid>
      <w:tr w14:paraId="6AA0C1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tcBorders>
              <w:top w:val="single" w:color="000000" w:sz="4" w:space="0"/>
              <w:left w:val="single" w:color="000000" w:sz="4" w:space="0"/>
              <w:bottom w:val="single" w:color="000000" w:sz="4" w:space="0"/>
              <w:right w:val="single" w:color="000000" w:sz="4" w:space="0"/>
            </w:tcBorders>
            <w:vAlign w:val="center"/>
          </w:tcPr>
          <w:p w14:paraId="178D358A">
            <w:pPr>
              <w:spacing w:line="360" w:lineRule="auto"/>
              <w:jc w:val="center"/>
              <w:rPr>
                <w:szCs w:val="21"/>
                <w:highlight w:val="none"/>
              </w:rPr>
            </w:pPr>
            <w:r>
              <w:rPr>
                <w:rFonts w:hint="eastAsia"/>
                <w:szCs w:val="21"/>
                <w:highlight w:val="none"/>
              </w:rPr>
              <w:t>序号</w:t>
            </w:r>
          </w:p>
        </w:tc>
        <w:tc>
          <w:tcPr>
            <w:tcW w:w="4574" w:type="dxa"/>
            <w:tcBorders>
              <w:top w:val="single" w:color="000000" w:sz="4" w:space="0"/>
              <w:left w:val="single" w:color="000000" w:sz="4" w:space="0"/>
              <w:bottom w:val="single" w:color="000000" w:sz="4" w:space="0"/>
              <w:right w:val="single" w:color="000000" w:sz="4" w:space="0"/>
            </w:tcBorders>
            <w:vAlign w:val="center"/>
          </w:tcPr>
          <w:p w14:paraId="1F4B9BCB">
            <w:pPr>
              <w:spacing w:line="360" w:lineRule="auto"/>
              <w:jc w:val="center"/>
              <w:rPr>
                <w:szCs w:val="21"/>
                <w:highlight w:val="none"/>
              </w:rPr>
            </w:pPr>
            <w:r>
              <w:rPr>
                <w:rFonts w:hint="eastAsia"/>
                <w:szCs w:val="21"/>
                <w:highlight w:val="none"/>
              </w:rPr>
              <w:t>单位名称</w:t>
            </w:r>
          </w:p>
        </w:tc>
        <w:tc>
          <w:tcPr>
            <w:tcW w:w="2976" w:type="dxa"/>
            <w:tcBorders>
              <w:top w:val="single" w:color="000000" w:sz="4" w:space="0"/>
              <w:left w:val="single" w:color="000000" w:sz="4" w:space="0"/>
              <w:bottom w:val="single" w:color="000000" w:sz="4" w:space="0"/>
              <w:right w:val="single" w:color="000000" w:sz="4" w:space="0"/>
            </w:tcBorders>
            <w:vAlign w:val="center"/>
          </w:tcPr>
          <w:p w14:paraId="32A4781D">
            <w:pPr>
              <w:spacing w:line="360" w:lineRule="auto"/>
              <w:jc w:val="center"/>
              <w:rPr>
                <w:szCs w:val="21"/>
                <w:highlight w:val="none"/>
              </w:rPr>
            </w:pPr>
            <w:r>
              <w:rPr>
                <w:rFonts w:hint="eastAsia"/>
                <w:szCs w:val="21"/>
                <w:highlight w:val="none"/>
              </w:rPr>
              <w:t>相互关系</w:t>
            </w:r>
          </w:p>
        </w:tc>
      </w:tr>
      <w:tr w14:paraId="39005B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tcBorders>
              <w:top w:val="single" w:color="000000" w:sz="4" w:space="0"/>
              <w:left w:val="single" w:color="000000" w:sz="4" w:space="0"/>
              <w:bottom w:val="single" w:color="000000" w:sz="4" w:space="0"/>
              <w:right w:val="single" w:color="000000" w:sz="4" w:space="0"/>
            </w:tcBorders>
            <w:vAlign w:val="center"/>
          </w:tcPr>
          <w:p w14:paraId="3424C632">
            <w:pPr>
              <w:spacing w:line="360" w:lineRule="auto"/>
              <w:jc w:val="center"/>
              <w:rPr>
                <w:szCs w:val="21"/>
                <w:highlight w:val="none"/>
              </w:rPr>
            </w:pPr>
            <w:r>
              <w:rPr>
                <w:rFonts w:hint="eastAsia"/>
                <w:szCs w:val="21"/>
                <w:highlight w:val="none"/>
              </w:rPr>
              <w:t>1</w:t>
            </w:r>
          </w:p>
        </w:tc>
        <w:tc>
          <w:tcPr>
            <w:tcW w:w="4574" w:type="dxa"/>
            <w:tcBorders>
              <w:top w:val="single" w:color="000000" w:sz="4" w:space="0"/>
              <w:left w:val="single" w:color="000000" w:sz="4" w:space="0"/>
              <w:bottom w:val="single" w:color="000000" w:sz="4" w:space="0"/>
              <w:right w:val="single" w:color="000000" w:sz="4" w:space="0"/>
            </w:tcBorders>
            <w:vAlign w:val="center"/>
          </w:tcPr>
          <w:p w14:paraId="01D4457C">
            <w:pPr>
              <w:spacing w:line="360" w:lineRule="auto"/>
              <w:jc w:val="center"/>
              <w:rPr>
                <w:b/>
                <w:bCs/>
                <w:szCs w:val="21"/>
                <w:highlight w:val="none"/>
              </w:rPr>
            </w:pPr>
            <w:r>
              <w:rPr>
                <w:rFonts w:hint="eastAsia"/>
                <w:b/>
                <w:bCs/>
                <w:szCs w:val="21"/>
                <w:highlight w:val="none"/>
              </w:rPr>
              <w:t>/</w:t>
            </w:r>
          </w:p>
        </w:tc>
        <w:tc>
          <w:tcPr>
            <w:tcW w:w="2976" w:type="dxa"/>
            <w:tcBorders>
              <w:top w:val="single" w:color="000000" w:sz="4" w:space="0"/>
              <w:left w:val="single" w:color="000000" w:sz="4" w:space="0"/>
              <w:bottom w:val="single" w:color="000000" w:sz="4" w:space="0"/>
              <w:right w:val="single" w:color="000000" w:sz="4" w:space="0"/>
            </w:tcBorders>
            <w:vAlign w:val="center"/>
          </w:tcPr>
          <w:p w14:paraId="477A46F1">
            <w:pPr>
              <w:spacing w:line="360" w:lineRule="auto"/>
              <w:jc w:val="center"/>
              <w:rPr>
                <w:b/>
                <w:bCs/>
                <w:szCs w:val="21"/>
                <w:highlight w:val="none"/>
              </w:rPr>
            </w:pPr>
            <w:r>
              <w:rPr>
                <w:rFonts w:hint="eastAsia"/>
                <w:b/>
                <w:bCs/>
                <w:szCs w:val="21"/>
                <w:highlight w:val="none"/>
              </w:rPr>
              <w:t>/</w:t>
            </w:r>
          </w:p>
        </w:tc>
      </w:tr>
      <w:tr w14:paraId="13E69B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tcBorders>
              <w:top w:val="single" w:color="000000" w:sz="4" w:space="0"/>
              <w:left w:val="single" w:color="000000" w:sz="4" w:space="0"/>
              <w:bottom w:val="single" w:color="000000" w:sz="4" w:space="0"/>
              <w:right w:val="single" w:color="000000" w:sz="4" w:space="0"/>
            </w:tcBorders>
            <w:vAlign w:val="center"/>
          </w:tcPr>
          <w:p w14:paraId="5DC04734">
            <w:pPr>
              <w:spacing w:line="360" w:lineRule="auto"/>
              <w:jc w:val="center"/>
              <w:rPr>
                <w:szCs w:val="21"/>
                <w:highlight w:val="none"/>
              </w:rPr>
            </w:pPr>
            <w:r>
              <w:rPr>
                <w:rFonts w:hint="eastAsia"/>
                <w:szCs w:val="21"/>
                <w:highlight w:val="none"/>
              </w:rPr>
              <w:t>2</w:t>
            </w:r>
          </w:p>
        </w:tc>
        <w:tc>
          <w:tcPr>
            <w:tcW w:w="4574" w:type="dxa"/>
            <w:tcBorders>
              <w:top w:val="single" w:color="000000" w:sz="4" w:space="0"/>
              <w:left w:val="single" w:color="000000" w:sz="4" w:space="0"/>
              <w:bottom w:val="single" w:color="000000" w:sz="4" w:space="0"/>
              <w:right w:val="single" w:color="000000" w:sz="4" w:space="0"/>
            </w:tcBorders>
            <w:vAlign w:val="center"/>
          </w:tcPr>
          <w:p w14:paraId="3478713B">
            <w:pPr>
              <w:spacing w:line="360" w:lineRule="auto"/>
              <w:jc w:val="center"/>
              <w:rPr>
                <w:b/>
                <w:bCs/>
                <w:szCs w:val="21"/>
                <w:highlight w:val="none"/>
              </w:rPr>
            </w:pPr>
            <w:r>
              <w:rPr>
                <w:rFonts w:hint="eastAsia"/>
                <w:b/>
                <w:bCs/>
                <w:szCs w:val="21"/>
                <w:highlight w:val="none"/>
              </w:rPr>
              <w:t>/</w:t>
            </w:r>
          </w:p>
        </w:tc>
        <w:tc>
          <w:tcPr>
            <w:tcW w:w="2976" w:type="dxa"/>
            <w:tcBorders>
              <w:top w:val="single" w:color="000000" w:sz="4" w:space="0"/>
              <w:left w:val="single" w:color="000000" w:sz="4" w:space="0"/>
              <w:bottom w:val="single" w:color="000000" w:sz="4" w:space="0"/>
              <w:right w:val="single" w:color="000000" w:sz="4" w:space="0"/>
            </w:tcBorders>
            <w:vAlign w:val="center"/>
          </w:tcPr>
          <w:p w14:paraId="0B9CA806">
            <w:pPr>
              <w:spacing w:line="360" w:lineRule="auto"/>
              <w:jc w:val="center"/>
              <w:rPr>
                <w:b/>
                <w:bCs/>
                <w:szCs w:val="21"/>
                <w:highlight w:val="none"/>
              </w:rPr>
            </w:pPr>
            <w:r>
              <w:rPr>
                <w:rFonts w:hint="eastAsia"/>
                <w:b/>
                <w:bCs/>
                <w:szCs w:val="21"/>
                <w:highlight w:val="none"/>
              </w:rPr>
              <w:t>/</w:t>
            </w:r>
          </w:p>
        </w:tc>
      </w:tr>
      <w:tr w14:paraId="5423E4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tcBorders>
              <w:top w:val="single" w:color="000000" w:sz="4" w:space="0"/>
              <w:left w:val="single" w:color="000000" w:sz="4" w:space="0"/>
              <w:bottom w:val="single" w:color="000000" w:sz="4" w:space="0"/>
              <w:right w:val="single" w:color="000000" w:sz="4" w:space="0"/>
            </w:tcBorders>
            <w:vAlign w:val="center"/>
          </w:tcPr>
          <w:p w14:paraId="10E8C650">
            <w:pPr>
              <w:spacing w:line="360" w:lineRule="auto"/>
              <w:jc w:val="center"/>
              <w:rPr>
                <w:szCs w:val="21"/>
                <w:highlight w:val="none"/>
              </w:rPr>
            </w:pPr>
            <w:r>
              <w:rPr>
                <w:rFonts w:hint="eastAsia"/>
                <w:szCs w:val="21"/>
                <w:highlight w:val="none"/>
              </w:rPr>
              <w:t>…</w:t>
            </w:r>
          </w:p>
        </w:tc>
        <w:tc>
          <w:tcPr>
            <w:tcW w:w="4574" w:type="dxa"/>
            <w:tcBorders>
              <w:top w:val="single" w:color="000000" w:sz="4" w:space="0"/>
              <w:left w:val="single" w:color="000000" w:sz="4" w:space="0"/>
              <w:bottom w:val="single" w:color="000000" w:sz="4" w:space="0"/>
              <w:right w:val="single" w:color="000000" w:sz="4" w:space="0"/>
            </w:tcBorders>
            <w:vAlign w:val="center"/>
          </w:tcPr>
          <w:p w14:paraId="4D0C96BF">
            <w:pPr>
              <w:spacing w:line="360" w:lineRule="auto"/>
              <w:jc w:val="center"/>
              <w:rPr>
                <w:b/>
                <w:bCs/>
                <w:szCs w:val="21"/>
                <w:highlight w:val="none"/>
              </w:rPr>
            </w:pPr>
            <w:r>
              <w:rPr>
                <w:rFonts w:hint="eastAsia"/>
                <w:b/>
                <w:bCs/>
                <w:szCs w:val="21"/>
                <w:highlight w:val="none"/>
              </w:rPr>
              <w:t>/</w:t>
            </w:r>
          </w:p>
        </w:tc>
        <w:tc>
          <w:tcPr>
            <w:tcW w:w="2976" w:type="dxa"/>
            <w:tcBorders>
              <w:top w:val="single" w:color="000000" w:sz="4" w:space="0"/>
              <w:left w:val="single" w:color="000000" w:sz="4" w:space="0"/>
              <w:bottom w:val="single" w:color="000000" w:sz="4" w:space="0"/>
              <w:right w:val="single" w:color="000000" w:sz="4" w:space="0"/>
            </w:tcBorders>
            <w:vAlign w:val="center"/>
          </w:tcPr>
          <w:p w14:paraId="76FFF340">
            <w:pPr>
              <w:spacing w:line="360" w:lineRule="auto"/>
              <w:jc w:val="center"/>
              <w:rPr>
                <w:b/>
                <w:bCs/>
                <w:szCs w:val="21"/>
                <w:highlight w:val="none"/>
              </w:rPr>
            </w:pPr>
            <w:r>
              <w:rPr>
                <w:rFonts w:hint="eastAsia"/>
                <w:b/>
                <w:bCs/>
                <w:szCs w:val="21"/>
                <w:highlight w:val="none"/>
              </w:rPr>
              <w:t>/</w:t>
            </w:r>
          </w:p>
        </w:tc>
      </w:tr>
    </w:tbl>
    <w:p w14:paraId="00058F49">
      <w:pPr>
        <w:spacing w:line="360" w:lineRule="auto"/>
        <w:rPr>
          <w:szCs w:val="21"/>
          <w:highlight w:val="none"/>
        </w:rPr>
      </w:pPr>
    </w:p>
    <w:p w14:paraId="7056A4DB">
      <w:pPr>
        <w:spacing w:line="360" w:lineRule="auto"/>
        <w:ind w:firstLine="420" w:firstLineChars="200"/>
        <w:rPr>
          <w:szCs w:val="21"/>
          <w:highlight w:val="none"/>
        </w:rPr>
      </w:pPr>
      <w:r>
        <w:rPr>
          <w:rFonts w:hint="eastAsia"/>
          <w:szCs w:val="21"/>
          <w:highlight w:val="none"/>
        </w:rPr>
        <w:t>上述声明真实有效，否则我方负全部责任。</w:t>
      </w:r>
    </w:p>
    <w:p w14:paraId="46FF4E62">
      <w:pPr>
        <w:spacing w:line="360" w:lineRule="auto"/>
        <w:rPr>
          <w:szCs w:val="21"/>
          <w:highlight w:val="none"/>
        </w:rPr>
      </w:pPr>
    </w:p>
    <w:p w14:paraId="4B6EF1B9">
      <w:pPr>
        <w:wordWrap w:val="0"/>
        <w:spacing w:before="25" w:after="25" w:line="360" w:lineRule="auto"/>
        <w:jc w:val="right"/>
        <w:rPr>
          <w:szCs w:val="21"/>
          <w:highlight w:val="none"/>
        </w:rPr>
      </w:pPr>
      <w:r>
        <w:rPr>
          <w:rFonts w:hint="eastAsia"/>
          <w:szCs w:val="21"/>
          <w:highlight w:val="none"/>
        </w:rPr>
        <w:t>供应商名称（加盖公章）：</w:t>
      </w:r>
      <w:r>
        <w:rPr>
          <w:rFonts w:hint="eastAsia"/>
          <w:szCs w:val="21"/>
          <w:highlight w:val="none"/>
          <w:u w:val="single"/>
        </w:rPr>
        <w:t xml:space="preserve">            </w:t>
      </w:r>
      <w:r>
        <w:rPr>
          <w:rFonts w:hint="eastAsia"/>
          <w:szCs w:val="21"/>
          <w:highlight w:val="none"/>
        </w:rPr>
        <w:t xml:space="preserve"> </w:t>
      </w:r>
    </w:p>
    <w:p w14:paraId="7A3C242A">
      <w:pPr>
        <w:spacing w:line="360" w:lineRule="auto"/>
        <w:ind w:right="360" w:firstLine="480"/>
        <w:jc w:val="right"/>
        <w:rPr>
          <w:szCs w:val="21"/>
          <w:highlight w:val="none"/>
        </w:rPr>
      </w:pPr>
      <w:r>
        <w:rPr>
          <w:rFonts w:hint="eastAsia"/>
          <w:szCs w:val="21"/>
          <w:highlight w:val="none"/>
        </w:rPr>
        <w:t>日期：</w:t>
      </w:r>
      <w:r>
        <w:rPr>
          <w:rFonts w:hint="eastAsia"/>
          <w:szCs w:val="21"/>
          <w:highlight w:val="none"/>
          <w:u w:val="single"/>
        </w:rPr>
        <w:t xml:space="preserve"> </w:t>
      </w:r>
      <w:r>
        <w:rPr>
          <w:szCs w:val="21"/>
          <w:highlight w:val="none"/>
          <w:u w:val="single"/>
        </w:rPr>
        <w:t xml:space="preserve">  </w:t>
      </w:r>
      <w:r>
        <w:rPr>
          <w:rFonts w:hint="eastAsia"/>
          <w:szCs w:val="21"/>
          <w:highlight w:val="none"/>
          <w:u w:val="single"/>
        </w:rPr>
        <w:t xml:space="preserve">  </w:t>
      </w:r>
      <w:r>
        <w:rPr>
          <w:rFonts w:hint="eastAsia"/>
          <w:szCs w:val="21"/>
          <w:highlight w:val="none"/>
        </w:rPr>
        <w:t>年</w:t>
      </w:r>
      <w:r>
        <w:rPr>
          <w:rFonts w:hint="eastAsia"/>
          <w:szCs w:val="21"/>
          <w:highlight w:val="none"/>
          <w:u w:val="single"/>
        </w:rPr>
        <w:t xml:space="preserve">    </w:t>
      </w:r>
      <w:r>
        <w:rPr>
          <w:rFonts w:hint="eastAsia"/>
          <w:szCs w:val="21"/>
          <w:highlight w:val="none"/>
        </w:rPr>
        <w:t>月</w:t>
      </w:r>
      <w:r>
        <w:rPr>
          <w:rFonts w:hint="eastAsia"/>
          <w:szCs w:val="21"/>
          <w:highlight w:val="none"/>
          <w:u w:val="single"/>
        </w:rPr>
        <w:t xml:space="preserve">    </w:t>
      </w:r>
      <w:r>
        <w:rPr>
          <w:rFonts w:hint="eastAsia"/>
          <w:szCs w:val="21"/>
          <w:highlight w:val="none"/>
        </w:rPr>
        <w:t>日</w:t>
      </w:r>
    </w:p>
    <w:p w14:paraId="704456EA">
      <w:pPr>
        <w:spacing w:before="25" w:after="25" w:line="360" w:lineRule="auto"/>
        <w:jc w:val="right"/>
        <w:rPr>
          <w:szCs w:val="21"/>
          <w:highlight w:val="none"/>
        </w:rPr>
      </w:pPr>
    </w:p>
    <w:p w14:paraId="08C7525C">
      <w:pPr>
        <w:spacing w:line="360" w:lineRule="auto"/>
        <w:rPr>
          <w:szCs w:val="21"/>
          <w:highlight w:val="none"/>
        </w:rPr>
      </w:pPr>
    </w:p>
    <w:p w14:paraId="61AF56EE">
      <w:pPr>
        <w:spacing w:line="360" w:lineRule="auto"/>
        <w:rPr>
          <w:szCs w:val="21"/>
          <w:highlight w:val="none"/>
        </w:rPr>
      </w:pPr>
      <w:r>
        <w:rPr>
          <w:rFonts w:hint="eastAsia"/>
          <w:szCs w:val="21"/>
          <w:highlight w:val="none"/>
        </w:rPr>
        <w:t>说明：供应商承诺不实的，依据《</w:t>
      </w:r>
      <w:r>
        <w:rPr>
          <w:rFonts w:hint="eastAsia" w:ascii="宋体" w:hAnsi="宋体" w:cs="宋体"/>
          <w:szCs w:val="21"/>
          <w:highlight w:val="none"/>
        </w:rPr>
        <w:t>中华人民共和国政府采购法</w:t>
      </w:r>
      <w:r>
        <w:rPr>
          <w:rFonts w:hint="eastAsia"/>
          <w:szCs w:val="21"/>
          <w:highlight w:val="none"/>
        </w:rPr>
        <w:t>》第七十七条“提供虚假材料谋取中标、成交的”有关规定予以处理。</w:t>
      </w:r>
    </w:p>
    <w:p w14:paraId="1EA6DB8E">
      <w:pPr>
        <w:spacing w:line="360" w:lineRule="auto"/>
        <w:ind w:firstLine="420" w:firstLineChars="200"/>
        <w:contextualSpacing/>
        <w:rPr>
          <w:rFonts w:hint="eastAsia" w:ascii="宋体" w:hAnsi="宋体"/>
          <w:bCs/>
          <w:szCs w:val="21"/>
          <w:highlight w:val="none"/>
        </w:rPr>
      </w:pPr>
    </w:p>
    <w:p w14:paraId="02418A11">
      <w:pPr>
        <w:spacing w:line="360" w:lineRule="auto"/>
        <w:jc w:val="center"/>
        <w:rPr>
          <w:rFonts w:hint="eastAsia" w:ascii="宋体" w:hAnsi="宋体"/>
          <w:bCs/>
          <w:color w:val="000000"/>
          <w:sz w:val="30"/>
          <w:szCs w:val="30"/>
          <w:highlight w:val="none"/>
        </w:rPr>
      </w:pPr>
    </w:p>
    <w:p w14:paraId="275A597C">
      <w:pPr>
        <w:spacing w:line="360" w:lineRule="auto"/>
        <w:jc w:val="center"/>
        <w:rPr>
          <w:rFonts w:hint="eastAsia" w:ascii="宋体" w:hAnsi="宋体"/>
          <w:b/>
          <w:color w:val="000000"/>
          <w:szCs w:val="21"/>
          <w:highlight w:val="none"/>
        </w:rPr>
      </w:pPr>
    </w:p>
    <w:p w14:paraId="5027C370">
      <w:pPr>
        <w:spacing w:line="360" w:lineRule="auto"/>
        <w:rPr>
          <w:highlight w:val="none"/>
        </w:rPr>
        <w:sectPr>
          <w:pgSz w:w="11907" w:h="16840"/>
          <w:pgMar w:top="1134" w:right="1134" w:bottom="1134" w:left="1560" w:header="851" w:footer="851" w:gutter="0"/>
          <w:pgBorders>
            <w:top w:val="none" w:sz="0" w:space="0"/>
            <w:left w:val="none" w:sz="0" w:space="0"/>
            <w:bottom w:val="none" w:sz="0" w:space="0"/>
            <w:right w:val="none" w:sz="0" w:space="0"/>
          </w:pgBorders>
          <w:cols w:space="720" w:num="1"/>
          <w:docGrid w:linePitch="312" w:charSpace="0"/>
        </w:sectPr>
      </w:pPr>
    </w:p>
    <w:p w14:paraId="208184EB">
      <w:pPr>
        <w:spacing w:line="360" w:lineRule="auto"/>
        <w:jc w:val="center"/>
        <w:outlineLvl w:val="4"/>
        <w:rPr>
          <w:rFonts w:hint="eastAsia" w:ascii="宋体" w:hAnsi="宋体" w:cs="宋体"/>
          <w:b/>
          <w:bCs/>
          <w:szCs w:val="21"/>
          <w:highlight w:val="none"/>
        </w:rPr>
      </w:pPr>
      <w:r>
        <w:rPr>
          <w:rFonts w:hint="eastAsia" w:ascii="宋体" w:hAnsi="宋体" w:cs="宋体"/>
          <w:b/>
          <w:bCs/>
          <w:szCs w:val="21"/>
          <w:highlight w:val="none"/>
        </w:rPr>
        <w:t>4.诚信承诺书</w:t>
      </w:r>
    </w:p>
    <w:p w14:paraId="23D4EE0F">
      <w:pPr>
        <w:spacing w:line="360" w:lineRule="auto"/>
        <w:rPr>
          <w:rFonts w:hint="eastAsia" w:ascii="宋体" w:hAnsi="宋体" w:cs="宋体"/>
          <w:bCs/>
          <w:szCs w:val="21"/>
          <w:highlight w:val="none"/>
        </w:rPr>
      </w:pPr>
      <w:r>
        <w:rPr>
          <w:rFonts w:hint="eastAsia" w:ascii="宋体" w:hAnsi="宋体" w:cs="宋体"/>
          <w:szCs w:val="21"/>
          <w:highlight w:val="none"/>
          <w:u w:val="single"/>
        </w:rPr>
        <w:t xml:space="preserve">           （采购人名称）</w:t>
      </w:r>
      <w:r>
        <w:rPr>
          <w:rFonts w:hint="eastAsia" w:ascii="宋体" w:hAnsi="宋体" w:cs="宋体"/>
          <w:szCs w:val="21"/>
          <w:highlight w:val="none"/>
        </w:rPr>
        <w:t>：</w:t>
      </w:r>
    </w:p>
    <w:p w14:paraId="3ABD8240">
      <w:pPr>
        <w:spacing w:line="360" w:lineRule="auto"/>
        <w:ind w:firstLine="480"/>
        <w:rPr>
          <w:rFonts w:hint="eastAsia" w:ascii="宋体" w:hAnsi="宋体" w:cs="宋体"/>
          <w:szCs w:val="21"/>
          <w:highlight w:val="none"/>
        </w:rPr>
      </w:pPr>
      <w:r>
        <w:rPr>
          <w:rFonts w:hint="eastAsia" w:ascii="宋体" w:hAnsi="宋体" w:cs="宋体"/>
          <w:szCs w:val="21"/>
          <w:highlight w:val="none"/>
        </w:rPr>
        <w:t>我单位在参加贵单位组织的</w:t>
      </w:r>
      <w:r>
        <w:rPr>
          <w:rFonts w:hint="eastAsia" w:ascii="宋体" w:hAnsi="宋体" w:cs="宋体"/>
          <w:szCs w:val="21"/>
          <w:highlight w:val="none"/>
          <w:u w:val="single"/>
        </w:rPr>
        <w:t xml:space="preserve">                         项目</w:t>
      </w:r>
      <w:r>
        <w:rPr>
          <w:rFonts w:hint="eastAsia" w:ascii="宋体" w:hAnsi="宋体" w:cs="宋体"/>
          <w:szCs w:val="21"/>
          <w:highlight w:val="none"/>
        </w:rPr>
        <w:t>的磋商活动中，郑重承诺如下：</w:t>
      </w:r>
    </w:p>
    <w:p w14:paraId="133AB20F">
      <w:pPr>
        <w:spacing w:line="360" w:lineRule="auto"/>
        <w:ind w:firstLine="480"/>
        <w:rPr>
          <w:rFonts w:hint="eastAsia" w:ascii="宋体" w:hAnsi="宋体" w:cs="宋体"/>
          <w:szCs w:val="21"/>
          <w:highlight w:val="none"/>
        </w:rPr>
      </w:pPr>
      <w:r>
        <w:rPr>
          <w:rFonts w:hint="eastAsia" w:ascii="宋体" w:hAnsi="宋体" w:cs="宋体"/>
          <w:szCs w:val="21"/>
          <w:highlight w:val="none"/>
        </w:rPr>
        <w:t>1.我单位参与本项目投标，提交的磋商响应文件包括资格审查材料均真实可信。证件及有关附件是真实的，绝无提供虚假材料行为。</w:t>
      </w:r>
    </w:p>
    <w:p w14:paraId="4DCDB700">
      <w:pPr>
        <w:spacing w:line="360" w:lineRule="auto"/>
        <w:ind w:firstLine="480"/>
        <w:rPr>
          <w:rFonts w:hint="eastAsia" w:ascii="宋体" w:hAnsi="宋体" w:cs="宋体"/>
          <w:szCs w:val="21"/>
          <w:highlight w:val="none"/>
        </w:rPr>
      </w:pPr>
      <w:r>
        <w:rPr>
          <w:rFonts w:hint="eastAsia" w:ascii="宋体" w:hAnsi="宋体" w:cs="宋体"/>
          <w:szCs w:val="21"/>
          <w:highlight w:val="none"/>
        </w:rPr>
        <w:t>2.我单位参与本项目投标绝无借资质、挂靠行为。</w:t>
      </w:r>
    </w:p>
    <w:p w14:paraId="67F254C3">
      <w:pPr>
        <w:spacing w:line="360" w:lineRule="auto"/>
        <w:ind w:firstLine="480"/>
        <w:rPr>
          <w:rFonts w:hint="eastAsia" w:ascii="宋体" w:hAnsi="宋体" w:cs="宋体"/>
          <w:szCs w:val="21"/>
          <w:highlight w:val="none"/>
        </w:rPr>
      </w:pPr>
      <w:r>
        <w:rPr>
          <w:rFonts w:hint="eastAsia" w:ascii="宋体" w:hAnsi="宋体" w:cs="宋体"/>
          <w:szCs w:val="21"/>
          <w:highlight w:val="none"/>
        </w:rPr>
        <w:t>3.本项目授权代表为本单位正式员工。</w:t>
      </w:r>
    </w:p>
    <w:p w14:paraId="56AAADE8">
      <w:pPr>
        <w:spacing w:line="360" w:lineRule="auto"/>
        <w:ind w:firstLine="480"/>
        <w:rPr>
          <w:rFonts w:hint="eastAsia" w:ascii="宋体" w:hAnsi="宋体" w:cs="宋体"/>
          <w:szCs w:val="21"/>
          <w:highlight w:val="none"/>
        </w:rPr>
      </w:pPr>
      <w:r>
        <w:rPr>
          <w:rFonts w:hint="eastAsia" w:ascii="宋体" w:hAnsi="宋体" w:cs="宋体"/>
          <w:szCs w:val="21"/>
          <w:highlight w:val="none"/>
        </w:rPr>
        <w:t>4.我单位遵守国家廉政相关规定，无失信、行贿等不良行为。</w:t>
      </w:r>
    </w:p>
    <w:p w14:paraId="6CDE7ACA">
      <w:pPr>
        <w:spacing w:line="360" w:lineRule="auto"/>
        <w:ind w:firstLine="480"/>
        <w:rPr>
          <w:rFonts w:hint="eastAsia" w:ascii="宋体" w:hAnsi="宋体" w:cs="宋体"/>
          <w:szCs w:val="21"/>
          <w:highlight w:val="none"/>
          <w:lang w:val="en-GB"/>
        </w:rPr>
      </w:pPr>
      <w:r>
        <w:rPr>
          <w:rFonts w:hint="eastAsia" w:ascii="宋体" w:hAnsi="宋体" w:cs="宋体"/>
          <w:szCs w:val="21"/>
          <w:highlight w:val="none"/>
        </w:rPr>
        <w:t>5.</w:t>
      </w:r>
      <w:r>
        <w:rPr>
          <w:rFonts w:hint="eastAsia" w:ascii="宋体" w:hAnsi="宋体" w:cs="宋体"/>
          <w:szCs w:val="21"/>
          <w:highlight w:val="none"/>
          <w:lang w:val="en-GB"/>
        </w:rPr>
        <w:t>我单位</w:t>
      </w:r>
      <w:r>
        <w:rPr>
          <w:rFonts w:hint="eastAsia" w:ascii="宋体" w:hAnsi="宋体" w:cs="宋体"/>
          <w:szCs w:val="21"/>
          <w:highlight w:val="none"/>
        </w:rPr>
        <w:t>参与本项目</w:t>
      </w:r>
      <w:r>
        <w:rPr>
          <w:rFonts w:hint="eastAsia" w:ascii="宋体" w:hAnsi="宋体" w:cs="宋体"/>
          <w:szCs w:val="21"/>
          <w:highlight w:val="none"/>
          <w:lang w:val="en-GB"/>
        </w:rPr>
        <w:t>投标</w:t>
      </w:r>
      <w:r>
        <w:rPr>
          <w:rFonts w:hint="eastAsia" w:ascii="宋体" w:hAnsi="宋体" w:cs="宋体"/>
          <w:szCs w:val="21"/>
          <w:highlight w:val="none"/>
        </w:rPr>
        <w:t>绝无</w:t>
      </w:r>
      <w:r>
        <w:rPr>
          <w:rFonts w:hint="eastAsia" w:ascii="宋体" w:hAnsi="宋体" w:cs="宋体"/>
          <w:szCs w:val="21"/>
          <w:highlight w:val="none"/>
          <w:lang w:val="en-GB"/>
        </w:rPr>
        <w:t>串标、围标等行为。</w:t>
      </w:r>
    </w:p>
    <w:p w14:paraId="2E198B99">
      <w:pPr>
        <w:spacing w:line="360" w:lineRule="auto"/>
        <w:ind w:firstLine="480"/>
        <w:rPr>
          <w:rFonts w:hint="eastAsia" w:ascii="宋体" w:hAnsi="宋体" w:cs="宋体"/>
          <w:szCs w:val="21"/>
          <w:highlight w:val="none"/>
          <w:lang w:val="en-GB"/>
        </w:rPr>
      </w:pPr>
      <w:r>
        <w:rPr>
          <w:rFonts w:hint="eastAsia" w:ascii="宋体" w:hAnsi="宋体" w:cs="宋体"/>
          <w:szCs w:val="21"/>
          <w:highlight w:val="none"/>
        </w:rPr>
        <w:t>6.</w:t>
      </w:r>
      <w:r>
        <w:rPr>
          <w:rFonts w:hint="eastAsia" w:ascii="宋体" w:hAnsi="宋体" w:cs="宋体"/>
          <w:szCs w:val="21"/>
          <w:highlight w:val="none"/>
          <w:lang w:val="en-GB"/>
        </w:rPr>
        <w:t>我单位在参加政府采购活动前三年内，在经营活动中没有重大违法记录。</w:t>
      </w:r>
    </w:p>
    <w:p w14:paraId="250D3BEF">
      <w:pPr>
        <w:spacing w:line="360" w:lineRule="auto"/>
        <w:ind w:firstLine="480"/>
        <w:rPr>
          <w:rFonts w:hint="eastAsia" w:ascii="宋体" w:hAnsi="宋体" w:cs="宋体"/>
          <w:szCs w:val="21"/>
          <w:highlight w:val="none"/>
        </w:rPr>
      </w:pPr>
      <w:r>
        <w:rPr>
          <w:rFonts w:hint="eastAsia" w:ascii="宋体" w:hAnsi="宋体" w:cs="宋体"/>
          <w:szCs w:val="21"/>
          <w:highlight w:val="none"/>
        </w:rPr>
        <w:t>7.如中标，我单位</w:t>
      </w:r>
      <w:r>
        <w:rPr>
          <w:rFonts w:hint="eastAsia" w:ascii="宋体" w:hAnsi="宋体" w:cs="宋体"/>
          <w:szCs w:val="21"/>
          <w:highlight w:val="none"/>
          <w:lang w:val="en-GB"/>
        </w:rPr>
        <w:t>在</w:t>
      </w:r>
      <w:r>
        <w:rPr>
          <w:rFonts w:hint="eastAsia" w:ascii="宋体" w:hAnsi="宋体" w:cs="宋体"/>
          <w:szCs w:val="21"/>
          <w:highlight w:val="none"/>
        </w:rPr>
        <w:t>成交结果</w:t>
      </w:r>
      <w:r>
        <w:rPr>
          <w:rFonts w:hint="eastAsia" w:ascii="宋体" w:hAnsi="宋体" w:cs="宋体"/>
          <w:szCs w:val="21"/>
          <w:highlight w:val="none"/>
          <w:lang w:val="en-GB"/>
        </w:rPr>
        <w:t>公示结束后</w:t>
      </w:r>
      <w:r>
        <w:rPr>
          <w:rFonts w:hint="eastAsia" w:ascii="宋体" w:hAnsi="宋体" w:cs="宋体"/>
          <w:szCs w:val="21"/>
          <w:highlight w:val="none"/>
        </w:rPr>
        <w:t>3天内领取中标通知书。</w:t>
      </w:r>
    </w:p>
    <w:p w14:paraId="07C10104">
      <w:pPr>
        <w:spacing w:line="360" w:lineRule="auto"/>
        <w:ind w:firstLine="480"/>
        <w:rPr>
          <w:rFonts w:hint="eastAsia" w:ascii="宋体" w:hAnsi="宋体" w:cs="宋体"/>
          <w:szCs w:val="21"/>
          <w:highlight w:val="none"/>
        </w:rPr>
      </w:pPr>
      <w:r>
        <w:rPr>
          <w:rFonts w:hint="eastAsia" w:ascii="宋体" w:hAnsi="宋体" w:cs="宋体"/>
          <w:szCs w:val="21"/>
          <w:highlight w:val="none"/>
        </w:rPr>
        <w:t>8.中标后，我单位将按照采购文件规定并在成交通知书规定的时限内与采购单位签订合同。</w:t>
      </w:r>
    </w:p>
    <w:p w14:paraId="1250AAFB">
      <w:pPr>
        <w:spacing w:line="360" w:lineRule="auto"/>
        <w:ind w:firstLine="480"/>
        <w:rPr>
          <w:rFonts w:hint="eastAsia" w:ascii="宋体" w:hAnsi="宋体" w:cs="宋体"/>
          <w:szCs w:val="21"/>
          <w:highlight w:val="none"/>
        </w:rPr>
      </w:pPr>
      <w:r>
        <w:rPr>
          <w:rFonts w:hint="eastAsia" w:ascii="宋体" w:hAnsi="宋体" w:cs="宋体"/>
          <w:szCs w:val="21"/>
          <w:highlight w:val="none"/>
        </w:rPr>
        <w:t>9.如中标，我单位将按照采购文件规定以及响应文件中承诺的相关事项向采购人提供完整相关证明材料或配合采购人做好相关工作。</w:t>
      </w:r>
    </w:p>
    <w:p w14:paraId="3BBC1F53">
      <w:pPr>
        <w:spacing w:line="360" w:lineRule="auto"/>
        <w:ind w:firstLine="480"/>
        <w:rPr>
          <w:rFonts w:hint="eastAsia" w:ascii="宋体" w:hAnsi="宋体" w:cs="宋体"/>
          <w:szCs w:val="21"/>
          <w:highlight w:val="none"/>
        </w:rPr>
      </w:pPr>
      <w:r>
        <w:rPr>
          <w:rFonts w:hint="eastAsia" w:ascii="宋体" w:hAnsi="宋体" w:cs="宋体"/>
          <w:szCs w:val="21"/>
          <w:highlight w:val="none"/>
        </w:rPr>
        <w:t>若我单位未能兑现以上承诺，愿意放弃本项目中标资格，愿意被采购人列入政府采购黑名单1～3年，愿意接受采购人和监管部门的其他处罚，并愿意承担因违反上述承诺内容所引发的一切责任与后果。</w:t>
      </w:r>
    </w:p>
    <w:p w14:paraId="3B0A7936">
      <w:pPr>
        <w:spacing w:line="360" w:lineRule="auto"/>
        <w:ind w:firstLine="560"/>
        <w:rPr>
          <w:rFonts w:hint="eastAsia" w:ascii="宋体" w:hAnsi="宋体" w:cs="宋体"/>
          <w:bCs/>
          <w:szCs w:val="21"/>
          <w:highlight w:val="none"/>
        </w:rPr>
      </w:pPr>
    </w:p>
    <w:p w14:paraId="1BD8E017">
      <w:pPr>
        <w:spacing w:line="360" w:lineRule="auto"/>
        <w:ind w:firstLine="3624" w:firstLineChars="1726"/>
        <w:rPr>
          <w:rFonts w:hint="eastAsia" w:ascii="宋体" w:hAnsi="宋体" w:cs="宋体"/>
          <w:bCs/>
          <w:szCs w:val="21"/>
          <w:highlight w:val="none"/>
        </w:rPr>
      </w:pPr>
      <w:r>
        <w:rPr>
          <w:rFonts w:hint="eastAsia" w:ascii="宋体" w:hAnsi="宋体" w:cs="宋体"/>
          <w:bCs/>
          <w:szCs w:val="21"/>
          <w:highlight w:val="none"/>
        </w:rPr>
        <w:t>供应商（盖公章）：</w:t>
      </w:r>
      <w:r>
        <w:rPr>
          <w:rFonts w:hint="eastAsia" w:ascii="宋体" w:hAnsi="宋体" w:cs="宋体"/>
          <w:bCs/>
          <w:szCs w:val="21"/>
          <w:highlight w:val="none"/>
          <w:u w:val="single"/>
        </w:rPr>
        <w:t xml:space="preserve">                              </w:t>
      </w:r>
    </w:p>
    <w:p w14:paraId="6A19932B">
      <w:pPr>
        <w:spacing w:line="360" w:lineRule="auto"/>
        <w:ind w:firstLine="480"/>
        <w:rPr>
          <w:rFonts w:hint="eastAsia" w:ascii="宋体" w:hAnsi="宋体" w:cs="宋体"/>
          <w:bCs/>
          <w:szCs w:val="21"/>
          <w:highlight w:val="none"/>
        </w:rPr>
      </w:pPr>
    </w:p>
    <w:p w14:paraId="722FB707">
      <w:pPr>
        <w:spacing w:line="360" w:lineRule="auto"/>
        <w:ind w:firstLine="3624" w:firstLineChars="1726"/>
        <w:rPr>
          <w:rFonts w:hint="eastAsia" w:ascii="宋体" w:hAnsi="宋体" w:cs="宋体"/>
          <w:bCs/>
          <w:szCs w:val="21"/>
          <w:highlight w:val="none"/>
        </w:rPr>
      </w:pPr>
      <w:r>
        <w:rPr>
          <w:rFonts w:hint="eastAsia" w:ascii="宋体" w:hAnsi="宋体" w:cs="宋体"/>
          <w:bCs/>
          <w:szCs w:val="21"/>
          <w:highlight w:val="none"/>
        </w:rPr>
        <w:t>法定代表人（签字或盖章）：</w:t>
      </w:r>
      <w:r>
        <w:rPr>
          <w:rFonts w:hint="eastAsia" w:ascii="宋体" w:hAnsi="宋体" w:cs="宋体"/>
          <w:bCs/>
          <w:szCs w:val="21"/>
          <w:highlight w:val="none"/>
          <w:u w:val="single"/>
        </w:rPr>
        <w:t xml:space="preserve">                      </w:t>
      </w:r>
    </w:p>
    <w:p w14:paraId="2B8D82A7">
      <w:pPr>
        <w:spacing w:line="360" w:lineRule="auto"/>
        <w:ind w:firstLine="480"/>
        <w:jc w:val="right"/>
        <w:rPr>
          <w:rFonts w:hint="eastAsia" w:ascii="宋体" w:hAnsi="宋体" w:cs="宋体"/>
          <w:szCs w:val="21"/>
          <w:highlight w:val="none"/>
        </w:rPr>
      </w:pPr>
    </w:p>
    <w:p w14:paraId="6EDA04ED">
      <w:pPr>
        <w:spacing w:line="360" w:lineRule="auto"/>
        <w:ind w:left="2833" w:right="560" w:firstLine="2777"/>
        <w:rPr>
          <w:rFonts w:hint="eastAsia" w:ascii="宋体" w:hAnsi="宋体" w:cs="宋体"/>
          <w:szCs w:val="21"/>
          <w:highlight w:val="none"/>
        </w:rPr>
      </w:pPr>
      <w:r>
        <w:rPr>
          <w:rFonts w:hint="eastAsia" w:ascii="宋体" w:hAnsi="宋体" w:cs="宋体"/>
          <w:szCs w:val="21"/>
          <w:highlight w:val="none"/>
        </w:rPr>
        <w:t>年     月     日</w:t>
      </w:r>
    </w:p>
    <w:p w14:paraId="3CFBE425">
      <w:pPr>
        <w:spacing w:line="360" w:lineRule="auto"/>
        <w:jc w:val="center"/>
        <w:rPr>
          <w:rFonts w:hint="eastAsia" w:ascii="宋体" w:hAnsi="宋体" w:cs="宋体"/>
          <w:b/>
          <w:szCs w:val="21"/>
          <w:highlight w:val="none"/>
        </w:rPr>
      </w:pPr>
      <w:r>
        <w:rPr>
          <w:rFonts w:hint="eastAsia" w:ascii="宋体" w:hAnsi="宋体" w:cs="宋体"/>
          <w:b/>
          <w:szCs w:val="21"/>
          <w:highlight w:val="none"/>
        </w:rPr>
        <w:br w:type="page" w:clear="all"/>
      </w:r>
      <w:r>
        <w:rPr>
          <w:rFonts w:hint="eastAsia" w:ascii="宋体" w:hAnsi="宋体" w:cs="宋体"/>
          <w:b/>
          <w:szCs w:val="21"/>
          <w:highlight w:val="none"/>
        </w:rPr>
        <w:t>5.中小企业声明函（工程、服务）</w:t>
      </w:r>
    </w:p>
    <w:p w14:paraId="266C3696">
      <w:pPr>
        <w:spacing w:line="360" w:lineRule="auto"/>
        <w:ind w:firstLine="560"/>
        <w:rPr>
          <w:rFonts w:hint="eastAsia" w:ascii="宋体" w:hAnsi="宋体" w:cs="宋体"/>
          <w:szCs w:val="21"/>
          <w:highlight w:val="none"/>
          <w:lang w:bidi="zh-CN"/>
        </w:rPr>
      </w:pPr>
      <w:r>
        <w:rPr>
          <w:rFonts w:hint="eastAsia" w:ascii="宋体" w:hAnsi="宋体" w:cs="宋体"/>
          <w:szCs w:val="21"/>
          <w:highlight w:val="none"/>
          <w:lang w:bidi="zh-CN"/>
        </w:rPr>
        <w:t>本公司郑重声明，根据《政府采购促进中小企业发展管理办法》（财库﹝2020﹞46 号）的规定，本公司参加</w:t>
      </w:r>
      <w:r>
        <w:rPr>
          <w:rFonts w:hint="eastAsia" w:ascii="宋体" w:hAnsi="宋体" w:cs="宋体"/>
          <w:szCs w:val="21"/>
          <w:highlight w:val="none"/>
          <w:u w:val="single"/>
          <w:lang w:bidi="zh-CN"/>
        </w:rPr>
        <w:t>（单位名称）</w:t>
      </w:r>
      <w:r>
        <w:rPr>
          <w:rFonts w:hint="eastAsia" w:ascii="宋体" w:hAnsi="宋体" w:cs="宋体"/>
          <w:szCs w:val="21"/>
          <w:highlight w:val="none"/>
          <w:lang w:bidi="zh-CN"/>
        </w:rPr>
        <w:t>的</w:t>
      </w:r>
      <w:r>
        <w:rPr>
          <w:rFonts w:hint="eastAsia" w:ascii="宋体" w:hAnsi="宋体" w:cs="宋体"/>
          <w:szCs w:val="21"/>
          <w:highlight w:val="none"/>
          <w:u w:val="single"/>
          <w:lang w:bidi="zh-CN"/>
        </w:rPr>
        <w:t>（项目名称）</w:t>
      </w:r>
      <w:r>
        <w:rPr>
          <w:rFonts w:hint="eastAsia" w:ascii="宋体" w:hAnsi="宋体" w:cs="宋体"/>
          <w:szCs w:val="21"/>
          <w:highlight w:val="none"/>
          <w:lang w:bidi="zh-CN"/>
        </w:rPr>
        <w:t>采购活动，工程的施工单位全部为符合政策要求的中小企业（或者：服务全部由符合政策要求的中小企业承接）。企业的具体情况如下：</w:t>
      </w:r>
    </w:p>
    <w:p w14:paraId="2076D57C">
      <w:pPr>
        <w:spacing w:line="360" w:lineRule="auto"/>
        <w:ind w:firstLine="420" w:firstLineChars="200"/>
        <w:jc w:val="left"/>
        <w:rPr>
          <w:rFonts w:hint="eastAsia" w:ascii="宋体" w:hAnsi="宋体" w:cs="宋体"/>
          <w:szCs w:val="21"/>
          <w:highlight w:val="none"/>
          <w:lang w:bidi="zh-CN"/>
        </w:rPr>
      </w:pPr>
      <w:r>
        <w:rPr>
          <w:rFonts w:hint="eastAsia" w:ascii="宋体" w:hAnsi="宋体" w:cs="宋体"/>
          <w:szCs w:val="21"/>
          <w:highlight w:val="none"/>
          <w:lang w:bidi="zh-CN"/>
        </w:rPr>
        <w:t>1.</w:t>
      </w:r>
      <w:r>
        <w:rPr>
          <w:rFonts w:hint="eastAsia" w:ascii="宋体" w:hAnsi="宋体" w:cs="宋体"/>
          <w:szCs w:val="21"/>
          <w:highlight w:val="none"/>
          <w:u w:val="single"/>
          <w:lang w:bidi="zh-CN"/>
        </w:rPr>
        <w:t>（标的名称）</w:t>
      </w:r>
      <w:r>
        <w:rPr>
          <w:rFonts w:hint="eastAsia" w:ascii="宋体" w:hAnsi="宋体" w:cs="宋体"/>
          <w:szCs w:val="21"/>
          <w:highlight w:val="none"/>
          <w:lang w:bidi="zh-CN"/>
        </w:rPr>
        <w:t>，属于（</w:t>
      </w:r>
      <w:r>
        <w:rPr>
          <w:rFonts w:hint="eastAsia" w:ascii="宋体" w:hAnsi="宋体" w:cs="宋体"/>
          <w:szCs w:val="21"/>
          <w:highlight w:val="none"/>
          <w:u w:val="single"/>
          <w:lang w:bidi="zh-CN"/>
        </w:rPr>
        <w:t>采购文件中明确的所属行业）</w:t>
      </w:r>
      <w:r>
        <w:rPr>
          <w:rFonts w:hint="eastAsia" w:ascii="宋体" w:hAnsi="宋体" w:cs="宋体"/>
          <w:szCs w:val="21"/>
          <w:highlight w:val="none"/>
          <w:lang w:bidi="zh-CN"/>
        </w:rPr>
        <w:t>；承建（承接）企业为</w:t>
      </w:r>
      <w:r>
        <w:rPr>
          <w:rFonts w:hint="eastAsia" w:ascii="宋体" w:hAnsi="宋体" w:cs="宋体"/>
          <w:szCs w:val="21"/>
          <w:highlight w:val="none"/>
          <w:u w:val="single"/>
          <w:lang w:bidi="zh-CN"/>
        </w:rPr>
        <w:t>（企业名称）</w:t>
      </w:r>
      <w:r>
        <w:rPr>
          <w:rFonts w:hint="eastAsia" w:ascii="宋体" w:hAnsi="宋体" w:cs="宋体"/>
          <w:szCs w:val="21"/>
          <w:highlight w:val="none"/>
          <w:lang w:bidi="zh-CN"/>
        </w:rPr>
        <w:t>，从业人员</w:t>
      </w:r>
      <w:r>
        <w:rPr>
          <w:rFonts w:hint="eastAsia" w:ascii="宋体" w:hAnsi="宋体" w:cs="宋体"/>
          <w:szCs w:val="21"/>
          <w:highlight w:val="none"/>
          <w:u w:val="single"/>
          <w:lang w:bidi="zh-CN"/>
        </w:rPr>
        <w:t xml:space="preserve"> </w:t>
      </w:r>
      <w:r>
        <w:rPr>
          <w:rFonts w:hint="eastAsia" w:ascii="宋体" w:hAnsi="宋体" w:cs="宋体"/>
          <w:szCs w:val="21"/>
          <w:highlight w:val="none"/>
          <w:u w:val="single"/>
          <w:lang w:bidi="zh-CN"/>
        </w:rPr>
        <w:tab/>
      </w:r>
      <w:r>
        <w:rPr>
          <w:rFonts w:hint="eastAsia" w:ascii="宋体" w:hAnsi="宋体" w:cs="宋体"/>
          <w:szCs w:val="21"/>
          <w:highlight w:val="none"/>
          <w:u w:val="single"/>
          <w:lang w:bidi="zh-CN"/>
        </w:rPr>
        <w:t xml:space="preserve">   </w:t>
      </w:r>
      <w:r>
        <w:rPr>
          <w:rFonts w:hint="eastAsia" w:ascii="宋体" w:hAnsi="宋体" w:cs="宋体"/>
          <w:szCs w:val="21"/>
          <w:highlight w:val="none"/>
          <w:lang w:bidi="zh-CN"/>
        </w:rPr>
        <w:t>人，营业收入为</w:t>
      </w:r>
      <w:r>
        <w:rPr>
          <w:rFonts w:hint="eastAsia" w:ascii="宋体" w:hAnsi="宋体" w:cs="宋体"/>
          <w:szCs w:val="21"/>
          <w:highlight w:val="none"/>
          <w:u w:val="single"/>
          <w:lang w:bidi="zh-CN"/>
        </w:rPr>
        <w:t xml:space="preserve"> </w:t>
      </w:r>
      <w:r>
        <w:rPr>
          <w:rFonts w:hint="eastAsia" w:ascii="宋体" w:hAnsi="宋体" w:cs="宋体"/>
          <w:szCs w:val="21"/>
          <w:highlight w:val="none"/>
          <w:u w:val="single"/>
          <w:lang w:bidi="zh-CN"/>
        </w:rPr>
        <w:tab/>
      </w:r>
      <w:r>
        <w:rPr>
          <w:rFonts w:hint="eastAsia" w:ascii="宋体" w:hAnsi="宋体" w:cs="宋体"/>
          <w:szCs w:val="21"/>
          <w:highlight w:val="none"/>
          <w:u w:val="single"/>
          <w:lang w:bidi="zh-CN"/>
        </w:rPr>
        <w:t xml:space="preserve">  </w:t>
      </w:r>
      <w:r>
        <w:rPr>
          <w:rFonts w:hint="eastAsia" w:ascii="宋体" w:hAnsi="宋体" w:cs="宋体"/>
          <w:szCs w:val="21"/>
          <w:highlight w:val="none"/>
          <w:lang w:bidi="zh-CN"/>
        </w:rPr>
        <w:t>万元，资产总额为</w:t>
      </w:r>
      <w:r>
        <w:rPr>
          <w:rFonts w:hint="eastAsia" w:ascii="宋体" w:hAnsi="宋体" w:cs="宋体"/>
          <w:szCs w:val="21"/>
          <w:highlight w:val="none"/>
          <w:u w:val="single"/>
          <w:lang w:bidi="zh-CN"/>
        </w:rPr>
        <w:t xml:space="preserve"> </w:t>
      </w:r>
      <w:r>
        <w:rPr>
          <w:rFonts w:hint="eastAsia" w:ascii="宋体" w:hAnsi="宋体" w:cs="宋体"/>
          <w:szCs w:val="21"/>
          <w:highlight w:val="none"/>
          <w:u w:val="single"/>
          <w:lang w:bidi="zh-CN"/>
        </w:rPr>
        <w:tab/>
      </w:r>
      <w:r>
        <w:rPr>
          <w:rFonts w:hint="eastAsia" w:ascii="宋体" w:hAnsi="宋体" w:cs="宋体"/>
          <w:szCs w:val="21"/>
          <w:highlight w:val="none"/>
          <w:u w:val="single"/>
          <w:lang w:bidi="zh-CN"/>
        </w:rPr>
        <w:t xml:space="preserve">  </w:t>
      </w:r>
      <w:r>
        <w:rPr>
          <w:rFonts w:hint="eastAsia" w:ascii="宋体" w:hAnsi="宋体" w:cs="宋体"/>
          <w:szCs w:val="21"/>
          <w:highlight w:val="none"/>
          <w:lang w:bidi="zh-CN"/>
        </w:rPr>
        <w:t>万元，属于</w:t>
      </w:r>
      <w:r>
        <w:rPr>
          <w:rFonts w:hint="eastAsia" w:ascii="宋体" w:hAnsi="宋体" w:cs="宋体"/>
          <w:szCs w:val="21"/>
          <w:highlight w:val="none"/>
          <w:u w:val="single"/>
          <w:lang w:bidi="zh-CN"/>
        </w:rPr>
        <w:t>（中型企业、小型企业、微型企业）</w:t>
      </w:r>
      <w:r>
        <w:rPr>
          <w:rFonts w:hint="eastAsia" w:ascii="宋体" w:hAnsi="宋体" w:cs="宋体"/>
          <w:szCs w:val="21"/>
          <w:highlight w:val="none"/>
          <w:lang w:bidi="zh-CN"/>
        </w:rPr>
        <w:t>；</w:t>
      </w:r>
    </w:p>
    <w:p w14:paraId="09E8CA58">
      <w:pPr>
        <w:spacing w:line="360" w:lineRule="auto"/>
        <w:ind w:firstLine="480"/>
        <w:jc w:val="left"/>
        <w:rPr>
          <w:rFonts w:hint="eastAsia" w:ascii="宋体" w:hAnsi="宋体" w:cs="宋体"/>
          <w:szCs w:val="21"/>
          <w:highlight w:val="none"/>
          <w:lang w:bidi="zh-CN"/>
        </w:rPr>
      </w:pPr>
      <w:r>
        <w:rPr>
          <w:rFonts w:hint="eastAsia" w:ascii="宋体" w:hAnsi="宋体" w:cs="宋体"/>
          <w:szCs w:val="21"/>
          <w:highlight w:val="none"/>
          <w:lang w:bidi="zh-CN"/>
        </w:rPr>
        <w:t>……</w:t>
      </w:r>
    </w:p>
    <w:p w14:paraId="42A752B5">
      <w:pPr>
        <w:spacing w:line="360" w:lineRule="auto"/>
        <w:ind w:firstLine="480"/>
        <w:jc w:val="left"/>
        <w:rPr>
          <w:rFonts w:hint="eastAsia" w:ascii="宋体" w:hAnsi="宋体" w:cs="宋体"/>
          <w:szCs w:val="21"/>
          <w:highlight w:val="none"/>
          <w:lang w:bidi="zh-CN"/>
        </w:rPr>
      </w:pPr>
      <w:r>
        <w:rPr>
          <w:rFonts w:hint="eastAsia" w:ascii="宋体" w:hAnsi="宋体" w:cs="宋体"/>
          <w:szCs w:val="21"/>
          <w:highlight w:val="none"/>
          <w:lang w:bidi="zh-CN"/>
        </w:rPr>
        <w:t>以上企业，不属于大企业的分支机构，不存在控股股东为大企业的情形，也不存在与大企业的负责人为同一人的情形。</w:t>
      </w:r>
    </w:p>
    <w:p w14:paraId="281CC132">
      <w:pPr>
        <w:spacing w:line="360" w:lineRule="auto"/>
        <w:ind w:firstLine="480"/>
        <w:jc w:val="left"/>
        <w:rPr>
          <w:rFonts w:hint="eastAsia" w:ascii="宋体" w:hAnsi="宋体" w:cs="宋体"/>
          <w:szCs w:val="21"/>
          <w:highlight w:val="none"/>
          <w:lang w:bidi="zh-CN"/>
        </w:rPr>
      </w:pPr>
      <w:r>
        <w:rPr>
          <w:rFonts w:hint="eastAsia" w:ascii="宋体" w:hAnsi="宋体" w:cs="宋体"/>
          <w:szCs w:val="21"/>
          <w:highlight w:val="none"/>
          <w:lang w:bidi="zh-CN"/>
        </w:rPr>
        <w:t>本企业对上述声明内容的真实性负责。如有虚假，将依法承担相应责任。</w:t>
      </w:r>
    </w:p>
    <w:p w14:paraId="722C7407">
      <w:pPr>
        <w:spacing w:line="360" w:lineRule="auto"/>
        <w:jc w:val="left"/>
        <w:rPr>
          <w:rFonts w:hint="eastAsia" w:ascii="宋体" w:hAnsi="宋体" w:cs="宋体"/>
          <w:szCs w:val="21"/>
          <w:highlight w:val="none"/>
          <w:lang w:bidi="zh-CN"/>
        </w:rPr>
      </w:pPr>
    </w:p>
    <w:p w14:paraId="2E6C1AB8">
      <w:pPr>
        <w:spacing w:line="360" w:lineRule="auto"/>
        <w:jc w:val="left"/>
        <w:rPr>
          <w:rFonts w:hint="eastAsia" w:ascii="宋体" w:hAnsi="宋体" w:cs="宋体"/>
          <w:szCs w:val="21"/>
          <w:highlight w:val="none"/>
          <w:lang w:bidi="zh-CN"/>
        </w:rPr>
      </w:pPr>
      <w:r>
        <w:rPr>
          <w:rFonts w:hint="eastAsia" w:ascii="宋体" w:hAnsi="宋体" w:cs="宋体"/>
          <w:szCs w:val="21"/>
          <w:highlight w:val="none"/>
          <w:lang w:bidi="zh-CN"/>
        </w:rPr>
        <w:t>企业名称（盖章）：</w:t>
      </w:r>
    </w:p>
    <w:p w14:paraId="0449C729">
      <w:pPr>
        <w:spacing w:line="360" w:lineRule="auto"/>
        <w:jc w:val="left"/>
        <w:rPr>
          <w:rFonts w:hint="eastAsia" w:ascii="宋体" w:hAnsi="宋体" w:cs="宋体"/>
          <w:szCs w:val="21"/>
          <w:highlight w:val="none"/>
          <w:lang w:bidi="zh-CN"/>
        </w:rPr>
      </w:pPr>
      <w:r>
        <w:rPr>
          <w:rFonts w:hint="eastAsia" w:ascii="宋体" w:hAnsi="宋体" w:cs="宋体"/>
          <w:szCs w:val="21"/>
          <w:highlight w:val="none"/>
          <w:lang w:bidi="zh-CN"/>
        </w:rPr>
        <w:t>日期：</w:t>
      </w:r>
    </w:p>
    <w:p w14:paraId="1D6A19DB">
      <w:pPr>
        <w:spacing w:line="360" w:lineRule="auto"/>
        <w:ind w:firstLine="577"/>
        <w:rPr>
          <w:rFonts w:hint="eastAsia" w:ascii="宋体" w:hAnsi="宋体" w:cs="宋体"/>
          <w:szCs w:val="21"/>
          <w:highlight w:val="none"/>
        </w:rPr>
      </w:pPr>
    </w:p>
    <w:p w14:paraId="0A6EB59D">
      <w:pPr>
        <w:spacing w:line="360" w:lineRule="auto"/>
        <w:ind w:firstLine="577"/>
        <w:rPr>
          <w:rFonts w:hint="eastAsia" w:ascii="宋体" w:hAnsi="宋体" w:cs="宋体"/>
          <w:szCs w:val="21"/>
          <w:highlight w:val="none"/>
        </w:rPr>
      </w:pPr>
    </w:p>
    <w:p w14:paraId="5439ED59">
      <w:pPr>
        <w:spacing w:line="360" w:lineRule="auto"/>
        <w:ind w:firstLine="494"/>
        <w:rPr>
          <w:rFonts w:hint="eastAsia" w:ascii="宋体" w:hAnsi="宋体" w:cs="宋体"/>
          <w:szCs w:val="21"/>
          <w:highlight w:val="none"/>
        </w:rPr>
      </w:pPr>
      <w:r>
        <w:rPr>
          <w:rFonts w:hint="eastAsia" w:ascii="宋体" w:hAnsi="宋体" w:cs="宋体"/>
          <w:szCs w:val="21"/>
          <w:highlight w:val="none"/>
        </w:rPr>
        <w:t>注：</w:t>
      </w:r>
    </w:p>
    <w:p w14:paraId="4D535AB4">
      <w:pPr>
        <w:spacing w:line="360" w:lineRule="auto"/>
        <w:ind w:firstLine="494"/>
        <w:rPr>
          <w:rFonts w:hint="eastAsia" w:ascii="宋体" w:hAnsi="宋体" w:cs="宋体"/>
          <w:szCs w:val="21"/>
          <w:highlight w:val="none"/>
        </w:rPr>
      </w:pPr>
      <w:r>
        <w:rPr>
          <w:rFonts w:hint="eastAsia" w:ascii="宋体" w:hAnsi="宋体" w:cs="宋体"/>
          <w:szCs w:val="21"/>
          <w:highlight w:val="none"/>
        </w:rPr>
        <w:t>（1）中小企业划分标准以工信部联企业〔2011〕300号通知中的《中小企业划型标准规定》为准。</w:t>
      </w:r>
    </w:p>
    <w:p w14:paraId="11CB9066">
      <w:pPr>
        <w:spacing w:line="360" w:lineRule="auto"/>
        <w:ind w:firstLine="494"/>
        <w:rPr>
          <w:rFonts w:hint="eastAsia" w:ascii="宋体" w:hAnsi="宋体" w:cs="宋体"/>
          <w:szCs w:val="21"/>
          <w:highlight w:val="none"/>
        </w:rPr>
      </w:pPr>
      <w:r>
        <w:rPr>
          <w:rFonts w:hint="eastAsia" w:ascii="宋体" w:hAnsi="宋体" w:cs="宋体"/>
          <w:szCs w:val="21"/>
          <w:highlight w:val="none"/>
        </w:rPr>
        <w:t>（2）从业人员、营业收入、资产总额填报上一年度数据，无上一年度数据的新成立企业可不填报。</w:t>
      </w:r>
    </w:p>
    <w:p w14:paraId="496F46D6">
      <w:pPr>
        <w:spacing w:line="360" w:lineRule="auto"/>
        <w:ind w:right="561"/>
        <w:rPr>
          <w:rFonts w:hint="eastAsia" w:ascii="宋体" w:hAnsi="宋体" w:cs="宋体"/>
          <w:szCs w:val="21"/>
          <w:highlight w:val="none"/>
        </w:rPr>
      </w:pPr>
    </w:p>
    <w:p w14:paraId="4CFD58E8">
      <w:pPr>
        <w:spacing w:line="360" w:lineRule="auto"/>
        <w:jc w:val="center"/>
        <w:rPr>
          <w:rFonts w:hint="eastAsia" w:ascii="宋体" w:hAnsi="宋体" w:cs="宋体"/>
          <w:b/>
          <w:szCs w:val="21"/>
          <w:highlight w:val="none"/>
        </w:rPr>
      </w:pPr>
      <w:r>
        <w:rPr>
          <w:rFonts w:hint="eastAsia" w:ascii="宋体" w:hAnsi="宋体" w:cs="宋体"/>
          <w:b/>
          <w:bCs/>
          <w:szCs w:val="21"/>
          <w:highlight w:val="none"/>
        </w:rPr>
        <w:br w:type="page" w:clear="all"/>
      </w:r>
      <w:r>
        <w:rPr>
          <w:rFonts w:hint="eastAsia" w:ascii="宋体" w:hAnsi="宋体" w:cs="宋体"/>
          <w:b/>
          <w:bCs/>
          <w:szCs w:val="21"/>
          <w:highlight w:val="none"/>
        </w:rPr>
        <w:t>6.残疾人福利性单位声明函（如有）</w:t>
      </w:r>
    </w:p>
    <w:p w14:paraId="2E489BF7">
      <w:pPr>
        <w:spacing w:line="360" w:lineRule="auto"/>
        <w:ind w:firstLine="480"/>
        <w:rPr>
          <w:rFonts w:hint="eastAsia" w:ascii="宋体" w:hAnsi="宋体" w:cs="宋体"/>
          <w:szCs w:val="21"/>
          <w:highlight w:val="none"/>
        </w:rPr>
      </w:pPr>
      <w:r>
        <w:rPr>
          <w:rFonts w:hint="eastAsia" w:ascii="宋体" w:hAnsi="宋体" w:cs="宋体"/>
          <w:szCs w:val="21"/>
          <w:highlight w:val="none"/>
        </w:rPr>
        <w:t>本单位郑重声明，根据《财政部民政部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cs="宋体"/>
          <w:szCs w:val="21"/>
          <w:highlight w:val="none"/>
          <w:u w:val="single"/>
        </w:rPr>
        <w:t xml:space="preserve">       </w:t>
      </w:r>
      <w:r>
        <w:rPr>
          <w:rFonts w:hint="eastAsia" w:ascii="宋体" w:hAnsi="宋体" w:cs="宋体"/>
          <w:szCs w:val="21"/>
          <w:highlight w:val="none"/>
        </w:rPr>
        <w:t>项目采购活动提供本单位制造的货物（由本单位承担工程/提供服务），或者提供其他残疾人福利性单位制造的货物（不包括使用非残疾人福利性单位注册商标的货物）。</w:t>
      </w:r>
    </w:p>
    <w:p w14:paraId="32942AD9">
      <w:pPr>
        <w:spacing w:line="360" w:lineRule="auto"/>
        <w:ind w:firstLine="480"/>
        <w:rPr>
          <w:rFonts w:hint="eastAsia" w:ascii="宋体" w:hAnsi="宋体" w:cs="宋体"/>
          <w:szCs w:val="21"/>
          <w:highlight w:val="none"/>
        </w:rPr>
      </w:pPr>
      <w:r>
        <w:rPr>
          <w:rFonts w:hint="eastAsia" w:ascii="宋体" w:hAnsi="宋体" w:cs="宋体"/>
          <w:szCs w:val="21"/>
          <w:highlight w:val="none"/>
        </w:rPr>
        <w:t>本单位在本次政府采购活动中提供的残疾人福利单位产品报价合计为人民币（大写）</w:t>
      </w:r>
      <w:r>
        <w:rPr>
          <w:rFonts w:hint="eastAsia" w:ascii="宋体" w:hAnsi="宋体" w:cs="宋体"/>
          <w:szCs w:val="21"/>
          <w:highlight w:val="none"/>
          <w:u w:val="single"/>
        </w:rPr>
        <w:t xml:space="preserve">      </w:t>
      </w:r>
      <w:r>
        <w:rPr>
          <w:rFonts w:hint="eastAsia" w:ascii="宋体" w:hAnsi="宋体" w:cs="宋体"/>
          <w:szCs w:val="21"/>
          <w:highlight w:val="none"/>
        </w:rPr>
        <w:t>圆整（￥：     ）。</w:t>
      </w:r>
    </w:p>
    <w:p w14:paraId="793C91AF">
      <w:pPr>
        <w:spacing w:line="360" w:lineRule="auto"/>
        <w:ind w:firstLine="480"/>
        <w:rPr>
          <w:rFonts w:hint="eastAsia" w:ascii="宋体" w:hAnsi="宋体" w:cs="宋体"/>
          <w:szCs w:val="21"/>
          <w:highlight w:val="none"/>
        </w:rPr>
      </w:pPr>
      <w:r>
        <w:rPr>
          <w:rFonts w:hint="eastAsia" w:ascii="宋体" w:hAnsi="宋体" w:cs="宋体"/>
          <w:szCs w:val="21"/>
          <w:highlight w:val="none"/>
        </w:rPr>
        <w:t>本单位对上述声明的真实性负责。如有虚假，将依法承担相应责任。</w:t>
      </w:r>
    </w:p>
    <w:p w14:paraId="23ADD206">
      <w:pPr>
        <w:spacing w:line="360" w:lineRule="auto"/>
        <w:ind w:firstLine="480"/>
        <w:rPr>
          <w:rFonts w:hint="eastAsia" w:ascii="宋体" w:hAnsi="宋体" w:cs="宋体"/>
          <w:spacing w:val="6"/>
          <w:szCs w:val="21"/>
          <w:highlight w:val="none"/>
        </w:rPr>
      </w:pPr>
      <w:r>
        <w:rPr>
          <w:rFonts w:hint="eastAsia" w:ascii="宋体" w:hAnsi="宋体" w:cs="宋体"/>
          <w:szCs w:val="21"/>
          <w:highlight w:val="none"/>
        </w:rPr>
        <w:t>（备注：成交供应商为残疾人福利单位的，此声明函将随成交结果同时公告，接受社会监督）</w:t>
      </w:r>
    </w:p>
    <w:p w14:paraId="5E5EF5F0">
      <w:pPr>
        <w:tabs>
          <w:tab w:val="left" w:pos="4860"/>
        </w:tabs>
        <w:spacing w:line="360" w:lineRule="auto"/>
        <w:ind w:firstLine="624"/>
        <w:jc w:val="center"/>
        <w:rPr>
          <w:rFonts w:hint="eastAsia" w:ascii="宋体" w:hAnsi="宋体" w:cs="宋体"/>
          <w:szCs w:val="21"/>
          <w:highlight w:val="none"/>
        </w:rPr>
      </w:pPr>
      <w:r>
        <w:rPr>
          <w:rFonts w:hint="eastAsia" w:ascii="宋体" w:hAnsi="宋体" w:cs="宋体"/>
          <w:spacing w:val="6"/>
          <w:szCs w:val="21"/>
          <w:highlight w:val="none"/>
        </w:rPr>
        <w:t xml:space="preserve">      </w:t>
      </w:r>
      <w:r>
        <w:rPr>
          <w:rFonts w:hint="eastAsia" w:ascii="宋体" w:hAnsi="宋体" w:cs="宋体"/>
          <w:szCs w:val="21"/>
          <w:highlight w:val="none"/>
        </w:rPr>
        <w:t xml:space="preserve">                     供应商全称（盖章）：</w:t>
      </w:r>
    </w:p>
    <w:p w14:paraId="7C0DD625">
      <w:pPr>
        <w:tabs>
          <w:tab w:val="left" w:pos="4860"/>
        </w:tabs>
        <w:spacing w:line="360" w:lineRule="auto"/>
        <w:ind w:firstLine="480"/>
        <w:jc w:val="center"/>
        <w:rPr>
          <w:rFonts w:hint="eastAsia" w:ascii="宋体" w:hAnsi="宋体" w:cs="宋体"/>
          <w:szCs w:val="21"/>
          <w:highlight w:val="none"/>
        </w:rPr>
      </w:pPr>
      <w:r>
        <w:rPr>
          <w:rFonts w:hint="eastAsia" w:ascii="宋体" w:hAnsi="宋体" w:cs="宋体"/>
          <w:szCs w:val="21"/>
          <w:highlight w:val="none"/>
        </w:rPr>
        <w:t xml:space="preserve">                              日  期：</w:t>
      </w:r>
    </w:p>
    <w:p w14:paraId="39DD411A">
      <w:pPr>
        <w:shd w:val="clear" w:color="auto" w:fill="FFFFFF"/>
        <w:spacing w:line="360" w:lineRule="auto"/>
        <w:jc w:val="left"/>
        <w:rPr>
          <w:rFonts w:hint="eastAsia" w:ascii="宋体" w:hAnsi="宋体" w:cs="宋体"/>
          <w:szCs w:val="21"/>
          <w:highlight w:val="none"/>
        </w:rPr>
      </w:pPr>
      <w:r>
        <w:rPr>
          <w:rFonts w:hint="eastAsia" w:ascii="宋体" w:hAnsi="宋体" w:cs="宋体"/>
          <w:szCs w:val="21"/>
          <w:highlight w:val="none"/>
        </w:rPr>
        <w:t>享受政府采购支持政策的残疾人福利性单位应当同时满足以下条件：</w:t>
      </w:r>
    </w:p>
    <w:p w14:paraId="78175F6E">
      <w:pPr>
        <w:shd w:val="clear" w:color="auto" w:fill="FFFFFF"/>
        <w:spacing w:line="360" w:lineRule="auto"/>
        <w:jc w:val="left"/>
        <w:rPr>
          <w:rFonts w:hint="eastAsia" w:ascii="宋体" w:hAnsi="宋体" w:cs="宋体"/>
          <w:szCs w:val="21"/>
          <w:highlight w:val="none"/>
        </w:rPr>
      </w:pPr>
      <w:r>
        <w:rPr>
          <w:rFonts w:hint="eastAsia" w:ascii="宋体" w:hAnsi="宋体" w:cs="宋体"/>
          <w:szCs w:val="21"/>
          <w:highlight w:val="none"/>
        </w:rPr>
        <w:t>　　（一）安置的残疾人占本单位在职职工人数的比例不低于25%（含25%），并且安置的残疾人人数不少于10人（含10人）；</w:t>
      </w:r>
    </w:p>
    <w:p w14:paraId="33B4E8C3">
      <w:pPr>
        <w:shd w:val="clear" w:color="auto" w:fill="FFFFFF"/>
        <w:spacing w:line="360" w:lineRule="auto"/>
        <w:jc w:val="left"/>
        <w:rPr>
          <w:rFonts w:hint="eastAsia" w:ascii="宋体" w:hAnsi="宋体" w:cs="宋体"/>
          <w:szCs w:val="21"/>
          <w:highlight w:val="none"/>
        </w:rPr>
      </w:pPr>
      <w:r>
        <w:rPr>
          <w:rFonts w:hint="eastAsia" w:ascii="宋体" w:hAnsi="宋体" w:cs="宋体"/>
          <w:szCs w:val="21"/>
          <w:highlight w:val="none"/>
        </w:rPr>
        <w:t>　　（二）依法与安置的每位残疾人签订了一年以上（含一年）的劳动合同或服务协议；</w:t>
      </w:r>
    </w:p>
    <w:p w14:paraId="3E524699">
      <w:pPr>
        <w:shd w:val="clear" w:color="auto" w:fill="FFFFFF"/>
        <w:spacing w:line="360" w:lineRule="auto"/>
        <w:jc w:val="left"/>
        <w:rPr>
          <w:rFonts w:hint="eastAsia" w:ascii="宋体" w:hAnsi="宋体" w:cs="宋体"/>
          <w:szCs w:val="21"/>
          <w:highlight w:val="none"/>
        </w:rPr>
      </w:pPr>
      <w:r>
        <w:rPr>
          <w:rFonts w:hint="eastAsia" w:ascii="宋体" w:hAnsi="宋体" w:cs="宋体"/>
          <w:szCs w:val="21"/>
          <w:highlight w:val="none"/>
        </w:rPr>
        <w:t>　　（三）为安置的每位残疾人按月足额缴纳了基本养老保险、基本医疗保险、失业保险、工伤保险和生育保险等社会保险费；</w:t>
      </w:r>
    </w:p>
    <w:p w14:paraId="756B398A">
      <w:pPr>
        <w:shd w:val="clear" w:color="auto" w:fill="FFFFFF"/>
        <w:spacing w:line="360" w:lineRule="auto"/>
        <w:jc w:val="left"/>
        <w:rPr>
          <w:rFonts w:hint="eastAsia" w:ascii="宋体" w:hAnsi="宋体" w:cs="宋体"/>
          <w:szCs w:val="21"/>
          <w:highlight w:val="none"/>
        </w:rPr>
      </w:pPr>
      <w:r>
        <w:rPr>
          <w:rFonts w:hint="eastAsia" w:ascii="宋体" w:hAnsi="宋体" w:cs="宋体"/>
          <w:szCs w:val="21"/>
          <w:highlight w:val="none"/>
        </w:rPr>
        <w:t>　　（四）通过银行等金融机构向安置的每位残疾人，按月支付了不低于单位所在区县适用的经省级人民政府批准的月最低工资标准的工资；</w:t>
      </w:r>
    </w:p>
    <w:p w14:paraId="2D8B5ACB">
      <w:pPr>
        <w:shd w:val="clear" w:color="auto" w:fill="FFFFFF"/>
        <w:spacing w:line="360" w:lineRule="auto"/>
        <w:jc w:val="left"/>
        <w:rPr>
          <w:rFonts w:hint="eastAsia" w:ascii="宋体" w:hAnsi="宋体" w:cs="宋体"/>
          <w:szCs w:val="21"/>
          <w:highlight w:val="none"/>
        </w:rPr>
      </w:pPr>
      <w:r>
        <w:rPr>
          <w:rFonts w:hint="eastAsia" w:ascii="宋体" w:hAnsi="宋体" w:cs="宋体"/>
          <w:szCs w:val="21"/>
          <w:highlight w:val="none"/>
        </w:rPr>
        <w:t>　　（五）提供本单位制造的货物、承担的工程或者服务（以下简称产品），或者提供其他残疾人福利性单位制造的货物（不包括使用非残疾人福利性单位注册商标的货物）。</w:t>
      </w:r>
    </w:p>
    <w:p w14:paraId="5626FABB">
      <w:pPr>
        <w:shd w:val="clear" w:color="auto" w:fill="FFFFFF"/>
        <w:spacing w:line="360" w:lineRule="auto"/>
        <w:ind w:firstLine="480"/>
        <w:jc w:val="left"/>
        <w:rPr>
          <w:rFonts w:hint="eastAsia" w:ascii="宋体" w:hAnsi="宋体" w:cs="宋体"/>
          <w:szCs w:val="21"/>
          <w:highlight w:val="none"/>
        </w:rPr>
      </w:pPr>
      <w:r>
        <w:rPr>
          <w:rFonts w:hint="eastAsia" w:ascii="宋体" w:hAnsi="宋体" w:cs="宋体"/>
          <w:szCs w:val="21"/>
          <w:highlight w:val="none"/>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306DC1BC">
      <w:pPr>
        <w:spacing w:line="360" w:lineRule="auto"/>
        <w:ind w:firstLine="211"/>
        <w:jc w:val="center"/>
        <w:rPr>
          <w:rFonts w:hint="eastAsia" w:ascii="宋体" w:hAnsi="宋体" w:cs="宋体"/>
          <w:b/>
          <w:bCs/>
          <w:szCs w:val="21"/>
          <w:highlight w:val="none"/>
        </w:rPr>
      </w:pPr>
      <w:r>
        <w:rPr>
          <w:rFonts w:hint="eastAsia" w:ascii="宋体" w:hAnsi="宋体" w:cs="宋体"/>
          <w:b/>
          <w:bCs/>
          <w:szCs w:val="21"/>
          <w:highlight w:val="none"/>
        </w:rPr>
        <w:t>7.监狱企业证明函（如有）</w:t>
      </w:r>
    </w:p>
    <w:p w14:paraId="7DAE0F0D">
      <w:pPr>
        <w:spacing w:line="360" w:lineRule="auto"/>
        <w:jc w:val="center"/>
        <w:rPr>
          <w:rFonts w:hint="eastAsia" w:ascii="宋体" w:hAnsi="宋体"/>
          <w:szCs w:val="21"/>
          <w:highlight w:val="none"/>
        </w:rPr>
      </w:pPr>
      <w:r>
        <w:rPr>
          <w:rFonts w:hint="eastAsia" w:ascii="宋体" w:hAnsi="宋体" w:cs="宋体"/>
          <w:b/>
          <w:bCs/>
          <w:szCs w:val="21"/>
          <w:highlight w:val="none"/>
        </w:rPr>
        <w:br w:type="page" w:clear="all"/>
      </w:r>
      <w:r>
        <w:rPr>
          <w:rFonts w:hint="eastAsia" w:ascii="宋体" w:hAnsi="宋体" w:cs="宋体"/>
          <w:b/>
          <w:bCs/>
          <w:szCs w:val="21"/>
          <w:highlight w:val="none"/>
        </w:rPr>
        <w:t>8.磋商响应函</w:t>
      </w:r>
    </w:p>
    <w:p w14:paraId="19846A0C">
      <w:pPr>
        <w:pStyle w:val="28"/>
        <w:adjustRightInd/>
        <w:ind w:firstLine="420"/>
        <w:rPr>
          <w:rFonts w:hint="eastAsia" w:ascii="宋体" w:hAnsi="宋体"/>
          <w:b/>
          <w:bCs/>
          <w:sz w:val="21"/>
          <w:szCs w:val="21"/>
          <w:highlight w:val="none"/>
        </w:rPr>
      </w:pPr>
      <w:r>
        <w:rPr>
          <w:rFonts w:hint="eastAsia" w:ascii="宋体" w:hAnsi="宋体"/>
          <w:sz w:val="21"/>
          <w:szCs w:val="21"/>
          <w:highlight w:val="none"/>
        </w:rPr>
        <w:t>致：</w:t>
      </w:r>
      <w:r>
        <w:rPr>
          <w:rFonts w:hint="eastAsia" w:ascii="宋体" w:hAnsi="宋体"/>
          <w:b/>
          <w:bCs/>
          <w:sz w:val="21"/>
          <w:szCs w:val="21"/>
          <w:highlight w:val="none"/>
          <w:u w:val="single"/>
        </w:rPr>
        <w:t xml:space="preserve">      （采购人名称）   </w:t>
      </w:r>
    </w:p>
    <w:p w14:paraId="07E51FCF">
      <w:pPr>
        <w:pStyle w:val="35"/>
        <w:spacing w:line="360" w:lineRule="auto"/>
        <w:ind w:firstLine="420" w:firstLineChars="200"/>
        <w:rPr>
          <w:rFonts w:hint="eastAsia" w:ascii="宋体" w:hAnsi="宋体"/>
          <w:sz w:val="21"/>
          <w:szCs w:val="21"/>
          <w:highlight w:val="none"/>
        </w:rPr>
      </w:pPr>
      <w:r>
        <w:rPr>
          <w:rFonts w:hint="eastAsia" w:ascii="宋体" w:hAnsi="宋体"/>
          <w:sz w:val="21"/>
          <w:szCs w:val="21"/>
          <w:highlight w:val="none"/>
        </w:rPr>
        <w:t>根据贵方的</w:t>
      </w:r>
      <w:r>
        <w:rPr>
          <w:rFonts w:hint="eastAsia" w:ascii="宋体" w:hAnsi="宋体"/>
          <w:sz w:val="21"/>
          <w:szCs w:val="21"/>
          <w:highlight w:val="none"/>
          <w:u w:val="single"/>
        </w:rPr>
        <w:t xml:space="preserve">         </w:t>
      </w:r>
      <w:r>
        <w:rPr>
          <w:rFonts w:hint="eastAsia" w:ascii="宋体" w:hAnsi="宋体"/>
          <w:sz w:val="21"/>
          <w:szCs w:val="21"/>
          <w:highlight w:val="none"/>
        </w:rPr>
        <w:t>号磋商文件，正式授权下述签字人</w:t>
      </w:r>
      <w:r>
        <w:rPr>
          <w:rFonts w:hint="eastAsia" w:ascii="宋体" w:hAnsi="宋体"/>
          <w:sz w:val="21"/>
          <w:szCs w:val="21"/>
          <w:highlight w:val="none"/>
          <w:u w:val="single"/>
        </w:rPr>
        <w:t xml:space="preserve">         </w:t>
      </w:r>
      <w:r>
        <w:rPr>
          <w:rFonts w:hint="eastAsia" w:ascii="宋体" w:hAnsi="宋体"/>
          <w:sz w:val="21"/>
          <w:szCs w:val="21"/>
          <w:highlight w:val="none"/>
        </w:rPr>
        <w:t>（姓名和职务）代表我方</w:t>
      </w:r>
      <w:r>
        <w:rPr>
          <w:rFonts w:hint="eastAsia" w:ascii="宋体" w:hAnsi="宋体"/>
          <w:sz w:val="21"/>
          <w:szCs w:val="21"/>
          <w:highlight w:val="none"/>
          <w:u w:val="single"/>
        </w:rPr>
        <w:t xml:space="preserve">                   </w:t>
      </w:r>
      <w:r>
        <w:rPr>
          <w:rFonts w:hint="eastAsia" w:ascii="宋体" w:hAnsi="宋体"/>
          <w:sz w:val="21"/>
          <w:szCs w:val="21"/>
          <w:highlight w:val="none"/>
        </w:rPr>
        <w:t>（供应商的名称），全权处理</w:t>
      </w:r>
      <w:r>
        <w:rPr>
          <w:rFonts w:hint="eastAsia" w:ascii="宋体" w:hAnsi="宋体"/>
          <w:sz w:val="21"/>
          <w:szCs w:val="21"/>
          <w:highlight w:val="none"/>
          <w:u w:val="single"/>
        </w:rPr>
        <w:t xml:space="preserve">              </w:t>
      </w:r>
      <w:r>
        <w:rPr>
          <w:rFonts w:hint="eastAsia" w:ascii="宋体" w:hAnsi="宋体"/>
          <w:sz w:val="21"/>
          <w:szCs w:val="21"/>
          <w:highlight w:val="none"/>
        </w:rPr>
        <w:t>磋商采购的有关事宜。</w:t>
      </w:r>
    </w:p>
    <w:p w14:paraId="7C020CAE">
      <w:pPr>
        <w:pStyle w:val="35"/>
        <w:spacing w:line="360" w:lineRule="auto"/>
        <w:ind w:firstLine="420" w:firstLineChars="200"/>
        <w:rPr>
          <w:rFonts w:hint="eastAsia" w:ascii="宋体" w:hAnsi="宋体"/>
          <w:sz w:val="21"/>
          <w:szCs w:val="21"/>
          <w:highlight w:val="none"/>
        </w:rPr>
      </w:pPr>
      <w:r>
        <w:rPr>
          <w:rFonts w:hint="eastAsia" w:ascii="宋体" w:hAnsi="宋体"/>
          <w:sz w:val="21"/>
          <w:szCs w:val="21"/>
          <w:highlight w:val="none"/>
        </w:rPr>
        <w:t>据此函，</w:t>
      </w:r>
      <w:r>
        <w:rPr>
          <w:rFonts w:hint="eastAsia" w:ascii="宋体" w:hAnsi="宋体"/>
          <w:sz w:val="21"/>
          <w:szCs w:val="21"/>
          <w:highlight w:val="none"/>
          <w:u w:val="single"/>
        </w:rPr>
        <w:t xml:space="preserve">         </w:t>
      </w:r>
      <w:r>
        <w:rPr>
          <w:rFonts w:hint="eastAsia" w:ascii="宋体" w:hAnsi="宋体"/>
          <w:sz w:val="21"/>
          <w:szCs w:val="21"/>
          <w:highlight w:val="none"/>
        </w:rPr>
        <w:t>（签字人）兹宣布同意如下：</w:t>
      </w:r>
    </w:p>
    <w:p w14:paraId="75AD7029">
      <w:pPr>
        <w:pStyle w:val="35"/>
        <w:spacing w:line="360" w:lineRule="auto"/>
        <w:ind w:firstLine="420" w:firstLineChars="200"/>
        <w:rPr>
          <w:rFonts w:hint="eastAsia" w:ascii="宋体" w:hAnsi="宋体"/>
          <w:sz w:val="21"/>
          <w:szCs w:val="21"/>
          <w:highlight w:val="none"/>
        </w:rPr>
      </w:pPr>
      <w:r>
        <w:rPr>
          <w:rFonts w:hint="eastAsia" w:ascii="宋体" w:hAnsi="宋体"/>
          <w:sz w:val="21"/>
          <w:szCs w:val="21"/>
          <w:highlight w:val="none"/>
        </w:rPr>
        <w:t>1.按照磋商文件规定的各项要求，向采购人提供所需服务。</w:t>
      </w:r>
    </w:p>
    <w:p w14:paraId="19B4C5F7">
      <w:pPr>
        <w:pStyle w:val="35"/>
        <w:spacing w:line="360" w:lineRule="auto"/>
        <w:ind w:firstLine="420" w:firstLineChars="200"/>
        <w:rPr>
          <w:rFonts w:hint="eastAsia" w:ascii="宋体" w:hAnsi="宋体"/>
          <w:sz w:val="21"/>
          <w:szCs w:val="21"/>
          <w:highlight w:val="none"/>
        </w:rPr>
      </w:pPr>
      <w:r>
        <w:rPr>
          <w:rFonts w:hint="eastAsia" w:ascii="宋体" w:hAnsi="宋体"/>
          <w:sz w:val="21"/>
          <w:szCs w:val="21"/>
          <w:highlight w:val="none"/>
        </w:rPr>
        <w:t>2.我们已详细审核全部磋商文件及其有效补充文件，我们知道必须放弃提出含糊不清或误解问题的权利。</w:t>
      </w:r>
    </w:p>
    <w:p w14:paraId="471B4BF4">
      <w:pPr>
        <w:pStyle w:val="35"/>
        <w:spacing w:line="360" w:lineRule="auto"/>
        <w:ind w:firstLine="420" w:firstLineChars="200"/>
        <w:rPr>
          <w:rFonts w:hint="eastAsia" w:ascii="宋体" w:hAnsi="宋体"/>
          <w:sz w:val="21"/>
          <w:szCs w:val="21"/>
          <w:highlight w:val="none"/>
        </w:rPr>
      </w:pPr>
      <w:r>
        <w:rPr>
          <w:rFonts w:hint="eastAsia" w:ascii="宋体" w:hAnsi="宋体"/>
          <w:sz w:val="21"/>
          <w:szCs w:val="21"/>
          <w:highlight w:val="none"/>
        </w:rPr>
        <w:t>3.我们同意从规定的响应文件接收截止时间起遵循本响应文件，并在规定的磋商有效期届满之前均具有约束力。</w:t>
      </w:r>
    </w:p>
    <w:p w14:paraId="7D3DA475">
      <w:pPr>
        <w:pStyle w:val="35"/>
        <w:spacing w:line="360" w:lineRule="auto"/>
        <w:ind w:firstLine="420" w:firstLineChars="200"/>
        <w:rPr>
          <w:rFonts w:hint="eastAsia" w:ascii="宋体" w:hAnsi="宋体"/>
          <w:sz w:val="21"/>
          <w:szCs w:val="21"/>
          <w:highlight w:val="none"/>
        </w:rPr>
      </w:pPr>
      <w:r>
        <w:rPr>
          <w:rFonts w:hint="eastAsia" w:ascii="宋体" w:hAnsi="宋体"/>
          <w:sz w:val="21"/>
          <w:szCs w:val="21"/>
          <w:highlight w:val="none"/>
        </w:rPr>
        <w:t>4.如果在响应文件接收截止时间后规定的磋商有效期内撤回响应文件或成交后拒绝签订合同，我们自愿接受政府采购监管机构的处理。</w:t>
      </w:r>
    </w:p>
    <w:p w14:paraId="40DB0E05">
      <w:pPr>
        <w:pStyle w:val="35"/>
        <w:spacing w:line="360" w:lineRule="auto"/>
        <w:ind w:firstLine="420" w:firstLineChars="200"/>
        <w:rPr>
          <w:rFonts w:hint="eastAsia" w:ascii="宋体" w:hAnsi="宋体"/>
          <w:sz w:val="21"/>
          <w:szCs w:val="21"/>
          <w:highlight w:val="none"/>
        </w:rPr>
      </w:pPr>
      <w:r>
        <w:rPr>
          <w:rFonts w:hint="eastAsia" w:ascii="宋体" w:hAnsi="宋体"/>
          <w:sz w:val="21"/>
          <w:szCs w:val="21"/>
          <w:highlight w:val="none"/>
        </w:rPr>
        <w:t>5.同意向贵方提供贵方可能另外要求的与磋商采购有关的任何证据或资料，并保证我方已提供和将要提供的文件是真实的、准确的。</w:t>
      </w:r>
    </w:p>
    <w:p w14:paraId="2EB5B6DA">
      <w:pPr>
        <w:pStyle w:val="35"/>
        <w:spacing w:line="360" w:lineRule="auto"/>
        <w:ind w:firstLine="420" w:firstLineChars="200"/>
        <w:rPr>
          <w:rFonts w:hint="eastAsia" w:ascii="宋体" w:hAnsi="宋体"/>
          <w:sz w:val="21"/>
          <w:szCs w:val="21"/>
          <w:highlight w:val="none"/>
        </w:rPr>
      </w:pPr>
      <w:r>
        <w:rPr>
          <w:rFonts w:hint="eastAsia" w:ascii="宋体" w:hAnsi="宋体"/>
          <w:sz w:val="21"/>
          <w:szCs w:val="21"/>
          <w:highlight w:val="none"/>
        </w:rPr>
        <w:t>6.一旦我方成交，我方将根据磋商文件的规定，严格履行合同的责任和义务，并保证在磋商文件规定的时间完成项目，交付采购人验收、使用。</w:t>
      </w:r>
    </w:p>
    <w:p w14:paraId="0C34854B">
      <w:pPr>
        <w:pStyle w:val="35"/>
        <w:spacing w:line="360" w:lineRule="auto"/>
        <w:ind w:firstLine="420" w:firstLineChars="200"/>
        <w:rPr>
          <w:rFonts w:hint="eastAsia" w:ascii="宋体" w:hAnsi="宋体"/>
          <w:sz w:val="21"/>
          <w:szCs w:val="21"/>
          <w:highlight w:val="none"/>
        </w:rPr>
      </w:pPr>
      <w:r>
        <w:rPr>
          <w:rFonts w:hint="eastAsia" w:ascii="宋体" w:hAnsi="宋体"/>
          <w:sz w:val="21"/>
          <w:szCs w:val="21"/>
          <w:highlight w:val="none"/>
        </w:rPr>
        <w:t>7.遵守磋商文件中要求的收费项目和标准。</w:t>
      </w:r>
    </w:p>
    <w:p w14:paraId="55EA3548">
      <w:pPr>
        <w:pStyle w:val="35"/>
        <w:spacing w:line="360" w:lineRule="auto"/>
        <w:ind w:firstLine="420" w:firstLineChars="200"/>
        <w:rPr>
          <w:rFonts w:hint="eastAsia" w:ascii="宋体" w:hAnsi="宋体"/>
          <w:sz w:val="21"/>
          <w:szCs w:val="21"/>
          <w:highlight w:val="none"/>
        </w:rPr>
      </w:pPr>
      <w:r>
        <w:rPr>
          <w:rFonts w:hint="eastAsia" w:ascii="宋体" w:hAnsi="宋体"/>
          <w:sz w:val="21"/>
          <w:szCs w:val="21"/>
          <w:highlight w:val="none"/>
        </w:rPr>
        <w:t>8.与本磋商采购有关的正式通讯地址为：</w:t>
      </w:r>
    </w:p>
    <w:p w14:paraId="150AFD5A">
      <w:pPr>
        <w:pStyle w:val="35"/>
        <w:spacing w:line="360" w:lineRule="auto"/>
        <w:ind w:firstLine="420" w:firstLineChars="200"/>
        <w:rPr>
          <w:rFonts w:hint="eastAsia" w:ascii="宋体" w:hAnsi="宋体"/>
          <w:sz w:val="21"/>
          <w:szCs w:val="21"/>
          <w:highlight w:val="none"/>
        </w:rPr>
      </w:pPr>
      <w:r>
        <w:rPr>
          <w:rFonts w:hint="eastAsia" w:ascii="宋体" w:hAnsi="宋体"/>
          <w:sz w:val="21"/>
          <w:szCs w:val="21"/>
          <w:highlight w:val="none"/>
        </w:rPr>
        <w:t>地 址：                         邮 编：</w:t>
      </w:r>
    </w:p>
    <w:p w14:paraId="61A61247">
      <w:pPr>
        <w:pStyle w:val="35"/>
        <w:spacing w:line="360" w:lineRule="auto"/>
        <w:ind w:firstLine="420" w:firstLineChars="200"/>
        <w:rPr>
          <w:rFonts w:hint="eastAsia" w:ascii="宋体" w:hAnsi="宋体"/>
          <w:sz w:val="21"/>
          <w:szCs w:val="21"/>
          <w:highlight w:val="none"/>
        </w:rPr>
      </w:pPr>
      <w:r>
        <w:rPr>
          <w:rFonts w:hint="eastAsia" w:ascii="宋体" w:hAnsi="宋体"/>
          <w:sz w:val="21"/>
          <w:szCs w:val="21"/>
          <w:highlight w:val="none"/>
        </w:rPr>
        <w:t>电 话：                         传 真：</w:t>
      </w:r>
    </w:p>
    <w:p w14:paraId="3B180A8E">
      <w:pPr>
        <w:pStyle w:val="35"/>
        <w:spacing w:line="360" w:lineRule="auto"/>
        <w:ind w:firstLine="420" w:firstLineChars="200"/>
        <w:rPr>
          <w:rFonts w:hint="eastAsia" w:ascii="宋体" w:hAnsi="宋体"/>
          <w:sz w:val="21"/>
          <w:szCs w:val="21"/>
          <w:highlight w:val="none"/>
        </w:rPr>
      </w:pPr>
      <w:r>
        <w:rPr>
          <w:rFonts w:hint="eastAsia" w:ascii="宋体" w:hAnsi="宋体"/>
          <w:sz w:val="21"/>
          <w:szCs w:val="21"/>
          <w:highlight w:val="none"/>
        </w:rPr>
        <w:t xml:space="preserve">供应商开户行：                  账 户： </w:t>
      </w:r>
    </w:p>
    <w:p w14:paraId="2459BE7B">
      <w:pPr>
        <w:pStyle w:val="35"/>
        <w:spacing w:line="360" w:lineRule="auto"/>
        <w:ind w:firstLine="420" w:firstLineChars="200"/>
        <w:rPr>
          <w:rFonts w:hint="eastAsia" w:ascii="宋体" w:hAnsi="宋体"/>
          <w:sz w:val="21"/>
          <w:szCs w:val="21"/>
          <w:highlight w:val="none"/>
        </w:rPr>
      </w:pPr>
      <w:r>
        <w:rPr>
          <w:rFonts w:hint="eastAsia" w:ascii="宋体" w:hAnsi="宋体"/>
          <w:sz w:val="21"/>
          <w:szCs w:val="21"/>
          <w:highlight w:val="none"/>
        </w:rPr>
        <w:t>法定代表人或授权代表姓名（签字）：     联系电话：</w:t>
      </w:r>
    </w:p>
    <w:p w14:paraId="21ED46CF">
      <w:pPr>
        <w:pStyle w:val="35"/>
        <w:spacing w:line="360" w:lineRule="auto"/>
        <w:ind w:firstLine="420" w:firstLineChars="200"/>
        <w:rPr>
          <w:rFonts w:hint="eastAsia" w:ascii="宋体" w:hAnsi="宋体"/>
          <w:sz w:val="21"/>
          <w:szCs w:val="21"/>
          <w:highlight w:val="none"/>
        </w:rPr>
      </w:pPr>
      <w:r>
        <w:rPr>
          <w:rFonts w:hint="eastAsia" w:ascii="宋体" w:hAnsi="宋体"/>
          <w:sz w:val="21"/>
          <w:szCs w:val="21"/>
          <w:highlight w:val="none"/>
        </w:rPr>
        <w:t xml:space="preserve">供应商名称（公章）：            </w:t>
      </w:r>
    </w:p>
    <w:p w14:paraId="26C229AD">
      <w:pPr>
        <w:pStyle w:val="35"/>
        <w:spacing w:line="360" w:lineRule="auto"/>
        <w:ind w:firstLine="420" w:firstLineChars="200"/>
        <w:rPr>
          <w:rFonts w:hint="eastAsia" w:ascii="宋体" w:hAnsi="宋体"/>
          <w:sz w:val="21"/>
          <w:szCs w:val="21"/>
          <w:highlight w:val="none"/>
        </w:rPr>
      </w:pPr>
      <w:r>
        <w:rPr>
          <w:rFonts w:hint="eastAsia" w:ascii="宋体" w:hAnsi="宋体"/>
          <w:sz w:val="21"/>
          <w:szCs w:val="21"/>
          <w:highlight w:val="none"/>
        </w:rPr>
        <w:t>日 期：</w:t>
      </w:r>
      <w:r>
        <w:rPr>
          <w:rFonts w:hint="eastAsia" w:ascii="宋体" w:hAnsi="宋体"/>
          <w:sz w:val="21"/>
          <w:szCs w:val="21"/>
          <w:highlight w:val="none"/>
          <w:u w:val="single"/>
        </w:rPr>
        <w:t xml:space="preserve">      </w:t>
      </w:r>
      <w:r>
        <w:rPr>
          <w:rFonts w:hint="eastAsia" w:ascii="宋体" w:hAnsi="宋体"/>
          <w:sz w:val="21"/>
          <w:szCs w:val="21"/>
          <w:highlight w:val="none"/>
        </w:rPr>
        <w:t>年</w:t>
      </w:r>
      <w:r>
        <w:rPr>
          <w:rFonts w:hint="eastAsia" w:ascii="宋体" w:hAnsi="宋体"/>
          <w:sz w:val="21"/>
          <w:szCs w:val="21"/>
          <w:highlight w:val="none"/>
          <w:u w:val="single"/>
        </w:rPr>
        <w:t xml:space="preserve">   </w:t>
      </w:r>
      <w:r>
        <w:rPr>
          <w:rFonts w:hint="eastAsia" w:ascii="宋体" w:hAnsi="宋体"/>
          <w:sz w:val="21"/>
          <w:szCs w:val="21"/>
          <w:highlight w:val="none"/>
        </w:rPr>
        <w:t>月</w:t>
      </w:r>
      <w:r>
        <w:rPr>
          <w:rFonts w:hint="eastAsia" w:ascii="宋体" w:hAnsi="宋体"/>
          <w:sz w:val="21"/>
          <w:szCs w:val="21"/>
          <w:highlight w:val="none"/>
          <w:u w:val="single"/>
        </w:rPr>
        <w:t xml:space="preserve">   </w:t>
      </w:r>
      <w:r>
        <w:rPr>
          <w:rFonts w:hint="eastAsia" w:ascii="宋体" w:hAnsi="宋体"/>
          <w:sz w:val="21"/>
          <w:szCs w:val="21"/>
          <w:highlight w:val="none"/>
        </w:rPr>
        <w:t>日</w:t>
      </w:r>
    </w:p>
    <w:p w14:paraId="01C5875A">
      <w:pPr>
        <w:spacing w:line="360" w:lineRule="auto"/>
        <w:ind w:firstLine="420" w:firstLineChars="200"/>
        <w:rPr>
          <w:rFonts w:hint="eastAsia" w:ascii="宋体" w:hAnsi="宋体"/>
          <w:szCs w:val="21"/>
          <w:highlight w:val="none"/>
        </w:rPr>
      </w:pPr>
    </w:p>
    <w:p w14:paraId="11E62F56">
      <w:pPr>
        <w:spacing w:line="360" w:lineRule="auto"/>
        <w:ind w:firstLine="420" w:firstLineChars="200"/>
        <w:jc w:val="left"/>
        <w:rPr>
          <w:rFonts w:hint="eastAsia" w:ascii="宋体" w:hAnsi="宋体"/>
          <w:szCs w:val="21"/>
          <w:highlight w:val="none"/>
        </w:rPr>
      </w:pPr>
    </w:p>
    <w:p w14:paraId="46B2AD18">
      <w:pPr>
        <w:spacing w:line="360" w:lineRule="auto"/>
        <w:ind w:firstLine="420" w:firstLineChars="200"/>
        <w:jc w:val="left"/>
        <w:rPr>
          <w:rFonts w:hint="eastAsia" w:ascii="宋体" w:hAnsi="宋体"/>
          <w:szCs w:val="21"/>
          <w:highlight w:val="none"/>
        </w:rPr>
      </w:pPr>
      <w:r>
        <w:rPr>
          <w:rFonts w:ascii="宋体" w:hAnsi="宋体"/>
          <w:szCs w:val="21"/>
          <w:highlight w:val="none"/>
        </w:rPr>
        <w:br w:type="page"/>
      </w:r>
    </w:p>
    <w:p w14:paraId="4FA73AB3">
      <w:pPr>
        <w:spacing w:line="360" w:lineRule="auto"/>
        <w:jc w:val="center"/>
        <w:rPr>
          <w:rFonts w:hint="eastAsia" w:ascii="宋体" w:hAnsi="宋体" w:cs="宋体"/>
          <w:b/>
          <w:szCs w:val="21"/>
          <w:highlight w:val="none"/>
        </w:rPr>
      </w:pPr>
      <w:r>
        <w:rPr>
          <w:rFonts w:hint="eastAsia" w:ascii="宋体" w:hAnsi="宋体" w:cs="宋体"/>
          <w:b/>
          <w:szCs w:val="21"/>
          <w:highlight w:val="none"/>
        </w:rPr>
        <w:t>9.技术条款响应及偏离表</w:t>
      </w:r>
    </w:p>
    <w:p w14:paraId="5D83BBB8">
      <w:pPr>
        <w:spacing w:line="360" w:lineRule="auto"/>
        <w:jc w:val="center"/>
        <w:rPr>
          <w:rFonts w:hint="eastAsia" w:ascii="宋体" w:hAnsi="宋体" w:cs="宋体"/>
          <w:szCs w:val="21"/>
          <w:highlight w:val="none"/>
        </w:rPr>
      </w:pPr>
      <w:r>
        <w:rPr>
          <w:rFonts w:hint="eastAsia" w:ascii="宋体" w:hAnsi="宋体" w:cs="宋体"/>
          <w:szCs w:val="21"/>
          <w:highlight w:val="none"/>
        </w:rPr>
        <w:t>（由响应人据实提交，表格不够自行添加）</w:t>
      </w:r>
    </w:p>
    <w:tbl>
      <w:tblPr>
        <w:tblStyle w:val="19"/>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108" w:type="dxa"/>
          <w:bottom w:w="0" w:type="dxa"/>
          <w:right w:w="108" w:type="dxa"/>
        </w:tblCellMar>
      </w:tblPr>
      <w:tblGrid>
        <w:gridCol w:w="959"/>
        <w:gridCol w:w="1267"/>
        <w:gridCol w:w="2392"/>
        <w:gridCol w:w="2720"/>
        <w:gridCol w:w="1417"/>
      </w:tblGrid>
      <w:tr w14:paraId="38B3857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994" w:hRule="atLeast"/>
          <w:jc w:val="center"/>
        </w:trPr>
        <w:tc>
          <w:tcPr>
            <w:tcW w:w="959" w:type="dxa"/>
            <w:tcBorders>
              <w:top w:val="single" w:color="000000" w:sz="12" w:space="0"/>
              <w:left w:val="single" w:color="000000" w:sz="12" w:space="0"/>
              <w:bottom w:val="single" w:color="000000" w:sz="6" w:space="0"/>
              <w:right w:val="single" w:color="000000" w:sz="6" w:space="0"/>
            </w:tcBorders>
            <w:vAlign w:val="center"/>
          </w:tcPr>
          <w:p w14:paraId="21C561C1">
            <w:pPr>
              <w:spacing w:line="360" w:lineRule="auto"/>
              <w:jc w:val="center"/>
              <w:rPr>
                <w:rFonts w:hint="eastAsia" w:ascii="宋体" w:hAnsi="宋体" w:cs="宋体"/>
                <w:szCs w:val="21"/>
                <w:highlight w:val="none"/>
              </w:rPr>
            </w:pPr>
            <w:r>
              <w:rPr>
                <w:rFonts w:hint="eastAsia" w:ascii="宋体" w:hAnsi="宋体" w:cs="宋体"/>
                <w:szCs w:val="21"/>
                <w:highlight w:val="none"/>
              </w:rPr>
              <w:t>序号</w:t>
            </w:r>
          </w:p>
        </w:tc>
        <w:tc>
          <w:tcPr>
            <w:tcW w:w="1267" w:type="dxa"/>
            <w:tcBorders>
              <w:top w:val="single" w:color="000000" w:sz="12" w:space="0"/>
              <w:left w:val="single" w:color="000000" w:sz="6" w:space="0"/>
              <w:bottom w:val="single" w:color="000000" w:sz="6" w:space="0"/>
              <w:right w:val="single" w:color="000000" w:sz="6" w:space="0"/>
            </w:tcBorders>
            <w:vAlign w:val="center"/>
          </w:tcPr>
          <w:p w14:paraId="2C43EFC6">
            <w:pPr>
              <w:spacing w:line="360" w:lineRule="auto"/>
              <w:jc w:val="center"/>
              <w:rPr>
                <w:rFonts w:hint="eastAsia" w:ascii="宋体" w:hAnsi="宋体" w:cs="宋体"/>
                <w:szCs w:val="21"/>
                <w:highlight w:val="none"/>
              </w:rPr>
            </w:pPr>
            <w:r>
              <w:rPr>
                <w:rFonts w:hint="eastAsia" w:ascii="宋体" w:hAnsi="宋体" w:cs="宋体"/>
                <w:szCs w:val="21"/>
                <w:highlight w:val="none"/>
              </w:rPr>
              <w:t>项目</w:t>
            </w:r>
          </w:p>
        </w:tc>
        <w:tc>
          <w:tcPr>
            <w:tcW w:w="2392" w:type="dxa"/>
            <w:tcBorders>
              <w:top w:val="single" w:color="000000" w:sz="12" w:space="0"/>
              <w:left w:val="single" w:color="000000" w:sz="6" w:space="0"/>
              <w:bottom w:val="single" w:color="000000" w:sz="6" w:space="0"/>
              <w:right w:val="single" w:color="000000" w:sz="6" w:space="0"/>
            </w:tcBorders>
            <w:vAlign w:val="center"/>
          </w:tcPr>
          <w:p w14:paraId="45523D6B">
            <w:pPr>
              <w:spacing w:line="360" w:lineRule="auto"/>
              <w:ind w:firstLine="480"/>
              <w:jc w:val="center"/>
              <w:rPr>
                <w:rFonts w:hint="eastAsia" w:ascii="宋体" w:hAnsi="宋体" w:cs="宋体"/>
                <w:szCs w:val="21"/>
                <w:highlight w:val="none"/>
              </w:rPr>
            </w:pPr>
            <w:r>
              <w:rPr>
                <w:rFonts w:hint="eastAsia" w:ascii="宋体" w:hAnsi="宋体" w:cs="宋体"/>
                <w:szCs w:val="21"/>
                <w:highlight w:val="none"/>
              </w:rPr>
              <w:t>磋商文件要求</w:t>
            </w:r>
          </w:p>
        </w:tc>
        <w:tc>
          <w:tcPr>
            <w:tcW w:w="2720" w:type="dxa"/>
            <w:tcBorders>
              <w:top w:val="single" w:color="000000" w:sz="12" w:space="0"/>
              <w:left w:val="single" w:color="000000" w:sz="6" w:space="0"/>
              <w:bottom w:val="single" w:color="000000" w:sz="6" w:space="0"/>
              <w:right w:val="single" w:color="000000" w:sz="6" w:space="0"/>
            </w:tcBorders>
            <w:vAlign w:val="center"/>
          </w:tcPr>
          <w:p w14:paraId="7F0B1E70">
            <w:pPr>
              <w:spacing w:line="360" w:lineRule="auto"/>
              <w:jc w:val="center"/>
              <w:rPr>
                <w:rFonts w:hint="eastAsia" w:ascii="宋体" w:hAnsi="宋体" w:cs="宋体"/>
                <w:szCs w:val="21"/>
                <w:highlight w:val="none"/>
              </w:rPr>
            </w:pPr>
            <w:r>
              <w:rPr>
                <w:rFonts w:hint="eastAsia" w:ascii="宋体" w:hAnsi="宋体" w:cs="宋体"/>
                <w:szCs w:val="21"/>
                <w:highlight w:val="none"/>
              </w:rPr>
              <w:t>响应文件响应情况</w:t>
            </w:r>
          </w:p>
        </w:tc>
        <w:tc>
          <w:tcPr>
            <w:tcW w:w="1417" w:type="dxa"/>
            <w:tcBorders>
              <w:top w:val="single" w:color="000000" w:sz="12" w:space="0"/>
              <w:left w:val="single" w:color="000000" w:sz="6" w:space="0"/>
              <w:bottom w:val="single" w:color="000000" w:sz="6" w:space="0"/>
              <w:right w:val="single" w:color="000000" w:sz="12" w:space="0"/>
            </w:tcBorders>
            <w:vAlign w:val="center"/>
          </w:tcPr>
          <w:p w14:paraId="689BB675">
            <w:pPr>
              <w:spacing w:line="360" w:lineRule="auto"/>
              <w:jc w:val="center"/>
              <w:rPr>
                <w:rFonts w:hint="eastAsia" w:ascii="宋体" w:hAnsi="宋体" w:cs="宋体"/>
                <w:szCs w:val="21"/>
                <w:highlight w:val="none"/>
              </w:rPr>
            </w:pPr>
            <w:r>
              <w:rPr>
                <w:rFonts w:hint="eastAsia" w:ascii="宋体" w:hAnsi="宋体" w:cs="宋体"/>
                <w:szCs w:val="21"/>
                <w:highlight w:val="none"/>
              </w:rPr>
              <w:t>偏离说明</w:t>
            </w:r>
          </w:p>
        </w:tc>
      </w:tr>
      <w:tr w14:paraId="0CDFFB3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14" w:hRule="atLeast"/>
          <w:jc w:val="center"/>
        </w:trPr>
        <w:tc>
          <w:tcPr>
            <w:tcW w:w="959" w:type="dxa"/>
            <w:tcBorders>
              <w:top w:val="single" w:color="000000" w:sz="6" w:space="0"/>
              <w:left w:val="single" w:color="000000" w:sz="12" w:space="0"/>
              <w:bottom w:val="single" w:color="000000" w:sz="6" w:space="0"/>
              <w:right w:val="single" w:color="000000" w:sz="6" w:space="0"/>
            </w:tcBorders>
          </w:tcPr>
          <w:p w14:paraId="5A12F8D8">
            <w:pPr>
              <w:spacing w:line="360" w:lineRule="auto"/>
              <w:jc w:val="center"/>
              <w:rPr>
                <w:rFonts w:hint="eastAsia" w:ascii="宋体" w:hAnsi="宋体" w:cs="宋体"/>
                <w:szCs w:val="21"/>
                <w:highlight w:val="none"/>
              </w:rPr>
            </w:pPr>
            <w:r>
              <w:rPr>
                <w:rFonts w:hint="eastAsia" w:ascii="宋体" w:hAnsi="宋体" w:cs="宋体"/>
                <w:szCs w:val="21"/>
                <w:highlight w:val="none"/>
              </w:rPr>
              <w:t>1</w:t>
            </w:r>
          </w:p>
        </w:tc>
        <w:tc>
          <w:tcPr>
            <w:tcW w:w="1267" w:type="dxa"/>
            <w:tcBorders>
              <w:top w:val="single" w:color="000000" w:sz="6" w:space="0"/>
              <w:left w:val="single" w:color="000000" w:sz="6" w:space="0"/>
              <w:bottom w:val="single" w:color="000000" w:sz="6" w:space="0"/>
              <w:right w:val="single" w:color="000000" w:sz="6" w:space="0"/>
            </w:tcBorders>
            <w:vAlign w:val="center"/>
          </w:tcPr>
          <w:p w14:paraId="24E16A89">
            <w:pPr>
              <w:spacing w:line="360" w:lineRule="auto"/>
              <w:ind w:firstLine="480"/>
              <w:rPr>
                <w:rFonts w:hint="eastAsia" w:ascii="宋体" w:hAnsi="宋体" w:cs="宋体"/>
                <w:szCs w:val="21"/>
                <w:highlight w:val="none"/>
              </w:rPr>
            </w:pPr>
          </w:p>
        </w:tc>
        <w:tc>
          <w:tcPr>
            <w:tcW w:w="2392" w:type="dxa"/>
            <w:tcBorders>
              <w:top w:val="single" w:color="000000" w:sz="6" w:space="0"/>
              <w:left w:val="single" w:color="000000" w:sz="6" w:space="0"/>
              <w:bottom w:val="single" w:color="000000" w:sz="6" w:space="0"/>
              <w:right w:val="single" w:color="000000" w:sz="6" w:space="0"/>
            </w:tcBorders>
            <w:vAlign w:val="center"/>
          </w:tcPr>
          <w:p w14:paraId="76C0CB1B">
            <w:pPr>
              <w:spacing w:line="360" w:lineRule="auto"/>
              <w:ind w:firstLine="480"/>
              <w:rPr>
                <w:rFonts w:hint="eastAsia" w:ascii="宋体" w:hAnsi="宋体" w:cs="宋体"/>
                <w:szCs w:val="21"/>
                <w:highlight w:val="none"/>
              </w:rPr>
            </w:pPr>
          </w:p>
        </w:tc>
        <w:tc>
          <w:tcPr>
            <w:tcW w:w="2720" w:type="dxa"/>
            <w:tcBorders>
              <w:top w:val="single" w:color="000000" w:sz="6" w:space="0"/>
              <w:left w:val="single" w:color="000000" w:sz="6" w:space="0"/>
              <w:bottom w:val="single" w:color="000000" w:sz="6" w:space="0"/>
              <w:right w:val="single" w:color="000000" w:sz="6" w:space="0"/>
            </w:tcBorders>
            <w:vAlign w:val="center"/>
          </w:tcPr>
          <w:p w14:paraId="5D3CB3A2">
            <w:pPr>
              <w:spacing w:line="360" w:lineRule="auto"/>
              <w:ind w:firstLine="480"/>
              <w:rPr>
                <w:rFonts w:hint="eastAsia" w:ascii="宋体" w:hAnsi="宋体" w:cs="宋体"/>
                <w:szCs w:val="21"/>
                <w:highlight w:val="none"/>
              </w:rPr>
            </w:pPr>
          </w:p>
        </w:tc>
        <w:tc>
          <w:tcPr>
            <w:tcW w:w="1417" w:type="dxa"/>
            <w:tcBorders>
              <w:top w:val="single" w:color="000000" w:sz="6" w:space="0"/>
              <w:left w:val="single" w:color="000000" w:sz="6" w:space="0"/>
              <w:bottom w:val="single" w:color="000000" w:sz="6" w:space="0"/>
              <w:right w:val="single" w:color="000000" w:sz="12" w:space="0"/>
            </w:tcBorders>
          </w:tcPr>
          <w:p w14:paraId="7CC42C2F">
            <w:pPr>
              <w:spacing w:line="360" w:lineRule="auto"/>
              <w:ind w:firstLine="480"/>
              <w:rPr>
                <w:rFonts w:hint="eastAsia" w:ascii="宋体" w:hAnsi="宋体" w:cs="宋体"/>
                <w:szCs w:val="21"/>
                <w:highlight w:val="none"/>
              </w:rPr>
            </w:pPr>
          </w:p>
        </w:tc>
      </w:tr>
      <w:tr w14:paraId="78401B1F">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548" w:hRule="atLeast"/>
          <w:jc w:val="center"/>
        </w:trPr>
        <w:tc>
          <w:tcPr>
            <w:tcW w:w="959" w:type="dxa"/>
            <w:tcBorders>
              <w:top w:val="single" w:color="000000" w:sz="6" w:space="0"/>
              <w:left w:val="single" w:color="000000" w:sz="12" w:space="0"/>
              <w:bottom w:val="single" w:color="000000" w:sz="6" w:space="0"/>
              <w:right w:val="single" w:color="000000" w:sz="6" w:space="0"/>
            </w:tcBorders>
          </w:tcPr>
          <w:p w14:paraId="07B53571">
            <w:pPr>
              <w:spacing w:line="360" w:lineRule="auto"/>
              <w:jc w:val="center"/>
              <w:rPr>
                <w:rFonts w:hint="eastAsia" w:ascii="宋体" w:hAnsi="宋体" w:cs="宋体"/>
                <w:szCs w:val="21"/>
                <w:highlight w:val="none"/>
              </w:rPr>
            </w:pPr>
            <w:r>
              <w:rPr>
                <w:rFonts w:hint="eastAsia" w:ascii="宋体" w:hAnsi="宋体" w:cs="宋体"/>
                <w:szCs w:val="21"/>
                <w:highlight w:val="none"/>
              </w:rPr>
              <w:t>2</w:t>
            </w:r>
          </w:p>
        </w:tc>
        <w:tc>
          <w:tcPr>
            <w:tcW w:w="1267" w:type="dxa"/>
            <w:tcBorders>
              <w:top w:val="single" w:color="000000" w:sz="6" w:space="0"/>
              <w:left w:val="single" w:color="000000" w:sz="6" w:space="0"/>
              <w:bottom w:val="single" w:color="000000" w:sz="6" w:space="0"/>
              <w:right w:val="single" w:color="000000" w:sz="6" w:space="0"/>
            </w:tcBorders>
            <w:vAlign w:val="center"/>
          </w:tcPr>
          <w:p w14:paraId="4DCFD5F7">
            <w:pPr>
              <w:spacing w:line="360" w:lineRule="auto"/>
              <w:ind w:firstLine="480"/>
              <w:rPr>
                <w:rFonts w:hint="eastAsia" w:ascii="宋体" w:hAnsi="宋体" w:cs="宋体"/>
                <w:szCs w:val="21"/>
                <w:highlight w:val="none"/>
              </w:rPr>
            </w:pPr>
          </w:p>
        </w:tc>
        <w:tc>
          <w:tcPr>
            <w:tcW w:w="2392" w:type="dxa"/>
            <w:tcBorders>
              <w:top w:val="single" w:color="000000" w:sz="6" w:space="0"/>
              <w:left w:val="single" w:color="000000" w:sz="6" w:space="0"/>
              <w:bottom w:val="single" w:color="000000" w:sz="6" w:space="0"/>
              <w:right w:val="single" w:color="000000" w:sz="6" w:space="0"/>
            </w:tcBorders>
            <w:vAlign w:val="center"/>
          </w:tcPr>
          <w:p w14:paraId="39503B20">
            <w:pPr>
              <w:spacing w:line="360" w:lineRule="auto"/>
              <w:ind w:firstLine="480"/>
              <w:rPr>
                <w:rFonts w:hint="eastAsia" w:ascii="宋体" w:hAnsi="宋体" w:cs="宋体"/>
                <w:szCs w:val="21"/>
                <w:highlight w:val="none"/>
              </w:rPr>
            </w:pPr>
          </w:p>
        </w:tc>
        <w:tc>
          <w:tcPr>
            <w:tcW w:w="2720" w:type="dxa"/>
            <w:tcBorders>
              <w:top w:val="single" w:color="000000" w:sz="6" w:space="0"/>
              <w:left w:val="single" w:color="000000" w:sz="6" w:space="0"/>
              <w:bottom w:val="single" w:color="000000" w:sz="6" w:space="0"/>
              <w:right w:val="single" w:color="000000" w:sz="6" w:space="0"/>
            </w:tcBorders>
            <w:vAlign w:val="center"/>
          </w:tcPr>
          <w:p w14:paraId="55F8FEA9">
            <w:pPr>
              <w:spacing w:line="360" w:lineRule="auto"/>
              <w:ind w:firstLine="480"/>
              <w:rPr>
                <w:rFonts w:hint="eastAsia" w:ascii="宋体" w:hAnsi="宋体" w:cs="宋体"/>
                <w:szCs w:val="21"/>
                <w:highlight w:val="none"/>
              </w:rPr>
            </w:pPr>
          </w:p>
        </w:tc>
        <w:tc>
          <w:tcPr>
            <w:tcW w:w="1417" w:type="dxa"/>
            <w:tcBorders>
              <w:top w:val="single" w:color="000000" w:sz="6" w:space="0"/>
              <w:left w:val="single" w:color="000000" w:sz="6" w:space="0"/>
              <w:bottom w:val="single" w:color="000000" w:sz="6" w:space="0"/>
              <w:right w:val="single" w:color="000000" w:sz="12" w:space="0"/>
            </w:tcBorders>
          </w:tcPr>
          <w:p w14:paraId="4C4E7089">
            <w:pPr>
              <w:spacing w:line="360" w:lineRule="auto"/>
              <w:ind w:firstLine="480"/>
              <w:rPr>
                <w:rFonts w:hint="eastAsia" w:ascii="宋体" w:hAnsi="宋体" w:cs="宋体"/>
                <w:szCs w:val="21"/>
                <w:highlight w:val="none"/>
              </w:rPr>
            </w:pPr>
          </w:p>
        </w:tc>
      </w:tr>
      <w:tr w14:paraId="045BAB9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00" w:hRule="atLeast"/>
          <w:jc w:val="center"/>
        </w:trPr>
        <w:tc>
          <w:tcPr>
            <w:tcW w:w="959" w:type="dxa"/>
            <w:tcBorders>
              <w:top w:val="single" w:color="000000" w:sz="6" w:space="0"/>
              <w:left w:val="single" w:color="000000" w:sz="12" w:space="0"/>
              <w:bottom w:val="single" w:color="000000" w:sz="6" w:space="0"/>
              <w:right w:val="single" w:color="000000" w:sz="6" w:space="0"/>
            </w:tcBorders>
          </w:tcPr>
          <w:p w14:paraId="4E5D6EEB">
            <w:pPr>
              <w:spacing w:line="360" w:lineRule="auto"/>
              <w:jc w:val="center"/>
              <w:rPr>
                <w:rFonts w:hint="eastAsia" w:ascii="宋体" w:hAnsi="宋体" w:cs="宋体"/>
                <w:szCs w:val="21"/>
                <w:highlight w:val="none"/>
              </w:rPr>
            </w:pPr>
            <w:r>
              <w:rPr>
                <w:rFonts w:hint="eastAsia" w:ascii="宋体" w:hAnsi="宋体" w:cs="宋体"/>
                <w:szCs w:val="21"/>
                <w:highlight w:val="none"/>
              </w:rPr>
              <w:t>3</w:t>
            </w:r>
          </w:p>
        </w:tc>
        <w:tc>
          <w:tcPr>
            <w:tcW w:w="1267" w:type="dxa"/>
            <w:tcBorders>
              <w:top w:val="single" w:color="000000" w:sz="6" w:space="0"/>
              <w:left w:val="single" w:color="000000" w:sz="6" w:space="0"/>
              <w:bottom w:val="single" w:color="000000" w:sz="6" w:space="0"/>
              <w:right w:val="single" w:color="000000" w:sz="6" w:space="0"/>
            </w:tcBorders>
            <w:vAlign w:val="center"/>
          </w:tcPr>
          <w:p w14:paraId="7175148B">
            <w:pPr>
              <w:spacing w:line="360" w:lineRule="auto"/>
              <w:ind w:firstLine="480"/>
              <w:rPr>
                <w:rFonts w:hint="eastAsia" w:ascii="宋体" w:hAnsi="宋体" w:cs="宋体"/>
                <w:szCs w:val="21"/>
                <w:highlight w:val="none"/>
              </w:rPr>
            </w:pPr>
          </w:p>
        </w:tc>
        <w:tc>
          <w:tcPr>
            <w:tcW w:w="2392" w:type="dxa"/>
            <w:tcBorders>
              <w:top w:val="single" w:color="000000" w:sz="6" w:space="0"/>
              <w:left w:val="single" w:color="000000" w:sz="6" w:space="0"/>
              <w:bottom w:val="single" w:color="000000" w:sz="6" w:space="0"/>
              <w:right w:val="single" w:color="000000" w:sz="6" w:space="0"/>
            </w:tcBorders>
            <w:vAlign w:val="center"/>
          </w:tcPr>
          <w:p w14:paraId="33A21D45">
            <w:pPr>
              <w:spacing w:line="360" w:lineRule="auto"/>
              <w:ind w:firstLine="480"/>
              <w:rPr>
                <w:rFonts w:hint="eastAsia" w:ascii="宋体" w:hAnsi="宋体" w:cs="宋体"/>
                <w:szCs w:val="21"/>
                <w:highlight w:val="none"/>
              </w:rPr>
            </w:pPr>
          </w:p>
        </w:tc>
        <w:tc>
          <w:tcPr>
            <w:tcW w:w="2720" w:type="dxa"/>
            <w:tcBorders>
              <w:top w:val="single" w:color="000000" w:sz="6" w:space="0"/>
              <w:left w:val="single" w:color="000000" w:sz="6" w:space="0"/>
              <w:bottom w:val="single" w:color="000000" w:sz="6" w:space="0"/>
              <w:right w:val="single" w:color="000000" w:sz="6" w:space="0"/>
            </w:tcBorders>
            <w:vAlign w:val="center"/>
          </w:tcPr>
          <w:p w14:paraId="6D49B4CF">
            <w:pPr>
              <w:spacing w:line="360" w:lineRule="auto"/>
              <w:ind w:firstLine="480"/>
              <w:rPr>
                <w:rFonts w:hint="eastAsia" w:ascii="宋体" w:hAnsi="宋体" w:cs="宋体"/>
                <w:szCs w:val="21"/>
                <w:highlight w:val="none"/>
              </w:rPr>
            </w:pPr>
          </w:p>
        </w:tc>
        <w:tc>
          <w:tcPr>
            <w:tcW w:w="1417" w:type="dxa"/>
            <w:tcBorders>
              <w:top w:val="single" w:color="000000" w:sz="6" w:space="0"/>
              <w:left w:val="single" w:color="000000" w:sz="6" w:space="0"/>
              <w:bottom w:val="single" w:color="000000" w:sz="6" w:space="0"/>
              <w:right w:val="single" w:color="000000" w:sz="12" w:space="0"/>
            </w:tcBorders>
          </w:tcPr>
          <w:p w14:paraId="3FAA53BF">
            <w:pPr>
              <w:spacing w:line="360" w:lineRule="auto"/>
              <w:ind w:firstLine="480"/>
              <w:rPr>
                <w:rFonts w:hint="eastAsia" w:ascii="宋体" w:hAnsi="宋体" w:cs="宋体"/>
                <w:szCs w:val="21"/>
                <w:highlight w:val="none"/>
              </w:rPr>
            </w:pPr>
          </w:p>
        </w:tc>
      </w:tr>
      <w:tr w14:paraId="1568E56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19" w:hRule="atLeast"/>
          <w:jc w:val="center"/>
        </w:trPr>
        <w:tc>
          <w:tcPr>
            <w:tcW w:w="959" w:type="dxa"/>
            <w:tcBorders>
              <w:top w:val="single" w:color="000000" w:sz="6" w:space="0"/>
              <w:left w:val="single" w:color="000000" w:sz="12" w:space="0"/>
              <w:bottom w:val="single" w:color="000000" w:sz="6" w:space="0"/>
              <w:right w:val="single" w:color="000000" w:sz="6" w:space="0"/>
            </w:tcBorders>
          </w:tcPr>
          <w:p w14:paraId="4BD38F16">
            <w:pPr>
              <w:spacing w:line="360" w:lineRule="auto"/>
              <w:ind w:firstLine="480"/>
              <w:rPr>
                <w:rFonts w:hint="eastAsia" w:ascii="宋体" w:hAnsi="宋体" w:cs="宋体"/>
                <w:szCs w:val="21"/>
                <w:highlight w:val="none"/>
              </w:rPr>
            </w:pPr>
          </w:p>
        </w:tc>
        <w:tc>
          <w:tcPr>
            <w:tcW w:w="1267" w:type="dxa"/>
            <w:tcBorders>
              <w:top w:val="single" w:color="000000" w:sz="6" w:space="0"/>
              <w:left w:val="single" w:color="000000" w:sz="6" w:space="0"/>
              <w:bottom w:val="single" w:color="000000" w:sz="6" w:space="0"/>
              <w:right w:val="single" w:color="000000" w:sz="6" w:space="0"/>
            </w:tcBorders>
            <w:vAlign w:val="center"/>
          </w:tcPr>
          <w:p w14:paraId="0E250BCC">
            <w:pPr>
              <w:spacing w:line="360" w:lineRule="auto"/>
              <w:ind w:firstLine="480"/>
              <w:rPr>
                <w:rFonts w:hint="eastAsia" w:ascii="宋体" w:hAnsi="宋体" w:cs="宋体"/>
                <w:szCs w:val="21"/>
                <w:highlight w:val="none"/>
              </w:rPr>
            </w:pPr>
          </w:p>
        </w:tc>
        <w:tc>
          <w:tcPr>
            <w:tcW w:w="2392" w:type="dxa"/>
            <w:tcBorders>
              <w:top w:val="single" w:color="000000" w:sz="6" w:space="0"/>
              <w:left w:val="single" w:color="000000" w:sz="6" w:space="0"/>
              <w:bottom w:val="single" w:color="000000" w:sz="6" w:space="0"/>
              <w:right w:val="single" w:color="000000" w:sz="6" w:space="0"/>
            </w:tcBorders>
            <w:vAlign w:val="center"/>
          </w:tcPr>
          <w:p w14:paraId="3E424B8E">
            <w:pPr>
              <w:spacing w:line="360" w:lineRule="auto"/>
              <w:ind w:firstLine="480"/>
              <w:rPr>
                <w:rFonts w:hint="eastAsia" w:ascii="宋体" w:hAnsi="宋体" w:cs="宋体"/>
                <w:szCs w:val="21"/>
                <w:highlight w:val="none"/>
              </w:rPr>
            </w:pPr>
          </w:p>
        </w:tc>
        <w:tc>
          <w:tcPr>
            <w:tcW w:w="2720" w:type="dxa"/>
            <w:tcBorders>
              <w:top w:val="single" w:color="000000" w:sz="6" w:space="0"/>
              <w:left w:val="single" w:color="000000" w:sz="6" w:space="0"/>
              <w:bottom w:val="single" w:color="000000" w:sz="6" w:space="0"/>
              <w:right w:val="single" w:color="000000" w:sz="6" w:space="0"/>
            </w:tcBorders>
            <w:vAlign w:val="center"/>
          </w:tcPr>
          <w:p w14:paraId="10595424">
            <w:pPr>
              <w:spacing w:line="360" w:lineRule="auto"/>
              <w:ind w:firstLine="480"/>
              <w:rPr>
                <w:rFonts w:hint="eastAsia" w:ascii="宋体" w:hAnsi="宋体" w:cs="宋体"/>
                <w:szCs w:val="21"/>
                <w:highlight w:val="none"/>
              </w:rPr>
            </w:pPr>
          </w:p>
        </w:tc>
        <w:tc>
          <w:tcPr>
            <w:tcW w:w="1417" w:type="dxa"/>
            <w:tcBorders>
              <w:top w:val="single" w:color="000000" w:sz="6" w:space="0"/>
              <w:left w:val="single" w:color="000000" w:sz="6" w:space="0"/>
              <w:bottom w:val="single" w:color="000000" w:sz="6" w:space="0"/>
              <w:right w:val="single" w:color="000000" w:sz="12" w:space="0"/>
            </w:tcBorders>
          </w:tcPr>
          <w:p w14:paraId="4DFD9C7A">
            <w:pPr>
              <w:spacing w:line="360" w:lineRule="auto"/>
              <w:ind w:firstLine="480"/>
              <w:rPr>
                <w:rFonts w:hint="eastAsia" w:ascii="宋体" w:hAnsi="宋体" w:cs="宋体"/>
                <w:szCs w:val="21"/>
                <w:highlight w:val="none"/>
              </w:rPr>
            </w:pPr>
          </w:p>
        </w:tc>
      </w:tr>
    </w:tbl>
    <w:p w14:paraId="7434E479">
      <w:pPr>
        <w:spacing w:line="360" w:lineRule="auto"/>
        <w:ind w:firstLine="480"/>
        <w:rPr>
          <w:rFonts w:hint="eastAsia" w:ascii="宋体" w:hAnsi="宋体" w:cs="宋体"/>
          <w:szCs w:val="21"/>
          <w:highlight w:val="none"/>
        </w:rPr>
      </w:pPr>
      <w:r>
        <w:rPr>
          <w:rFonts w:hint="eastAsia" w:ascii="宋体" w:hAnsi="宋体" w:cs="宋体"/>
          <w:szCs w:val="21"/>
          <w:highlight w:val="none"/>
        </w:rPr>
        <w:t>注：</w:t>
      </w:r>
    </w:p>
    <w:p w14:paraId="2C2DEA2C">
      <w:pPr>
        <w:spacing w:line="360" w:lineRule="auto"/>
        <w:ind w:firstLine="480"/>
        <w:rPr>
          <w:rFonts w:hint="eastAsia" w:ascii="宋体" w:hAnsi="宋体" w:cs="宋体"/>
          <w:szCs w:val="21"/>
          <w:highlight w:val="none"/>
        </w:rPr>
      </w:pPr>
      <w:r>
        <w:rPr>
          <w:rFonts w:hint="eastAsia" w:ascii="宋体" w:hAnsi="宋体" w:cs="宋体"/>
          <w:szCs w:val="21"/>
          <w:highlight w:val="none"/>
        </w:rPr>
        <w:t>1.响应人提交的响应文件中与磋商文件第四章 项目需求中的技术部分的要求有不同时，应逐条填列在偏离表中，否则将视为响应人接受磋商文件的所有要求。完全响应以空白表格列示。</w:t>
      </w:r>
    </w:p>
    <w:p w14:paraId="787D6955">
      <w:pPr>
        <w:spacing w:line="360" w:lineRule="auto"/>
        <w:ind w:firstLine="480"/>
        <w:rPr>
          <w:rFonts w:hint="eastAsia" w:ascii="宋体" w:hAnsi="宋体" w:cs="宋体"/>
          <w:szCs w:val="21"/>
          <w:highlight w:val="none"/>
        </w:rPr>
      </w:pPr>
      <w:r>
        <w:rPr>
          <w:rFonts w:hint="eastAsia" w:ascii="宋体" w:hAnsi="宋体" w:cs="宋体"/>
          <w:szCs w:val="21"/>
          <w:highlight w:val="none"/>
        </w:rPr>
        <w:t>2.“偏离说明”一栏选择“正偏离”、“负偏离”进行填写。正偏离的确认和负偏离的是否响应磋商文件，经三分之二评委认定。</w:t>
      </w:r>
    </w:p>
    <w:p w14:paraId="7E3EC96D">
      <w:pPr>
        <w:spacing w:line="360" w:lineRule="auto"/>
        <w:ind w:firstLine="480"/>
        <w:rPr>
          <w:rFonts w:hint="eastAsia" w:ascii="宋体" w:hAnsi="宋体" w:cs="宋体"/>
          <w:szCs w:val="21"/>
          <w:highlight w:val="none"/>
        </w:rPr>
      </w:pPr>
      <w:r>
        <w:rPr>
          <w:rFonts w:hint="eastAsia" w:ascii="宋体" w:hAnsi="宋体" w:cs="宋体"/>
          <w:szCs w:val="21"/>
          <w:highlight w:val="none"/>
        </w:rPr>
        <w:t>3.响应人如有虚假响应，将承担被暂停参加采购人组织政府采购活动的风险。</w:t>
      </w:r>
    </w:p>
    <w:p w14:paraId="49C25C00">
      <w:pPr>
        <w:spacing w:line="360" w:lineRule="auto"/>
        <w:ind w:firstLine="480"/>
        <w:rPr>
          <w:rFonts w:hint="eastAsia" w:ascii="宋体" w:hAnsi="宋体" w:cs="宋体"/>
          <w:szCs w:val="21"/>
          <w:highlight w:val="none"/>
        </w:rPr>
      </w:pPr>
      <w:r>
        <w:rPr>
          <w:rFonts w:hint="eastAsia" w:ascii="宋体" w:hAnsi="宋体" w:cs="宋体"/>
          <w:szCs w:val="21"/>
          <w:highlight w:val="none"/>
        </w:rPr>
        <w:t>4.供应商若提供其他增值服务，可以在表中自行据实填写。</w:t>
      </w:r>
    </w:p>
    <w:p w14:paraId="40503A27">
      <w:pPr>
        <w:spacing w:line="360" w:lineRule="auto"/>
        <w:ind w:firstLine="480"/>
        <w:rPr>
          <w:rFonts w:hint="eastAsia" w:ascii="宋体" w:hAnsi="宋体" w:cs="宋体"/>
          <w:szCs w:val="21"/>
          <w:highlight w:val="none"/>
        </w:rPr>
      </w:pPr>
    </w:p>
    <w:p w14:paraId="60D3AEF3">
      <w:pPr>
        <w:spacing w:line="360" w:lineRule="auto"/>
        <w:ind w:firstLine="480"/>
        <w:rPr>
          <w:rFonts w:hint="eastAsia" w:ascii="宋体" w:hAnsi="宋体" w:cs="宋体"/>
          <w:szCs w:val="21"/>
          <w:highlight w:val="none"/>
        </w:rPr>
      </w:pPr>
    </w:p>
    <w:p w14:paraId="33EB96BD">
      <w:pPr>
        <w:spacing w:line="360" w:lineRule="auto"/>
        <w:ind w:firstLine="4674" w:firstLineChars="2226"/>
        <w:rPr>
          <w:rFonts w:hint="eastAsia" w:ascii="宋体" w:hAnsi="宋体" w:cs="宋体"/>
          <w:szCs w:val="21"/>
          <w:highlight w:val="none"/>
        </w:rPr>
      </w:pPr>
      <w:r>
        <w:rPr>
          <w:rFonts w:hint="eastAsia" w:ascii="宋体" w:hAnsi="宋体" w:cs="宋体"/>
          <w:szCs w:val="21"/>
          <w:highlight w:val="none"/>
        </w:rPr>
        <w:t>供应商名称（盖章）：</w:t>
      </w:r>
    </w:p>
    <w:p w14:paraId="7002B12A">
      <w:pPr>
        <w:spacing w:line="360" w:lineRule="auto"/>
        <w:ind w:firstLine="4674" w:firstLineChars="2226"/>
        <w:rPr>
          <w:rFonts w:hint="eastAsia" w:ascii="宋体" w:hAnsi="宋体" w:cs="宋体"/>
          <w:szCs w:val="21"/>
          <w:highlight w:val="none"/>
        </w:rPr>
      </w:pPr>
      <w:r>
        <w:rPr>
          <w:rFonts w:hint="eastAsia" w:ascii="宋体" w:hAnsi="宋体" w:cs="宋体"/>
          <w:szCs w:val="21"/>
          <w:highlight w:val="none"/>
        </w:rPr>
        <w:t>法人或授权委托人（签字或盖章）：</w:t>
      </w:r>
    </w:p>
    <w:p w14:paraId="325396AA">
      <w:pPr>
        <w:spacing w:line="360" w:lineRule="auto"/>
        <w:ind w:firstLine="4830" w:firstLineChars="2300"/>
        <w:rPr>
          <w:rFonts w:hint="eastAsia" w:ascii="宋体" w:hAnsi="宋体" w:cs="宋体"/>
          <w:szCs w:val="21"/>
          <w:highlight w:val="none"/>
        </w:rPr>
      </w:pPr>
      <w:r>
        <w:rPr>
          <w:rFonts w:hint="eastAsia" w:ascii="宋体" w:hAnsi="宋体" w:cs="宋体"/>
          <w:szCs w:val="21"/>
          <w:highlight w:val="none"/>
        </w:rPr>
        <w:t>日期：</w:t>
      </w:r>
    </w:p>
    <w:p w14:paraId="4BC7BBB8">
      <w:pPr>
        <w:spacing w:line="360" w:lineRule="auto"/>
        <w:ind w:firstLine="420" w:firstLineChars="200"/>
        <w:contextualSpacing/>
        <w:rPr>
          <w:rFonts w:hint="eastAsia" w:ascii="宋体" w:hAnsi="宋体" w:cs="宋体"/>
          <w:bCs/>
          <w:szCs w:val="21"/>
          <w:highlight w:val="none"/>
        </w:rPr>
      </w:pPr>
    </w:p>
    <w:p w14:paraId="48795204">
      <w:pPr>
        <w:spacing w:line="360" w:lineRule="auto"/>
        <w:ind w:firstLine="420" w:firstLineChars="200"/>
        <w:rPr>
          <w:rFonts w:hint="eastAsia" w:ascii="宋体" w:hAnsi="宋体" w:cs="宋体"/>
          <w:bCs/>
          <w:szCs w:val="21"/>
          <w:highlight w:val="none"/>
        </w:rPr>
        <w:sectPr>
          <w:pgSz w:w="11906" w:h="16838"/>
          <w:pgMar w:top="1440" w:right="1800" w:bottom="1440" w:left="1800" w:header="851" w:footer="992" w:gutter="0"/>
          <w:pgBorders>
            <w:top w:val="none" w:sz="0" w:space="0"/>
            <w:left w:val="none" w:sz="0" w:space="0"/>
            <w:bottom w:val="none" w:sz="0" w:space="0"/>
            <w:right w:val="none" w:sz="0" w:space="0"/>
          </w:pgBorders>
          <w:cols w:space="720" w:num="1"/>
          <w:docGrid w:type="lines" w:linePitch="312" w:charSpace="0"/>
        </w:sectPr>
      </w:pPr>
    </w:p>
    <w:p w14:paraId="714C4AED">
      <w:pPr>
        <w:pStyle w:val="36"/>
        <w:spacing w:line="360" w:lineRule="auto"/>
        <w:ind w:left="0" w:firstLine="0"/>
        <w:jc w:val="center"/>
        <w:rPr>
          <w:rFonts w:hint="eastAsia" w:ascii="宋体" w:hAnsi="宋体" w:cs="宋体"/>
          <w:sz w:val="21"/>
          <w:szCs w:val="21"/>
          <w:highlight w:val="none"/>
        </w:rPr>
      </w:pPr>
      <w:bookmarkStart w:id="122" w:name="_Toc20755"/>
      <w:bookmarkStart w:id="123" w:name="_Toc15683"/>
      <w:r>
        <w:rPr>
          <w:rFonts w:hint="eastAsia" w:ascii="宋体" w:hAnsi="宋体" w:cs="宋体"/>
          <w:sz w:val="21"/>
          <w:szCs w:val="21"/>
          <w:highlight w:val="none"/>
        </w:rPr>
        <w:t>10.商务条款响应及偏离表</w:t>
      </w:r>
      <w:bookmarkEnd w:id="122"/>
      <w:bookmarkEnd w:id="123"/>
    </w:p>
    <w:tbl>
      <w:tblPr>
        <w:tblStyle w:val="19"/>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94"/>
        <w:gridCol w:w="2008"/>
        <w:gridCol w:w="2127"/>
        <w:gridCol w:w="1659"/>
        <w:gridCol w:w="1884"/>
      </w:tblGrid>
      <w:tr w14:paraId="4ACC708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3" w:hRule="atLeast"/>
          <w:jc w:val="center"/>
        </w:trPr>
        <w:tc>
          <w:tcPr>
            <w:tcW w:w="794" w:type="dxa"/>
            <w:tcBorders>
              <w:top w:val="single" w:color="auto" w:sz="4" w:space="0"/>
              <w:left w:val="single" w:color="auto" w:sz="4" w:space="0"/>
              <w:bottom w:val="single" w:color="auto" w:sz="4" w:space="0"/>
              <w:right w:val="single" w:color="auto" w:sz="4" w:space="0"/>
            </w:tcBorders>
            <w:vAlign w:val="center"/>
          </w:tcPr>
          <w:p w14:paraId="16E36062">
            <w:pPr>
              <w:snapToGrid w:val="0"/>
              <w:spacing w:before="156" w:beforeLines="50" w:line="360" w:lineRule="auto"/>
              <w:jc w:val="center"/>
              <w:rPr>
                <w:szCs w:val="21"/>
                <w:highlight w:val="none"/>
              </w:rPr>
            </w:pPr>
            <w:r>
              <w:rPr>
                <w:szCs w:val="21"/>
                <w:highlight w:val="none"/>
              </w:rPr>
              <w:t>序号</w:t>
            </w:r>
          </w:p>
        </w:tc>
        <w:tc>
          <w:tcPr>
            <w:tcW w:w="2008" w:type="dxa"/>
            <w:tcBorders>
              <w:top w:val="single" w:color="auto" w:sz="4" w:space="0"/>
              <w:left w:val="single" w:color="auto" w:sz="4" w:space="0"/>
              <w:bottom w:val="single" w:color="auto" w:sz="4" w:space="0"/>
              <w:right w:val="single" w:color="auto" w:sz="4" w:space="0"/>
            </w:tcBorders>
            <w:vAlign w:val="center"/>
          </w:tcPr>
          <w:p w14:paraId="2BF553DD">
            <w:pPr>
              <w:snapToGrid w:val="0"/>
              <w:spacing w:before="156" w:beforeLines="50" w:line="360" w:lineRule="auto"/>
              <w:jc w:val="center"/>
              <w:rPr>
                <w:szCs w:val="21"/>
                <w:highlight w:val="none"/>
              </w:rPr>
            </w:pPr>
            <w:r>
              <w:rPr>
                <w:szCs w:val="21"/>
                <w:highlight w:val="none"/>
              </w:rPr>
              <w:t>项目</w:t>
            </w:r>
          </w:p>
        </w:tc>
        <w:tc>
          <w:tcPr>
            <w:tcW w:w="2127" w:type="dxa"/>
            <w:tcBorders>
              <w:top w:val="single" w:color="auto" w:sz="4" w:space="0"/>
              <w:left w:val="single" w:color="auto" w:sz="4" w:space="0"/>
              <w:bottom w:val="single" w:color="auto" w:sz="4" w:space="0"/>
              <w:right w:val="single" w:color="auto" w:sz="4" w:space="0"/>
            </w:tcBorders>
            <w:vAlign w:val="center"/>
          </w:tcPr>
          <w:p w14:paraId="7D9F0AF7">
            <w:pPr>
              <w:snapToGrid w:val="0"/>
              <w:spacing w:before="156" w:beforeLines="50" w:line="360" w:lineRule="auto"/>
              <w:jc w:val="center"/>
              <w:rPr>
                <w:szCs w:val="21"/>
                <w:highlight w:val="none"/>
              </w:rPr>
            </w:pPr>
            <w:r>
              <w:rPr>
                <w:rFonts w:hint="eastAsia"/>
                <w:szCs w:val="21"/>
                <w:highlight w:val="none"/>
              </w:rPr>
              <w:t>磋商文件</w:t>
            </w:r>
            <w:r>
              <w:rPr>
                <w:szCs w:val="21"/>
                <w:highlight w:val="none"/>
              </w:rPr>
              <w:t>要求</w:t>
            </w:r>
          </w:p>
        </w:tc>
        <w:tc>
          <w:tcPr>
            <w:tcW w:w="1659" w:type="dxa"/>
            <w:tcBorders>
              <w:top w:val="single" w:color="auto" w:sz="4" w:space="0"/>
              <w:left w:val="single" w:color="auto" w:sz="4" w:space="0"/>
              <w:bottom w:val="single" w:color="auto" w:sz="4" w:space="0"/>
              <w:right w:val="single" w:color="auto" w:sz="4" w:space="0"/>
            </w:tcBorders>
            <w:vAlign w:val="center"/>
          </w:tcPr>
          <w:p w14:paraId="5974A316">
            <w:pPr>
              <w:spacing w:line="360" w:lineRule="auto"/>
              <w:jc w:val="center"/>
              <w:rPr>
                <w:szCs w:val="21"/>
                <w:highlight w:val="none"/>
              </w:rPr>
            </w:pPr>
            <w:r>
              <w:rPr>
                <w:rFonts w:hint="eastAsia" w:ascii="宋体" w:hAnsi="宋体" w:cs="宋体"/>
                <w:szCs w:val="21"/>
                <w:highlight w:val="none"/>
              </w:rPr>
              <w:t>响应文件响应情况</w:t>
            </w:r>
          </w:p>
        </w:tc>
        <w:tc>
          <w:tcPr>
            <w:tcW w:w="1884" w:type="dxa"/>
            <w:tcBorders>
              <w:top w:val="single" w:color="auto" w:sz="4" w:space="0"/>
              <w:left w:val="single" w:color="auto" w:sz="4" w:space="0"/>
              <w:bottom w:val="single" w:color="auto" w:sz="4" w:space="0"/>
              <w:right w:val="single" w:color="auto" w:sz="4" w:space="0"/>
            </w:tcBorders>
            <w:vAlign w:val="center"/>
          </w:tcPr>
          <w:p w14:paraId="6AA1587C">
            <w:pPr>
              <w:spacing w:line="360" w:lineRule="auto"/>
              <w:jc w:val="center"/>
              <w:rPr>
                <w:szCs w:val="21"/>
                <w:highlight w:val="none"/>
              </w:rPr>
            </w:pPr>
            <w:r>
              <w:rPr>
                <w:rFonts w:hint="eastAsia" w:ascii="宋体" w:hAnsi="宋体" w:cs="宋体"/>
                <w:szCs w:val="21"/>
                <w:highlight w:val="none"/>
              </w:rPr>
              <w:t>偏离说明</w:t>
            </w:r>
          </w:p>
        </w:tc>
      </w:tr>
      <w:tr w14:paraId="6AC5585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7" w:hRule="atLeast"/>
          <w:jc w:val="center"/>
        </w:trPr>
        <w:tc>
          <w:tcPr>
            <w:tcW w:w="794" w:type="dxa"/>
            <w:tcBorders>
              <w:top w:val="single" w:color="auto" w:sz="4" w:space="0"/>
              <w:left w:val="single" w:color="auto" w:sz="4" w:space="0"/>
              <w:bottom w:val="single" w:color="auto" w:sz="4" w:space="0"/>
              <w:right w:val="single" w:color="auto" w:sz="4" w:space="0"/>
            </w:tcBorders>
            <w:vAlign w:val="center"/>
          </w:tcPr>
          <w:p w14:paraId="2006B375">
            <w:pPr>
              <w:snapToGrid w:val="0"/>
              <w:spacing w:before="156" w:beforeLines="50" w:line="360" w:lineRule="auto"/>
              <w:jc w:val="center"/>
              <w:rPr>
                <w:rFonts w:ascii="Times New Roman" w:hAnsi="Times New Roman"/>
                <w:szCs w:val="21"/>
                <w:highlight w:val="none"/>
              </w:rPr>
            </w:pPr>
            <w:r>
              <w:rPr>
                <w:rFonts w:ascii="Times New Roman" w:hAnsi="Times New Roman"/>
                <w:szCs w:val="21"/>
                <w:highlight w:val="none"/>
              </w:rPr>
              <w:t>1</w:t>
            </w:r>
          </w:p>
        </w:tc>
        <w:tc>
          <w:tcPr>
            <w:tcW w:w="2008" w:type="dxa"/>
            <w:tcBorders>
              <w:top w:val="single" w:color="auto" w:sz="4" w:space="0"/>
              <w:left w:val="single" w:color="auto" w:sz="4" w:space="0"/>
              <w:bottom w:val="single" w:color="auto" w:sz="4" w:space="0"/>
              <w:right w:val="single" w:color="auto" w:sz="4" w:space="0"/>
            </w:tcBorders>
            <w:vAlign w:val="center"/>
          </w:tcPr>
          <w:p w14:paraId="3C1F4800">
            <w:pPr>
              <w:snapToGrid w:val="0"/>
              <w:spacing w:before="156" w:beforeLines="50" w:line="360" w:lineRule="auto"/>
              <w:jc w:val="center"/>
              <w:rPr>
                <w:rFonts w:ascii="Times New Roman" w:hAnsi="Times New Roman"/>
                <w:szCs w:val="21"/>
                <w:highlight w:val="none"/>
              </w:rPr>
            </w:pPr>
            <w:r>
              <w:rPr>
                <w:rFonts w:hint="eastAsia" w:ascii="Times New Roman" w:hAnsi="Times New Roman"/>
                <w:szCs w:val="21"/>
                <w:highlight w:val="none"/>
              </w:rPr>
              <w:t>合同履行期限</w:t>
            </w:r>
          </w:p>
        </w:tc>
        <w:tc>
          <w:tcPr>
            <w:tcW w:w="2127" w:type="dxa"/>
            <w:tcBorders>
              <w:top w:val="single" w:color="auto" w:sz="4" w:space="0"/>
              <w:left w:val="single" w:color="auto" w:sz="4" w:space="0"/>
              <w:bottom w:val="single" w:color="auto" w:sz="4" w:space="0"/>
              <w:right w:val="single" w:color="auto" w:sz="4" w:space="0"/>
            </w:tcBorders>
            <w:vAlign w:val="center"/>
          </w:tcPr>
          <w:p w14:paraId="171A0032">
            <w:pPr>
              <w:snapToGrid w:val="0"/>
              <w:spacing w:before="156" w:beforeLines="50" w:line="360" w:lineRule="auto"/>
              <w:rPr>
                <w:szCs w:val="21"/>
                <w:highlight w:val="none"/>
              </w:rPr>
            </w:pPr>
          </w:p>
        </w:tc>
        <w:tc>
          <w:tcPr>
            <w:tcW w:w="1659" w:type="dxa"/>
            <w:tcBorders>
              <w:top w:val="single" w:color="auto" w:sz="4" w:space="0"/>
              <w:left w:val="single" w:color="auto" w:sz="4" w:space="0"/>
              <w:bottom w:val="single" w:color="auto" w:sz="4" w:space="0"/>
              <w:right w:val="single" w:color="auto" w:sz="4" w:space="0"/>
            </w:tcBorders>
            <w:vAlign w:val="center"/>
          </w:tcPr>
          <w:p w14:paraId="5B86299F">
            <w:pPr>
              <w:snapToGrid w:val="0"/>
              <w:spacing w:before="156" w:beforeLines="50" w:line="360" w:lineRule="auto"/>
              <w:rPr>
                <w:szCs w:val="21"/>
                <w:highlight w:val="none"/>
              </w:rPr>
            </w:pPr>
          </w:p>
        </w:tc>
        <w:tc>
          <w:tcPr>
            <w:tcW w:w="1884" w:type="dxa"/>
            <w:tcBorders>
              <w:top w:val="single" w:color="auto" w:sz="4" w:space="0"/>
              <w:left w:val="single" w:color="auto" w:sz="4" w:space="0"/>
              <w:bottom w:val="single" w:color="auto" w:sz="4" w:space="0"/>
              <w:right w:val="single" w:color="auto" w:sz="4" w:space="0"/>
            </w:tcBorders>
            <w:vAlign w:val="center"/>
          </w:tcPr>
          <w:p w14:paraId="44F7A016">
            <w:pPr>
              <w:snapToGrid w:val="0"/>
              <w:spacing w:before="156" w:beforeLines="50" w:line="360" w:lineRule="auto"/>
              <w:rPr>
                <w:szCs w:val="21"/>
                <w:highlight w:val="none"/>
              </w:rPr>
            </w:pPr>
          </w:p>
        </w:tc>
      </w:tr>
      <w:tr w14:paraId="2D23279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2" w:hRule="atLeast"/>
          <w:jc w:val="center"/>
        </w:trPr>
        <w:tc>
          <w:tcPr>
            <w:tcW w:w="794" w:type="dxa"/>
            <w:tcBorders>
              <w:top w:val="single" w:color="auto" w:sz="4" w:space="0"/>
              <w:left w:val="single" w:color="auto" w:sz="4" w:space="0"/>
              <w:bottom w:val="single" w:color="auto" w:sz="4" w:space="0"/>
              <w:right w:val="single" w:color="auto" w:sz="4" w:space="0"/>
            </w:tcBorders>
            <w:vAlign w:val="center"/>
          </w:tcPr>
          <w:p w14:paraId="2FDACE1C">
            <w:pPr>
              <w:snapToGrid w:val="0"/>
              <w:spacing w:before="156" w:beforeLines="50" w:line="360" w:lineRule="auto"/>
              <w:jc w:val="center"/>
              <w:rPr>
                <w:rFonts w:ascii="Times New Roman" w:hAnsi="Times New Roman"/>
                <w:szCs w:val="21"/>
                <w:highlight w:val="none"/>
              </w:rPr>
            </w:pPr>
            <w:r>
              <w:rPr>
                <w:rFonts w:ascii="Times New Roman" w:hAnsi="Times New Roman"/>
                <w:szCs w:val="21"/>
                <w:highlight w:val="none"/>
              </w:rPr>
              <w:t>2</w:t>
            </w:r>
          </w:p>
        </w:tc>
        <w:tc>
          <w:tcPr>
            <w:tcW w:w="2008" w:type="dxa"/>
            <w:tcBorders>
              <w:top w:val="single" w:color="auto" w:sz="4" w:space="0"/>
              <w:left w:val="single" w:color="auto" w:sz="4" w:space="0"/>
              <w:bottom w:val="single" w:color="auto" w:sz="4" w:space="0"/>
              <w:right w:val="single" w:color="auto" w:sz="4" w:space="0"/>
            </w:tcBorders>
            <w:vAlign w:val="center"/>
          </w:tcPr>
          <w:p w14:paraId="7821CD2D">
            <w:pPr>
              <w:snapToGrid w:val="0"/>
              <w:spacing w:before="156" w:beforeLines="50" w:line="360" w:lineRule="auto"/>
              <w:jc w:val="center"/>
              <w:rPr>
                <w:rFonts w:ascii="Times New Roman" w:hAnsi="Times New Roman"/>
                <w:szCs w:val="21"/>
                <w:highlight w:val="none"/>
              </w:rPr>
            </w:pPr>
            <w:r>
              <w:rPr>
                <w:rFonts w:hint="eastAsia" w:ascii="Times New Roman" w:hAnsi="Times New Roman"/>
                <w:szCs w:val="21"/>
                <w:highlight w:val="none"/>
              </w:rPr>
              <w:t>服务地点</w:t>
            </w:r>
          </w:p>
        </w:tc>
        <w:tc>
          <w:tcPr>
            <w:tcW w:w="2127" w:type="dxa"/>
            <w:tcBorders>
              <w:top w:val="single" w:color="auto" w:sz="4" w:space="0"/>
              <w:left w:val="single" w:color="auto" w:sz="4" w:space="0"/>
              <w:bottom w:val="single" w:color="auto" w:sz="4" w:space="0"/>
              <w:right w:val="single" w:color="auto" w:sz="4" w:space="0"/>
            </w:tcBorders>
            <w:vAlign w:val="center"/>
          </w:tcPr>
          <w:p w14:paraId="43C942B7">
            <w:pPr>
              <w:snapToGrid w:val="0"/>
              <w:spacing w:before="156" w:beforeLines="50" w:line="360" w:lineRule="auto"/>
              <w:rPr>
                <w:szCs w:val="21"/>
                <w:highlight w:val="none"/>
              </w:rPr>
            </w:pPr>
          </w:p>
        </w:tc>
        <w:tc>
          <w:tcPr>
            <w:tcW w:w="1659" w:type="dxa"/>
            <w:tcBorders>
              <w:top w:val="single" w:color="auto" w:sz="4" w:space="0"/>
              <w:left w:val="single" w:color="auto" w:sz="4" w:space="0"/>
              <w:bottom w:val="single" w:color="auto" w:sz="4" w:space="0"/>
              <w:right w:val="single" w:color="auto" w:sz="4" w:space="0"/>
            </w:tcBorders>
            <w:vAlign w:val="center"/>
          </w:tcPr>
          <w:p w14:paraId="1B113AA1">
            <w:pPr>
              <w:snapToGrid w:val="0"/>
              <w:spacing w:before="156" w:beforeLines="50" w:line="360" w:lineRule="auto"/>
              <w:rPr>
                <w:szCs w:val="21"/>
                <w:highlight w:val="none"/>
              </w:rPr>
            </w:pPr>
          </w:p>
        </w:tc>
        <w:tc>
          <w:tcPr>
            <w:tcW w:w="1884" w:type="dxa"/>
            <w:tcBorders>
              <w:top w:val="single" w:color="auto" w:sz="4" w:space="0"/>
              <w:left w:val="single" w:color="auto" w:sz="4" w:space="0"/>
              <w:bottom w:val="single" w:color="auto" w:sz="4" w:space="0"/>
              <w:right w:val="single" w:color="auto" w:sz="4" w:space="0"/>
            </w:tcBorders>
            <w:vAlign w:val="center"/>
          </w:tcPr>
          <w:p w14:paraId="7F02E549">
            <w:pPr>
              <w:snapToGrid w:val="0"/>
              <w:spacing w:before="156" w:beforeLines="50" w:line="360" w:lineRule="auto"/>
              <w:rPr>
                <w:szCs w:val="21"/>
                <w:highlight w:val="none"/>
              </w:rPr>
            </w:pPr>
          </w:p>
        </w:tc>
      </w:tr>
      <w:tr w14:paraId="597D724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41" w:hRule="atLeast"/>
          <w:jc w:val="center"/>
        </w:trPr>
        <w:tc>
          <w:tcPr>
            <w:tcW w:w="794" w:type="dxa"/>
            <w:tcBorders>
              <w:top w:val="single" w:color="auto" w:sz="4" w:space="0"/>
              <w:left w:val="single" w:color="auto" w:sz="4" w:space="0"/>
              <w:bottom w:val="single" w:color="auto" w:sz="4" w:space="0"/>
              <w:right w:val="single" w:color="auto" w:sz="4" w:space="0"/>
            </w:tcBorders>
            <w:vAlign w:val="center"/>
          </w:tcPr>
          <w:p w14:paraId="38B1BDDE">
            <w:pPr>
              <w:snapToGrid w:val="0"/>
              <w:spacing w:before="156" w:beforeLines="50" w:line="360" w:lineRule="auto"/>
              <w:jc w:val="center"/>
              <w:rPr>
                <w:rFonts w:ascii="Times New Roman" w:hAnsi="Times New Roman"/>
                <w:szCs w:val="21"/>
                <w:highlight w:val="none"/>
              </w:rPr>
            </w:pPr>
            <w:r>
              <w:rPr>
                <w:rFonts w:ascii="Times New Roman" w:hAnsi="Times New Roman"/>
                <w:szCs w:val="21"/>
                <w:highlight w:val="none"/>
              </w:rPr>
              <w:t>3</w:t>
            </w:r>
          </w:p>
        </w:tc>
        <w:tc>
          <w:tcPr>
            <w:tcW w:w="2008" w:type="dxa"/>
            <w:tcBorders>
              <w:top w:val="single" w:color="auto" w:sz="4" w:space="0"/>
              <w:left w:val="single" w:color="auto" w:sz="4" w:space="0"/>
              <w:bottom w:val="single" w:color="auto" w:sz="4" w:space="0"/>
              <w:right w:val="single" w:color="auto" w:sz="4" w:space="0"/>
            </w:tcBorders>
            <w:vAlign w:val="center"/>
          </w:tcPr>
          <w:p w14:paraId="15CDBF79">
            <w:pPr>
              <w:snapToGrid w:val="0"/>
              <w:spacing w:before="156" w:beforeLines="50" w:line="360" w:lineRule="auto"/>
              <w:jc w:val="center"/>
              <w:rPr>
                <w:rFonts w:ascii="Times New Roman" w:hAnsi="Times New Roman"/>
                <w:szCs w:val="21"/>
                <w:highlight w:val="none"/>
              </w:rPr>
            </w:pPr>
            <w:r>
              <w:rPr>
                <w:rFonts w:hint="eastAsia" w:ascii="Times New Roman" w:hAnsi="Times New Roman"/>
                <w:szCs w:val="21"/>
                <w:highlight w:val="none"/>
              </w:rPr>
              <w:t>付款方式</w:t>
            </w:r>
          </w:p>
        </w:tc>
        <w:tc>
          <w:tcPr>
            <w:tcW w:w="2127" w:type="dxa"/>
            <w:tcBorders>
              <w:top w:val="single" w:color="auto" w:sz="4" w:space="0"/>
              <w:left w:val="single" w:color="auto" w:sz="4" w:space="0"/>
              <w:bottom w:val="single" w:color="auto" w:sz="4" w:space="0"/>
              <w:right w:val="single" w:color="auto" w:sz="4" w:space="0"/>
            </w:tcBorders>
            <w:vAlign w:val="center"/>
          </w:tcPr>
          <w:p w14:paraId="113745EC">
            <w:pPr>
              <w:snapToGrid w:val="0"/>
              <w:spacing w:before="156" w:beforeLines="50" w:line="360" w:lineRule="auto"/>
              <w:rPr>
                <w:szCs w:val="21"/>
                <w:highlight w:val="none"/>
              </w:rPr>
            </w:pPr>
          </w:p>
        </w:tc>
        <w:tc>
          <w:tcPr>
            <w:tcW w:w="1659" w:type="dxa"/>
            <w:tcBorders>
              <w:top w:val="single" w:color="auto" w:sz="4" w:space="0"/>
              <w:left w:val="single" w:color="auto" w:sz="4" w:space="0"/>
              <w:bottom w:val="single" w:color="auto" w:sz="4" w:space="0"/>
              <w:right w:val="single" w:color="auto" w:sz="4" w:space="0"/>
            </w:tcBorders>
            <w:vAlign w:val="center"/>
          </w:tcPr>
          <w:p w14:paraId="108234B8">
            <w:pPr>
              <w:snapToGrid w:val="0"/>
              <w:spacing w:before="156" w:beforeLines="50" w:line="360" w:lineRule="auto"/>
              <w:rPr>
                <w:szCs w:val="21"/>
                <w:highlight w:val="none"/>
              </w:rPr>
            </w:pPr>
          </w:p>
        </w:tc>
        <w:tc>
          <w:tcPr>
            <w:tcW w:w="1884" w:type="dxa"/>
            <w:tcBorders>
              <w:top w:val="single" w:color="auto" w:sz="4" w:space="0"/>
              <w:left w:val="single" w:color="auto" w:sz="4" w:space="0"/>
              <w:bottom w:val="single" w:color="auto" w:sz="4" w:space="0"/>
              <w:right w:val="single" w:color="auto" w:sz="4" w:space="0"/>
            </w:tcBorders>
            <w:vAlign w:val="center"/>
          </w:tcPr>
          <w:p w14:paraId="6E2D4358">
            <w:pPr>
              <w:snapToGrid w:val="0"/>
              <w:spacing w:before="156" w:beforeLines="50" w:line="360" w:lineRule="auto"/>
              <w:rPr>
                <w:szCs w:val="21"/>
                <w:highlight w:val="none"/>
              </w:rPr>
            </w:pPr>
          </w:p>
        </w:tc>
      </w:tr>
      <w:tr w14:paraId="0D27907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1" w:hRule="atLeast"/>
          <w:jc w:val="center"/>
        </w:trPr>
        <w:tc>
          <w:tcPr>
            <w:tcW w:w="794" w:type="dxa"/>
            <w:tcBorders>
              <w:top w:val="single" w:color="auto" w:sz="4" w:space="0"/>
              <w:left w:val="single" w:color="auto" w:sz="4" w:space="0"/>
              <w:bottom w:val="single" w:color="auto" w:sz="4" w:space="0"/>
              <w:right w:val="single" w:color="auto" w:sz="4" w:space="0"/>
            </w:tcBorders>
            <w:vAlign w:val="center"/>
          </w:tcPr>
          <w:p w14:paraId="3C9578BD">
            <w:pPr>
              <w:snapToGrid w:val="0"/>
              <w:spacing w:before="156" w:beforeLines="50" w:line="360" w:lineRule="auto"/>
              <w:jc w:val="center"/>
              <w:rPr>
                <w:rFonts w:ascii="Times New Roman" w:hAnsi="Times New Roman"/>
                <w:szCs w:val="21"/>
                <w:highlight w:val="none"/>
              </w:rPr>
            </w:pPr>
            <w:r>
              <w:rPr>
                <w:rFonts w:ascii="Times New Roman" w:hAnsi="Times New Roman"/>
                <w:szCs w:val="21"/>
                <w:highlight w:val="none"/>
              </w:rPr>
              <w:t>4</w:t>
            </w:r>
          </w:p>
        </w:tc>
        <w:tc>
          <w:tcPr>
            <w:tcW w:w="2008" w:type="dxa"/>
            <w:tcBorders>
              <w:top w:val="single" w:color="auto" w:sz="4" w:space="0"/>
              <w:left w:val="single" w:color="auto" w:sz="4" w:space="0"/>
              <w:bottom w:val="single" w:color="auto" w:sz="4" w:space="0"/>
              <w:right w:val="single" w:color="auto" w:sz="4" w:space="0"/>
            </w:tcBorders>
            <w:vAlign w:val="center"/>
          </w:tcPr>
          <w:p w14:paraId="4D45C2ED">
            <w:pPr>
              <w:snapToGrid w:val="0"/>
              <w:spacing w:before="156" w:beforeLines="50" w:line="360" w:lineRule="auto"/>
              <w:jc w:val="center"/>
              <w:rPr>
                <w:rFonts w:ascii="Times New Roman" w:hAnsi="Times New Roman"/>
                <w:szCs w:val="21"/>
                <w:highlight w:val="none"/>
              </w:rPr>
            </w:pPr>
            <w:r>
              <w:rPr>
                <w:rFonts w:ascii="Times New Roman" w:hAnsi="Times New Roman"/>
                <w:szCs w:val="21"/>
                <w:highlight w:val="none"/>
              </w:rPr>
              <w:t>投标货币</w:t>
            </w:r>
          </w:p>
        </w:tc>
        <w:tc>
          <w:tcPr>
            <w:tcW w:w="2127" w:type="dxa"/>
            <w:tcBorders>
              <w:top w:val="single" w:color="auto" w:sz="4" w:space="0"/>
              <w:left w:val="single" w:color="auto" w:sz="4" w:space="0"/>
              <w:bottom w:val="single" w:color="auto" w:sz="4" w:space="0"/>
              <w:right w:val="single" w:color="auto" w:sz="4" w:space="0"/>
            </w:tcBorders>
            <w:vAlign w:val="center"/>
          </w:tcPr>
          <w:p w14:paraId="0853D6E4">
            <w:pPr>
              <w:snapToGrid w:val="0"/>
              <w:spacing w:before="156" w:beforeLines="50" w:line="360" w:lineRule="auto"/>
              <w:rPr>
                <w:szCs w:val="21"/>
                <w:highlight w:val="none"/>
              </w:rPr>
            </w:pPr>
          </w:p>
        </w:tc>
        <w:tc>
          <w:tcPr>
            <w:tcW w:w="1659" w:type="dxa"/>
            <w:tcBorders>
              <w:top w:val="single" w:color="auto" w:sz="4" w:space="0"/>
              <w:left w:val="single" w:color="auto" w:sz="4" w:space="0"/>
              <w:bottom w:val="single" w:color="auto" w:sz="4" w:space="0"/>
              <w:right w:val="single" w:color="auto" w:sz="4" w:space="0"/>
            </w:tcBorders>
            <w:vAlign w:val="center"/>
          </w:tcPr>
          <w:p w14:paraId="1367A5AC">
            <w:pPr>
              <w:snapToGrid w:val="0"/>
              <w:spacing w:before="156" w:beforeLines="50" w:line="360" w:lineRule="auto"/>
              <w:rPr>
                <w:szCs w:val="21"/>
                <w:highlight w:val="none"/>
              </w:rPr>
            </w:pPr>
          </w:p>
        </w:tc>
        <w:tc>
          <w:tcPr>
            <w:tcW w:w="1884" w:type="dxa"/>
            <w:tcBorders>
              <w:top w:val="single" w:color="auto" w:sz="4" w:space="0"/>
              <w:left w:val="single" w:color="auto" w:sz="4" w:space="0"/>
              <w:bottom w:val="single" w:color="auto" w:sz="4" w:space="0"/>
              <w:right w:val="single" w:color="auto" w:sz="4" w:space="0"/>
            </w:tcBorders>
            <w:vAlign w:val="center"/>
          </w:tcPr>
          <w:p w14:paraId="0A4B7DD8">
            <w:pPr>
              <w:snapToGrid w:val="0"/>
              <w:spacing w:before="156" w:beforeLines="50" w:line="360" w:lineRule="auto"/>
              <w:rPr>
                <w:szCs w:val="21"/>
                <w:highlight w:val="none"/>
              </w:rPr>
            </w:pPr>
          </w:p>
        </w:tc>
      </w:tr>
      <w:tr w14:paraId="3C90163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1" w:hRule="atLeast"/>
          <w:jc w:val="center"/>
        </w:trPr>
        <w:tc>
          <w:tcPr>
            <w:tcW w:w="794" w:type="dxa"/>
            <w:tcBorders>
              <w:top w:val="single" w:color="auto" w:sz="4" w:space="0"/>
              <w:left w:val="single" w:color="auto" w:sz="4" w:space="0"/>
              <w:bottom w:val="single" w:color="auto" w:sz="4" w:space="0"/>
              <w:right w:val="single" w:color="auto" w:sz="4" w:space="0"/>
            </w:tcBorders>
            <w:vAlign w:val="center"/>
          </w:tcPr>
          <w:p w14:paraId="41DD6278">
            <w:pPr>
              <w:snapToGrid w:val="0"/>
              <w:spacing w:before="156" w:beforeLines="50" w:line="360" w:lineRule="auto"/>
              <w:jc w:val="center"/>
              <w:rPr>
                <w:szCs w:val="21"/>
                <w:highlight w:val="none"/>
              </w:rPr>
            </w:pPr>
          </w:p>
        </w:tc>
        <w:tc>
          <w:tcPr>
            <w:tcW w:w="2008" w:type="dxa"/>
            <w:tcBorders>
              <w:top w:val="single" w:color="auto" w:sz="4" w:space="0"/>
              <w:left w:val="single" w:color="auto" w:sz="4" w:space="0"/>
              <w:bottom w:val="single" w:color="auto" w:sz="4" w:space="0"/>
              <w:right w:val="single" w:color="auto" w:sz="4" w:space="0"/>
            </w:tcBorders>
            <w:vAlign w:val="center"/>
          </w:tcPr>
          <w:p w14:paraId="65177580">
            <w:pPr>
              <w:snapToGrid w:val="0"/>
              <w:spacing w:before="156" w:beforeLines="50" w:line="360" w:lineRule="auto"/>
              <w:rPr>
                <w:szCs w:val="21"/>
                <w:highlight w:val="none"/>
              </w:rPr>
            </w:pPr>
          </w:p>
        </w:tc>
        <w:tc>
          <w:tcPr>
            <w:tcW w:w="2127" w:type="dxa"/>
            <w:tcBorders>
              <w:top w:val="single" w:color="auto" w:sz="4" w:space="0"/>
              <w:left w:val="single" w:color="auto" w:sz="4" w:space="0"/>
              <w:bottom w:val="single" w:color="auto" w:sz="4" w:space="0"/>
              <w:right w:val="single" w:color="auto" w:sz="4" w:space="0"/>
            </w:tcBorders>
            <w:vAlign w:val="center"/>
          </w:tcPr>
          <w:p w14:paraId="50039C85">
            <w:pPr>
              <w:snapToGrid w:val="0"/>
              <w:spacing w:before="156" w:beforeLines="50" w:line="360" w:lineRule="auto"/>
              <w:rPr>
                <w:szCs w:val="21"/>
                <w:highlight w:val="none"/>
              </w:rPr>
            </w:pPr>
          </w:p>
        </w:tc>
        <w:tc>
          <w:tcPr>
            <w:tcW w:w="1659" w:type="dxa"/>
            <w:tcBorders>
              <w:top w:val="single" w:color="auto" w:sz="4" w:space="0"/>
              <w:left w:val="single" w:color="auto" w:sz="4" w:space="0"/>
              <w:bottom w:val="single" w:color="auto" w:sz="4" w:space="0"/>
              <w:right w:val="single" w:color="auto" w:sz="4" w:space="0"/>
            </w:tcBorders>
            <w:vAlign w:val="center"/>
          </w:tcPr>
          <w:p w14:paraId="35987F2C">
            <w:pPr>
              <w:snapToGrid w:val="0"/>
              <w:spacing w:before="156" w:beforeLines="50" w:line="360" w:lineRule="auto"/>
              <w:rPr>
                <w:szCs w:val="21"/>
                <w:highlight w:val="none"/>
              </w:rPr>
            </w:pPr>
          </w:p>
        </w:tc>
        <w:tc>
          <w:tcPr>
            <w:tcW w:w="1884" w:type="dxa"/>
            <w:tcBorders>
              <w:top w:val="single" w:color="auto" w:sz="4" w:space="0"/>
              <w:left w:val="single" w:color="auto" w:sz="4" w:space="0"/>
              <w:bottom w:val="single" w:color="auto" w:sz="4" w:space="0"/>
              <w:right w:val="single" w:color="auto" w:sz="4" w:space="0"/>
            </w:tcBorders>
            <w:vAlign w:val="center"/>
          </w:tcPr>
          <w:p w14:paraId="36538131">
            <w:pPr>
              <w:snapToGrid w:val="0"/>
              <w:spacing w:before="156" w:beforeLines="50" w:line="360" w:lineRule="auto"/>
              <w:rPr>
                <w:szCs w:val="21"/>
                <w:highlight w:val="none"/>
              </w:rPr>
            </w:pPr>
          </w:p>
        </w:tc>
      </w:tr>
      <w:tr w14:paraId="02C6264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76" w:hRule="atLeast"/>
          <w:jc w:val="center"/>
        </w:trPr>
        <w:tc>
          <w:tcPr>
            <w:tcW w:w="794" w:type="dxa"/>
            <w:tcBorders>
              <w:top w:val="single" w:color="auto" w:sz="4" w:space="0"/>
              <w:left w:val="single" w:color="auto" w:sz="4" w:space="0"/>
              <w:bottom w:val="single" w:color="auto" w:sz="4" w:space="0"/>
              <w:right w:val="single" w:color="auto" w:sz="4" w:space="0"/>
            </w:tcBorders>
            <w:vAlign w:val="center"/>
          </w:tcPr>
          <w:p w14:paraId="7EB0CE2F">
            <w:pPr>
              <w:snapToGrid w:val="0"/>
              <w:spacing w:before="156" w:beforeLines="50" w:line="360" w:lineRule="auto"/>
              <w:jc w:val="center"/>
              <w:rPr>
                <w:szCs w:val="21"/>
                <w:highlight w:val="none"/>
              </w:rPr>
            </w:pPr>
          </w:p>
        </w:tc>
        <w:tc>
          <w:tcPr>
            <w:tcW w:w="2008" w:type="dxa"/>
            <w:tcBorders>
              <w:top w:val="single" w:color="auto" w:sz="4" w:space="0"/>
              <w:left w:val="single" w:color="auto" w:sz="4" w:space="0"/>
              <w:bottom w:val="single" w:color="auto" w:sz="4" w:space="0"/>
              <w:right w:val="single" w:color="auto" w:sz="4" w:space="0"/>
            </w:tcBorders>
            <w:vAlign w:val="center"/>
          </w:tcPr>
          <w:p w14:paraId="5FE2E698">
            <w:pPr>
              <w:snapToGrid w:val="0"/>
              <w:spacing w:before="156" w:beforeLines="50" w:line="360" w:lineRule="auto"/>
              <w:rPr>
                <w:szCs w:val="21"/>
                <w:highlight w:val="none"/>
              </w:rPr>
            </w:pPr>
          </w:p>
        </w:tc>
        <w:tc>
          <w:tcPr>
            <w:tcW w:w="2127" w:type="dxa"/>
            <w:tcBorders>
              <w:top w:val="single" w:color="auto" w:sz="4" w:space="0"/>
              <w:left w:val="single" w:color="auto" w:sz="4" w:space="0"/>
              <w:bottom w:val="single" w:color="auto" w:sz="4" w:space="0"/>
              <w:right w:val="single" w:color="auto" w:sz="4" w:space="0"/>
            </w:tcBorders>
            <w:vAlign w:val="center"/>
          </w:tcPr>
          <w:p w14:paraId="1EB5496F">
            <w:pPr>
              <w:snapToGrid w:val="0"/>
              <w:spacing w:before="156" w:beforeLines="50" w:line="360" w:lineRule="auto"/>
              <w:rPr>
                <w:szCs w:val="21"/>
                <w:highlight w:val="none"/>
              </w:rPr>
            </w:pPr>
          </w:p>
        </w:tc>
        <w:tc>
          <w:tcPr>
            <w:tcW w:w="1659" w:type="dxa"/>
            <w:tcBorders>
              <w:top w:val="single" w:color="auto" w:sz="4" w:space="0"/>
              <w:left w:val="single" w:color="auto" w:sz="4" w:space="0"/>
              <w:bottom w:val="single" w:color="auto" w:sz="4" w:space="0"/>
              <w:right w:val="single" w:color="auto" w:sz="4" w:space="0"/>
            </w:tcBorders>
            <w:vAlign w:val="center"/>
          </w:tcPr>
          <w:p w14:paraId="2BCEF69A">
            <w:pPr>
              <w:snapToGrid w:val="0"/>
              <w:spacing w:before="156" w:beforeLines="50" w:line="360" w:lineRule="auto"/>
              <w:rPr>
                <w:szCs w:val="21"/>
                <w:highlight w:val="none"/>
              </w:rPr>
            </w:pPr>
          </w:p>
        </w:tc>
        <w:tc>
          <w:tcPr>
            <w:tcW w:w="1884" w:type="dxa"/>
            <w:tcBorders>
              <w:top w:val="single" w:color="auto" w:sz="4" w:space="0"/>
              <w:left w:val="single" w:color="auto" w:sz="4" w:space="0"/>
              <w:bottom w:val="single" w:color="auto" w:sz="4" w:space="0"/>
              <w:right w:val="single" w:color="auto" w:sz="4" w:space="0"/>
            </w:tcBorders>
            <w:vAlign w:val="center"/>
          </w:tcPr>
          <w:p w14:paraId="3DD72C2A">
            <w:pPr>
              <w:snapToGrid w:val="0"/>
              <w:spacing w:before="156" w:beforeLines="50" w:line="360" w:lineRule="auto"/>
              <w:rPr>
                <w:szCs w:val="21"/>
                <w:highlight w:val="none"/>
              </w:rPr>
            </w:pPr>
          </w:p>
        </w:tc>
      </w:tr>
      <w:tr w14:paraId="6888CFE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1" w:hRule="atLeast"/>
          <w:jc w:val="center"/>
        </w:trPr>
        <w:tc>
          <w:tcPr>
            <w:tcW w:w="794" w:type="dxa"/>
            <w:tcBorders>
              <w:top w:val="single" w:color="auto" w:sz="4" w:space="0"/>
              <w:left w:val="single" w:color="auto" w:sz="4" w:space="0"/>
              <w:bottom w:val="single" w:color="auto" w:sz="4" w:space="0"/>
              <w:right w:val="single" w:color="auto" w:sz="4" w:space="0"/>
            </w:tcBorders>
            <w:vAlign w:val="center"/>
          </w:tcPr>
          <w:p w14:paraId="06B6E4D6">
            <w:pPr>
              <w:snapToGrid w:val="0"/>
              <w:spacing w:before="156" w:beforeLines="50" w:line="360" w:lineRule="auto"/>
              <w:jc w:val="center"/>
              <w:rPr>
                <w:szCs w:val="21"/>
                <w:highlight w:val="none"/>
              </w:rPr>
            </w:pPr>
          </w:p>
        </w:tc>
        <w:tc>
          <w:tcPr>
            <w:tcW w:w="2008" w:type="dxa"/>
            <w:tcBorders>
              <w:top w:val="single" w:color="auto" w:sz="4" w:space="0"/>
              <w:left w:val="single" w:color="auto" w:sz="4" w:space="0"/>
              <w:bottom w:val="single" w:color="auto" w:sz="4" w:space="0"/>
              <w:right w:val="single" w:color="auto" w:sz="4" w:space="0"/>
            </w:tcBorders>
            <w:vAlign w:val="center"/>
          </w:tcPr>
          <w:p w14:paraId="317588F6">
            <w:pPr>
              <w:snapToGrid w:val="0"/>
              <w:spacing w:before="156" w:beforeLines="50" w:line="360" w:lineRule="auto"/>
              <w:rPr>
                <w:szCs w:val="21"/>
                <w:highlight w:val="none"/>
              </w:rPr>
            </w:pPr>
          </w:p>
        </w:tc>
        <w:tc>
          <w:tcPr>
            <w:tcW w:w="2127" w:type="dxa"/>
            <w:tcBorders>
              <w:top w:val="single" w:color="auto" w:sz="4" w:space="0"/>
              <w:left w:val="single" w:color="auto" w:sz="4" w:space="0"/>
              <w:bottom w:val="single" w:color="auto" w:sz="4" w:space="0"/>
              <w:right w:val="single" w:color="auto" w:sz="4" w:space="0"/>
            </w:tcBorders>
            <w:vAlign w:val="center"/>
          </w:tcPr>
          <w:p w14:paraId="05141E14">
            <w:pPr>
              <w:snapToGrid w:val="0"/>
              <w:spacing w:before="156" w:beforeLines="50" w:line="360" w:lineRule="auto"/>
              <w:rPr>
                <w:szCs w:val="21"/>
                <w:highlight w:val="none"/>
              </w:rPr>
            </w:pPr>
          </w:p>
        </w:tc>
        <w:tc>
          <w:tcPr>
            <w:tcW w:w="1659" w:type="dxa"/>
            <w:tcBorders>
              <w:top w:val="single" w:color="auto" w:sz="4" w:space="0"/>
              <w:left w:val="single" w:color="auto" w:sz="4" w:space="0"/>
              <w:bottom w:val="single" w:color="auto" w:sz="4" w:space="0"/>
              <w:right w:val="single" w:color="auto" w:sz="4" w:space="0"/>
            </w:tcBorders>
            <w:vAlign w:val="center"/>
          </w:tcPr>
          <w:p w14:paraId="6FD28BE3">
            <w:pPr>
              <w:snapToGrid w:val="0"/>
              <w:spacing w:before="156" w:beforeLines="50" w:line="360" w:lineRule="auto"/>
              <w:rPr>
                <w:szCs w:val="21"/>
                <w:highlight w:val="none"/>
              </w:rPr>
            </w:pPr>
          </w:p>
        </w:tc>
        <w:tc>
          <w:tcPr>
            <w:tcW w:w="1884" w:type="dxa"/>
            <w:tcBorders>
              <w:top w:val="single" w:color="auto" w:sz="4" w:space="0"/>
              <w:left w:val="single" w:color="auto" w:sz="4" w:space="0"/>
              <w:bottom w:val="single" w:color="auto" w:sz="4" w:space="0"/>
              <w:right w:val="single" w:color="auto" w:sz="4" w:space="0"/>
            </w:tcBorders>
            <w:vAlign w:val="center"/>
          </w:tcPr>
          <w:p w14:paraId="7B4D88DF">
            <w:pPr>
              <w:snapToGrid w:val="0"/>
              <w:spacing w:before="156" w:beforeLines="50" w:line="360" w:lineRule="auto"/>
              <w:rPr>
                <w:szCs w:val="21"/>
                <w:highlight w:val="none"/>
              </w:rPr>
            </w:pPr>
          </w:p>
        </w:tc>
      </w:tr>
      <w:tr w14:paraId="3D3494B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1" w:hRule="atLeast"/>
          <w:jc w:val="center"/>
        </w:trPr>
        <w:tc>
          <w:tcPr>
            <w:tcW w:w="794" w:type="dxa"/>
            <w:tcBorders>
              <w:top w:val="single" w:color="auto" w:sz="4" w:space="0"/>
              <w:left w:val="single" w:color="auto" w:sz="4" w:space="0"/>
              <w:bottom w:val="single" w:color="auto" w:sz="4" w:space="0"/>
              <w:right w:val="single" w:color="auto" w:sz="4" w:space="0"/>
            </w:tcBorders>
            <w:vAlign w:val="center"/>
          </w:tcPr>
          <w:p w14:paraId="639D3C6A">
            <w:pPr>
              <w:snapToGrid w:val="0"/>
              <w:spacing w:before="156" w:beforeLines="50" w:line="360" w:lineRule="auto"/>
              <w:jc w:val="center"/>
              <w:rPr>
                <w:szCs w:val="21"/>
                <w:highlight w:val="none"/>
              </w:rPr>
            </w:pPr>
          </w:p>
        </w:tc>
        <w:tc>
          <w:tcPr>
            <w:tcW w:w="2008" w:type="dxa"/>
            <w:tcBorders>
              <w:top w:val="single" w:color="auto" w:sz="4" w:space="0"/>
              <w:left w:val="single" w:color="auto" w:sz="4" w:space="0"/>
              <w:bottom w:val="single" w:color="auto" w:sz="4" w:space="0"/>
              <w:right w:val="single" w:color="auto" w:sz="4" w:space="0"/>
            </w:tcBorders>
            <w:vAlign w:val="center"/>
          </w:tcPr>
          <w:p w14:paraId="2223AABE">
            <w:pPr>
              <w:snapToGrid w:val="0"/>
              <w:spacing w:before="156" w:beforeLines="50" w:line="360" w:lineRule="auto"/>
              <w:rPr>
                <w:szCs w:val="21"/>
                <w:highlight w:val="none"/>
              </w:rPr>
            </w:pPr>
          </w:p>
        </w:tc>
        <w:tc>
          <w:tcPr>
            <w:tcW w:w="2127" w:type="dxa"/>
            <w:tcBorders>
              <w:top w:val="single" w:color="auto" w:sz="4" w:space="0"/>
              <w:left w:val="single" w:color="auto" w:sz="4" w:space="0"/>
              <w:bottom w:val="single" w:color="auto" w:sz="4" w:space="0"/>
              <w:right w:val="single" w:color="auto" w:sz="4" w:space="0"/>
            </w:tcBorders>
            <w:vAlign w:val="center"/>
          </w:tcPr>
          <w:p w14:paraId="4D59F4A5">
            <w:pPr>
              <w:snapToGrid w:val="0"/>
              <w:spacing w:before="156" w:beforeLines="50" w:line="360" w:lineRule="auto"/>
              <w:rPr>
                <w:szCs w:val="21"/>
                <w:highlight w:val="none"/>
              </w:rPr>
            </w:pPr>
          </w:p>
        </w:tc>
        <w:tc>
          <w:tcPr>
            <w:tcW w:w="1659" w:type="dxa"/>
            <w:tcBorders>
              <w:top w:val="single" w:color="auto" w:sz="4" w:space="0"/>
              <w:left w:val="single" w:color="auto" w:sz="4" w:space="0"/>
              <w:bottom w:val="single" w:color="auto" w:sz="4" w:space="0"/>
              <w:right w:val="single" w:color="auto" w:sz="4" w:space="0"/>
            </w:tcBorders>
            <w:vAlign w:val="center"/>
          </w:tcPr>
          <w:p w14:paraId="0F0B2B92">
            <w:pPr>
              <w:snapToGrid w:val="0"/>
              <w:spacing w:before="156" w:beforeLines="50" w:line="360" w:lineRule="auto"/>
              <w:rPr>
                <w:szCs w:val="21"/>
                <w:highlight w:val="none"/>
              </w:rPr>
            </w:pPr>
          </w:p>
        </w:tc>
        <w:tc>
          <w:tcPr>
            <w:tcW w:w="1884" w:type="dxa"/>
            <w:tcBorders>
              <w:top w:val="single" w:color="auto" w:sz="4" w:space="0"/>
              <w:left w:val="single" w:color="auto" w:sz="4" w:space="0"/>
              <w:bottom w:val="single" w:color="auto" w:sz="4" w:space="0"/>
              <w:right w:val="single" w:color="auto" w:sz="4" w:space="0"/>
            </w:tcBorders>
            <w:vAlign w:val="center"/>
          </w:tcPr>
          <w:p w14:paraId="3A933A69">
            <w:pPr>
              <w:snapToGrid w:val="0"/>
              <w:spacing w:before="156" w:beforeLines="50" w:line="360" w:lineRule="auto"/>
              <w:rPr>
                <w:szCs w:val="21"/>
                <w:highlight w:val="none"/>
              </w:rPr>
            </w:pPr>
          </w:p>
        </w:tc>
      </w:tr>
      <w:tr w14:paraId="748B482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1" w:hRule="atLeast"/>
          <w:jc w:val="center"/>
        </w:trPr>
        <w:tc>
          <w:tcPr>
            <w:tcW w:w="794" w:type="dxa"/>
            <w:tcBorders>
              <w:top w:val="single" w:color="auto" w:sz="4" w:space="0"/>
              <w:left w:val="single" w:color="auto" w:sz="4" w:space="0"/>
              <w:bottom w:val="single" w:color="auto" w:sz="4" w:space="0"/>
              <w:right w:val="single" w:color="auto" w:sz="4" w:space="0"/>
            </w:tcBorders>
            <w:vAlign w:val="center"/>
          </w:tcPr>
          <w:p w14:paraId="253A8175">
            <w:pPr>
              <w:snapToGrid w:val="0"/>
              <w:spacing w:before="156" w:beforeLines="50" w:line="360" w:lineRule="auto"/>
              <w:jc w:val="center"/>
              <w:rPr>
                <w:szCs w:val="21"/>
                <w:highlight w:val="none"/>
              </w:rPr>
            </w:pPr>
          </w:p>
        </w:tc>
        <w:tc>
          <w:tcPr>
            <w:tcW w:w="2008" w:type="dxa"/>
            <w:tcBorders>
              <w:top w:val="single" w:color="auto" w:sz="4" w:space="0"/>
              <w:left w:val="single" w:color="auto" w:sz="4" w:space="0"/>
              <w:bottom w:val="single" w:color="auto" w:sz="4" w:space="0"/>
              <w:right w:val="single" w:color="auto" w:sz="4" w:space="0"/>
            </w:tcBorders>
            <w:vAlign w:val="center"/>
          </w:tcPr>
          <w:p w14:paraId="50852FD5">
            <w:pPr>
              <w:snapToGrid w:val="0"/>
              <w:spacing w:before="156" w:beforeLines="50" w:line="360" w:lineRule="auto"/>
              <w:rPr>
                <w:szCs w:val="21"/>
                <w:highlight w:val="none"/>
              </w:rPr>
            </w:pPr>
          </w:p>
        </w:tc>
        <w:tc>
          <w:tcPr>
            <w:tcW w:w="2127" w:type="dxa"/>
            <w:tcBorders>
              <w:top w:val="single" w:color="auto" w:sz="4" w:space="0"/>
              <w:left w:val="single" w:color="auto" w:sz="4" w:space="0"/>
              <w:bottom w:val="single" w:color="auto" w:sz="4" w:space="0"/>
              <w:right w:val="single" w:color="auto" w:sz="4" w:space="0"/>
            </w:tcBorders>
            <w:vAlign w:val="center"/>
          </w:tcPr>
          <w:p w14:paraId="2088DF6A">
            <w:pPr>
              <w:snapToGrid w:val="0"/>
              <w:spacing w:before="156" w:beforeLines="50" w:line="360" w:lineRule="auto"/>
              <w:rPr>
                <w:szCs w:val="21"/>
                <w:highlight w:val="none"/>
              </w:rPr>
            </w:pPr>
          </w:p>
        </w:tc>
        <w:tc>
          <w:tcPr>
            <w:tcW w:w="1659" w:type="dxa"/>
            <w:tcBorders>
              <w:top w:val="single" w:color="auto" w:sz="4" w:space="0"/>
              <w:left w:val="single" w:color="auto" w:sz="4" w:space="0"/>
              <w:bottom w:val="single" w:color="auto" w:sz="4" w:space="0"/>
              <w:right w:val="single" w:color="auto" w:sz="4" w:space="0"/>
            </w:tcBorders>
            <w:vAlign w:val="center"/>
          </w:tcPr>
          <w:p w14:paraId="3DEFA19A">
            <w:pPr>
              <w:snapToGrid w:val="0"/>
              <w:spacing w:before="156" w:beforeLines="50" w:line="360" w:lineRule="auto"/>
              <w:rPr>
                <w:szCs w:val="21"/>
                <w:highlight w:val="none"/>
              </w:rPr>
            </w:pPr>
          </w:p>
        </w:tc>
        <w:tc>
          <w:tcPr>
            <w:tcW w:w="1884" w:type="dxa"/>
            <w:tcBorders>
              <w:top w:val="single" w:color="auto" w:sz="4" w:space="0"/>
              <w:left w:val="single" w:color="auto" w:sz="4" w:space="0"/>
              <w:bottom w:val="single" w:color="auto" w:sz="4" w:space="0"/>
              <w:right w:val="single" w:color="auto" w:sz="4" w:space="0"/>
            </w:tcBorders>
            <w:vAlign w:val="center"/>
          </w:tcPr>
          <w:p w14:paraId="2D175E59">
            <w:pPr>
              <w:snapToGrid w:val="0"/>
              <w:spacing w:before="156" w:beforeLines="50" w:line="360" w:lineRule="auto"/>
              <w:rPr>
                <w:szCs w:val="21"/>
                <w:highlight w:val="none"/>
              </w:rPr>
            </w:pPr>
          </w:p>
        </w:tc>
      </w:tr>
    </w:tbl>
    <w:p w14:paraId="1E5C1FD8">
      <w:pPr>
        <w:pStyle w:val="5"/>
        <w:spacing w:line="360" w:lineRule="auto"/>
        <w:ind w:firstLine="4200" w:firstLineChars="2000"/>
        <w:rPr>
          <w:szCs w:val="21"/>
          <w:highlight w:val="none"/>
        </w:rPr>
      </w:pPr>
      <w:r>
        <w:rPr>
          <w:rFonts w:hint="eastAsia"/>
          <w:szCs w:val="21"/>
          <w:highlight w:val="none"/>
        </w:rPr>
        <w:t xml:space="preserve">投标人名称（公章）：   </w:t>
      </w:r>
      <w:r>
        <w:rPr>
          <w:rFonts w:hint="eastAsia" w:ascii="宋体" w:hAnsi="宋体" w:cs="宋体"/>
          <w:szCs w:val="24"/>
          <w:highlight w:val="none"/>
          <w:u w:val="single"/>
        </w:rPr>
        <w:t xml:space="preserve">                     </w:t>
      </w:r>
      <w:r>
        <w:rPr>
          <w:rFonts w:hint="eastAsia" w:ascii="宋体" w:hAnsi="宋体" w:cs="宋体"/>
          <w:szCs w:val="24"/>
          <w:highlight w:val="none"/>
        </w:rPr>
        <w:t xml:space="preserve">   </w:t>
      </w:r>
      <w:r>
        <w:rPr>
          <w:rFonts w:hint="eastAsia"/>
          <w:szCs w:val="21"/>
          <w:highlight w:val="none"/>
        </w:rPr>
        <w:t xml:space="preserve">                   </w:t>
      </w:r>
    </w:p>
    <w:p w14:paraId="4F3E57F1">
      <w:pPr>
        <w:pStyle w:val="5"/>
        <w:spacing w:line="360" w:lineRule="auto"/>
        <w:ind w:firstLineChars="200"/>
        <w:rPr>
          <w:szCs w:val="21"/>
          <w:highlight w:val="none"/>
        </w:rPr>
      </w:pPr>
    </w:p>
    <w:p w14:paraId="25C0946A">
      <w:pPr>
        <w:spacing w:line="360" w:lineRule="auto"/>
        <w:ind w:hanging="315"/>
        <w:rPr>
          <w:szCs w:val="21"/>
          <w:highlight w:val="none"/>
        </w:rPr>
      </w:pPr>
      <w:r>
        <w:rPr>
          <w:szCs w:val="21"/>
          <w:highlight w:val="none"/>
        </w:rPr>
        <w:t xml:space="preserve">                                           </w:t>
      </w:r>
      <w:r>
        <w:rPr>
          <w:rFonts w:hint="eastAsia"/>
          <w:szCs w:val="21"/>
          <w:highlight w:val="none"/>
        </w:rPr>
        <w:t xml:space="preserve">                   </w:t>
      </w:r>
      <w:r>
        <w:rPr>
          <w:szCs w:val="21"/>
          <w:highlight w:val="none"/>
        </w:rPr>
        <w:t xml:space="preserve">日期： </w:t>
      </w:r>
      <w:r>
        <w:rPr>
          <w:rFonts w:hint="eastAsia"/>
          <w:szCs w:val="21"/>
          <w:highlight w:val="none"/>
        </w:rPr>
        <w:t xml:space="preserve">   </w:t>
      </w:r>
      <w:r>
        <w:rPr>
          <w:szCs w:val="21"/>
          <w:highlight w:val="none"/>
        </w:rPr>
        <w:t>年</w:t>
      </w:r>
      <w:r>
        <w:rPr>
          <w:rFonts w:hint="eastAsia"/>
          <w:szCs w:val="21"/>
          <w:highlight w:val="none"/>
        </w:rPr>
        <w:t xml:space="preserve">  </w:t>
      </w:r>
      <w:r>
        <w:rPr>
          <w:szCs w:val="21"/>
          <w:highlight w:val="none"/>
        </w:rPr>
        <w:t>月</w:t>
      </w:r>
      <w:r>
        <w:rPr>
          <w:rFonts w:hint="eastAsia"/>
          <w:szCs w:val="21"/>
          <w:highlight w:val="none"/>
        </w:rPr>
        <w:t xml:space="preserve">   </w:t>
      </w:r>
      <w:r>
        <w:rPr>
          <w:szCs w:val="21"/>
          <w:highlight w:val="none"/>
        </w:rPr>
        <w:t>日</w:t>
      </w:r>
    </w:p>
    <w:p w14:paraId="680A7482">
      <w:pPr>
        <w:spacing w:line="360" w:lineRule="auto"/>
        <w:rPr>
          <w:rFonts w:hint="eastAsia" w:ascii="宋体" w:hAnsi="宋体" w:cs="宋体"/>
          <w:b/>
          <w:bCs/>
          <w:sz w:val="24"/>
          <w:highlight w:val="none"/>
        </w:rPr>
        <w:sectPr>
          <w:pgSz w:w="11906" w:h="16838"/>
          <w:pgMar w:top="1440" w:right="1800" w:bottom="1440" w:left="1800" w:header="851" w:footer="992" w:gutter="0"/>
          <w:pgBorders>
            <w:top w:val="none" w:sz="0" w:space="0"/>
            <w:left w:val="none" w:sz="0" w:space="0"/>
            <w:bottom w:val="none" w:sz="0" w:space="0"/>
            <w:right w:val="none" w:sz="0" w:space="0"/>
          </w:pgBorders>
          <w:cols w:space="720" w:num="1"/>
          <w:docGrid w:type="lines" w:linePitch="312" w:charSpace="0"/>
        </w:sectPr>
      </w:pPr>
    </w:p>
    <w:bookmarkEnd w:id="115"/>
    <w:bookmarkEnd w:id="116"/>
    <w:bookmarkEnd w:id="117"/>
    <w:bookmarkEnd w:id="118"/>
    <w:p w14:paraId="74247C6F">
      <w:pPr>
        <w:spacing w:line="360" w:lineRule="auto"/>
        <w:jc w:val="center"/>
        <w:rPr>
          <w:rFonts w:hint="eastAsia" w:ascii="宋体" w:hAnsi="宋体"/>
          <w:b/>
          <w:szCs w:val="21"/>
          <w:highlight w:val="none"/>
        </w:rPr>
      </w:pPr>
      <w:r>
        <w:rPr>
          <w:rFonts w:hint="eastAsia" w:ascii="宋体" w:hAnsi="宋体"/>
          <w:b/>
          <w:szCs w:val="21"/>
          <w:highlight w:val="none"/>
        </w:rPr>
        <w:t>11.项目组成人员表</w:t>
      </w:r>
    </w:p>
    <w:p w14:paraId="36C6AD07">
      <w:pPr>
        <w:spacing w:line="360" w:lineRule="auto"/>
        <w:rPr>
          <w:rFonts w:hint="eastAsia" w:ascii="宋体" w:hAnsi="宋体"/>
          <w:szCs w:val="21"/>
          <w:highlight w:val="none"/>
        </w:rPr>
      </w:pPr>
    </w:p>
    <w:tbl>
      <w:tblPr>
        <w:tblStyle w:val="19"/>
        <w:tblW w:w="9360" w:type="dxa"/>
        <w:tblInd w:w="99" w:type="dxa"/>
        <w:tblLayout w:type="fixed"/>
        <w:tblCellMar>
          <w:top w:w="0" w:type="dxa"/>
          <w:left w:w="108" w:type="dxa"/>
          <w:bottom w:w="0" w:type="dxa"/>
          <w:right w:w="108" w:type="dxa"/>
        </w:tblCellMar>
      </w:tblPr>
      <w:tblGrid>
        <w:gridCol w:w="1486"/>
        <w:gridCol w:w="1134"/>
        <w:gridCol w:w="933"/>
        <w:gridCol w:w="1276"/>
        <w:gridCol w:w="1276"/>
        <w:gridCol w:w="1701"/>
        <w:gridCol w:w="1554"/>
      </w:tblGrid>
      <w:tr w14:paraId="05624E84">
        <w:tblPrEx>
          <w:tblCellMar>
            <w:top w:w="0" w:type="dxa"/>
            <w:left w:w="108" w:type="dxa"/>
            <w:bottom w:w="0" w:type="dxa"/>
            <w:right w:w="108" w:type="dxa"/>
          </w:tblCellMar>
        </w:tblPrEx>
        <w:trPr>
          <w:trHeight w:val="480" w:hRule="atLeast"/>
        </w:trPr>
        <w:tc>
          <w:tcPr>
            <w:tcW w:w="1486" w:type="dxa"/>
            <w:vMerge w:val="restart"/>
            <w:tcBorders>
              <w:top w:val="single" w:color="auto" w:sz="8" w:space="0"/>
              <w:left w:val="single" w:color="auto" w:sz="8" w:space="0"/>
              <w:bottom w:val="single" w:color="000000" w:sz="8" w:space="0"/>
              <w:right w:val="single" w:color="auto" w:sz="8" w:space="0"/>
            </w:tcBorders>
            <w:vAlign w:val="center"/>
          </w:tcPr>
          <w:p w14:paraId="7EE8C55F">
            <w:pPr>
              <w:widowControl/>
              <w:spacing w:line="360" w:lineRule="auto"/>
              <w:jc w:val="center"/>
              <w:rPr>
                <w:rFonts w:hint="eastAsia" w:ascii="宋体" w:hAnsi="宋体" w:cs="宋体"/>
                <w:szCs w:val="21"/>
                <w:highlight w:val="none"/>
              </w:rPr>
            </w:pPr>
            <w:r>
              <w:rPr>
                <w:rFonts w:hint="eastAsia" w:ascii="宋体" w:hAnsi="宋体" w:cs="宋体"/>
                <w:szCs w:val="21"/>
                <w:highlight w:val="none"/>
              </w:rPr>
              <w:t>岗位</w:t>
            </w:r>
          </w:p>
        </w:tc>
        <w:tc>
          <w:tcPr>
            <w:tcW w:w="1134" w:type="dxa"/>
            <w:vMerge w:val="restart"/>
            <w:tcBorders>
              <w:top w:val="single" w:color="auto" w:sz="8" w:space="0"/>
              <w:left w:val="single" w:color="auto" w:sz="8" w:space="0"/>
              <w:bottom w:val="single" w:color="000000" w:sz="8" w:space="0"/>
              <w:right w:val="single" w:color="auto" w:sz="8" w:space="0"/>
            </w:tcBorders>
            <w:vAlign w:val="center"/>
          </w:tcPr>
          <w:p w14:paraId="42E8D9ED">
            <w:pPr>
              <w:widowControl/>
              <w:spacing w:line="360" w:lineRule="auto"/>
              <w:jc w:val="center"/>
              <w:rPr>
                <w:rFonts w:hint="eastAsia" w:ascii="宋体" w:hAnsi="宋体" w:cs="宋体"/>
                <w:szCs w:val="21"/>
                <w:highlight w:val="none"/>
              </w:rPr>
            </w:pPr>
            <w:r>
              <w:rPr>
                <w:rFonts w:hint="eastAsia" w:ascii="宋体" w:hAnsi="宋体" w:cs="宋体"/>
                <w:szCs w:val="21"/>
                <w:highlight w:val="none"/>
              </w:rPr>
              <w:t>姓名</w:t>
            </w:r>
          </w:p>
        </w:tc>
        <w:tc>
          <w:tcPr>
            <w:tcW w:w="933" w:type="dxa"/>
            <w:vMerge w:val="restart"/>
            <w:tcBorders>
              <w:top w:val="single" w:color="auto" w:sz="8" w:space="0"/>
              <w:left w:val="single" w:color="auto" w:sz="8" w:space="0"/>
              <w:bottom w:val="single" w:color="000000" w:sz="8" w:space="0"/>
              <w:right w:val="single" w:color="auto" w:sz="8" w:space="0"/>
            </w:tcBorders>
            <w:vAlign w:val="center"/>
          </w:tcPr>
          <w:p w14:paraId="79FD4238">
            <w:pPr>
              <w:widowControl/>
              <w:spacing w:line="360" w:lineRule="auto"/>
              <w:jc w:val="center"/>
              <w:rPr>
                <w:rFonts w:hint="eastAsia" w:ascii="宋体" w:hAnsi="宋体" w:cs="宋体"/>
                <w:szCs w:val="21"/>
                <w:highlight w:val="none"/>
              </w:rPr>
            </w:pPr>
            <w:r>
              <w:rPr>
                <w:rFonts w:hint="eastAsia" w:ascii="宋体" w:hAnsi="宋体" w:cs="宋体"/>
                <w:szCs w:val="21"/>
                <w:highlight w:val="none"/>
              </w:rPr>
              <w:t>性别</w:t>
            </w:r>
          </w:p>
        </w:tc>
        <w:tc>
          <w:tcPr>
            <w:tcW w:w="1276" w:type="dxa"/>
            <w:vMerge w:val="restart"/>
            <w:tcBorders>
              <w:top w:val="single" w:color="auto" w:sz="8" w:space="0"/>
              <w:left w:val="single" w:color="auto" w:sz="8" w:space="0"/>
              <w:bottom w:val="single" w:color="000000" w:sz="8" w:space="0"/>
              <w:right w:val="single" w:color="auto" w:sz="8" w:space="0"/>
            </w:tcBorders>
            <w:vAlign w:val="center"/>
          </w:tcPr>
          <w:p w14:paraId="03E2587B">
            <w:pPr>
              <w:widowControl/>
              <w:spacing w:line="360" w:lineRule="auto"/>
              <w:jc w:val="center"/>
              <w:rPr>
                <w:rFonts w:hint="eastAsia" w:ascii="宋体" w:hAnsi="宋体" w:cs="宋体"/>
                <w:szCs w:val="21"/>
                <w:highlight w:val="none"/>
              </w:rPr>
            </w:pPr>
            <w:r>
              <w:rPr>
                <w:rFonts w:hint="eastAsia" w:ascii="宋体" w:hAnsi="宋体" w:cs="宋体"/>
                <w:szCs w:val="21"/>
                <w:highlight w:val="none"/>
              </w:rPr>
              <w:t>年龄</w:t>
            </w:r>
          </w:p>
        </w:tc>
        <w:tc>
          <w:tcPr>
            <w:tcW w:w="1276" w:type="dxa"/>
            <w:vMerge w:val="restart"/>
            <w:tcBorders>
              <w:top w:val="single" w:color="auto" w:sz="8" w:space="0"/>
              <w:left w:val="single" w:color="auto" w:sz="8" w:space="0"/>
              <w:bottom w:val="single" w:color="000000" w:sz="8" w:space="0"/>
              <w:right w:val="single" w:color="auto" w:sz="8" w:space="0"/>
            </w:tcBorders>
            <w:vAlign w:val="center"/>
          </w:tcPr>
          <w:p w14:paraId="1D691D29">
            <w:pPr>
              <w:widowControl/>
              <w:spacing w:line="360" w:lineRule="auto"/>
              <w:jc w:val="center"/>
              <w:rPr>
                <w:rFonts w:hint="eastAsia" w:ascii="宋体" w:hAnsi="宋体" w:cs="宋体"/>
                <w:szCs w:val="21"/>
                <w:highlight w:val="none"/>
              </w:rPr>
            </w:pPr>
            <w:r>
              <w:rPr>
                <w:rFonts w:hint="eastAsia" w:ascii="宋体" w:hAnsi="宋体" w:cs="宋体"/>
                <w:szCs w:val="21"/>
                <w:highlight w:val="none"/>
              </w:rPr>
              <w:t>专业</w:t>
            </w:r>
          </w:p>
        </w:tc>
        <w:tc>
          <w:tcPr>
            <w:tcW w:w="1701" w:type="dxa"/>
            <w:vMerge w:val="restart"/>
            <w:tcBorders>
              <w:top w:val="single" w:color="auto" w:sz="8" w:space="0"/>
              <w:left w:val="single" w:color="auto" w:sz="8" w:space="0"/>
              <w:bottom w:val="single" w:color="000000" w:sz="8" w:space="0"/>
              <w:right w:val="single" w:color="auto" w:sz="8" w:space="0"/>
            </w:tcBorders>
            <w:vAlign w:val="center"/>
          </w:tcPr>
          <w:p w14:paraId="64906364">
            <w:pPr>
              <w:widowControl/>
              <w:spacing w:line="360" w:lineRule="auto"/>
              <w:jc w:val="center"/>
              <w:rPr>
                <w:rFonts w:hint="eastAsia" w:ascii="宋体" w:hAnsi="宋体" w:cs="宋体"/>
                <w:szCs w:val="21"/>
                <w:highlight w:val="none"/>
              </w:rPr>
            </w:pPr>
            <w:r>
              <w:rPr>
                <w:rFonts w:hint="eastAsia" w:ascii="宋体" w:hAnsi="宋体" w:cs="宋体"/>
                <w:szCs w:val="21"/>
                <w:highlight w:val="none"/>
              </w:rPr>
              <w:t>职称</w:t>
            </w:r>
          </w:p>
        </w:tc>
        <w:tc>
          <w:tcPr>
            <w:tcW w:w="1554" w:type="dxa"/>
            <w:vMerge w:val="restart"/>
            <w:tcBorders>
              <w:top w:val="single" w:color="auto" w:sz="8" w:space="0"/>
              <w:left w:val="single" w:color="auto" w:sz="8" w:space="0"/>
              <w:bottom w:val="single" w:color="000000" w:sz="8" w:space="0"/>
              <w:right w:val="single" w:color="auto" w:sz="8" w:space="0"/>
            </w:tcBorders>
            <w:vAlign w:val="center"/>
          </w:tcPr>
          <w:p w14:paraId="1241E7B2">
            <w:pPr>
              <w:widowControl/>
              <w:spacing w:line="360" w:lineRule="auto"/>
              <w:jc w:val="center"/>
              <w:rPr>
                <w:rFonts w:hint="eastAsia" w:ascii="宋体" w:hAnsi="宋体" w:cs="宋体"/>
                <w:szCs w:val="21"/>
                <w:highlight w:val="none"/>
              </w:rPr>
            </w:pPr>
            <w:r>
              <w:rPr>
                <w:rFonts w:hint="eastAsia" w:ascii="宋体" w:hAnsi="宋体" w:cs="宋体"/>
                <w:szCs w:val="21"/>
                <w:highlight w:val="none"/>
              </w:rPr>
              <w:t>资格证书</w:t>
            </w:r>
          </w:p>
        </w:tc>
      </w:tr>
      <w:tr w14:paraId="04208ACA">
        <w:tblPrEx>
          <w:tblCellMar>
            <w:top w:w="0" w:type="dxa"/>
            <w:left w:w="108" w:type="dxa"/>
            <w:bottom w:w="0" w:type="dxa"/>
            <w:right w:w="108" w:type="dxa"/>
          </w:tblCellMar>
        </w:tblPrEx>
        <w:trPr>
          <w:trHeight w:val="566" w:hRule="atLeast"/>
        </w:trPr>
        <w:tc>
          <w:tcPr>
            <w:tcW w:w="1486" w:type="dxa"/>
            <w:vMerge w:val="continue"/>
            <w:tcBorders>
              <w:top w:val="single" w:color="auto" w:sz="8" w:space="0"/>
              <w:left w:val="single" w:color="auto" w:sz="8" w:space="0"/>
              <w:bottom w:val="single" w:color="000000" w:sz="8" w:space="0"/>
              <w:right w:val="single" w:color="auto" w:sz="8" w:space="0"/>
            </w:tcBorders>
            <w:vAlign w:val="center"/>
          </w:tcPr>
          <w:p w14:paraId="276ACFEF">
            <w:pPr>
              <w:widowControl/>
              <w:spacing w:line="360" w:lineRule="auto"/>
              <w:jc w:val="center"/>
              <w:rPr>
                <w:rFonts w:hint="eastAsia" w:ascii="宋体" w:hAnsi="宋体" w:cs="宋体"/>
                <w:szCs w:val="21"/>
                <w:highlight w:val="none"/>
              </w:rPr>
            </w:pPr>
          </w:p>
        </w:tc>
        <w:tc>
          <w:tcPr>
            <w:tcW w:w="1134" w:type="dxa"/>
            <w:vMerge w:val="continue"/>
            <w:tcBorders>
              <w:top w:val="single" w:color="auto" w:sz="8" w:space="0"/>
              <w:left w:val="single" w:color="auto" w:sz="8" w:space="0"/>
              <w:bottom w:val="single" w:color="000000" w:sz="8" w:space="0"/>
              <w:right w:val="single" w:color="auto" w:sz="8" w:space="0"/>
            </w:tcBorders>
            <w:vAlign w:val="center"/>
          </w:tcPr>
          <w:p w14:paraId="47B7BD38">
            <w:pPr>
              <w:widowControl/>
              <w:spacing w:line="360" w:lineRule="auto"/>
              <w:jc w:val="center"/>
              <w:rPr>
                <w:rFonts w:hint="eastAsia" w:ascii="宋体" w:hAnsi="宋体" w:cs="宋体"/>
                <w:szCs w:val="21"/>
                <w:highlight w:val="none"/>
              </w:rPr>
            </w:pPr>
          </w:p>
        </w:tc>
        <w:tc>
          <w:tcPr>
            <w:tcW w:w="933" w:type="dxa"/>
            <w:vMerge w:val="continue"/>
            <w:tcBorders>
              <w:top w:val="single" w:color="auto" w:sz="8" w:space="0"/>
              <w:left w:val="single" w:color="auto" w:sz="8" w:space="0"/>
              <w:bottom w:val="single" w:color="000000" w:sz="8" w:space="0"/>
              <w:right w:val="single" w:color="auto" w:sz="8" w:space="0"/>
            </w:tcBorders>
            <w:vAlign w:val="center"/>
          </w:tcPr>
          <w:p w14:paraId="6EE2EC6D">
            <w:pPr>
              <w:widowControl/>
              <w:spacing w:line="360" w:lineRule="auto"/>
              <w:jc w:val="center"/>
              <w:rPr>
                <w:rFonts w:hint="eastAsia" w:ascii="宋体" w:hAnsi="宋体" w:cs="宋体"/>
                <w:szCs w:val="21"/>
                <w:highlight w:val="none"/>
              </w:rPr>
            </w:pPr>
          </w:p>
        </w:tc>
        <w:tc>
          <w:tcPr>
            <w:tcW w:w="1276" w:type="dxa"/>
            <w:vMerge w:val="continue"/>
            <w:tcBorders>
              <w:top w:val="single" w:color="auto" w:sz="8" w:space="0"/>
              <w:left w:val="single" w:color="auto" w:sz="8" w:space="0"/>
              <w:bottom w:val="single" w:color="000000" w:sz="8" w:space="0"/>
              <w:right w:val="single" w:color="auto" w:sz="8" w:space="0"/>
            </w:tcBorders>
            <w:vAlign w:val="center"/>
          </w:tcPr>
          <w:p w14:paraId="1294FEB2">
            <w:pPr>
              <w:widowControl/>
              <w:spacing w:line="360" w:lineRule="auto"/>
              <w:jc w:val="center"/>
              <w:rPr>
                <w:rFonts w:hint="eastAsia" w:ascii="宋体" w:hAnsi="宋体" w:cs="宋体"/>
                <w:szCs w:val="21"/>
                <w:highlight w:val="none"/>
              </w:rPr>
            </w:pPr>
          </w:p>
        </w:tc>
        <w:tc>
          <w:tcPr>
            <w:tcW w:w="1276" w:type="dxa"/>
            <w:vMerge w:val="continue"/>
            <w:tcBorders>
              <w:top w:val="single" w:color="auto" w:sz="8" w:space="0"/>
              <w:left w:val="single" w:color="auto" w:sz="8" w:space="0"/>
              <w:bottom w:val="single" w:color="000000" w:sz="8" w:space="0"/>
              <w:right w:val="single" w:color="auto" w:sz="8" w:space="0"/>
            </w:tcBorders>
            <w:vAlign w:val="center"/>
          </w:tcPr>
          <w:p w14:paraId="78FBB81F">
            <w:pPr>
              <w:widowControl/>
              <w:spacing w:line="360" w:lineRule="auto"/>
              <w:jc w:val="center"/>
              <w:rPr>
                <w:rFonts w:hint="eastAsia" w:ascii="宋体" w:hAnsi="宋体" w:cs="宋体"/>
                <w:szCs w:val="21"/>
                <w:highlight w:val="none"/>
              </w:rPr>
            </w:pPr>
          </w:p>
        </w:tc>
        <w:tc>
          <w:tcPr>
            <w:tcW w:w="1701" w:type="dxa"/>
            <w:vMerge w:val="continue"/>
            <w:tcBorders>
              <w:top w:val="single" w:color="auto" w:sz="8" w:space="0"/>
              <w:left w:val="single" w:color="auto" w:sz="8" w:space="0"/>
              <w:bottom w:val="single" w:color="000000" w:sz="8" w:space="0"/>
              <w:right w:val="single" w:color="auto" w:sz="8" w:space="0"/>
            </w:tcBorders>
            <w:vAlign w:val="center"/>
          </w:tcPr>
          <w:p w14:paraId="6BD365B6">
            <w:pPr>
              <w:widowControl/>
              <w:spacing w:line="360" w:lineRule="auto"/>
              <w:jc w:val="center"/>
              <w:rPr>
                <w:rFonts w:hint="eastAsia" w:ascii="宋体" w:hAnsi="宋体" w:cs="宋体"/>
                <w:szCs w:val="21"/>
                <w:highlight w:val="none"/>
              </w:rPr>
            </w:pPr>
          </w:p>
        </w:tc>
        <w:tc>
          <w:tcPr>
            <w:tcW w:w="1554" w:type="dxa"/>
            <w:vMerge w:val="continue"/>
            <w:tcBorders>
              <w:top w:val="single" w:color="auto" w:sz="8" w:space="0"/>
              <w:left w:val="single" w:color="auto" w:sz="8" w:space="0"/>
              <w:bottom w:val="single" w:color="000000" w:sz="8" w:space="0"/>
              <w:right w:val="single" w:color="auto" w:sz="8" w:space="0"/>
            </w:tcBorders>
            <w:vAlign w:val="center"/>
          </w:tcPr>
          <w:p w14:paraId="27F1D90D">
            <w:pPr>
              <w:widowControl/>
              <w:spacing w:line="360" w:lineRule="auto"/>
              <w:jc w:val="center"/>
              <w:rPr>
                <w:rFonts w:hint="eastAsia" w:ascii="宋体" w:hAnsi="宋体" w:cs="宋体"/>
                <w:szCs w:val="21"/>
                <w:highlight w:val="none"/>
              </w:rPr>
            </w:pPr>
          </w:p>
        </w:tc>
      </w:tr>
      <w:tr w14:paraId="040D0019">
        <w:tblPrEx>
          <w:tblCellMar>
            <w:top w:w="0" w:type="dxa"/>
            <w:left w:w="108" w:type="dxa"/>
            <w:bottom w:w="0" w:type="dxa"/>
            <w:right w:w="108" w:type="dxa"/>
          </w:tblCellMar>
        </w:tblPrEx>
        <w:trPr>
          <w:trHeight w:val="508" w:hRule="atLeast"/>
        </w:trPr>
        <w:tc>
          <w:tcPr>
            <w:tcW w:w="1486" w:type="dxa"/>
            <w:tcBorders>
              <w:top w:val="nil"/>
              <w:left w:val="single" w:color="auto" w:sz="8" w:space="0"/>
              <w:bottom w:val="single" w:color="auto" w:sz="8" w:space="0"/>
              <w:right w:val="single" w:color="auto" w:sz="8" w:space="0"/>
            </w:tcBorders>
            <w:vAlign w:val="center"/>
          </w:tcPr>
          <w:p w14:paraId="6F790A4C">
            <w:pPr>
              <w:widowControl/>
              <w:spacing w:line="360" w:lineRule="auto"/>
              <w:jc w:val="center"/>
              <w:rPr>
                <w:rFonts w:hint="eastAsia" w:ascii="宋体" w:hAnsi="宋体" w:cs="宋体"/>
                <w:szCs w:val="21"/>
                <w:highlight w:val="none"/>
              </w:rPr>
            </w:pPr>
            <w:r>
              <w:rPr>
                <w:rFonts w:hint="eastAsia" w:ascii="宋体" w:hAnsi="宋体" w:cs="宋体"/>
                <w:szCs w:val="21"/>
                <w:highlight w:val="none"/>
              </w:rPr>
              <w:t>项目负责人</w:t>
            </w:r>
          </w:p>
        </w:tc>
        <w:tc>
          <w:tcPr>
            <w:tcW w:w="1134" w:type="dxa"/>
            <w:tcBorders>
              <w:top w:val="nil"/>
              <w:left w:val="nil"/>
              <w:bottom w:val="single" w:color="auto" w:sz="8" w:space="0"/>
              <w:right w:val="single" w:color="auto" w:sz="8" w:space="0"/>
            </w:tcBorders>
            <w:vAlign w:val="center"/>
          </w:tcPr>
          <w:p w14:paraId="118CF82E">
            <w:pPr>
              <w:widowControl/>
              <w:spacing w:line="360" w:lineRule="auto"/>
              <w:rPr>
                <w:rFonts w:hint="eastAsia" w:ascii="宋体" w:hAnsi="宋体" w:cs="宋体"/>
                <w:szCs w:val="21"/>
                <w:highlight w:val="none"/>
              </w:rPr>
            </w:pPr>
          </w:p>
        </w:tc>
        <w:tc>
          <w:tcPr>
            <w:tcW w:w="933" w:type="dxa"/>
            <w:tcBorders>
              <w:top w:val="nil"/>
              <w:left w:val="nil"/>
              <w:bottom w:val="single" w:color="auto" w:sz="8" w:space="0"/>
              <w:right w:val="single" w:color="auto" w:sz="8" w:space="0"/>
            </w:tcBorders>
            <w:vAlign w:val="center"/>
          </w:tcPr>
          <w:p w14:paraId="6819A5D8">
            <w:pPr>
              <w:widowControl/>
              <w:spacing w:line="360" w:lineRule="auto"/>
              <w:jc w:val="center"/>
              <w:rPr>
                <w:rFonts w:hint="eastAsia" w:ascii="宋体" w:hAnsi="宋体" w:cs="宋体"/>
                <w:szCs w:val="21"/>
                <w:highlight w:val="none"/>
              </w:rPr>
            </w:pPr>
          </w:p>
        </w:tc>
        <w:tc>
          <w:tcPr>
            <w:tcW w:w="1276" w:type="dxa"/>
            <w:tcBorders>
              <w:top w:val="nil"/>
              <w:left w:val="nil"/>
              <w:bottom w:val="single" w:color="auto" w:sz="8" w:space="0"/>
              <w:right w:val="single" w:color="auto" w:sz="8" w:space="0"/>
            </w:tcBorders>
            <w:vAlign w:val="center"/>
          </w:tcPr>
          <w:p w14:paraId="3AFC44F5">
            <w:pPr>
              <w:widowControl/>
              <w:spacing w:line="360" w:lineRule="auto"/>
              <w:jc w:val="center"/>
              <w:rPr>
                <w:rFonts w:hint="eastAsia" w:ascii="宋体" w:hAnsi="宋体" w:cs="宋体"/>
                <w:szCs w:val="21"/>
                <w:highlight w:val="none"/>
              </w:rPr>
            </w:pPr>
          </w:p>
        </w:tc>
        <w:tc>
          <w:tcPr>
            <w:tcW w:w="1276" w:type="dxa"/>
            <w:tcBorders>
              <w:top w:val="nil"/>
              <w:left w:val="nil"/>
              <w:bottom w:val="single" w:color="auto" w:sz="8" w:space="0"/>
              <w:right w:val="single" w:color="auto" w:sz="8" w:space="0"/>
            </w:tcBorders>
            <w:vAlign w:val="center"/>
          </w:tcPr>
          <w:p w14:paraId="7AEE3DA6">
            <w:pPr>
              <w:widowControl/>
              <w:spacing w:line="360" w:lineRule="auto"/>
              <w:jc w:val="center"/>
              <w:rPr>
                <w:rFonts w:hint="eastAsia" w:ascii="宋体" w:hAnsi="宋体" w:cs="宋体"/>
                <w:szCs w:val="21"/>
                <w:highlight w:val="none"/>
              </w:rPr>
            </w:pPr>
          </w:p>
        </w:tc>
        <w:tc>
          <w:tcPr>
            <w:tcW w:w="1701" w:type="dxa"/>
            <w:tcBorders>
              <w:top w:val="nil"/>
              <w:left w:val="nil"/>
              <w:bottom w:val="single" w:color="auto" w:sz="8" w:space="0"/>
              <w:right w:val="single" w:color="auto" w:sz="8" w:space="0"/>
            </w:tcBorders>
            <w:vAlign w:val="center"/>
          </w:tcPr>
          <w:p w14:paraId="20BFF08F">
            <w:pPr>
              <w:widowControl/>
              <w:spacing w:line="360" w:lineRule="auto"/>
              <w:jc w:val="center"/>
              <w:rPr>
                <w:rFonts w:hint="eastAsia" w:ascii="宋体" w:hAnsi="宋体" w:cs="宋体"/>
                <w:szCs w:val="21"/>
                <w:highlight w:val="none"/>
              </w:rPr>
            </w:pPr>
          </w:p>
        </w:tc>
        <w:tc>
          <w:tcPr>
            <w:tcW w:w="1554" w:type="dxa"/>
            <w:tcBorders>
              <w:top w:val="nil"/>
              <w:left w:val="nil"/>
              <w:bottom w:val="single" w:color="auto" w:sz="8" w:space="0"/>
              <w:right w:val="single" w:color="auto" w:sz="8" w:space="0"/>
            </w:tcBorders>
            <w:vAlign w:val="center"/>
          </w:tcPr>
          <w:p w14:paraId="7E7C5D1C">
            <w:pPr>
              <w:widowControl/>
              <w:spacing w:line="360" w:lineRule="auto"/>
              <w:jc w:val="center"/>
              <w:rPr>
                <w:rFonts w:hint="eastAsia" w:ascii="宋体" w:hAnsi="宋体" w:cs="宋体"/>
                <w:szCs w:val="21"/>
                <w:highlight w:val="none"/>
              </w:rPr>
            </w:pPr>
          </w:p>
        </w:tc>
      </w:tr>
      <w:tr w14:paraId="6C1EC348">
        <w:tblPrEx>
          <w:tblCellMar>
            <w:top w:w="0" w:type="dxa"/>
            <w:left w:w="108" w:type="dxa"/>
            <w:bottom w:w="0" w:type="dxa"/>
            <w:right w:w="108" w:type="dxa"/>
          </w:tblCellMar>
        </w:tblPrEx>
        <w:trPr>
          <w:trHeight w:val="290" w:hRule="atLeast"/>
        </w:trPr>
        <w:tc>
          <w:tcPr>
            <w:tcW w:w="1486" w:type="dxa"/>
            <w:tcBorders>
              <w:top w:val="nil"/>
              <w:left w:val="single" w:color="auto" w:sz="8" w:space="0"/>
              <w:bottom w:val="single" w:color="auto" w:sz="8" w:space="0"/>
              <w:right w:val="single" w:color="auto" w:sz="8" w:space="0"/>
            </w:tcBorders>
            <w:vAlign w:val="center"/>
          </w:tcPr>
          <w:p w14:paraId="01C97B8E">
            <w:pPr>
              <w:widowControl/>
              <w:spacing w:line="360" w:lineRule="auto"/>
              <w:rPr>
                <w:rFonts w:hint="eastAsia" w:ascii="宋体" w:hAnsi="宋体" w:cs="宋体"/>
                <w:szCs w:val="21"/>
                <w:highlight w:val="none"/>
              </w:rPr>
            </w:pPr>
          </w:p>
        </w:tc>
        <w:tc>
          <w:tcPr>
            <w:tcW w:w="1134" w:type="dxa"/>
            <w:tcBorders>
              <w:top w:val="nil"/>
              <w:left w:val="nil"/>
              <w:bottom w:val="single" w:color="auto" w:sz="8" w:space="0"/>
              <w:right w:val="single" w:color="auto" w:sz="8" w:space="0"/>
            </w:tcBorders>
            <w:vAlign w:val="center"/>
          </w:tcPr>
          <w:p w14:paraId="29959A1B">
            <w:pPr>
              <w:widowControl/>
              <w:spacing w:line="360" w:lineRule="auto"/>
              <w:rPr>
                <w:rFonts w:hint="eastAsia" w:ascii="宋体" w:hAnsi="宋体" w:cs="宋体"/>
                <w:szCs w:val="21"/>
                <w:highlight w:val="none"/>
              </w:rPr>
            </w:pPr>
          </w:p>
        </w:tc>
        <w:tc>
          <w:tcPr>
            <w:tcW w:w="933" w:type="dxa"/>
            <w:tcBorders>
              <w:top w:val="nil"/>
              <w:left w:val="nil"/>
              <w:bottom w:val="single" w:color="auto" w:sz="8" w:space="0"/>
              <w:right w:val="single" w:color="auto" w:sz="8" w:space="0"/>
            </w:tcBorders>
            <w:vAlign w:val="center"/>
          </w:tcPr>
          <w:p w14:paraId="6B45B508">
            <w:pPr>
              <w:widowControl/>
              <w:spacing w:line="360" w:lineRule="auto"/>
              <w:jc w:val="center"/>
              <w:rPr>
                <w:rFonts w:hint="eastAsia" w:ascii="宋体" w:hAnsi="宋体" w:cs="宋体"/>
                <w:szCs w:val="21"/>
                <w:highlight w:val="none"/>
              </w:rPr>
            </w:pPr>
          </w:p>
        </w:tc>
        <w:tc>
          <w:tcPr>
            <w:tcW w:w="1276" w:type="dxa"/>
            <w:tcBorders>
              <w:top w:val="nil"/>
              <w:left w:val="nil"/>
              <w:bottom w:val="single" w:color="auto" w:sz="8" w:space="0"/>
              <w:right w:val="single" w:color="auto" w:sz="8" w:space="0"/>
            </w:tcBorders>
            <w:vAlign w:val="center"/>
          </w:tcPr>
          <w:p w14:paraId="6C3EDFBA">
            <w:pPr>
              <w:widowControl/>
              <w:spacing w:line="360" w:lineRule="auto"/>
              <w:jc w:val="center"/>
              <w:rPr>
                <w:rFonts w:hint="eastAsia" w:ascii="宋体" w:hAnsi="宋体" w:cs="宋体"/>
                <w:szCs w:val="21"/>
                <w:highlight w:val="none"/>
              </w:rPr>
            </w:pPr>
          </w:p>
        </w:tc>
        <w:tc>
          <w:tcPr>
            <w:tcW w:w="1276" w:type="dxa"/>
            <w:tcBorders>
              <w:top w:val="nil"/>
              <w:left w:val="nil"/>
              <w:bottom w:val="single" w:color="auto" w:sz="8" w:space="0"/>
              <w:right w:val="single" w:color="auto" w:sz="8" w:space="0"/>
            </w:tcBorders>
            <w:vAlign w:val="center"/>
          </w:tcPr>
          <w:p w14:paraId="4319CB18">
            <w:pPr>
              <w:widowControl/>
              <w:spacing w:line="360" w:lineRule="auto"/>
              <w:jc w:val="center"/>
              <w:rPr>
                <w:rFonts w:hint="eastAsia" w:ascii="宋体" w:hAnsi="宋体" w:cs="宋体"/>
                <w:szCs w:val="21"/>
                <w:highlight w:val="none"/>
              </w:rPr>
            </w:pPr>
          </w:p>
        </w:tc>
        <w:tc>
          <w:tcPr>
            <w:tcW w:w="1701" w:type="dxa"/>
            <w:tcBorders>
              <w:top w:val="nil"/>
              <w:left w:val="nil"/>
              <w:bottom w:val="single" w:color="auto" w:sz="8" w:space="0"/>
              <w:right w:val="single" w:color="auto" w:sz="8" w:space="0"/>
            </w:tcBorders>
            <w:vAlign w:val="center"/>
          </w:tcPr>
          <w:p w14:paraId="4F91408B">
            <w:pPr>
              <w:widowControl/>
              <w:spacing w:line="360" w:lineRule="auto"/>
              <w:jc w:val="center"/>
              <w:rPr>
                <w:rFonts w:hint="eastAsia" w:ascii="宋体" w:hAnsi="宋体" w:cs="宋体"/>
                <w:szCs w:val="21"/>
                <w:highlight w:val="none"/>
              </w:rPr>
            </w:pPr>
          </w:p>
        </w:tc>
        <w:tc>
          <w:tcPr>
            <w:tcW w:w="1554" w:type="dxa"/>
            <w:tcBorders>
              <w:top w:val="nil"/>
              <w:left w:val="nil"/>
              <w:bottom w:val="single" w:color="auto" w:sz="8" w:space="0"/>
              <w:right w:val="single" w:color="auto" w:sz="8" w:space="0"/>
            </w:tcBorders>
            <w:vAlign w:val="center"/>
          </w:tcPr>
          <w:p w14:paraId="1265F2C2">
            <w:pPr>
              <w:widowControl/>
              <w:spacing w:line="360" w:lineRule="auto"/>
              <w:jc w:val="center"/>
              <w:rPr>
                <w:rFonts w:hint="eastAsia" w:ascii="宋体" w:hAnsi="宋体" w:cs="宋体"/>
                <w:szCs w:val="21"/>
                <w:highlight w:val="none"/>
              </w:rPr>
            </w:pPr>
          </w:p>
        </w:tc>
      </w:tr>
      <w:tr w14:paraId="5FA7279F">
        <w:tblPrEx>
          <w:tblCellMar>
            <w:top w:w="0" w:type="dxa"/>
            <w:left w:w="108" w:type="dxa"/>
            <w:bottom w:w="0" w:type="dxa"/>
            <w:right w:w="108" w:type="dxa"/>
          </w:tblCellMar>
        </w:tblPrEx>
        <w:trPr>
          <w:trHeight w:val="290" w:hRule="atLeast"/>
        </w:trPr>
        <w:tc>
          <w:tcPr>
            <w:tcW w:w="1486" w:type="dxa"/>
            <w:tcBorders>
              <w:top w:val="nil"/>
              <w:left w:val="single" w:color="auto" w:sz="8" w:space="0"/>
              <w:bottom w:val="single" w:color="auto" w:sz="8" w:space="0"/>
              <w:right w:val="single" w:color="auto" w:sz="8" w:space="0"/>
            </w:tcBorders>
            <w:vAlign w:val="center"/>
          </w:tcPr>
          <w:p w14:paraId="733693F2">
            <w:pPr>
              <w:widowControl/>
              <w:spacing w:line="360" w:lineRule="auto"/>
              <w:jc w:val="center"/>
              <w:rPr>
                <w:rFonts w:hint="eastAsia" w:ascii="宋体" w:hAnsi="宋体" w:cs="宋体"/>
                <w:szCs w:val="21"/>
                <w:highlight w:val="none"/>
              </w:rPr>
            </w:pPr>
          </w:p>
        </w:tc>
        <w:tc>
          <w:tcPr>
            <w:tcW w:w="1134" w:type="dxa"/>
            <w:tcBorders>
              <w:top w:val="nil"/>
              <w:left w:val="nil"/>
              <w:bottom w:val="single" w:color="auto" w:sz="8" w:space="0"/>
              <w:right w:val="single" w:color="auto" w:sz="8" w:space="0"/>
            </w:tcBorders>
            <w:vAlign w:val="center"/>
          </w:tcPr>
          <w:p w14:paraId="0FD68F3F">
            <w:pPr>
              <w:widowControl/>
              <w:spacing w:line="360" w:lineRule="auto"/>
              <w:jc w:val="center"/>
              <w:rPr>
                <w:rFonts w:hint="eastAsia" w:ascii="宋体" w:hAnsi="宋体" w:cs="宋体"/>
                <w:szCs w:val="21"/>
                <w:highlight w:val="none"/>
              </w:rPr>
            </w:pPr>
          </w:p>
        </w:tc>
        <w:tc>
          <w:tcPr>
            <w:tcW w:w="933" w:type="dxa"/>
            <w:tcBorders>
              <w:top w:val="nil"/>
              <w:left w:val="nil"/>
              <w:bottom w:val="single" w:color="auto" w:sz="8" w:space="0"/>
              <w:right w:val="single" w:color="auto" w:sz="8" w:space="0"/>
            </w:tcBorders>
            <w:vAlign w:val="center"/>
          </w:tcPr>
          <w:p w14:paraId="35421FC1">
            <w:pPr>
              <w:widowControl/>
              <w:spacing w:line="360" w:lineRule="auto"/>
              <w:jc w:val="center"/>
              <w:rPr>
                <w:rFonts w:hint="eastAsia" w:ascii="宋体" w:hAnsi="宋体" w:cs="宋体"/>
                <w:szCs w:val="21"/>
                <w:highlight w:val="none"/>
              </w:rPr>
            </w:pPr>
          </w:p>
        </w:tc>
        <w:tc>
          <w:tcPr>
            <w:tcW w:w="1276" w:type="dxa"/>
            <w:tcBorders>
              <w:top w:val="nil"/>
              <w:left w:val="nil"/>
              <w:bottom w:val="single" w:color="auto" w:sz="8" w:space="0"/>
              <w:right w:val="single" w:color="auto" w:sz="8" w:space="0"/>
            </w:tcBorders>
            <w:vAlign w:val="center"/>
          </w:tcPr>
          <w:p w14:paraId="44C90DF9">
            <w:pPr>
              <w:widowControl/>
              <w:spacing w:line="360" w:lineRule="auto"/>
              <w:jc w:val="center"/>
              <w:rPr>
                <w:rFonts w:hint="eastAsia" w:ascii="宋体" w:hAnsi="宋体" w:cs="宋体"/>
                <w:szCs w:val="21"/>
                <w:highlight w:val="none"/>
              </w:rPr>
            </w:pPr>
          </w:p>
        </w:tc>
        <w:tc>
          <w:tcPr>
            <w:tcW w:w="1276" w:type="dxa"/>
            <w:tcBorders>
              <w:top w:val="nil"/>
              <w:left w:val="nil"/>
              <w:bottom w:val="single" w:color="auto" w:sz="8" w:space="0"/>
              <w:right w:val="single" w:color="auto" w:sz="8" w:space="0"/>
            </w:tcBorders>
            <w:vAlign w:val="center"/>
          </w:tcPr>
          <w:p w14:paraId="7029E1A5">
            <w:pPr>
              <w:widowControl/>
              <w:spacing w:line="360" w:lineRule="auto"/>
              <w:jc w:val="center"/>
              <w:rPr>
                <w:rFonts w:hint="eastAsia" w:ascii="宋体" w:hAnsi="宋体" w:cs="宋体"/>
                <w:szCs w:val="21"/>
                <w:highlight w:val="none"/>
              </w:rPr>
            </w:pPr>
          </w:p>
        </w:tc>
        <w:tc>
          <w:tcPr>
            <w:tcW w:w="1701" w:type="dxa"/>
            <w:tcBorders>
              <w:top w:val="nil"/>
              <w:left w:val="nil"/>
              <w:bottom w:val="single" w:color="auto" w:sz="8" w:space="0"/>
              <w:right w:val="single" w:color="auto" w:sz="8" w:space="0"/>
            </w:tcBorders>
            <w:vAlign w:val="center"/>
          </w:tcPr>
          <w:p w14:paraId="11C26F21">
            <w:pPr>
              <w:widowControl/>
              <w:spacing w:line="360" w:lineRule="auto"/>
              <w:jc w:val="center"/>
              <w:rPr>
                <w:rFonts w:hint="eastAsia" w:ascii="宋体" w:hAnsi="宋体" w:cs="宋体"/>
                <w:szCs w:val="21"/>
                <w:highlight w:val="none"/>
              </w:rPr>
            </w:pPr>
          </w:p>
        </w:tc>
        <w:tc>
          <w:tcPr>
            <w:tcW w:w="1554" w:type="dxa"/>
            <w:tcBorders>
              <w:top w:val="nil"/>
              <w:left w:val="nil"/>
              <w:bottom w:val="single" w:color="auto" w:sz="8" w:space="0"/>
              <w:right w:val="single" w:color="auto" w:sz="8" w:space="0"/>
            </w:tcBorders>
            <w:vAlign w:val="center"/>
          </w:tcPr>
          <w:p w14:paraId="6B2E05F3">
            <w:pPr>
              <w:widowControl/>
              <w:spacing w:line="360" w:lineRule="auto"/>
              <w:jc w:val="center"/>
              <w:rPr>
                <w:rFonts w:hint="eastAsia" w:ascii="宋体" w:hAnsi="宋体" w:cs="宋体"/>
                <w:szCs w:val="21"/>
                <w:highlight w:val="none"/>
              </w:rPr>
            </w:pPr>
          </w:p>
        </w:tc>
      </w:tr>
      <w:tr w14:paraId="21252E05">
        <w:tblPrEx>
          <w:tblCellMar>
            <w:top w:w="0" w:type="dxa"/>
            <w:left w:w="108" w:type="dxa"/>
            <w:bottom w:w="0" w:type="dxa"/>
            <w:right w:w="108" w:type="dxa"/>
          </w:tblCellMar>
        </w:tblPrEx>
        <w:trPr>
          <w:trHeight w:val="290" w:hRule="atLeast"/>
        </w:trPr>
        <w:tc>
          <w:tcPr>
            <w:tcW w:w="1486" w:type="dxa"/>
            <w:tcBorders>
              <w:top w:val="nil"/>
              <w:left w:val="single" w:color="auto" w:sz="8" w:space="0"/>
              <w:bottom w:val="single" w:color="auto" w:sz="8" w:space="0"/>
              <w:right w:val="single" w:color="auto" w:sz="8" w:space="0"/>
            </w:tcBorders>
            <w:vAlign w:val="center"/>
          </w:tcPr>
          <w:p w14:paraId="2AA7F1C7">
            <w:pPr>
              <w:widowControl/>
              <w:spacing w:line="360" w:lineRule="auto"/>
              <w:jc w:val="center"/>
              <w:rPr>
                <w:rFonts w:hint="eastAsia" w:ascii="宋体" w:hAnsi="宋体" w:cs="宋体"/>
                <w:szCs w:val="21"/>
                <w:highlight w:val="none"/>
              </w:rPr>
            </w:pPr>
          </w:p>
        </w:tc>
        <w:tc>
          <w:tcPr>
            <w:tcW w:w="1134" w:type="dxa"/>
            <w:tcBorders>
              <w:top w:val="nil"/>
              <w:left w:val="nil"/>
              <w:bottom w:val="single" w:color="auto" w:sz="8" w:space="0"/>
              <w:right w:val="single" w:color="auto" w:sz="8" w:space="0"/>
            </w:tcBorders>
            <w:vAlign w:val="center"/>
          </w:tcPr>
          <w:p w14:paraId="07F3322B">
            <w:pPr>
              <w:widowControl/>
              <w:spacing w:line="360" w:lineRule="auto"/>
              <w:jc w:val="center"/>
              <w:rPr>
                <w:rFonts w:hint="eastAsia" w:ascii="宋体" w:hAnsi="宋体" w:cs="宋体"/>
                <w:szCs w:val="21"/>
                <w:highlight w:val="none"/>
              </w:rPr>
            </w:pPr>
          </w:p>
        </w:tc>
        <w:tc>
          <w:tcPr>
            <w:tcW w:w="933" w:type="dxa"/>
            <w:tcBorders>
              <w:top w:val="nil"/>
              <w:left w:val="nil"/>
              <w:bottom w:val="single" w:color="auto" w:sz="8" w:space="0"/>
              <w:right w:val="single" w:color="auto" w:sz="8" w:space="0"/>
            </w:tcBorders>
            <w:vAlign w:val="center"/>
          </w:tcPr>
          <w:p w14:paraId="17D84B0E">
            <w:pPr>
              <w:widowControl/>
              <w:spacing w:line="360" w:lineRule="auto"/>
              <w:jc w:val="center"/>
              <w:rPr>
                <w:rFonts w:hint="eastAsia" w:ascii="宋体" w:hAnsi="宋体" w:cs="宋体"/>
                <w:szCs w:val="21"/>
                <w:highlight w:val="none"/>
              </w:rPr>
            </w:pPr>
          </w:p>
        </w:tc>
        <w:tc>
          <w:tcPr>
            <w:tcW w:w="1276" w:type="dxa"/>
            <w:tcBorders>
              <w:top w:val="nil"/>
              <w:left w:val="nil"/>
              <w:bottom w:val="single" w:color="auto" w:sz="8" w:space="0"/>
              <w:right w:val="single" w:color="auto" w:sz="8" w:space="0"/>
            </w:tcBorders>
            <w:vAlign w:val="center"/>
          </w:tcPr>
          <w:p w14:paraId="5FC40ABC">
            <w:pPr>
              <w:widowControl/>
              <w:spacing w:line="360" w:lineRule="auto"/>
              <w:jc w:val="center"/>
              <w:rPr>
                <w:rFonts w:hint="eastAsia" w:ascii="宋体" w:hAnsi="宋体" w:cs="宋体"/>
                <w:szCs w:val="21"/>
                <w:highlight w:val="none"/>
              </w:rPr>
            </w:pPr>
          </w:p>
        </w:tc>
        <w:tc>
          <w:tcPr>
            <w:tcW w:w="1276" w:type="dxa"/>
            <w:tcBorders>
              <w:top w:val="nil"/>
              <w:left w:val="nil"/>
              <w:bottom w:val="single" w:color="auto" w:sz="8" w:space="0"/>
              <w:right w:val="single" w:color="auto" w:sz="8" w:space="0"/>
            </w:tcBorders>
            <w:vAlign w:val="center"/>
          </w:tcPr>
          <w:p w14:paraId="7EDCC667">
            <w:pPr>
              <w:widowControl/>
              <w:spacing w:line="360" w:lineRule="auto"/>
              <w:jc w:val="center"/>
              <w:rPr>
                <w:rFonts w:hint="eastAsia" w:ascii="宋体" w:hAnsi="宋体" w:cs="宋体"/>
                <w:szCs w:val="21"/>
                <w:highlight w:val="none"/>
              </w:rPr>
            </w:pPr>
          </w:p>
        </w:tc>
        <w:tc>
          <w:tcPr>
            <w:tcW w:w="1701" w:type="dxa"/>
            <w:tcBorders>
              <w:top w:val="nil"/>
              <w:left w:val="nil"/>
              <w:bottom w:val="single" w:color="auto" w:sz="8" w:space="0"/>
              <w:right w:val="single" w:color="auto" w:sz="8" w:space="0"/>
            </w:tcBorders>
            <w:vAlign w:val="center"/>
          </w:tcPr>
          <w:p w14:paraId="76B46423">
            <w:pPr>
              <w:widowControl/>
              <w:spacing w:line="360" w:lineRule="auto"/>
              <w:jc w:val="center"/>
              <w:rPr>
                <w:rFonts w:hint="eastAsia" w:ascii="宋体" w:hAnsi="宋体" w:cs="宋体"/>
                <w:szCs w:val="21"/>
                <w:highlight w:val="none"/>
              </w:rPr>
            </w:pPr>
          </w:p>
        </w:tc>
        <w:tc>
          <w:tcPr>
            <w:tcW w:w="1554" w:type="dxa"/>
            <w:tcBorders>
              <w:top w:val="nil"/>
              <w:left w:val="nil"/>
              <w:bottom w:val="single" w:color="auto" w:sz="8" w:space="0"/>
              <w:right w:val="single" w:color="auto" w:sz="8" w:space="0"/>
            </w:tcBorders>
            <w:vAlign w:val="center"/>
          </w:tcPr>
          <w:p w14:paraId="01728356">
            <w:pPr>
              <w:widowControl/>
              <w:spacing w:line="360" w:lineRule="auto"/>
              <w:jc w:val="center"/>
              <w:rPr>
                <w:rFonts w:hint="eastAsia" w:ascii="宋体" w:hAnsi="宋体" w:cs="宋体"/>
                <w:szCs w:val="21"/>
                <w:highlight w:val="none"/>
              </w:rPr>
            </w:pPr>
          </w:p>
        </w:tc>
      </w:tr>
      <w:tr w14:paraId="7D0C33DB">
        <w:tblPrEx>
          <w:tblCellMar>
            <w:top w:w="0" w:type="dxa"/>
            <w:left w:w="108" w:type="dxa"/>
            <w:bottom w:w="0" w:type="dxa"/>
            <w:right w:w="108" w:type="dxa"/>
          </w:tblCellMar>
        </w:tblPrEx>
        <w:trPr>
          <w:trHeight w:val="290" w:hRule="atLeast"/>
        </w:trPr>
        <w:tc>
          <w:tcPr>
            <w:tcW w:w="1486" w:type="dxa"/>
            <w:tcBorders>
              <w:top w:val="nil"/>
              <w:left w:val="single" w:color="auto" w:sz="8" w:space="0"/>
              <w:bottom w:val="single" w:color="auto" w:sz="8" w:space="0"/>
              <w:right w:val="single" w:color="auto" w:sz="8" w:space="0"/>
            </w:tcBorders>
            <w:vAlign w:val="center"/>
          </w:tcPr>
          <w:p w14:paraId="2A633D00">
            <w:pPr>
              <w:widowControl/>
              <w:spacing w:line="360" w:lineRule="auto"/>
              <w:jc w:val="center"/>
              <w:rPr>
                <w:rFonts w:hint="eastAsia" w:ascii="宋体" w:hAnsi="宋体" w:cs="宋体"/>
                <w:szCs w:val="21"/>
                <w:highlight w:val="none"/>
              </w:rPr>
            </w:pPr>
          </w:p>
        </w:tc>
        <w:tc>
          <w:tcPr>
            <w:tcW w:w="1134" w:type="dxa"/>
            <w:tcBorders>
              <w:top w:val="nil"/>
              <w:left w:val="nil"/>
              <w:bottom w:val="single" w:color="auto" w:sz="8" w:space="0"/>
              <w:right w:val="single" w:color="auto" w:sz="8" w:space="0"/>
            </w:tcBorders>
            <w:vAlign w:val="center"/>
          </w:tcPr>
          <w:p w14:paraId="3C27FD68">
            <w:pPr>
              <w:widowControl/>
              <w:spacing w:line="360" w:lineRule="auto"/>
              <w:jc w:val="center"/>
              <w:rPr>
                <w:rFonts w:hint="eastAsia" w:ascii="宋体" w:hAnsi="宋体" w:cs="宋体"/>
                <w:szCs w:val="21"/>
                <w:highlight w:val="none"/>
              </w:rPr>
            </w:pPr>
          </w:p>
        </w:tc>
        <w:tc>
          <w:tcPr>
            <w:tcW w:w="933" w:type="dxa"/>
            <w:tcBorders>
              <w:top w:val="nil"/>
              <w:left w:val="nil"/>
              <w:bottom w:val="single" w:color="auto" w:sz="8" w:space="0"/>
              <w:right w:val="single" w:color="auto" w:sz="8" w:space="0"/>
            </w:tcBorders>
            <w:vAlign w:val="center"/>
          </w:tcPr>
          <w:p w14:paraId="65315D27">
            <w:pPr>
              <w:widowControl/>
              <w:spacing w:line="360" w:lineRule="auto"/>
              <w:jc w:val="center"/>
              <w:rPr>
                <w:rFonts w:hint="eastAsia" w:ascii="宋体" w:hAnsi="宋体" w:cs="宋体"/>
                <w:szCs w:val="21"/>
                <w:highlight w:val="none"/>
              </w:rPr>
            </w:pPr>
          </w:p>
        </w:tc>
        <w:tc>
          <w:tcPr>
            <w:tcW w:w="1276" w:type="dxa"/>
            <w:tcBorders>
              <w:top w:val="nil"/>
              <w:left w:val="nil"/>
              <w:bottom w:val="single" w:color="auto" w:sz="8" w:space="0"/>
              <w:right w:val="single" w:color="auto" w:sz="8" w:space="0"/>
            </w:tcBorders>
            <w:vAlign w:val="center"/>
          </w:tcPr>
          <w:p w14:paraId="31CF8593">
            <w:pPr>
              <w:widowControl/>
              <w:spacing w:line="360" w:lineRule="auto"/>
              <w:jc w:val="center"/>
              <w:rPr>
                <w:rFonts w:hint="eastAsia" w:ascii="宋体" w:hAnsi="宋体" w:cs="宋体"/>
                <w:szCs w:val="21"/>
                <w:highlight w:val="none"/>
              </w:rPr>
            </w:pPr>
          </w:p>
        </w:tc>
        <w:tc>
          <w:tcPr>
            <w:tcW w:w="1276" w:type="dxa"/>
            <w:tcBorders>
              <w:top w:val="nil"/>
              <w:left w:val="nil"/>
              <w:bottom w:val="single" w:color="auto" w:sz="8" w:space="0"/>
              <w:right w:val="single" w:color="auto" w:sz="8" w:space="0"/>
            </w:tcBorders>
            <w:vAlign w:val="center"/>
          </w:tcPr>
          <w:p w14:paraId="01441B2B">
            <w:pPr>
              <w:widowControl/>
              <w:spacing w:line="360" w:lineRule="auto"/>
              <w:jc w:val="center"/>
              <w:rPr>
                <w:rFonts w:hint="eastAsia" w:ascii="宋体" w:hAnsi="宋体" w:cs="宋体"/>
                <w:szCs w:val="21"/>
                <w:highlight w:val="none"/>
              </w:rPr>
            </w:pPr>
          </w:p>
        </w:tc>
        <w:tc>
          <w:tcPr>
            <w:tcW w:w="1701" w:type="dxa"/>
            <w:tcBorders>
              <w:top w:val="nil"/>
              <w:left w:val="nil"/>
              <w:bottom w:val="single" w:color="auto" w:sz="8" w:space="0"/>
              <w:right w:val="single" w:color="auto" w:sz="8" w:space="0"/>
            </w:tcBorders>
            <w:vAlign w:val="center"/>
          </w:tcPr>
          <w:p w14:paraId="2CD2EE07">
            <w:pPr>
              <w:widowControl/>
              <w:spacing w:line="360" w:lineRule="auto"/>
              <w:jc w:val="center"/>
              <w:rPr>
                <w:rFonts w:hint="eastAsia" w:ascii="宋体" w:hAnsi="宋体" w:cs="宋体"/>
                <w:szCs w:val="21"/>
                <w:highlight w:val="none"/>
              </w:rPr>
            </w:pPr>
          </w:p>
        </w:tc>
        <w:tc>
          <w:tcPr>
            <w:tcW w:w="1554" w:type="dxa"/>
            <w:tcBorders>
              <w:top w:val="nil"/>
              <w:left w:val="nil"/>
              <w:bottom w:val="single" w:color="auto" w:sz="8" w:space="0"/>
              <w:right w:val="single" w:color="auto" w:sz="8" w:space="0"/>
            </w:tcBorders>
            <w:vAlign w:val="center"/>
          </w:tcPr>
          <w:p w14:paraId="33025F3B">
            <w:pPr>
              <w:widowControl/>
              <w:spacing w:line="360" w:lineRule="auto"/>
              <w:jc w:val="center"/>
              <w:rPr>
                <w:rFonts w:hint="eastAsia" w:ascii="宋体" w:hAnsi="宋体" w:cs="宋体"/>
                <w:szCs w:val="21"/>
                <w:highlight w:val="none"/>
              </w:rPr>
            </w:pPr>
          </w:p>
        </w:tc>
      </w:tr>
      <w:tr w14:paraId="37C8E4CB">
        <w:tblPrEx>
          <w:tblCellMar>
            <w:top w:w="0" w:type="dxa"/>
            <w:left w:w="108" w:type="dxa"/>
            <w:bottom w:w="0" w:type="dxa"/>
            <w:right w:w="108" w:type="dxa"/>
          </w:tblCellMar>
        </w:tblPrEx>
        <w:trPr>
          <w:trHeight w:val="290" w:hRule="atLeast"/>
        </w:trPr>
        <w:tc>
          <w:tcPr>
            <w:tcW w:w="1486" w:type="dxa"/>
            <w:tcBorders>
              <w:top w:val="nil"/>
              <w:left w:val="single" w:color="auto" w:sz="8" w:space="0"/>
              <w:bottom w:val="single" w:color="auto" w:sz="8" w:space="0"/>
              <w:right w:val="single" w:color="auto" w:sz="8" w:space="0"/>
            </w:tcBorders>
            <w:vAlign w:val="center"/>
          </w:tcPr>
          <w:p w14:paraId="582E63D0">
            <w:pPr>
              <w:widowControl/>
              <w:spacing w:line="360" w:lineRule="auto"/>
              <w:jc w:val="center"/>
              <w:rPr>
                <w:rFonts w:hint="eastAsia" w:ascii="宋体" w:hAnsi="宋体" w:cs="宋体"/>
                <w:szCs w:val="21"/>
                <w:highlight w:val="none"/>
              </w:rPr>
            </w:pPr>
          </w:p>
        </w:tc>
        <w:tc>
          <w:tcPr>
            <w:tcW w:w="1134" w:type="dxa"/>
            <w:tcBorders>
              <w:top w:val="nil"/>
              <w:left w:val="nil"/>
              <w:bottom w:val="single" w:color="auto" w:sz="8" w:space="0"/>
              <w:right w:val="single" w:color="auto" w:sz="8" w:space="0"/>
            </w:tcBorders>
            <w:vAlign w:val="center"/>
          </w:tcPr>
          <w:p w14:paraId="06B7FF8D">
            <w:pPr>
              <w:widowControl/>
              <w:spacing w:line="360" w:lineRule="auto"/>
              <w:jc w:val="center"/>
              <w:rPr>
                <w:rFonts w:hint="eastAsia" w:ascii="宋体" w:hAnsi="宋体" w:cs="宋体"/>
                <w:szCs w:val="21"/>
                <w:highlight w:val="none"/>
              </w:rPr>
            </w:pPr>
          </w:p>
        </w:tc>
        <w:tc>
          <w:tcPr>
            <w:tcW w:w="933" w:type="dxa"/>
            <w:tcBorders>
              <w:top w:val="nil"/>
              <w:left w:val="nil"/>
              <w:bottom w:val="single" w:color="auto" w:sz="8" w:space="0"/>
              <w:right w:val="single" w:color="auto" w:sz="8" w:space="0"/>
            </w:tcBorders>
            <w:vAlign w:val="center"/>
          </w:tcPr>
          <w:p w14:paraId="5BD387A8">
            <w:pPr>
              <w:widowControl/>
              <w:spacing w:line="360" w:lineRule="auto"/>
              <w:jc w:val="center"/>
              <w:rPr>
                <w:rFonts w:hint="eastAsia" w:ascii="宋体" w:hAnsi="宋体" w:cs="宋体"/>
                <w:szCs w:val="21"/>
                <w:highlight w:val="none"/>
              </w:rPr>
            </w:pPr>
          </w:p>
        </w:tc>
        <w:tc>
          <w:tcPr>
            <w:tcW w:w="1276" w:type="dxa"/>
            <w:tcBorders>
              <w:top w:val="nil"/>
              <w:left w:val="nil"/>
              <w:bottom w:val="single" w:color="auto" w:sz="8" w:space="0"/>
              <w:right w:val="single" w:color="auto" w:sz="8" w:space="0"/>
            </w:tcBorders>
            <w:vAlign w:val="center"/>
          </w:tcPr>
          <w:p w14:paraId="5D082427">
            <w:pPr>
              <w:widowControl/>
              <w:spacing w:line="360" w:lineRule="auto"/>
              <w:jc w:val="center"/>
              <w:rPr>
                <w:rFonts w:hint="eastAsia" w:ascii="宋体" w:hAnsi="宋体" w:cs="宋体"/>
                <w:szCs w:val="21"/>
                <w:highlight w:val="none"/>
              </w:rPr>
            </w:pPr>
          </w:p>
        </w:tc>
        <w:tc>
          <w:tcPr>
            <w:tcW w:w="1276" w:type="dxa"/>
            <w:tcBorders>
              <w:top w:val="nil"/>
              <w:left w:val="nil"/>
              <w:bottom w:val="single" w:color="auto" w:sz="8" w:space="0"/>
              <w:right w:val="single" w:color="auto" w:sz="8" w:space="0"/>
            </w:tcBorders>
            <w:vAlign w:val="center"/>
          </w:tcPr>
          <w:p w14:paraId="1C5FCA21">
            <w:pPr>
              <w:widowControl/>
              <w:spacing w:line="360" w:lineRule="auto"/>
              <w:jc w:val="center"/>
              <w:rPr>
                <w:rFonts w:hint="eastAsia" w:ascii="宋体" w:hAnsi="宋体" w:cs="宋体"/>
                <w:szCs w:val="21"/>
                <w:highlight w:val="none"/>
              </w:rPr>
            </w:pPr>
          </w:p>
        </w:tc>
        <w:tc>
          <w:tcPr>
            <w:tcW w:w="1701" w:type="dxa"/>
            <w:tcBorders>
              <w:top w:val="nil"/>
              <w:left w:val="nil"/>
              <w:bottom w:val="single" w:color="auto" w:sz="8" w:space="0"/>
              <w:right w:val="single" w:color="auto" w:sz="8" w:space="0"/>
            </w:tcBorders>
            <w:vAlign w:val="center"/>
          </w:tcPr>
          <w:p w14:paraId="21DA254A">
            <w:pPr>
              <w:widowControl/>
              <w:spacing w:line="360" w:lineRule="auto"/>
              <w:jc w:val="center"/>
              <w:rPr>
                <w:rFonts w:hint="eastAsia" w:ascii="宋体" w:hAnsi="宋体" w:cs="宋体"/>
                <w:szCs w:val="21"/>
                <w:highlight w:val="none"/>
              </w:rPr>
            </w:pPr>
          </w:p>
        </w:tc>
        <w:tc>
          <w:tcPr>
            <w:tcW w:w="1554" w:type="dxa"/>
            <w:tcBorders>
              <w:top w:val="nil"/>
              <w:left w:val="nil"/>
              <w:bottom w:val="single" w:color="auto" w:sz="8" w:space="0"/>
              <w:right w:val="single" w:color="auto" w:sz="8" w:space="0"/>
            </w:tcBorders>
            <w:vAlign w:val="center"/>
          </w:tcPr>
          <w:p w14:paraId="48D53E6E">
            <w:pPr>
              <w:widowControl/>
              <w:spacing w:line="360" w:lineRule="auto"/>
              <w:jc w:val="center"/>
              <w:rPr>
                <w:rFonts w:hint="eastAsia" w:ascii="宋体" w:hAnsi="宋体" w:cs="宋体"/>
                <w:szCs w:val="21"/>
                <w:highlight w:val="none"/>
              </w:rPr>
            </w:pPr>
          </w:p>
        </w:tc>
      </w:tr>
      <w:tr w14:paraId="25A2B017">
        <w:tblPrEx>
          <w:tblCellMar>
            <w:top w:w="0" w:type="dxa"/>
            <w:left w:w="108" w:type="dxa"/>
            <w:bottom w:w="0" w:type="dxa"/>
            <w:right w:w="108" w:type="dxa"/>
          </w:tblCellMar>
        </w:tblPrEx>
        <w:trPr>
          <w:trHeight w:val="290" w:hRule="atLeast"/>
        </w:trPr>
        <w:tc>
          <w:tcPr>
            <w:tcW w:w="1486" w:type="dxa"/>
            <w:tcBorders>
              <w:top w:val="nil"/>
              <w:left w:val="single" w:color="auto" w:sz="8" w:space="0"/>
              <w:bottom w:val="single" w:color="auto" w:sz="8" w:space="0"/>
              <w:right w:val="single" w:color="auto" w:sz="8" w:space="0"/>
            </w:tcBorders>
            <w:vAlign w:val="center"/>
          </w:tcPr>
          <w:p w14:paraId="30FE09A0">
            <w:pPr>
              <w:widowControl/>
              <w:spacing w:line="360" w:lineRule="auto"/>
              <w:jc w:val="center"/>
              <w:rPr>
                <w:rFonts w:hint="eastAsia" w:ascii="宋体" w:hAnsi="宋体" w:cs="宋体"/>
                <w:szCs w:val="21"/>
                <w:highlight w:val="none"/>
              </w:rPr>
            </w:pPr>
          </w:p>
        </w:tc>
        <w:tc>
          <w:tcPr>
            <w:tcW w:w="1134" w:type="dxa"/>
            <w:tcBorders>
              <w:top w:val="nil"/>
              <w:left w:val="nil"/>
              <w:bottom w:val="single" w:color="auto" w:sz="8" w:space="0"/>
              <w:right w:val="single" w:color="auto" w:sz="8" w:space="0"/>
            </w:tcBorders>
            <w:vAlign w:val="center"/>
          </w:tcPr>
          <w:p w14:paraId="1CC41CB7">
            <w:pPr>
              <w:widowControl/>
              <w:spacing w:line="360" w:lineRule="auto"/>
              <w:jc w:val="center"/>
              <w:rPr>
                <w:rFonts w:hint="eastAsia" w:ascii="宋体" w:hAnsi="宋体" w:cs="宋体"/>
                <w:szCs w:val="21"/>
                <w:highlight w:val="none"/>
              </w:rPr>
            </w:pPr>
          </w:p>
        </w:tc>
        <w:tc>
          <w:tcPr>
            <w:tcW w:w="933" w:type="dxa"/>
            <w:tcBorders>
              <w:top w:val="nil"/>
              <w:left w:val="nil"/>
              <w:bottom w:val="single" w:color="auto" w:sz="8" w:space="0"/>
              <w:right w:val="single" w:color="auto" w:sz="8" w:space="0"/>
            </w:tcBorders>
            <w:vAlign w:val="center"/>
          </w:tcPr>
          <w:p w14:paraId="2A8E46F0">
            <w:pPr>
              <w:widowControl/>
              <w:spacing w:line="360" w:lineRule="auto"/>
              <w:jc w:val="center"/>
              <w:rPr>
                <w:rFonts w:hint="eastAsia" w:ascii="宋体" w:hAnsi="宋体" w:cs="宋体"/>
                <w:szCs w:val="21"/>
                <w:highlight w:val="none"/>
              </w:rPr>
            </w:pPr>
          </w:p>
        </w:tc>
        <w:tc>
          <w:tcPr>
            <w:tcW w:w="1276" w:type="dxa"/>
            <w:tcBorders>
              <w:top w:val="nil"/>
              <w:left w:val="nil"/>
              <w:bottom w:val="single" w:color="auto" w:sz="8" w:space="0"/>
              <w:right w:val="single" w:color="auto" w:sz="8" w:space="0"/>
            </w:tcBorders>
            <w:vAlign w:val="center"/>
          </w:tcPr>
          <w:p w14:paraId="2F443058">
            <w:pPr>
              <w:widowControl/>
              <w:spacing w:line="360" w:lineRule="auto"/>
              <w:jc w:val="center"/>
              <w:rPr>
                <w:rFonts w:hint="eastAsia" w:ascii="宋体" w:hAnsi="宋体" w:cs="宋体"/>
                <w:szCs w:val="21"/>
                <w:highlight w:val="none"/>
              </w:rPr>
            </w:pPr>
          </w:p>
        </w:tc>
        <w:tc>
          <w:tcPr>
            <w:tcW w:w="1276" w:type="dxa"/>
            <w:tcBorders>
              <w:top w:val="nil"/>
              <w:left w:val="nil"/>
              <w:bottom w:val="single" w:color="auto" w:sz="8" w:space="0"/>
              <w:right w:val="single" w:color="auto" w:sz="8" w:space="0"/>
            </w:tcBorders>
            <w:vAlign w:val="center"/>
          </w:tcPr>
          <w:p w14:paraId="65FF5A90">
            <w:pPr>
              <w:widowControl/>
              <w:spacing w:line="360" w:lineRule="auto"/>
              <w:jc w:val="center"/>
              <w:rPr>
                <w:rFonts w:hint="eastAsia" w:ascii="宋体" w:hAnsi="宋体" w:cs="宋体"/>
                <w:szCs w:val="21"/>
                <w:highlight w:val="none"/>
              </w:rPr>
            </w:pPr>
          </w:p>
        </w:tc>
        <w:tc>
          <w:tcPr>
            <w:tcW w:w="1701" w:type="dxa"/>
            <w:tcBorders>
              <w:top w:val="nil"/>
              <w:left w:val="nil"/>
              <w:bottom w:val="single" w:color="auto" w:sz="8" w:space="0"/>
              <w:right w:val="single" w:color="auto" w:sz="8" w:space="0"/>
            </w:tcBorders>
            <w:vAlign w:val="center"/>
          </w:tcPr>
          <w:p w14:paraId="104221CE">
            <w:pPr>
              <w:widowControl/>
              <w:spacing w:line="360" w:lineRule="auto"/>
              <w:jc w:val="center"/>
              <w:rPr>
                <w:rFonts w:hint="eastAsia" w:ascii="宋体" w:hAnsi="宋体" w:cs="宋体"/>
                <w:szCs w:val="21"/>
                <w:highlight w:val="none"/>
              </w:rPr>
            </w:pPr>
          </w:p>
        </w:tc>
        <w:tc>
          <w:tcPr>
            <w:tcW w:w="1554" w:type="dxa"/>
            <w:tcBorders>
              <w:top w:val="nil"/>
              <w:left w:val="nil"/>
              <w:bottom w:val="single" w:color="auto" w:sz="8" w:space="0"/>
              <w:right w:val="single" w:color="auto" w:sz="8" w:space="0"/>
            </w:tcBorders>
            <w:vAlign w:val="center"/>
          </w:tcPr>
          <w:p w14:paraId="541786FE">
            <w:pPr>
              <w:widowControl/>
              <w:spacing w:line="360" w:lineRule="auto"/>
              <w:jc w:val="center"/>
              <w:rPr>
                <w:rFonts w:hint="eastAsia" w:ascii="宋体" w:hAnsi="宋体" w:cs="宋体"/>
                <w:szCs w:val="21"/>
                <w:highlight w:val="none"/>
              </w:rPr>
            </w:pPr>
          </w:p>
        </w:tc>
      </w:tr>
      <w:tr w14:paraId="6B3F68F2">
        <w:tblPrEx>
          <w:tblCellMar>
            <w:top w:w="0" w:type="dxa"/>
            <w:left w:w="108" w:type="dxa"/>
            <w:bottom w:w="0" w:type="dxa"/>
            <w:right w:w="108" w:type="dxa"/>
          </w:tblCellMar>
        </w:tblPrEx>
        <w:trPr>
          <w:trHeight w:val="290" w:hRule="atLeast"/>
        </w:trPr>
        <w:tc>
          <w:tcPr>
            <w:tcW w:w="1486" w:type="dxa"/>
            <w:tcBorders>
              <w:top w:val="nil"/>
              <w:left w:val="single" w:color="auto" w:sz="8" w:space="0"/>
              <w:bottom w:val="single" w:color="auto" w:sz="8" w:space="0"/>
              <w:right w:val="single" w:color="auto" w:sz="8" w:space="0"/>
            </w:tcBorders>
            <w:vAlign w:val="center"/>
          </w:tcPr>
          <w:p w14:paraId="6D4A38D2">
            <w:pPr>
              <w:widowControl/>
              <w:spacing w:line="360" w:lineRule="auto"/>
              <w:jc w:val="center"/>
              <w:rPr>
                <w:rFonts w:hint="eastAsia" w:ascii="宋体" w:hAnsi="宋体" w:cs="宋体"/>
                <w:szCs w:val="21"/>
                <w:highlight w:val="none"/>
              </w:rPr>
            </w:pPr>
          </w:p>
        </w:tc>
        <w:tc>
          <w:tcPr>
            <w:tcW w:w="1134" w:type="dxa"/>
            <w:tcBorders>
              <w:top w:val="nil"/>
              <w:left w:val="nil"/>
              <w:bottom w:val="single" w:color="auto" w:sz="8" w:space="0"/>
              <w:right w:val="single" w:color="auto" w:sz="8" w:space="0"/>
            </w:tcBorders>
            <w:vAlign w:val="center"/>
          </w:tcPr>
          <w:p w14:paraId="5372C1A8">
            <w:pPr>
              <w:widowControl/>
              <w:spacing w:line="360" w:lineRule="auto"/>
              <w:jc w:val="center"/>
              <w:rPr>
                <w:rFonts w:hint="eastAsia" w:ascii="宋体" w:hAnsi="宋体" w:cs="宋体"/>
                <w:szCs w:val="21"/>
                <w:highlight w:val="none"/>
              </w:rPr>
            </w:pPr>
          </w:p>
        </w:tc>
        <w:tc>
          <w:tcPr>
            <w:tcW w:w="933" w:type="dxa"/>
            <w:tcBorders>
              <w:top w:val="nil"/>
              <w:left w:val="nil"/>
              <w:bottom w:val="single" w:color="auto" w:sz="8" w:space="0"/>
              <w:right w:val="single" w:color="auto" w:sz="8" w:space="0"/>
            </w:tcBorders>
            <w:vAlign w:val="center"/>
          </w:tcPr>
          <w:p w14:paraId="747C1D20">
            <w:pPr>
              <w:widowControl/>
              <w:spacing w:line="360" w:lineRule="auto"/>
              <w:jc w:val="center"/>
              <w:rPr>
                <w:rFonts w:hint="eastAsia" w:ascii="宋体" w:hAnsi="宋体" w:cs="宋体"/>
                <w:szCs w:val="21"/>
                <w:highlight w:val="none"/>
              </w:rPr>
            </w:pPr>
          </w:p>
        </w:tc>
        <w:tc>
          <w:tcPr>
            <w:tcW w:w="1276" w:type="dxa"/>
            <w:tcBorders>
              <w:top w:val="nil"/>
              <w:left w:val="nil"/>
              <w:bottom w:val="single" w:color="auto" w:sz="8" w:space="0"/>
              <w:right w:val="single" w:color="auto" w:sz="8" w:space="0"/>
            </w:tcBorders>
            <w:vAlign w:val="center"/>
          </w:tcPr>
          <w:p w14:paraId="58763F52">
            <w:pPr>
              <w:widowControl/>
              <w:spacing w:line="360" w:lineRule="auto"/>
              <w:jc w:val="center"/>
              <w:rPr>
                <w:rFonts w:hint="eastAsia" w:ascii="宋体" w:hAnsi="宋体" w:cs="宋体"/>
                <w:szCs w:val="21"/>
                <w:highlight w:val="none"/>
              </w:rPr>
            </w:pPr>
          </w:p>
        </w:tc>
        <w:tc>
          <w:tcPr>
            <w:tcW w:w="1276" w:type="dxa"/>
            <w:tcBorders>
              <w:top w:val="nil"/>
              <w:left w:val="nil"/>
              <w:bottom w:val="single" w:color="auto" w:sz="8" w:space="0"/>
              <w:right w:val="single" w:color="auto" w:sz="8" w:space="0"/>
            </w:tcBorders>
            <w:vAlign w:val="center"/>
          </w:tcPr>
          <w:p w14:paraId="4B681FCE">
            <w:pPr>
              <w:widowControl/>
              <w:spacing w:line="360" w:lineRule="auto"/>
              <w:jc w:val="center"/>
              <w:rPr>
                <w:rFonts w:hint="eastAsia" w:ascii="宋体" w:hAnsi="宋体" w:cs="宋体"/>
                <w:szCs w:val="21"/>
                <w:highlight w:val="none"/>
              </w:rPr>
            </w:pPr>
          </w:p>
        </w:tc>
        <w:tc>
          <w:tcPr>
            <w:tcW w:w="1701" w:type="dxa"/>
            <w:tcBorders>
              <w:top w:val="nil"/>
              <w:left w:val="nil"/>
              <w:bottom w:val="single" w:color="auto" w:sz="8" w:space="0"/>
              <w:right w:val="single" w:color="auto" w:sz="8" w:space="0"/>
            </w:tcBorders>
            <w:vAlign w:val="center"/>
          </w:tcPr>
          <w:p w14:paraId="7498F4B4">
            <w:pPr>
              <w:widowControl/>
              <w:spacing w:line="360" w:lineRule="auto"/>
              <w:jc w:val="center"/>
              <w:rPr>
                <w:rFonts w:hint="eastAsia" w:ascii="宋体" w:hAnsi="宋体" w:cs="宋体"/>
                <w:szCs w:val="21"/>
                <w:highlight w:val="none"/>
              </w:rPr>
            </w:pPr>
          </w:p>
        </w:tc>
        <w:tc>
          <w:tcPr>
            <w:tcW w:w="1554" w:type="dxa"/>
            <w:tcBorders>
              <w:top w:val="nil"/>
              <w:left w:val="nil"/>
              <w:bottom w:val="single" w:color="auto" w:sz="8" w:space="0"/>
              <w:right w:val="single" w:color="auto" w:sz="8" w:space="0"/>
            </w:tcBorders>
            <w:vAlign w:val="center"/>
          </w:tcPr>
          <w:p w14:paraId="2AF0998C">
            <w:pPr>
              <w:widowControl/>
              <w:spacing w:line="360" w:lineRule="auto"/>
              <w:jc w:val="center"/>
              <w:rPr>
                <w:rFonts w:hint="eastAsia" w:ascii="宋体" w:hAnsi="宋体" w:cs="宋体"/>
                <w:szCs w:val="21"/>
                <w:highlight w:val="none"/>
              </w:rPr>
            </w:pPr>
          </w:p>
        </w:tc>
      </w:tr>
      <w:tr w14:paraId="231B8F01">
        <w:tblPrEx>
          <w:tblCellMar>
            <w:top w:w="0" w:type="dxa"/>
            <w:left w:w="108" w:type="dxa"/>
            <w:bottom w:w="0" w:type="dxa"/>
            <w:right w:w="108" w:type="dxa"/>
          </w:tblCellMar>
        </w:tblPrEx>
        <w:trPr>
          <w:trHeight w:val="290" w:hRule="atLeast"/>
        </w:trPr>
        <w:tc>
          <w:tcPr>
            <w:tcW w:w="1486" w:type="dxa"/>
            <w:tcBorders>
              <w:top w:val="nil"/>
              <w:left w:val="single" w:color="auto" w:sz="8" w:space="0"/>
              <w:bottom w:val="single" w:color="auto" w:sz="8" w:space="0"/>
              <w:right w:val="single" w:color="auto" w:sz="8" w:space="0"/>
            </w:tcBorders>
            <w:vAlign w:val="center"/>
          </w:tcPr>
          <w:p w14:paraId="7AAA0AFD">
            <w:pPr>
              <w:widowControl/>
              <w:spacing w:line="360" w:lineRule="auto"/>
              <w:jc w:val="center"/>
              <w:rPr>
                <w:rFonts w:hint="eastAsia" w:ascii="宋体" w:hAnsi="宋体" w:cs="宋体"/>
                <w:szCs w:val="21"/>
                <w:highlight w:val="none"/>
              </w:rPr>
            </w:pPr>
          </w:p>
        </w:tc>
        <w:tc>
          <w:tcPr>
            <w:tcW w:w="1134" w:type="dxa"/>
            <w:tcBorders>
              <w:top w:val="nil"/>
              <w:left w:val="nil"/>
              <w:bottom w:val="single" w:color="auto" w:sz="8" w:space="0"/>
              <w:right w:val="single" w:color="auto" w:sz="8" w:space="0"/>
            </w:tcBorders>
            <w:vAlign w:val="center"/>
          </w:tcPr>
          <w:p w14:paraId="68748E82">
            <w:pPr>
              <w:widowControl/>
              <w:spacing w:line="360" w:lineRule="auto"/>
              <w:jc w:val="center"/>
              <w:rPr>
                <w:rFonts w:hint="eastAsia" w:ascii="宋体" w:hAnsi="宋体" w:cs="宋体"/>
                <w:szCs w:val="21"/>
                <w:highlight w:val="none"/>
              </w:rPr>
            </w:pPr>
          </w:p>
        </w:tc>
        <w:tc>
          <w:tcPr>
            <w:tcW w:w="933" w:type="dxa"/>
            <w:tcBorders>
              <w:top w:val="nil"/>
              <w:left w:val="nil"/>
              <w:bottom w:val="single" w:color="auto" w:sz="8" w:space="0"/>
              <w:right w:val="single" w:color="auto" w:sz="8" w:space="0"/>
            </w:tcBorders>
            <w:vAlign w:val="center"/>
          </w:tcPr>
          <w:p w14:paraId="5A8C0224">
            <w:pPr>
              <w:widowControl/>
              <w:spacing w:line="360" w:lineRule="auto"/>
              <w:jc w:val="center"/>
              <w:rPr>
                <w:rFonts w:hint="eastAsia" w:ascii="宋体" w:hAnsi="宋体" w:cs="宋体"/>
                <w:szCs w:val="21"/>
                <w:highlight w:val="none"/>
              </w:rPr>
            </w:pPr>
          </w:p>
        </w:tc>
        <w:tc>
          <w:tcPr>
            <w:tcW w:w="1276" w:type="dxa"/>
            <w:tcBorders>
              <w:top w:val="nil"/>
              <w:left w:val="nil"/>
              <w:bottom w:val="single" w:color="auto" w:sz="8" w:space="0"/>
              <w:right w:val="single" w:color="auto" w:sz="8" w:space="0"/>
            </w:tcBorders>
            <w:vAlign w:val="center"/>
          </w:tcPr>
          <w:p w14:paraId="483B1504">
            <w:pPr>
              <w:widowControl/>
              <w:spacing w:line="360" w:lineRule="auto"/>
              <w:jc w:val="center"/>
              <w:rPr>
                <w:rFonts w:hint="eastAsia" w:ascii="宋体" w:hAnsi="宋体" w:cs="宋体"/>
                <w:szCs w:val="21"/>
                <w:highlight w:val="none"/>
              </w:rPr>
            </w:pPr>
          </w:p>
        </w:tc>
        <w:tc>
          <w:tcPr>
            <w:tcW w:w="1276" w:type="dxa"/>
            <w:tcBorders>
              <w:top w:val="nil"/>
              <w:left w:val="nil"/>
              <w:bottom w:val="single" w:color="auto" w:sz="8" w:space="0"/>
              <w:right w:val="single" w:color="auto" w:sz="8" w:space="0"/>
            </w:tcBorders>
            <w:vAlign w:val="center"/>
          </w:tcPr>
          <w:p w14:paraId="1DA2108C">
            <w:pPr>
              <w:widowControl/>
              <w:spacing w:line="360" w:lineRule="auto"/>
              <w:jc w:val="center"/>
              <w:rPr>
                <w:rFonts w:hint="eastAsia" w:ascii="宋体" w:hAnsi="宋体" w:cs="宋体"/>
                <w:szCs w:val="21"/>
                <w:highlight w:val="none"/>
              </w:rPr>
            </w:pPr>
          </w:p>
        </w:tc>
        <w:tc>
          <w:tcPr>
            <w:tcW w:w="1701" w:type="dxa"/>
            <w:tcBorders>
              <w:top w:val="nil"/>
              <w:left w:val="nil"/>
              <w:bottom w:val="single" w:color="auto" w:sz="8" w:space="0"/>
              <w:right w:val="single" w:color="auto" w:sz="8" w:space="0"/>
            </w:tcBorders>
            <w:vAlign w:val="center"/>
          </w:tcPr>
          <w:p w14:paraId="6D619962">
            <w:pPr>
              <w:widowControl/>
              <w:spacing w:line="360" w:lineRule="auto"/>
              <w:jc w:val="center"/>
              <w:rPr>
                <w:rFonts w:hint="eastAsia" w:ascii="宋体" w:hAnsi="宋体" w:cs="宋体"/>
                <w:szCs w:val="21"/>
                <w:highlight w:val="none"/>
              </w:rPr>
            </w:pPr>
          </w:p>
        </w:tc>
        <w:tc>
          <w:tcPr>
            <w:tcW w:w="1554" w:type="dxa"/>
            <w:tcBorders>
              <w:top w:val="nil"/>
              <w:left w:val="nil"/>
              <w:bottom w:val="single" w:color="auto" w:sz="8" w:space="0"/>
              <w:right w:val="single" w:color="auto" w:sz="8" w:space="0"/>
            </w:tcBorders>
            <w:vAlign w:val="center"/>
          </w:tcPr>
          <w:p w14:paraId="54462C3A">
            <w:pPr>
              <w:widowControl/>
              <w:spacing w:line="360" w:lineRule="auto"/>
              <w:jc w:val="center"/>
              <w:rPr>
                <w:rFonts w:hint="eastAsia" w:ascii="宋体" w:hAnsi="宋体" w:cs="宋体"/>
                <w:szCs w:val="21"/>
                <w:highlight w:val="none"/>
              </w:rPr>
            </w:pPr>
          </w:p>
        </w:tc>
      </w:tr>
      <w:tr w14:paraId="70684166">
        <w:tblPrEx>
          <w:tblCellMar>
            <w:top w:w="0" w:type="dxa"/>
            <w:left w:w="108" w:type="dxa"/>
            <w:bottom w:w="0" w:type="dxa"/>
            <w:right w:w="108" w:type="dxa"/>
          </w:tblCellMar>
        </w:tblPrEx>
        <w:trPr>
          <w:trHeight w:val="290" w:hRule="atLeast"/>
        </w:trPr>
        <w:tc>
          <w:tcPr>
            <w:tcW w:w="1486" w:type="dxa"/>
            <w:tcBorders>
              <w:top w:val="nil"/>
              <w:left w:val="single" w:color="auto" w:sz="8" w:space="0"/>
              <w:bottom w:val="single" w:color="auto" w:sz="8" w:space="0"/>
              <w:right w:val="single" w:color="auto" w:sz="8" w:space="0"/>
            </w:tcBorders>
            <w:vAlign w:val="center"/>
          </w:tcPr>
          <w:p w14:paraId="7349DC59">
            <w:pPr>
              <w:widowControl/>
              <w:spacing w:line="360" w:lineRule="auto"/>
              <w:jc w:val="center"/>
              <w:rPr>
                <w:rFonts w:hint="eastAsia" w:ascii="宋体" w:hAnsi="宋体" w:cs="宋体"/>
                <w:szCs w:val="21"/>
                <w:highlight w:val="none"/>
              </w:rPr>
            </w:pPr>
          </w:p>
        </w:tc>
        <w:tc>
          <w:tcPr>
            <w:tcW w:w="1134" w:type="dxa"/>
            <w:tcBorders>
              <w:top w:val="nil"/>
              <w:left w:val="nil"/>
              <w:bottom w:val="single" w:color="auto" w:sz="8" w:space="0"/>
              <w:right w:val="single" w:color="auto" w:sz="8" w:space="0"/>
            </w:tcBorders>
            <w:vAlign w:val="center"/>
          </w:tcPr>
          <w:p w14:paraId="73972B01">
            <w:pPr>
              <w:widowControl/>
              <w:spacing w:line="360" w:lineRule="auto"/>
              <w:jc w:val="center"/>
              <w:rPr>
                <w:rFonts w:hint="eastAsia" w:ascii="宋体" w:hAnsi="宋体" w:cs="宋体"/>
                <w:szCs w:val="21"/>
                <w:highlight w:val="none"/>
              </w:rPr>
            </w:pPr>
          </w:p>
        </w:tc>
        <w:tc>
          <w:tcPr>
            <w:tcW w:w="933" w:type="dxa"/>
            <w:tcBorders>
              <w:top w:val="nil"/>
              <w:left w:val="nil"/>
              <w:bottom w:val="single" w:color="auto" w:sz="8" w:space="0"/>
              <w:right w:val="single" w:color="auto" w:sz="8" w:space="0"/>
            </w:tcBorders>
            <w:vAlign w:val="center"/>
          </w:tcPr>
          <w:p w14:paraId="0959BC21">
            <w:pPr>
              <w:widowControl/>
              <w:spacing w:line="360" w:lineRule="auto"/>
              <w:jc w:val="center"/>
              <w:rPr>
                <w:rFonts w:hint="eastAsia" w:ascii="宋体" w:hAnsi="宋体" w:cs="宋体"/>
                <w:szCs w:val="21"/>
                <w:highlight w:val="none"/>
              </w:rPr>
            </w:pPr>
          </w:p>
        </w:tc>
        <w:tc>
          <w:tcPr>
            <w:tcW w:w="1276" w:type="dxa"/>
            <w:tcBorders>
              <w:top w:val="nil"/>
              <w:left w:val="nil"/>
              <w:bottom w:val="single" w:color="auto" w:sz="8" w:space="0"/>
              <w:right w:val="single" w:color="auto" w:sz="8" w:space="0"/>
            </w:tcBorders>
            <w:vAlign w:val="center"/>
          </w:tcPr>
          <w:p w14:paraId="5292EDB8">
            <w:pPr>
              <w:widowControl/>
              <w:spacing w:line="360" w:lineRule="auto"/>
              <w:jc w:val="center"/>
              <w:rPr>
                <w:rFonts w:hint="eastAsia" w:ascii="宋体" w:hAnsi="宋体" w:cs="宋体"/>
                <w:szCs w:val="21"/>
                <w:highlight w:val="none"/>
              </w:rPr>
            </w:pPr>
          </w:p>
        </w:tc>
        <w:tc>
          <w:tcPr>
            <w:tcW w:w="1276" w:type="dxa"/>
            <w:tcBorders>
              <w:top w:val="nil"/>
              <w:left w:val="nil"/>
              <w:bottom w:val="single" w:color="auto" w:sz="8" w:space="0"/>
              <w:right w:val="single" w:color="auto" w:sz="8" w:space="0"/>
            </w:tcBorders>
            <w:vAlign w:val="center"/>
          </w:tcPr>
          <w:p w14:paraId="69B67A5E">
            <w:pPr>
              <w:widowControl/>
              <w:spacing w:line="360" w:lineRule="auto"/>
              <w:jc w:val="center"/>
              <w:rPr>
                <w:rFonts w:hint="eastAsia" w:ascii="宋体" w:hAnsi="宋体" w:cs="宋体"/>
                <w:szCs w:val="21"/>
                <w:highlight w:val="none"/>
              </w:rPr>
            </w:pPr>
          </w:p>
        </w:tc>
        <w:tc>
          <w:tcPr>
            <w:tcW w:w="1701" w:type="dxa"/>
            <w:tcBorders>
              <w:top w:val="nil"/>
              <w:left w:val="nil"/>
              <w:bottom w:val="single" w:color="auto" w:sz="8" w:space="0"/>
              <w:right w:val="single" w:color="auto" w:sz="8" w:space="0"/>
            </w:tcBorders>
            <w:vAlign w:val="center"/>
          </w:tcPr>
          <w:p w14:paraId="18814FC7">
            <w:pPr>
              <w:widowControl/>
              <w:spacing w:line="360" w:lineRule="auto"/>
              <w:jc w:val="center"/>
              <w:rPr>
                <w:rFonts w:hint="eastAsia" w:ascii="宋体" w:hAnsi="宋体" w:cs="宋体"/>
                <w:szCs w:val="21"/>
                <w:highlight w:val="none"/>
              </w:rPr>
            </w:pPr>
          </w:p>
        </w:tc>
        <w:tc>
          <w:tcPr>
            <w:tcW w:w="1554" w:type="dxa"/>
            <w:tcBorders>
              <w:top w:val="nil"/>
              <w:left w:val="nil"/>
              <w:bottom w:val="single" w:color="auto" w:sz="8" w:space="0"/>
              <w:right w:val="single" w:color="auto" w:sz="8" w:space="0"/>
            </w:tcBorders>
            <w:vAlign w:val="center"/>
          </w:tcPr>
          <w:p w14:paraId="33DE40C9">
            <w:pPr>
              <w:widowControl/>
              <w:spacing w:line="360" w:lineRule="auto"/>
              <w:jc w:val="center"/>
              <w:rPr>
                <w:rFonts w:hint="eastAsia" w:ascii="宋体" w:hAnsi="宋体" w:cs="宋体"/>
                <w:szCs w:val="21"/>
                <w:highlight w:val="none"/>
              </w:rPr>
            </w:pPr>
          </w:p>
        </w:tc>
      </w:tr>
    </w:tbl>
    <w:p w14:paraId="6AA1D2D9">
      <w:pPr>
        <w:spacing w:line="360" w:lineRule="auto"/>
        <w:rPr>
          <w:rFonts w:hint="eastAsia" w:ascii="宋体" w:hAnsi="宋体"/>
          <w:szCs w:val="21"/>
          <w:highlight w:val="none"/>
        </w:rPr>
      </w:pPr>
    </w:p>
    <w:p w14:paraId="5D22C524">
      <w:pPr>
        <w:spacing w:line="360" w:lineRule="auto"/>
        <w:rPr>
          <w:rFonts w:hint="eastAsia" w:ascii="宋体" w:hAnsi="宋体"/>
          <w:szCs w:val="21"/>
          <w:highlight w:val="none"/>
        </w:rPr>
      </w:pPr>
    </w:p>
    <w:p w14:paraId="19F1EF04">
      <w:pPr>
        <w:pStyle w:val="37"/>
        <w:overflowPunct w:val="0"/>
        <w:spacing w:line="360" w:lineRule="auto"/>
        <w:ind w:firstLine="420" w:firstLineChars="200"/>
        <w:rPr>
          <w:rFonts w:hint="eastAsia" w:ascii="宋体" w:hAnsi="宋体"/>
          <w:highlight w:val="none"/>
        </w:rPr>
      </w:pPr>
    </w:p>
    <w:p w14:paraId="716B265F">
      <w:pPr>
        <w:spacing w:line="360" w:lineRule="auto"/>
        <w:ind w:firstLine="480"/>
        <w:jc w:val="right"/>
        <w:rPr>
          <w:rFonts w:hint="eastAsia" w:ascii="宋体" w:hAnsi="宋体" w:cs="宋体"/>
          <w:szCs w:val="21"/>
          <w:highlight w:val="none"/>
        </w:rPr>
      </w:pPr>
    </w:p>
    <w:p w14:paraId="36ABF403">
      <w:pPr>
        <w:spacing w:line="360" w:lineRule="auto"/>
        <w:ind w:firstLine="480"/>
        <w:jc w:val="center"/>
        <w:rPr>
          <w:rFonts w:hint="eastAsia" w:ascii="宋体" w:hAnsi="宋体" w:cs="宋体"/>
          <w:szCs w:val="21"/>
          <w:highlight w:val="none"/>
        </w:rPr>
      </w:pPr>
      <w:r>
        <w:rPr>
          <w:rFonts w:hint="eastAsia" w:ascii="宋体" w:hAnsi="宋体" w:cs="宋体"/>
          <w:szCs w:val="21"/>
          <w:highlight w:val="none"/>
        </w:rPr>
        <w:t xml:space="preserve">                             供应商（公章）：</w:t>
      </w:r>
    </w:p>
    <w:p w14:paraId="7DBCE756">
      <w:pPr>
        <w:spacing w:line="360" w:lineRule="auto"/>
        <w:ind w:firstLine="480"/>
        <w:jc w:val="right"/>
        <w:rPr>
          <w:rFonts w:hint="eastAsia" w:ascii="宋体" w:hAnsi="宋体" w:cs="宋体"/>
          <w:szCs w:val="21"/>
          <w:highlight w:val="none"/>
        </w:rPr>
      </w:pPr>
      <w:r>
        <w:rPr>
          <w:rFonts w:hint="eastAsia" w:ascii="宋体" w:hAnsi="宋体" w:cs="宋体"/>
          <w:szCs w:val="21"/>
          <w:highlight w:val="none"/>
        </w:rPr>
        <w:t>法定代表人或授权代表（签字或盖章）：</w:t>
      </w:r>
    </w:p>
    <w:p w14:paraId="5303BCB0">
      <w:pPr>
        <w:spacing w:line="360" w:lineRule="auto"/>
        <w:ind w:firstLine="480"/>
        <w:jc w:val="center"/>
        <w:rPr>
          <w:rFonts w:hint="eastAsia" w:ascii="宋体" w:hAnsi="宋体" w:cs="宋体"/>
          <w:szCs w:val="21"/>
          <w:highlight w:val="none"/>
        </w:rPr>
      </w:pPr>
      <w:r>
        <w:rPr>
          <w:rFonts w:hint="eastAsia" w:ascii="宋体" w:hAnsi="宋体" w:cs="宋体"/>
          <w:szCs w:val="21"/>
          <w:highlight w:val="none"/>
        </w:rPr>
        <w:t xml:space="preserve">                                 日期：  　年　月　日</w:t>
      </w:r>
    </w:p>
    <w:p w14:paraId="516A7BE3">
      <w:pPr>
        <w:pStyle w:val="37"/>
        <w:overflowPunct w:val="0"/>
        <w:spacing w:line="360" w:lineRule="auto"/>
        <w:ind w:firstLine="420" w:firstLineChars="200"/>
        <w:rPr>
          <w:rFonts w:hint="eastAsia" w:ascii="宋体" w:hAnsi="宋体"/>
          <w:highlight w:val="none"/>
        </w:rPr>
      </w:pPr>
    </w:p>
    <w:p w14:paraId="7D1F8608">
      <w:pPr>
        <w:widowControl/>
        <w:spacing w:line="360" w:lineRule="auto"/>
        <w:jc w:val="center"/>
        <w:rPr>
          <w:rFonts w:hint="eastAsia" w:ascii="宋体" w:hAnsi="宋体" w:cs="宋体"/>
          <w:b/>
          <w:szCs w:val="21"/>
          <w:highlight w:val="none"/>
        </w:rPr>
      </w:pPr>
      <w:r>
        <w:rPr>
          <w:rFonts w:ascii="宋体" w:hAnsi="宋体"/>
          <w:b/>
          <w:szCs w:val="21"/>
          <w:highlight w:val="none"/>
        </w:rPr>
        <w:br w:type="page"/>
      </w:r>
      <w:r>
        <w:rPr>
          <w:rFonts w:hint="eastAsia" w:ascii="宋体" w:hAnsi="宋体" w:cs="宋体"/>
          <w:b/>
          <w:szCs w:val="21"/>
          <w:highlight w:val="none"/>
        </w:rPr>
        <w:t>12.</w:t>
      </w:r>
      <w:r>
        <w:rPr>
          <w:rFonts w:hint="eastAsia" w:ascii="宋体" w:hAnsi="宋体" w:cs="宋体"/>
          <w:b/>
          <w:bCs/>
          <w:szCs w:val="21"/>
          <w:highlight w:val="none"/>
        </w:rPr>
        <w:t>供应商一般情况表</w:t>
      </w:r>
    </w:p>
    <w:tbl>
      <w:tblPr>
        <w:tblStyle w:val="1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626"/>
        <w:gridCol w:w="897"/>
        <w:gridCol w:w="1021"/>
        <w:gridCol w:w="1160"/>
        <w:gridCol w:w="311"/>
        <w:gridCol w:w="1246"/>
        <w:gridCol w:w="63"/>
        <w:gridCol w:w="720"/>
        <w:gridCol w:w="1923"/>
      </w:tblGrid>
      <w:tr w14:paraId="4D926A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1626" w:type="dxa"/>
            <w:vAlign w:val="center"/>
          </w:tcPr>
          <w:p w14:paraId="3D65E78E">
            <w:pPr>
              <w:spacing w:line="360" w:lineRule="auto"/>
              <w:jc w:val="center"/>
              <w:rPr>
                <w:rFonts w:hint="eastAsia" w:ascii="宋体" w:hAnsi="宋体" w:cs="宋体"/>
                <w:szCs w:val="21"/>
                <w:highlight w:val="none"/>
              </w:rPr>
            </w:pPr>
            <w:r>
              <w:rPr>
                <w:rFonts w:hint="eastAsia" w:ascii="宋体" w:hAnsi="宋体" w:cs="宋体"/>
                <w:szCs w:val="21"/>
                <w:highlight w:val="none"/>
              </w:rPr>
              <w:t>供应商名称</w:t>
            </w:r>
          </w:p>
        </w:tc>
        <w:tc>
          <w:tcPr>
            <w:tcW w:w="7341" w:type="dxa"/>
            <w:gridSpan w:val="8"/>
            <w:vAlign w:val="center"/>
          </w:tcPr>
          <w:p w14:paraId="0970F5CD">
            <w:pPr>
              <w:spacing w:line="360" w:lineRule="auto"/>
              <w:jc w:val="center"/>
              <w:rPr>
                <w:rFonts w:hint="eastAsia" w:ascii="宋体" w:hAnsi="宋体" w:cs="宋体"/>
                <w:szCs w:val="21"/>
                <w:highlight w:val="none"/>
              </w:rPr>
            </w:pPr>
          </w:p>
        </w:tc>
      </w:tr>
      <w:tr w14:paraId="101C20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1626" w:type="dxa"/>
            <w:vAlign w:val="center"/>
          </w:tcPr>
          <w:p w14:paraId="0505DC7B">
            <w:pPr>
              <w:spacing w:line="360" w:lineRule="auto"/>
              <w:jc w:val="center"/>
              <w:rPr>
                <w:rFonts w:hint="eastAsia" w:ascii="宋体" w:hAnsi="宋体" w:cs="宋体"/>
                <w:szCs w:val="21"/>
                <w:highlight w:val="none"/>
              </w:rPr>
            </w:pPr>
            <w:r>
              <w:rPr>
                <w:rFonts w:hint="eastAsia" w:ascii="宋体" w:hAnsi="宋体" w:cs="宋体"/>
                <w:szCs w:val="21"/>
                <w:highlight w:val="none"/>
              </w:rPr>
              <w:t>注册地址</w:t>
            </w:r>
          </w:p>
        </w:tc>
        <w:tc>
          <w:tcPr>
            <w:tcW w:w="3389" w:type="dxa"/>
            <w:gridSpan w:val="4"/>
            <w:vAlign w:val="center"/>
          </w:tcPr>
          <w:p w14:paraId="4CE8047E">
            <w:pPr>
              <w:spacing w:line="360" w:lineRule="auto"/>
              <w:jc w:val="center"/>
              <w:rPr>
                <w:rFonts w:hint="eastAsia" w:ascii="宋体" w:hAnsi="宋体" w:cs="宋体"/>
                <w:szCs w:val="21"/>
                <w:highlight w:val="none"/>
              </w:rPr>
            </w:pPr>
          </w:p>
        </w:tc>
        <w:tc>
          <w:tcPr>
            <w:tcW w:w="1246" w:type="dxa"/>
            <w:vAlign w:val="center"/>
          </w:tcPr>
          <w:p w14:paraId="7C013D3F">
            <w:pPr>
              <w:spacing w:line="360" w:lineRule="auto"/>
              <w:jc w:val="center"/>
              <w:rPr>
                <w:rFonts w:hint="eastAsia" w:ascii="宋体" w:hAnsi="宋体" w:cs="宋体"/>
                <w:szCs w:val="21"/>
                <w:highlight w:val="none"/>
              </w:rPr>
            </w:pPr>
            <w:r>
              <w:rPr>
                <w:rFonts w:hint="eastAsia" w:ascii="宋体" w:hAnsi="宋体" w:cs="宋体"/>
                <w:szCs w:val="21"/>
                <w:highlight w:val="none"/>
              </w:rPr>
              <w:t>邮政编码</w:t>
            </w:r>
          </w:p>
        </w:tc>
        <w:tc>
          <w:tcPr>
            <w:tcW w:w="2706" w:type="dxa"/>
            <w:gridSpan w:val="3"/>
            <w:vAlign w:val="center"/>
          </w:tcPr>
          <w:p w14:paraId="5697942B">
            <w:pPr>
              <w:spacing w:line="360" w:lineRule="auto"/>
              <w:jc w:val="center"/>
              <w:rPr>
                <w:rFonts w:hint="eastAsia" w:ascii="宋体" w:hAnsi="宋体" w:cs="宋体"/>
                <w:szCs w:val="21"/>
                <w:highlight w:val="none"/>
              </w:rPr>
            </w:pPr>
          </w:p>
        </w:tc>
      </w:tr>
      <w:tr w14:paraId="4D968D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1626" w:type="dxa"/>
            <w:vMerge w:val="restart"/>
            <w:vAlign w:val="center"/>
          </w:tcPr>
          <w:p w14:paraId="220DD692">
            <w:pPr>
              <w:spacing w:line="360" w:lineRule="auto"/>
              <w:jc w:val="center"/>
              <w:rPr>
                <w:rFonts w:hint="eastAsia" w:ascii="宋体" w:hAnsi="宋体" w:cs="宋体"/>
                <w:szCs w:val="21"/>
                <w:highlight w:val="none"/>
              </w:rPr>
            </w:pPr>
            <w:r>
              <w:rPr>
                <w:rFonts w:hint="eastAsia" w:ascii="宋体" w:hAnsi="宋体" w:cs="宋体"/>
                <w:szCs w:val="21"/>
                <w:highlight w:val="none"/>
              </w:rPr>
              <w:t>联系方式</w:t>
            </w:r>
          </w:p>
        </w:tc>
        <w:tc>
          <w:tcPr>
            <w:tcW w:w="897" w:type="dxa"/>
            <w:vAlign w:val="center"/>
          </w:tcPr>
          <w:p w14:paraId="07ED7609">
            <w:pPr>
              <w:spacing w:line="360" w:lineRule="auto"/>
              <w:jc w:val="center"/>
              <w:rPr>
                <w:rFonts w:hint="eastAsia" w:ascii="宋体" w:hAnsi="宋体" w:cs="宋体"/>
                <w:szCs w:val="21"/>
                <w:highlight w:val="none"/>
              </w:rPr>
            </w:pPr>
            <w:r>
              <w:rPr>
                <w:rFonts w:hint="eastAsia" w:ascii="宋体" w:hAnsi="宋体" w:cs="宋体"/>
                <w:szCs w:val="21"/>
                <w:highlight w:val="none"/>
              </w:rPr>
              <w:t>联系人</w:t>
            </w:r>
          </w:p>
        </w:tc>
        <w:tc>
          <w:tcPr>
            <w:tcW w:w="2492" w:type="dxa"/>
            <w:gridSpan w:val="3"/>
            <w:vAlign w:val="center"/>
          </w:tcPr>
          <w:p w14:paraId="3BD5E653">
            <w:pPr>
              <w:spacing w:line="360" w:lineRule="auto"/>
              <w:jc w:val="center"/>
              <w:rPr>
                <w:rFonts w:hint="eastAsia" w:ascii="宋体" w:hAnsi="宋体" w:cs="宋体"/>
                <w:szCs w:val="21"/>
                <w:highlight w:val="none"/>
              </w:rPr>
            </w:pPr>
          </w:p>
        </w:tc>
        <w:tc>
          <w:tcPr>
            <w:tcW w:w="1246" w:type="dxa"/>
            <w:vAlign w:val="center"/>
          </w:tcPr>
          <w:p w14:paraId="17F1DAB1">
            <w:pPr>
              <w:spacing w:line="360" w:lineRule="auto"/>
              <w:jc w:val="center"/>
              <w:rPr>
                <w:rFonts w:hint="eastAsia" w:ascii="宋体" w:hAnsi="宋体" w:cs="宋体"/>
                <w:szCs w:val="21"/>
                <w:highlight w:val="none"/>
              </w:rPr>
            </w:pPr>
            <w:r>
              <w:rPr>
                <w:rFonts w:hint="eastAsia" w:ascii="宋体" w:hAnsi="宋体" w:cs="宋体"/>
                <w:szCs w:val="21"/>
                <w:highlight w:val="none"/>
              </w:rPr>
              <w:t>电话</w:t>
            </w:r>
          </w:p>
        </w:tc>
        <w:tc>
          <w:tcPr>
            <w:tcW w:w="2706" w:type="dxa"/>
            <w:gridSpan w:val="3"/>
            <w:vAlign w:val="center"/>
          </w:tcPr>
          <w:p w14:paraId="345F784A">
            <w:pPr>
              <w:spacing w:line="360" w:lineRule="auto"/>
              <w:jc w:val="center"/>
              <w:rPr>
                <w:rFonts w:hint="eastAsia" w:ascii="宋体" w:hAnsi="宋体" w:cs="宋体"/>
                <w:szCs w:val="21"/>
                <w:highlight w:val="none"/>
              </w:rPr>
            </w:pPr>
          </w:p>
        </w:tc>
      </w:tr>
      <w:tr w14:paraId="51C03B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1626" w:type="dxa"/>
            <w:vMerge w:val="continue"/>
            <w:vAlign w:val="center"/>
          </w:tcPr>
          <w:p w14:paraId="23BA2ADD">
            <w:pPr>
              <w:spacing w:line="360" w:lineRule="auto"/>
              <w:jc w:val="center"/>
              <w:rPr>
                <w:rFonts w:hint="eastAsia" w:ascii="宋体" w:hAnsi="宋体" w:cs="宋体"/>
                <w:szCs w:val="21"/>
                <w:highlight w:val="none"/>
              </w:rPr>
            </w:pPr>
          </w:p>
        </w:tc>
        <w:tc>
          <w:tcPr>
            <w:tcW w:w="897" w:type="dxa"/>
            <w:vAlign w:val="center"/>
          </w:tcPr>
          <w:p w14:paraId="380B205A">
            <w:pPr>
              <w:spacing w:line="360" w:lineRule="auto"/>
              <w:jc w:val="center"/>
              <w:rPr>
                <w:rFonts w:hint="eastAsia" w:ascii="宋体" w:hAnsi="宋体" w:cs="宋体"/>
                <w:szCs w:val="21"/>
                <w:highlight w:val="none"/>
              </w:rPr>
            </w:pPr>
            <w:r>
              <w:rPr>
                <w:rFonts w:hint="eastAsia" w:ascii="宋体" w:hAnsi="宋体" w:cs="宋体"/>
                <w:szCs w:val="21"/>
                <w:highlight w:val="none"/>
              </w:rPr>
              <w:t>传真</w:t>
            </w:r>
          </w:p>
        </w:tc>
        <w:tc>
          <w:tcPr>
            <w:tcW w:w="2492" w:type="dxa"/>
            <w:gridSpan w:val="3"/>
            <w:vAlign w:val="center"/>
          </w:tcPr>
          <w:p w14:paraId="1DE4DBCA">
            <w:pPr>
              <w:spacing w:line="360" w:lineRule="auto"/>
              <w:jc w:val="center"/>
              <w:rPr>
                <w:rFonts w:hint="eastAsia" w:ascii="宋体" w:hAnsi="宋体" w:cs="宋体"/>
                <w:szCs w:val="21"/>
                <w:highlight w:val="none"/>
              </w:rPr>
            </w:pPr>
          </w:p>
        </w:tc>
        <w:tc>
          <w:tcPr>
            <w:tcW w:w="1246" w:type="dxa"/>
            <w:vAlign w:val="center"/>
          </w:tcPr>
          <w:p w14:paraId="6FD0859C">
            <w:pPr>
              <w:spacing w:line="360" w:lineRule="auto"/>
              <w:jc w:val="center"/>
              <w:rPr>
                <w:rFonts w:hint="eastAsia" w:ascii="宋体" w:hAnsi="宋体" w:cs="宋体"/>
                <w:szCs w:val="21"/>
                <w:highlight w:val="none"/>
              </w:rPr>
            </w:pPr>
            <w:r>
              <w:rPr>
                <w:rFonts w:hint="eastAsia" w:ascii="宋体" w:hAnsi="宋体" w:cs="宋体"/>
                <w:szCs w:val="21"/>
                <w:highlight w:val="none"/>
              </w:rPr>
              <w:t>网址</w:t>
            </w:r>
          </w:p>
        </w:tc>
        <w:tc>
          <w:tcPr>
            <w:tcW w:w="2706" w:type="dxa"/>
            <w:gridSpan w:val="3"/>
            <w:vAlign w:val="center"/>
          </w:tcPr>
          <w:p w14:paraId="2DA2987A">
            <w:pPr>
              <w:spacing w:line="360" w:lineRule="auto"/>
              <w:jc w:val="center"/>
              <w:rPr>
                <w:rFonts w:hint="eastAsia" w:ascii="宋体" w:hAnsi="宋体" w:cs="宋体"/>
                <w:szCs w:val="21"/>
                <w:highlight w:val="none"/>
              </w:rPr>
            </w:pPr>
          </w:p>
        </w:tc>
      </w:tr>
      <w:tr w14:paraId="3CBB74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1626" w:type="dxa"/>
            <w:vAlign w:val="center"/>
          </w:tcPr>
          <w:p w14:paraId="56C65CD0">
            <w:pPr>
              <w:spacing w:line="360" w:lineRule="auto"/>
              <w:jc w:val="center"/>
              <w:rPr>
                <w:rFonts w:hint="eastAsia" w:ascii="宋体" w:hAnsi="宋体" w:cs="宋体"/>
                <w:szCs w:val="21"/>
                <w:highlight w:val="none"/>
              </w:rPr>
            </w:pPr>
            <w:r>
              <w:rPr>
                <w:rFonts w:hint="eastAsia" w:ascii="宋体" w:hAnsi="宋体" w:cs="宋体"/>
                <w:szCs w:val="21"/>
                <w:highlight w:val="none"/>
              </w:rPr>
              <w:t>企业统一社会信用代码</w:t>
            </w:r>
          </w:p>
        </w:tc>
        <w:tc>
          <w:tcPr>
            <w:tcW w:w="7341" w:type="dxa"/>
            <w:gridSpan w:val="8"/>
            <w:vAlign w:val="center"/>
          </w:tcPr>
          <w:p w14:paraId="12E3803E">
            <w:pPr>
              <w:spacing w:line="360" w:lineRule="auto"/>
              <w:jc w:val="center"/>
              <w:rPr>
                <w:rFonts w:hint="eastAsia" w:ascii="宋体" w:hAnsi="宋体" w:cs="宋体"/>
                <w:szCs w:val="21"/>
                <w:highlight w:val="none"/>
              </w:rPr>
            </w:pPr>
          </w:p>
        </w:tc>
      </w:tr>
      <w:tr w14:paraId="1AFB87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1626" w:type="dxa"/>
            <w:vAlign w:val="center"/>
          </w:tcPr>
          <w:p w14:paraId="7E708818">
            <w:pPr>
              <w:spacing w:line="360" w:lineRule="auto"/>
              <w:jc w:val="center"/>
              <w:rPr>
                <w:rFonts w:hint="eastAsia" w:ascii="宋体" w:hAnsi="宋体" w:cs="宋体"/>
                <w:szCs w:val="21"/>
                <w:highlight w:val="none"/>
              </w:rPr>
            </w:pPr>
            <w:r>
              <w:rPr>
                <w:rFonts w:hint="eastAsia" w:ascii="宋体" w:hAnsi="宋体" w:cs="宋体"/>
                <w:szCs w:val="21"/>
                <w:highlight w:val="none"/>
              </w:rPr>
              <w:t>法定代表人</w:t>
            </w:r>
          </w:p>
        </w:tc>
        <w:tc>
          <w:tcPr>
            <w:tcW w:w="897" w:type="dxa"/>
            <w:vAlign w:val="center"/>
          </w:tcPr>
          <w:p w14:paraId="3E21F2C3">
            <w:pPr>
              <w:spacing w:line="360" w:lineRule="auto"/>
              <w:jc w:val="center"/>
              <w:rPr>
                <w:rFonts w:hint="eastAsia" w:ascii="宋体" w:hAnsi="宋体" w:cs="宋体"/>
                <w:szCs w:val="21"/>
                <w:highlight w:val="none"/>
              </w:rPr>
            </w:pPr>
            <w:r>
              <w:rPr>
                <w:rFonts w:hint="eastAsia" w:ascii="宋体" w:hAnsi="宋体" w:cs="宋体"/>
                <w:szCs w:val="21"/>
                <w:highlight w:val="none"/>
              </w:rPr>
              <w:t>姓名</w:t>
            </w:r>
          </w:p>
        </w:tc>
        <w:tc>
          <w:tcPr>
            <w:tcW w:w="1021" w:type="dxa"/>
            <w:vAlign w:val="center"/>
          </w:tcPr>
          <w:p w14:paraId="376AE800">
            <w:pPr>
              <w:spacing w:line="360" w:lineRule="auto"/>
              <w:jc w:val="center"/>
              <w:rPr>
                <w:rFonts w:hint="eastAsia" w:ascii="宋体" w:hAnsi="宋体" w:cs="宋体"/>
                <w:szCs w:val="21"/>
                <w:highlight w:val="none"/>
              </w:rPr>
            </w:pPr>
          </w:p>
        </w:tc>
        <w:tc>
          <w:tcPr>
            <w:tcW w:w="1160" w:type="dxa"/>
            <w:vAlign w:val="center"/>
          </w:tcPr>
          <w:p w14:paraId="1B531494">
            <w:pPr>
              <w:spacing w:line="360" w:lineRule="auto"/>
              <w:jc w:val="center"/>
              <w:rPr>
                <w:rFonts w:hint="eastAsia" w:ascii="宋体" w:hAnsi="宋体" w:cs="宋体"/>
                <w:szCs w:val="21"/>
                <w:highlight w:val="none"/>
              </w:rPr>
            </w:pPr>
            <w:r>
              <w:rPr>
                <w:rFonts w:hint="eastAsia" w:ascii="宋体" w:hAnsi="宋体" w:cs="宋体"/>
                <w:szCs w:val="21"/>
                <w:highlight w:val="none"/>
              </w:rPr>
              <w:t>技术职称</w:t>
            </w:r>
          </w:p>
        </w:tc>
        <w:tc>
          <w:tcPr>
            <w:tcW w:w="1620" w:type="dxa"/>
            <w:gridSpan w:val="3"/>
            <w:vAlign w:val="center"/>
          </w:tcPr>
          <w:p w14:paraId="5D493DAB">
            <w:pPr>
              <w:spacing w:line="360" w:lineRule="auto"/>
              <w:jc w:val="center"/>
              <w:rPr>
                <w:rFonts w:hint="eastAsia" w:ascii="宋体" w:hAnsi="宋体" w:cs="宋体"/>
                <w:szCs w:val="21"/>
                <w:highlight w:val="none"/>
              </w:rPr>
            </w:pPr>
          </w:p>
        </w:tc>
        <w:tc>
          <w:tcPr>
            <w:tcW w:w="720" w:type="dxa"/>
            <w:vAlign w:val="center"/>
          </w:tcPr>
          <w:p w14:paraId="5DCFA309">
            <w:pPr>
              <w:spacing w:line="360" w:lineRule="auto"/>
              <w:jc w:val="center"/>
              <w:rPr>
                <w:rFonts w:hint="eastAsia" w:ascii="宋体" w:hAnsi="宋体" w:cs="宋体"/>
                <w:szCs w:val="21"/>
                <w:highlight w:val="none"/>
              </w:rPr>
            </w:pPr>
            <w:r>
              <w:rPr>
                <w:rFonts w:hint="eastAsia" w:ascii="宋体" w:hAnsi="宋体" w:cs="宋体"/>
                <w:szCs w:val="21"/>
                <w:highlight w:val="none"/>
              </w:rPr>
              <w:t>电话</w:t>
            </w:r>
          </w:p>
        </w:tc>
        <w:tc>
          <w:tcPr>
            <w:tcW w:w="1923" w:type="dxa"/>
            <w:vAlign w:val="center"/>
          </w:tcPr>
          <w:p w14:paraId="01AE68EA">
            <w:pPr>
              <w:spacing w:line="360" w:lineRule="auto"/>
              <w:jc w:val="center"/>
              <w:rPr>
                <w:rFonts w:hint="eastAsia" w:ascii="宋体" w:hAnsi="宋体" w:cs="宋体"/>
                <w:szCs w:val="21"/>
                <w:highlight w:val="none"/>
              </w:rPr>
            </w:pPr>
          </w:p>
        </w:tc>
      </w:tr>
      <w:tr w14:paraId="4BA26C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1626" w:type="dxa"/>
            <w:vAlign w:val="center"/>
          </w:tcPr>
          <w:p w14:paraId="3E99EA9C">
            <w:pPr>
              <w:spacing w:line="360" w:lineRule="auto"/>
              <w:jc w:val="center"/>
              <w:rPr>
                <w:rFonts w:hint="eastAsia" w:ascii="宋体" w:hAnsi="宋体" w:cs="宋体"/>
                <w:szCs w:val="21"/>
                <w:highlight w:val="none"/>
              </w:rPr>
            </w:pPr>
            <w:r>
              <w:rPr>
                <w:rFonts w:hint="eastAsia" w:ascii="宋体" w:hAnsi="宋体" w:cs="宋体"/>
                <w:szCs w:val="21"/>
                <w:highlight w:val="none"/>
              </w:rPr>
              <w:t>技术负责人</w:t>
            </w:r>
          </w:p>
        </w:tc>
        <w:tc>
          <w:tcPr>
            <w:tcW w:w="897" w:type="dxa"/>
            <w:vAlign w:val="center"/>
          </w:tcPr>
          <w:p w14:paraId="31CA41E8">
            <w:pPr>
              <w:spacing w:line="360" w:lineRule="auto"/>
              <w:jc w:val="center"/>
              <w:rPr>
                <w:rFonts w:hint="eastAsia" w:ascii="宋体" w:hAnsi="宋体" w:cs="宋体"/>
                <w:szCs w:val="21"/>
                <w:highlight w:val="none"/>
              </w:rPr>
            </w:pPr>
            <w:r>
              <w:rPr>
                <w:rFonts w:hint="eastAsia" w:ascii="宋体" w:hAnsi="宋体" w:cs="宋体"/>
                <w:szCs w:val="21"/>
                <w:highlight w:val="none"/>
              </w:rPr>
              <w:t>姓名</w:t>
            </w:r>
          </w:p>
        </w:tc>
        <w:tc>
          <w:tcPr>
            <w:tcW w:w="1021" w:type="dxa"/>
            <w:vAlign w:val="center"/>
          </w:tcPr>
          <w:p w14:paraId="374F35F3">
            <w:pPr>
              <w:spacing w:line="360" w:lineRule="auto"/>
              <w:jc w:val="center"/>
              <w:rPr>
                <w:rFonts w:hint="eastAsia" w:ascii="宋体" w:hAnsi="宋体" w:cs="宋体"/>
                <w:szCs w:val="21"/>
                <w:highlight w:val="none"/>
              </w:rPr>
            </w:pPr>
          </w:p>
        </w:tc>
        <w:tc>
          <w:tcPr>
            <w:tcW w:w="1160" w:type="dxa"/>
            <w:vAlign w:val="center"/>
          </w:tcPr>
          <w:p w14:paraId="74D58EDB">
            <w:pPr>
              <w:spacing w:line="360" w:lineRule="auto"/>
              <w:jc w:val="center"/>
              <w:rPr>
                <w:rFonts w:hint="eastAsia" w:ascii="宋体" w:hAnsi="宋体" w:cs="宋体"/>
                <w:szCs w:val="21"/>
                <w:highlight w:val="none"/>
              </w:rPr>
            </w:pPr>
            <w:r>
              <w:rPr>
                <w:rFonts w:hint="eastAsia" w:ascii="宋体" w:hAnsi="宋体" w:cs="宋体"/>
                <w:szCs w:val="21"/>
                <w:highlight w:val="none"/>
              </w:rPr>
              <w:t>技术职称</w:t>
            </w:r>
          </w:p>
        </w:tc>
        <w:tc>
          <w:tcPr>
            <w:tcW w:w="1620" w:type="dxa"/>
            <w:gridSpan w:val="3"/>
            <w:vAlign w:val="center"/>
          </w:tcPr>
          <w:p w14:paraId="3FD650C2">
            <w:pPr>
              <w:spacing w:line="360" w:lineRule="auto"/>
              <w:jc w:val="center"/>
              <w:rPr>
                <w:rFonts w:hint="eastAsia" w:ascii="宋体" w:hAnsi="宋体" w:cs="宋体"/>
                <w:szCs w:val="21"/>
                <w:highlight w:val="none"/>
              </w:rPr>
            </w:pPr>
          </w:p>
        </w:tc>
        <w:tc>
          <w:tcPr>
            <w:tcW w:w="720" w:type="dxa"/>
            <w:vAlign w:val="center"/>
          </w:tcPr>
          <w:p w14:paraId="1BE4FD38">
            <w:pPr>
              <w:spacing w:line="360" w:lineRule="auto"/>
              <w:jc w:val="center"/>
              <w:rPr>
                <w:rFonts w:hint="eastAsia" w:ascii="宋体" w:hAnsi="宋体" w:cs="宋体"/>
                <w:szCs w:val="21"/>
                <w:highlight w:val="none"/>
              </w:rPr>
            </w:pPr>
            <w:r>
              <w:rPr>
                <w:rFonts w:hint="eastAsia" w:ascii="宋体" w:hAnsi="宋体" w:cs="宋体"/>
                <w:szCs w:val="21"/>
                <w:highlight w:val="none"/>
              </w:rPr>
              <w:t>电话</w:t>
            </w:r>
          </w:p>
        </w:tc>
        <w:tc>
          <w:tcPr>
            <w:tcW w:w="1923" w:type="dxa"/>
            <w:vAlign w:val="center"/>
          </w:tcPr>
          <w:p w14:paraId="3AD2FF8C">
            <w:pPr>
              <w:spacing w:line="360" w:lineRule="auto"/>
              <w:jc w:val="center"/>
              <w:rPr>
                <w:rFonts w:hint="eastAsia" w:ascii="宋体" w:hAnsi="宋体" w:cs="宋体"/>
                <w:szCs w:val="21"/>
                <w:highlight w:val="none"/>
              </w:rPr>
            </w:pPr>
          </w:p>
        </w:tc>
      </w:tr>
      <w:tr w14:paraId="593F7E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1626" w:type="dxa"/>
            <w:vAlign w:val="center"/>
          </w:tcPr>
          <w:p w14:paraId="311C339E">
            <w:pPr>
              <w:spacing w:line="360" w:lineRule="auto"/>
              <w:jc w:val="center"/>
              <w:rPr>
                <w:rFonts w:hint="eastAsia" w:ascii="宋体" w:hAnsi="宋体" w:cs="宋体"/>
                <w:szCs w:val="21"/>
                <w:highlight w:val="none"/>
              </w:rPr>
            </w:pPr>
            <w:r>
              <w:rPr>
                <w:rFonts w:hint="eastAsia" w:ascii="宋体" w:hAnsi="宋体" w:cs="宋体"/>
                <w:szCs w:val="21"/>
                <w:highlight w:val="none"/>
              </w:rPr>
              <w:t>成立时间</w:t>
            </w:r>
          </w:p>
        </w:tc>
        <w:tc>
          <w:tcPr>
            <w:tcW w:w="1918" w:type="dxa"/>
            <w:gridSpan w:val="2"/>
            <w:vAlign w:val="center"/>
          </w:tcPr>
          <w:p w14:paraId="21F4FC42">
            <w:pPr>
              <w:spacing w:line="360" w:lineRule="auto"/>
              <w:jc w:val="center"/>
              <w:rPr>
                <w:rFonts w:hint="eastAsia" w:ascii="宋体" w:hAnsi="宋体" w:cs="宋体"/>
                <w:szCs w:val="21"/>
                <w:highlight w:val="none"/>
              </w:rPr>
            </w:pPr>
          </w:p>
        </w:tc>
        <w:tc>
          <w:tcPr>
            <w:tcW w:w="5423" w:type="dxa"/>
            <w:gridSpan w:val="6"/>
            <w:vAlign w:val="center"/>
          </w:tcPr>
          <w:p w14:paraId="4E7E2ADF">
            <w:pPr>
              <w:spacing w:line="360" w:lineRule="auto"/>
              <w:jc w:val="center"/>
              <w:rPr>
                <w:rFonts w:hint="eastAsia" w:ascii="宋体" w:hAnsi="宋体" w:cs="宋体"/>
                <w:szCs w:val="21"/>
                <w:highlight w:val="none"/>
              </w:rPr>
            </w:pPr>
            <w:r>
              <w:rPr>
                <w:rFonts w:hint="eastAsia" w:ascii="宋体" w:hAnsi="宋体" w:cs="宋体"/>
                <w:szCs w:val="21"/>
                <w:highlight w:val="none"/>
              </w:rPr>
              <w:t>员工总人数：</w:t>
            </w:r>
          </w:p>
        </w:tc>
      </w:tr>
      <w:tr w14:paraId="0F9611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1626" w:type="dxa"/>
            <w:vAlign w:val="center"/>
          </w:tcPr>
          <w:p w14:paraId="73D1FA20">
            <w:pPr>
              <w:spacing w:line="360" w:lineRule="auto"/>
              <w:jc w:val="center"/>
              <w:rPr>
                <w:rFonts w:hint="eastAsia" w:ascii="宋体" w:hAnsi="宋体" w:cs="宋体"/>
                <w:szCs w:val="21"/>
                <w:highlight w:val="none"/>
              </w:rPr>
            </w:pPr>
            <w:r>
              <w:rPr>
                <w:rFonts w:hint="eastAsia" w:ascii="宋体" w:hAnsi="宋体" w:cs="宋体"/>
                <w:szCs w:val="21"/>
                <w:highlight w:val="none"/>
              </w:rPr>
              <w:t>企业资质等级</w:t>
            </w:r>
          </w:p>
        </w:tc>
        <w:tc>
          <w:tcPr>
            <w:tcW w:w="1918" w:type="dxa"/>
            <w:gridSpan w:val="2"/>
            <w:vAlign w:val="center"/>
          </w:tcPr>
          <w:p w14:paraId="597590F0">
            <w:pPr>
              <w:spacing w:line="360" w:lineRule="auto"/>
              <w:jc w:val="center"/>
              <w:rPr>
                <w:rFonts w:hint="eastAsia" w:ascii="宋体" w:hAnsi="宋体" w:cs="宋体"/>
                <w:szCs w:val="21"/>
                <w:highlight w:val="none"/>
              </w:rPr>
            </w:pPr>
          </w:p>
        </w:tc>
        <w:tc>
          <w:tcPr>
            <w:tcW w:w="1160" w:type="dxa"/>
            <w:vMerge w:val="restart"/>
            <w:vAlign w:val="center"/>
          </w:tcPr>
          <w:p w14:paraId="0E463603">
            <w:pPr>
              <w:spacing w:line="360" w:lineRule="auto"/>
              <w:jc w:val="center"/>
              <w:rPr>
                <w:rFonts w:hint="eastAsia" w:ascii="宋体" w:hAnsi="宋体" w:cs="宋体"/>
                <w:szCs w:val="21"/>
                <w:highlight w:val="none"/>
              </w:rPr>
            </w:pPr>
            <w:r>
              <w:rPr>
                <w:rFonts w:hint="eastAsia" w:ascii="宋体" w:hAnsi="宋体" w:cs="宋体"/>
                <w:szCs w:val="21"/>
                <w:highlight w:val="none"/>
              </w:rPr>
              <w:t>其中</w:t>
            </w:r>
          </w:p>
        </w:tc>
        <w:tc>
          <w:tcPr>
            <w:tcW w:w="1620" w:type="dxa"/>
            <w:gridSpan w:val="3"/>
            <w:vAlign w:val="center"/>
          </w:tcPr>
          <w:p w14:paraId="3692B701">
            <w:pPr>
              <w:spacing w:line="360" w:lineRule="auto"/>
              <w:jc w:val="center"/>
              <w:rPr>
                <w:rFonts w:hint="eastAsia" w:ascii="宋体" w:hAnsi="宋体" w:cs="宋体"/>
                <w:szCs w:val="21"/>
                <w:highlight w:val="none"/>
              </w:rPr>
            </w:pPr>
            <w:r>
              <w:rPr>
                <w:rFonts w:hint="eastAsia" w:ascii="宋体" w:hAnsi="宋体" w:cs="宋体"/>
                <w:szCs w:val="21"/>
                <w:highlight w:val="none"/>
              </w:rPr>
              <w:t>注册建造师</w:t>
            </w:r>
          </w:p>
        </w:tc>
        <w:tc>
          <w:tcPr>
            <w:tcW w:w="2643" w:type="dxa"/>
            <w:gridSpan w:val="2"/>
            <w:vAlign w:val="center"/>
          </w:tcPr>
          <w:p w14:paraId="358377C2">
            <w:pPr>
              <w:spacing w:line="360" w:lineRule="auto"/>
              <w:jc w:val="center"/>
              <w:rPr>
                <w:rFonts w:hint="eastAsia" w:ascii="宋体" w:hAnsi="宋体" w:cs="宋体"/>
                <w:szCs w:val="21"/>
                <w:highlight w:val="none"/>
              </w:rPr>
            </w:pPr>
          </w:p>
        </w:tc>
      </w:tr>
      <w:tr w14:paraId="3033AC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1626" w:type="dxa"/>
            <w:vAlign w:val="center"/>
          </w:tcPr>
          <w:p w14:paraId="0B2AA5BC">
            <w:pPr>
              <w:spacing w:line="360" w:lineRule="auto"/>
              <w:jc w:val="center"/>
              <w:rPr>
                <w:rFonts w:hint="eastAsia" w:ascii="宋体" w:hAnsi="宋体" w:cs="宋体"/>
                <w:szCs w:val="21"/>
                <w:highlight w:val="none"/>
              </w:rPr>
            </w:pPr>
            <w:r>
              <w:rPr>
                <w:rFonts w:hint="eastAsia" w:ascii="宋体" w:hAnsi="宋体" w:cs="宋体"/>
                <w:szCs w:val="21"/>
                <w:highlight w:val="none"/>
              </w:rPr>
              <w:t>营业执照号</w:t>
            </w:r>
          </w:p>
        </w:tc>
        <w:tc>
          <w:tcPr>
            <w:tcW w:w="1918" w:type="dxa"/>
            <w:gridSpan w:val="2"/>
            <w:vAlign w:val="center"/>
          </w:tcPr>
          <w:p w14:paraId="7E24DA49">
            <w:pPr>
              <w:spacing w:line="360" w:lineRule="auto"/>
              <w:jc w:val="center"/>
              <w:rPr>
                <w:rFonts w:hint="eastAsia" w:ascii="宋体" w:hAnsi="宋体" w:cs="宋体"/>
                <w:szCs w:val="21"/>
                <w:highlight w:val="none"/>
              </w:rPr>
            </w:pPr>
          </w:p>
        </w:tc>
        <w:tc>
          <w:tcPr>
            <w:tcW w:w="1160" w:type="dxa"/>
            <w:vMerge w:val="continue"/>
            <w:vAlign w:val="center"/>
          </w:tcPr>
          <w:p w14:paraId="66D71D2D">
            <w:pPr>
              <w:spacing w:line="360" w:lineRule="auto"/>
              <w:jc w:val="center"/>
              <w:rPr>
                <w:rFonts w:hint="eastAsia" w:ascii="宋体" w:hAnsi="宋体" w:cs="宋体"/>
                <w:szCs w:val="21"/>
                <w:highlight w:val="none"/>
              </w:rPr>
            </w:pPr>
          </w:p>
        </w:tc>
        <w:tc>
          <w:tcPr>
            <w:tcW w:w="1620" w:type="dxa"/>
            <w:gridSpan w:val="3"/>
            <w:vAlign w:val="center"/>
          </w:tcPr>
          <w:p w14:paraId="65872E86">
            <w:pPr>
              <w:spacing w:line="360" w:lineRule="auto"/>
              <w:jc w:val="center"/>
              <w:rPr>
                <w:rFonts w:hint="eastAsia" w:ascii="宋体" w:hAnsi="宋体" w:cs="宋体"/>
                <w:szCs w:val="21"/>
                <w:highlight w:val="none"/>
              </w:rPr>
            </w:pPr>
            <w:r>
              <w:rPr>
                <w:rFonts w:hint="eastAsia" w:ascii="宋体" w:hAnsi="宋体" w:cs="宋体"/>
                <w:szCs w:val="21"/>
                <w:highlight w:val="none"/>
              </w:rPr>
              <w:t>高级职称人员</w:t>
            </w:r>
          </w:p>
        </w:tc>
        <w:tc>
          <w:tcPr>
            <w:tcW w:w="2643" w:type="dxa"/>
            <w:gridSpan w:val="2"/>
            <w:vAlign w:val="center"/>
          </w:tcPr>
          <w:p w14:paraId="0E10A918">
            <w:pPr>
              <w:spacing w:line="360" w:lineRule="auto"/>
              <w:jc w:val="center"/>
              <w:rPr>
                <w:rFonts w:hint="eastAsia" w:ascii="宋体" w:hAnsi="宋体" w:cs="宋体"/>
                <w:szCs w:val="21"/>
                <w:highlight w:val="none"/>
              </w:rPr>
            </w:pPr>
          </w:p>
        </w:tc>
      </w:tr>
      <w:tr w14:paraId="164EEB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1626" w:type="dxa"/>
            <w:vAlign w:val="center"/>
          </w:tcPr>
          <w:p w14:paraId="495E25A1">
            <w:pPr>
              <w:spacing w:line="360" w:lineRule="auto"/>
              <w:jc w:val="center"/>
              <w:rPr>
                <w:rFonts w:hint="eastAsia" w:ascii="宋体" w:hAnsi="宋体" w:cs="宋体"/>
                <w:szCs w:val="21"/>
                <w:highlight w:val="none"/>
              </w:rPr>
            </w:pPr>
            <w:r>
              <w:rPr>
                <w:rFonts w:hint="eastAsia" w:ascii="宋体" w:hAnsi="宋体" w:cs="宋体"/>
                <w:szCs w:val="21"/>
                <w:highlight w:val="none"/>
              </w:rPr>
              <w:t>注册资金</w:t>
            </w:r>
          </w:p>
        </w:tc>
        <w:tc>
          <w:tcPr>
            <w:tcW w:w="1918" w:type="dxa"/>
            <w:gridSpan w:val="2"/>
            <w:vAlign w:val="center"/>
          </w:tcPr>
          <w:p w14:paraId="3BD67691">
            <w:pPr>
              <w:spacing w:line="360" w:lineRule="auto"/>
              <w:jc w:val="center"/>
              <w:rPr>
                <w:rFonts w:hint="eastAsia" w:ascii="宋体" w:hAnsi="宋体" w:cs="宋体"/>
                <w:szCs w:val="21"/>
                <w:highlight w:val="none"/>
              </w:rPr>
            </w:pPr>
          </w:p>
        </w:tc>
        <w:tc>
          <w:tcPr>
            <w:tcW w:w="1160" w:type="dxa"/>
            <w:vMerge w:val="continue"/>
            <w:vAlign w:val="center"/>
          </w:tcPr>
          <w:p w14:paraId="2D8F73CA">
            <w:pPr>
              <w:spacing w:line="360" w:lineRule="auto"/>
              <w:jc w:val="center"/>
              <w:rPr>
                <w:rFonts w:hint="eastAsia" w:ascii="宋体" w:hAnsi="宋体" w:cs="宋体"/>
                <w:szCs w:val="21"/>
                <w:highlight w:val="none"/>
              </w:rPr>
            </w:pPr>
          </w:p>
        </w:tc>
        <w:tc>
          <w:tcPr>
            <w:tcW w:w="1620" w:type="dxa"/>
            <w:gridSpan w:val="3"/>
            <w:vAlign w:val="center"/>
          </w:tcPr>
          <w:p w14:paraId="7359E16C">
            <w:pPr>
              <w:spacing w:line="360" w:lineRule="auto"/>
              <w:jc w:val="center"/>
              <w:rPr>
                <w:rFonts w:hint="eastAsia" w:ascii="宋体" w:hAnsi="宋体" w:cs="宋体"/>
                <w:szCs w:val="21"/>
                <w:highlight w:val="none"/>
              </w:rPr>
            </w:pPr>
            <w:r>
              <w:rPr>
                <w:rFonts w:hint="eastAsia" w:ascii="宋体" w:hAnsi="宋体" w:cs="宋体"/>
                <w:szCs w:val="21"/>
                <w:highlight w:val="none"/>
              </w:rPr>
              <w:t>中级职称人员</w:t>
            </w:r>
          </w:p>
        </w:tc>
        <w:tc>
          <w:tcPr>
            <w:tcW w:w="2643" w:type="dxa"/>
            <w:gridSpan w:val="2"/>
            <w:vAlign w:val="center"/>
          </w:tcPr>
          <w:p w14:paraId="5A29F2A8">
            <w:pPr>
              <w:spacing w:line="360" w:lineRule="auto"/>
              <w:jc w:val="center"/>
              <w:rPr>
                <w:rFonts w:hint="eastAsia" w:ascii="宋体" w:hAnsi="宋体" w:cs="宋体"/>
                <w:szCs w:val="21"/>
                <w:highlight w:val="none"/>
              </w:rPr>
            </w:pPr>
          </w:p>
        </w:tc>
      </w:tr>
      <w:tr w14:paraId="26E203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1626" w:type="dxa"/>
            <w:vAlign w:val="center"/>
          </w:tcPr>
          <w:p w14:paraId="6CB7F57A">
            <w:pPr>
              <w:spacing w:line="360" w:lineRule="auto"/>
              <w:jc w:val="center"/>
              <w:rPr>
                <w:rFonts w:hint="eastAsia" w:ascii="宋体" w:hAnsi="宋体" w:cs="宋体"/>
                <w:szCs w:val="21"/>
                <w:highlight w:val="none"/>
              </w:rPr>
            </w:pPr>
            <w:r>
              <w:rPr>
                <w:rFonts w:hint="eastAsia" w:ascii="宋体" w:hAnsi="宋体" w:cs="宋体"/>
                <w:szCs w:val="21"/>
                <w:highlight w:val="none"/>
              </w:rPr>
              <w:t>开户银行</w:t>
            </w:r>
          </w:p>
        </w:tc>
        <w:tc>
          <w:tcPr>
            <w:tcW w:w="1918" w:type="dxa"/>
            <w:gridSpan w:val="2"/>
            <w:vAlign w:val="center"/>
          </w:tcPr>
          <w:p w14:paraId="68512E65">
            <w:pPr>
              <w:spacing w:line="360" w:lineRule="auto"/>
              <w:jc w:val="center"/>
              <w:rPr>
                <w:rFonts w:hint="eastAsia" w:ascii="宋体" w:hAnsi="宋体" w:cs="宋体"/>
                <w:szCs w:val="21"/>
                <w:highlight w:val="none"/>
              </w:rPr>
            </w:pPr>
          </w:p>
        </w:tc>
        <w:tc>
          <w:tcPr>
            <w:tcW w:w="1160" w:type="dxa"/>
            <w:vMerge w:val="continue"/>
            <w:vAlign w:val="center"/>
          </w:tcPr>
          <w:p w14:paraId="0D6DDA3F">
            <w:pPr>
              <w:spacing w:line="360" w:lineRule="auto"/>
              <w:jc w:val="center"/>
              <w:rPr>
                <w:rFonts w:hint="eastAsia" w:ascii="宋体" w:hAnsi="宋体" w:cs="宋体"/>
                <w:szCs w:val="21"/>
                <w:highlight w:val="none"/>
              </w:rPr>
            </w:pPr>
          </w:p>
        </w:tc>
        <w:tc>
          <w:tcPr>
            <w:tcW w:w="1620" w:type="dxa"/>
            <w:gridSpan w:val="3"/>
            <w:vAlign w:val="center"/>
          </w:tcPr>
          <w:p w14:paraId="4A5A5889">
            <w:pPr>
              <w:spacing w:line="360" w:lineRule="auto"/>
              <w:jc w:val="center"/>
              <w:rPr>
                <w:rFonts w:hint="eastAsia" w:ascii="宋体" w:hAnsi="宋体" w:cs="宋体"/>
                <w:szCs w:val="21"/>
                <w:highlight w:val="none"/>
              </w:rPr>
            </w:pPr>
            <w:r>
              <w:rPr>
                <w:rFonts w:hint="eastAsia" w:ascii="宋体" w:hAnsi="宋体" w:cs="宋体"/>
                <w:szCs w:val="21"/>
                <w:highlight w:val="none"/>
              </w:rPr>
              <w:t>初级职称人员</w:t>
            </w:r>
          </w:p>
        </w:tc>
        <w:tc>
          <w:tcPr>
            <w:tcW w:w="2643" w:type="dxa"/>
            <w:gridSpan w:val="2"/>
            <w:vAlign w:val="center"/>
          </w:tcPr>
          <w:p w14:paraId="07035BB6">
            <w:pPr>
              <w:spacing w:line="360" w:lineRule="auto"/>
              <w:jc w:val="center"/>
              <w:rPr>
                <w:rFonts w:hint="eastAsia" w:ascii="宋体" w:hAnsi="宋体" w:cs="宋体"/>
                <w:szCs w:val="21"/>
                <w:highlight w:val="none"/>
              </w:rPr>
            </w:pPr>
          </w:p>
        </w:tc>
      </w:tr>
      <w:tr w14:paraId="759495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1626" w:type="dxa"/>
            <w:vAlign w:val="center"/>
          </w:tcPr>
          <w:p w14:paraId="47B5A94C">
            <w:pPr>
              <w:spacing w:line="360" w:lineRule="auto"/>
              <w:jc w:val="center"/>
              <w:rPr>
                <w:rFonts w:hint="eastAsia" w:ascii="宋体" w:hAnsi="宋体" w:cs="宋体"/>
                <w:szCs w:val="21"/>
                <w:highlight w:val="none"/>
              </w:rPr>
            </w:pPr>
            <w:r>
              <w:rPr>
                <w:rFonts w:hint="eastAsia" w:ascii="宋体" w:hAnsi="宋体" w:cs="宋体"/>
                <w:szCs w:val="21"/>
                <w:highlight w:val="none"/>
              </w:rPr>
              <w:t>账号</w:t>
            </w:r>
          </w:p>
        </w:tc>
        <w:tc>
          <w:tcPr>
            <w:tcW w:w="1918" w:type="dxa"/>
            <w:gridSpan w:val="2"/>
            <w:vAlign w:val="center"/>
          </w:tcPr>
          <w:p w14:paraId="1F2CA154">
            <w:pPr>
              <w:spacing w:line="360" w:lineRule="auto"/>
              <w:jc w:val="center"/>
              <w:rPr>
                <w:rFonts w:hint="eastAsia" w:ascii="宋体" w:hAnsi="宋体" w:cs="宋体"/>
                <w:szCs w:val="21"/>
                <w:highlight w:val="none"/>
              </w:rPr>
            </w:pPr>
          </w:p>
        </w:tc>
        <w:tc>
          <w:tcPr>
            <w:tcW w:w="1160" w:type="dxa"/>
            <w:vMerge w:val="continue"/>
            <w:vAlign w:val="center"/>
          </w:tcPr>
          <w:p w14:paraId="0E35C964">
            <w:pPr>
              <w:spacing w:line="360" w:lineRule="auto"/>
              <w:jc w:val="center"/>
              <w:rPr>
                <w:rFonts w:hint="eastAsia" w:ascii="宋体" w:hAnsi="宋体" w:cs="宋体"/>
                <w:szCs w:val="21"/>
                <w:highlight w:val="none"/>
              </w:rPr>
            </w:pPr>
          </w:p>
        </w:tc>
        <w:tc>
          <w:tcPr>
            <w:tcW w:w="1620" w:type="dxa"/>
            <w:gridSpan w:val="3"/>
            <w:vAlign w:val="center"/>
          </w:tcPr>
          <w:p w14:paraId="407BCBCF">
            <w:pPr>
              <w:spacing w:line="360" w:lineRule="auto"/>
              <w:jc w:val="center"/>
              <w:rPr>
                <w:rFonts w:hint="eastAsia" w:ascii="宋体" w:hAnsi="宋体" w:cs="宋体"/>
                <w:szCs w:val="21"/>
                <w:highlight w:val="none"/>
              </w:rPr>
            </w:pPr>
            <w:r>
              <w:rPr>
                <w:rFonts w:hint="eastAsia" w:ascii="宋体" w:hAnsi="宋体" w:cs="宋体"/>
                <w:szCs w:val="21"/>
                <w:highlight w:val="none"/>
              </w:rPr>
              <w:t>技工</w:t>
            </w:r>
          </w:p>
        </w:tc>
        <w:tc>
          <w:tcPr>
            <w:tcW w:w="2643" w:type="dxa"/>
            <w:gridSpan w:val="2"/>
            <w:vAlign w:val="center"/>
          </w:tcPr>
          <w:p w14:paraId="68468CCD">
            <w:pPr>
              <w:spacing w:line="360" w:lineRule="auto"/>
              <w:jc w:val="center"/>
              <w:rPr>
                <w:rFonts w:hint="eastAsia" w:ascii="宋体" w:hAnsi="宋体" w:cs="宋体"/>
                <w:szCs w:val="21"/>
                <w:highlight w:val="none"/>
              </w:rPr>
            </w:pPr>
          </w:p>
        </w:tc>
      </w:tr>
      <w:tr w14:paraId="6D52BB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37" w:hRule="atLeast"/>
          <w:jc w:val="center"/>
        </w:trPr>
        <w:tc>
          <w:tcPr>
            <w:tcW w:w="1626" w:type="dxa"/>
            <w:vAlign w:val="center"/>
          </w:tcPr>
          <w:p w14:paraId="6026E1DF">
            <w:pPr>
              <w:spacing w:line="360" w:lineRule="auto"/>
              <w:jc w:val="center"/>
              <w:rPr>
                <w:rFonts w:hint="eastAsia" w:ascii="宋体" w:hAnsi="宋体" w:cs="宋体"/>
                <w:szCs w:val="21"/>
                <w:highlight w:val="none"/>
              </w:rPr>
            </w:pPr>
            <w:r>
              <w:rPr>
                <w:rFonts w:hint="eastAsia" w:ascii="宋体" w:hAnsi="宋体" w:cs="宋体"/>
                <w:szCs w:val="21"/>
                <w:highlight w:val="none"/>
              </w:rPr>
              <w:t>经营范围</w:t>
            </w:r>
          </w:p>
        </w:tc>
        <w:tc>
          <w:tcPr>
            <w:tcW w:w="7341" w:type="dxa"/>
            <w:gridSpan w:val="8"/>
            <w:vAlign w:val="center"/>
          </w:tcPr>
          <w:p w14:paraId="4EB4133C">
            <w:pPr>
              <w:spacing w:line="360" w:lineRule="auto"/>
              <w:jc w:val="center"/>
              <w:rPr>
                <w:rFonts w:hint="eastAsia" w:ascii="宋体" w:hAnsi="宋体" w:cs="宋体"/>
                <w:szCs w:val="21"/>
                <w:highlight w:val="none"/>
              </w:rPr>
            </w:pPr>
          </w:p>
        </w:tc>
      </w:tr>
      <w:tr w14:paraId="680E95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1626" w:type="dxa"/>
            <w:vAlign w:val="center"/>
          </w:tcPr>
          <w:p w14:paraId="19FDE9AD">
            <w:pPr>
              <w:spacing w:line="360" w:lineRule="auto"/>
              <w:jc w:val="center"/>
              <w:rPr>
                <w:rFonts w:hint="eastAsia" w:ascii="宋体" w:hAnsi="宋体" w:cs="宋体"/>
                <w:szCs w:val="21"/>
                <w:highlight w:val="none"/>
              </w:rPr>
            </w:pPr>
            <w:r>
              <w:rPr>
                <w:rFonts w:hint="eastAsia" w:ascii="宋体" w:hAnsi="宋体" w:cs="宋体"/>
                <w:szCs w:val="21"/>
                <w:highlight w:val="none"/>
              </w:rPr>
              <w:t>备注</w:t>
            </w:r>
          </w:p>
        </w:tc>
        <w:tc>
          <w:tcPr>
            <w:tcW w:w="7341" w:type="dxa"/>
            <w:gridSpan w:val="8"/>
            <w:vAlign w:val="center"/>
          </w:tcPr>
          <w:p w14:paraId="3CFA43FA">
            <w:pPr>
              <w:spacing w:line="360" w:lineRule="auto"/>
              <w:jc w:val="center"/>
              <w:rPr>
                <w:rFonts w:hint="eastAsia" w:ascii="宋体" w:hAnsi="宋体" w:cs="宋体"/>
                <w:szCs w:val="21"/>
                <w:highlight w:val="none"/>
              </w:rPr>
            </w:pPr>
          </w:p>
        </w:tc>
      </w:tr>
    </w:tbl>
    <w:p w14:paraId="127CD003">
      <w:pPr>
        <w:spacing w:line="360" w:lineRule="auto"/>
        <w:ind w:firstLine="480"/>
        <w:jc w:val="right"/>
        <w:rPr>
          <w:rFonts w:hint="eastAsia" w:ascii="宋体" w:hAnsi="宋体" w:cs="宋体"/>
          <w:szCs w:val="21"/>
          <w:highlight w:val="none"/>
        </w:rPr>
      </w:pPr>
    </w:p>
    <w:p w14:paraId="5944CA92">
      <w:pPr>
        <w:spacing w:line="360" w:lineRule="auto"/>
        <w:ind w:firstLine="480"/>
        <w:jc w:val="right"/>
        <w:rPr>
          <w:rFonts w:hint="eastAsia" w:ascii="宋体" w:hAnsi="宋体" w:cs="宋体"/>
          <w:szCs w:val="21"/>
          <w:highlight w:val="none"/>
        </w:rPr>
      </w:pPr>
      <w:r>
        <w:rPr>
          <w:rFonts w:hint="eastAsia" w:ascii="宋体" w:hAnsi="宋体" w:cs="宋体"/>
          <w:szCs w:val="21"/>
          <w:highlight w:val="none"/>
        </w:rPr>
        <w:t>供应商：（加盖公章）</w:t>
      </w:r>
    </w:p>
    <w:p w14:paraId="3F1C27D1">
      <w:pPr>
        <w:spacing w:line="360" w:lineRule="auto"/>
        <w:ind w:firstLine="480"/>
        <w:jc w:val="right"/>
        <w:rPr>
          <w:rFonts w:hint="eastAsia" w:ascii="宋体" w:hAnsi="宋体" w:cs="宋体"/>
          <w:szCs w:val="21"/>
          <w:highlight w:val="none"/>
        </w:rPr>
      </w:pPr>
      <w:r>
        <w:rPr>
          <w:rFonts w:hint="eastAsia" w:ascii="宋体" w:hAnsi="宋体" w:cs="宋体"/>
          <w:szCs w:val="21"/>
          <w:highlight w:val="none"/>
        </w:rPr>
        <w:t>法定代表人或被授权人：（签字或盖章）</w:t>
      </w:r>
    </w:p>
    <w:p w14:paraId="36306288">
      <w:pPr>
        <w:spacing w:line="360" w:lineRule="auto"/>
        <w:ind w:firstLine="1320"/>
        <w:jc w:val="right"/>
        <w:rPr>
          <w:rFonts w:hint="eastAsia" w:ascii="宋体" w:hAnsi="宋体" w:cs="宋体"/>
          <w:szCs w:val="21"/>
          <w:highlight w:val="none"/>
        </w:rPr>
      </w:pPr>
      <w:r>
        <w:rPr>
          <w:rFonts w:hint="eastAsia" w:ascii="宋体" w:hAnsi="宋体" w:cs="宋体"/>
          <w:szCs w:val="21"/>
          <w:highlight w:val="none"/>
        </w:rPr>
        <w:t>年      月     日</w:t>
      </w:r>
    </w:p>
    <w:p w14:paraId="7940BA91">
      <w:pPr>
        <w:spacing w:line="360" w:lineRule="auto"/>
        <w:ind w:firstLine="422" w:firstLineChars="200"/>
        <w:rPr>
          <w:rFonts w:hint="eastAsia" w:ascii="宋体" w:hAnsi="宋体"/>
          <w:b/>
          <w:szCs w:val="21"/>
          <w:highlight w:val="none"/>
          <w:u w:val="single"/>
        </w:rPr>
      </w:pPr>
      <w:r>
        <w:rPr>
          <w:rFonts w:hint="eastAsia" w:ascii="宋体" w:hAnsi="宋体" w:cs="宋体"/>
          <w:b/>
          <w:szCs w:val="21"/>
          <w:highlight w:val="none"/>
        </w:rPr>
        <w:br w:type="page" w:clear="all"/>
      </w:r>
      <w:bookmarkStart w:id="124" w:name="_Toc55705168"/>
      <w:bookmarkStart w:id="125" w:name="_Toc54372237"/>
      <w:bookmarkStart w:id="126" w:name="_Toc54372655"/>
      <w:bookmarkStart w:id="127" w:name="_Toc434481560"/>
      <w:bookmarkStart w:id="128" w:name="_Toc439777351"/>
      <w:bookmarkStart w:id="129" w:name="_Toc439777159"/>
      <w:bookmarkStart w:id="130" w:name="_Toc55654540"/>
      <w:bookmarkStart w:id="131" w:name="_Toc55707673"/>
      <w:bookmarkStart w:id="132" w:name="_Toc56139088"/>
      <w:bookmarkStart w:id="133" w:name="_Toc55639393"/>
      <w:bookmarkStart w:id="134" w:name="_Toc54372071"/>
      <w:bookmarkStart w:id="135" w:name="_Toc59896715"/>
      <w:bookmarkStart w:id="136" w:name="_Toc59900983"/>
      <w:bookmarkStart w:id="137" w:name="_Toc440442375"/>
      <w:bookmarkStart w:id="138" w:name="_Toc56409114"/>
      <w:bookmarkStart w:id="139" w:name="_Toc56141898"/>
      <w:bookmarkStart w:id="140" w:name="_Toc56153862"/>
    </w:p>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p w14:paraId="43425199">
      <w:pPr>
        <w:spacing w:line="360" w:lineRule="auto"/>
        <w:jc w:val="left"/>
        <w:rPr>
          <w:rFonts w:hint="eastAsia" w:ascii="宋体" w:hAnsi="宋体"/>
          <w:szCs w:val="21"/>
          <w:highlight w:val="none"/>
        </w:rPr>
      </w:pPr>
    </w:p>
    <w:p w14:paraId="62413D69">
      <w:pPr>
        <w:pStyle w:val="4"/>
        <w:spacing w:before="0" w:after="0" w:line="360" w:lineRule="auto"/>
        <w:ind w:firstLine="422" w:firstLineChars="200"/>
        <w:rPr>
          <w:rFonts w:hint="eastAsia" w:ascii="宋体" w:hAnsi="宋体" w:eastAsia="宋体"/>
          <w:sz w:val="21"/>
          <w:szCs w:val="21"/>
          <w:highlight w:val="none"/>
        </w:rPr>
      </w:pPr>
      <w:r>
        <w:rPr>
          <w:rFonts w:hint="eastAsia" w:ascii="宋体" w:hAnsi="宋体" w:eastAsia="宋体"/>
          <w:sz w:val="21"/>
          <w:szCs w:val="21"/>
          <w:highlight w:val="none"/>
        </w:rPr>
        <w:t>13.首次响应报价表</w:t>
      </w:r>
    </w:p>
    <w:p w14:paraId="7BDDD562">
      <w:pPr>
        <w:pStyle w:val="4"/>
        <w:spacing w:before="0" w:after="0" w:line="360" w:lineRule="auto"/>
        <w:jc w:val="both"/>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项目名称： </w:t>
      </w:r>
      <w:r>
        <w:rPr>
          <w:rFonts w:hint="eastAsia" w:ascii="宋体" w:hAnsi="宋体" w:eastAsia="宋体" w:cs="宋体"/>
          <w:sz w:val="21"/>
          <w:szCs w:val="21"/>
          <w:highlight w:val="none"/>
          <w:lang w:val="en-US" w:eastAsia="zh-CN"/>
        </w:rPr>
        <w:t xml:space="preserve">                                                            采购包1/2</w:t>
      </w:r>
    </w:p>
    <w:tbl>
      <w:tblPr>
        <w:tblStyle w:val="19"/>
        <w:tblW w:w="4998" w:type="pct"/>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top w:w="0" w:type="dxa"/>
          <w:left w:w="108" w:type="dxa"/>
          <w:bottom w:w="0" w:type="dxa"/>
          <w:right w:w="108" w:type="dxa"/>
        </w:tblCellMar>
      </w:tblPr>
      <w:tblGrid>
        <w:gridCol w:w="857"/>
        <w:gridCol w:w="2638"/>
        <w:gridCol w:w="1690"/>
        <w:gridCol w:w="3225"/>
        <w:gridCol w:w="1015"/>
      </w:tblGrid>
      <w:tr w14:paraId="43E32CB4">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916" w:hRule="atLeast"/>
          <w:jc w:val="center"/>
        </w:trPr>
        <w:tc>
          <w:tcPr>
            <w:tcW w:w="455" w:type="pct"/>
            <w:tcBorders>
              <w:top w:val="single" w:color="000000" w:sz="4" w:space="0"/>
              <w:left w:val="single" w:color="000000" w:sz="4" w:space="0"/>
              <w:bottom w:val="single" w:color="000000" w:sz="4" w:space="0"/>
              <w:right w:val="single" w:color="000000" w:sz="4" w:space="0"/>
            </w:tcBorders>
            <w:vAlign w:val="center"/>
          </w:tcPr>
          <w:p w14:paraId="0850148E">
            <w:pPr>
              <w:spacing w:line="360" w:lineRule="auto"/>
              <w:jc w:val="center"/>
              <w:rPr>
                <w:rFonts w:hint="eastAsia" w:ascii="宋体" w:hAnsi="宋体" w:cs="宋体"/>
                <w:b/>
                <w:szCs w:val="21"/>
                <w:highlight w:val="none"/>
              </w:rPr>
            </w:pPr>
            <w:r>
              <w:rPr>
                <w:rFonts w:hint="eastAsia" w:ascii="宋体" w:hAnsi="宋体" w:cs="宋体"/>
                <w:b/>
                <w:szCs w:val="21"/>
                <w:highlight w:val="none"/>
              </w:rPr>
              <w:t>序号</w:t>
            </w:r>
          </w:p>
        </w:tc>
        <w:tc>
          <w:tcPr>
            <w:tcW w:w="1399" w:type="pct"/>
            <w:tcBorders>
              <w:top w:val="single" w:color="000000" w:sz="4" w:space="0"/>
              <w:left w:val="single" w:color="000000" w:sz="4" w:space="0"/>
              <w:bottom w:val="single" w:color="000000" w:sz="4" w:space="0"/>
              <w:right w:val="single" w:color="000000" w:sz="4" w:space="0"/>
            </w:tcBorders>
            <w:vAlign w:val="center"/>
          </w:tcPr>
          <w:p w14:paraId="03313A1F">
            <w:pPr>
              <w:spacing w:line="360" w:lineRule="auto"/>
              <w:jc w:val="center"/>
              <w:rPr>
                <w:rFonts w:hint="eastAsia" w:ascii="宋体" w:hAnsi="宋体" w:cs="宋体"/>
                <w:b/>
                <w:szCs w:val="21"/>
                <w:highlight w:val="none"/>
              </w:rPr>
            </w:pPr>
            <w:r>
              <w:rPr>
                <w:rFonts w:hint="eastAsia" w:ascii="宋体" w:hAnsi="宋体" w:cs="宋体"/>
                <w:b/>
                <w:szCs w:val="21"/>
                <w:highlight w:val="none"/>
              </w:rPr>
              <w:t>项目内容</w:t>
            </w:r>
          </w:p>
        </w:tc>
        <w:tc>
          <w:tcPr>
            <w:tcW w:w="896" w:type="pct"/>
            <w:tcBorders>
              <w:top w:val="single" w:color="000000" w:sz="4" w:space="0"/>
              <w:left w:val="single" w:color="000000" w:sz="4" w:space="0"/>
              <w:bottom w:val="single" w:color="000000" w:sz="4" w:space="0"/>
              <w:right w:val="single" w:color="000000" w:sz="4" w:space="0"/>
            </w:tcBorders>
            <w:vAlign w:val="center"/>
          </w:tcPr>
          <w:p w14:paraId="128F6306">
            <w:pPr>
              <w:spacing w:line="360" w:lineRule="auto"/>
              <w:jc w:val="center"/>
              <w:rPr>
                <w:rFonts w:hint="eastAsia" w:ascii="宋体" w:hAnsi="宋体" w:cs="宋体"/>
                <w:b/>
                <w:szCs w:val="21"/>
                <w:highlight w:val="none"/>
              </w:rPr>
            </w:pPr>
            <w:r>
              <w:rPr>
                <w:rFonts w:hint="eastAsia" w:ascii="宋体" w:hAnsi="宋体" w:cs="宋体"/>
                <w:b/>
                <w:szCs w:val="21"/>
                <w:highlight w:val="none"/>
              </w:rPr>
              <w:t>报价轮次</w:t>
            </w:r>
          </w:p>
        </w:tc>
        <w:tc>
          <w:tcPr>
            <w:tcW w:w="1710" w:type="pct"/>
            <w:tcBorders>
              <w:top w:val="single" w:color="000000" w:sz="4" w:space="0"/>
              <w:left w:val="single" w:color="000000" w:sz="4" w:space="0"/>
              <w:bottom w:val="single" w:color="000000" w:sz="4" w:space="0"/>
              <w:right w:val="single" w:color="000000" w:sz="4" w:space="0"/>
            </w:tcBorders>
            <w:vAlign w:val="center"/>
          </w:tcPr>
          <w:p w14:paraId="21D693A8">
            <w:pPr>
              <w:spacing w:line="360" w:lineRule="auto"/>
              <w:jc w:val="center"/>
              <w:rPr>
                <w:rFonts w:hint="eastAsia" w:ascii="宋体" w:hAnsi="宋体" w:cs="宋体"/>
                <w:b/>
                <w:szCs w:val="21"/>
                <w:highlight w:val="none"/>
              </w:rPr>
            </w:pPr>
            <w:r>
              <w:rPr>
                <w:rFonts w:hint="eastAsia" w:ascii="宋体" w:hAnsi="宋体" w:cs="宋体"/>
                <w:b/>
                <w:szCs w:val="21"/>
                <w:highlight w:val="none"/>
              </w:rPr>
              <w:t>磋商响应报价（元</w:t>
            </w:r>
            <w:r>
              <w:rPr>
                <w:rFonts w:hint="eastAsia" w:ascii="宋体" w:hAnsi="宋体" w:cs="宋体"/>
                <w:b/>
                <w:szCs w:val="21"/>
                <w:highlight w:val="none"/>
                <w:lang w:val="en-US" w:eastAsia="zh-CN"/>
              </w:rPr>
              <w:t>/延米</w:t>
            </w:r>
            <w:r>
              <w:rPr>
                <w:rFonts w:hint="eastAsia" w:ascii="宋体" w:hAnsi="宋体" w:cs="宋体"/>
                <w:b/>
                <w:szCs w:val="21"/>
                <w:highlight w:val="none"/>
              </w:rPr>
              <w:t>）</w:t>
            </w:r>
          </w:p>
        </w:tc>
        <w:tc>
          <w:tcPr>
            <w:tcW w:w="538" w:type="pct"/>
            <w:tcBorders>
              <w:top w:val="single" w:color="000000" w:sz="4" w:space="0"/>
              <w:left w:val="single" w:color="000000" w:sz="4" w:space="0"/>
              <w:bottom w:val="single" w:color="000000" w:sz="4" w:space="0"/>
              <w:right w:val="single" w:color="000000" w:sz="4" w:space="0"/>
            </w:tcBorders>
            <w:vAlign w:val="center"/>
          </w:tcPr>
          <w:p w14:paraId="3FEB6089">
            <w:pPr>
              <w:spacing w:line="360" w:lineRule="auto"/>
              <w:jc w:val="center"/>
              <w:rPr>
                <w:rFonts w:hint="eastAsia" w:ascii="宋体" w:hAnsi="宋体" w:cs="宋体"/>
                <w:b/>
                <w:szCs w:val="21"/>
                <w:highlight w:val="none"/>
              </w:rPr>
            </w:pPr>
            <w:r>
              <w:rPr>
                <w:rFonts w:hint="eastAsia" w:ascii="宋体" w:hAnsi="宋体" w:cs="宋体"/>
                <w:b/>
                <w:szCs w:val="21"/>
                <w:highlight w:val="none"/>
              </w:rPr>
              <w:t>备注</w:t>
            </w:r>
          </w:p>
        </w:tc>
      </w:tr>
      <w:tr w14:paraId="3B5A742E">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1006" w:hRule="atLeast"/>
          <w:jc w:val="center"/>
        </w:trPr>
        <w:tc>
          <w:tcPr>
            <w:tcW w:w="455" w:type="pct"/>
            <w:tcBorders>
              <w:top w:val="single" w:color="000000" w:sz="4" w:space="0"/>
              <w:left w:val="single" w:color="000000" w:sz="4" w:space="0"/>
              <w:bottom w:val="single" w:color="000000" w:sz="4" w:space="0"/>
              <w:right w:val="single" w:color="000000" w:sz="4" w:space="0"/>
            </w:tcBorders>
            <w:vAlign w:val="center"/>
          </w:tcPr>
          <w:p w14:paraId="7D36D36C">
            <w:pPr>
              <w:spacing w:line="360" w:lineRule="auto"/>
              <w:jc w:val="center"/>
              <w:rPr>
                <w:rFonts w:hint="eastAsia" w:ascii="宋体" w:hAnsi="宋体" w:cs="宋体"/>
                <w:bCs/>
                <w:szCs w:val="21"/>
                <w:highlight w:val="none"/>
              </w:rPr>
            </w:pPr>
            <w:r>
              <w:rPr>
                <w:rFonts w:hint="eastAsia" w:ascii="宋体" w:hAnsi="宋体" w:cs="宋体"/>
                <w:bCs/>
                <w:szCs w:val="21"/>
                <w:highlight w:val="none"/>
              </w:rPr>
              <w:t>1</w:t>
            </w:r>
          </w:p>
        </w:tc>
        <w:tc>
          <w:tcPr>
            <w:tcW w:w="1399" w:type="pct"/>
            <w:tcBorders>
              <w:top w:val="single" w:color="000000" w:sz="4" w:space="0"/>
              <w:left w:val="single" w:color="000000" w:sz="4" w:space="0"/>
              <w:right w:val="single" w:color="000000" w:sz="4" w:space="0"/>
            </w:tcBorders>
            <w:vAlign w:val="center"/>
          </w:tcPr>
          <w:p w14:paraId="3B59D4DD">
            <w:pPr>
              <w:spacing w:line="360" w:lineRule="auto"/>
              <w:jc w:val="center"/>
              <w:rPr>
                <w:rFonts w:hint="eastAsia" w:ascii="宋体" w:hAnsi="宋体" w:eastAsia="宋体" w:cs="宋体"/>
                <w:b/>
                <w:bCs/>
                <w:szCs w:val="21"/>
                <w:highlight w:val="none"/>
                <w:lang w:eastAsia="zh-CN"/>
              </w:rPr>
            </w:pPr>
            <w:r>
              <w:rPr>
                <w:rFonts w:hint="eastAsia" w:ascii="宋体" w:hAnsi="宋体" w:cs="宋体"/>
                <w:bCs/>
                <w:szCs w:val="21"/>
                <w:highlight w:val="none"/>
                <w:lang w:eastAsia="zh-CN"/>
              </w:rPr>
              <w:t>2026年泰州市快速路隧道、桥梁定期检查项目</w:t>
            </w:r>
          </w:p>
        </w:tc>
        <w:tc>
          <w:tcPr>
            <w:tcW w:w="896" w:type="pct"/>
            <w:tcBorders>
              <w:top w:val="single" w:color="000000" w:sz="4" w:space="0"/>
              <w:left w:val="single" w:color="000000" w:sz="4" w:space="0"/>
              <w:bottom w:val="single" w:color="000000" w:sz="4" w:space="0"/>
              <w:right w:val="single" w:color="000000" w:sz="4" w:space="0"/>
            </w:tcBorders>
            <w:vAlign w:val="center"/>
          </w:tcPr>
          <w:p w14:paraId="0047FB3B">
            <w:pPr>
              <w:spacing w:line="360" w:lineRule="auto"/>
              <w:jc w:val="center"/>
              <w:rPr>
                <w:rFonts w:hint="eastAsia" w:ascii="宋体" w:hAnsi="宋体" w:cs="宋体"/>
                <w:bCs/>
                <w:szCs w:val="21"/>
                <w:highlight w:val="none"/>
              </w:rPr>
            </w:pPr>
            <w:r>
              <w:rPr>
                <w:rFonts w:hint="eastAsia" w:ascii="宋体" w:hAnsi="宋体" w:cs="宋体"/>
                <w:bCs/>
                <w:szCs w:val="21"/>
                <w:highlight w:val="none"/>
              </w:rPr>
              <w:t>首次报价</w:t>
            </w:r>
          </w:p>
        </w:tc>
        <w:tc>
          <w:tcPr>
            <w:tcW w:w="1710" w:type="pct"/>
            <w:tcBorders>
              <w:top w:val="single" w:color="000000" w:sz="4" w:space="0"/>
              <w:left w:val="single" w:color="000000" w:sz="4" w:space="0"/>
              <w:bottom w:val="single" w:color="000000" w:sz="4" w:space="0"/>
              <w:right w:val="single" w:color="000000" w:sz="4" w:space="0"/>
            </w:tcBorders>
            <w:vAlign w:val="center"/>
          </w:tcPr>
          <w:p w14:paraId="647DAAD9">
            <w:pPr>
              <w:spacing w:line="360" w:lineRule="auto"/>
              <w:rPr>
                <w:rFonts w:hint="eastAsia" w:ascii="宋体" w:hAnsi="宋体" w:cs="宋体"/>
                <w:szCs w:val="21"/>
                <w:highlight w:val="none"/>
              </w:rPr>
            </w:pPr>
          </w:p>
        </w:tc>
        <w:tc>
          <w:tcPr>
            <w:tcW w:w="538" w:type="pct"/>
            <w:tcBorders>
              <w:top w:val="single" w:color="000000" w:sz="4" w:space="0"/>
              <w:left w:val="single" w:color="000000" w:sz="4" w:space="0"/>
              <w:bottom w:val="single" w:color="000000" w:sz="4" w:space="0"/>
              <w:right w:val="single" w:color="000000" w:sz="4" w:space="0"/>
            </w:tcBorders>
            <w:vAlign w:val="center"/>
          </w:tcPr>
          <w:p w14:paraId="44102B50">
            <w:pPr>
              <w:spacing w:line="360" w:lineRule="auto"/>
              <w:rPr>
                <w:rFonts w:hint="eastAsia" w:ascii="宋体" w:hAnsi="宋体" w:cs="宋体"/>
                <w:szCs w:val="21"/>
                <w:highlight w:val="none"/>
              </w:rPr>
            </w:pPr>
          </w:p>
        </w:tc>
      </w:tr>
    </w:tbl>
    <w:p w14:paraId="1827D391">
      <w:pPr>
        <w:spacing w:line="360" w:lineRule="auto"/>
        <w:rPr>
          <w:rFonts w:hint="eastAsia" w:ascii="宋体" w:hAnsi="宋体" w:cs="宋体"/>
          <w:szCs w:val="21"/>
          <w:highlight w:val="none"/>
        </w:rPr>
      </w:pPr>
    </w:p>
    <w:p w14:paraId="4AEC26C2">
      <w:pPr>
        <w:spacing w:line="360" w:lineRule="auto"/>
        <w:ind w:firstLine="4620" w:firstLineChars="2200"/>
        <w:rPr>
          <w:rFonts w:hint="eastAsia" w:ascii="宋体" w:hAnsi="宋体" w:cs="宋体"/>
          <w:szCs w:val="21"/>
          <w:highlight w:val="none"/>
        </w:rPr>
      </w:pPr>
      <w:r>
        <w:rPr>
          <w:rFonts w:hint="eastAsia" w:ascii="宋体" w:hAnsi="宋体" w:cs="宋体"/>
          <w:szCs w:val="21"/>
          <w:highlight w:val="none"/>
        </w:rPr>
        <w:t>竞争性磋商响应单位：（加盖公章）</w:t>
      </w:r>
    </w:p>
    <w:p w14:paraId="6097CC72">
      <w:pPr>
        <w:spacing w:line="360" w:lineRule="auto"/>
        <w:ind w:firstLine="4410" w:firstLineChars="2100"/>
        <w:rPr>
          <w:rFonts w:hint="eastAsia" w:ascii="宋体" w:hAnsi="宋体" w:cs="宋体"/>
          <w:szCs w:val="21"/>
          <w:highlight w:val="none"/>
        </w:rPr>
      </w:pPr>
      <w:r>
        <w:rPr>
          <w:rFonts w:hint="eastAsia" w:ascii="宋体" w:hAnsi="宋体" w:cs="宋体"/>
          <w:szCs w:val="21"/>
          <w:highlight w:val="none"/>
          <w:lang w:val="zh-CN"/>
        </w:rPr>
        <w:t>法定代表人或其授权委托人：</w:t>
      </w:r>
      <w:r>
        <w:rPr>
          <w:rFonts w:hint="eastAsia" w:ascii="宋体" w:hAnsi="宋体" w:cs="宋体"/>
          <w:bCs/>
          <w:spacing w:val="10"/>
          <w:szCs w:val="21"/>
          <w:highlight w:val="none"/>
        </w:rPr>
        <w:t>（签字或盖章）</w:t>
      </w:r>
    </w:p>
    <w:p w14:paraId="3A8B27CD">
      <w:pPr>
        <w:spacing w:line="360" w:lineRule="auto"/>
        <w:rPr>
          <w:sz w:val="20"/>
          <w:highlight w:val="none"/>
        </w:rPr>
      </w:pPr>
    </w:p>
    <w:p w14:paraId="0782BD04">
      <w:pPr>
        <w:pStyle w:val="38"/>
        <w:spacing w:line="360" w:lineRule="auto"/>
        <w:ind w:firstLine="5400"/>
        <w:jc w:val="left"/>
        <w:rPr>
          <w:rFonts w:ascii="Times New Roman" w:hAnsi="Times New Roman" w:cs="宋体"/>
          <w:b/>
          <w:bCs/>
          <w:szCs w:val="21"/>
          <w:highlight w:val="none"/>
        </w:rPr>
      </w:pPr>
      <w:r>
        <w:rPr>
          <w:rFonts w:hint="eastAsia" w:ascii="Times New Roman" w:hAnsi="Times New Roman" w:cs="宋体"/>
          <w:szCs w:val="21"/>
          <w:highlight w:val="none"/>
        </w:rPr>
        <w:t>年  月  日</w:t>
      </w:r>
    </w:p>
    <w:p w14:paraId="3D99F841">
      <w:pPr>
        <w:spacing w:line="360" w:lineRule="auto"/>
        <w:ind w:firstLine="422" w:firstLineChars="200"/>
        <w:rPr>
          <w:rFonts w:hint="eastAsia" w:ascii="宋体" w:hAnsi="宋体"/>
          <w:b/>
          <w:szCs w:val="21"/>
          <w:highlight w:val="none"/>
        </w:rPr>
      </w:pPr>
    </w:p>
    <w:p w14:paraId="56D5991F">
      <w:pPr>
        <w:spacing w:line="360" w:lineRule="auto"/>
        <w:ind w:firstLine="482"/>
        <w:rPr>
          <w:rFonts w:hint="eastAsia" w:ascii="宋体" w:hAnsi="宋体" w:cs="宋体"/>
          <w:b/>
          <w:szCs w:val="21"/>
          <w:highlight w:val="none"/>
        </w:rPr>
      </w:pPr>
      <w:r>
        <w:rPr>
          <w:rFonts w:hint="eastAsia" w:ascii="宋体" w:hAnsi="宋体" w:cs="宋体"/>
          <w:b/>
          <w:szCs w:val="21"/>
          <w:highlight w:val="none"/>
        </w:rPr>
        <w:t>注：1.</w:t>
      </w:r>
      <w:r>
        <w:rPr>
          <w:rFonts w:hint="eastAsia" w:ascii="宋体" w:hAnsi="宋体" w:cs="宋体"/>
          <w:szCs w:val="21"/>
          <w:highlight w:val="none"/>
        </w:rPr>
        <w:t>磋商报价（以人民币计价）</w:t>
      </w:r>
      <w:r>
        <w:rPr>
          <w:rFonts w:hint="eastAsia" w:ascii="宋体" w:hAnsi="宋体" w:cs="宋体"/>
          <w:bCs/>
          <w:szCs w:val="21"/>
          <w:highlight w:val="none"/>
        </w:rPr>
        <w:t>应包括采购文件所确定的采购范围内相应需求清单及相关资料及规范、规定等全部内容，以及为完成上述内容所必需的材料、劳务、机械与各工种间的协调配合工作、验收、安全措施、技术措施，作为一名有经验的磋商响应供应商所应考虑的各种因素、风险及所需的全部费用</w:t>
      </w:r>
      <w:r>
        <w:rPr>
          <w:rFonts w:hint="eastAsia" w:ascii="宋体" w:hAnsi="宋体" w:cs="宋体"/>
          <w:szCs w:val="21"/>
          <w:highlight w:val="none"/>
        </w:rPr>
        <w:t>。</w:t>
      </w:r>
    </w:p>
    <w:p w14:paraId="5B602D5A">
      <w:pPr>
        <w:spacing w:line="360" w:lineRule="auto"/>
        <w:ind w:firstLine="482"/>
        <w:rPr>
          <w:rFonts w:hint="eastAsia" w:ascii="宋体" w:hAnsi="宋体" w:cs="宋体"/>
          <w:b/>
          <w:szCs w:val="21"/>
          <w:highlight w:val="none"/>
        </w:rPr>
      </w:pPr>
      <w:r>
        <w:rPr>
          <w:rFonts w:hint="eastAsia" w:ascii="宋体" w:hAnsi="宋体" w:cs="宋体"/>
          <w:b/>
          <w:szCs w:val="21"/>
          <w:highlight w:val="none"/>
        </w:rPr>
        <w:t>2.第二次报价将在磋商现场进行，响应文件提交时只需填写磋商报价表（首次）。在二次报价环节，代理机构在苏采云系统发送二次报价通知后，所有的响应供应商须在15分钟内填写完成二次报价，并按苏采云系统要求提交二次报价表。</w:t>
      </w:r>
    </w:p>
    <w:p w14:paraId="13B8AF8A">
      <w:pPr>
        <w:spacing w:line="360" w:lineRule="auto"/>
        <w:ind w:firstLine="420" w:firstLineChars="200"/>
        <w:rPr>
          <w:rFonts w:hint="eastAsia" w:ascii="宋体" w:hAnsi="宋体" w:cs="宋体"/>
          <w:szCs w:val="21"/>
          <w:highlight w:val="none"/>
        </w:rPr>
      </w:pPr>
      <w:r>
        <w:rPr>
          <w:rFonts w:hint="eastAsia" w:ascii="宋体" w:hAnsi="宋体" w:cs="宋体"/>
          <w:szCs w:val="21"/>
          <w:highlight w:val="none"/>
          <w:lang w:bidi="zh-CN"/>
        </w:rPr>
        <w:br w:type="page" w:clear="all"/>
      </w:r>
    </w:p>
    <w:p w14:paraId="2F32EC71">
      <w:pPr>
        <w:spacing w:line="360" w:lineRule="auto"/>
        <w:ind w:firstLine="420" w:firstLineChars="200"/>
        <w:rPr>
          <w:rFonts w:hint="eastAsia" w:ascii="宋体" w:hAnsi="宋体"/>
          <w:szCs w:val="21"/>
          <w:highlight w:val="none"/>
        </w:rPr>
        <w:sectPr>
          <w:pgSz w:w="11907" w:h="16840"/>
          <w:pgMar w:top="1134" w:right="1134" w:bottom="1134" w:left="1560" w:header="851" w:footer="851" w:gutter="0"/>
          <w:pgBorders>
            <w:top w:val="none" w:sz="0" w:space="0"/>
            <w:left w:val="none" w:sz="0" w:space="0"/>
            <w:bottom w:val="none" w:sz="0" w:space="0"/>
            <w:right w:val="none" w:sz="0" w:space="0"/>
          </w:pgBorders>
          <w:cols w:space="720" w:num="1"/>
          <w:docGrid w:linePitch="312" w:charSpace="0"/>
        </w:sectPr>
      </w:pPr>
      <w:bookmarkStart w:id="141" w:name="_Toc162919810"/>
      <w:bookmarkStart w:id="142" w:name="_Toc162859072"/>
    </w:p>
    <w:bookmarkEnd w:id="141"/>
    <w:bookmarkEnd w:id="142"/>
    <w:p w14:paraId="75CE79DE">
      <w:pPr>
        <w:spacing w:line="360" w:lineRule="auto"/>
        <w:rPr>
          <w:rFonts w:hint="eastAsia" w:ascii="宋体" w:hAnsi="宋体" w:cs="宋体"/>
          <w:b/>
          <w:szCs w:val="21"/>
          <w:highlight w:val="none"/>
        </w:rPr>
      </w:pPr>
      <w:r>
        <w:rPr>
          <w:rFonts w:hint="eastAsia" w:ascii="宋体" w:hAnsi="宋体"/>
          <w:szCs w:val="21"/>
          <w:highlight w:val="none"/>
        </w:rPr>
        <w:t>14.技术说明与服务方案</w:t>
      </w:r>
    </w:p>
    <w:p w14:paraId="0D262DDE">
      <w:pPr>
        <w:spacing w:line="360" w:lineRule="auto"/>
        <w:rPr>
          <w:rFonts w:hint="eastAsia" w:ascii="宋体" w:hAnsi="宋体"/>
          <w:szCs w:val="21"/>
          <w:highlight w:val="none"/>
        </w:rPr>
      </w:pPr>
      <w:r>
        <w:rPr>
          <w:rFonts w:hint="eastAsia" w:ascii="宋体" w:hAnsi="宋体"/>
          <w:szCs w:val="21"/>
          <w:highlight w:val="none"/>
        </w:rPr>
        <w:t>15.其他（供应商认为有必要提供的声明和文件，如有自拟并自行添加）</w:t>
      </w:r>
    </w:p>
    <w:p w14:paraId="0CBA46A3">
      <w:pPr>
        <w:pStyle w:val="39"/>
        <w:shd w:val="clear" w:color="auto" w:fill="FFFFFF"/>
        <w:spacing w:before="0" w:beforeAutospacing="0" w:after="0" w:afterAutospacing="0" w:line="360" w:lineRule="auto"/>
        <w:ind w:firstLine="482"/>
        <w:jc w:val="center"/>
        <w:rPr>
          <w:rFonts w:hint="eastAsia" w:ascii="宋体" w:hAnsi="宋体" w:cs="宋体"/>
          <w:b/>
          <w:sz w:val="21"/>
          <w:szCs w:val="21"/>
          <w:highlight w:val="none"/>
          <w:lang w:eastAsia="zh-CN"/>
        </w:rPr>
      </w:pPr>
    </w:p>
    <w:p w14:paraId="61349C67">
      <w:pPr>
        <w:pStyle w:val="39"/>
        <w:shd w:val="clear" w:color="auto" w:fill="FFFFFF"/>
        <w:spacing w:before="0" w:beforeAutospacing="0" w:after="0" w:afterAutospacing="0" w:line="360" w:lineRule="auto"/>
        <w:ind w:firstLine="482"/>
        <w:jc w:val="center"/>
        <w:rPr>
          <w:rFonts w:hint="eastAsia" w:ascii="宋体" w:hAnsi="宋体" w:cs="宋体"/>
          <w:sz w:val="21"/>
          <w:szCs w:val="21"/>
          <w:highlight w:val="none"/>
          <w:lang w:eastAsia="zh-CN"/>
        </w:rPr>
      </w:pPr>
      <w:r>
        <w:rPr>
          <w:rFonts w:hint="eastAsia" w:ascii="宋体" w:hAnsi="宋体" w:cs="宋体"/>
          <w:b/>
          <w:sz w:val="21"/>
          <w:szCs w:val="21"/>
          <w:highlight w:val="none"/>
          <w:lang w:eastAsia="zh-CN"/>
        </w:rPr>
        <w:t>中小企业划型标准规定</w:t>
      </w:r>
    </w:p>
    <w:p w14:paraId="3A60F64F">
      <w:pPr>
        <w:spacing w:line="360" w:lineRule="auto"/>
        <w:ind w:firstLine="480"/>
        <w:rPr>
          <w:rFonts w:hint="eastAsia" w:ascii="宋体" w:hAnsi="宋体" w:cs="宋体"/>
          <w:szCs w:val="21"/>
          <w:highlight w:val="none"/>
        </w:rPr>
      </w:pPr>
      <w:r>
        <w:rPr>
          <w:rFonts w:hint="eastAsia" w:ascii="宋体" w:hAnsi="宋体" w:cs="宋体"/>
          <w:szCs w:val="21"/>
          <w:highlight w:val="none"/>
        </w:rPr>
        <w:t>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14:paraId="34D5F4D7">
      <w:pPr>
        <w:spacing w:line="360" w:lineRule="auto"/>
        <w:ind w:firstLine="480"/>
        <w:rPr>
          <w:rFonts w:hint="eastAsia" w:ascii="宋体" w:hAnsi="宋体" w:cs="宋体"/>
          <w:szCs w:val="21"/>
          <w:highlight w:val="none"/>
        </w:rPr>
      </w:pPr>
      <w:r>
        <w:rPr>
          <w:rFonts w:hint="eastAsia" w:ascii="宋体" w:hAnsi="宋体" w:cs="宋体"/>
          <w:szCs w:val="21"/>
          <w:highlight w:val="none"/>
        </w:rPr>
        <w:t>各行业划型标准为：</w:t>
      </w:r>
    </w:p>
    <w:p w14:paraId="0F1EA22B">
      <w:pPr>
        <w:spacing w:line="360" w:lineRule="auto"/>
        <w:ind w:firstLine="480"/>
        <w:rPr>
          <w:rFonts w:hint="eastAsia" w:ascii="宋体" w:hAnsi="宋体" w:cs="宋体"/>
          <w:szCs w:val="21"/>
          <w:highlight w:val="none"/>
        </w:rPr>
      </w:pPr>
      <w:r>
        <w:rPr>
          <w:rFonts w:hint="eastAsia" w:ascii="宋体" w:hAnsi="宋体" w:cs="宋体"/>
          <w:szCs w:val="21"/>
          <w:highlight w:val="none"/>
        </w:rPr>
        <w:t>（一）农、林、牧、渔业。营业收入20000万元以下的为中小微型企业。其中，营业收入500万元及以上的为中型企业，营业收入50万元及以上的为小型企业，营业收入50万元以下的为微型企业。</w:t>
      </w:r>
    </w:p>
    <w:p w14:paraId="253FF8BB">
      <w:pPr>
        <w:spacing w:line="360" w:lineRule="auto"/>
        <w:ind w:firstLine="480"/>
        <w:rPr>
          <w:rFonts w:hint="eastAsia" w:ascii="宋体" w:hAnsi="宋体" w:cs="宋体"/>
          <w:szCs w:val="21"/>
          <w:highlight w:val="none"/>
        </w:rPr>
      </w:pPr>
      <w:r>
        <w:rPr>
          <w:rFonts w:hint="eastAsia" w:ascii="宋体" w:hAnsi="宋体" w:cs="宋体"/>
          <w:szCs w:val="21"/>
          <w:highlight w:val="none"/>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2235DEC0">
      <w:pPr>
        <w:spacing w:line="360" w:lineRule="auto"/>
        <w:ind w:firstLine="480"/>
        <w:rPr>
          <w:rFonts w:hint="eastAsia" w:ascii="宋体" w:hAnsi="宋体" w:cs="宋体"/>
          <w:szCs w:val="21"/>
          <w:highlight w:val="none"/>
        </w:rPr>
      </w:pPr>
      <w:r>
        <w:rPr>
          <w:rFonts w:hint="eastAsia" w:ascii="宋体" w:hAnsi="宋体" w:cs="宋体"/>
          <w:szCs w:val="21"/>
          <w:highlight w:val="none"/>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07AF23CD">
      <w:pPr>
        <w:spacing w:line="360" w:lineRule="auto"/>
        <w:ind w:firstLine="480"/>
        <w:rPr>
          <w:rFonts w:hint="eastAsia" w:ascii="宋体" w:hAnsi="宋体" w:cs="宋体"/>
          <w:szCs w:val="21"/>
          <w:highlight w:val="none"/>
        </w:rPr>
      </w:pPr>
      <w:r>
        <w:rPr>
          <w:rFonts w:hint="eastAsia" w:ascii="宋体" w:hAnsi="宋体" w:cs="宋体"/>
          <w:szCs w:val="21"/>
          <w:highlight w:val="none"/>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64FD1DDA">
      <w:pPr>
        <w:spacing w:line="360" w:lineRule="auto"/>
        <w:ind w:firstLine="480"/>
        <w:rPr>
          <w:rFonts w:hint="eastAsia" w:ascii="宋体" w:hAnsi="宋体" w:cs="宋体"/>
          <w:szCs w:val="21"/>
          <w:highlight w:val="none"/>
        </w:rPr>
      </w:pPr>
      <w:r>
        <w:rPr>
          <w:rFonts w:hint="eastAsia" w:ascii="宋体" w:hAnsi="宋体" w:cs="宋体"/>
          <w:szCs w:val="21"/>
          <w:highlight w:val="none"/>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5D6F1EBE">
      <w:pPr>
        <w:spacing w:line="360" w:lineRule="auto"/>
        <w:ind w:firstLine="480"/>
        <w:rPr>
          <w:rFonts w:hint="eastAsia" w:ascii="宋体" w:hAnsi="宋体" w:cs="宋体"/>
          <w:szCs w:val="21"/>
          <w:highlight w:val="none"/>
        </w:rPr>
      </w:pPr>
      <w:r>
        <w:rPr>
          <w:rFonts w:hint="eastAsia" w:ascii="宋体" w:hAnsi="宋体" w:cs="宋体"/>
          <w:szCs w:val="21"/>
          <w:highlight w:val="none"/>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0AFB441B">
      <w:pPr>
        <w:spacing w:line="360" w:lineRule="auto"/>
        <w:ind w:firstLine="480"/>
        <w:rPr>
          <w:rFonts w:hint="eastAsia" w:ascii="宋体" w:hAnsi="宋体" w:cs="宋体"/>
          <w:szCs w:val="21"/>
          <w:highlight w:val="none"/>
        </w:rPr>
      </w:pPr>
      <w:r>
        <w:rPr>
          <w:rFonts w:hint="eastAsia" w:ascii="宋体" w:hAnsi="宋体" w:cs="宋体"/>
          <w:szCs w:val="21"/>
          <w:highlight w:val="none"/>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6470748E">
      <w:pPr>
        <w:spacing w:line="360" w:lineRule="auto"/>
        <w:ind w:firstLine="480"/>
        <w:rPr>
          <w:rFonts w:hint="eastAsia" w:ascii="宋体" w:hAnsi="宋体" w:cs="宋体"/>
          <w:szCs w:val="21"/>
          <w:highlight w:val="none"/>
        </w:rPr>
      </w:pPr>
      <w:r>
        <w:rPr>
          <w:rFonts w:hint="eastAsia" w:ascii="宋体" w:hAnsi="宋体" w:cs="宋体"/>
          <w:szCs w:val="21"/>
          <w:highlight w:val="none"/>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493466FE">
      <w:pPr>
        <w:spacing w:line="360" w:lineRule="auto"/>
        <w:ind w:firstLine="480"/>
        <w:rPr>
          <w:rFonts w:hint="eastAsia" w:ascii="宋体" w:hAnsi="宋体" w:cs="宋体"/>
          <w:szCs w:val="21"/>
          <w:highlight w:val="none"/>
        </w:rPr>
      </w:pPr>
      <w:r>
        <w:rPr>
          <w:rFonts w:hint="eastAsia" w:ascii="宋体" w:hAnsi="宋体" w:cs="宋体"/>
          <w:szCs w:val="21"/>
          <w:highlight w:val="none"/>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7A5FFE54">
      <w:pPr>
        <w:spacing w:line="360" w:lineRule="auto"/>
        <w:ind w:firstLine="480"/>
        <w:rPr>
          <w:rFonts w:hint="eastAsia" w:ascii="宋体" w:hAnsi="宋体" w:cs="宋体"/>
          <w:szCs w:val="21"/>
          <w:highlight w:val="none"/>
        </w:rPr>
      </w:pPr>
      <w:r>
        <w:rPr>
          <w:rFonts w:hint="eastAsia" w:ascii="宋体" w:hAnsi="宋体" w:cs="宋体"/>
          <w:szCs w:val="21"/>
          <w:highlight w:val="none"/>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4FACD779">
      <w:pPr>
        <w:spacing w:line="360" w:lineRule="auto"/>
        <w:ind w:firstLine="480"/>
        <w:rPr>
          <w:rFonts w:hint="eastAsia" w:ascii="宋体" w:hAnsi="宋体" w:cs="宋体"/>
          <w:szCs w:val="21"/>
          <w:highlight w:val="none"/>
        </w:rPr>
      </w:pPr>
      <w:r>
        <w:rPr>
          <w:rFonts w:hint="eastAsia" w:ascii="宋体" w:hAnsi="宋体" w:cs="宋体"/>
          <w:szCs w:val="21"/>
          <w:highlight w:val="none"/>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34D319A5">
      <w:pPr>
        <w:spacing w:line="360" w:lineRule="auto"/>
        <w:ind w:firstLine="480"/>
        <w:rPr>
          <w:rFonts w:hint="eastAsia" w:ascii="宋体" w:hAnsi="宋体" w:cs="宋体"/>
          <w:szCs w:val="21"/>
          <w:highlight w:val="none"/>
        </w:rPr>
      </w:pPr>
      <w:r>
        <w:rPr>
          <w:rFonts w:hint="eastAsia" w:ascii="宋体" w:hAnsi="宋体" w:cs="宋体"/>
          <w:szCs w:val="21"/>
          <w:highlight w:val="none"/>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218B9CDE">
      <w:pPr>
        <w:spacing w:line="360" w:lineRule="auto"/>
        <w:ind w:firstLine="480"/>
        <w:rPr>
          <w:rFonts w:hint="eastAsia" w:ascii="宋体" w:hAnsi="宋体" w:cs="宋体"/>
          <w:szCs w:val="21"/>
          <w:highlight w:val="none"/>
        </w:rPr>
      </w:pPr>
      <w:r>
        <w:rPr>
          <w:rFonts w:hint="eastAsia" w:ascii="宋体" w:hAnsi="宋体" w:cs="宋体"/>
          <w:szCs w:val="21"/>
          <w:highlight w:val="none"/>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040DC6E5">
      <w:pPr>
        <w:spacing w:line="360" w:lineRule="auto"/>
        <w:ind w:firstLine="480"/>
        <w:rPr>
          <w:rFonts w:hint="eastAsia" w:ascii="宋体" w:hAnsi="宋体" w:cs="宋体"/>
          <w:szCs w:val="21"/>
          <w:highlight w:val="none"/>
        </w:rPr>
      </w:pPr>
      <w:r>
        <w:rPr>
          <w:rFonts w:hint="eastAsia" w:ascii="宋体" w:hAnsi="宋体" w:cs="宋体"/>
          <w:szCs w:val="21"/>
          <w:highlight w:val="none"/>
        </w:rPr>
        <w:t>（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1F93F54B">
      <w:pPr>
        <w:spacing w:line="360" w:lineRule="auto"/>
        <w:ind w:firstLine="480"/>
        <w:rPr>
          <w:rFonts w:hint="eastAsia" w:ascii="宋体" w:hAnsi="宋体" w:cs="宋体"/>
          <w:szCs w:val="21"/>
          <w:highlight w:val="none"/>
        </w:rPr>
      </w:pPr>
      <w:r>
        <w:rPr>
          <w:rFonts w:hint="eastAsia" w:ascii="宋体" w:hAnsi="宋体" w:cs="宋体"/>
          <w:szCs w:val="21"/>
          <w:highlight w:val="none"/>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0A35F745">
      <w:pPr>
        <w:spacing w:line="360" w:lineRule="auto"/>
        <w:ind w:firstLine="480"/>
        <w:rPr>
          <w:highlight w:val="none"/>
        </w:rPr>
      </w:pPr>
      <w:r>
        <w:rPr>
          <w:rFonts w:hint="eastAsia" w:ascii="宋体" w:hAnsi="宋体" w:cs="宋体"/>
          <w:szCs w:val="21"/>
          <w:highlight w:val="none"/>
        </w:rPr>
        <w:t>（十六）其他未列明行业。从业人员300人以下的为中小微型企业。其中，从业人员100人及以上的为中型企业；从业人员10人及以上的为小型企业；从业人员10人以下的为微型企业。</w:t>
      </w:r>
    </w:p>
    <w:p w14:paraId="535BCE4F">
      <w:pPr>
        <w:spacing w:line="360" w:lineRule="auto"/>
        <w:rPr>
          <w:highlight w:val="none"/>
        </w:rPr>
      </w:pPr>
    </w:p>
    <w:p w14:paraId="0406880A">
      <w:pPr>
        <w:pStyle w:val="35"/>
        <w:spacing w:line="360" w:lineRule="auto"/>
        <w:rPr>
          <w:rFonts w:hint="eastAsia" w:ascii="宋体" w:hAnsi="宋体"/>
          <w:bCs/>
          <w:sz w:val="21"/>
          <w:szCs w:val="21"/>
          <w:highlight w:val="none"/>
        </w:rPr>
      </w:pPr>
    </w:p>
    <w:p w14:paraId="099DAB39">
      <w:pPr>
        <w:keepNext/>
        <w:keepLines/>
        <w:spacing w:before="260" w:after="260" w:line="360" w:lineRule="auto"/>
        <w:jc w:val="center"/>
        <w:outlineLvl w:val="1"/>
        <w:rPr>
          <w:rFonts w:hint="eastAsia" w:ascii="宋体" w:hAnsi="宋体"/>
          <w:szCs w:val="21"/>
          <w:highlight w:val="none"/>
        </w:rPr>
      </w:pPr>
    </w:p>
    <w:p w14:paraId="00BE570B">
      <w:pPr>
        <w:spacing w:line="360" w:lineRule="auto"/>
        <w:rPr>
          <w:highlight w:val="none"/>
        </w:rPr>
      </w:pPr>
    </w:p>
    <w:p w14:paraId="211DF05A">
      <w:pPr>
        <w:spacing w:line="360" w:lineRule="auto"/>
        <w:rPr>
          <w:highlight w:val="none"/>
        </w:rPr>
      </w:pPr>
    </w:p>
    <w:p w14:paraId="149A7EBF">
      <w:pPr>
        <w:spacing w:line="360" w:lineRule="auto"/>
        <w:rPr>
          <w:highlight w:val="none"/>
        </w:rPr>
      </w:pPr>
    </w:p>
    <w:p w14:paraId="05FD2066">
      <w:pPr>
        <w:spacing w:line="360" w:lineRule="auto"/>
        <w:rPr>
          <w:highlight w:val="none"/>
        </w:rPr>
      </w:pPr>
    </w:p>
    <w:p w14:paraId="5AD08AF5">
      <w:pPr>
        <w:spacing w:line="360" w:lineRule="auto"/>
        <w:rPr>
          <w:highlight w:val="none"/>
        </w:rPr>
      </w:pPr>
    </w:p>
    <w:p w14:paraId="0D6FCD69">
      <w:pPr>
        <w:spacing w:line="360" w:lineRule="auto"/>
        <w:rPr>
          <w:highlight w:val="none"/>
        </w:rPr>
      </w:pPr>
    </w:p>
    <w:p w14:paraId="1527DC43">
      <w:pPr>
        <w:spacing w:line="360" w:lineRule="auto"/>
        <w:rPr>
          <w:highlight w:val="none"/>
        </w:rPr>
      </w:pPr>
    </w:p>
    <w:p w14:paraId="3539A2C6">
      <w:pPr>
        <w:spacing w:line="360" w:lineRule="auto"/>
        <w:rPr>
          <w:highlight w:val="none"/>
        </w:rPr>
      </w:pPr>
    </w:p>
    <w:p w14:paraId="7F2654C0">
      <w:pPr>
        <w:spacing w:line="360" w:lineRule="auto"/>
        <w:rPr>
          <w:highlight w:val="none"/>
        </w:rPr>
      </w:pPr>
    </w:p>
    <w:sectPr>
      <w:footerReference r:id="rId11" w:type="default"/>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0D18E4C9-FF38-4581-BB8B-CC3452113E61}"/>
  </w:font>
  <w:font w:name="Courier New">
    <w:panose1 w:val="02070309020205020404"/>
    <w:charset w:val="01"/>
    <w:family w:val="modern"/>
    <w:pitch w:val="default"/>
    <w:sig w:usb0="E0002EFF" w:usb1="C0007843" w:usb2="00000009" w:usb3="00000000" w:csb0="400001FF" w:csb1="FFFF0000"/>
    <w:embedRegular r:id="rId2" w:fontKey="{8AF8BB6C-3798-41B0-A7A6-D8FE9AE244D5}"/>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3" w:fontKey="{1C5BE38B-6B43-47FF-BE01-4F55D059774C}"/>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幼圆">
    <w:altName w:val="宋体"/>
    <w:panose1 w:val="02010509060101010101"/>
    <w:charset w:val="86"/>
    <w:family w:val="modern"/>
    <w:pitch w:val="default"/>
    <w:sig w:usb0="00000000" w:usb1="00000000" w:usb2="00000000" w:usb3="00000000" w:csb0="00040000" w:csb1="00000000"/>
  </w:font>
  <w:font w:name="仿宋_GB2312">
    <w:altName w:val="仿宋"/>
    <w:panose1 w:val="02010609030101010101"/>
    <w:charset w:val="86"/>
    <w:family w:val="modern"/>
    <w:pitch w:val="default"/>
    <w:sig w:usb0="00000000" w:usb1="00000000" w:usb2="00000010" w:usb3="00000000" w:csb0="00040000" w:csb1="00000000"/>
    <w:embedRegular r:id="rId4" w:fontKey="{7741431C-A66C-4C58-9402-228E369D9DCF}"/>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 w:name="等线 Light">
    <w:panose1 w:val="02010600030101010101"/>
    <w:charset w:val="86"/>
    <w:family w:val="auto"/>
    <w:pitch w:val="default"/>
    <w:sig w:usb0="A00002BF" w:usb1="38CF7CFA" w:usb2="00000016" w:usb3="00000000" w:csb0="0004000F" w:csb1="00000000"/>
  </w:font>
  <w:font w:name="等线">
    <w:panose1 w:val="02010600030101010101"/>
    <w:charset w:val="86"/>
    <w:family w:val="auto"/>
    <w:pitch w:val="default"/>
    <w:sig w:usb0="A00002BF" w:usb1="38CF7CFA" w:usb2="00000016" w:usb3="00000000" w:csb0="0004000F" w:csb1="00000000"/>
  </w:font>
  <w:font w:name="新宋体">
    <w:panose1 w:val="02010609030101010101"/>
    <w:charset w:val="86"/>
    <w:family w:val="modern"/>
    <w:pitch w:val="default"/>
    <w:sig w:usb0="00000203" w:usb1="288F0000" w:usb2="00000006" w:usb3="00000000" w:csb0="00040001" w:csb1="00000000"/>
    <w:embedRegular r:id="rId5" w:fontKey="{09A4A44E-C728-404C-A499-B7BB349CC0FC}"/>
  </w:font>
  <w:font w:name="方正仿宋_GBK">
    <w:panose1 w:val="02000000000000000000"/>
    <w:charset w:val="86"/>
    <w:family w:val="script"/>
    <w:pitch w:val="default"/>
    <w:sig w:usb0="A00002BF" w:usb1="38CF7CFA" w:usb2="00082016" w:usb3="00000000" w:csb0="00040001" w:csb1="00000000"/>
    <w:embedRegular r:id="rId6" w:fontKey="{7E03654F-306C-4B89-ACEF-09B42EA4AA1F}"/>
  </w:font>
  <w:font w:name="Microsoft New Tai Lue">
    <w:panose1 w:val="020B0502040204020203"/>
    <w:charset w:val="00"/>
    <w:family w:val="swiss"/>
    <w:pitch w:val="default"/>
    <w:sig w:usb0="00000003" w:usb1="00000000" w:usb2="80000000" w:usb3="00000000" w:csb0="00000001" w:csb1="00000000"/>
    <w:embedRegular r:id="rId7" w:fontKey="{82C94849-FD86-4CF4-B59A-7D463A134C00}"/>
  </w:font>
  <w:font w:name="KSOFF9CBECC6">
    <w:panose1 w:val="02010609060101010101"/>
    <w:charset w:val="86"/>
    <w:family w:val="auto"/>
    <w:pitch w:val="default"/>
    <w:sig w:usb0="00000001" w:usb1="00000000" w:usb2="00000000" w:usb3="00000000" w:csb0="00040001" w:csb1="00000000"/>
  </w:font>
  <w:font w:name="Segoe UI">
    <w:panose1 w:val="020B0502040204020203"/>
    <w:charset w:val="00"/>
    <w:family w:val="auto"/>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B3FF9F">
    <w:pPr>
      <w:pStyle w:val="11"/>
      <w:jc w:val="center"/>
      <w:rPr>
        <w:rStyle w:val="23"/>
      </w:rPr>
    </w:pPr>
    <w: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097" name="文本框 1"/>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14:paraId="2113C008">
                          <w:pPr>
                            <w:pStyle w:val="11"/>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52</w:t>
                          </w:r>
                          <w:r>
                            <w:fldChar w:fldCharType="end"/>
                          </w:r>
                          <w:r>
                            <w:t xml:space="preserve"> 页</w:t>
                          </w:r>
                        </w:p>
                      </w:txbxContent>
                    </wps:txbx>
                    <wps:bodyPr vert="horz" wrap="none" lIns="0" tIns="0" rIns="0" bIns="0" anchor="t">
                      <a:spAutoFit/>
                    </wps:bodyPr>
                  </wps:wsp>
                </a:graphicData>
              </a:graphic>
            </wp:anchor>
          </w:drawing>
        </mc:Choice>
        <mc:Fallback>
          <w:pict>
            <v:rect id="文本框 1"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C5dblS0AAAAAUBAAAPAAAAAAAAAAEAIAAAACIAAABkcnMvZG93bnJldi54&#10;bWxQSwECFAAUAAAACACHTuJAAlies8kBAACSAwAADgAAAAAAAAABACAAAAAfAQAAZHJzL2Uyb0Rv&#10;Yy54bWxQSwUGAAAAAAYABgBZAQAAWgUAAAAA&#10;">
              <v:fill on="f" focussize="0,0"/>
              <v:stroke on="f"/>
              <v:imagedata o:title=""/>
              <o:lock v:ext="edit" aspectratio="f"/>
              <v:textbox inset="0mm,0mm,0mm,0mm" style="mso-fit-shape-to-text:t;">
                <w:txbxContent>
                  <w:p w14:paraId="2113C008">
                    <w:pPr>
                      <w:pStyle w:val="11"/>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52</w:t>
                    </w:r>
                    <w:r>
                      <w:fldChar w:fldCharType="end"/>
                    </w:r>
                    <w:r>
                      <w:t xml:space="preserve"> 页</w:t>
                    </w:r>
                  </w:p>
                </w:txbxContent>
              </v:textbox>
            </v:rect>
          </w:pict>
        </mc:Fallback>
      </mc:AlternateContent>
    </w:r>
  </w:p>
  <w:p w14:paraId="68625D56">
    <w:pPr>
      <w:pStyle w:val="11"/>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2FD933">
    <w:pPr>
      <w:pStyle w:val="11"/>
      <w:ind w:firstLine="4140" w:firstLineChars="2300"/>
    </w:pPr>
    <w:r>
      <w:rPr>
        <w:rFonts w:hint="eastAsia"/>
        <w:szCs w:val="21"/>
      </w:rPr>
      <w:t xml:space="preserve">第 </w:t>
    </w:r>
    <w:r>
      <w:rPr>
        <w:szCs w:val="21"/>
      </w:rPr>
      <w:fldChar w:fldCharType="begin"/>
    </w:r>
    <w:r>
      <w:rPr>
        <w:szCs w:val="21"/>
      </w:rPr>
      <w:instrText xml:space="preserve"> PAGE </w:instrText>
    </w:r>
    <w:r>
      <w:rPr>
        <w:szCs w:val="21"/>
      </w:rPr>
      <w:fldChar w:fldCharType="separate"/>
    </w:r>
    <w:r>
      <w:rPr>
        <w:szCs w:val="21"/>
      </w:rPr>
      <w:t>61</w:t>
    </w:r>
    <w:r>
      <w:rPr>
        <w:szCs w:val="21"/>
      </w:rPr>
      <w:fldChar w:fldCharType="end"/>
    </w:r>
    <w:r>
      <w:rPr>
        <w:rFonts w:hint="eastAsia"/>
        <w:szCs w:val="21"/>
      </w:rPr>
      <w:t xml:space="preserve"> 页 共 </w:t>
    </w:r>
    <w:r>
      <w:rPr>
        <w:szCs w:val="21"/>
      </w:rPr>
      <w:fldChar w:fldCharType="begin"/>
    </w:r>
    <w:r>
      <w:rPr>
        <w:szCs w:val="21"/>
      </w:rPr>
      <w:instrText xml:space="preserve"> NUMPAGES </w:instrText>
    </w:r>
    <w:r>
      <w:rPr>
        <w:szCs w:val="21"/>
      </w:rPr>
      <w:fldChar w:fldCharType="separate"/>
    </w:r>
    <w:r>
      <w:rPr>
        <w:szCs w:val="21"/>
      </w:rPr>
      <w:t>95</w:t>
    </w:r>
    <w:r>
      <w:rPr>
        <w:szCs w:val="21"/>
      </w:rPr>
      <w:fldChar w:fldCharType="end"/>
    </w:r>
    <w:r>
      <w:rPr>
        <w:rFonts w:hint="eastAsia"/>
        <w:szCs w:val="21"/>
      </w:rPr>
      <w:t xml:space="preserve"> 页</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151728">
    <w:pPr>
      <w:pStyle w:val="11"/>
      <w:jc w:val="center"/>
    </w:pPr>
    <w:r>
      <mc:AlternateContent>
        <mc:Choice Requires="wps">
          <w:drawing>
            <wp:anchor distT="0" distB="0" distL="0" distR="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098" name="文本框 2"/>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14:paraId="51CC32E1">
                          <w:pPr>
                            <w:pStyle w:val="11"/>
                          </w:pPr>
                          <w:r>
                            <w:t xml:space="preserve">第 </w:t>
                          </w:r>
                          <w:r>
                            <w:fldChar w:fldCharType="begin"/>
                          </w:r>
                          <w:r>
                            <w:instrText xml:space="preserve"> PAGE  \* MERGEFORMAT </w:instrText>
                          </w:r>
                          <w:r>
                            <w:fldChar w:fldCharType="separate"/>
                          </w:r>
                          <w:r>
                            <w:t>3</w:t>
                          </w:r>
                          <w:r>
                            <w:fldChar w:fldCharType="end"/>
                          </w:r>
                          <w:r>
                            <w:t xml:space="preserve"> 页 共 </w:t>
                          </w:r>
                          <w:r>
                            <w:fldChar w:fldCharType="begin"/>
                          </w:r>
                          <w:r>
                            <w:instrText xml:space="preserve"> NUMPAGES  \* MERGEFORMAT </w:instrText>
                          </w:r>
                          <w:r>
                            <w:fldChar w:fldCharType="separate"/>
                          </w:r>
                          <w:r>
                            <w:t>52</w:t>
                          </w:r>
                          <w:r>
                            <w:fldChar w:fldCharType="end"/>
                          </w:r>
                          <w:r>
                            <w:t xml:space="preserve"> 页</w:t>
                          </w:r>
                        </w:p>
                      </w:txbxContent>
                    </wps:txbx>
                    <wps:bodyPr vert="horz" wrap="none" lIns="0" tIns="0" rIns="0" bIns="0" anchor="t">
                      <a:spAutoFit/>
                    </wps:bodyPr>
                  </wps:wsp>
                </a:graphicData>
              </a:graphic>
            </wp:anchor>
          </w:drawing>
        </mc:Choice>
        <mc:Fallback>
          <w:pict>
            <v:rect id="文本框 2" o:spid="_x0000_s1026" o:spt="1"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C5dblS0AAAAAUBAAAPAAAAAAAAAAEAIAAAACIAAABkcnMvZG93bnJldi54&#10;bWxQSwECFAAUAAAACACHTuJA8RvrdckBAACSAwAADgAAAAAAAAABACAAAAAfAQAAZHJzL2Uyb0Rv&#10;Yy54bWxQSwUGAAAAAAYABgBZAQAAWgUAAAAA&#10;">
              <v:fill on="f" focussize="0,0"/>
              <v:stroke on="f"/>
              <v:imagedata o:title=""/>
              <o:lock v:ext="edit" aspectratio="f"/>
              <v:textbox inset="0mm,0mm,0mm,0mm" style="mso-fit-shape-to-text:t;">
                <w:txbxContent>
                  <w:p w14:paraId="51CC32E1">
                    <w:pPr>
                      <w:pStyle w:val="11"/>
                    </w:pPr>
                    <w:r>
                      <w:t xml:space="preserve">第 </w:t>
                    </w:r>
                    <w:r>
                      <w:fldChar w:fldCharType="begin"/>
                    </w:r>
                    <w:r>
                      <w:instrText xml:space="preserve"> PAGE  \* MERGEFORMAT </w:instrText>
                    </w:r>
                    <w:r>
                      <w:fldChar w:fldCharType="separate"/>
                    </w:r>
                    <w:r>
                      <w:t>3</w:t>
                    </w:r>
                    <w:r>
                      <w:fldChar w:fldCharType="end"/>
                    </w:r>
                    <w:r>
                      <w:t xml:space="preserve"> 页 共 </w:t>
                    </w:r>
                    <w:r>
                      <w:fldChar w:fldCharType="begin"/>
                    </w:r>
                    <w:r>
                      <w:instrText xml:space="preserve"> NUMPAGES  \* MERGEFORMAT </w:instrText>
                    </w:r>
                    <w:r>
                      <w:fldChar w:fldCharType="separate"/>
                    </w:r>
                    <w:r>
                      <w:t>52</w:t>
                    </w:r>
                    <w:r>
                      <w:fldChar w:fldCharType="end"/>
                    </w:r>
                    <w:r>
                      <w:t xml:space="preserve"> 页</w:t>
                    </w:r>
                  </w:p>
                </w:txbxContent>
              </v:textbox>
            </v:rect>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9F9B5E">
    <w:pPr>
      <w:pStyle w:val="40"/>
    </w:pPr>
    <w:r>
      <w:rPr>
        <w:lang w:eastAsia="zh-CN"/>
      </w:rPr>
      <mc:AlternateContent>
        <mc:Choice Requires="wps">
          <w:drawing>
            <wp:anchor distT="0" distB="0" distL="0" distR="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14:paraId="1615F1E1">
                          <w:pPr>
                            <w:rPr>
                              <w:rFonts w:hint="eastAsia" w:ascii="宋体" w:hAnsi="宋体" w:cs="宋体"/>
                              <w:sz w:val="18"/>
                              <w:szCs w:val="18"/>
                            </w:rPr>
                          </w:pPr>
                          <w:r>
                            <w:rPr>
                              <w:rFonts w:hint="eastAsia" w:ascii="宋体" w:hAnsi="宋体" w:cs="宋体"/>
                              <w:sz w:val="18"/>
                              <w:szCs w:val="18"/>
                            </w:rPr>
                            <w:t xml:space="preserve">第 </w:t>
                          </w:r>
                          <w:r>
                            <w:rPr>
                              <w:rFonts w:hint="eastAsia" w:ascii="宋体" w:hAnsi="宋体" w:cs="宋体"/>
                              <w:sz w:val="18"/>
                              <w:szCs w:val="18"/>
                            </w:rPr>
                            <w:fldChar w:fldCharType="begin"/>
                          </w:r>
                          <w:r>
                            <w:rPr>
                              <w:rFonts w:hint="eastAsia" w:ascii="宋体" w:hAnsi="宋体" w:cs="宋体"/>
                              <w:sz w:val="18"/>
                              <w:szCs w:val="18"/>
                            </w:rPr>
                            <w:instrText xml:space="preserve"> PAGE  \* MERGEFORMAT </w:instrText>
                          </w:r>
                          <w:r>
                            <w:rPr>
                              <w:rFonts w:hint="eastAsia" w:ascii="宋体" w:hAnsi="宋体" w:cs="宋体"/>
                              <w:sz w:val="18"/>
                              <w:szCs w:val="18"/>
                            </w:rPr>
                            <w:fldChar w:fldCharType="separate"/>
                          </w:r>
                          <w:r>
                            <w:rPr>
                              <w:rFonts w:hint="eastAsia" w:ascii="宋体" w:hAnsi="宋体" w:cs="宋体"/>
                              <w:sz w:val="18"/>
                              <w:szCs w:val="18"/>
                            </w:rPr>
                            <w:t>7</w:t>
                          </w:r>
                          <w:r>
                            <w:rPr>
                              <w:rFonts w:hint="eastAsia" w:ascii="宋体" w:hAnsi="宋体" w:cs="宋体"/>
                              <w:sz w:val="18"/>
                              <w:szCs w:val="18"/>
                            </w:rPr>
                            <w:fldChar w:fldCharType="end"/>
                          </w:r>
                          <w:r>
                            <w:rPr>
                              <w:rFonts w:hint="eastAsia" w:ascii="宋体" w:hAnsi="宋体" w:cs="宋体"/>
                              <w:sz w:val="18"/>
                              <w:szCs w:val="18"/>
                            </w:rPr>
                            <w:t xml:space="preserve"> 页 共 </w:t>
                          </w:r>
                          <w:r>
                            <w:rPr>
                              <w:rFonts w:hint="eastAsia" w:ascii="宋体" w:hAnsi="宋体" w:cs="宋体"/>
                              <w:sz w:val="18"/>
                              <w:szCs w:val="18"/>
                            </w:rPr>
                            <w:fldChar w:fldCharType="begin"/>
                          </w:r>
                          <w:r>
                            <w:rPr>
                              <w:rFonts w:hint="eastAsia" w:ascii="宋体" w:hAnsi="宋体" w:cs="宋体"/>
                              <w:sz w:val="18"/>
                              <w:szCs w:val="18"/>
                            </w:rPr>
                            <w:instrText xml:space="preserve"> NUMPAGES  \* MERGEFORMAT </w:instrText>
                          </w:r>
                          <w:r>
                            <w:rPr>
                              <w:rFonts w:hint="eastAsia" w:ascii="宋体" w:hAnsi="宋体" w:cs="宋体"/>
                              <w:sz w:val="18"/>
                              <w:szCs w:val="18"/>
                            </w:rPr>
                            <w:fldChar w:fldCharType="separate"/>
                          </w:r>
                          <w:r>
                            <w:rPr>
                              <w:rFonts w:hint="eastAsia" w:ascii="宋体" w:hAnsi="宋体" w:cs="宋体"/>
                              <w:sz w:val="18"/>
                              <w:szCs w:val="18"/>
                            </w:rPr>
                            <w:t>52</w:t>
                          </w:r>
                          <w:r>
                            <w:rPr>
                              <w:rFonts w:hint="eastAsia" w:ascii="宋体" w:hAnsi="宋体" w:cs="宋体"/>
                              <w:sz w:val="18"/>
                              <w:szCs w:val="18"/>
                            </w:rPr>
                            <w:fldChar w:fldCharType="end"/>
                          </w:r>
                          <w:r>
                            <w:rPr>
                              <w:rFonts w:hint="eastAsia" w:ascii="宋体" w:hAnsi="宋体" w:cs="宋体"/>
                              <w:sz w:val="18"/>
                              <w:szCs w:val="18"/>
                            </w:rPr>
                            <w:t xml:space="preserve"> 页</w:t>
                          </w:r>
                        </w:p>
                      </w:txbxContent>
                    </wps:txbx>
                    <wps:bodyPr wrap="none" lIns="0" tIns="0" rIns="0" bIns="0" upright="1">
                      <a:spAutoFit/>
                    </wps:bodyPr>
                  </wps:wsp>
                </a:graphicData>
              </a:graphic>
            </wp:anchor>
          </w:drawing>
        </mc:Choice>
        <mc:Fallback>
          <w:pict>
            <v:rect id="文本框 5" o:spid="_x0000_s1026" o:spt="1"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">
              <v:fill on="f" focussize="0,0"/>
              <v:stroke on="f"/>
              <v:imagedata o:title=""/>
              <o:lock v:ext="edit" aspectratio="f"/>
              <v:textbox inset="0mm,0mm,0mm,0mm" style="mso-fit-shape-to-text:t;">
                <w:txbxContent>
                  <w:p w14:paraId="1615F1E1">
                    <w:pPr>
                      <w:rPr>
                        <w:rFonts w:hint="eastAsia" w:ascii="宋体" w:hAnsi="宋体" w:cs="宋体"/>
                        <w:sz w:val="18"/>
                        <w:szCs w:val="18"/>
                      </w:rPr>
                    </w:pPr>
                    <w:r>
                      <w:rPr>
                        <w:rFonts w:hint="eastAsia" w:ascii="宋体" w:hAnsi="宋体" w:cs="宋体"/>
                        <w:sz w:val="18"/>
                        <w:szCs w:val="18"/>
                      </w:rPr>
                      <w:t xml:space="preserve">第 </w:t>
                    </w:r>
                    <w:r>
                      <w:rPr>
                        <w:rFonts w:hint="eastAsia" w:ascii="宋体" w:hAnsi="宋体" w:cs="宋体"/>
                        <w:sz w:val="18"/>
                        <w:szCs w:val="18"/>
                      </w:rPr>
                      <w:fldChar w:fldCharType="begin"/>
                    </w:r>
                    <w:r>
                      <w:rPr>
                        <w:rFonts w:hint="eastAsia" w:ascii="宋体" w:hAnsi="宋体" w:cs="宋体"/>
                        <w:sz w:val="18"/>
                        <w:szCs w:val="18"/>
                      </w:rPr>
                      <w:instrText xml:space="preserve"> PAGE  \* MERGEFORMAT </w:instrText>
                    </w:r>
                    <w:r>
                      <w:rPr>
                        <w:rFonts w:hint="eastAsia" w:ascii="宋体" w:hAnsi="宋体" w:cs="宋体"/>
                        <w:sz w:val="18"/>
                        <w:szCs w:val="18"/>
                      </w:rPr>
                      <w:fldChar w:fldCharType="separate"/>
                    </w:r>
                    <w:r>
                      <w:rPr>
                        <w:rFonts w:hint="eastAsia" w:ascii="宋体" w:hAnsi="宋体" w:cs="宋体"/>
                        <w:sz w:val="18"/>
                        <w:szCs w:val="18"/>
                      </w:rPr>
                      <w:t>7</w:t>
                    </w:r>
                    <w:r>
                      <w:rPr>
                        <w:rFonts w:hint="eastAsia" w:ascii="宋体" w:hAnsi="宋体" w:cs="宋体"/>
                        <w:sz w:val="18"/>
                        <w:szCs w:val="18"/>
                      </w:rPr>
                      <w:fldChar w:fldCharType="end"/>
                    </w:r>
                    <w:r>
                      <w:rPr>
                        <w:rFonts w:hint="eastAsia" w:ascii="宋体" w:hAnsi="宋体" w:cs="宋体"/>
                        <w:sz w:val="18"/>
                        <w:szCs w:val="18"/>
                      </w:rPr>
                      <w:t xml:space="preserve"> 页 共 </w:t>
                    </w:r>
                    <w:r>
                      <w:rPr>
                        <w:rFonts w:hint="eastAsia" w:ascii="宋体" w:hAnsi="宋体" w:cs="宋体"/>
                        <w:sz w:val="18"/>
                        <w:szCs w:val="18"/>
                      </w:rPr>
                      <w:fldChar w:fldCharType="begin"/>
                    </w:r>
                    <w:r>
                      <w:rPr>
                        <w:rFonts w:hint="eastAsia" w:ascii="宋体" w:hAnsi="宋体" w:cs="宋体"/>
                        <w:sz w:val="18"/>
                        <w:szCs w:val="18"/>
                      </w:rPr>
                      <w:instrText xml:space="preserve"> NUMPAGES  \* MERGEFORMAT </w:instrText>
                    </w:r>
                    <w:r>
                      <w:rPr>
                        <w:rFonts w:hint="eastAsia" w:ascii="宋体" w:hAnsi="宋体" w:cs="宋体"/>
                        <w:sz w:val="18"/>
                        <w:szCs w:val="18"/>
                      </w:rPr>
                      <w:fldChar w:fldCharType="separate"/>
                    </w:r>
                    <w:r>
                      <w:rPr>
                        <w:rFonts w:hint="eastAsia" w:ascii="宋体" w:hAnsi="宋体" w:cs="宋体"/>
                        <w:sz w:val="18"/>
                        <w:szCs w:val="18"/>
                      </w:rPr>
                      <w:t>52</w:t>
                    </w:r>
                    <w:r>
                      <w:rPr>
                        <w:rFonts w:hint="eastAsia" w:ascii="宋体" w:hAnsi="宋体" w:cs="宋体"/>
                        <w:sz w:val="18"/>
                        <w:szCs w:val="18"/>
                      </w:rPr>
                      <w:fldChar w:fldCharType="end"/>
                    </w:r>
                    <w:r>
                      <w:rPr>
                        <w:rFonts w:hint="eastAsia" w:ascii="宋体" w:hAnsi="宋体" w:cs="宋体"/>
                        <w:sz w:val="18"/>
                        <w:szCs w:val="18"/>
                      </w:rPr>
                      <w:t xml:space="preserve"> 页</w:t>
                    </w:r>
                  </w:p>
                </w:txbxContent>
              </v:textbox>
            </v:rect>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B3A18C">
    <w:pPr>
      <w:pStyle w:val="40"/>
    </w:pPr>
    <w:r>
      <w:rPr>
        <w:lang w:eastAsia="zh-CN"/>
      </w:rPr>
      <mc:AlternateContent>
        <mc:Choice Requires="wps">
          <w:drawing>
            <wp:anchor distT="0" distB="0" distL="0" distR="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099" name="文本框 5"/>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14:paraId="2BCB5A35">
                          <w:pPr>
                            <w:rPr>
                              <w:rFonts w:hint="eastAsia" w:ascii="宋体" w:hAnsi="宋体" w:cs="宋体"/>
                              <w:sz w:val="18"/>
                              <w:szCs w:val="18"/>
                            </w:rPr>
                          </w:pPr>
                          <w:r>
                            <w:rPr>
                              <w:rFonts w:hint="eastAsia" w:ascii="宋体" w:hAnsi="宋体" w:cs="宋体"/>
                              <w:sz w:val="18"/>
                              <w:szCs w:val="18"/>
                            </w:rPr>
                            <w:t xml:space="preserve">第 </w:t>
                          </w:r>
                          <w:r>
                            <w:rPr>
                              <w:rFonts w:hint="eastAsia" w:ascii="宋体" w:hAnsi="宋体" w:cs="宋体"/>
                              <w:sz w:val="18"/>
                              <w:szCs w:val="18"/>
                            </w:rPr>
                            <w:fldChar w:fldCharType="begin"/>
                          </w:r>
                          <w:r>
                            <w:rPr>
                              <w:rFonts w:hint="eastAsia" w:ascii="宋体" w:hAnsi="宋体" w:cs="宋体"/>
                              <w:sz w:val="18"/>
                              <w:szCs w:val="18"/>
                            </w:rPr>
                            <w:instrText xml:space="preserve"> PAGE  \* MERGEFORMAT </w:instrText>
                          </w:r>
                          <w:r>
                            <w:rPr>
                              <w:rFonts w:hint="eastAsia" w:ascii="宋体" w:hAnsi="宋体" w:cs="宋体"/>
                              <w:sz w:val="18"/>
                              <w:szCs w:val="18"/>
                            </w:rPr>
                            <w:fldChar w:fldCharType="separate"/>
                          </w:r>
                          <w:r>
                            <w:rPr>
                              <w:rFonts w:hint="eastAsia" w:ascii="宋体" w:hAnsi="宋体" w:cs="宋体"/>
                              <w:sz w:val="18"/>
                              <w:szCs w:val="18"/>
                            </w:rPr>
                            <w:t>7</w:t>
                          </w:r>
                          <w:r>
                            <w:rPr>
                              <w:rFonts w:hint="eastAsia" w:ascii="宋体" w:hAnsi="宋体" w:cs="宋体"/>
                              <w:sz w:val="18"/>
                              <w:szCs w:val="18"/>
                            </w:rPr>
                            <w:fldChar w:fldCharType="end"/>
                          </w:r>
                          <w:r>
                            <w:rPr>
                              <w:rFonts w:hint="eastAsia" w:ascii="宋体" w:hAnsi="宋体" w:cs="宋体"/>
                              <w:sz w:val="18"/>
                              <w:szCs w:val="18"/>
                            </w:rPr>
                            <w:t xml:space="preserve"> 页 共 </w:t>
                          </w:r>
                          <w:r>
                            <w:rPr>
                              <w:rFonts w:hint="eastAsia" w:ascii="宋体" w:hAnsi="宋体" w:cs="宋体"/>
                              <w:sz w:val="18"/>
                              <w:szCs w:val="18"/>
                            </w:rPr>
                            <w:fldChar w:fldCharType="begin"/>
                          </w:r>
                          <w:r>
                            <w:rPr>
                              <w:rFonts w:hint="eastAsia" w:ascii="宋体" w:hAnsi="宋体" w:cs="宋体"/>
                              <w:sz w:val="18"/>
                              <w:szCs w:val="18"/>
                            </w:rPr>
                            <w:instrText xml:space="preserve"> NUMPAGES  \* MERGEFORMAT </w:instrText>
                          </w:r>
                          <w:r>
                            <w:rPr>
                              <w:rFonts w:hint="eastAsia" w:ascii="宋体" w:hAnsi="宋体" w:cs="宋体"/>
                              <w:sz w:val="18"/>
                              <w:szCs w:val="18"/>
                            </w:rPr>
                            <w:fldChar w:fldCharType="separate"/>
                          </w:r>
                          <w:r>
                            <w:rPr>
                              <w:rFonts w:hint="eastAsia" w:ascii="宋体" w:hAnsi="宋体" w:cs="宋体"/>
                              <w:sz w:val="18"/>
                              <w:szCs w:val="18"/>
                            </w:rPr>
                            <w:t>52</w:t>
                          </w:r>
                          <w:r>
                            <w:rPr>
                              <w:rFonts w:hint="eastAsia" w:ascii="宋体" w:hAnsi="宋体" w:cs="宋体"/>
                              <w:sz w:val="18"/>
                              <w:szCs w:val="18"/>
                            </w:rPr>
                            <w:fldChar w:fldCharType="end"/>
                          </w:r>
                          <w:r>
                            <w:rPr>
                              <w:rFonts w:hint="eastAsia" w:ascii="宋体" w:hAnsi="宋体" w:cs="宋体"/>
                              <w:sz w:val="18"/>
                              <w:szCs w:val="18"/>
                            </w:rPr>
                            <w:t xml:space="preserve"> 页</w:t>
                          </w:r>
                        </w:p>
                      </w:txbxContent>
                    </wps:txbx>
                    <wps:bodyPr wrap="none" lIns="0" tIns="0" rIns="0" bIns="0" upright="1">
                      <a:spAutoFit/>
                    </wps:bodyPr>
                  </wps:wsp>
                </a:graphicData>
              </a:graphic>
            </wp:anchor>
          </w:drawing>
        </mc:Choice>
        <mc:Fallback>
          <w:pict>
            <v:rect id="文本框 5" o:spid="_x0000_s1026" o:spt="1"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">
              <v:fill on="f" focussize="0,0"/>
              <v:stroke on="f"/>
              <v:imagedata o:title=""/>
              <o:lock v:ext="edit" aspectratio="f"/>
              <v:textbox inset="0mm,0mm,0mm,0mm" style="mso-fit-shape-to-text:t;">
                <w:txbxContent>
                  <w:p w14:paraId="2BCB5A35">
                    <w:pPr>
                      <w:rPr>
                        <w:rFonts w:hint="eastAsia" w:ascii="宋体" w:hAnsi="宋体" w:cs="宋体"/>
                        <w:sz w:val="18"/>
                        <w:szCs w:val="18"/>
                      </w:rPr>
                    </w:pPr>
                    <w:r>
                      <w:rPr>
                        <w:rFonts w:hint="eastAsia" w:ascii="宋体" w:hAnsi="宋体" w:cs="宋体"/>
                        <w:sz w:val="18"/>
                        <w:szCs w:val="18"/>
                      </w:rPr>
                      <w:t xml:space="preserve">第 </w:t>
                    </w:r>
                    <w:r>
                      <w:rPr>
                        <w:rFonts w:hint="eastAsia" w:ascii="宋体" w:hAnsi="宋体" w:cs="宋体"/>
                        <w:sz w:val="18"/>
                        <w:szCs w:val="18"/>
                      </w:rPr>
                      <w:fldChar w:fldCharType="begin"/>
                    </w:r>
                    <w:r>
                      <w:rPr>
                        <w:rFonts w:hint="eastAsia" w:ascii="宋体" w:hAnsi="宋体" w:cs="宋体"/>
                        <w:sz w:val="18"/>
                        <w:szCs w:val="18"/>
                      </w:rPr>
                      <w:instrText xml:space="preserve"> PAGE  \* MERGEFORMAT </w:instrText>
                    </w:r>
                    <w:r>
                      <w:rPr>
                        <w:rFonts w:hint="eastAsia" w:ascii="宋体" w:hAnsi="宋体" w:cs="宋体"/>
                        <w:sz w:val="18"/>
                        <w:szCs w:val="18"/>
                      </w:rPr>
                      <w:fldChar w:fldCharType="separate"/>
                    </w:r>
                    <w:r>
                      <w:rPr>
                        <w:rFonts w:hint="eastAsia" w:ascii="宋体" w:hAnsi="宋体" w:cs="宋体"/>
                        <w:sz w:val="18"/>
                        <w:szCs w:val="18"/>
                      </w:rPr>
                      <w:t>7</w:t>
                    </w:r>
                    <w:r>
                      <w:rPr>
                        <w:rFonts w:hint="eastAsia" w:ascii="宋体" w:hAnsi="宋体" w:cs="宋体"/>
                        <w:sz w:val="18"/>
                        <w:szCs w:val="18"/>
                      </w:rPr>
                      <w:fldChar w:fldCharType="end"/>
                    </w:r>
                    <w:r>
                      <w:rPr>
                        <w:rFonts w:hint="eastAsia" w:ascii="宋体" w:hAnsi="宋体" w:cs="宋体"/>
                        <w:sz w:val="18"/>
                        <w:szCs w:val="18"/>
                      </w:rPr>
                      <w:t xml:space="preserve"> 页 共 </w:t>
                    </w:r>
                    <w:r>
                      <w:rPr>
                        <w:rFonts w:hint="eastAsia" w:ascii="宋体" w:hAnsi="宋体" w:cs="宋体"/>
                        <w:sz w:val="18"/>
                        <w:szCs w:val="18"/>
                      </w:rPr>
                      <w:fldChar w:fldCharType="begin"/>
                    </w:r>
                    <w:r>
                      <w:rPr>
                        <w:rFonts w:hint="eastAsia" w:ascii="宋体" w:hAnsi="宋体" w:cs="宋体"/>
                        <w:sz w:val="18"/>
                        <w:szCs w:val="18"/>
                      </w:rPr>
                      <w:instrText xml:space="preserve"> NUMPAGES  \* MERGEFORMAT </w:instrText>
                    </w:r>
                    <w:r>
                      <w:rPr>
                        <w:rFonts w:hint="eastAsia" w:ascii="宋体" w:hAnsi="宋体" w:cs="宋体"/>
                        <w:sz w:val="18"/>
                        <w:szCs w:val="18"/>
                      </w:rPr>
                      <w:fldChar w:fldCharType="separate"/>
                    </w:r>
                    <w:r>
                      <w:rPr>
                        <w:rFonts w:hint="eastAsia" w:ascii="宋体" w:hAnsi="宋体" w:cs="宋体"/>
                        <w:sz w:val="18"/>
                        <w:szCs w:val="18"/>
                      </w:rPr>
                      <w:t>52</w:t>
                    </w:r>
                    <w:r>
                      <w:rPr>
                        <w:rFonts w:hint="eastAsia" w:ascii="宋体" w:hAnsi="宋体" w:cs="宋体"/>
                        <w:sz w:val="18"/>
                        <w:szCs w:val="18"/>
                      </w:rPr>
                      <w:fldChar w:fldCharType="end"/>
                    </w:r>
                    <w:r>
                      <w:rPr>
                        <w:rFonts w:hint="eastAsia" w:ascii="宋体" w:hAnsi="宋体" w:cs="宋体"/>
                        <w:sz w:val="18"/>
                        <w:szCs w:val="18"/>
                      </w:rPr>
                      <w:t xml:space="preserve"> 页</w:t>
                    </w:r>
                  </w:p>
                </w:txbxContent>
              </v:textbox>
            </v:rect>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1BFEE8">
    <w:pPr>
      <w:pStyle w:val="11"/>
      <w:jc w:val="center"/>
    </w:pPr>
    <w:r>
      <w:rPr>
        <w:rFonts w:hint="eastAsia"/>
      </w:rPr>
      <w:t>第</w:t>
    </w:r>
    <w:r>
      <w:fldChar w:fldCharType="begin"/>
    </w:r>
    <w:r>
      <w:rPr>
        <w:rStyle w:val="23"/>
      </w:rPr>
      <w:instrText xml:space="preserve"> PAGE </w:instrText>
    </w:r>
    <w:r>
      <w:fldChar w:fldCharType="separate"/>
    </w:r>
    <w:r>
      <w:rPr>
        <w:rStyle w:val="23"/>
      </w:rPr>
      <w:t>7</w:t>
    </w:r>
    <w:r>
      <w:fldChar w:fldCharType="end"/>
    </w:r>
    <w:r>
      <w:rPr>
        <w:rFonts w:hint="eastAsia"/>
      </w:rPr>
      <w:t>页共</w:t>
    </w:r>
    <w:r>
      <w:fldChar w:fldCharType="begin"/>
    </w:r>
    <w:r>
      <w:rPr>
        <w:rStyle w:val="23"/>
      </w:rPr>
      <w:instrText xml:space="preserve"> NUMPAGES </w:instrText>
    </w:r>
    <w:r>
      <w:fldChar w:fldCharType="separate"/>
    </w:r>
    <w:r>
      <w:rPr>
        <w:rStyle w:val="23"/>
      </w:rPr>
      <w:t>11</w:t>
    </w:r>
    <w:r>
      <w:fldChar w:fldCharType="end"/>
    </w:r>
    <w:r>
      <w:rPr>
        <w:rFonts w:hint="eastAsia"/>
      </w:rPr>
      <w:t>页</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01A30B">
    <w:pPr>
      <w:pStyle w:val="11"/>
    </w:pPr>
    <w:r>
      <mc:AlternateContent>
        <mc:Choice Requires="wps">
          <w:drawing>
            <wp:anchor distT="0" distB="0" distL="0" distR="0" simplePos="0" relativeHeight="251662336" behindDoc="0" locked="0" layoutInCell="1" allowOverlap="1">
              <wp:simplePos x="0" y="0"/>
              <wp:positionH relativeFrom="margin">
                <wp:align>center</wp:align>
              </wp:positionH>
              <wp:positionV relativeFrom="paragraph">
                <wp:posOffset>0</wp:posOffset>
              </wp:positionV>
              <wp:extent cx="1664335" cy="218440"/>
              <wp:effectExtent l="0" t="0" r="0" b="0"/>
              <wp:wrapNone/>
              <wp:docPr id="4101" name="文本框 4"/>
              <wp:cNvGraphicFramePr/>
              <a:graphic xmlns:a="http://schemas.openxmlformats.org/drawingml/2006/main">
                <a:graphicData uri="http://schemas.microsoft.com/office/word/2010/wordprocessingShape">
                  <wps:wsp>
                    <wps:cNvSpPr/>
                    <wps:spPr>
                      <a:xfrm>
                        <a:off x="0" y="0"/>
                        <a:ext cx="1664335" cy="218440"/>
                      </a:xfrm>
                      <a:prstGeom prst="rect">
                        <a:avLst/>
                      </a:prstGeom>
                      <a:ln>
                        <a:noFill/>
                      </a:ln>
                    </wps:spPr>
                    <wps:txbx>
                      <w:txbxContent>
                        <w:p w14:paraId="3080030A">
                          <w:pPr>
                            <w:pStyle w:val="2"/>
                            <w:ind w:firstLine="360"/>
                            <w:rPr>
                              <w:rFonts w:hint="eastAsia" w:ascii="宋体" w:hAnsi="宋体" w:eastAsia="宋体" w:cs="宋体"/>
                              <w:sz w:val="18"/>
                              <w:szCs w:val="18"/>
                            </w:rPr>
                          </w:pPr>
                          <w:r>
                            <w:rPr>
                              <w:rFonts w:hint="eastAsia" w:ascii="宋体" w:hAnsi="宋体" w:eastAsia="宋体" w:cs="宋体"/>
                              <w:sz w:val="18"/>
                              <w:szCs w:val="18"/>
                            </w:rPr>
                            <w:t xml:space="preserve">第 </w:t>
                          </w:r>
                          <w:r>
                            <w:rPr>
                              <w:rFonts w:hint="eastAsia" w:ascii="宋体" w:hAnsi="宋体" w:eastAsia="宋体" w:cs="宋体"/>
                              <w:sz w:val="18"/>
                              <w:szCs w:val="18"/>
                            </w:rPr>
                            <w:fldChar w:fldCharType="begin"/>
                          </w:r>
                          <w:r>
                            <w:rPr>
                              <w:rFonts w:hint="eastAsia" w:ascii="宋体" w:hAnsi="宋体" w:eastAsia="宋体" w:cs="宋体"/>
                              <w:sz w:val="18"/>
                              <w:szCs w:val="18"/>
                            </w:rPr>
                            <w:instrText xml:space="preserve"> PAGE  \* MERGEFORMAT </w:instrText>
                          </w:r>
                          <w:r>
                            <w:rPr>
                              <w:rFonts w:hint="eastAsia" w:ascii="宋体" w:hAnsi="宋体" w:eastAsia="宋体" w:cs="宋体"/>
                              <w:sz w:val="18"/>
                              <w:szCs w:val="18"/>
                            </w:rPr>
                            <w:fldChar w:fldCharType="separate"/>
                          </w:r>
                          <w:r>
                            <w:rPr>
                              <w:rFonts w:hint="eastAsia" w:ascii="宋体" w:hAnsi="宋体" w:eastAsia="宋体" w:cs="宋体"/>
                              <w:sz w:val="18"/>
                              <w:szCs w:val="18"/>
                            </w:rPr>
                            <w:t>37</w:t>
                          </w:r>
                          <w:r>
                            <w:rPr>
                              <w:rFonts w:hint="eastAsia" w:ascii="宋体" w:hAnsi="宋体" w:eastAsia="宋体" w:cs="宋体"/>
                              <w:sz w:val="18"/>
                              <w:szCs w:val="18"/>
                            </w:rPr>
                            <w:fldChar w:fldCharType="end"/>
                          </w:r>
                          <w:r>
                            <w:rPr>
                              <w:rFonts w:hint="eastAsia" w:ascii="宋体" w:hAnsi="宋体" w:eastAsia="宋体" w:cs="宋体"/>
                              <w:sz w:val="18"/>
                              <w:szCs w:val="18"/>
                            </w:rPr>
                            <w:t xml:space="preserve"> 页 共 </w:t>
                          </w:r>
                          <w:r>
                            <w:rPr>
                              <w:rFonts w:hint="eastAsia" w:ascii="宋体" w:hAnsi="宋体" w:eastAsia="宋体" w:cs="宋体"/>
                              <w:sz w:val="18"/>
                              <w:szCs w:val="18"/>
                            </w:rPr>
                            <w:fldChar w:fldCharType="begin"/>
                          </w:r>
                          <w:r>
                            <w:rPr>
                              <w:rFonts w:hint="eastAsia" w:ascii="宋体" w:hAnsi="宋体" w:eastAsia="宋体" w:cs="宋体"/>
                              <w:sz w:val="18"/>
                              <w:szCs w:val="18"/>
                            </w:rPr>
                            <w:instrText xml:space="preserve"> NUMPAGES  \* MERGEFORMAT </w:instrText>
                          </w:r>
                          <w:r>
                            <w:rPr>
                              <w:rFonts w:hint="eastAsia" w:ascii="宋体" w:hAnsi="宋体" w:eastAsia="宋体" w:cs="宋体"/>
                              <w:sz w:val="18"/>
                              <w:szCs w:val="18"/>
                            </w:rPr>
                            <w:fldChar w:fldCharType="separate"/>
                          </w:r>
                          <w:r>
                            <w:rPr>
                              <w:rFonts w:hint="eastAsia" w:ascii="宋体" w:hAnsi="宋体" w:eastAsia="宋体" w:cs="宋体"/>
                              <w:sz w:val="18"/>
                              <w:szCs w:val="18"/>
                            </w:rPr>
                            <w:t>52</w:t>
                          </w:r>
                          <w:r>
                            <w:rPr>
                              <w:rFonts w:hint="eastAsia" w:ascii="宋体" w:hAnsi="宋体" w:eastAsia="宋体" w:cs="宋体"/>
                              <w:sz w:val="18"/>
                              <w:szCs w:val="18"/>
                            </w:rPr>
                            <w:fldChar w:fldCharType="end"/>
                          </w:r>
                          <w:r>
                            <w:rPr>
                              <w:rFonts w:hint="eastAsia" w:ascii="宋体" w:hAnsi="宋体" w:eastAsia="宋体" w:cs="宋体"/>
                              <w:sz w:val="18"/>
                              <w:szCs w:val="18"/>
                            </w:rPr>
                            <w:t xml:space="preserve"> 页</w:t>
                          </w:r>
                        </w:p>
                      </w:txbxContent>
                    </wps:txbx>
                    <wps:bodyPr vert="horz" wrap="square" lIns="0" tIns="0" rIns="0" bIns="0" anchor="t">
                      <a:noAutofit/>
                    </wps:bodyPr>
                  </wps:wsp>
                </a:graphicData>
              </a:graphic>
            </wp:anchor>
          </w:drawing>
        </mc:Choice>
        <mc:Fallback>
          <w:pict>
            <v:rect id="文本框 4" o:spid="_x0000_s1026" o:spt="1" style="position:absolute;left:0pt;margin-top:0pt;height:17.2pt;width:131.05pt;mso-position-horizontal:center;mso-position-horizontal-relative:margin;z-index:251662336;mso-width-relative:page;mso-height-relative:page;" filled="f" stroked="f" coordsize="21600,21600" o:gfxdata="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">
              <v:fill on="f" focussize="0,0"/>
              <v:stroke on="f"/>
              <v:imagedata o:title=""/>
              <o:lock v:ext="edit" aspectratio="f"/>
              <v:textbox inset="0mm,0mm,0mm,0mm">
                <w:txbxContent>
                  <w:p w14:paraId="3080030A">
                    <w:pPr>
                      <w:pStyle w:val="2"/>
                      <w:ind w:firstLine="360"/>
                      <w:rPr>
                        <w:rFonts w:hint="eastAsia" w:ascii="宋体" w:hAnsi="宋体" w:eastAsia="宋体" w:cs="宋体"/>
                        <w:sz w:val="18"/>
                        <w:szCs w:val="18"/>
                      </w:rPr>
                    </w:pPr>
                    <w:r>
                      <w:rPr>
                        <w:rFonts w:hint="eastAsia" w:ascii="宋体" w:hAnsi="宋体" w:eastAsia="宋体" w:cs="宋体"/>
                        <w:sz w:val="18"/>
                        <w:szCs w:val="18"/>
                      </w:rPr>
                      <w:t xml:space="preserve">第 </w:t>
                    </w:r>
                    <w:r>
                      <w:rPr>
                        <w:rFonts w:hint="eastAsia" w:ascii="宋体" w:hAnsi="宋体" w:eastAsia="宋体" w:cs="宋体"/>
                        <w:sz w:val="18"/>
                        <w:szCs w:val="18"/>
                      </w:rPr>
                      <w:fldChar w:fldCharType="begin"/>
                    </w:r>
                    <w:r>
                      <w:rPr>
                        <w:rFonts w:hint="eastAsia" w:ascii="宋体" w:hAnsi="宋体" w:eastAsia="宋体" w:cs="宋体"/>
                        <w:sz w:val="18"/>
                        <w:szCs w:val="18"/>
                      </w:rPr>
                      <w:instrText xml:space="preserve"> PAGE  \* MERGEFORMAT </w:instrText>
                    </w:r>
                    <w:r>
                      <w:rPr>
                        <w:rFonts w:hint="eastAsia" w:ascii="宋体" w:hAnsi="宋体" w:eastAsia="宋体" w:cs="宋体"/>
                        <w:sz w:val="18"/>
                        <w:szCs w:val="18"/>
                      </w:rPr>
                      <w:fldChar w:fldCharType="separate"/>
                    </w:r>
                    <w:r>
                      <w:rPr>
                        <w:rFonts w:hint="eastAsia" w:ascii="宋体" w:hAnsi="宋体" w:eastAsia="宋体" w:cs="宋体"/>
                        <w:sz w:val="18"/>
                        <w:szCs w:val="18"/>
                      </w:rPr>
                      <w:t>37</w:t>
                    </w:r>
                    <w:r>
                      <w:rPr>
                        <w:rFonts w:hint="eastAsia" w:ascii="宋体" w:hAnsi="宋体" w:eastAsia="宋体" w:cs="宋体"/>
                        <w:sz w:val="18"/>
                        <w:szCs w:val="18"/>
                      </w:rPr>
                      <w:fldChar w:fldCharType="end"/>
                    </w:r>
                    <w:r>
                      <w:rPr>
                        <w:rFonts w:hint="eastAsia" w:ascii="宋体" w:hAnsi="宋体" w:eastAsia="宋体" w:cs="宋体"/>
                        <w:sz w:val="18"/>
                        <w:szCs w:val="18"/>
                      </w:rPr>
                      <w:t xml:space="preserve"> 页 共 </w:t>
                    </w:r>
                    <w:r>
                      <w:rPr>
                        <w:rFonts w:hint="eastAsia" w:ascii="宋体" w:hAnsi="宋体" w:eastAsia="宋体" w:cs="宋体"/>
                        <w:sz w:val="18"/>
                        <w:szCs w:val="18"/>
                      </w:rPr>
                      <w:fldChar w:fldCharType="begin"/>
                    </w:r>
                    <w:r>
                      <w:rPr>
                        <w:rFonts w:hint="eastAsia" w:ascii="宋体" w:hAnsi="宋体" w:eastAsia="宋体" w:cs="宋体"/>
                        <w:sz w:val="18"/>
                        <w:szCs w:val="18"/>
                      </w:rPr>
                      <w:instrText xml:space="preserve"> NUMPAGES  \* MERGEFORMAT </w:instrText>
                    </w:r>
                    <w:r>
                      <w:rPr>
                        <w:rFonts w:hint="eastAsia" w:ascii="宋体" w:hAnsi="宋体" w:eastAsia="宋体" w:cs="宋体"/>
                        <w:sz w:val="18"/>
                        <w:szCs w:val="18"/>
                      </w:rPr>
                      <w:fldChar w:fldCharType="separate"/>
                    </w:r>
                    <w:r>
                      <w:rPr>
                        <w:rFonts w:hint="eastAsia" w:ascii="宋体" w:hAnsi="宋体" w:eastAsia="宋体" w:cs="宋体"/>
                        <w:sz w:val="18"/>
                        <w:szCs w:val="18"/>
                      </w:rPr>
                      <w:t>52</w:t>
                    </w:r>
                    <w:r>
                      <w:rPr>
                        <w:rFonts w:hint="eastAsia" w:ascii="宋体" w:hAnsi="宋体" w:eastAsia="宋体" w:cs="宋体"/>
                        <w:sz w:val="18"/>
                        <w:szCs w:val="18"/>
                      </w:rPr>
                      <w:fldChar w:fldCharType="end"/>
                    </w:r>
                    <w:r>
                      <w:rPr>
                        <w:rFonts w:hint="eastAsia" w:ascii="宋体" w:hAnsi="宋体" w:eastAsia="宋体" w:cs="宋体"/>
                        <w:sz w:val="18"/>
                        <w:szCs w:val="18"/>
                      </w:rPr>
                      <w:t xml:space="preserve"> 页</w:t>
                    </w:r>
                  </w:p>
                </w:txbxContent>
              </v:textbox>
            </v:rect>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6C04B9">
    <w:pPr>
      <w:pStyle w:val="11"/>
      <w:jc w:val="center"/>
    </w:pPr>
    <w:r>
      <w:rPr>
        <w:rFonts w:hint="eastAsia"/>
      </w:rPr>
      <w:t>第</w:t>
    </w:r>
    <w:r>
      <w:fldChar w:fldCharType="begin"/>
    </w:r>
    <w:r>
      <w:rPr>
        <w:rStyle w:val="23"/>
      </w:rPr>
      <w:instrText xml:space="preserve"> PAGE </w:instrText>
    </w:r>
    <w:r>
      <w:fldChar w:fldCharType="separate"/>
    </w:r>
    <w:r>
      <w:rPr>
        <w:rStyle w:val="23"/>
      </w:rPr>
      <w:t>7</w:t>
    </w:r>
    <w:r>
      <w:fldChar w:fldCharType="end"/>
    </w:r>
    <w:r>
      <w:rPr>
        <w:rFonts w:hint="eastAsia"/>
      </w:rPr>
      <w:t>页共</w:t>
    </w:r>
    <w:r>
      <w:fldChar w:fldCharType="begin"/>
    </w:r>
    <w:r>
      <w:rPr>
        <w:rStyle w:val="23"/>
      </w:rPr>
      <w:instrText xml:space="preserve"> NUMPAGES </w:instrText>
    </w:r>
    <w:r>
      <w:fldChar w:fldCharType="separate"/>
    </w:r>
    <w:r>
      <w:rPr>
        <w:rStyle w:val="23"/>
      </w:rPr>
      <w:t>11</w:t>
    </w:r>
    <w:r>
      <w:fldChar w:fldCharType="end"/>
    </w:r>
    <w:r>
      <w:rPr>
        <w:rFonts w:hint="eastAsia"/>
      </w:rPr>
      <w:t>页</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2DE762">
    <w:pPr>
      <w:pStyle w:val="12"/>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5CA255C"/>
    <w:multiLevelType w:val="singleLevel"/>
    <w:tmpl w:val="85CA255C"/>
    <w:lvl w:ilvl="0" w:tentative="0">
      <w:start w:val="1"/>
      <w:numFmt w:val="decimal"/>
      <w:suff w:val="nothing"/>
      <w:lvlText w:val="（%1）"/>
      <w:lvlJc w:val="left"/>
    </w:lvl>
  </w:abstractNum>
  <w:abstractNum w:abstractNumId="1">
    <w:nsid w:val="A031D323"/>
    <w:multiLevelType w:val="singleLevel"/>
    <w:tmpl w:val="A031D323"/>
    <w:lvl w:ilvl="0" w:tentative="0">
      <w:start w:val="1"/>
      <w:numFmt w:val="chineseCounting"/>
      <w:suff w:val="nothing"/>
      <w:lvlText w:val="%1、"/>
      <w:lvlJc w:val="left"/>
      <w:pPr>
        <w:ind w:left="210"/>
      </w:pPr>
      <w:rPr>
        <w:rFonts w:hint="eastAsia"/>
      </w:rPr>
    </w:lvl>
  </w:abstractNum>
  <w:abstractNum w:abstractNumId="2">
    <w:nsid w:val="00000001"/>
    <w:multiLevelType w:val="singleLevel"/>
    <w:tmpl w:val="00000001"/>
    <w:lvl w:ilvl="0" w:tentative="0">
      <w:start w:val="5"/>
      <w:numFmt w:val="chineseCounting"/>
      <w:suff w:val="space"/>
      <w:lvlText w:val="第%1章"/>
      <w:lvlJc w:val="left"/>
      <w:rPr>
        <w:rFonts w:hint="eastAsia"/>
      </w:rPr>
    </w:lvl>
  </w:abstractNum>
  <w:abstractNum w:abstractNumId="3">
    <w:nsid w:val="00000002"/>
    <w:multiLevelType w:val="singleLevel"/>
    <w:tmpl w:val="00000002"/>
    <w:lvl w:ilvl="0" w:tentative="0">
      <w:start w:val="7"/>
      <w:numFmt w:val="chineseCounting"/>
      <w:suff w:val="nothing"/>
      <w:lvlText w:val="%1、"/>
      <w:lvlJc w:val="left"/>
      <w:rPr>
        <w:rFonts w:hint="eastAsia"/>
      </w:rPr>
    </w:lvl>
  </w:abstractNum>
  <w:abstractNum w:abstractNumId="4">
    <w:nsid w:val="00000003"/>
    <w:multiLevelType w:val="multilevel"/>
    <w:tmpl w:val="00000003"/>
    <w:lvl w:ilvl="0" w:tentative="0">
      <w:start w:val="1"/>
      <w:numFmt w:val="japaneseCounting"/>
      <w:lvlText w:val="（%1）"/>
      <w:lvlJc w:val="left"/>
      <w:pPr>
        <w:ind w:left="1560" w:hanging="720"/>
      </w:p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5">
    <w:nsid w:val="00000004"/>
    <w:multiLevelType w:val="singleLevel"/>
    <w:tmpl w:val="00000004"/>
    <w:lvl w:ilvl="0" w:tentative="0">
      <w:start w:val="3"/>
      <w:numFmt w:val="chineseCounting"/>
      <w:suff w:val="space"/>
      <w:lvlText w:val="第%1章"/>
      <w:lvlJc w:val="left"/>
      <w:rPr>
        <w:rFonts w:hint="eastAsia"/>
      </w:rPr>
    </w:lvl>
  </w:abstractNum>
  <w:num w:numId="1">
    <w:abstractNumId w:val="3"/>
  </w:num>
  <w:num w:numId="2">
    <w:abstractNumId w:val="0"/>
  </w:num>
  <w:num w:numId="3">
    <w:abstractNumId w:val="5"/>
  </w:num>
  <w:num w:numId="4">
    <w:abstractNumId w:val="1"/>
  </w:num>
  <w:num w:numId="5">
    <w:abstractNumId w:val="2"/>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7"/>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1672"/>
    <w:rsid w:val="00072191"/>
    <w:rsid w:val="00086E1F"/>
    <w:rsid w:val="001473DE"/>
    <w:rsid w:val="0017685B"/>
    <w:rsid w:val="00186CD9"/>
    <w:rsid w:val="001A0ABB"/>
    <w:rsid w:val="002011F6"/>
    <w:rsid w:val="00283DB9"/>
    <w:rsid w:val="002A6CB2"/>
    <w:rsid w:val="002F1672"/>
    <w:rsid w:val="00383745"/>
    <w:rsid w:val="003E4ACC"/>
    <w:rsid w:val="004A25A3"/>
    <w:rsid w:val="00591094"/>
    <w:rsid w:val="005938D0"/>
    <w:rsid w:val="00596E3D"/>
    <w:rsid w:val="005E1BAE"/>
    <w:rsid w:val="00634AC2"/>
    <w:rsid w:val="00697FB7"/>
    <w:rsid w:val="006B05E1"/>
    <w:rsid w:val="00787FDC"/>
    <w:rsid w:val="007D5D69"/>
    <w:rsid w:val="008A519E"/>
    <w:rsid w:val="009117E8"/>
    <w:rsid w:val="00963233"/>
    <w:rsid w:val="00A1577E"/>
    <w:rsid w:val="00A96D58"/>
    <w:rsid w:val="00AE638A"/>
    <w:rsid w:val="00BE0001"/>
    <w:rsid w:val="00C81C50"/>
    <w:rsid w:val="00C95B94"/>
    <w:rsid w:val="00CA167E"/>
    <w:rsid w:val="00DC1036"/>
    <w:rsid w:val="00DC7106"/>
    <w:rsid w:val="00E347E3"/>
    <w:rsid w:val="00EA2321"/>
    <w:rsid w:val="00EB4106"/>
    <w:rsid w:val="00F425A3"/>
    <w:rsid w:val="00F85BB7"/>
    <w:rsid w:val="00FA39CF"/>
    <w:rsid w:val="018E61D1"/>
    <w:rsid w:val="02FF091D"/>
    <w:rsid w:val="051D097A"/>
    <w:rsid w:val="061B11E8"/>
    <w:rsid w:val="06A94235"/>
    <w:rsid w:val="084037D2"/>
    <w:rsid w:val="0985095D"/>
    <w:rsid w:val="098A6F59"/>
    <w:rsid w:val="0AB64C56"/>
    <w:rsid w:val="0AD17DF8"/>
    <w:rsid w:val="0B5A7049"/>
    <w:rsid w:val="0BBE20B8"/>
    <w:rsid w:val="0C0369A6"/>
    <w:rsid w:val="0CAE00F7"/>
    <w:rsid w:val="0D505FFA"/>
    <w:rsid w:val="0D764D13"/>
    <w:rsid w:val="0E1002EC"/>
    <w:rsid w:val="0E39220B"/>
    <w:rsid w:val="0E424761"/>
    <w:rsid w:val="0FD95CC3"/>
    <w:rsid w:val="10025A50"/>
    <w:rsid w:val="11022343"/>
    <w:rsid w:val="1142348F"/>
    <w:rsid w:val="119D5492"/>
    <w:rsid w:val="11F97259"/>
    <w:rsid w:val="12341608"/>
    <w:rsid w:val="13A9398F"/>
    <w:rsid w:val="13B011C1"/>
    <w:rsid w:val="149D09F7"/>
    <w:rsid w:val="161812A0"/>
    <w:rsid w:val="162239A5"/>
    <w:rsid w:val="16492046"/>
    <w:rsid w:val="1650795D"/>
    <w:rsid w:val="174C0EB0"/>
    <w:rsid w:val="17DD4930"/>
    <w:rsid w:val="189B3AC2"/>
    <w:rsid w:val="19465120"/>
    <w:rsid w:val="195677C1"/>
    <w:rsid w:val="1DB55626"/>
    <w:rsid w:val="1E4424DE"/>
    <w:rsid w:val="1ED83E2A"/>
    <w:rsid w:val="1FA15548"/>
    <w:rsid w:val="1FEA7078"/>
    <w:rsid w:val="20856823"/>
    <w:rsid w:val="20A21132"/>
    <w:rsid w:val="20B835F3"/>
    <w:rsid w:val="212F2DA3"/>
    <w:rsid w:val="215D6C36"/>
    <w:rsid w:val="219502AF"/>
    <w:rsid w:val="22715FC0"/>
    <w:rsid w:val="22FA7F98"/>
    <w:rsid w:val="231412FB"/>
    <w:rsid w:val="242559AD"/>
    <w:rsid w:val="24280900"/>
    <w:rsid w:val="24D92272"/>
    <w:rsid w:val="253416D6"/>
    <w:rsid w:val="27AD42BB"/>
    <w:rsid w:val="293F6F31"/>
    <w:rsid w:val="296013D5"/>
    <w:rsid w:val="2A311D27"/>
    <w:rsid w:val="2A4409F1"/>
    <w:rsid w:val="2AD36192"/>
    <w:rsid w:val="2C1770C0"/>
    <w:rsid w:val="2C2A28AA"/>
    <w:rsid w:val="2CF3193A"/>
    <w:rsid w:val="2D6E6D99"/>
    <w:rsid w:val="2FA51961"/>
    <w:rsid w:val="311434E1"/>
    <w:rsid w:val="315E75B6"/>
    <w:rsid w:val="34BB0D89"/>
    <w:rsid w:val="35E23C6C"/>
    <w:rsid w:val="36C46702"/>
    <w:rsid w:val="38CE730F"/>
    <w:rsid w:val="38FF3ECD"/>
    <w:rsid w:val="39517B4B"/>
    <w:rsid w:val="39832D11"/>
    <w:rsid w:val="39914BE8"/>
    <w:rsid w:val="3A6F45CA"/>
    <w:rsid w:val="3AE23921"/>
    <w:rsid w:val="3BB32B27"/>
    <w:rsid w:val="3C821516"/>
    <w:rsid w:val="3E24509F"/>
    <w:rsid w:val="3E4C2E8C"/>
    <w:rsid w:val="3F6F04EB"/>
    <w:rsid w:val="3F894B05"/>
    <w:rsid w:val="3FC4171E"/>
    <w:rsid w:val="400C017D"/>
    <w:rsid w:val="400D3374"/>
    <w:rsid w:val="409F5F96"/>
    <w:rsid w:val="40AE2597"/>
    <w:rsid w:val="40D269BB"/>
    <w:rsid w:val="41576B3D"/>
    <w:rsid w:val="41F401E1"/>
    <w:rsid w:val="425B7BE5"/>
    <w:rsid w:val="42F0606B"/>
    <w:rsid w:val="42F563DD"/>
    <w:rsid w:val="43100707"/>
    <w:rsid w:val="43ED3904"/>
    <w:rsid w:val="44481CA3"/>
    <w:rsid w:val="44D574AE"/>
    <w:rsid w:val="450D0CE4"/>
    <w:rsid w:val="451160E9"/>
    <w:rsid w:val="45144E64"/>
    <w:rsid w:val="45247023"/>
    <w:rsid w:val="45973540"/>
    <w:rsid w:val="461A27F0"/>
    <w:rsid w:val="480C2AC7"/>
    <w:rsid w:val="497646E9"/>
    <w:rsid w:val="4A487B5F"/>
    <w:rsid w:val="4ADA207A"/>
    <w:rsid w:val="4B2F52D2"/>
    <w:rsid w:val="4B66403D"/>
    <w:rsid w:val="4CA679CC"/>
    <w:rsid w:val="4D024C91"/>
    <w:rsid w:val="4D2A7DE1"/>
    <w:rsid w:val="4D9D146B"/>
    <w:rsid w:val="4DDE7A3E"/>
    <w:rsid w:val="4E433241"/>
    <w:rsid w:val="4E966F75"/>
    <w:rsid w:val="4EEC3289"/>
    <w:rsid w:val="4FFE3107"/>
    <w:rsid w:val="514E0197"/>
    <w:rsid w:val="51E84A9D"/>
    <w:rsid w:val="536A472A"/>
    <w:rsid w:val="55353421"/>
    <w:rsid w:val="554A58C1"/>
    <w:rsid w:val="55766122"/>
    <w:rsid w:val="558E065B"/>
    <w:rsid w:val="56A57E57"/>
    <w:rsid w:val="5783513E"/>
    <w:rsid w:val="579140D1"/>
    <w:rsid w:val="582643D6"/>
    <w:rsid w:val="58A92C3D"/>
    <w:rsid w:val="58C900A3"/>
    <w:rsid w:val="595E6596"/>
    <w:rsid w:val="5AA55B71"/>
    <w:rsid w:val="5ADB093A"/>
    <w:rsid w:val="5B3951BF"/>
    <w:rsid w:val="5CD958C2"/>
    <w:rsid w:val="5CFF1E3E"/>
    <w:rsid w:val="5D874146"/>
    <w:rsid w:val="5DE8778C"/>
    <w:rsid w:val="5E3B3761"/>
    <w:rsid w:val="5F8C738D"/>
    <w:rsid w:val="604B4265"/>
    <w:rsid w:val="607C5211"/>
    <w:rsid w:val="60CF2BFD"/>
    <w:rsid w:val="61B50D7A"/>
    <w:rsid w:val="621648DA"/>
    <w:rsid w:val="6389035D"/>
    <w:rsid w:val="648E4095"/>
    <w:rsid w:val="64BD0615"/>
    <w:rsid w:val="6620400E"/>
    <w:rsid w:val="6692162D"/>
    <w:rsid w:val="67335681"/>
    <w:rsid w:val="677C5329"/>
    <w:rsid w:val="683525B2"/>
    <w:rsid w:val="684C08A9"/>
    <w:rsid w:val="68620E2B"/>
    <w:rsid w:val="686D5955"/>
    <w:rsid w:val="688208EF"/>
    <w:rsid w:val="6A7E42B7"/>
    <w:rsid w:val="6A994179"/>
    <w:rsid w:val="6C2216A6"/>
    <w:rsid w:val="6C296F4C"/>
    <w:rsid w:val="6D83496C"/>
    <w:rsid w:val="6E026E65"/>
    <w:rsid w:val="6FF269A1"/>
    <w:rsid w:val="70191889"/>
    <w:rsid w:val="70EF575C"/>
    <w:rsid w:val="711A2E29"/>
    <w:rsid w:val="716C734D"/>
    <w:rsid w:val="71A3298F"/>
    <w:rsid w:val="720421BC"/>
    <w:rsid w:val="72551C34"/>
    <w:rsid w:val="726A0BF3"/>
    <w:rsid w:val="72A80BFD"/>
    <w:rsid w:val="73110C6E"/>
    <w:rsid w:val="73A20208"/>
    <w:rsid w:val="75491A51"/>
    <w:rsid w:val="755D2C7E"/>
    <w:rsid w:val="75D82E83"/>
    <w:rsid w:val="775970B6"/>
    <w:rsid w:val="787677BD"/>
    <w:rsid w:val="7AC44749"/>
    <w:rsid w:val="7AD702F0"/>
    <w:rsid w:val="7C3E7512"/>
    <w:rsid w:val="7C686C61"/>
    <w:rsid w:val="7CAB5B76"/>
    <w:rsid w:val="7D2D11C4"/>
    <w:rsid w:val="7E5F4F0D"/>
    <w:rsid w:val="7EB242C7"/>
    <w:rsid w:val="7F3776C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qFormat="1"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sz w:val="21"/>
      <w:szCs w:val="24"/>
      <w:lang w:val="en-US" w:eastAsia="zh-CN" w:bidi="ar-SA"/>
    </w:rPr>
  </w:style>
  <w:style w:type="paragraph" w:styleId="3">
    <w:name w:val="heading 1"/>
    <w:basedOn w:val="1"/>
    <w:next w:val="1"/>
    <w:qFormat/>
    <w:uiPriority w:val="0"/>
    <w:pPr>
      <w:keepNext/>
      <w:outlineLvl w:val="0"/>
    </w:pPr>
    <w:rPr>
      <w:rFonts w:ascii="楷体_GB2312" w:hAnsi="Times New Roman" w:eastAsia="楷体_GB2312"/>
      <w:sz w:val="28"/>
      <w:szCs w:val="20"/>
    </w:rPr>
  </w:style>
  <w:style w:type="paragraph" w:styleId="4">
    <w:name w:val="heading 2"/>
    <w:basedOn w:val="1"/>
    <w:next w:val="5"/>
    <w:qFormat/>
    <w:uiPriority w:val="0"/>
    <w:pPr>
      <w:keepNext/>
      <w:keepLines/>
      <w:spacing w:before="260" w:after="260" w:line="416" w:lineRule="auto"/>
      <w:jc w:val="center"/>
      <w:outlineLvl w:val="1"/>
    </w:pPr>
    <w:rPr>
      <w:rFonts w:ascii="Arial" w:hAnsi="Arial" w:eastAsia="幼圆"/>
      <w:b/>
      <w:sz w:val="44"/>
      <w:szCs w:val="20"/>
    </w:rPr>
  </w:style>
  <w:style w:type="character" w:default="1" w:styleId="21">
    <w:name w:val="Default Paragraph Font"/>
    <w:semiHidden/>
    <w:unhideWhenUsed/>
    <w:qFormat/>
    <w:uiPriority w:val="1"/>
  </w:style>
  <w:style w:type="table" w:default="1" w:styleId="19">
    <w:name w:val="Normal Table"/>
    <w:semiHidden/>
    <w:unhideWhenUsed/>
    <w:qFormat/>
    <w:uiPriority w:val="99"/>
    <w:tblPr>
      <w:tblCellMar>
        <w:top w:w="0" w:type="dxa"/>
        <w:left w:w="108" w:type="dxa"/>
        <w:bottom w:w="0" w:type="dxa"/>
        <w:right w:w="108" w:type="dxa"/>
      </w:tblCellMar>
    </w:tblPr>
  </w:style>
  <w:style w:type="paragraph" w:styleId="2">
    <w:name w:val="Body Text First Indent"/>
    <w:basedOn w:val="1"/>
    <w:qFormat/>
    <w:uiPriority w:val="0"/>
    <w:pPr>
      <w:spacing w:line="360" w:lineRule="auto"/>
      <w:ind w:firstLine="200" w:firstLineChars="200"/>
    </w:pPr>
    <w:rPr>
      <w:rFonts w:ascii="仿宋_GB2312" w:eastAsia="仿宋_GB2312"/>
      <w:sz w:val="30"/>
      <w:szCs w:val="30"/>
    </w:rPr>
  </w:style>
  <w:style w:type="paragraph" w:styleId="5">
    <w:name w:val="Normal Indent"/>
    <w:basedOn w:val="1"/>
    <w:next w:val="1"/>
    <w:qFormat/>
    <w:uiPriority w:val="0"/>
    <w:pPr>
      <w:ind w:firstLine="420"/>
    </w:pPr>
    <w:rPr>
      <w:rFonts w:ascii="Times New Roman" w:hAnsi="Times New Roman"/>
      <w:szCs w:val="20"/>
    </w:rPr>
  </w:style>
  <w:style w:type="paragraph" w:styleId="6">
    <w:name w:val="Body Text"/>
    <w:basedOn w:val="1"/>
    <w:link w:val="42"/>
    <w:qFormat/>
    <w:uiPriority w:val="0"/>
    <w:rPr>
      <w:rFonts w:ascii="楷体_GB2312" w:hAnsi="Arial" w:eastAsia="楷体_GB2312"/>
      <w:sz w:val="28"/>
      <w:szCs w:val="20"/>
    </w:rPr>
  </w:style>
  <w:style w:type="paragraph" w:styleId="7">
    <w:name w:val="Body Text Indent"/>
    <w:basedOn w:val="1"/>
    <w:next w:val="1"/>
    <w:link w:val="41"/>
    <w:qFormat/>
    <w:uiPriority w:val="0"/>
    <w:pPr>
      <w:ind w:firstLine="645"/>
    </w:pPr>
    <w:rPr>
      <w:rFonts w:ascii="楷体_GB2312" w:hAnsi="Times New Roman" w:eastAsia="楷体_GB2312"/>
      <w:sz w:val="32"/>
      <w:szCs w:val="20"/>
    </w:rPr>
  </w:style>
  <w:style w:type="paragraph" w:styleId="8">
    <w:name w:val="Block Text"/>
    <w:basedOn w:val="1"/>
    <w:qFormat/>
    <w:uiPriority w:val="0"/>
    <w:rPr>
      <w:rFonts w:eastAsia="微软雅黑"/>
    </w:rPr>
  </w:style>
  <w:style w:type="paragraph" w:styleId="9">
    <w:name w:val="Plain Text"/>
    <w:basedOn w:val="1"/>
    <w:next w:val="5"/>
    <w:link w:val="44"/>
    <w:qFormat/>
    <w:uiPriority w:val="99"/>
    <w:rPr>
      <w:rFonts w:ascii="宋体" w:hAnsi="Courier New"/>
      <w:szCs w:val="20"/>
    </w:rPr>
  </w:style>
  <w:style w:type="paragraph" w:styleId="10">
    <w:name w:val="Body Text Indent 2"/>
    <w:basedOn w:val="1"/>
    <w:next w:val="1"/>
    <w:qFormat/>
    <w:uiPriority w:val="0"/>
    <w:pPr>
      <w:spacing w:beforeLines="20" w:after="120" w:line="480" w:lineRule="auto"/>
      <w:ind w:left="420" w:leftChars="200"/>
    </w:pPr>
    <w:rPr>
      <w:szCs w:val="20"/>
    </w:rPr>
  </w:style>
  <w:style w:type="paragraph" w:styleId="11">
    <w:name w:val="footer"/>
    <w:basedOn w:val="1"/>
    <w:link w:val="45"/>
    <w:qFormat/>
    <w:uiPriority w:val="0"/>
    <w:pPr>
      <w:tabs>
        <w:tab w:val="center" w:pos="4153"/>
        <w:tab w:val="right" w:pos="8306"/>
      </w:tabs>
      <w:jc w:val="left"/>
    </w:pPr>
    <w:rPr>
      <w:rFonts w:ascii="Times New Roman" w:hAnsi="Times New Roman"/>
      <w:sz w:val="18"/>
      <w:szCs w:val="20"/>
    </w:rPr>
  </w:style>
  <w:style w:type="paragraph" w:styleId="12">
    <w:name w:val="header"/>
    <w:basedOn w:val="1"/>
    <w:link w:val="27"/>
    <w:qFormat/>
    <w:uiPriority w:val="0"/>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39"/>
    <w:pPr>
      <w:tabs>
        <w:tab w:val="right" w:leader="dot" w:pos="9440"/>
      </w:tabs>
      <w:spacing w:before="120" w:after="120" w:line="300" w:lineRule="exact"/>
      <w:jc w:val="left"/>
    </w:pPr>
    <w:rPr>
      <w:rFonts w:ascii="黑体" w:hAnsi="Times New Roman" w:eastAsia="黑体"/>
      <w:b/>
      <w:caps/>
      <w:sz w:val="18"/>
      <w:szCs w:val="28"/>
    </w:rPr>
  </w:style>
  <w:style w:type="paragraph" w:styleId="14">
    <w:name w:val="toc 2"/>
    <w:basedOn w:val="1"/>
    <w:next w:val="1"/>
    <w:qFormat/>
    <w:uiPriority w:val="39"/>
    <w:pPr>
      <w:ind w:left="420" w:firstLine="200"/>
      <w:jc w:val="left"/>
    </w:pPr>
    <w:rPr>
      <w:rFonts w:eastAsia="仿宋"/>
      <w:sz w:val="28"/>
    </w:rPr>
  </w:style>
  <w:style w:type="paragraph" w:styleId="15">
    <w:name w:val="Body Text 2"/>
    <w:basedOn w:val="1"/>
    <w:qFormat/>
    <w:uiPriority w:val="0"/>
    <w:pPr>
      <w:spacing w:after="120" w:line="480" w:lineRule="auto"/>
    </w:pPr>
  </w:style>
  <w:style w:type="paragraph" w:styleId="16">
    <w:name w:val="Normal (Web)"/>
    <w:basedOn w:val="1"/>
    <w:qFormat/>
    <w:uiPriority w:val="0"/>
    <w:rPr>
      <w:sz w:val="24"/>
    </w:rPr>
  </w:style>
  <w:style w:type="paragraph" w:styleId="17">
    <w:name w:val="Title"/>
    <w:basedOn w:val="1"/>
    <w:next w:val="1"/>
    <w:qFormat/>
    <w:uiPriority w:val="0"/>
    <w:pPr>
      <w:spacing w:before="240" w:after="60"/>
      <w:jc w:val="center"/>
      <w:outlineLvl w:val="0"/>
    </w:pPr>
    <w:rPr>
      <w:rFonts w:ascii="等线 Light" w:hAnsi="等线 Light"/>
      <w:b/>
      <w:bCs/>
      <w:sz w:val="32"/>
      <w:szCs w:val="32"/>
    </w:rPr>
  </w:style>
  <w:style w:type="paragraph" w:styleId="18">
    <w:name w:val="Body Text First Indent 2"/>
    <w:basedOn w:val="7"/>
    <w:qFormat/>
    <w:uiPriority w:val="0"/>
    <w:pPr>
      <w:ind w:firstLine="420"/>
    </w:pPr>
    <w:rPr>
      <w:rFonts w:cs="宋体"/>
      <w:szCs w:val="21"/>
    </w:rPr>
  </w:style>
  <w:style w:type="table" w:styleId="20">
    <w:name w:val="Table Grid"/>
    <w:basedOn w:val="1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2">
    <w:name w:val="Strong"/>
    <w:basedOn w:val="21"/>
    <w:qFormat/>
    <w:uiPriority w:val="0"/>
    <w:rPr>
      <w:b/>
    </w:rPr>
  </w:style>
  <w:style w:type="character" w:styleId="23">
    <w:name w:val="page number"/>
    <w:qFormat/>
    <w:uiPriority w:val="0"/>
    <w:rPr>
      <w:rFonts w:ascii="Times New Roman" w:hAnsi="Times New Roman" w:eastAsia="宋体" w:cs="Times New Roman"/>
    </w:rPr>
  </w:style>
  <w:style w:type="character" w:styleId="24">
    <w:name w:val="Hyperlink"/>
    <w:qFormat/>
    <w:uiPriority w:val="99"/>
    <w:rPr>
      <w:rFonts w:ascii="Times New Roman" w:hAnsi="Times New Roman" w:eastAsia="宋体" w:cs="Times New Roman"/>
      <w:color w:val="0000FF"/>
      <w:u w:val="single"/>
    </w:rPr>
  </w:style>
  <w:style w:type="paragraph" w:customStyle="1" w:styleId="25">
    <w:name w:val="Default"/>
    <w:next w:val="14"/>
    <w:qFormat/>
    <w:uiPriority w:val="0"/>
    <w:pPr>
      <w:widowControl w:val="0"/>
    </w:pPr>
    <w:rPr>
      <w:rFonts w:ascii="黑体" w:hAnsi="Times New Roman" w:eastAsia="黑体" w:cs="黑体"/>
      <w:color w:val="000000"/>
      <w:sz w:val="24"/>
      <w:szCs w:val="24"/>
      <w:lang w:val="en-US" w:eastAsia="zh-CN" w:bidi="ar-SA"/>
    </w:rPr>
  </w:style>
  <w:style w:type="paragraph" w:customStyle="1" w:styleId="26">
    <w:name w:val="Body text|1"/>
    <w:basedOn w:val="1"/>
    <w:qFormat/>
    <w:uiPriority w:val="0"/>
    <w:pPr>
      <w:spacing w:line="391" w:lineRule="auto"/>
      <w:ind w:firstLine="400"/>
    </w:pPr>
    <w:rPr>
      <w:rFonts w:ascii="宋体" w:hAnsi="宋体" w:cs="宋体"/>
      <w:sz w:val="26"/>
      <w:szCs w:val="26"/>
      <w:lang w:val="zh-TW" w:eastAsia="zh-TW" w:bidi="zh-TW"/>
    </w:rPr>
  </w:style>
  <w:style w:type="character" w:customStyle="1" w:styleId="27">
    <w:name w:val="页眉 字符"/>
    <w:basedOn w:val="21"/>
    <w:link w:val="12"/>
    <w:qFormat/>
    <w:uiPriority w:val="0"/>
    <w:rPr>
      <w:rFonts w:ascii="Calibri" w:hAnsi="Calibri" w:eastAsia="宋体" w:cs="Times New Roman"/>
      <w:sz w:val="18"/>
      <w:szCs w:val="18"/>
    </w:rPr>
  </w:style>
  <w:style w:type="paragraph" w:customStyle="1" w:styleId="28">
    <w:name w:val="普通正文"/>
    <w:basedOn w:val="1"/>
    <w:qFormat/>
    <w:uiPriority w:val="0"/>
    <w:pPr>
      <w:adjustRightInd w:val="0"/>
      <w:spacing w:line="360" w:lineRule="auto"/>
      <w:ind w:firstLine="482" w:firstLineChars="200"/>
      <w:jc w:val="left"/>
      <w:textAlignment w:val="baseline"/>
    </w:pPr>
    <w:rPr>
      <w:rFonts w:ascii="Arial" w:hAnsi="Arial"/>
      <w:sz w:val="24"/>
    </w:rPr>
  </w:style>
  <w:style w:type="paragraph" w:customStyle="1" w:styleId="29">
    <w:name w:val="TOC 标题1"/>
    <w:basedOn w:val="3"/>
    <w:next w:val="1"/>
    <w:qFormat/>
    <w:uiPriority w:val="39"/>
    <w:pPr>
      <w:keepLines/>
      <w:widowControl/>
      <w:spacing w:before="240" w:line="259" w:lineRule="auto"/>
      <w:jc w:val="left"/>
      <w:outlineLvl w:val="9"/>
    </w:pPr>
    <w:rPr>
      <w:rFonts w:ascii="等线 Light" w:hAnsi="等线 Light" w:eastAsia="等线 Light"/>
      <w:color w:val="2F5496"/>
      <w:sz w:val="32"/>
      <w:szCs w:val="32"/>
    </w:rPr>
  </w:style>
  <w:style w:type="paragraph" w:styleId="30">
    <w:name w:val="List Paragraph"/>
    <w:basedOn w:val="1"/>
    <w:qFormat/>
    <w:uiPriority w:val="34"/>
    <w:pPr>
      <w:ind w:firstLine="420" w:firstLineChars="200"/>
    </w:pPr>
  </w:style>
  <w:style w:type="paragraph" w:customStyle="1" w:styleId="31">
    <w:name w:val="目录 31"/>
    <w:basedOn w:val="1"/>
    <w:next w:val="1"/>
    <w:qFormat/>
    <w:uiPriority w:val="0"/>
    <w:pPr>
      <w:ind w:left="840"/>
    </w:pPr>
    <w:rPr>
      <w:lang w:eastAsia="en-US"/>
    </w:rPr>
  </w:style>
  <w:style w:type="paragraph" w:customStyle="1" w:styleId="32">
    <w:name w:val="标题 31"/>
    <w:basedOn w:val="1"/>
    <w:next w:val="1"/>
    <w:qFormat/>
    <w:uiPriority w:val="0"/>
    <w:pPr>
      <w:keepNext/>
      <w:keepLines/>
      <w:spacing w:before="260" w:after="260" w:line="413" w:lineRule="auto"/>
      <w:outlineLvl w:val="2"/>
    </w:pPr>
    <w:rPr>
      <w:b/>
      <w:sz w:val="32"/>
      <w:szCs w:val="20"/>
    </w:rPr>
  </w:style>
  <w:style w:type="paragraph" w:customStyle="1" w:styleId="33">
    <w:name w:val="sh4"/>
    <w:basedOn w:val="1"/>
    <w:qFormat/>
    <w:uiPriority w:val="0"/>
    <w:pPr>
      <w:spacing w:line="460" w:lineRule="exact"/>
      <w:ind w:firstLine="420"/>
    </w:pPr>
    <w:rPr>
      <w:rFonts w:ascii="宋体" w:hAnsi="宋体"/>
      <w:szCs w:val="21"/>
      <w:lang w:eastAsia="en-US"/>
    </w:rPr>
  </w:style>
  <w:style w:type="paragraph" w:customStyle="1" w:styleId="34">
    <w:name w:val="段"/>
    <w:next w:val="1"/>
    <w:qFormat/>
    <w:uiPriority w:val="0"/>
    <w:pPr>
      <w:autoSpaceDE w:val="0"/>
      <w:autoSpaceDN w:val="0"/>
      <w:ind w:firstLine="200"/>
      <w:jc w:val="both"/>
    </w:pPr>
    <w:rPr>
      <w:rFonts w:ascii="宋体" w:hAnsi="Times New Roman" w:eastAsia="宋体" w:cs="Times New Roman"/>
      <w:sz w:val="21"/>
      <w:szCs w:val="22"/>
      <w:lang w:val="en-US" w:eastAsia="zh-CN" w:bidi="ar-SA"/>
    </w:rPr>
  </w:style>
  <w:style w:type="paragraph" w:customStyle="1" w:styleId="35">
    <w:name w:val="Char"/>
    <w:basedOn w:val="1"/>
    <w:qFormat/>
    <w:uiPriority w:val="0"/>
    <w:pPr>
      <w:tabs>
        <w:tab w:val="left" w:pos="360"/>
      </w:tabs>
    </w:pPr>
    <w:rPr>
      <w:rFonts w:ascii="Times New Roman" w:hAnsi="Times New Roman"/>
      <w:sz w:val="24"/>
    </w:rPr>
  </w:style>
  <w:style w:type="paragraph" w:customStyle="1" w:styleId="36">
    <w:name w:val="二级目录"/>
    <w:next w:val="1"/>
    <w:qFormat/>
    <w:uiPriority w:val="99"/>
    <w:pPr>
      <w:tabs>
        <w:tab w:val="left" w:pos="720"/>
      </w:tabs>
      <w:ind w:left="567" w:hanging="567"/>
    </w:pPr>
    <w:rPr>
      <w:rFonts w:ascii="Times New Roman" w:hAnsi="Times New Roman" w:eastAsia="宋体" w:cs="Times New Roman"/>
      <w:b/>
      <w:kern w:val="2"/>
      <w:sz w:val="30"/>
      <w:szCs w:val="28"/>
      <w:lang w:val="en-US" w:eastAsia="zh-CN" w:bidi="ar-SA"/>
    </w:rPr>
  </w:style>
  <w:style w:type="paragraph" w:customStyle="1" w:styleId="37">
    <w:name w:val="简单回函地址"/>
    <w:basedOn w:val="1"/>
    <w:qFormat/>
    <w:uiPriority w:val="0"/>
    <w:rPr>
      <w:rFonts w:ascii="Times New Roman" w:hAnsi="Times New Roman" w:cs="宋体"/>
      <w:szCs w:val="21"/>
    </w:rPr>
  </w:style>
  <w:style w:type="paragraph" w:customStyle="1" w:styleId="38">
    <w:name w:val="索引 41"/>
    <w:basedOn w:val="1"/>
    <w:next w:val="1"/>
    <w:qFormat/>
    <w:uiPriority w:val="0"/>
    <w:pPr>
      <w:ind w:left="1260"/>
    </w:pPr>
  </w:style>
  <w:style w:type="paragraph" w:customStyle="1" w:styleId="39">
    <w:name w:val="普通(网站)1"/>
    <w:basedOn w:val="1"/>
    <w:qFormat/>
    <w:uiPriority w:val="0"/>
    <w:pPr>
      <w:spacing w:before="100" w:beforeAutospacing="1" w:after="100" w:afterAutospacing="1"/>
      <w:jc w:val="left"/>
    </w:pPr>
    <w:rPr>
      <w:sz w:val="24"/>
      <w:lang w:eastAsia="en-US"/>
    </w:rPr>
  </w:style>
  <w:style w:type="paragraph" w:customStyle="1" w:styleId="40">
    <w:name w:val="页脚11"/>
    <w:basedOn w:val="1"/>
    <w:qFormat/>
    <w:uiPriority w:val="0"/>
    <w:pPr>
      <w:tabs>
        <w:tab w:val="center" w:pos="4153"/>
        <w:tab w:val="right" w:pos="8306"/>
      </w:tabs>
      <w:jc w:val="left"/>
    </w:pPr>
    <w:rPr>
      <w:sz w:val="18"/>
      <w:szCs w:val="18"/>
      <w:lang w:eastAsia="en-US"/>
    </w:rPr>
  </w:style>
  <w:style w:type="character" w:customStyle="1" w:styleId="41">
    <w:name w:val="正文文本缩进 字符"/>
    <w:basedOn w:val="21"/>
    <w:link w:val="7"/>
    <w:qFormat/>
    <w:uiPriority w:val="0"/>
    <w:rPr>
      <w:rFonts w:hint="eastAsia" w:ascii="楷体_GB2312" w:hAnsi="Times New Roman" w:eastAsia="楷体_GB2312" w:cs="楷体_GB2312"/>
      <w:kern w:val="2"/>
      <w:sz w:val="32"/>
    </w:rPr>
  </w:style>
  <w:style w:type="character" w:customStyle="1" w:styleId="42">
    <w:name w:val="正文文本 字符"/>
    <w:basedOn w:val="21"/>
    <w:link w:val="6"/>
    <w:qFormat/>
    <w:uiPriority w:val="0"/>
    <w:rPr>
      <w:kern w:val="2"/>
      <w:sz w:val="21"/>
      <w:szCs w:val="24"/>
    </w:rPr>
  </w:style>
  <w:style w:type="character" w:customStyle="1" w:styleId="43">
    <w:name w:val="纯文本 字符"/>
    <w:basedOn w:val="21"/>
    <w:qFormat/>
    <w:uiPriority w:val="0"/>
    <w:rPr>
      <w:rFonts w:ascii="等线" w:hAnsi="Courier New" w:eastAsia="等线" w:cs="Courier New"/>
      <w:kern w:val="2"/>
      <w:sz w:val="21"/>
      <w:szCs w:val="24"/>
    </w:rPr>
  </w:style>
  <w:style w:type="character" w:customStyle="1" w:styleId="44">
    <w:name w:val="纯文本 字符1"/>
    <w:basedOn w:val="21"/>
    <w:link w:val="9"/>
    <w:qFormat/>
    <w:uiPriority w:val="0"/>
    <w:rPr>
      <w:rFonts w:hint="eastAsia" w:ascii="宋体" w:hAnsi="Courier New" w:eastAsia="宋体" w:cs="宋体"/>
      <w:kern w:val="2"/>
      <w:sz w:val="21"/>
    </w:rPr>
  </w:style>
  <w:style w:type="character" w:customStyle="1" w:styleId="45">
    <w:name w:val="页脚 字符1"/>
    <w:basedOn w:val="21"/>
    <w:link w:val="11"/>
    <w:qFormat/>
    <w:uiPriority w:val="0"/>
    <w:rPr>
      <w:kern w:val="2"/>
      <w:sz w:val="18"/>
    </w:rPr>
  </w:style>
  <w:style w:type="character" w:customStyle="1" w:styleId="46">
    <w:name w:val="页脚 字符"/>
    <w:basedOn w:val="21"/>
    <w:qFormat/>
    <w:uiPriority w:val="0"/>
    <w:rPr>
      <w:rFonts w:hint="default" w:ascii="Calibri" w:hAnsi="Calibri" w:cs="Calibri"/>
      <w:kern w:val="2"/>
      <w:sz w:val="18"/>
      <w:szCs w:val="18"/>
    </w:rPr>
  </w:style>
  <w:style w:type="paragraph" w:customStyle="1" w:styleId="47">
    <w:name w:val="正文文本首行缩进1"/>
    <w:next w:val="48"/>
    <w:qFormat/>
    <w:uiPriority w:val="0"/>
    <w:pPr>
      <w:widowControl w:val="0"/>
      <w:spacing w:after="120"/>
      <w:ind w:firstLine="420"/>
      <w:jc w:val="both"/>
    </w:pPr>
    <w:rPr>
      <w:rFonts w:ascii="Times New Roman" w:hAnsi="Times New Roman" w:eastAsia="宋体" w:cs="Times New Roman"/>
      <w:sz w:val="21"/>
      <w:szCs w:val="24"/>
      <w:lang w:val="en-US" w:eastAsia="zh-CN" w:bidi="ar-SA"/>
    </w:rPr>
  </w:style>
  <w:style w:type="paragraph" w:customStyle="1" w:styleId="48">
    <w:name w:val="正文缩进11"/>
    <w:basedOn w:val="1"/>
    <w:next w:val="1"/>
    <w:qFormat/>
    <w:uiPriority w:val="0"/>
    <w:pPr>
      <w:ind w:firstLine="420"/>
      <w:jc w:val="left"/>
    </w:pPr>
    <w:rPr>
      <w:rFonts w:eastAsia="楷体_GB2312"/>
      <w:sz w:val="24"/>
      <w:lang w:eastAsia="en-US"/>
    </w:rPr>
  </w:style>
  <w:style w:type="paragraph" w:customStyle="1" w:styleId="49">
    <w:name w:val="msonospacing"/>
    <w:basedOn w:val="1"/>
    <w:qFormat/>
    <w:uiPriority w:val="0"/>
    <w:rPr>
      <w:kern w:val="2"/>
      <w:szCs w:val="22"/>
    </w:rPr>
  </w:style>
  <w:style w:type="paragraph" w:customStyle="1" w:styleId="50">
    <w:name w:val="格式３"/>
    <w:basedOn w:val="1"/>
    <w:qFormat/>
    <w:uiPriority w:val="99"/>
    <w:pPr>
      <w:spacing w:line="420" w:lineRule="exact"/>
      <w:ind w:left="600" w:hanging="600" w:hangingChars="250"/>
    </w:pPr>
    <w:rPr>
      <w:rFonts w:ascii="宋体" w:hAnsi="宋体"/>
      <w:color w:val="000000"/>
      <w:sz w:val="24"/>
      <w:szCs w:val="20"/>
    </w:rPr>
  </w:style>
  <w:style w:type="paragraph" w:customStyle="1" w:styleId="51">
    <w:name w:val="文本块1"/>
    <w:basedOn w:val="1"/>
    <w:unhideWhenUsed/>
    <w:qFormat/>
    <w:uiPriority w:val="0"/>
    <w:rPr>
      <w:rFonts w:eastAsia="微软雅黑"/>
    </w:rPr>
  </w:style>
</w:styles>
</file>

<file path=word/_rels/document.xml.rels><?xml version="1.0" encoding="UTF-8" standalone="yes"?>
<Relationships xmlns="http://schemas.openxmlformats.org/package/2006/relationships"><Relationship Id="rId9" Type="http://schemas.openxmlformats.org/officeDocument/2006/relationships/footer" Target="footer6.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theme" Target="theme/theme1.xml"/><Relationship Id="rId11" Type="http://schemas.openxmlformats.org/officeDocument/2006/relationships/footer" Target="footer8.xml"/><Relationship Id="rId10" Type="http://schemas.openxmlformats.org/officeDocument/2006/relationships/footer" Target="footer7.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62</Pages>
  <Words>26167</Words>
  <Characters>27239</Characters>
  <Lines>1005</Lines>
  <Paragraphs>1006</Paragraphs>
  <TotalTime>2</TotalTime>
  <ScaleCrop>false</ScaleCrop>
  <LinksUpToDate>false</LinksUpToDate>
  <CharactersWithSpaces>27992</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2025-07-09T08:22:00Z</dcterms:created>
  <dc:creator>Administrator</dc:creator>
  <cp:lastModifiedBy>歪点羊子</cp:lastModifiedBy>
  <dcterms:modified xsi:type="dcterms:W3CDTF">2026-08-19T07:41:46Z</dcterms:modified>
  <cp:revision>26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KSOTemplateDocerSaveRecord">
    <vt:lpwstr>eyJoZGlkIjoiNjZjY2E1ZjhjOTY5ZWM3MTZlNzk1NGExOWYyZDJkYTEiLCJ1c2VySWQiOiIyODkwODU3NTEifQ==</vt:lpwstr>
  </property>
  <property fmtid="{D5CDD505-2E9C-101B-9397-08002B2CF9AE}" pid="4" name="ICV">
    <vt:lpwstr>9A1671E5829140298FB7EE27095C3BB4_13</vt:lpwstr>
  </property>
</Properties>
</file>