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774CC">
      <w:pPr>
        <w:pStyle w:val="3"/>
        <w:spacing w:before="126" w:line="222" w:lineRule="auto"/>
        <w:jc w:val="center"/>
        <w:outlineLvl w:val="0"/>
        <w:rPr>
          <w:sz w:val="39"/>
          <w:szCs w:val="39"/>
        </w:rPr>
      </w:pPr>
      <w:r>
        <w:rPr>
          <w:b/>
          <w:bCs/>
          <w:spacing w:val="-22"/>
          <w:sz w:val="39"/>
          <w:szCs w:val="39"/>
        </w:rPr>
        <w:t>江苏食品药品职业技术学院</w:t>
      </w:r>
    </w:p>
    <w:p w14:paraId="4EC2DA45">
      <w:pPr>
        <w:pStyle w:val="3"/>
        <w:spacing w:before="227" w:line="221" w:lineRule="auto"/>
        <w:ind w:right="56"/>
        <w:jc w:val="center"/>
        <w:outlineLvl w:val="0"/>
        <w:rPr>
          <w:sz w:val="39"/>
          <w:szCs w:val="39"/>
        </w:rPr>
      </w:pPr>
      <w:r>
        <w:rPr>
          <w:rFonts w:hint="eastAsia"/>
          <w:b/>
          <w:bCs/>
          <w:spacing w:val="-21"/>
          <w:sz w:val="39"/>
          <w:szCs w:val="39"/>
          <w:lang w:val="en-US" w:eastAsia="zh-CN"/>
        </w:rPr>
        <w:t>2026年</w:t>
      </w:r>
      <w:r>
        <w:rPr>
          <w:b/>
          <w:bCs/>
          <w:spacing w:val="-21"/>
          <w:sz w:val="39"/>
          <w:szCs w:val="39"/>
        </w:rPr>
        <w:t>学生宿舍</w:t>
      </w:r>
      <w:r>
        <w:rPr>
          <w:spacing w:val="-21"/>
          <w:sz w:val="39"/>
          <w:szCs w:val="3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1"/>
          <w:sz w:val="39"/>
          <w:szCs w:val="39"/>
        </w:rPr>
        <w:t>S</w:t>
      </w:r>
      <w:r>
        <w:rPr>
          <w:rFonts w:hint="eastAsia" w:ascii="Times New Roman" w:hAnsi="Times New Roman" w:eastAsia="宋体" w:cs="Times New Roman"/>
          <w:b/>
          <w:bCs/>
          <w:spacing w:val="-21"/>
          <w:sz w:val="39"/>
          <w:szCs w:val="39"/>
          <w:lang w:val="en-US" w:eastAsia="zh-CN"/>
        </w:rPr>
        <w:t>4</w:t>
      </w:r>
      <w:r>
        <w:rPr>
          <w:rFonts w:ascii="Times New Roman" w:hAnsi="Times New Roman" w:eastAsia="Times New Roman" w:cs="Times New Roman"/>
          <w:b/>
          <w:bCs/>
          <w:spacing w:val="-41"/>
          <w:sz w:val="39"/>
          <w:szCs w:val="39"/>
        </w:rPr>
        <w:t xml:space="preserve"> </w:t>
      </w:r>
      <w:r>
        <w:rPr>
          <w:rFonts w:ascii="宋体" w:hAnsi="宋体" w:eastAsia="宋体" w:cs="宋体"/>
          <w:b/>
          <w:bCs/>
          <w:spacing w:val="-21"/>
          <w:sz w:val="39"/>
          <w:szCs w:val="39"/>
        </w:rPr>
        <w:t>、</w:t>
      </w:r>
      <w:r>
        <w:rPr>
          <w:rFonts w:ascii="Times New Roman" w:hAnsi="Times New Roman" w:eastAsia="Times New Roman" w:cs="Times New Roman"/>
          <w:b/>
          <w:bCs/>
          <w:spacing w:val="-21"/>
          <w:sz w:val="39"/>
          <w:szCs w:val="39"/>
        </w:rPr>
        <w:t>S</w:t>
      </w:r>
      <w:r>
        <w:rPr>
          <w:rFonts w:hint="eastAsia" w:ascii="Times New Roman" w:hAnsi="Times New Roman" w:eastAsia="宋体" w:cs="Times New Roman"/>
          <w:b/>
          <w:bCs/>
          <w:spacing w:val="-21"/>
          <w:sz w:val="39"/>
          <w:szCs w:val="39"/>
          <w:lang w:val="en-US" w:eastAsia="zh-CN"/>
        </w:rPr>
        <w:t>8</w:t>
      </w:r>
      <w:r>
        <w:rPr>
          <w:b/>
          <w:bCs/>
          <w:spacing w:val="-21"/>
          <w:sz w:val="39"/>
          <w:szCs w:val="39"/>
        </w:rPr>
        <w:t>家具采购合同</w:t>
      </w:r>
    </w:p>
    <w:p w14:paraId="0401332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18" w:firstLineChars="200"/>
        <w:textAlignment w:val="baseline"/>
        <w:rPr>
          <w:rFonts w:ascii="仿宋" w:hAnsi="仿宋" w:eastAsia="仿宋" w:cs="仿宋"/>
          <w:b/>
          <w:bCs/>
          <w:snapToGrid w:val="0"/>
          <w:color w:val="000000"/>
          <w:spacing w:val="-1"/>
          <w:kern w:val="0"/>
          <w:sz w:val="26"/>
          <w:szCs w:val="26"/>
          <w:lang w:val="en-US" w:eastAsia="en-US" w:bidi="ar-SA"/>
        </w:rPr>
      </w:pPr>
    </w:p>
    <w:p w14:paraId="57D07C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777" w:firstLineChars="300"/>
        <w:textAlignment w:val="baseline"/>
        <w:rPr>
          <w:sz w:val="28"/>
          <w:szCs w:val="28"/>
        </w:rPr>
      </w:pPr>
      <w:r>
        <w:rPr>
          <w:rFonts w:ascii="仿宋" w:hAnsi="仿宋" w:eastAsia="仿宋" w:cs="仿宋"/>
          <w:b/>
          <w:bCs/>
          <w:snapToGrid w:val="0"/>
          <w:color w:val="000000"/>
          <w:spacing w:val="-1"/>
          <w:kern w:val="0"/>
          <w:sz w:val="26"/>
          <w:szCs w:val="26"/>
          <w:lang w:val="en-US" w:eastAsia="en-US" w:bidi="ar-SA"/>
        </w:rPr>
        <w:t>项目编号：</w:t>
      </w:r>
      <w:r>
        <w:rPr>
          <w:sz w:val="28"/>
          <w:szCs w:val="28"/>
        </w:rPr>
        <w:t xml:space="preserve"> </w:t>
      </w:r>
    </w:p>
    <w:p w14:paraId="4115C1F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2" w:line="360" w:lineRule="auto"/>
        <w:ind w:firstLine="624" w:firstLineChars="200"/>
        <w:textAlignment w:val="baseline"/>
        <w:rPr>
          <w:spacing w:val="16"/>
        </w:rPr>
      </w:pPr>
      <w:r>
        <w:rPr>
          <w:spacing w:val="16"/>
        </w:rPr>
        <w:t xml:space="preserve">采购方(甲方): </w:t>
      </w:r>
      <w:r>
        <w:rPr>
          <w:spacing w:val="16"/>
          <w:u w:val="single"/>
        </w:rPr>
        <w:t>江苏食品药品职业技术学院</w:t>
      </w:r>
    </w:p>
    <w:p w14:paraId="5DD2AA9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360" w:lineRule="auto"/>
        <w:ind w:firstLine="628" w:firstLineChars="200"/>
        <w:textAlignment w:val="baseline"/>
        <w:rPr>
          <w:sz w:val="28"/>
          <w:szCs w:val="28"/>
        </w:rPr>
      </w:pPr>
      <w:r>
        <w:rPr>
          <w:spacing w:val="17"/>
        </w:rPr>
        <w:t xml:space="preserve">供货方(乙方): </w:t>
      </w:r>
      <w:r>
        <w:rPr>
          <w:rFonts w:hint="eastAsia"/>
          <w:spacing w:val="17"/>
          <w:u w:val="single"/>
          <w:lang w:val="en-US" w:eastAsia="zh-CN"/>
        </w:rPr>
        <w:t>合肥雅利家具有限公司</w:t>
      </w:r>
    </w:p>
    <w:p w14:paraId="4DE8A9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根据《中华人民共和国民法典》《中华人民共和国政府采购法》 等有关法律法规及本项目招标文件、投标文件、中标通知书等，甲乙 双方就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江苏食品药品职业技术学院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学生宿舍 S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4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、S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8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家具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采购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事宜，协商一致， 订立本合同，共同遵照执行。</w:t>
      </w:r>
    </w:p>
    <w:p w14:paraId="4B12A90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一、合同标的规格型号、数量及金额</w:t>
      </w:r>
    </w:p>
    <w:p w14:paraId="051AE4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1.标的规格型号、数量详见附件1。</w:t>
      </w:r>
    </w:p>
    <w:p w14:paraId="0E1609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2.合同含税总价：(大写)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zh-CN" w:bidi="ar-SA"/>
        </w:rPr>
        <w:t>人民币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贰佰叁拾捌万陆仟元整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(¥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2386000.00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)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。</w:t>
      </w:r>
    </w:p>
    <w:p w14:paraId="6C7A02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3.合同总价已包含货物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价款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包装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运输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保险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装卸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安装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调试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培训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税金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质保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、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售后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及原家具拆除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等全部费用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。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甲方不再支付任何其他费用。</w:t>
      </w:r>
    </w:p>
    <w:p w14:paraId="2315B1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二、质量标准与技术要求</w:t>
      </w:r>
    </w:p>
    <w:p w14:paraId="31702F5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.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乙方交付的货物必须符合招标文件第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四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章“项目采购需求”及 国家现行最新强制性标准，并通过甲方验收。</w:t>
      </w:r>
    </w:p>
    <w:p w14:paraId="6888CF9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2.乙方保证所有家具为全新、未使用过的正品。</w:t>
      </w:r>
    </w:p>
    <w:p w14:paraId="27EDED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三、交付(含安装)时间、地点与方式</w:t>
      </w:r>
    </w:p>
    <w:p w14:paraId="7E9408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1.交付时间：202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6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年8月29日前全部到货、安装完毕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并完成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zh-CN" w:bidi="ar-SA"/>
        </w:rPr>
        <w:t>相关保洁工作。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于安装完毕后一个月内组织验收。</w:t>
      </w:r>
    </w:p>
    <w:p w14:paraId="527C8E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2.交付地点：江苏省淮安市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高教园区枚乘路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4号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江苏食品药品职业技术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学院S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4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、S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8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宿舍楼房间内。</w:t>
      </w:r>
    </w:p>
    <w:p w14:paraId="6A661F9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四、包装、运输与装卸</w:t>
      </w:r>
    </w:p>
    <w:p w14:paraId="3BA7A1F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hint="default" w:eastAsia="仿宋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乙方负责将全部货物安全运抵现场并承担运输、装卸、保管及成 品保护责任。因包装或运输不当导致的损坏由乙方免费更换并承担延 期责任。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原家具拆除不能损坏宿舍其他家具、设备及地面等设施，拆除的旧板由校方自行处理。</w:t>
      </w:r>
    </w:p>
    <w:p w14:paraId="75AA6A0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五、验收</w:t>
      </w:r>
    </w:p>
    <w:p w14:paraId="2E7B4F9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 验收依据：本合同、招标文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件、投标文件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及行业标准。</w:t>
      </w:r>
    </w:p>
    <w:p w14:paraId="468B05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 验收程序：</w:t>
      </w:r>
    </w:p>
    <w:p w14:paraId="67F150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(1)到货初验：核对品牌、规格、数量、外观；</w:t>
      </w:r>
    </w:p>
    <w:p w14:paraId="2F20433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(2)安装调试后终验：测试功能、安全、环保指标。</w:t>
      </w:r>
    </w:p>
    <w:p w14:paraId="1AF0750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3. 验收不合格，乙方应在3日内整改完毕；再次验收仍不合格的，甲方有权拒收或要求退货并索赔。</w:t>
      </w:r>
    </w:p>
    <w:p w14:paraId="3C4EE2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六、付款方式</w:t>
      </w:r>
    </w:p>
    <w:p w14:paraId="2BF4137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1.全部货物安装完毕并通过最终验收后，乙方向甲方开具等额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增 值税发票。</w:t>
      </w:r>
    </w:p>
    <w:p w14:paraId="431B06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2.甲方自收到合规发票后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30个工作日内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支付合同全款。</w:t>
      </w:r>
    </w:p>
    <w:p w14:paraId="0DA492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3.付款方式：银行转账至乙方对公账户。</w:t>
      </w:r>
    </w:p>
    <w:p w14:paraId="04FB70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hint="default" w:ascii="黑体" w:hAnsi="黑体" w:eastAsia="黑体" w:cs="黑体"/>
          <w:b/>
          <w:bCs/>
          <w:color w:val="FF0000"/>
          <w:spacing w:val="7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七、关于履约保证金</w:t>
      </w:r>
      <w:r>
        <w:rPr>
          <w:rFonts w:hint="eastAsia" w:ascii="黑体" w:hAnsi="黑体" w:eastAsia="黑体" w:cs="黑体"/>
          <w:b/>
          <w:bCs/>
          <w:color w:val="FF0000"/>
          <w:spacing w:val="7"/>
          <w:sz w:val="28"/>
          <w:szCs w:val="28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color w:val="FF0000"/>
          <w:spacing w:val="7"/>
          <w:sz w:val="28"/>
          <w:szCs w:val="28"/>
          <w:lang w:val="en-US" w:eastAsia="zh-CN"/>
        </w:rPr>
        <w:t>质保金</w:t>
      </w:r>
    </w:p>
    <w:p w14:paraId="2C853D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1.乙方在合同签订后5个工作日内，需向甲方缴纳人民币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zh-CN" w:bidi="ar-SA"/>
        </w:rPr>
        <w:t>贰万叁仟捌佰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元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zh-CN" w:bidi="ar-SA"/>
        </w:rPr>
        <w:t>陆拾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整(¥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zh-CN" w:bidi="ar-SA"/>
        </w:rPr>
        <w:t>23860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.00)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作为合同履约保证金；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因乙方违约导致甲方损失的，甲方有权直接从履约保证金中扣除相应金额。</w:t>
      </w:r>
      <w:bookmarkStart w:id="0" w:name="_GoBack"/>
      <w:bookmarkEnd w:id="0"/>
    </w:p>
    <w:p w14:paraId="7FD7D2B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货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zh-CN" w:bidi="ar-SA"/>
        </w:rPr>
        <w:t>物安装完毕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并通过最终验收后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zh-CN" w:bidi="ar-SA"/>
        </w:rPr>
        <w:t>履约金转为质保金，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质保期满且无质量及服务问题后，甲方需向乙方无息退还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质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保金。</w:t>
      </w:r>
    </w:p>
    <w:p w14:paraId="24C4669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八、质保与售后服务</w:t>
      </w:r>
    </w:p>
    <w:p w14:paraId="0D1EE71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69" w:leftChars="128" w:firstLine="300" w:firstLineChars="1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 xml:space="preserve">1.质保期：依据乙方标书承诺，自最终验收合格之日起算，为期 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u w:val="single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u w:val="single"/>
          <w:lang w:val="en-US" w:eastAsia="zh-CN" w:bidi="ar-SA"/>
        </w:rPr>
        <w:t>伍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年。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质保期内免费包修、包换、包退；</w:t>
      </w:r>
    </w:p>
    <w:p w14:paraId="40E0AD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2.售后响应：依据乙方标书承诺执行；</w:t>
      </w:r>
    </w:p>
    <w:p w14:paraId="56F96C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3.质保期内，依据乙方标书承诺，因货物造成的人员伤害，均由 乙方承担。乙方应定期回访，确保服务质量。质保期满后，提供有偿 维修服务，收费标准双方协商确定。</w:t>
      </w:r>
    </w:p>
    <w:p w14:paraId="65BF70F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九、违约责任</w:t>
      </w:r>
    </w:p>
    <w:p w14:paraId="12AF3DE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1.延期交货：每逾期1天，乙方按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合同总价0.5%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支付违约金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zh-CN" w:bidi="ar-SA"/>
        </w:rPr>
        <w:t>;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逾期超过10天，甲方有权解除合同并要求乙方赔偿所造成的损失。</w:t>
      </w:r>
    </w:p>
    <w:p w14:paraId="73958C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2.质量不合格：甲方有权要求乙方限期整改、更换或退货，并按 不合格部分价款10%计收违约金；造成人身财产损害的，乙方承担全 部赔偿责任。</w:t>
      </w:r>
    </w:p>
    <w:p w14:paraId="0B096E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3.甲方无正当理由逾期付款的，每逾期1天按</w:t>
      </w:r>
      <w:r>
        <w:rPr>
          <w:rFonts w:ascii="仿宋" w:hAnsi="仿宋" w:eastAsia="仿宋" w:cs="仿宋"/>
          <w:snapToGrid w:val="0"/>
          <w:color w:val="FF0000"/>
          <w:spacing w:val="15"/>
          <w:kern w:val="0"/>
          <w:sz w:val="27"/>
          <w:szCs w:val="27"/>
          <w:lang w:val="en-US" w:eastAsia="en-US" w:bidi="ar-SA"/>
        </w:rPr>
        <w:t>应付金额0.05%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向乙方支付违约金。</w:t>
      </w:r>
    </w:p>
    <w:p w14:paraId="5841B9E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十、不可抗力</w:t>
      </w:r>
    </w:p>
    <w:p w14:paraId="46D69AA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1.如发生地震、台风、水灾、战争等不可抗力事件影响合同履行，受影响方应在事件发生后3日内书面通知对方，并在14日内提供有 权机构出具的证明文件。</w:t>
      </w:r>
    </w:p>
    <w:p w14:paraId="71FDCB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2.不可抗力持续120日以上，双方应友好协商解决合同继续履行 或终止事宜。</w:t>
      </w:r>
    </w:p>
    <w:p w14:paraId="253F9F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十一、合同变更与解除</w:t>
      </w:r>
    </w:p>
    <w:p w14:paraId="1DCC7B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1.任何变更或补充均须以书面形式经双方签字盖章确认，并作为本合同附件。</w:t>
      </w:r>
    </w:p>
    <w:p w14:paraId="56F4CE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2.因一方违约导致合同目的不能实现，守约方有权书面通知解除 合同并要求赔偿。</w:t>
      </w:r>
    </w:p>
    <w:p w14:paraId="4F338B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3.因破产、清算等原因导致乙方无法履约，甲方可书面通知解除 合同并索赔。</w:t>
      </w:r>
    </w:p>
    <w:p w14:paraId="4D92E18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十二、争议解决</w:t>
      </w:r>
    </w:p>
    <w:p w14:paraId="79191F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1.本合同适用中华人民共和国法律。</w:t>
      </w:r>
    </w:p>
    <w:p w14:paraId="7C054D8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2.合同履行过程中发生争议，双方应先协商解决；协商不成的，任一 方可向甲方所在地有管辖权的人民法院提起诉讼。败诉方应承担胜诉 方为实现债权而发生的全部费用，包括但不限于诉讼费、保全费、差 旅费、律师费等。</w:t>
      </w:r>
    </w:p>
    <w:p w14:paraId="40728F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560" w:lineRule="exact"/>
        <w:ind w:left="564"/>
        <w:textAlignment w:val="baseline"/>
        <w:outlineLvl w:val="2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十三、合同生效</w:t>
      </w:r>
    </w:p>
    <w:p w14:paraId="510616F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1.本合同自甲乙双方加盖电子签章之日起生效。</w:t>
      </w:r>
    </w:p>
    <w:p w14:paraId="54139A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00" w:firstLineChars="200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sectPr>
          <w:pgSz w:w="12230" w:h="16710"/>
          <w:pgMar w:top="1420" w:right="1468" w:bottom="1272" w:left="1770" w:header="0" w:footer="1127" w:gutter="0"/>
          <w:cols w:equalWidth="0" w:num="1">
            <w:col w:w="8992"/>
          </w:cols>
        </w:sect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2.本合同一式六份，甲方执四份、乙方执二份，具有同等法律效</w:t>
      </w:r>
    </w:p>
    <w:p w14:paraId="69EFE6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7"/>
          <w:szCs w:val="27"/>
          <w:lang w:val="en-US" w:eastAsia="en-US" w:bidi="ar-SA"/>
        </w:rPr>
        <w:t>力。</w:t>
      </w:r>
    </w:p>
    <w:p w14:paraId="1B039CA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sz w:val="28"/>
          <w:szCs w:val="28"/>
        </w:rPr>
      </w:pPr>
    </w:p>
    <w:p w14:paraId="36AB52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sz w:val="28"/>
          <w:szCs w:val="28"/>
        </w:rPr>
      </w:pPr>
    </w:p>
    <w:p w14:paraId="563C2F3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t>甲方(盖章)</w:t>
      </w:r>
    </w:p>
    <w:p w14:paraId="0BDDA8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</w:p>
    <w:p w14:paraId="0EDC64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t>法定代表人/授权代表(签字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zh-CN" w:bidi="ar-SA"/>
        </w:rPr>
        <w:t>）</w:t>
      </w: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t>：</w:t>
      </w:r>
    </w:p>
    <w:p w14:paraId="44FD52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</w:p>
    <w:p w14:paraId="6EB412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t>签订日期:</w:t>
      </w:r>
    </w:p>
    <w:p w14:paraId="3469DE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br w:type="column"/>
      </w:r>
    </w:p>
    <w:p w14:paraId="27FDF2F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</w:p>
    <w:p w14:paraId="4E3A3E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</w:p>
    <w:p w14:paraId="6D3828A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t>乙方(盖章):</w:t>
      </w:r>
    </w:p>
    <w:p w14:paraId="55543E6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</w:p>
    <w:p w14:paraId="1666D07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t>法定代表人/授权代表 (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zh-CN" w:bidi="ar-SA"/>
        </w:rPr>
        <w:t>签字）：</w:t>
      </w:r>
    </w:p>
    <w:p w14:paraId="32561E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</w:pPr>
    </w:p>
    <w:p w14:paraId="02D9F1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sectPr>
          <w:type w:val="continuous"/>
          <w:pgSz w:w="12230" w:h="16710"/>
          <w:pgMar w:top="1420" w:right="1468" w:bottom="1272" w:left="1770" w:header="0" w:footer="1127" w:gutter="0"/>
          <w:cols w:equalWidth="0" w:num="2">
            <w:col w:w="4970" w:space="100"/>
            <w:col w:w="3922"/>
          </w:cols>
        </w:sectPr>
      </w:pPr>
      <w:r>
        <w:rPr>
          <w:rFonts w:ascii="仿宋" w:hAnsi="仿宋" w:eastAsia="仿宋" w:cs="仿宋"/>
          <w:snapToGrid w:val="0"/>
          <w:color w:val="000000"/>
          <w:spacing w:val="15"/>
          <w:kern w:val="0"/>
          <w:sz w:val="24"/>
          <w:szCs w:val="24"/>
          <w:lang w:val="en-US" w:eastAsia="en-US" w:bidi="ar-SA"/>
        </w:rPr>
        <w:t>签订日期：</w:t>
      </w:r>
    </w:p>
    <w:p w14:paraId="1D7F0BE8">
      <w:pPr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 w:eastAsia="宋体"/>
          <w:sz w:val="28"/>
          <w:szCs w:val="28"/>
          <w:lang w:val="en-US" w:eastAsia="zh-CN"/>
        </w:rPr>
        <w:t>附件1：产品数量及参数</w:t>
      </w:r>
    </w:p>
    <w:tbl>
      <w:tblPr>
        <w:tblStyle w:val="6"/>
        <w:tblW w:w="8850" w:type="dxa"/>
        <w:tblInd w:w="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870"/>
        <w:gridCol w:w="6270"/>
        <w:gridCol w:w="900"/>
      </w:tblGrid>
      <w:tr w14:paraId="6C574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10" w:type="dxa"/>
            <w:noWrap w:val="0"/>
            <w:vAlign w:val="center"/>
          </w:tcPr>
          <w:p w14:paraId="0DD409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870" w:type="dxa"/>
            <w:noWrap w:val="0"/>
            <w:vAlign w:val="center"/>
          </w:tcPr>
          <w:p w14:paraId="6E2B13D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6270" w:type="dxa"/>
            <w:noWrap w:val="0"/>
            <w:vAlign w:val="center"/>
          </w:tcPr>
          <w:p w14:paraId="25320A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参数要求</w:t>
            </w:r>
          </w:p>
        </w:tc>
        <w:tc>
          <w:tcPr>
            <w:tcW w:w="900" w:type="dxa"/>
            <w:noWrap w:val="0"/>
            <w:vAlign w:val="center"/>
          </w:tcPr>
          <w:p w14:paraId="0DCAB04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 w14:paraId="49A32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2" w:hRule="atLeast"/>
        </w:trPr>
        <w:tc>
          <w:tcPr>
            <w:tcW w:w="810" w:type="dxa"/>
            <w:noWrap w:val="0"/>
            <w:vAlign w:val="center"/>
          </w:tcPr>
          <w:p w14:paraId="6C3F6C10">
            <w:pPr>
              <w:pStyle w:val="8"/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noWrap w:val="0"/>
            <w:vAlign w:val="center"/>
          </w:tcPr>
          <w:p w14:paraId="111609ED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三人位学习桌</w:t>
            </w:r>
          </w:p>
        </w:tc>
        <w:tc>
          <w:tcPr>
            <w:tcW w:w="6270" w:type="dxa"/>
            <w:noWrap w:val="0"/>
            <w:vAlign w:val="center"/>
          </w:tcPr>
          <w:p w14:paraId="75A27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规格：长1550*宽600*高2390mm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（尺寸按实际空间制作）</w:t>
            </w:r>
          </w:p>
          <w:p w14:paraId="23FC6DE8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整体采用橡胶木指接板制作</w:t>
            </w:r>
          </w:p>
          <w:p w14:paraId="4B78D1A1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1.1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储物柜：规格1550*350*590（具体详细数字以现场测量为准）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（1）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柜体、背板材质采用16mm厚橡胶木指接板制作，柜门采用18mm厚橡胶木指接板，门芯板采用12mm橡胶木指接板制作；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（2）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柜门拉手制作内嵌式造型，带学生锁扣；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（3）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油漆工艺采用环保滚涂五底三面UV透明漆；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（4）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柜体采用优质二合一扣件和三合一扣件链接，柜门采用优质液压铰链；</w:t>
            </w:r>
          </w:p>
          <w:p w14:paraId="6BB0F7A6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书架：规格1550*250*1050（具体详细数字以现场测量为准），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柜体、背板、层板材质采用16mm厚橡胶木指接板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制作油漆工艺采用环保滚涂五底三面UV透明漆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柜体采用优质二合一扣件和三合一扣件链接；</w:t>
            </w:r>
          </w:p>
          <w:p w14:paraId="46697E57">
            <w:pPr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写字桌：规格1550（长）*600（宽）*750mm（高）（具体详细数字以现场测量为准），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主体材质采用16mm厚橡胶木指接板制作，桌面加厚至30mm，桌面离地高为750mm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背板采用16mm厚橡胶木指接板；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（10）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配2个抽屉，抽屉轨道采用三节轨道，抽屉拉手制作内嵌式造型，带学生锁扣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桌子底部采用20mm高塑料脚钉，防止板材因受潮、水浸而变形腐烂；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油漆采用环保家具滚涂水性UV五底三面透明漆；</w:t>
            </w:r>
          </w:p>
        </w:tc>
        <w:tc>
          <w:tcPr>
            <w:tcW w:w="900" w:type="dxa"/>
            <w:noWrap w:val="0"/>
            <w:vAlign w:val="center"/>
          </w:tcPr>
          <w:p w14:paraId="03BC7BA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374</w:t>
            </w:r>
          </w:p>
        </w:tc>
      </w:tr>
      <w:tr w14:paraId="42FCD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1" w:hRule="atLeast"/>
        </w:trPr>
        <w:tc>
          <w:tcPr>
            <w:tcW w:w="810" w:type="dxa"/>
            <w:noWrap w:val="0"/>
            <w:vAlign w:val="center"/>
          </w:tcPr>
          <w:p w14:paraId="29DAFC0E">
            <w:pPr>
              <w:pStyle w:val="8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 w14:paraId="1FDB27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三人位学习桌</w:t>
            </w:r>
          </w:p>
        </w:tc>
        <w:tc>
          <w:tcPr>
            <w:tcW w:w="6270" w:type="dxa"/>
            <w:noWrap w:val="0"/>
            <w:vAlign w:val="center"/>
          </w:tcPr>
          <w:p w14:paraId="2A10B7F3">
            <w:pPr>
              <w:pStyle w:val="2"/>
              <w:numPr>
                <w:ilvl w:val="0"/>
                <w:numId w:val="0"/>
              </w:numPr>
              <w:spacing w:line="240" w:lineRule="auto"/>
              <w:ind w:leftChars="0" w:firstLine="420" w:firstLineChars="20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drawing>
                <wp:inline distT="0" distB="0" distL="114300" distR="114300">
                  <wp:extent cx="2877820" cy="3574415"/>
                  <wp:effectExtent l="0" t="0" r="17780" b="698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7820" cy="3574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571075">
            <w:pPr>
              <w:pStyle w:val="2"/>
              <w:numPr>
                <w:ilvl w:val="0"/>
                <w:numId w:val="0"/>
              </w:numPr>
              <w:spacing w:line="240" w:lineRule="auto"/>
              <w:ind w:leftChars="0" w:firstLine="420" w:firstLineChars="200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三人位学习桌（上设书架+储物柜）图样</w:t>
            </w:r>
          </w:p>
          <w:p w14:paraId="045DA089">
            <w:pPr>
              <w:pStyle w:val="2"/>
              <w:numPr>
                <w:ilvl w:val="0"/>
                <w:numId w:val="0"/>
              </w:numPr>
              <w:spacing w:line="360" w:lineRule="auto"/>
              <w:ind w:leftChars="0"/>
              <w:jc w:val="both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ED22812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AC1C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9" w:hRule="atLeast"/>
        </w:trPr>
        <w:tc>
          <w:tcPr>
            <w:tcW w:w="810" w:type="dxa"/>
            <w:noWrap w:val="0"/>
            <w:vAlign w:val="center"/>
          </w:tcPr>
          <w:p w14:paraId="5340F53F">
            <w:pPr>
              <w:pStyle w:val="8"/>
              <w:numPr>
                <w:ilvl w:val="0"/>
                <w:numId w:val="1"/>
              </w:num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noWrap w:val="0"/>
            <w:vAlign w:val="center"/>
          </w:tcPr>
          <w:p w14:paraId="73A5C178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组合柜</w:t>
            </w:r>
          </w:p>
          <w:p w14:paraId="704C496B">
            <w:pPr>
              <w:pStyle w:val="4"/>
              <w:rPr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6270" w:type="dxa"/>
            <w:noWrap w:val="0"/>
            <w:vAlign w:val="top"/>
          </w:tcPr>
          <w:p w14:paraId="735BF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规格：长1950*宽800*高1680mm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（尺寸按实际空间制作）</w:t>
            </w:r>
          </w:p>
          <w:p w14:paraId="29884A4D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整体采用橡胶木指接板制作</w:t>
            </w:r>
          </w:p>
          <w:p w14:paraId="3F5D207E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衣柜规格：800（长）*600（宽）*1680mm（高）（具体详细数字以现场测量为准）。（1）柜体、层板材质采用16mm厚橡胶木指接板制作，柜门采用18mm厚橡胶木指接板，门芯板采用12mm橡胶木指接板制作；（2）柜门拉手制作内嵌式造型，背板采用5mm厚指接板；（3）油漆工艺：采用环保家具滚涂水性VU三底二面透明漆。</w:t>
            </w:r>
          </w:p>
          <w:p w14:paraId="07E050D9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配件部分：（4）柜体采用优质二合一扣件和三合一扣件链接，柜门采用优质液压铰链，衣柜内配置一根19mm不锈钢挂衣杆，一块16mm厚层板，衣柜底部采用20mm高塑料脚钉，防止板材因受潮、水浸而变形腐烂。</w:t>
            </w:r>
          </w:p>
          <w:p w14:paraId="4A330E28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2.2写字桌规格：1150（长）*600（宽）*750mm（高）（写字桌边柜宽800mmm，具体详细数字以现场测量为准）。(5)主体材质采用16mm厚橡胶木指接板制作，桌面加厚至30mm，桌面离地高为750mm；(6)背板采用16mm厚橡胶木指接板；(7)柜门和抽屉拉手制作内嵌式造型；(8)油漆工艺：采用环保家具滚涂水性VU三底二面透明漆。</w:t>
            </w:r>
          </w:p>
          <w:p w14:paraId="10BCA4B7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配件部分：(9)主体采用优质二合一扣件和三合一扣件链接，柜门采用移门轨道、2个抽屉采用优质三节轨，抽屉带学生锁扣，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(1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)桌子底部采用20mm高塑料脚钉，防止板材因受潮、水浸而变形腐烂。</w:t>
            </w:r>
          </w:p>
          <w:p w14:paraId="09F82C55">
            <w:pPr>
              <w:spacing w:line="360" w:lineRule="auto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2.3书架规格：1120（长）*250（宽）*930mm（高）（具体详细数字以现场测量为准）。(1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)主体材质采用16mm厚橡胶木指接板制作，背板采用16mm厚橡胶木指接板制作；(</w:t>
            </w:r>
            <w:r>
              <w:rPr>
                <w:rFonts w:hint="eastAsia" w:ascii="宋体" w:hAnsi="宋体" w:cs="宋体"/>
                <w:sz w:val="24"/>
                <w:szCs w:val="24"/>
                <w:highlight w:val="none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)油漆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工艺：采用环保家具滚涂水性VU三底二面透明漆。</w:t>
            </w:r>
          </w:p>
          <w:p w14:paraId="5790179C">
            <w:pPr>
              <w:spacing w:line="360" w:lineRule="auto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配件部分：主体采用优质二合一扣件和三合一扣件链接。</w:t>
            </w:r>
          </w:p>
        </w:tc>
        <w:tc>
          <w:tcPr>
            <w:tcW w:w="900" w:type="dxa"/>
            <w:noWrap w:val="0"/>
            <w:vAlign w:val="center"/>
          </w:tcPr>
          <w:p w14:paraId="0B3C103C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828</w:t>
            </w:r>
          </w:p>
        </w:tc>
      </w:tr>
      <w:tr w14:paraId="1DF0A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8" w:hRule="atLeast"/>
        </w:trPr>
        <w:tc>
          <w:tcPr>
            <w:tcW w:w="810" w:type="dxa"/>
            <w:noWrap w:val="0"/>
            <w:vAlign w:val="center"/>
          </w:tcPr>
          <w:p w14:paraId="47ED6C22">
            <w:pPr>
              <w:pStyle w:val="8"/>
              <w:numPr>
                <w:ilvl w:val="0"/>
                <w:numId w:val="0"/>
              </w:numPr>
              <w:ind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70" w:type="dxa"/>
            <w:noWrap w:val="0"/>
            <w:vAlign w:val="center"/>
          </w:tcPr>
          <w:p w14:paraId="3DEE4AE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组合柜</w:t>
            </w:r>
          </w:p>
          <w:p w14:paraId="698B51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270" w:type="dxa"/>
            <w:noWrap w:val="0"/>
            <w:vAlign w:val="center"/>
          </w:tcPr>
          <w:p w14:paraId="26DCF198">
            <w:pPr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w:drawing>
                <wp:inline distT="0" distB="0" distL="114300" distR="114300">
                  <wp:extent cx="3558540" cy="2825115"/>
                  <wp:effectExtent l="0" t="0" r="3810" b="1333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8540" cy="282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EC50D6">
            <w:pPr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  <w:p w14:paraId="09F2AC03">
            <w:p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组合柜（含衣柜、写字桌、书架）图样</w:t>
            </w:r>
          </w:p>
        </w:tc>
        <w:tc>
          <w:tcPr>
            <w:tcW w:w="900" w:type="dxa"/>
            <w:noWrap w:val="0"/>
            <w:vAlign w:val="center"/>
          </w:tcPr>
          <w:p w14:paraId="764C1A25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496B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6" w:hRule="atLeast"/>
        </w:trPr>
        <w:tc>
          <w:tcPr>
            <w:tcW w:w="810" w:type="dxa"/>
            <w:noWrap w:val="0"/>
            <w:vAlign w:val="center"/>
          </w:tcPr>
          <w:p w14:paraId="5154E4C3">
            <w:pPr>
              <w:pStyle w:val="8"/>
              <w:numPr>
                <w:ilvl w:val="0"/>
                <w:numId w:val="0"/>
              </w:numPr>
              <w:ind w:leftChars="0" w:firstLine="210" w:firstLineChars="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70" w:type="dxa"/>
            <w:noWrap w:val="0"/>
            <w:vAlign w:val="center"/>
          </w:tcPr>
          <w:p w14:paraId="44292AA9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家具拆除</w:t>
            </w:r>
          </w:p>
        </w:tc>
        <w:tc>
          <w:tcPr>
            <w:tcW w:w="6270" w:type="dxa"/>
            <w:noWrap w:val="0"/>
            <w:vAlign w:val="center"/>
          </w:tcPr>
          <w:p w14:paraId="302B8A15">
            <w:pPr>
              <w:pStyle w:val="2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负责S4号楼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A、B楼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1122个单人位学习桌搬运任务，搬运至S4号楼（共五层，无电梯）下院子；</w:t>
            </w:r>
          </w:p>
          <w:p w14:paraId="0895CF51">
            <w:pPr>
              <w:pStyle w:val="2"/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负责S8号楼C楼（共五层，无电梯）828个学习柜拆除搬运工作，拆完搬至S8号楼楼下院中；</w:t>
            </w:r>
          </w:p>
          <w:p w14:paraId="5CA30531">
            <w:pPr>
              <w:pStyle w:val="2"/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两项拆除搬运费用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包含在中标价中，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拆除过程原则上不得损坏其他物品以及地面等设施。</w:t>
            </w:r>
          </w:p>
        </w:tc>
        <w:tc>
          <w:tcPr>
            <w:tcW w:w="900" w:type="dxa"/>
            <w:noWrap w:val="0"/>
            <w:vAlign w:val="center"/>
          </w:tcPr>
          <w:p w14:paraId="32267C8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 w14:paraId="6187D265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511E3B"/>
    <w:multiLevelType w:val="multilevel"/>
    <w:tmpl w:val="77511E3B"/>
    <w:lvl w:ilvl="0" w:tentative="0">
      <w:start w:val="1"/>
      <w:numFmt w:val="decimal"/>
      <w:suff w:val="space"/>
      <w:lvlText w:val="%1"/>
      <w:lvlJc w:val="left"/>
      <w:pPr>
        <w:ind w:left="0" w:firstLine="0"/>
      </w:pPr>
      <w:rPr>
        <w:rFonts w:hint="eastAsia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714C6"/>
    <w:rsid w:val="01FE5971"/>
    <w:rsid w:val="02CC3DCA"/>
    <w:rsid w:val="053F077B"/>
    <w:rsid w:val="088272FC"/>
    <w:rsid w:val="0E5C414B"/>
    <w:rsid w:val="10124B83"/>
    <w:rsid w:val="1A09162B"/>
    <w:rsid w:val="1B6F3710"/>
    <w:rsid w:val="1BBC447B"/>
    <w:rsid w:val="1FDE0E64"/>
    <w:rsid w:val="22DB78DD"/>
    <w:rsid w:val="2B583081"/>
    <w:rsid w:val="2C5451BB"/>
    <w:rsid w:val="348851E9"/>
    <w:rsid w:val="412F10C8"/>
    <w:rsid w:val="47CF50BF"/>
    <w:rsid w:val="49947B71"/>
    <w:rsid w:val="499F0DB5"/>
    <w:rsid w:val="4CA87F80"/>
    <w:rsid w:val="4CE865CF"/>
    <w:rsid w:val="4D5F2D35"/>
    <w:rsid w:val="51F16D22"/>
    <w:rsid w:val="53886599"/>
    <w:rsid w:val="57C67093"/>
    <w:rsid w:val="5C6A0DAE"/>
    <w:rsid w:val="608A7C71"/>
    <w:rsid w:val="60F845F0"/>
    <w:rsid w:val="63A749A2"/>
    <w:rsid w:val="67AE7E91"/>
    <w:rsid w:val="78D43D28"/>
    <w:rsid w:val="793840C0"/>
    <w:rsid w:val="7B25086A"/>
    <w:rsid w:val="7EAF0285"/>
    <w:rsid w:val="7F6E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4">
    <w:name w:val="index 4"/>
    <w:basedOn w:val="1"/>
    <w:next w:val="1"/>
    <w:unhideWhenUsed/>
    <w:qFormat/>
    <w:uiPriority w:val="99"/>
    <w:pPr>
      <w:ind w:left="600"/>
    </w:p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2946</Words>
  <Characters>3251</Characters>
  <Lines>0</Lines>
  <Paragraphs>0</Paragraphs>
  <TotalTime>27</TotalTime>
  <ScaleCrop>false</ScaleCrop>
  <LinksUpToDate>false</LinksUpToDate>
  <CharactersWithSpaces>3282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2026-07-29T01:13:00Z</dcterms:created>
  <dc:creator>Administrator</dc:creator>
  <cp:lastModifiedBy>吴文文</cp:lastModifiedBy>
  <dcterms:modified xsi:type="dcterms:W3CDTF">2026-08-03T02:40:33Z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eyJoZGlkIjoiOGU1MmFmY2U4ZmZkN2E0Yjg0MjNkODdhZGVlYjcyZTMiLCJ1c2VySWQiOiIyOTg2MzM0MjYifQ==</vt:lpwstr>
  </property>
  <property fmtid="{D5CDD505-2E9C-101B-9397-08002B2CF9AE}" pid="4" name="ICV">
    <vt:lpwstr>5BB09028450749A48EC4F598FC05C3B0_12</vt:lpwstr>
  </property>
</Properties>
</file>