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left"/>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项目名称：江苏监狱智能管理大平台罪犯矛盾纠纷</w:t>
      </w:r>
      <w:r/>
    </w:p>
    <w:p>
      <w:pPr>
        <w:ind w:firstLine="2891"/>
        <w:jc w:val="left"/>
        <w:spacing w:before="120" w:after="120" w:line="360" w:lineRule="auto"/>
        <w:rPr>
          <w:rFonts w:ascii="Arial" w:hAnsi="Arial"/>
          <w:b/>
          <w:bCs/>
          <w:sz w:val="32"/>
          <w:szCs w:val="24"/>
        </w:rPr>
      </w:pPr>
      <w:r>
        <w:rPr>
          <w:rFonts w:hint="eastAsia" w:ascii="Arial" w:hAnsi="Arial"/>
          <w:b/>
          <w:bCs/>
          <w:sz w:val="32"/>
          <w:szCs w:val="24"/>
        </w:rPr>
        <w:t xml:space="preserve">排查调处模块开发升级</w:t>
      </w:r>
      <w:r/>
    </w:p>
    <w:p>
      <w:pPr>
        <w:jc w:val="center"/>
        <w:spacing w:before="120" w:after="120" w:line="360" w:lineRule="auto"/>
        <w:rPr>
          <w:rFonts w:ascii="Arial" w:hAnsi="Arial"/>
          <w:b/>
          <w:bCs/>
          <w:sz w:val="32"/>
          <w:szCs w:val="24"/>
        </w:rPr>
      </w:pPr>
      <w:r>
        <w:rPr>
          <w:rFonts w:hint="eastAsia" w:ascii="Arial" w:hAnsi="Arial"/>
          <w:b/>
          <w:bCs/>
          <w:sz w:val="32"/>
          <w:szCs w:val="24"/>
        </w:rPr>
        <w:t xml:space="preserve">采购编号：</w:t>
      </w:r>
      <w:r>
        <w:rPr>
          <w:rFonts w:ascii="Arial" w:hAnsi="Arial"/>
          <w:b/>
          <w:bCs/>
          <w:sz w:val="32"/>
          <w:szCs w:val="24"/>
        </w:rPr>
        <w:t xml:space="preserve">JSZC-320000-SCZX-</w:t>
      </w:r>
      <w:bookmarkStart w:id="0" w:name="OLE_LINK2"/>
      <w:r/>
      <w:bookmarkStart w:id="1" w:name="OLE_LINK1"/>
      <w:r>
        <w:rPr>
          <w:rFonts w:ascii="Arial" w:hAnsi="Arial"/>
          <w:b/>
          <w:bCs/>
          <w:sz w:val="32"/>
          <w:szCs w:val="24"/>
        </w:rPr>
        <w:t xml:space="preserve">C2026-</w:t>
      </w:r>
      <w:bookmarkEnd w:id="0"/>
      <w:r/>
      <w:bookmarkEnd w:id="1"/>
      <w:r>
        <w:rPr>
          <w:rFonts w:ascii="Arial" w:hAnsi="Arial"/>
          <w:b/>
          <w:bCs/>
          <w:sz w:val="32"/>
          <w:szCs w:val="24"/>
        </w:rPr>
        <w:t xml:space="preserve">0</w:t>
      </w:r>
      <w:r>
        <w:rPr>
          <w:rFonts w:hint="eastAsia" w:ascii="Arial" w:hAnsi="Arial"/>
          <w:b/>
          <w:bCs/>
          <w:sz w:val="32"/>
          <w:szCs w:val="24"/>
        </w:rPr>
        <w:t xml:space="preserve">366</w:t>
      </w:r>
      <w:r/>
    </w:p>
    <w:p>
      <w:pPr>
        <w:ind w:firstLine="1470"/>
        <w:jc w:val="left"/>
        <w:spacing w:before="120" w:after="120" w:line="360" w:lineRule="auto"/>
        <w:rPr>
          <w:rFonts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8</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2" w:name="_Toc120614210"/>
      <w:r/>
      <w:bookmarkStart w:id="3" w:name="_Toc20823272"/>
      <w:r/>
      <w:bookmarkStart w:id="4" w:name="_Toc513029200"/>
      <w:r/>
      <w:bookmarkStart w:id="5" w:name="_Toc479757206"/>
      <w:r/>
      <w:bookmarkStart w:id="6" w:name="_Toc523127445"/>
      <w:r/>
      <w:bookmarkStart w:id="7" w:name="_Toc16938516"/>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6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rPr>
        <w:t xml:space="preserve">8</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w:t>
      </w:r>
      <w:r>
        <w:rPr>
          <w:rFonts w:hint="eastAsia" w:ascii="黑体" w:hAnsi="Showcard Gothic" w:eastAsia="黑体"/>
          <w:sz w:val="36"/>
          <w:szCs w:val="21"/>
        </w:rPr>
        <w:t xml:space="preserve">2</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………………………2</w:t>
      </w:r>
      <w:r>
        <w:rPr>
          <w:rFonts w:hint="eastAsia" w:ascii="黑体" w:hAnsi="Showcard Gothic" w:eastAsia="黑体"/>
          <w:sz w:val="36"/>
          <w:szCs w:val="21"/>
        </w:rPr>
        <w:t xml:space="preserve">8</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w:t>
      </w:r>
      <w:r>
        <w:rPr>
          <w:rFonts w:hint="eastAsia" w:ascii="黑体" w:hAnsi="Showcard Gothic" w:eastAsia="黑体"/>
          <w:sz w:val="36"/>
          <w:szCs w:val="21"/>
        </w:rPr>
        <w:t xml:space="preserve">4</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2"/>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江苏省监狱管理局</w:t>
      </w:r>
      <w:r>
        <w:rPr>
          <w:rFonts w:hint="eastAsia" w:ascii="宋体" w:hAnsi="宋体"/>
          <w:sz w:val="24"/>
          <w:szCs w:val="24"/>
        </w:rPr>
        <w:t xml:space="preserve">的委托，江苏省政府采购中心就</w:t>
      </w:r>
      <w:bookmarkStart w:id="8" w:name="OLE_LINK30"/>
      <w:r/>
      <w:bookmarkStart w:id="9" w:name="OLE_LINK29"/>
      <w:r>
        <w:rPr>
          <w:rFonts w:hint="eastAsia" w:ascii="宋体" w:hAnsi="宋体"/>
          <w:sz w:val="24"/>
          <w:szCs w:val="24"/>
        </w:rPr>
        <w:t xml:space="preserve">江苏监狱智能管理大平台罪犯矛盾纠纷排查调处模块开发升级</w:t>
      </w:r>
      <w:bookmarkEnd w:id="8"/>
      <w:r/>
      <w:bookmarkEnd w:id="9"/>
      <w:r>
        <w:rPr>
          <w:rFonts w:hint="eastAsia" w:ascii="宋体" w:hAnsi="宋体"/>
          <w:sz w:val="24"/>
          <w:szCs w:val="24"/>
        </w:rPr>
        <w:t xml:space="preserve">(</w:t>
      </w:r>
      <w:r>
        <w:rPr>
          <w:rFonts w:ascii="宋体" w:hAnsi="宋体"/>
          <w:sz w:val="24"/>
          <w:szCs w:val="24"/>
        </w:rPr>
        <w:t xml:space="preserve">JSZC-320000-SCZX-C2026-0</w:t>
      </w:r>
      <w:r>
        <w:rPr>
          <w:rFonts w:hint="eastAsia" w:ascii="宋体" w:hAnsi="宋体"/>
          <w:sz w:val="24"/>
          <w:szCs w:val="24"/>
        </w:rPr>
        <w:t xml:space="preserve">366)项目进行竞争性磋商采购，欢迎符合条件的供应商参加磋商。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江苏监狱智能管理大平台罪犯矛盾纠纷排查调处模块开发升级</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2026</w:t>
      </w:r>
      <w:r>
        <w:rPr>
          <w:rFonts w:hint="eastAsia" w:ascii="宋体" w:hAnsi="宋体"/>
          <w:bCs/>
          <w:sz w:val="24"/>
          <w:szCs w:val="24"/>
          <w:u w:val="single"/>
        </w:rPr>
        <w:t xml:space="preserve">年8月</w:t>
      </w:r>
      <w:r>
        <w:rPr>
          <w:rFonts w:hint="eastAsia" w:ascii="宋体" w:hAnsi="宋体"/>
          <w:bCs/>
          <w:sz w:val="24"/>
          <w:szCs w:val="24"/>
          <w:u w:val="single"/>
        </w:rPr>
        <w:t xml:space="preserve">24</w:t>
      </w:r>
      <w:r>
        <w:rPr>
          <w:rFonts w:hint="eastAsia" w:ascii="宋体" w:hAnsi="宋体"/>
          <w:bCs/>
          <w:sz w:val="24"/>
          <w:szCs w:val="24"/>
          <w:u w:val="single"/>
        </w:rPr>
        <w:t xml:space="preserve">日14点30分（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56" w:after="156" w:line="360" w:lineRule="auto"/>
        <w:rPr>
          <w:rFonts w:ascii="Times New Roman" w:hAnsi="Times New Roman"/>
          <w:b/>
          <w:bCs/>
          <w:sz w:val="32"/>
          <w:szCs w:val="32"/>
        </w:rPr>
        <w:outlineLvl w:val="2"/>
      </w:pPr>
      <w:r/>
      <w:bookmarkStart w:id="10" w:name="_Toc35393790"/>
      <w:r/>
      <w:bookmarkStart w:id="11" w:name="_Toc38985263"/>
      <w:r/>
      <w:bookmarkStart w:id="12" w:name="_Toc35393621"/>
      <w:r/>
      <w:bookmarkStart w:id="13" w:name="_Toc28359079"/>
      <w:r/>
      <w:bookmarkStart w:id="14" w:name="_Toc28359002"/>
      <w:r/>
      <w:bookmarkStart w:id="15" w:name="_Hlk24379207"/>
      <w:r>
        <w:rPr>
          <w:rFonts w:hint="eastAsia" w:ascii="Times New Roman" w:hAnsi="Times New Roman"/>
          <w:b/>
          <w:bCs/>
          <w:sz w:val="32"/>
          <w:szCs w:val="32"/>
        </w:rPr>
        <w:t xml:space="preserve">一、项目基本情况</w:t>
      </w:r>
      <w:bookmarkEnd w:id="10"/>
      <w:r/>
      <w:bookmarkEnd w:id="11"/>
      <w:r/>
      <w:bookmarkEnd w:id="12"/>
      <w:r/>
      <w:bookmarkEnd w:id="13"/>
      <w:r/>
      <w:bookmarkEnd w:id="14"/>
      <w:r/>
      <w:r/>
    </w:p>
    <w:p>
      <w:pPr>
        <w:ind w:firstLine="480"/>
        <w:rPr>
          <w:rFonts w:ascii="宋体" w:hAnsi="宋体"/>
          <w:sz w:val="24"/>
          <w:szCs w:val="24"/>
        </w:rPr>
      </w:pPr>
      <w:r>
        <w:rPr>
          <w:rFonts w:hint="eastAsia" w:ascii="宋体" w:hAnsi="宋体"/>
          <w:sz w:val="24"/>
          <w:szCs w:val="24"/>
        </w:rPr>
        <w:t xml:space="preserve">1.采购编号：JSZC-320000-SCZX-</w:t>
      </w:r>
      <w:r>
        <w:t xml:space="preserve"> </w:t>
      </w:r>
      <w:r>
        <w:rPr>
          <w:rFonts w:ascii="宋体" w:hAnsi="宋体"/>
          <w:sz w:val="24"/>
          <w:szCs w:val="24"/>
        </w:rPr>
        <w:t xml:space="preserve">C2026-0</w:t>
      </w:r>
      <w:r>
        <w:rPr>
          <w:rFonts w:hint="eastAsia" w:ascii="宋体" w:hAnsi="宋体"/>
          <w:sz w:val="24"/>
          <w:szCs w:val="24"/>
        </w:rPr>
        <w:t xml:space="preserve">366 </w:t>
      </w:r>
      <w:r/>
    </w:p>
    <w:p>
      <w:pPr>
        <w:ind w:firstLine="480"/>
        <w:rPr>
          <w:rFonts w:ascii="宋体" w:hAnsi="宋体"/>
          <w:sz w:val="24"/>
          <w:szCs w:val="24"/>
        </w:rPr>
      </w:pPr>
      <w:r>
        <w:rPr>
          <w:rFonts w:hint="eastAsia" w:ascii="宋体" w:hAnsi="宋体"/>
          <w:sz w:val="24"/>
          <w:szCs w:val="24"/>
        </w:rPr>
        <w:t xml:space="preserve">2.项目名称：江苏监狱智能管理大平台罪犯矛盾纠纷排查调处模块开发升级</w:t>
      </w:r>
      <w:bookmarkEnd w:id="15"/>
      <w:r/>
      <w:r/>
    </w:p>
    <w:p>
      <w:pPr>
        <w:ind w:firstLine="480"/>
        <w:rPr>
          <w:rFonts w:ascii="宋体" w:hAnsi="宋体"/>
          <w:sz w:val="24"/>
          <w:szCs w:val="24"/>
        </w:rPr>
      </w:pPr>
      <w:r>
        <w:rPr>
          <w:rFonts w:hint="eastAsia" w:ascii="宋体" w:hAnsi="宋体"/>
          <w:sz w:val="24"/>
          <w:szCs w:val="24"/>
        </w:rPr>
        <w:t xml:space="preserve">3.预算金额：7.95万元。</w:t>
      </w:r>
      <w:r/>
    </w:p>
    <w:p>
      <w:pPr>
        <w:ind w:firstLine="480"/>
        <w:rPr>
          <w:rFonts w:ascii="宋体" w:hAnsi="宋体"/>
          <w:sz w:val="24"/>
          <w:szCs w:val="24"/>
        </w:rPr>
      </w:pPr>
      <w:r>
        <w:rPr>
          <w:rFonts w:hint="eastAsia" w:ascii="宋体" w:hAnsi="宋体"/>
          <w:sz w:val="24"/>
          <w:szCs w:val="24"/>
        </w:rPr>
        <w:t xml:space="preserve">4.最高限价：7.95万元</w:t>
      </w:r>
      <w:r/>
    </w:p>
    <w:p>
      <w:pPr>
        <w:ind w:firstLine="480"/>
        <w:rPr>
          <w:rFonts w:ascii="宋体" w:hAnsi="宋体"/>
          <w:sz w:val="24"/>
          <w:szCs w:val="24"/>
        </w:rPr>
      </w:pPr>
      <w:r>
        <w:rPr>
          <w:rFonts w:hint="eastAsia" w:ascii="宋体" w:hAnsi="宋体"/>
          <w:sz w:val="24"/>
          <w:szCs w:val="24"/>
        </w:rPr>
        <w:t xml:space="preserve">5.采购需求（简介）：</w:t>
      </w:r>
      <w:r>
        <w:rPr>
          <w:rStyle w:val="766"/>
          <w:rFonts w:hint="eastAsia"/>
        </w:rPr>
        <w:t xml:space="preserve">针对</w:t>
      </w:r>
      <w:r>
        <w:rPr>
          <w:rFonts w:hint="eastAsia" w:ascii="宋体" w:hAnsi="宋体"/>
          <w:sz w:val="24"/>
          <w:szCs w:val="24"/>
        </w:rPr>
        <w:t xml:space="preserve">江苏监狱智能管理大平台罪犯矛盾纠纷排查调处模块升级开发，同步开发警务通端APP，用户通过警务通终端即可进入APP进行矛盾调处系统的应用。</w:t>
      </w:r>
      <w:r>
        <w:rPr>
          <w:rFonts w:hint="eastAsia" w:ascii="宋体" w:hAnsi="宋体" w:cs="宋体"/>
          <w:sz w:val="24"/>
          <w:szCs w:val="24"/>
        </w:rPr>
        <w:t xml:space="preserve">（详细内容见本磋商文件第四章）</w:t>
      </w:r>
      <w:r/>
    </w:p>
    <w:p>
      <w:pPr>
        <w:ind w:firstLine="480"/>
        <w:rPr>
          <w:rFonts w:ascii="宋体" w:hAnsi="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合同签订后2个月内，系统部署上线试运行，合同签订后3个月内，系统部署正式上线运行。免费维保期限3年。</w:t>
      </w:r>
      <w:r/>
    </w:p>
    <w:p>
      <w:pPr>
        <w:ind w:firstLine="498"/>
        <w:keepLines/>
        <w:keepNext/>
        <w:spacing w:before="156" w:after="156" w:line="360" w:lineRule="auto"/>
        <w:rPr>
          <w:rFonts w:ascii="Times New Roman" w:hAnsi="Times New Roman"/>
          <w:b/>
          <w:bCs/>
          <w:sz w:val="32"/>
          <w:szCs w:val="32"/>
        </w:rPr>
        <w:outlineLvl w:val="2"/>
      </w:pPr>
      <w:r/>
      <w:bookmarkStart w:id="16" w:name="_Toc28359080"/>
      <w:r/>
      <w:bookmarkStart w:id="17" w:name="_Toc35393622"/>
      <w:r/>
      <w:bookmarkStart w:id="18" w:name="_Toc38985264"/>
      <w:r/>
      <w:bookmarkStart w:id="19" w:name="_Toc28359003"/>
      <w:r/>
      <w:bookmarkStart w:id="20" w:name="_Toc35393791"/>
      <w:r>
        <w:rPr>
          <w:rFonts w:hint="eastAsia" w:ascii="Times New Roman" w:hAnsi="Times New Roman"/>
          <w:b/>
          <w:bCs/>
          <w:sz w:val="32"/>
          <w:szCs w:val="32"/>
        </w:rPr>
        <w:t xml:space="preserve">二、申请人的资格要求：</w:t>
      </w:r>
      <w:bookmarkEnd w:id="16"/>
      <w:r/>
      <w:bookmarkEnd w:id="17"/>
      <w:r/>
      <w:bookmarkEnd w:id="18"/>
      <w:r/>
      <w:bookmarkEnd w:id="19"/>
      <w:r/>
      <w:bookmarkEnd w:id="20"/>
      <w:r/>
      <w:r/>
    </w:p>
    <w:p>
      <w:pPr>
        <w:ind w:firstLine="480"/>
        <w:rPr>
          <w:rFonts w:ascii="宋体" w:hAnsi="宋体"/>
          <w:sz w:val="24"/>
          <w:szCs w:val="24"/>
        </w:rPr>
      </w:pPr>
      <w:r/>
      <w:bookmarkStart w:id="21" w:name="_Toc28359081"/>
      <w:r/>
      <w:bookmarkStart w:id="22" w:name="_Toc35393623"/>
      <w:r/>
      <w:bookmarkStart w:id="23" w:name="_Toc35393792"/>
      <w:r/>
      <w:bookmarkStart w:id="24" w:name="_Toc28359004"/>
      <w:r/>
      <w:bookmarkStart w:id="25"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rPr>
          <w:rFonts w:ascii="宋体" w:hAnsi="宋体" w:cs="宋体"/>
          <w:sz w:val="24"/>
          <w:szCs w:val="24"/>
        </w:rPr>
      </w:pPr>
      <w:r>
        <w:rPr>
          <w:rFonts w:hint="eastAsia" w:ascii="宋体" w:hAnsi="宋体"/>
          <w:sz w:val="24"/>
          <w:szCs w:val="24"/>
        </w:rPr>
        <w:t xml:space="preserve">3. 落实政府采购政策需满足的资格要求：</w:t>
      </w:r>
      <w:r>
        <w:rPr>
          <w:rFonts w:hint="eastAsia" w:ascii="宋体" w:hAnsi="宋体"/>
          <w:color w:val="000000" w:themeColor="text1"/>
          <w:sz w:val="24"/>
          <w:szCs w:val="24"/>
        </w:rPr>
        <w:t xml:space="preserve">无。</w:t>
      </w:r>
      <w:r/>
    </w:p>
    <w:p>
      <w:pPr>
        <w:ind w:firstLine="480"/>
        <w:spacing w:line="360" w:lineRule="auto"/>
        <w:rPr>
          <w:rFonts w:ascii="宋体" w:hAnsi="宋体"/>
          <w:sz w:val="24"/>
          <w:szCs w:val="24"/>
        </w:rPr>
      </w:pPr>
      <w:r>
        <w:rPr>
          <w:rFonts w:hint="eastAsia" w:ascii="宋体" w:hAnsi="宋体"/>
          <w:sz w:val="24"/>
          <w:szCs w:val="24"/>
        </w:rPr>
        <w:t xml:space="preserve">4.本项目不接受联合体参与磋商。</w:t>
      </w:r>
      <w:r/>
    </w:p>
    <w:p>
      <w:pPr>
        <w:ind w:firstLine="480"/>
        <w:rPr>
          <w:rFonts w:ascii="宋体" w:hAnsi="宋体" w:cs="宋体"/>
          <w:sz w:val="24"/>
          <w:szCs w:val="24"/>
        </w:rPr>
      </w:pPr>
      <w:r>
        <w:rPr>
          <w:rFonts w:hint="eastAsia" w:ascii="宋体" w:hAnsi="宋体"/>
          <w:sz w:val="24"/>
          <w:szCs w:val="24"/>
        </w:rPr>
        <w:t xml:space="preserve">（二）本项目的特定资格要求：无。</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p>
    <w:p>
      <w:pPr>
        <w:ind w:firstLine="540"/>
        <w:spacing w:line="360" w:lineRule="auto"/>
        <w:rPr>
          <w:rFonts w:ascii="宋体" w:hAnsi="宋体" w:cs="宋体"/>
          <w:b/>
          <w:sz w:val="24"/>
          <w:szCs w:val="24"/>
        </w:rPr>
      </w:pPr>
      <w:r>
        <w:rPr>
          <w:rFonts w:hint="eastAsia" w:ascii="宋体" w:hAnsi="宋体" w:cs="宋体"/>
          <w:sz w:val="24"/>
          <w:szCs w:val="24"/>
        </w:rPr>
        <w:t xml:space="preserve">1.时间：自磋商文件公告发布之日起5个工作日。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p>
    <w:p>
      <w:pPr>
        <w:ind w:firstLine="498"/>
        <w:keepLines/>
        <w:keepNext/>
        <w:spacing w:before="156" w:after="156" w:line="360" w:lineRule="auto"/>
        <w:rPr>
          <w:rFonts w:ascii="Times New Roman" w:hAnsi="Times New Roman"/>
          <w:b/>
          <w:bCs/>
          <w:sz w:val="32"/>
          <w:szCs w:val="32"/>
        </w:rPr>
        <w:outlineLvl w:val="2"/>
      </w:pPr>
      <w:r/>
      <w:bookmarkStart w:id="26" w:name="_Toc28359082"/>
      <w:r/>
      <w:bookmarkStart w:id="27" w:name="_Toc28359005"/>
      <w:r/>
      <w:bookmarkStart w:id="28" w:name="_Toc35393793"/>
      <w:r/>
      <w:bookmarkStart w:id="29" w:name="_Toc35393624"/>
      <w:r/>
      <w:bookmarkStart w:id="30" w:name="_Toc38985266"/>
      <w:r/>
      <w:bookmarkEnd w:id="21"/>
      <w:r/>
      <w:bookmarkEnd w:id="22"/>
      <w:r/>
      <w:bookmarkEnd w:id="23"/>
      <w:r/>
      <w:bookmarkEnd w:id="24"/>
      <w:r/>
      <w:bookmarkEnd w:id="25"/>
      <w:r>
        <w:rPr>
          <w:rFonts w:hint="eastAsia" w:ascii="Times New Roman" w:hAnsi="Times New Roman"/>
          <w:b/>
          <w:bCs/>
          <w:sz w:val="32"/>
          <w:szCs w:val="32"/>
        </w:rPr>
        <w:t xml:space="preserve">四、提交</w:t>
      </w:r>
      <w:bookmarkEnd w:id="26"/>
      <w:r/>
      <w:bookmarkEnd w:id="27"/>
      <w:r>
        <w:rPr>
          <w:rFonts w:hint="eastAsia" w:ascii="Times New Roman" w:hAnsi="Times New Roman"/>
          <w:b/>
          <w:bCs/>
          <w:sz w:val="32"/>
          <w:szCs w:val="32"/>
        </w:rPr>
        <w:t xml:space="preserve">响应文件截止时间</w:t>
      </w:r>
      <w:bookmarkEnd w:id="28"/>
      <w:r/>
      <w:bookmarkEnd w:id="29"/>
      <w:r/>
      <w:bookmarkEnd w:id="30"/>
      <w:r>
        <w:rPr>
          <w:rFonts w:hint="eastAsia" w:ascii="Times New Roman" w:hAnsi="Times New Roman"/>
          <w:b/>
          <w:bCs/>
          <w:sz w:val="32"/>
          <w:szCs w:val="32"/>
        </w:rPr>
        <w:t xml:space="preserve">、开启时间及地点</w:t>
      </w:r>
      <w:r/>
    </w:p>
    <w:p>
      <w:pPr>
        <w:ind w:firstLine="480"/>
        <w:rPr>
          <w:rFonts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2026年8月</w:t>
      </w:r>
      <w:r>
        <w:rPr>
          <w:rFonts w:hint="eastAsia" w:ascii="宋体" w:hAnsi="宋体"/>
          <w:bCs/>
          <w:sz w:val="24"/>
          <w:szCs w:val="24"/>
          <w:u w:val="single"/>
        </w:rPr>
        <w:t xml:space="preserve">24</w:t>
      </w:r>
      <w:r>
        <w:rPr>
          <w:rFonts w:hint="eastAsia" w:ascii="宋体" w:hAnsi="宋体"/>
          <w:bCs/>
          <w:sz w:val="24"/>
          <w:szCs w:val="24"/>
          <w:u w:val="single"/>
        </w:rPr>
        <w:t xml:space="preserve">日14点30分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56" w:after="156" w:line="360" w:lineRule="auto"/>
        <w:rPr>
          <w:rFonts w:ascii="Times New Roman" w:hAnsi="Times New Roman"/>
          <w:b/>
          <w:bCs/>
          <w:sz w:val="32"/>
          <w:szCs w:val="32"/>
        </w:rPr>
        <w:outlineLvl w:val="2"/>
      </w:pPr>
      <w:r/>
      <w:bookmarkStart w:id="31" w:name="_Toc35393625"/>
      <w:r/>
      <w:bookmarkStart w:id="32" w:name="_Toc28359007"/>
      <w:r/>
      <w:bookmarkStart w:id="33" w:name="_Toc35393794"/>
      <w:r/>
      <w:bookmarkStart w:id="34" w:name="_Toc38985267"/>
      <w:r/>
      <w:bookmarkStart w:id="35" w:name="_Toc28359084"/>
      <w:r>
        <w:rPr>
          <w:rFonts w:hint="eastAsia" w:ascii="Times New Roman" w:hAnsi="Times New Roman"/>
          <w:b/>
          <w:bCs/>
          <w:sz w:val="32"/>
          <w:szCs w:val="32"/>
        </w:rPr>
        <w:t xml:space="preserve">五、公告期限</w:t>
      </w:r>
      <w:bookmarkEnd w:id="31"/>
      <w:r/>
      <w:bookmarkEnd w:id="32"/>
      <w:r/>
      <w:bookmarkEnd w:id="33"/>
      <w:r/>
      <w:bookmarkEnd w:id="34"/>
      <w:r/>
      <w:bookmarkEnd w:id="35"/>
      <w:r/>
      <w:r/>
    </w:p>
    <w:p>
      <w:pPr>
        <w:ind w:firstLine="480"/>
        <w:rPr>
          <w:rFonts w:ascii="宋体" w:hAnsi="宋体"/>
          <w:bCs/>
          <w:color w:val="ff0000"/>
          <w:sz w:val="24"/>
          <w:szCs w:val="24"/>
          <w:u w:val="single"/>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498"/>
        <w:keepLines/>
        <w:keepNext/>
        <w:spacing w:before="156" w:after="156" w:line="360" w:lineRule="auto"/>
        <w:rPr>
          <w:rFonts w:ascii="Times New Roman" w:hAnsi="Times New Roman"/>
          <w:b/>
          <w:bCs/>
          <w:sz w:val="32"/>
          <w:szCs w:val="32"/>
        </w:rPr>
        <w:outlineLvl w:val="2"/>
      </w:pPr>
      <w:r/>
      <w:bookmarkStart w:id="36" w:name="_Toc38985268"/>
      <w:r/>
      <w:bookmarkStart w:id="37" w:name="_Toc35393795"/>
      <w:r/>
      <w:bookmarkStart w:id="38" w:name="_Toc35393626"/>
      <w:r>
        <w:rPr>
          <w:rFonts w:hint="eastAsia" w:ascii="Times New Roman" w:hAnsi="Times New Roman"/>
          <w:b/>
          <w:bCs/>
          <w:sz w:val="32"/>
          <w:szCs w:val="32"/>
        </w:rPr>
        <w:t xml:space="preserve">六、其他补充事宜</w:t>
      </w:r>
      <w:bookmarkEnd w:id="36"/>
      <w:r/>
      <w:bookmarkEnd w:id="37"/>
      <w:r/>
      <w:bookmarkEnd w:id="38"/>
      <w:r/>
      <w:r/>
    </w:p>
    <w:p>
      <w:pPr>
        <w:ind w:firstLine="480"/>
        <w:rPr>
          <w:rFonts w:ascii="宋体" w:hAnsi="宋体" w:cs="宋体"/>
          <w:sz w:val="24"/>
          <w:szCs w:val="24"/>
        </w:rPr>
      </w:pPr>
      <w:r>
        <w:rPr>
          <w:rFonts w:hint="eastAsia" w:ascii="宋体" w:hAnsi="宋体" w:cs="宋体"/>
          <w:sz w:val="24"/>
          <w:szCs w:val="24"/>
        </w:rPr>
        <w:t xml:space="preserve">无。</w:t>
      </w:r>
      <w:r/>
    </w:p>
    <w:p>
      <w:pPr>
        <w:ind w:firstLine="498"/>
        <w:keepLines/>
        <w:keepNext/>
        <w:spacing w:before="156" w:after="156" w:line="360" w:lineRule="auto"/>
        <w:rPr>
          <w:rFonts w:ascii="Times New Roman" w:hAnsi="Times New Roman"/>
          <w:b/>
          <w:bCs/>
          <w:sz w:val="32"/>
          <w:szCs w:val="32"/>
        </w:rPr>
        <w:outlineLvl w:val="2"/>
      </w:pPr>
      <w:r/>
      <w:bookmarkStart w:id="39" w:name="_Toc28359085"/>
      <w:r/>
      <w:bookmarkStart w:id="40" w:name="_Toc35393627"/>
      <w:r/>
      <w:bookmarkStart w:id="41" w:name="_Toc28359008"/>
      <w:r/>
      <w:bookmarkStart w:id="42" w:name="_Toc38985269"/>
      <w:r/>
      <w:bookmarkStart w:id="43" w:name="_Toc35393796"/>
      <w:r>
        <w:rPr>
          <w:rFonts w:hint="eastAsia" w:ascii="Times New Roman" w:hAnsi="Times New Roman"/>
          <w:b/>
          <w:bCs/>
          <w:sz w:val="32"/>
          <w:szCs w:val="32"/>
        </w:rPr>
        <w:t xml:space="preserve">七、本次磋商联系方式</w:t>
      </w:r>
      <w:bookmarkEnd w:id="39"/>
      <w:r/>
      <w:bookmarkEnd w:id="40"/>
      <w:r/>
      <w:bookmarkEnd w:id="41"/>
      <w:r/>
      <w:bookmarkEnd w:id="42"/>
      <w:r/>
      <w:bookmarkEnd w:id="43"/>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江苏省监狱管理局</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南京江东北路188</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薛主任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4" w:name="_Toc28359009"/>
      <w:r/>
      <w:bookmarkStart w:id="45" w:name="_Toc28359086"/>
      <w:r>
        <w:rPr>
          <w:rFonts w:hint="eastAsia" w:ascii="宋体" w:hAnsi="宋体"/>
          <w:sz w:val="24"/>
          <w:szCs w:val="24"/>
          <w:u w:val="single"/>
        </w:rPr>
        <w:t xml:space="preserve">025-86265187</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4"/>
      <w:r/>
      <w:bookmarkEnd w:id="45"/>
      <w:r/>
      <w:r/>
    </w:p>
    <w:p>
      <w:pPr>
        <w:ind w:firstLine="720"/>
        <w:spacing w:line="360" w:lineRule="auto"/>
        <w:rPr>
          <w:rFonts w:ascii="宋体" w:hAnsi="宋体"/>
          <w:sz w:val="24"/>
          <w:szCs w:val="24"/>
          <w:u w:val="single"/>
        </w:rPr>
      </w:pPr>
      <w:r>
        <w:rPr>
          <w:rFonts w:hint="eastAsia" w:ascii="宋体" w:hAnsi="宋体"/>
          <w:sz w:val="24"/>
          <w:szCs w:val="24"/>
        </w:rPr>
        <w:t xml:space="preserve">地　址：</w:t>
      </w:r>
      <w:bookmarkStart w:id="46" w:name="OLE_LINK5"/>
      <w:r/>
      <w:bookmarkStart w:id="47" w:name="OLE_LINK6"/>
      <w:r>
        <w:rPr>
          <w:rFonts w:hint="eastAsia" w:ascii="宋体" w:hAnsi="宋体"/>
          <w:sz w:val="24"/>
          <w:szCs w:val="24"/>
          <w:u w:val="single"/>
        </w:rPr>
        <w:t xml:space="preserve">南京市汉中门大街145号省政务中心二期3楼南区</w:t>
      </w:r>
      <w:bookmarkEnd w:id="46"/>
      <w:r/>
      <w:bookmarkEnd w:id="47"/>
      <w:r/>
      <w:r/>
    </w:p>
    <w:p>
      <w:pPr>
        <w:ind w:firstLine="720"/>
        <w:spacing w:line="360" w:lineRule="auto"/>
        <w:rPr>
          <w:rFonts w:ascii="宋体" w:hAnsi="宋体"/>
          <w:sz w:val="24"/>
          <w:szCs w:val="24"/>
        </w:rPr>
      </w:pPr>
      <w:r>
        <w:rPr>
          <w:rFonts w:hint="eastAsia" w:ascii="宋体" w:hAnsi="宋体"/>
          <w:sz w:val="24"/>
          <w:szCs w:val="24"/>
        </w:rPr>
        <w:t xml:space="preserve">联系人：</w:t>
      </w:r>
      <w:bookmarkStart w:id="48" w:name="OLE_LINK7"/>
      <w:r>
        <w:rPr>
          <w:rFonts w:hint="eastAsia" w:ascii="宋体" w:hAnsi="宋体"/>
          <w:sz w:val="24"/>
          <w:szCs w:val="24"/>
          <w:u w:val="single"/>
        </w:rPr>
        <w:t xml:space="preserve"> 张文怡、王烨</w:t>
      </w:r>
      <w:bookmarkEnd w:id="48"/>
      <w:r/>
      <w:r/>
    </w:p>
    <w:p>
      <w:pPr>
        <w:ind w:firstLine="720"/>
        <w:spacing w:line="360" w:lineRule="auto"/>
        <w:rPr>
          <w:rFonts w:ascii="宋体" w:hAnsi="宋体"/>
          <w:sz w:val="24"/>
          <w:szCs w:val="24"/>
          <w:u w:val="single"/>
        </w:rPr>
      </w:pPr>
      <w:r>
        <w:rPr>
          <w:rFonts w:hint="eastAsia" w:ascii="宋体" w:hAnsi="宋体"/>
          <w:sz w:val="24"/>
          <w:szCs w:val="24"/>
        </w:rPr>
        <w:t xml:space="preserve">联系方式：</w:t>
      </w:r>
      <w:bookmarkStart w:id="49" w:name="OLE_LINK8"/>
      <w:r/>
      <w:bookmarkStart w:id="50" w:name="OLE_LINK9"/>
      <w:r>
        <w:rPr>
          <w:rFonts w:hint="eastAsia" w:ascii="宋体" w:hAnsi="宋体"/>
          <w:sz w:val="24"/>
          <w:szCs w:val="24"/>
          <w:u w:val="single"/>
        </w:rPr>
        <w:t xml:space="preserve">025-83668505、025-83668550</w:t>
      </w:r>
      <w:bookmarkEnd w:id="49"/>
      <w:r/>
      <w:bookmarkEnd w:id="50"/>
      <w:r/>
      <w:r/>
    </w:p>
    <w:p>
      <w:pPr>
        <w:ind w:firstLine="964"/>
        <w:spacing w:line="360" w:lineRule="auto"/>
        <w:rPr>
          <w:rFonts w:ascii="Times New Roman" w:hAnsi="Times New Roman"/>
          <w:b/>
          <w:bCs/>
          <w:sz w:val="32"/>
          <w:szCs w:val="32"/>
        </w:rPr>
      </w:pPr>
      <w:r>
        <w:rPr>
          <w:rFonts w:hint="eastAsia" w:ascii="Times New Roman" w:hAnsi="Times New Roman"/>
          <w:b/>
          <w:bCs/>
          <w:sz w:val="32"/>
          <w:szCs w:val="32"/>
        </w:rPr>
        <w:t xml:space="preserve">八、其他</w:t>
      </w:r>
      <w:r/>
    </w:p>
    <w:p>
      <w:pPr>
        <w:ind w:firstLine="480"/>
        <w:tabs>
          <w:tab w:val="left" w:pos="900" w:leader="none"/>
        </w:tabs>
        <w:rPr>
          <w:rFonts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ascii="Times New Roman" w:hAnsi="Times New Roman"/>
          <w:bCs/>
          <w:szCs w:val="21"/>
        </w:rPr>
        <w:t xml:space="preserve">。</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 有关本次磋商的事项若存在变动或修改，敬请及时关注江苏省政府采购中心在“江苏政府采购网”发布的更正公告。</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3. 本次磋商不收取磋商保证金。</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jc w:val="center"/>
        <w:keepLines/>
        <w:keepNext/>
        <w:spacing w:before="260" w:after="260" w:line="416" w:lineRule="auto"/>
        <w:rPr>
          <w:rFonts w:ascii="黑体" w:hAnsi="Arial" w:eastAsia="黑体" w:cs="Arial"/>
          <w:sz w:val="44"/>
          <w:szCs w:val="44"/>
        </w:rPr>
        <w:outlineLvl w:val="1"/>
      </w:pPr>
      <w:r/>
      <w:bookmarkStart w:id="51" w:name="_Toc120614211"/>
      <w:r>
        <w:rPr>
          <w:rFonts w:hint="eastAsia" w:ascii="黑体" w:hAnsi="Arial" w:eastAsia="黑体" w:cs="Arial"/>
          <w:b/>
          <w:bCs/>
          <w:sz w:val="44"/>
          <w:szCs w:val="44"/>
        </w:rPr>
        <w:t xml:space="preserve">第二章  </w:t>
      </w:r>
      <w:bookmarkEnd w:id="3"/>
      <w:r/>
      <w:bookmarkEnd w:id="4"/>
      <w:r/>
      <w:bookmarkEnd w:id="5"/>
      <w:r/>
      <w:bookmarkEnd w:id="6"/>
      <w:r/>
      <w:bookmarkEnd w:id="7"/>
      <w:r/>
      <w:bookmarkEnd w:id="51"/>
      <w:r>
        <w:rPr>
          <w:rFonts w:hint="eastAsia" w:ascii="黑体" w:hAnsi="Arial" w:eastAsia="黑体" w:cs="Arial"/>
          <w:b/>
          <w:bCs/>
          <w:sz w:val="44"/>
          <w:szCs w:val="44"/>
        </w:rPr>
        <w:t xml:space="preserve">供应商须知</w:t>
      </w:r>
      <w:r/>
    </w:p>
    <w:p>
      <w:pPr>
        <w:ind w:firstLine="640"/>
        <w:jc w:val="left"/>
        <w:keepLines/>
        <w:keepNext/>
        <w:spacing w:before="260" w:after="260" w:line="440" w:lineRule="exact"/>
        <w:rPr>
          <w:rFonts w:ascii="方正黑体_GBK" w:hAnsi="方正黑体_GBK" w:eastAsia="方正黑体_GBK" w:cs="方正黑体_GBK"/>
          <w:sz w:val="32"/>
          <w:szCs w:val="32"/>
        </w:rPr>
        <w:outlineLvl w:val="1"/>
      </w:pPr>
      <w:r/>
      <w:bookmarkStart w:id="52" w:name="_Toc16938525"/>
      <w:r/>
      <w:bookmarkStart w:id="53" w:name="_Toc513029209"/>
      <w:r/>
      <w:bookmarkStart w:id="54" w:name="_Toc20823281"/>
      <w:r/>
      <w:bookmarkStart w:id="55" w:name="_Toc120614215"/>
      <w:r/>
      <w:bookmarkStart w:id="56" w:name="_Toc20823314"/>
      <w:r/>
      <w:bookmarkStart w:id="57" w:name="_Toc120614221"/>
      <w:r/>
      <w:bookmarkStart w:id="58" w:name="_Toc16938558"/>
      <w:r/>
      <w:bookmarkStart w:id="59" w:name="_Toc513029242"/>
      <w:r/>
      <w:bookmarkStart w:id="60" w:name="_Toc479757207"/>
      <w:r>
        <w:rPr>
          <w:rFonts w:hint="eastAsia" w:ascii="方正黑体_GBK" w:hAnsi="方正黑体_GBK" w:eastAsia="方正黑体_GBK" w:cs="方正黑体_GBK"/>
          <w:sz w:val="32"/>
          <w:szCs w:val="32"/>
        </w:rPr>
        <w:t xml:space="preserve">一、总则</w:t>
      </w:r>
      <w:r/>
    </w:p>
    <w:p>
      <w:pPr>
        <w:ind w:firstLine="480"/>
        <w:spacing w:line="440" w:lineRule="exact"/>
        <w:tabs>
          <w:tab w:val="left" w:pos="900" w:leader="none"/>
        </w:tabs>
        <w:rPr>
          <w:rFonts w:ascii="宋体" w:hAnsi="宋体" w:cs="方正仿宋_GBK"/>
          <w:bCs/>
          <w:sz w:val="24"/>
          <w:szCs w:val="24"/>
        </w:rPr>
      </w:pPr>
      <w:r/>
      <w:bookmarkStart w:id="61" w:name="_Hlt16619475"/>
      <w:r/>
      <w:bookmarkStart w:id="62" w:name="_Toc458694821"/>
      <w:r/>
      <w:bookmarkStart w:id="63" w:name="_Toc513029204"/>
      <w:r/>
      <w:bookmarkStart w:id="64" w:name="_Toc16938520"/>
      <w:r/>
      <w:bookmarkStart w:id="65" w:name="_Toc20823276"/>
      <w:r/>
      <w:bookmarkEnd w:id="61"/>
      <w:r>
        <w:rPr>
          <w:rFonts w:hint="eastAsia" w:ascii="宋体" w:hAnsi="宋体" w:cs="方正仿宋_GBK"/>
          <w:bCs/>
          <w:sz w:val="24"/>
          <w:szCs w:val="24"/>
        </w:rPr>
        <w:t xml:space="preserve">1</w:t>
      </w:r>
      <w:bookmarkEnd w:id="62"/>
      <w:r>
        <w:rPr>
          <w:rFonts w:hint="eastAsia" w:ascii="宋体" w:hAnsi="宋体" w:cs="方正仿宋_GBK"/>
          <w:bCs/>
          <w:sz w:val="24"/>
          <w:szCs w:val="24"/>
        </w:rPr>
        <w:t xml:space="preserve">.采购方式</w:t>
      </w:r>
      <w:bookmarkEnd w:id="63"/>
      <w:r/>
      <w:bookmarkEnd w:id="64"/>
      <w:r/>
      <w:bookmarkEnd w:id="65"/>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1.1 本次政府采购活动采取竞争性磋商(以下简称磋商)方式，本磋商文件仅适用于磋商公告中所述项目。</w:t>
      </w:r>
      <w:r/>
    </w:p>
    <w:p>
      <w:pPr>
        <w:ind w:firstLine="480"/>
        <w:spacing w:line="440" w:lineRule="exact"/>
        <w:tabs>
          <w:tab w:val="left" w:pos="900" w:leader="none"/>
        </w:tabs>
        <w:rPr>
          <w:rFonts w:ascii="宋体" w:hAnsi="宋体" w:cs="方正仿宋_GBK"/>
          <w:bCs/>
          <w:sz w:val="24"/>
          <w:szCs w:val="24"/>
        </w:rPr>
      </w:pPr>
      <w:r/>
      <w:bookmarkStart w:id="66" w:name="_Toc20823277"/>
      <w:r/>
      <w:bookmarkStart w:id="67" w:name="_Toc513029205"/>
      <w:r/>
      <w:bookmarkStart w:id="68" w:name="_Toc16938521"/>
      <w:r>
        <w:rPr>
          <w:rFonts w:hint="eastAsia" w:ascii="宋体" w:hAnsi="宋体" w:cs="方正仿宋_GBK"/>
          <w:bCs/>
          <w:sz w:val="24"/>
          <w:szCs w:val="24"/>
        </w:rPr>
        <w:t xml:space="preserve">2.合格的</w:t>
      </w:r>
      <w:bookmarkEnd w:id="66"/>
      <w:r/>
      <w:bookmarkEnd w:id="67"/>
      <w:r/>
      <w:bookmarkEnd w:id="68"/>
      <w:r>
        <w:rPr>
          <w:rFonts w:hint="eastAsia" w:ascii="宋体" w:hAnsi="宋体" w:cs="方正仿宋_GBK"/>
          <w:bCs/>
          <w:sz w:val="24"/>
          <w:szCs w:val="24"/>
        </w:rPr>
        <w:t xml:space="preserve">供应商</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2.1满足磋商公告中供应商资格要求的规定。</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2.2 满足本磋商文件实质性要求的规定。</w:t>
      </w:r>
      <w:r/>
    </w:p>
    <w:p>
      <w:pPr>
        <w:ind w:firstLine="480"/>
        <w:spacing w:line="440" w:lineRule="exact"/>
        <w:tabs>
          <w:tab w:val="left" w:pos="900" w:leader="none"/>
        </w:tabs>
        <w:rPr>
          <w:rFonts w:ascii="宋体" w:hAnsi="宋体" w:cs="方正仿宋_GBK"/>
          <w:bCs/>
          <w:sz w:val="24"/>
          <w:szCs w:val="24"/>
        </w:rPr>
      </w:pPr>
      <w:r/>
      <w:bookmarkStart w:id="69" w:name="_Toc16938522"/>
      <w:r/>
      <w:bookmarkStart w:id="70" w:name="_Toc20823278"/>
      <w:r/>
      <w:bookmarkStart w:id="71" w:name="_Toc513029206"/>
      <w:r/>
      <w:bookmarkStart w:id="72" w:name="_Toc462564067"/>
      <w:r/>
      <w:bookmarkStart w:id="73" w:name="_Toc20823279"/>
      <w:r/>
      <w:bookmarkStart w:id="74" w:name="_Toc16938523"/>
      <w:r/>
      <w:bookmarkStart w:id="75" w:name="_Toc513029207"/>
      <w:r>
        <w:rPr>
          <w:rFonts w:hint="eastAsia" w:ascii="宋体" w:hAnsi="宋体" w:cs="方正仿宋_GBK"/>
          <w:bCs/>
          <w:sz w:val="24"/>
          <w:szCs w:val="24"/>
        </w:rPr>
        <w:t xml:space="preserve">3.适用法律</w:t>
      </w:r>
      <w:bookmarkEnd w:id="69"/>
      <w:r/>
      <w:bookmarkEnd w:id="70"/>
      <w:r/>
      <w:bookmarkEnd w:id="71"/>
      <w:r>
        <w:rPr>
          <w:rFonts w:hint="eastAsia" w:ascii="宋体" w:hAnsi="宋体" w:cs="方正仿宋_GBK"/>
          <w:bCs/>
          <w:sz w:val="24"/>
          <w:szCs w:val="24"/>
        </w:rPr>
        <w:t xml:space="preserve">和标准</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3.1本次磋商及由此产生的合同受中华人民共和国有关的法律法规制约和保护。</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3.2在本项目政府采购活动过程中，如果所执行的标准有更新的，按照最新标准执行。</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4.磋商费用</w:t>
      </w:r>
      <w:bookmarkEnd w:id="72"/>
      <w:r/>
      <w:bookmarkEnd w:id="73"/>
      <w:r/>
      <w:bookmarkEnd w:id="74"/>
      <w:r/>
      <w:bookmarkEnd w:id="75"/>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4.2本次磋商采购中心和采购人不收取标书工本费与成交服务费。</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5.磋商文件的约束力</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5.1供应商一旦参加本项目采购活动，即被认为接受了本磋商文件的规定和约束。</w:t>
      </w:r>
      <w:r/>
    </w:p>
    <w:p>
      <w:pPr>
        <w:ind w:firstLine="640"/>
        <w:jc w:val="left"/>
        <w:keepLines/>
        <w:keepNext/>
        <w:spacing w:before="260" w:after="260" w:line="440" w:lineRule="exact"/>
        <w:rPr>
          <w:rFonts w:ascii="方正黑体_GBK" w:hAnsi="方正黑体_GBK" w:eastAsia="方正黑体_GBK" w:cs="方正黑体_GBK"/>
          <w:sz w:val="32"/>
          <w:szCs w:val="32"/>
        </w:rPr>
        <w:outlineLvl w:val="1"/>
      </w:pPr>
      <w:r/>
      <w:bookmarkStart w:id="76" w:name="_Toc20823285"/>
      <w:r/>
      <w:bookmarkStart w:id="77" w:name="_Toc16938529"/>
      <w:r/>
      <w:bookmarkStart w:id="78" w:name="_Toc462564072"/>
      <w:r/>
      <w:bookmarkStart w:id="79" w:name="_Toc513029213"/>
      <w:r/>
      <w:bookmarkStart w:id="80" w:name="_Toc120614216"/>
      <w:r/>
      <w:bookmarkEnd w:id="52"/>
      <w:r/>
      <w:bookmarkEnd w:id="53"/>
      <w:r/>
      <w:bookmarkEnd w:id="54"/>
      <w:r/>
      <w:bookmarkEnd w:id="55"/>
      <w:r>
        <w:rPr>
          <w:rFonts w:hint="eastAsia" w:ascii="方正黑体_GBK" w:hAnsi="方正黑体_GBK" w:eastAsia="方正黑体_GBK" w:cs="方正黑体_GBK"/>
          <w:sz w:val="32"/>
          <w:szCs w:val="32"/>
        </w:rPr>
        <w:t xml:space="preserve">二、磋商文件</w:t>
      </w:r>
      <w:r/>
    </w:p>
    <w:p>
      <w:pPr>
        <w:ind w:firstLine="480"/>
        <w:spacing w:line="440" w:lineRule="exact"/>
        <w:tabs>
          <w:tab w:val="left" w:pos="900" w:leader="none"/>
        </w:tabs>
        <w:rPr>
          <w:rFonts w:ascii="宋体" w:hAnsi="宋体" w:cs="方正仿宋_GBK"/>
          <w:bCs/>
          <w:sz w:val="24"/>
          <w:szCs w:val="24"/>
        </w:rPr>
      </w:pPr>
      <w:r/>
      <w:bookmarkStart w:id="81" w:name="_Toc20823282"/>
      <w:r/>
      <w:bookmarkStart w:id="82" w:name="_Toc16938526"/>
      <w:r/>
      <w:bookmarkStart w:id="83" w:name="_Toc513029210"/>
      <w:r>
        <w:rPr>
          <w:rFonts w:hint="eastAsia" w:ascii="宋体" w:hAnsi="宋体" w:cs="方正仿宋_GBK"/>
          <w:bCs/>
          <w:sz w:val="24"/>
          <w:szCs w:val="24"/>
        </w:rPr>
        <w:t xml:space="preserve">6.磋商文件构成</w:t>
      </w:r>
      <w:bookmarkEnd w:id="81"/>
      <w:r/>
      <w:bookmarkEnd w:id="82"/>
      <w:r/>
      <w:bookmarkEnd w:id="83"/>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6.1磋商文件由以下部分组成：</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（1）磋商邀请</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（2）供应商须知</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（3）合同文本</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（4）采购需求</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（5）评审方法与评审标准</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（6）响应文件格式</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请仔细检查磋商文件是否齐全，如有缺漏请立即与采购中心联系解决。</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tabs>
          <w:tab w:val="left" w:pos="900" w:leader="none"/>
        </w:tabs>
        <w:rPr>
          <w:rFonts w:ascii="宋体" w:hAnsi="宋体" w:cs="方正仿宋_GBK"/>
          <w:bCs/>
          <w:sz w:val="24"/>
          <w:szCs w:val="24"/>
        </w:rPr>
      </w:pPr>
      <w:r/>
      <w:bookmarkStart w:id="84" w:name="_Toc513029212"/>
      <w:r/>
      <w:bookmarkStart w:id="85" w:name="_Toc20823284"/>
      <w:r/>
      <w:bookmarkStart w:id="86" w:name="_Toc16938528"/>
      <w:r/>
      <w:bookmarkStart w:id="87" w:name="_Toc462564071"/>
      <w:r>
        <w:rPr>
          <w:rFonts w:hint="eastAsia" w:ascii="宋体" w:hAnsi="宋体" w:cs="方正仿宋_GBK"/>
          <w:bCs/>
          <w:sz w:val="24"/>
          <w:szCs w:val="24"/>
        </w:rPr>
        <w:t xml:space="preserve">7.磋商文件的澄清和修改</w:t>
      </w:r>
      <w:bookmarkEnd w:id="84"/>
      <w:r/>
      <w:bookmarkEnd w:id="85"/>
      <w:r/>
      <w:bookmarkEnd w:id="86"/>
      <w:r/>
      <w:bookmarkEnd w:id="87"/>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7.2采购中心可以视采购项目的具体情况，组织供应商进行现场考察或召开磋商前答疑会，但不单独或分别组织只有一个供应商参加的现场考察和答疑会。</w:t>
      </w:r>
      <w:r/>
    </w:p>
    <w:p>
      <w:pPr>
        <w:ind w:firstLine="640"/>
        <w:jc w:val="left"/>
        <w:keepLines/>
        <w:keepNext/>
        <w:spacing w:before="260" w:after="260" w:line="440" w:lineRule="exact"/>
        <w:rPr>
          <w:rFonts w:ascii="方正黑体_GBK" w:hAnsi="方正黑体_GBK" w:eastAsia="方正黑体_GBK" w:cs="方正黑体_GBK"/>
          <w:sz w:val="32"/>
          <w:szCs w:val="32"/>
        </w:rPr>
        <w:outlineLvl w:val="1"/>
      </w:pPr>
      <w:r/>
      <w:bookmarkStart w:id="88" w:name="_Hlt26954852"/>
      <w:r/>
      <w:bookmarkStart w:id="89" w:name="_Hlt26954739"/>
      <w:r/>
      <w:bookmarkStart w:id="90" w:name="_Toc16938530"/>
      <w:r/>
      <w:bookmarkStart w:id="91" w:name="_Toc513029214"/>
      <w:r/>
      <w:bookmarkStart w:id="92" w:name="_Toc462564073"/>
      <w:r/>
      <w:bookmarkStart w:id="93" w:name="_Toc20823286"/>
      <w:r/>
      <w:bookmarkStart w:id="94" w:name="_Toc513029224"/>
      <w:r/>
      <w:bookmarkStart w:id="95" w:name="_Toc20823296"/>
      <w:r/>
      <w:bookmarkStart w:id="96" w:name="_Toc16938540"/>
      <w:r/>
      <w:bookmarkStart w:id="97" w:name="_Toc120614217"/>
      <w:r/>
      <w:bookmarkEnd w:id="76"/>
      <w:r/>
      <w:bookmarkEnd w:id="77"/>
      <w:r/>
      <w:bookmarkEnd w:id="78"/>
      <w:r/>
      <w:bookmarkEnd w:id="79"/>
      <w:r/>
      <w:bookmarkEnd w:id="80"/>
      <w:r/>
      <w:bookmarkEnd w:id="88"/>
      <w:r/>
      <w:bookmarkEnd w:id="89"/>
      <w:r>
        <w:rPr>
          <w:rFonts w:hint="eastAsia" w:ascii="方正黑体_GBK" w:hAnsi="方正黑体_GBK" w:eastAsia="方正黑体_GBK" w:cs="方正黑体_GBK"/>
          <w:sz w:val="32"/>
          <w:szCs w:val="32"/>
        </w:rPr>
        <w:t xml:space="preserve">三、响应文件的编制</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8.响应文件的语言及度量衡单位</w:t>
      </w:r>
      <w:bookmarkEnd w:id="90"/>
      <w:r/>
      <w:bookmarkEnd w:id="91"/>
      <w:r/>
      <w:bookmarkEnd w:id="92"/>
      <w:r/>
      <w:bookmarkEnd w:id="93"/>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8.1供应商提交的响应文件以及供应商与采购中心就有关磋商的所有来往通知、函件和文件均应使用简体中文。</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8.2 除技术性能另有规定外，响应文件所使用的度量衡单位，均须采用国家法定计量单位。</w:t>
      </w:r>
      <w:r/>
    </w:p>
    <w:p>
      <w:pPr>
        <w:ind w:firstLine="480"/>
        <w:spacing w:line="440" w:lineRule="exact"/>
        <w:tabs>
          <w:tab w:val="left" w:pos="900" w:leader="none"/>
        </w:tabs>
        <w:rPr>
          <w:rFonts w:ascii="宋体" w:hAnsi="宋体" w:cs="方正仿宋_GBK"/>
          <w:bCs/>
          <w:sz w:val="24"/>
          <w:szCs w:val="24"/>
        </w:rPr>
      </w:pPr>
      <w:r/>
      <w:bookmarkStart w:id="98" w:name="_Toc20823287"/>
      <w:r/>
      <w:bookmarkStart w:id="99" w:name="_Toc513029215"/>
      <w:r/>
      <w:bookmarkStart w:id="100" w:name="_Toc462564074"/>
      <w:r/>
      <w:bookmarkStart w:id="101" w:name="_Toc16938531"/>
      <w:r>
        <w:rPr>
          <w:rFonts w:hint="eastAsia" w:ascii="宋体" w:hAnsi="宋体" w:cs="方正仿宋_GBK"/>
          <w:bCs/>
          <w:sz w:val="24"/>
          <w:szCs w:val="24"/>
        </w:rPr>
        <w:t xml:space="preserve">9.响应文件构成</w:t>
      </w:r>
      <w:bookmarkEnd w:id="98"/>
      <w:r/>
      <w:bookmarkEnd w:id="99"/>
      <w:r/>
      <w:bookmarkEnd w:id="100"/>
      <w:r/>
      <w:bookmarkEnd w:id="101"/>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9.2 如标书制作工具中格式和内容与“江苏政府采购网”发布的磋商文件不一致，请以“江苏政府采购网”发布的磋商文件为准。</w:t>
      </w:r>
      <w:r/>
    </w:p>
    <w:p>
      <w:pPr>
        <w:ind w:firstLine="480"/>
        <w:spacing w:line="440" w:lineRule="exact"/>
        <w:tabs>
          <w:tab w:val="left" w:pos="900" w:leader="none"/>
        </w:tabs>
        <w:rPr>
          <w:rFonts w:ascii="宋体" w:hAnsi="宋体" w:cs="方正仿宋_GBK"/>
          <w:bCs/>
          <w:sz w:val="24"/>
          <w:szCs w:val="24"/>
        </w:rPr>
      </w:pPr>
      <w:r/>
      <w:bookmarkStart w:id="102" w:name="_Hlt26668975"/>
      <w:r/>
      <w:bookmarkStart w:id="103" w:name="_Hlt26670360"/>
      <w:r/>
      <w:bookmarkStart w:id="104" w:name="_Hlt26954838"/>
      <w:r/>
      <w:bookmarkStart w:id="105" w:name="_Toc14577357"/>
      <w:r/>
      <w:bookmarkStart w:id="106" w:name="_Toc49090509"/>
      <w:r/>
      <w:bookmarkStart w:id="107" w:name="_Toc513029219"/>
      <w:r/>
      <w:bookmarkStart w:id="108" w:name="_Toc49090507"/>
      <w:r/>
      <w:bookmarkStart w:id="109" w:name="_Toc513029216"/>
      <w:r/>
      <w:bookmarkStart w:id="110" w:name="_Toc14577354"/>
      <w:r/>
      <w:bookmarkStart w:id="111" w:name="_Toc14577355"/>
      <w:r/>
      <w:bookmarkStart w:id="112" w:name="_Toc49090508"/>
      <w:r/>
      <w:bookmarkEnd w:id="102"/>
      <w:r/>
      <w:bookmarkEnd w:id="103"/>
      <w:r/>
      <w:bookmarkEnd w:id="104"/>
      <w:r>
        <w:rPr>
          <w:rFonts w:hint="eastAsia" w:ascii="宋体" w:hAnsi="宋体" w:cs="方正仿宋_GBK"/>
          <w:bCs/>
          <w:sz w:val="24"/>
          <w:szCs w:val="24"/>
        </w:rPr>
        <w:t xml:space="preserve">10.证明磋商响应标的符合磋商文件规定的文件</w:t>
      </w:r>
      <w:bookmarkEnd w:id="105"/>
      <w:r/>
      <w:bookmarkEnd w:id="106"/>
      <w:r/>
      <w:bookmarkEnd w:id="107"/>
      <w:r/>
      <w:bookmarkEnd w:id="108"/>
      <w:r/>
      <w:bookmarkEnd w:id="109"/>
      <w:r/>
      <w:bookmarkEnd w:id="110"/>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10.1供应商应按照磋商文件要求提交证明文件，证明其及磋商响应标的符合磋商文件规定。</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10.2磋商文件对证明文件无明确形式要求的，证明文件可以以文字资料、图纸和数据等形式提交。</w:t>
      </w:r>
      <w:bookmarkEnd w:id="111"/>
      <w:r/>
      <w:bookmarkEnd w:id="112"/>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11.分项报价表</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11.1供应商应按照磋商文件规定格式填报分项报价表。</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11.2磋商货币。响应文件中的单价和总价无特殊规定的采用人民币报价，以元为单位标注。磋商文件中另有规定的按规定执行。</w:t>
      </w:r>
      <w:r/>
    </w:p>
    <w:p>
      <w:pPr>
        <w:ind w:firstLine="480"/>
        <w:spacing w:line="440" w:lineRule="exact"/>
        <w:tabs>
          <w:tab w:val="left" w:pos="900" w:leader="none"/>
        </w:tabs>
        <w:rPr>
          <w:rFonts w:ascii="宋体" w:hAnsi="宋体" w:cs="方正仿宋_GBK"/>
          <w:bCs/>
          <w:sz w:val="24"/>
          <w:szCs w:val="24"/>
        </w:rPr>
      </w:pPr>
      <w:r/>
      <w:bookmarkStart w:id="113" w:name="_Hlt26954731"/>
      <w:r/>
      <w:bookmarkStart w:id="114" w:name="_Hlt26670482"/>
      <w:r/>
      <w:bookmarkStart w:id="115" w:name="_Hlt26954848"/>
      <w:r/>
      <w:bookmarkStart w:id="116" w:name="_Hlt26670486"/>
      <w:r/>
      <w:bookmarkStart w:id="117" w:name="_Hlt26954846"/>
      <w:r/>
      <w:bookmarkEnd w:id="113"/>
      <w:r/>
      <w:bookmarkEnd w:id="114"/>
      <w:r/>
      <w:bookmarkEnd w:id="115"/>
      <w:r/>
      <w:bookmarkEnd w:id="116"/>
      <w:r/>
      <w:bookmarkEnd w:id="117"/>
      <w:r>
        <w:rPr>
          <w:rFonts w:hint="eastAsia" w:ascii="宋体" w:hAnsi="宋体" w:cs="方正仿宋_GBK"/>
          <w:bCs/>
          <w:sz w:val="24"/>
          <w:szCs w:val="24"/>
        </w:rPr>
        <w:t xml:space="preserve">12.技术要求响应及偏离表、商务要求响应及偏离表</w:t>
      </w:r>
      <w:r/>
    </w:p>
    <w:p>
      <w:pPr>
        <w:ind w:firstLine="480"/>
        <w:spacing w:line="440" w:lineRule="exact"/>
        <w:tabs>
          <w:tab w:val="left" w:pos="900" w:leader="none"/>
        </w:tabs>
        <w:rPr>
          <w:rFonts w:ascii="宋体" w:hAnsi="宋体" w:cs="方正仿宋_GBK"/>
          <w:bCs/>
          <w:sz w:val="24"/>
          <w:szCs w:val="24"/>
          <w:lang w:val="zh-CN"/>
        </w:rPr>
      </w:pPr>
      <w:r>
        <w:rPr>
          <w:rFonts w:hint="eastAsia" w:ascii="宋体" w:hAnsi="宋体" w:cs="方正仿宋_GBK"/>
          <w:bCs/>
          <w:sz w:val="24"/>
          <w:szCs w:val="24"/>
          <w:lang w:val="zh-CN"/>
        </w:rPr>
        <w:t xml:space="preserve">12.1供应商需对磋商文件中的技术要求与商务要求逐项作出响应或偏离，并说明原因。</w:t>
      </w:r>
      <w:r/>
    </w:p>
    <w:p>
      <w:pPr>
        <w:ind w:firstLine="480"/>
        <w:spacing w:line="440" w:lineRule="exact"/>
        <w:tabs>
          <w:tab w:val="left" w:pos="900" w:leader="none"/>
        </w:tabs>
        <w:rPr>
          <w:rFonts w:ascii="宋体" w:hAnsi="宋体" w:cs="方正仿宋_GBK"/>
          <w:bCs/>
          <w:sz w:val="24"/>
          <w:szCs w:val="24"/>
          <w:lang w:val="zh-CN"/>
        </w:rPr>
      </w:pPr>
      <w:r>
        <w:rPr>
          <w:rFonts w:hint="eastAsia" w:ascii="宋体" w:hAnsi="宋体" w:cs="方正仿宋_GBK"/>
          <w:bCs/>
          <w:sz w:val="24"/>
          <w:szCs w:val="24"/>
          <w:lang w:val="zh-CN"/>
        </w:rPr>
        <w:t xml:space="preserve">12.2供应商需按照磋商文件要求，在响应文件中提供与技术要求和商务要求相关的证明材料。</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13.服务承诺、培训计划、人员安排及其他</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13.1供应商需根据磋商文件要求提供有关售后服务的管理制度，售后服务机构的分布情况，售后服务人员的数量、素质、技术水平及售后服务的反应能力等。</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13.2供应商需根据磋商文件要求提供培训计划。</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13.3供应商需根据磋商文件要求提供</w:t>
      </w:r>
      <w:r>
        <w:rPr>
          <w:rFonts w:hint="eastAsia" w:ascii="宋体" w:hAnsi="宋体" w:cs="方正仿宋_GBK"/>
          <w:bCs/>
          <w:sz w:val="24"/>
          <w:szCs w:val="24"/>
          <w:lang w:val="zh-CN"/>
        </w:rPr>
        <w:t xml:space="preserve">磋商响应标的的主要组成部分、功能设计、实现思路及关键技术等。</w:t>
      </w:r>
      <w:r/>
    </w:p>
    <w:p>
      <w:pPr>
        <w:ind w:firstLine="480"/>
        <w:spacing w:line="440" w:lineRule="exact"/>
        <w:tabs>
          <w:tab w:val="left" w:pos="900" w:leader="none"/>
        </w:tabs>
        <w:rPr>
          <w:rFonts w:ascii="宋体" w:hAnsi="宋体" w:cs="方正仿宋_GBK"/>
          <w:bCs/>
          <w:sz w:val="24"/>
          <w:szCs w:val="24"/>
        </w:rPr>
      </w:pPr>
      <w:r/>
      <w:bookmarkStart w:id="118" w:name="_Toc49090510"/>
      <w:r/>
      <w:bookmarkStart w:id="119" w:name="_Toc14577359"/>
      <w:r>
        <w:rPr>
          <w:rFonts w:hint="eastAsia" w:ascii="宋体" w:hAnsi="宋体" w:cs="方正仿宋_GBK"/>
          <w:bCs/>
          <w:sz w:val="24"/>
          <w:szCs w:val="24"/>
        </w:rPr>
        <w:t xml:space="preserve">14.磋商响应函</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14.1供应商应按照磋商文件中提供的格式完整、正确填写磋商响应函。</w:t>
      </w:r>
      <w:r/>
    </w:p>
    <w:p>
      <w:pPr>
        <w:ind w:firstLine="480"/>
        <w:spacing w:line="440" w:lineRule="exact"/>
        <w:tabs>
          <w:tab w:val="left" w:pos="900" w:leader="none"/>
        </w:tabs>
        <w:rPr>
          <w:rFonts w:ascii="宋体" w:hAnsi="宋体" w:cs="方正仿宋_GBK"/>
          <w:bCs/>
          <w:sz w:val="24"/>
          <w:szCs w:val="24"/>
        </w:rPr>
      </w:pPr>
      <w:r/>
      <w:bookmarkStart w:id="120" w:name="_Toc49090511"/>
      <w:r/>
      <w:bookmarkStart w:id="121" w:name="_Toc14577360"/>
      <w:r/>
      <w:bookmarkEnd w:id="118"/>
      <w:r/>
      <w:bookmarkEnd w:id="119"/>
      <w:r>
        <w:rPr>
          <w:rFonts w:hint="eastAsia" w:ascii="宋体" w:hAnsi="宋体" w:cs="方正仿宋_GBK"/>
          <w:bCs/>
          <w:sz w:val="24"/>
          <w:szCs w:val="24"/>
        </w:rPr>
        <w:t xml:space="preserve">15.磋商有效期</w:t>
      </w:r>
      <w:bookmarkEnd w:id="120"/>
      <w:r/>
      <w:bookmarkEnd w:id="121"/>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15.1磋商有效期为采购中心规定的提交响应文件截止之日后六十（60）天。磋商有效期比规定短的将被视为非实质性响应磋商文件而予以拒绝。</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16.磋商有效期的延长</w:t>
      </w:r>
      <w:r/>
    </w:p>
    <w:p>
      <w:pPr>
        <w:ind w:firstLine="480"/>
        <w:spacing w:line="440" w:lineRule="exact"/>
        <w:tabs>
          <w:tab w:val="left" w:pos="900" w:leader="none"/>
        </w:tabs>
        <w:rPr>
          <w:rFonts w:ascii="方正仿宋_GBK" w:hAnsi="方正仿宋_GBK" w:eastAsia="方正仿宋_GBK" w:cs="方正仿宋_GBK"/>
          <w:bCs/>
          <w:sz w:val="32"/>
          <w:szCs w:val="32"/>
        </w:rPr>
      </w:pPr>
      <w:r>
        <w:rPr>
          <w:rFonts w:hint="eastAsia" w:ascii="宋体" w:hAnsi="宋体"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640"/>
        <w:jc w:val="left"/>
        <w:keepLines/>
        <w:keepNext/>
        <w:spacing w:before="260" w:after="260" w:line="440" w:lineRule="exact"/>
        <w:rPr>
          <w:rFonts w:ascii="方正黑体_GBK" w:hAnsi="方正黑体_GBK" w:eastAsia="方正黑体_GBK" w:cs="方正黑体_GBK"/>
          <w:sz w:val="32"/>
          <w:szCs w:val="32"/>
        </w:rPr>
        <w:outlineLvl w:val="1"/>
      </w:pPr>
      <w:r/>
      <w:bookmarkStart w:id="122" w:name="_Toc513029229"/>
      <w:r/>
      <w:bookmarkStart w:id="123" w:name="_Toc120614218"/>
      <w:r/>
      <w:bookmarkStart w:id="124" w:name="_Toc16938545"/>
      <w:r/>
      <w:bookmarkStart w:id="125" w:name="_Toc20823301"/>
      <w:r/>
      <w:bookmarkEnd w:id="94"/>
      <w:r/>
      <w:bookmarkEnd w:id="95"/>
      <w:r/>
      <w:bookmarkEnd w:id="96"/>
      <w:r/>
      <w:bookmarkEnd w:id="97"/>
      <w:r>
        <w:rPr>
          <w:rFonts w:hint="eastAsia" w:ascii="方正黑体_GBK" w:hAnsi="方正黑体_GBK" w:eastAsia="方正黑体_GBK" w:cs="方正黑体_GBK"/>
          <w:sz w:val="32"/>
          <w:szCs w:val="32"/>
        </w:rPr>
        <w:t xml:space="preserve">四、响应文件的递交</w:t>
      </w:r>
      <w:r/>
    </w:p>
    <w:p>
      <w:pPr>
        <w:ind w:firstLine="480"/>
        <w:spacing w:line="440" w:lineRule="exact"/>
        <w:tabs>
          <w:tab w:val="left" w:pos="900" w:leader="none"/>
        </w:tabs>
        <w:rPr>
          <w:rFonts w:ascii="宋体" w:hAnsi="宋体" w:cs="方正仿宋_GBK"/>
          <w:bCs/>
          <w:sz w:val="24"/>
          <w:szCs w:val="24"/>
        </w:rPr>
      </w:pPr>
      <w:r/>
      <w:bookmarkStart w:id="126" w:name="_Toc462564084"/>
      <w:r/>
      <w:bookmarkStart w:id="127" w:name="_Toc20823297"/>
      <w:r/>
      <w:bookmarkStart w:id="128" w:name="_Toc513029225"/>
      <w:r/>
      <w:bookmarkStart w:id="129" w:name="_Toc16938541"/>
      <w:r>
        <w:rPr>
          <w:rFonts w:hint="eastAsia" w:ascii="宋体" w:hAnsi="宋体" w:cs="方正仿宋_GBK"/>
          <w:bCs/>
          <w:sz w:val="24"/>
          <w:szCs w:val="24"/>
        </w:rPr>
        <w:t xml:space="preserve">17.电子磋商</w:t>
      </w:r>
      <w:bookmarkEnd w:id="126"/>
      <w:r/>
      <w:bookmarkEnd w:id="127"/>
      <w:r/>
      <w:bookmarkEnd w:id="128"/>
      <w:r/>
      <w:bookmarkEnd w:id="129"/>
      <w:r>
        <w:rPr>
          <w:rFonts w:hint="eastAsia" w:ascii="宋体" w:hAnsi="宋体" w:cs="方正仿宋_GBK"/>
          <w:bCs/>
          <w:sz w:val="24"/>
          <w:szCs w:val="24"/>
        </w:rPr>
        <w:t xml:space="preserve">响应文件的递交</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17.1供应商应当按照《操作手册》规定，在提交响应文件截止时间前制作并上传电子响应文件。</w:t>
      </w:r>
      <w:bookmarkStart w:id="130" w:name="_Toc513029226"/>
      <w:r/>
      <w:bookmarkStart w:id="131" w:name="_Toc20823298"/>
      <w:r/>
      <w:bookmarkStart w:id="132" w:name="_Toc16938542"/>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18.提交响应文件截止时间</w:t>
      </w:r>
      <w:bookmarkEnd w:id="130"/>
      <w:r/>
      <w:bookmarkEnd w:id="131"/>
      <w:r/>
      <w:bookmarkEnd w:id="132"/>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18.1供应商上传电子响应文件的时间不得迟于磋商公告中规定的提交响应文件截止时间。</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tabs>
          <w:tab w:val="left" w:pos="900" w:leader="none"/>
        </w:tabs>
        <w:rPr>
          <w:rFonts w:ascii="宋体" w:hAnsi="宋体" w:cs="方正仿宋_GBK"/>
          <w:bCs/>
          <w:sz w:val="24"/>
          <w:szCs w:val="24"/>
        </w:rPr>
      </w:pPr>
      <w:r/>
      <w:bookmarkStart w:id="133" w:name="_Toc16938543"/>
      <w:r/>
      <w:bookmarkStart w:id="134" w:name="_Toc513029227"/>
      <w:r/>
      <w:bookmarkStart w:id="135" w:name="_Toc20823299"/>
      <w:r>
        <w:rPr>
          <w:rFonts w:hint="eastAsia" w:ascii="宋体" w:hAnsi="宋体" w:cs="方正仿宋_GBK"/>
          <w:bCs/>
          <w:sz w:val="24"/>
          <w:szCs w:val="24"/>
        </w:rPr>
        <w:t xml:space="preserve">19.响应文件</w:t>
      </w:r>
      <w:bookmarkEnd w:id="133"/>
      <w:r/>
      <w:bookmarkEnd w:id="134"/>
      <w:r/>
      <w:bookmarkEnd w:id="135"/>
      <w:r>
        <w:rPr>
          <w:rFonts w:hint="eastAsia" w:ascii="宋体" w:hAnsi="宋体" w:cs="方正仿宋_GBK"/>
          <w:bCs/>
          <w:sz w:val="24"/>
          <w:szCs w:val="24"/>
        </w:rPr>
        <w:t xml:space="preserve">的拒收</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19.1 采购中心拒绝接收在其规定的提交响应文件截止时间后上传的任何电子响应文件。</w:t>
      </w:r>
      <w:r/>
    </w:p>
    <w:p>
      <w:pPr>
        <w:ind w:firstLine="480"/>
        <w:spacing w:line="440" w:lineRule="exact"/>
        <w:tabs>
          <w:tab w:val="left" w:pos="900" w:leader="none"/>
        </w:tabs>
        <w:rPr>
          <w:rFonts w:ascii="宋体" w:hAnsi="宋体" w:cs="方正仿宋_GBK"/>
          <w:bCs/>
          <w:sz w:val="24"/>
          <w:szCs w:val="24"/>
        </w:rPr>
      </w:pPr>
      <w:r/>
      <w:bookmarkStart w:id="136" w:name="_Toc513029228"/>
      <w:r/>
      <w:bookmarkStart w:id="137" w:name="_Toc20823300"/>
      <w:r/>
      <w:bookmarkStart w:id="138" w:name="_Toc16938544"/>
      <w:r>
        <w:rPr>
          <w:rFonts w:hint="eastAsia" w:ascii="宋体" w:hAnsi="宋体" w:cs="方正仿宋_GBK"/>
          <w:bCs/>
          <w:sz w:val="24"/>
          <w:szCs w:val="24"/>
        </w:rPr>
        <w:t xml:space="preserve">20.响应文件的撤回和修改</w:t>
      </w:r>
      <w:bookmarkEnd w:id="136"/>
      <w:r/>
      <w:bookmarkEnd w:id="137"/>
      <w:r/>
      <w:bookmarkEnd w:id="138"/>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20.1响应文件的撤回</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20.1.1 电子响应文件的撤回</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供应商可在提交响应文件截止时间前，撤回其电子响应文件，具体操作方法见《操作手册》。</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20.1.2供应商撤回电子响应文件，则认为其不再参与本项目磋商活动。</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20.2响应文件的修改</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供应商可在提交响应文件截止时间前，对其电子响应文件进行修改，具体操作方法见《操作手册》。</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20.3 在提交响应文件截止时间之后，供应商不得对其电子响应文件作任何修改。</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20.4 在提交响应文件截止时间至磋商文件中规定的磋商有效期满之间的这段时间内，供应商不得撤回其响应文件。</w:t>
      </w:r>
      <w:r/>
    </w:p>
    <w:p>
      <w:pPr>
        <w:ind w:firstLine="640"/>
        <w:jc w:val="left"/>
        <w:keepLines/>
        <w:keepNext/>
        <w:spacing w:before="260" w:after="260" w:line="440" w:lineRule="exact"/>
        <w:rPr>
          <w:rFonts w:ascii="方正黑体_GBK" w:hAnsi="方正黑体_GBK" w:eastAsia="方正黑体_GBK" w:cs="方正黑体_GBK"/>
          <w:sz w:val="32"/>
          <w:szCs w:val="32"/>
        </w:rPr>
        <w:outlineLvl w:val="1"/>
      </w:pPr>
      <w:r>
        <w:rPr>
          <w:rFonts w:hint="eastAsia" w:ascii="方正黑体_GBK" w:hAnsi="方正黑体_GBK" w:eastAsia="方正黑体_GBK" w:cs="方正黑体_GBK"/>
          <w:sz w:val="32"/>
          <w:szCs w:val="32"/>
        </w:rPr>
        <w:t xml:space="preserve">五、响应文件的解密与评审</w:t>
      </w:r>
      <w:bookmarkEnd w:id="122"/>
      <w:r/>
      <w:bookmarkEnd w:id="123"/>
      <w:r/>
      <w:bookmarkEnd w:id="124"/>
      <w:r/>
      <w:bookmarkEnd w:id="125"/>
      <w:r/>
      <w:r/>
    </w:p>
    <w:p>
      <w:pPr>
        <w:ind w:firstLine="480"/>
        <w:spacing w:line="440" w:lineRule="exact"/>
        <w:tabs>
          <w:tab w:val="left" w:pos="900" w:leader="none"/>
        </w:tabs>
        <w:rPr>
          <w:rFonts w:ascii="宋体" w:hAnsi="宋体" w:cs="方正仿宋_GBK"/>
          <w:bCs/>
          <w:sz w:val="24"/>
          <w:szCs w:val="24"/>
        </w:rPr>
      </w:pPr>
      <w:r/>
      <w:bookmarkStart w:id="139" w:name="_Toc20823302"/>
      <w:r/>
      <w:bookmarkStart w:id="140" w:name="_Toc16938546"/>
      <w:r/>
      <w:bookmarkStart w:id="141" w:name="_Toc513029230"/>
      <w:r/>
      <w:bookmarkStart w:id="142" w:name="_Toc16938548"/>
      <w:r/>
      <w:bookmarkStart w:id="143" w:name="_Toc513029232"/>
      <w:r/>
      <w:bookmarkStart w:id="144" w:name="_Toc20823304"/>
      <w:r>
        <w:rPr>
          <w:rFonts w:hint="eastAsia" w:ascii="宋体" w:hAnsi="宋体" w:cs="方正仿宋_GBK"/>
          <w:bCs/>
          <w:sz w:val="24"/>
          <w:szCs w:val="24"/>
        </w:rPr>
        <w:t xml:space="preserve">21</w:t>
      </w:r>
      <w:bookmarkEnd w:id="139"/>
      <w:r/>
      <w:bookmarkEnd w:id="140"/>
      <w:r/>
      <w:bookmarkEnd w:id="141"/>
      <w:r>
        <w:rPr>
          <w:rFonts w:hint="eastAsia" w:ascii="宋体" w:hAnsi="宋体" w:cs="方正仿宋_GBK"/>
          <w:bCs/>
          <w:sz w:val="24"/>
          <w:szCs w:val="24"/>
        </w:rPr>
        <w:t xml:space="preserve">.响应文件解密</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21.1供应商应当按照《操作手册》规定，在苏采云系统规定的时间内对磋商响应文件进行解密。</w:t>
      </w:r>
      <w:r/>
    </w:p>
    <w:p>
      <w:pPr>
        <w:ind w:firstLine="480"/>
        <w:spacing w:line="440" w:lineRule="exact"/>
        <w:tabs>
          <w:tab w:val="left" w:pos="900" w:leader="none"/>
        </w:tabs>
        <w:rPr>
          <w:rFonts w:ascii="宋体" w:hAnsi="宋体" w:cs="方正仿宋_GBK"/>
          <w:bCs/>
          <w:sz w:val="24"/>
          <w:szCs w:val="24"/>
        </w:rPr>
      </w:pPr>
      <w:r/>
      <w:bookmarkStart w:id="145" w:name="_Toc16938547"/>
      <w:r/>
      <w:bookmarkStart w:id="146" w:name="_Toc20823303"/>
      <w:r/>
      <w:bookmarkStart w:id="147" w:name="_Toc513029231"/>
      <w:r>
        <w:rPr>
          <w:rFonts w:hint="eastAsia" w:ascii="宋体" w:hAnsi="宋体" w:cs="方正仿宋_GBK"/>
          <w:bCs/>
          <w:sz w:val="24"/>
          <w:szCs w:val="24"/>
        </w:rPr>
        <w:t xml:space="preserve">22.磋商小组</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22.1采购中心将组织磋商小组对响应文件进行评审。磋商小组由采购人代表和有关技术、经济等方面的专家组成，且人员构成符合政府采购有关规定。</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22.2磋商小组独立工作，负责评审所有响应文件并确定成交侯选人。</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23.评审过程的保密与公正</w:t>
      </w:r>
      <w:bookmarkEnd w:id="145"/>
      <w:r/>
      <w:bookmarkEnd w:id="146"/>
      <w:r/>
      <w:bookmarkEnd w:id="147"/>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23.1磋商小组、采购人和采购中心工作人员、相关监督人员等与评审工作有关的人员，对评审情况以及在评审过程中获悉的国家秘密、商业秘密负有保密责任。</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23.2在评审过程中，供应商不得以任何行为影响磋商评审过程，否则其响应文件将被作为无效响应文件。</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23.3在项目评审期间，采购中心将设专门人员与供应商联系。</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23.4 采购中心和磋商小组不向未成交的供应商解释未成交原因，也不公布评审过程中的相关细节。</w:t>
      </w:r>
      <w:r/>
    </w:p>
    <w:p>
      <w:pPr>
        <w:ind w:firstLine="480"/>
        <w:spacing w:line="440" w:lineRule="exact"/>
        <w:tabs>
          <w:tab w:val="left" w:pos="900" w:leader="none"/>
        </w:tabs>
        <w:rPr>
          <w:rFonts w:ascii="宋体" w:hAnsi="宋体" w:cs="方正仿宋_GBK"/>
          <w:bCs/>
          <w:sz w:val="24"/>
          <w:szCs w:val="24"/>
        </w:rPr>
      </w:pPr>
      <w:r/>
      <w:bookmarkStart w:id="148" w:name="_Toc20823305"/>
      <w:r/>
      <w:bookmarkStart w:id="149" w:name="_Toc513029233"/>
      <w:r/>
      <w:bookmarkStart w:id="150" w:name="_Toc16938549"/>
      <w:r/>
      <w:bookmarkEnd w:id="142"/>
      <w:r/>
      <w:bookmarkEnd w:id="143"/>
      <w:r/>
      <w:bookmarkEnd w:id="144"/>
      <w:r>
        <w:rPr>
          <w:rFonts w:hint="eastAsia" w:ascii="宋体" w:hAnsi="宋体" w:cs="方正仿宋_GBK"/>
          <w:bCs/>
          <w:sz w:val="24"/>
          <w:szCs w:val="24"/>
        </w:rPr>
        <w:t xml:space="preserve">24.评审过程中的的澄清</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磋商小组并非对每个供应商都作澄清要求。</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24.3 接到磋商小组澄清、说明和更正要求的供应商如未按规定做出澄清、说明和 更正，其风险由供应商自行承担。</w:t>
      </w:r>
      <w:r/>
    </w:p>
    <w:p>
      <w:pPr>
        <w:ind w:firstLine="480"/>
        <w:keepLines/>
        <w:keepNext/>
        <w:spacing w:line="440" w:lineRule="exact"/>
        <w:rPr>
          <w:rFonts w:ascii="宋体" w:hAnsi="宋体" w:cs="方正仿宋_GBK"/>
          <w:sz w:val="24"/>
          <w:szCs w:val="24"/>
        </w:rPr>
        <w:outlineLvl w:val="3"/>
      </w:pPr>
      <w:r>
        <w:rPr>
          <w:rFonts w:hint="eastAsia" w:ascii="宋体" w:hAnsi="宋体" w:cs="方正仿宋_GBK"/>
          <w:sz w:val="24"/>
          <w:szCs w:val="24"/>
        </w:rPr>
        <w:t xml:space="preserve">25.对响应文件的审</w:t>
      </w:r>
      <w:bookmarkEnd w:id="148"/>
      <w:r/>
      <w:bookmarkEnd w:id="149"/>
      <w:r/>
      <w:bookmarkEnd w:id="150"/>
      <w:r>
        <w:rPr>
          <w:rFonts w:hint="eastAsia" w:ascii="宋体" w:hAnsi="宋体" w:cs="方正仿宋_GBK"/>
          <w:sz w:val="24"/>
          <w:szCs w:val="24"/>
        </w:rPr>
        <w:t xml:space="preserve">查</w:t>
      </w:r>
      <w:r/>
    </w:p>
    <w:p>
      <w:pPr>
        <w:ind w:firstLine="480"/>
        <w:spacing w:line="440" w:lineRule="exact"/>
        <w:rPr>
          <w:rFonts w:ascii="宋体" w:hAnsi="宋体" w:cs="方正仿宋_GBK"/>
          <w:bCs/>
          <w:sz w:val="24"/>
          <w:szCs w:val="24"/>
        </w:rPr>
      </w:pPr>
      <w:r>
        <w:rPr>
          <w:rFonts w:hint="eastAsia" w:ascii="宋体" w:hAnsi="宋体" w:cs="方正仿宋_GBK"/>
          <w:sz w:val="24"/>
          <w:szCs w:val="24"/>
        </w:rPr>
        <w:t xml:space="preserve">25.1</w:t>
      </w:r>
      <w:r>
        <w:rPr>
          <w:rFonts w:hint="eastAsia" w:ascii="宋体" w:hAnsi="宋体" w:cs="方正仿宋_GBK"/>
          <w:bCs/>
          <w:sz w:val="24"/>
          <w:szCs w:val="24"/>
        </w:rPr>
        <w:t xml:space="preserve">响应文件审查分为资格审查和符合性审查。</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磋商小组在进行资格审查的同时，将在“信用中国”网站（</w:t>
      </w:r>
      <w:r>
        <w:rPr>
          <w:rFonts w:hint="eastAsia" w:ascii="宋体" w:hAnsi="宋体"/>
          <w:bCs/>
          <w:sz w:val="24"/>
          <w:szCs w:val="24"/>
        </w:rPr>
        <w:t xml:space="preserve">www.creditchina.gov.cn</w:t>
      </w:r>
      <w:r>
        <w:rPr>
          <w:rFonts w:hint="eastAsia" w:ascii="宋体" w:hAnsi="宋体" w:cs="方正仿宋_GBK"/>
          <w:bCs/>
          <w:sz w:val="24"/>
          <w:szCs w:val="24"/>
        </w:rPr>
        <w:t xml:space="preserve">）查询供应商的信用记录，以确定供应商是否具备磋商资格,查询结果留存并归档。</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25.1.3 未通过资格审查或符合性审查的供应商，磋商小组将在</w:t>
      </w:r>
      <w:r>
        <w:rPr>
          <w:rFonts w:hint="eastAsia" w:ascii="宋体" w:hAnsi="宋体" w:cs="方正仿宋_GBK"/>
          <w:sz w:val="24"/>
          <w:szCs w:val="24"/>
        </w:rPr>
        <w:t xml:space="preserve">苏采云系统</w:t>
      </w:r>
      <w:r>
        <w:rPr>
          <w:rFonts w:hint="eastAsia" w:ascii="宋体" w:hAnsi="宋体" w:cs="方正仿宋_GBK"/>
          <w:bCs/>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25.3未实质性响应磋商文件的情形</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25.3.1供应商在</w:t>
      </w:r>
      <w:r>
        <w:rPr>
          <w:rFonts w:hint="eastAsia" w:ascii="宋体" w:hAnsi="宋体" w:cs="方正仿宋_GBK"/>
          <w:sz w:val="24"/>
          <w:szCs w:val="24"/>
        </w:rPr>
        <w:t xml:space="preserve">苏采云系统</w:t>
      </w:r>
      <w:r>
        <w:rPr>
          <w:rFonts w:hint="eastAsia" w:ascii="宋体" w:hAnsi="宋体" w:cs="方正仿宋_GBK"/>
          <w:bCs/>
          <w:sz w:val="24"/>
          <w:szCs w:val="24"/>
        </w:rPr>
        <w:t xml:space="preserve">规定的时间内未成功解密电子响应文件的。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25.3.2供应商未按照磋商文件要求上传电子响应文件的。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25.3.3供应商同一采购包提交两个（含两个）以上不同的响应文件或者最后报价的。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25.3.4供应商不具备磋商文件中规定资格要求的。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25.3.5供应商的最后报价超过了采购预算。</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25.3.6不符合磋商文件中规定的实质性要求的</w:t>
      </w:r>
      <w:r>
        <w:rPr>
          <w:rFonts w:hint="eastAsia" w:ascii="宋体" w:hAnsi="宋体" w:cs="方正仿宋_GBK"/>
          <w:b/>
          <w:bCs/>
          <w:sz w:val="24"/>
          <w:szCs w:val="24"/>
        </w:rPr>
        <w:t xml:space="preserve">（本磋商文件中</w:t>
      </w:r>
      <w:r>
        <w:rPr>
          <w:rFonts w:hint="eastAsia" w:ascii="宋体" w:hAnsi="宋体" w:cs="方正仿宋_GBK"/>
          <w:b/>
          <w:bCs/>
          <w:i/>
          <w:sz w:val="24"/>
          <w:szCs w:val="24"/>
          <w:u w:val="single"/>
        </w:rPr>
        <w:t xml:space="preserve">斜体且有下划线部分</w:t>
      </w:r>
      <w:r>
        <w:rPr>
          <w:rFonts w:hint="eastAsia" w:ascii="宋体" w:hAnsi="宋体" w:cs="方正仿宋_GBK"/>
          <w:b/>
          <w:bCs/>
          <w:sz w:val="24"/>
          <w:szCs w:val="24"/>
        </w:rPr>
        <w:t xml:space="preserve">或加*号条款为实质性要求）。</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25.3.7供应商被 “信用中国”网站（</w:t>
      </w:r>
      <w:r>
        <w:rPr>
          <w:rFonts w:hint="eastAsia" w:ascii="宋体" w:hAnsi="宋体"/>
          <w:bCs/>
          <w:sz w:val="24"/>
          <w:szCs w:val="24"/>
        </w:rPr>
        <w:t xml:space="preserve">www.creditchina.gov.cn</w:t>
      </w:r>
      <w:r>
        <w:rPr>
          <w:rFonts w:hint="eastAsia" w:ascii="宋体" w:hAnsi="宋体"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25.3.8 响应文件含有采购人不能接受的附加条件的。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25.3.9响应文件未按照磋商文件要求加盖CA电子公章的。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25.3.10 供应商所提供的服务不符合磋商文件中所列国家强制性标准的。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25.4未实质性响应磋商文件的响应文件按无效响应处理。</w:t>
      </w:r>
      <w:r/>
    </w:p>
    <w:p>
      <w:pPr>
        <w:ind w:firstLine="480"/>
        <w:spacing w:line="440" w:lineRule="exact"/>
        <w:rPr>
          <w:rFonts w:ascii="宋体" w:hAnsi="宋体" w:cs="方正仿宋_GBK"/>
          <w:bCs/>
          <w:sz w:val="24"/>
          <w:szCs w:val="24"/>
        </w:rPr>
      </w:pPr>
      <w:r>
        <w:rPr>
          <w:rFonts w:hint="eastAsia" w:ascii="宋体" w:hAnsi="宋体" w:cs="方正仿宋_GBK"/>
          <w:sz w:val="24"/>
          <w:szCs w:val="24"/>
        </w:rPr>
        <w:t xml:space="preserve">25.5</w:t>
      </w:r>
      <w:r>
        <w:rPr>
          <w:rFonts w:hint="eastAsia" w:ascii="宋体" w:hAnsi="宋体" w:cs="方正仿宋_GBK"/>
          <w:bCs/>
          <w:sz w:val="24"/>
          <w:szCs w:val="24"/>
        </w:rPr>
        <w:t xml:space="preserve">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ascii="宋体" w:hAnsi="宋体" w:cs="方正仿宋_GBK"/>
          <w:sz w:val="24"/>
          <w:szCs w:val="24"/>
        </w:rPr>
      </w:pPr>
      <w:r/>
      <w:bookmarkStart w:id="151" w:name="_Toc20823306"/>
      <w:r/>
      <w:bookmarkStart w:id="152" w:name="_Toc16938550"/>
      <w:r/>
      <w:bookmarkStart w:id="153" w:name="_Toc513029234"/>
      <w:r>
        <w:rPr>
          <w:rFonts w:hint="eastAsia" w:ascii="宋体" w:hAnsi="宋体" w:cs="方正仿宋_GBK"/>
          <w:sz w:val="24"/>
          <w:szCs w:val="24"/>
        </w:rPr>
        <w:t xml:space="preserve">25.6供应商在项目评审全过程中应保持通讯畅通，并安排专人与采购中心及磋商小组联系。</w:t>
      </w:r>
      <w:r/>
    </w:p>
    <w:p>
      <w:pPr>
        <w:ind w:firstLine="480"/>
        <w:keepLines/>
        <w:keepNext/>
        <w:spacing w:line="440" w:lineRule="exact"/>
        <w:rPr>
          <w:rFonts w:ascii="宋体" w:hAnsi="宋体" w:cs="方正仿宋_GBK"/>
          <w:sz w:val="24"/>
          <w:szCs w:val="24"/>
        </w:rPr>
        <w:outlineLvl w:val="3"/>
      </w:pPr>
      <w:r>
        <w:rPr>
          <w:rFonts w:hint="eastAsia" w:ascii="宋体" w:hAnsi="宋体" w:cs="方正仿宋_GBK"/>
          <w:sz w:val="24"/>
          <w:szCs w:val="24"/>
        </w:rPr>
        <w:t xml:space="preserve">26</w:t>
      </w:r>
      <w:bookmarkEnd w:id="151"/>
      <w:r/>
      <w:bookmarkEnd w:id="152"/>
      <w:r/>
      <w:bookmarkEnd w:id="153"/>
      <w:r>
        <w:rPr>
          <w:rFonts w:hint="eastAsia" w:ascii="宋体" w:hAnsi="宋体" w:cs="方正仿宋_GBK"/>
          <w:sz w:val="24"/>
          <w:szCs w:val="24"/>
        </w:rPr>
        <w:t xml:space="preserve">.磋商程序及评审方法与评审标准</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26.1磋商程序</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26.1.4 异常低价响应审查</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26.1.4.1 评审过程中出现下列情形之一的，磋商小组应当启动异常低价响应审查程序：</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（1）响应报价低于全部通过符合性审查供应商响应报价平均值50%的，即响应报价&lt;全部通过符合性审查供应商响应报价平均值×50%；</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（2）响应报价低于通过符合性审查的次低报价供应商响应报价50%的，即响应报价&lt;通过符合性审查的次低报价供应商响应报价×50%；</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（3）响应报价低于采购项目最高限价45%的，即响应报价&lt;采购项目最高限价×45%；</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（4）磋商小组基于专业判断，认为供应商报价过低，有可能影响产品质量或者不能诚信履约的其他情形。</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26.2 评审方法与评审标准</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26.2.2评审标准</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见本磋商文件第五章规定。</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26.3采购活动终止的情况</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出现下列情形之一的，本次竞争性磋商采购活动将被终止：</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26.3.1因情况变化，不再符合规定的竞争性磋商采购方式适用情形的。</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26.3.2出现影响采购公正的违法、违规行为的。</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26.3.3除本磋商文件第二章第26.1.2条第三款规定的情形外，在采购过程中符合要求的供应商或者最后报价未超过采购预算的供应商不足3家的。</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sz w:val="24"/>
          <w:szCs w:val="24"/>
        </w:rPr>
        <w:t xml:space="preserve">26.3.4在苏采云系统规定时间内成功解密电子响应文件的供应商不足3家的。</w:t>
      </w:r>
      <w:r/>
    </w:p>
    <w:p>
      <w:pPr>
        <w:ind w:firstLine="640"/>
        <w:jc w:val="left"/>
        <w:keepLines/>
        <w:keepNext/>
        <w:spacing w:before="260" w:after="260" w:line="440" w:lineRule="exact"/>
        <w:rPr>
          <w:rFonts w:ascii="方正黑体_GBK" w:hAnsi="方正黑体_GBK" w:eastAsia="方正黑体_GBK" w:cs="方正黑体_GBK"/>
          <w:sz w:val="32"/>
          <w:szCs w:val="32"/>
        </w:rPr>
        <w:outlineLvl w:val="1"/>
      </w:pPr>
      <w:r/>
      <w:bookmarkStart w:id="154" w:name="_Toc120614219"/>
      <w:r/>
      <w:bookmarkStart w:id="155" w:name="_Toc513029235"/>
      <w:r/>
      <w:bookmarkStart w:id="156" w:name="_Toc16938551"/>
      <w:r/>
      <w:bookmarkStart w:id="157" w:name="_Toc20823307"/>
      <w:r>
        <w:rPr>
          <w:rFonts w:hint="eastAsia" w:ascii="方正黑体_GBK" w:hAnsi="方正黑体_GBK" w:eastAsia="方正黑体_GBK" w:cs="方正黑体_GBK"/>
          <w:sz w:val="32"/>
          <w:szCs w:val="32"/>
        </w:rPr>
        <w:t xml:space="preserve">六、</w:t>
      </w:r>
      <w:bookmarkEnd w:id="154"/>
      <w:r/>
      <w:bookmarkEnd w:id="155"/>
      <w:r/>
      <w:bookmarkEnd w:id="156"/>
      <w:r/>
      <w:bookmarkEnd w:id="157"/>
      <w:r>
        <w:rPr>
          <w:rFonts w:hint="eastAsia" w:ascii="方正黑体_GBK" w:hAnsi="方正黑体_GBK" w:eastAsia="方正黑体_GBK" w:cs="方正黑体_GBK"/>
          <w:sz w:val="32"/>
          <w:szCs w:val="32"/>
        </w:rPr>
        <w:t xml:space="preserve">成交</w:t>
      </w:r>
      <w:r/>
    </w:p>
    <w:p>
      <w:pPr>
        <w:ind w:firstLine="480"/>
        <w:spacing w:after="156" w:line="440" w:lineRule="exact"/>
        <w:tabs>
          <w:tab w:val="left" w:pos="900" w:leader="none"/>
        </w:tabs>
        <w:rPr>
          <w:rFonts w:ascii="宋体" w:hAnsi="宋体" w:cs="方正仿宋_GBK"/>
          <w:sz w:val="24"/>
          <w:szCs w:val="24"/>
        </w:rPr>
      </w:pPr>
      <w:r/>
      <w:bookmarkStart w:id="158" w:name="_Toc513029238"/>
      <w:r/>
      <w:bookmarkStart w:id="159" w:name="_Toc16938554"/>
      <w:r/>
      <w:bookmarkStart w:id="160" w:name="_Toc20823310"/>
      <w:r>
        <w:rPr>
          <w:rFonts w:hint="eastAsia" w:ascii="宋体" w:hAnsi="宋体" w:cs="方正仿宋_GBK"/>
          <w:sz w:val="24"/>
          <w:szCs w:val="24"/>
        </w:rPr>
        <w:t xml:space="preserve">27</w:t>
      </w:r>
      <w:bookmarkEnd w:id="158"/>
      <w:r>
        <w:rPr>
          <w:rFonts w:hint="eastAsia" w:ascii="宋体" w:hAnsi="宋体" w:cs="方正仿宋_GBK"/>
          <w:sz w:val="24"/>
          <w:szCs w:val="24"/>
        </w:rPr>
        <w:t xml:space="preserve">.确定</w:t>
      </w:r>
      <w:bookmarkEnd w:id="159"/>
      <w:r/>
      <w:bookmarkEnd w:id="160"/>
      <w:r>
        <w:rPr>
          <w:rFonts w:hint="eastAsia" w:ascii="宋体" w:hAnsi="宋体" w:cs="方正仿宋_GBK"/>
          <w:sz w:val="24"/>
          <w:szCs w:val="24"/>
        </w:rPr>
        <w:t xml:space="preserve">成交单位</w:t>
      </w:r>
      <w:r/>
    </w:p>
    <w:p>
      <w:pPr>
        <w:ind w:firstLine="480"/>
        <w:spacing w:after="156" w:line="440" w:lineRule="exact"/>
        <w:tabs>
          <w:tab w:val="left" w:pos="900" w:leader="none"/>
        </w:tabs>
        <w:rPr>
          <w:rFonts w:ascii="宋体" w:hAnsi="宋体" w:cs="方正仿宋_GBK"/>
          <w:sz w:val="24"/>
          <w:szCs w:val="24"/>
        </w:rPr>
      </w:pPr>
      <w:r>
        <w:rPr>
          <w:rFonts w:hint="eastAsia" w:ascii="宋体" w:hAnsi="宋体" w:cs="方正仿宋_GBK"/>
          <w:bCs/>
          <w:sz w:val="24"/>
          <w:szCs w:val="24"/>
        </w:rPr>
        <w:t xml:space="preserve">27.1</w:t>
      </w:r>
      <w:r>
        <w:rPr>
          <w:rFonts w:hint="eastAsia" w:ascii="宋体" w:hAnsi="宋体"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27.3若有充分证据证明，成交供应商出现下列情况之一的，一经查实，将被取消成交资格：</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27.3.1提供虚假材料谋取成交的。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27.3.2与评审专家、采购人、其他供应商或者采购中心工作人员恶意串通的。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27.3.3向评审专家、采购人或采购中心工作人员行贿或者提供其他不正当利益的。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27.3.4恶意竞争，最后报价明显低于其自身合理成本且又无法提供证明的。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27.3.5不满足本磋商文件规定的实质性要求，但在评审过程中又未被磋商小组发现的。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27.3.6成交后无正当理由拒不与采购人签订政府采购合同或者未按照磋商文件确定的事项签订政府采购合同的。</w:t>
      </w:r>
      <w:r/>
    </w:p>
    <w:p>
      <w:pPr>
        <w:ind w:firstLine="480"/>
        <w:spacing w:line="440" w:lineRule="exact"/>
        <w:rPr>
          <w:rFonts w:ascii="宋体" w:hAnsi="宋体" w:cs="方正仿宋_GBK"/>
          <w:bCs/>
          <w:sz w:val="24"/>
          <w:szCs w:val="24"/>
        </w:rPr>
      </w:pPr>
      <w:r>
        <w:rPr>
          <w:rFonts w:hint="eastAsia" w:ascii="宋体" w:hAnsi="宋体" w:cs="方正仿宋_GBK"/>
          <w:bCs/>
          <w:sz w:val="24"/>
          <w:szCs w:val="24"/>
        </w:rPr>
        <w:t xml:space="preserve">27.3.7将政府采购合同转包的。</w:t>
      </w:r>
      <w:r/>
    </w:p>
    <w:p>
      <w:pPr>
        <w:ind w:firstLine="480"/>
        <w:spacing w:after="156" w:line="440" w:lineRule="exact"/>
        <w:tabs>
          <w:tab w:val="left" w:pos="900" w:leader="none"/>
        </w:tabs>
        <w:rPr>
          <w:rFonts w:ascii="宋体" w:hAnsi="宋体" w:cs="方正仿宋_GBK"/>
          <w:sz w:val="24"/>
          <w:szCs w:val="24"/>
        </w:rPr>
      </w:pPr>
      <w:r/>
      <w:bookmarkStart w:id="161" w:name="_Toc200451960"/>
      <w:r>
        <w:rPr>
          <w:rFonts w:hint="eastAsia" w:ascii="宋体" w:hAnsi="宋体" w:cs="方正仿宋_GBK"/>
          <w:sz w:val="24"/>
          <w:szCs w:val="24"/>
        </w:rPr>
        <w:t xml:space="preserve">28.质疑处理</w:t>
      </w:r>
      <w:bookmarkEnd w:id="161"/>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jc w:val="left"/>
        <w:spacing w:line="440" w:lineRule="exact"/>
        <w:rPr>
          <w:rFonts w:ascii="宋体" w:hAnsi="宋体" w:cs="方正仿宋_GBK"/>
          <w:sz w:val="24"/>
          <w:szCs w:val="24"/>
        </w:rPr>
      </w:pPr>
      <w:r>
        <w:rPr>
          <w:rFonts w:hint="eastAsia" w:ascii="宋体" w:hAnsi="宋体" w:cs="方正仿宋_GBK"/>
          <w:sz w:val="24"/>
          <w:szCs w:val="24"/>
        </w:rPr>
        <w:t xml:space="preserve">28.2.1对可以质疑的采购文件提出质疑的，为收到采购文件之日或者采购文件公告期限届满之日。</w:t>
      </w:r>
      <w:r>
        <w:rPr>
          <w:rFonts w:hint="eastAsia" w:ascii="宋体" w:hAnsi="宋体" w:cs="方正仿宋_GBK"/>
          <w:sz w:val="24"/>
          <w:szCs w:val="24"/>
        </w:rPr>
        <w:br w:type="textWrapping" w:clear="all"/>
        <w:t xml:space="preserve">　　28.2.2对采购过程提出质疑的，为各采购程序环节结束之日。</w:t>
      </w:r>
      <w:r>
        <w:rPr>
          <w:rFonts w:hint="eastAsia" w:ascii="宋体" w:hAnsi="宋体" w:cs="方正仿宋_GBK"/>
          <w:sz w:val="24"/>
          <w:szCs w:val="24"/>
        </w:rPr>
        <w:br w:type="textWrapping" w:clear="all"/>
        <w:t xml:space="preserve">　　28.2.3对成交结果提出质疑的，为成交结果公告期限届满之日。</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方正魏碑_GBK"/>
          <w:sz w:val="24"/>
          <w:szCs w:val="24"/>
        </w:rPr>
      </w:pPr>
      <w:r>
        <w:rPr>
          <w:rFonts w:hint="eastAsia" w:ascii="宋体" w:hAnsi="宋体" w:cs="方正魏碑_GBK"/>
          <w:sz w:val="24"/>
          <w:szCs w:val="24"/>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spacing w:line="440" w:lineRule="exact"/>
        <w:rPr>
          <w:rFonts w:ascii="宋体" w:hAnsi="宋体" w:cs="方正魏碑_GBK"/>
          <w:sz w:val="24"/>
          <w:szCs w:val="24"/>
        </w:rPr>
      </w:pPr>
      <w:r>
        <w:rPr>
          <w:rFonts w:hint="eastAsia" w:ascii="宋体" w:hAnsi="宋体" w:cs="方正魏碑_GBK"/>
          <w:sz w:val="24"/>
          <w:szCs w:val="24"/>
        </w:rPr>
        <w:t xml:space="preserve">采购人及采购中心只接收以纸质原件形式送达的质疑,建议供应商尽量通过邮寄方式提交质疑（采购人和采购中心不接受无快递运单号的快递）。</w:t>
      </w:r>
      <w:r/>
    </w:p>
    <w:p>
      <w:pPr>
        <w:ind w:firstLine="480"/>
        <w:spacing w:line="440" w:lineRule="exact"/>
        <w:rPr>
          <w:rFonts w:ascii="宋体" w:hAnsi="宋体" w:cs="方正魏碑_GBK"/>
          <w:sz w:val="24"/>
          <w:szCs w:val="24"/>
        </w:rPr>
      </w:pPr>
      <w:r>
        <w:rPr>
          <w:rFonts w:hint="eastAsia" w:ascii="宋体" w:hAnsi="宋体" w:cs="方正魏碑_GBK"/>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40" w:lineRule="exact"/>
        <w:rPr>
          <w:rFonts w:ascii="宋体" w:hAnsi="宋体" w:cs="方正魏碑_GBK"/>
          <w:sz w:val="24"/>
          <w:szCs w:val="24"/>
        </w:rPr>
      </w:pPr>
      <w:r>
        <w:rPr>
          <w:rFonts w:hint="eastAsia" w:ascii="宋体" w:hAnsi="宋体" w:cs="方正魏碑_GBK"/>
          <w:sz w:val="24"/>
          <w:szCs w:val="24"/>
        </w:rPr>
        <w:t xml:space="preserve">采购人质疑接收人及联系方式见磋商文件第一章。</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28.5以下情形的质疑不予受理</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28.5.1内容不符合《政府采购质疑和投诉办法》第十二条规定的质疑。</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28.5.2超出政府采购法定期限的质疑。</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28.5.3以传真、电子邮件等方式递交的非原件形式的质疑。</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28.5.4未参加磋商活动的供应商或在磋商活动中自身权益未受到损害的供应商所提出的质疑。</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28.5.5供应商组成联合体参加磋商，联合体中任何一方或多方未按要求签字、盖章、加盖公章的质疑。</w:t>
      </w:r>
      <w:r/>
    </w:p>
    <w:p>
      <w:pPr>
        <w:ind w:firstLine="480"/>
        <w:spacing w:line="440" w:lineRule="exact"/>
        <w:rPr>
          <w:rFonts w:ascii="宋体" w:hAnsi="宋体" w:cs="方正仿宋_GBK"/>
          <w:sz w:val="24"/>
          <w:szCs w:val="24"/>
        </w:rPr>
      </w:pPr>
      <w:r>
        <w:rPr>
          <w:rFonts w:hint="eastAsia" w:ascii="宋体" w:hAnsi="宋体"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440" w:lineRule="exact"/>
        <w:tabs>
          <w:tab w:val="left" w:pos="900" w:leader="none"/>
        </w:tabs>
        <w:rPr>
          <w:rFonts w:ascii="宋体" w:hAnsi="宋体" w:cs="方正仿宋_GBK"/>
          <w:bCs/>
          <w:sz w:val="24"/>
          <w:szCs w:val="24"/>
        </w:rPr>
      </w:pPr>
      <w:r/>
      <w:bookmarkStart w:id="162" w:name="_Toc16938552"/>
      <w:r/>
      <w:bookmarkStart w:id="163" w:name="_Toc120614220"/>
      <w:r/>
      <w:bookmarkStart w:id="164" w:name="_Toc20823308"/>
      <w:r/>
      <w:bookmarkStart w:id="165" w:name="_Toc513029236"/>
      <w:r>
        <w:rPr>
          <w:rFonts w:hint="eastAsia" w:ascii="宋体" w:hAnsi="宋体" w:cs="方正仿宋_GBK"/>
          <w:bCs/>
          <w:sz w:val="24"/>
          <w:szCs w:val="24"/>
        </w:rPr>
        <w:t xml:space="preserve">29.成交通知书</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tabs>
          <w:tab w:val="left" w:pos="900" w:leader="none"/>
        </w:tabs>
        <w:rPr>
          <w:rFonts w:ascii="方正仿宋_GBK" w:hAnsi="方正仿宋_GBK" w:eastAsia="方正仿宋_GBK" w:cs="方正仿宋_GBK"/>
          <w:bCs/>
          <w:sz w:val="32"/>
          <w:szCs w:val="32"/>
        </w:rPr>
      </w:pPr>
      <w:r>
        <w:rPr>
          <w:rFonts w:hint="eastAsia" w:ascii="宋体" w:hAnsi="宋体"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bookmarkEnd w:id="162"/>
      <w:r/>
      <w:bookmarkEnd w:id="163"/>
      <w:r/>
      <w:bookmarkEnd w:id="164"/>
      <w:r/>
      <w:bookmarkEnd w:id="165"/>
      <w:r/>
      <w:r/>
    </w:p>
    <w:p>
      <w:pPr>
        <w:ind w:firstLine="640"/>
        <w:jc w:val="left"/>
        <w:keepLines/>
        <w:keepNext/>
        <w:spacing w:before="260" w:after="260" w:line="440" w:lineRule="exact"/>
        <w:rPr>
          <w:rFonts w:ascii="方正黑体_GBK" w:hAnsi="方正黑体_GBK" w:eastAsia="方正黑体_GBK" w:cs="方正黑体_GBK"/>
          <w:sz w:val="32"/>
          <w:szCs w:val="32"/>
        </w:rPr>
        <w:outlineLvl w:val="1"/>
      </w:pPr>
      <w:r>
        <w:rPr>
          <w:rFonts w:hint="eastAsia" w:ascii="方正黑体_GBK" w:hAnsi="方正黑体_GBK" w:eastAsia="方正黑体_GBK" w:cs="方正黑体_GBK"/>
          <w:sz w:val="32"/>
          <w:szCs w:val="32"/>
        </w:rPr>
        <w:t xml:space="preserve">七、授予合同</w:t>
      </w:r>
      <w:r/>
    </w:p>
    <w:p>
      <w:pPr>
        <w:ind w:firstLine="480"/>
        <w:spacing w:line="440" w:lineRule="exact"/>
        <w:tabs>
          <w:tab w:val="left" w:pos="900" w:leader="none"/>
        </w:tabs>
        <w:rPr>
          <w:rFonts w:ascii="宋体" w:hAnsi="宋体" w:cs="方正仿宋_GBK"/>
          <w:bCs/>
          <w:sz w:val="24"/>
          <w:szCs w:val="24"/>
        </w:rPr>
      </w:pPr>
      <w:r/>
      <w:bookmarkStart w:id="166" w:name="_Toc20823309"/>
      <w:r/>
      <w:bookmarkStart w:id="167" w:name="_Toc513029237"/>
      <w:r/>
      <w:bookmarkStart w:id="168" w:name="_Toc16938553"/>
      <w:r>
        <w:rPr>
          <w:rFonts w:hint="eastAsia" w:ascii="宋体" w:hAnsi="宋体" w:cs="方正仿宋_GBK"/>
          <w:bCs/>
          <w:sz w:val="24"/>
          <w:szCs w:val="24"/>
        </w:rPr>
        <w:t xml:space="preserve">30.签订合同</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30.l成交供应商应当在成交通知书发出之日起三十日内，按照磋商文件确定的事项与采购人签订政府采购合同。</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30.2磋商文件、成交供应商的响应文件及磋商过程中有关澄清、承诺文件均应作为合同附件。</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31.标的物的追加</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66"/>
      <w:r/>
      <w:bookmarkEnd w:id="167"/>
      <w:r/>
      <w:bookmarkEnd w:id="168"/>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32.政府采购履约资金扶持政策</w:t>
      </w:r>
      <w:r/>
    </w:p>
    <w:p>
      <w:pPr>
        <w:ind w:firstLine="480"/>
        <w:spacing w:line="440" w:lineRule="exact"/>
        <w:tabs>
          <w:tab w:val="left" w:pos="900" w:leader="none"/>
        </w:tabs>
        <w:rPr>
          <w:rFonts w:ascii="宋体" w:hAnsi="宋体" w:cs="方正仿宋_GBK"/>
          <w:bCs/>
          <w:sz w:val="24"/>
          <w:szCs w:val="24"/>
        </w:rPr>
      </w:pPr>
      <w:r>
        <w:rPr>
          <w:rFonts w:hint="eastAsia" w:ascii="宋体" w:hAnsi="宋体" w:cs="方正仿宋_GBK"/>
          <w:bCs/>
          <w:sz w:val="24"/>
          <w:szCs w:val="24"/>
        </w:rPr>
        <w:t xml:space="preserve">成交供应商可凭政府采购合同办理融资贷款，详情请见江苏政府采购网“政采贷”专栏。</w:t>
      </w:r>
      <w:r/>
    </w:p>
    <w:p>
      <w:pPr>
        <w:rPr>
          <w:rFonts w:ascii="宋体" w:hAnsi="宋体"/>
          <w:sz w:val="24"/>
          <w:szCs w:val="24"/>
        </w:rPr>
      </w:pPr>
      <w:r>
        <w:rPr>
          <w:rFonts w:ascii="宋体" w:hAnsi="宋体"/>
          <w:sz w:val="24"/>
          <w:szCs w:val="24"/>
        </w:rPr>
      </w:r>
      <w:r/>
    </w:p>
    <w:p>
      <w:r/>
      <w:r/>
    </w:p>
    <w:p>
      <w:r/>
      <w:r/>
    </w:p>
    <w:p>
      <w:r/>
      <w:r/>
    </w:p>
    <w:p>
      <w:r/>
      <w:r/>
    </w:p>
    <w:p>
      <w:r/>
      <w:r/>
    </w:p>
    <w:p>
      <w:r/>
      <w:r/>
    </w:p>
    <w:p>
      <w:r/>
      <w:r/>
    </w:p>
    <w:p>
      <w:r/>
      <w:r/>
    </w:p>
    <w:p>
      <w:r/>
      <w:r/>
    </w:p>
    <w:p>
      <w:r/>
      <w:r/>
    </w:p>
    <w:p>
      <w:r/>
      <w:r/>
    </w:p>
    <w:p>
      <w:pPr>
        <w:ind w:firstLine="2640"/>
        <w:keepNext/>
        <w:rPr>
          <w:rFonts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56"/>
      <w:r/>
      <w:bookmarkEnd w:id="57"/>
      <w:r/>
      <w:bookmarkEnd w:id="58"/>
      <w:r/>
      <w:bookmarkEnd w:id="59"/>
      <w:r/>
      <w:bookmarkEnd w:id="60"/>
      <w:r>
        <w:rPr>
          <w:rFonts w:hint="eastAsia" w:ascii="黑体" w:hAnsi="Times New Roman" w:eastAsia="黑体"/>
          <w:bCs/>
          <w:sz w:val="44"/>
          <w:szCs w:val="28"/>
        </w:rPr>
        <w:t xml:space="preserve">文本</w:t>
      </w:r>
      <w:r/>
    </w:p>
    <w:p>
      <w:pPr>
        <w:jc w:val="center"/>
        <w:spacing w:before="156" w:after="156"/>
        <w:rPr>
          <w:rFonts w:ascii="宋体" w:hAnsi="宋体"/>
          <w:b/>
          <w:sz w:val="30"/>
          <w:szCs w:val="21"/>
        </w:rPr>
        <w:outlineLvl w:val="0"/>
      </w:pPr>
      <w:r/>
      <w:bookmarkStart w:id="169" w:name="_Toc20823315"/>
      <w:r/>
      <w:bookmarkStart w:id="170" w:name="_Toc16938559"/>
      <w:r/>
      <w:bookmarkStart w:id="171" w:name="_Toc513029243"/>
      <w:r/>
      <w:r/>
    </w:p>
    <w:p>
      <w:pPr>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p>
    <w:p>
      <w:pPr>
        <w:jc w:val="center"/>
        <w:spacing w:before="156" w:after="156"/>
        <w:rPr>
          <w:rFonts w:ascii="宋体" w:hAnsi="宋体"/>
          <w:b/>
          <w:bCs/>
          <w:sz w:val="30"/>
          <w:szCs w:val="20"/>
        </w:rPr>
        <w:outlineLvl w:val="0"/>
      </w:pPr>
      <w:r>
        <w:rPr>
          <w:rFonts w:ascii="宋体" w:hAnsi="宋体"/>
          <w:b/>
          <w:bCs/>
          <w:sz w:val="30"/>
          <w:szCs w:val="20"/>
        </w:rPr>
      </w:r>
      <w:r/>
    </w:p>
    <w:p>
      <w:pPr>
        <w:spacing w:before="120" w:after="120"/>
        <w:rPr>
          <w:rFonts w:ascii="宋体" w:hAnsi="宋体" w:cs="Courier New"/>
          <w:sz w:val="24"/>
          <w:szCs w:val="24"/>
        </w:rPr>
      </w:pPr>
      <w:r>
        <w:rPr>
          <w:rFonts w:ascii="宋体" w:hAnsi="宋体" w:cs="Courier New"/>
          <w:sz w:val="24"/>
          <w:szCs w:val="24"/>
        </w:rPr>
        <w:t xml:space="preserve">项目名称：****                                    </w:t>
      </w:r>
      <w:r/>
    </w:p>
    <w:p>
      <w:pPr>
        <w:spacing w:before="120" w:after="120"/>
        <w:rPr>
          <w:rFonts w:ascii="宋体" w:hAnsi="宋体" w:cs="Courier New"/>
          <w:sz w:val="24"/>
          <w:szCs w:val="24"/>
        </w:rPr>
      </w:pPr>
      <w:r>
        <w:rPr>
          <w:rFonts w:hint="eastAsia" w:ascii="宋体" w:hAnsi="宋体" w:cs="Courier New"/>
          <w:sz w:val="24"/>
          <w:szCs w:val="24"/>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spacing w:before="120" w:after="120"/>
        <w:rPr>
          <w:rFonts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ascii="宋体" w:hAnsi="宋体" w:cs="Courier New"/>
          <w:sz w:val="24"/>
          <w:szCs w:val="24"/>
        </w:rPr>
      </w:pPr>
      <w:r>
        <w:rPr>
          <w:rFonts w:hint="eastAsia" w:ascii="宋体" w:hAnsi="宋体" w:cs="Courier New"/>
          <w:sz w:val="24"/>
          <w:szCs w:val="24"/>
        </w:rPr>
        <w:t xml:space="preserve">1.5 履行地点：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ind w:left="408" w:hanging="408"/>
        <w:spacing w:before="120" w:after="120"/>
        <w:rPr>
          <w:rFonts w:ascii="宋体" w:hAnsi="宋体" w:cs="Courier New"/>
          <w:sz w:val="24"/>
          <w:szCs w:val="24"/>
        </w:rPr>
      </w:pPr>
      <w:r>
        <w:rPr>
          <w:rFonts w:ascii="宋体" w:hAnsi="宋体" w:cs="Courier New"/>
          <w:sz w:val="24"/>
          <w:szCs w:val="24"/>
        </w:rPr>
        <w:t xml:space="preserve">6.1 乙方交纳人民币____</w:t>
      </w:r>
      <w:r>
        <w:rPr>
          <w:rFonts w:hint="eastAsia" w:ascii="宋体" w:hAnsi="宋体" w:cs="Courier New"/>
          <w:sz w:val="24"/>
          <w:szCs w:val="24"/>
          <w:u w:val="single"/>
        </w:rPr>
        <w:t xml:space="preserve">0</w:t>
      </w:r>
      <w:r>
        <w:rPr>
          <w:rFonts w:ascii="宋体" w:hAnsi="宋体" w:cs="Courier New"/>
          <w:sz w:val="24"/>
          <w:szCs w:val="24"/>
          <w:u w:val="single"/>
        </w:rPr>
        <w:t xml:space="preserve">_</w:t>
      </w:r>
      <w:r>
        <w:rPr>
          <w:rFonts w:ascii="宋体" w:hAnsi="宋体" w:cs="Courier New"/>
          <w:sz w:val="24"/>
          <w:szCs w:val="24"/>
        </w:rPr>
        <w:t xml:space="preserve">____元作为本合同的履约保证金。</w:t>
      </w:r>
      <w:r>
        <w:rPr>
          <w:rFonts w:hint="eastAsia" w:ascii="宋体" w:hAnsi="宋体" w:cs="Courier New"/>
          <w:sz w:val="24"/>
          <w:szCs w:val="24"/>
        </w:rPr>
        <w:t xml:space="preserve">（不得超过合同金额的10%）</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56" w:after="156"/>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20" w:after="120"/>
        <w:rPr>
          <w:rFonts w:ascii="宋体" w:hAnsi="宋体" w:cs="Courier New"/>
          <w:bCs/>
          <w:color w:val="000000"/>
          <w:sz w:val="24"/>
          <w:szCs w:val="24"/>
        </w:rPr>
      </w:pPr>
      <w:r>
        <w:rPr>
          <w:rFonts w:ascii="宋体" w:hAnsi="宋体" w:cs="Courier New"/>
          <w:bCs/>
          <w:color w:val="000000"/>
          <w:sz w:val="24"/>
          <w:szCs w:val="24"/>
        </w:rPr>
        <w:t xml:space="preserve">8.1.1</w:t>
      </w:r>
      <w:r>
        <w:rPr>
          <w:rFonts w:hint="eastAsia" w:ascii="宋体" w:hAnsi="宋体" w:cs="Courier New"/>
          <w:bCs/>
          <w:color w:val="000000"/>
          <w:sz w:val="24"/>
          <w:szCs w:val="24"/>
        </w:rPr>
        <w:t xml:space="preserve">预付款支付时间：</w:t>
      </w:r>
      <w:r>
        <w:rPr>
          <w:rFonts w:hint="eastAsia" w:ascii="宋体" w:hAnsi="宋体" w:cs="Courier New"/>
          <w:bCs/>
          <w:color w:val="000000"/>
          <w:sz w:val="24"/>
          <w:szCs w:val="24"/>
          <w:u w:val="single"/>
        </w:rPr>
        <w:t xml:space="preserve">合同签订后10个工作日内</w:t>
      </w:r>
      <w:r>
        <w:rPr>
          <w:rFonts w:hint="eastAsia" w:ascii="宋体" w:hAnsi="宋体" w:cs="Courier New"/>
          <w:bCs/>
          <w:color w:val="000000"/>
          <w:sz w:val="24"/>
          <w:szCs w:val="24"/>
        </w:rPr>
        <w:t xml:space="preserve">，预付款支付比例：</w:t>
      </w:r>
      <w:r>
        <w:rPr>
          <w:rFonts w:hint="eastAsia" w:ascii="宋体" w:hAnsi="宋体" w:cs="Courier New"/>
          <w:color w:val="000000"/>
          <w:sz w:val="24"/>
          <w:szCs w:val="24"/>
          <w:u w:val="single"/>
        </w:rPr>
        <w:t xml:space="preserve">合同金额的30</w:t>
      </w:r>
      <w:r>
        <w:rPr>
          <w:rFonts w:ascii="宋体" w:hAnsi="宋体" w:cs="Courier New"/>
          <w:color w:val="000000"/>
          <w:sz w:val="24"/>
          <w:szCs w:val="24"/>
          <w:u w:val="single"/>
        </w:rPr>
        <w:t xml:space="preserve">%</w:t>
      </w:r>
      <w:r>
        <w:rPr>
          <w:rFonts w:hint="eastAsia" w:ascii="宋体" w:hAnsi="宋体" w:cs="Courier New"/>
          <w:bCs/>
          <w:color w:val="000000"/>
          <w:sz w:val="24"/>
          <w:szCs w:val="24"/>
        </w:rPr>
        <w:t xml:space="preserve">。</w:t>
      </w:r>
      <w:r/>
    </w:p>
    <w:p>
      <w:pPr>
        <w:spacing w:before="120" w:after="120"/>
        <w:rPr>
          <w:rFonts w:ascii="宋体" w:hAnsi="宋体" w:cs="Courier New"/>
          <w:bCs/>
          <w:color w:val="000000"/>
          <w:sz w:val="24"/>
          <w:szCs w:val="24"/>
        </w:rPr>
      </w:pPr>
      <w:r>
        <w:rPr>
          <w:rFonts w:ascii="宋体" w:hAnsi="宋体" w:cs="Courier New"/>
          <w:bCs/>
          <w:color w:val="000000"/>
          <w:sz w:val="24"/>
          <w:szCs w:val="24"/>
        </w:rPr>
        <w:t xml:space="preserve">8.1.2</w:t>
      </w:r>
      <w:r>
        <w:rPr>
          <w:rFonts w:hint="eastAsia" w:ascii="宋体" w:hAnsi="宋体" w:cs="宋体"/>
          <w:color w:val="000000"/>
          <w:sz w:val="24"/>
        </w:rPr>
        <w:t xml:space="preserve">系统部署正式上线运行后，支付合同款至90%；</w:t>
      </w:r>
      <w:r/>
    </w:p>
    <w:p>
      <w:pPr>
        <w:spacing w:before="120" w:after="120"/>
        <w:rPr>
          <w:rFonts w:ascii="宋体" w:hAnsi="宋体" w:cs="Courier New"/>
          <w:bCs/>
          <w:color w:val="000000"/>
          <w:sz w:val="24"/>
          <w:szCs w:val="24"/>
        </w:rPr>
      </w:pPr>
      <w:r>
        <w:rPr>
          <w:rFonts w:hint="eastAsia" w:ascii="宋体" w:hAnsi="宋体" w:cs="Courier New"/>
          <w:bCs/>
          <w:color w:val="000000"/>
          <w:sz w:val="24"/>
          <w:szCs w:val="24"/>
        </w:rPr>
        <w:t xml:space="preserve">8.1.3尾款支付时间：项目验收合格，</w:t>
      </w:r>
      <w:r>
        <w:rPr>
          <w:rFonts w:hint="eastAsia" w:ascii="宋体" w:hAnsi="宋体" w:cs="Courier New"/>
          <w:bCs/>
          <w:color w:val="000000"/>
          <w:sz w:val="24"/>
          <w:szCs w:val="24"/>
        </w:rPr>
        <w:t xml:space="preserve">供应商</w:t>
      </w:r>
      <w:r>
        <w:rPr>
          <w:rFonts w:hint="eastAsia" w:ascii="宋体" w:hAnsi="宋体" w:cs="Courier New"/>
          <w:bCs/>
          <w:color w:val="000000"/>
          <w:sz w:val="24"/>
          <w:szCs w:val="24"/>
        </w:rPr>
        <w:t xml:space="preserve">提供发票后10个工作日内支付剩余尾款。</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ascii="Times New Roman" w:hAnsi="Times New Roman"/>
          <w:sz w:val="24"/>
          <w:szCs w:val="24"/>
        </w:rPr>
      </w:pPr>
      <w:r>
        <w:rPr>
          <w:rFonts w:hint="eastAsia" w:ascii="Times New Roman" w:hAnsi="Times New Roman"/>
          <w:szCs w:val="21"/>
        </w:rPr>
        <w:t xml:space="preserve">                                       </w:t>
      </w:r>
      <w:r>
        <w:rPr>
          <w:rFonts w:ascii="Times New Roman" w:hAnsi="Times New Roman"/>
          <w:sz w:val="24"/>
          <w:szCs w:val="24"/>
        </w:rPr>
        <w:t xml:space="preserve">签订日期：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日</w:t>
      </w:r>
      <w:r/>
    </w:p>
    <w:p>
      <w:pPr>
        <w:jc w:val="center"/>
        <w:spacing w:before="120" w:after="120" w:line="0" w:lineRule="atLeast"/>
        <w:rPr>
          <w:rFonts w:ascii="黑体" w:hAnsi="Courier New" w:eastAsia="黑体" w:cs="Courier New"/>
          <w:bCs/>
          <w:sz w:val="44"/>
          <w:szCs w:val="21"/>
        </w:rPr>
      </w:pPr>
      <w:r/>
      <w:bookmarkStart w:id="172" w:name="_Hlt16619369"/>
      <w:r/>
      <w:bookmarkStart w:id="173" w:name="_Hlt16619350"/>
      <w:r/>
      <w:bookmarkStart w:id="174" w:name="_Toc20823346"/>
      <w:r/>
      <w:bookmarkStart w:id="175" w:name="_Toc16938590"/>
      <w:r/>
      <w:bookmarkStart w:id="176" w:name="_Toc120614244"/>
      <w:r/>
      <w:bookmarkStart w:id="177" w:name="_Toc479757211"/>
      <w:r/>
      <w:bookmarkStart w:id="178" w:name="_Toc462564139"/>
      <w:r/>
      <w:bookmarkEnd w:id="169"/>
      <w:r/>
      <w:bookmarkEnd w:id="170"/>
      <w:r/>
      <w:bookmarkEnd w:id="171"/>
      <w:r/>
      <w:bookmarkEnd w:id="172"/>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3"/>
      <w:r>
        <w:rPr>
          <w:rFonts w:hint="eastAsia" w:ascii="黑体" w:hAnsi="Courier New" w:eastAsia="黑体" w:cs="Courier New"/>
          <w:bCs/>
          <w:sz w:val="44"/>
          <w:szCs w:val="21"/>
        </w:rPr>
        <w:t xml:space="preserve">四章 采购需求</w:t>
      </w:r>
      <w:bookmarkStart w:id="179" w:name="_Toc49090575"/>
      <w:r/>
      <w:bookmarkStart w:id="180" w:name="_Toc26554093"/>
      <w:r/>
      <w:bookmarkEnd w:id="174"/>
      <w:r/>
      <w:bookmarkEnd w:id="175"/>
      <w:r/>
      <w:bookmarkEnd w:id="176"/>
      <w:r/>
      <w:r/>
    </w:p>
    <w:p>
      <w:pPr>
        <w:ind w:firstLine="562"/>
        <w:jc w:val="left"/>
        <w:spacing w:line="460" w:lineRule="exact"/>
        <w:widowControl/>
        <w:tabs>
          <w:tab w:val="left" w:pos="1618" w:leader="none"/>
        </w:tabs>
        <w:rPr>
          <w:rFonts w:ascii="宋体" w:hAnsi="宋体" w:cs="宋体"/>
          <w:b/>
          <w:bCs/>
          <w:sz w:val="28"/>
          <w:szCs w:val="28"/>
        </w:rPr>
        <w:outlineLvl w:val="0"/>
      </w:pPr>
      <w:r>
        <w:rPr>
          <w:rFonts w:hint="eastAsia" w:ascii="宋体" w:hAnsi="宋体" w:cs="宋体"/>
          <w:b/>
          <w:bCs/>
          <w:sz w:val="28"/>
          <w:szCs w:val="28"/>
        </w:rPr>
        <w:t xml:space="preserve">一、实现功能</w:t>
      </w:r>
      <w:r/>
    </w:p>
    <w:p>
      <w:pPr>
        <w:ind w:firstLine="560"/>
        <w:jc w:val="left"/>
        <w:spacing w:line="460" w:lineRule="exact"/>
        <w:widowControl/>
        <w:tabs>
          <w:tab w:val="left" w:pos="1618" w:leader="none"/>
        </w:tabs>
        <w:rPr>
          <w:rFonts w:ascii="宋体" w:hAnsi="宋体" w:cs="宋体"/>
          <w:sz w:val="28"/>
          <w:szCs w:val="28"/>
        </w:rPr>
        <w:outlineLvl w:val="1"/>
      </w:pPr>
      <w:r/>
      <w:bookmarkStart w:id="181" w:name="_Toc8185"/>
      <w:r>
        <w:rPr>
          <w:rFonts w:hint="eastAsia" w:ascii="宋体" w:hAnsi="宋体" w:cs="宋体"/>
          <w:sz w:val="28"/>
          <w:szCs w:val="28"/>
        </w:rPr>
        <w:t xml:space="preserve">5.1、警务通功能</w:t>
      </w:r>
      <w:bookmarkEnd w:id="181"/>
      <w:r/>
      <w:r/>
    </w:p>
    <w:p>
      <w:pPr>
        <w:ind w:firstLine="480"/>
        <w:jc w:val="left"/>
        <w:spacing w:line="460" w:lineRule="exact"/>
        <w:widowControl/>
        <w:tabs>
          <w:tab w:val="left" w:pos="1618" w:leader="none"/>
        </w:tabs>
        <w:rPr>
          <w:rFonts w:ascii="宋体" w:hAnsi="宋体" w:cs="宋体"/>
          <w:sz w:val="24"/>
          <w:szCs w:val="24"/>
        </w:rPr>
      </w:pPr>
      <w:r>
        <w:rPr>
          <w:rFonts w:hint="eastAsia" w:ascii="宋体" w:hAnsi="宋体" w:cs="宋体"/>
          <w:sz w:val="24"/>
          <w:szCs w:val="24"/>
        </w:rPr>
        <w:t xml:space="preserve">警务通部分功能是通过警务通终端进行访问，用户进入</w:t>
      </w:r>
      <w:r>
        <w:rPr>
          <w:rFonts w:ascii="宋体" w:hAnsi="宋体" w:cs="宋体"/>
          <w:sz w:val="24"/>
          <w:szCs w:val="24"/>
        </w:rPr>
        <w:t xml:space="preserve">APP</w:t>
      </w:r>
      <w:r>
        <w:rPr>
          <w:rFonts w:hint="eastAsia" w:ascii="宋体" w:hAnsi="宋体" w:cs="宋体"/>
          <w:sz w:val="24"/>
          <w:szCs w:val="24"/>
        </w:rPr>
        <w:t xml:space="preserve">即可进行矛盾调处系统的应用。</w:t>
      </w:r>
      <w:r/>
    </w:p>
    <w:p>
      <w:pPr>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5.1.1、用户登陆</w:t>
      </w:r>
      <w:r/>
    </w:p>
    <w:p>
      <w:pPr>
        <w:ind w:firstLine="480"/>
        <w:spacing w:line="460" w:lineRule="exact"/>
        <w:rPr>
          <w:rFonts w:ascii="宋体" w:hAnsi="宋体" w:cs="宋体"/>
          <w:sz w:val="24"/>
          <w:szCs w:val="24"/>
        </w:rPr>
      </w:pPr>
      <w:r>
        <w:rPr>
          <w:rFonts w:hint="eastAsia" w:ascii="宋体" w:hAnsi="宋体" w:cs="宋体"/>
          <w:sz w:val="24"/>
          <w:szCs w:val="24"/>
        </w:rPr>
        <w:t xml:space="preserve">用户登陆需要输入警号和密码进行登陆，系统根据警号自动关联组织机构信息，并关联相应的用户权限。</w:t>
      </w:r>
      <w:r/>
    </w:p>
    <w:p>
      <w:pPr>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5.1.2、首页</w:t>
      </w:r>
      <w:r/>
    </w:p>
    <w:p>
      <w:pPr>
        <w:ind w:firstLine="480"/>
        <w:spacing w:line="460" w:lineRule="exact"/>
        <w:rPr>
          <w:rFonts w:ascii="宋体" w:hAnsi="宋体" w:cs="宋体"/>
          <w:sz w:val="24"/>
          <w:szCs w:val="24"/>
        </w:rPr>
      </w:pPr>
      <w:r>
        <w:rPr>
          <w:rFonts w:hint="eastAsia" w:ascii="宋体" w:hAnsi="宋体" w:cs="宋体"/>
          <w:sz w:val="24"/>
          <w:szCs w:val="24"/>
        </w:rPr>
        <w:t xml:space="preserve">根据登录权限分配显示相应的展示模块。</w:t>
      </w:r>
      <w:r/>
    </w:p>
    <w:p>
      <w:pPr>
        <w:ind w:firstLine="482"/>
        <w:spacing w:line="460" w:lineRule="exact"/>
        <w:rPr>
          <w:rFonts w:ascii="宋体" w:hAnsi="宋体" w:cs="宋体"/>
          <w:sz w:val="24"/>
          <w:szCs w:val="24"/>
        </w:rPr>
      </w:pPr>
      <w:r>
        <w:rPr>
          <w:rFonts w:hint="eastAsia" w:ascii="宋体" w:hAnsi="宋体" w:cs="宋体"/>
          <w:b/>
          <w:bCs/>
          <w:sz w:val="24"/>
          <w:szCs w:val="24"/>
        </w:rPr>
        <w:t xml:space="preserve">在APP首页右侧设计小模块显示预警数量</w:t>
      </w:r>
      <w:r>
        <w:rPr>
          <w:rFonts w:hint="eastAsia" w:ascii="宋体" w:hAnsi="宋体" w:cs="宋体"/>
          <w:sz w:val="24"/>
          <w:szCs w:val="24"/>
        </w:rPr>
        <w:t xml:space="preserve">，监狱、监区权限可查看矛盾</w:t>
      </w:r>
      <w:r>
        <w:rPr>
          <w:rFonts w:hint="eastAsia" w:ascii="宋体" w:hAnsi="宋体" w:cs="宋体"/>
          <w:b/>
          <w:bCs/>
          <w:sz w:val="24"/>
          <w:szCs w:val="24"/>
        </w:rPr>
        <w:t xml:space="preserve">超1个月未化解</w:t>
      </w:r>
      <w:r>
        <w:rPr>
          <w:rFonts w:hint="eastAsia" w:ascii="宋体" w:hAnsi="宋体" w:cs="宋体"/>
          <w:sz w:val="24"/>
          <w:szCs w:val="24"/>
        </w:rPr>
        <w:t xml:space="preserve">的预警信息，点击人数可看到</w:t>
      </w:r>
      <w:r>
        <w:rPr>
          <w:rFonts w:hint="eastAsia" w:ascii="宋体" w:hAnsi="宋体" w:cs="宋体"/>
          <w:b/>
          <w:bCs/>
          <w:sz w:val="24"/>
          <w:szCs w:val="24"/>
        </w:rPr>
        <w:t xml:space="preserve">监狱-监区-编号-改造人员-矛盾详情。</w:t>
      </w:r>
      <w:r/>
    </w:p>
    <w:p>
      <w:pPr>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5.1.3、 矛盾收集调处模块</w:t>
      </w:r>
      <w:r/>
    </w:p>
    <w:p>
      <w:pPr>
        <w:ind w:firstLine="560"/>
        <w:jc w:val="left"/>
        <w:spacing w:line="460" w:lineRule="exact"/>
        <w:widowControl/>
        <w:tabs>
          <w:tab w:val="left" w:pos="1618" w:leader="none"/>
        </w:tabs>
        <w:rPr>
          <w:rFonts w:ascii="宋体" w:hAnsi="宋体" w:cs="宋体"/>
          <w:sz w:val="28"/>
          <w:szCs w:val="28"/>
        </w:rPr>
        <w:outlineLvl w:val="3"/>
      </w:pPr>
      <w:r>
        <w:rPr>
          <w:rFonts w:hint="eastAsia" w:ascii="宋体" w:hAnsi="宋体" w:cs="宋体"/>
          <w:sz w:val="28"/>
          <w:szCs w:val="28"/>
        </w:rPr>
        <w:t xml:space="preserve">5.1.3.1、矛盾收集</w:t>
      </w:r>
      <w:r/>
    </w:p>
    <w:p>
      <w:pPr>
        <w:ind w:firstLine="480"/>
        <w:spacing w:line="460" w:lineRule="exact"/>
        <w:rPr>
          <w:rFonts w:ascii="宋体" w:hAnsi="宋体" w:cs="宋体"/>
          <w:sz w:val="24"/>
          <w:szCs w:val="24"/>
        </w:rPr>
      </w:pPr>
      <w:r>
        <w:rPr>
          <w:rFonts w:hint="eastAsia" w:ascii="宋体" w:hAnsi="宋体" w:cs="宋体"/>
          <w:sz w:val="24"/>
          <w:szCs w:val="24"/>
        </w:rPr>
        <w:t xml:space="preserve">主要应用对象：监区民警（以第一个完成处置为准）；</w:t>
      </w:r>
      <w:r/>
    </w:p>
    <w:p>
      <w:pPr>
        <w:ind w:firstLine="480"/>
        <w:spacing w:line="460" w:lineRule="exact"/>
        <w:rPr>
          <w:rFonts w:ascii="宋体" w:hAnsi="宋体" w:cs="宋体"/>
          <w:sz w:val="24"/>
          <w:szCs w:val="24"/>
        </w:rPr>
      </w:pPr>
      <w:r>
        <w:rPr>
          <w:rFonts w:hint="eastAsia" w:ascii="宋体" w:hAnsi="宋体" w:cs="宋体"/>
          <w:sz w:val="24"/>
          <w:szCs w:val="24"/>
        </w:rPr>
        <w:t xml:space="preserve">主要目标：用于初次矛盾信息的采集和填报；</w:t>
      </w:r>
      <w:r/>
    </w:p>
    <w:p>
      <w:pPr>
        <w:ind w:firstLine="480"/>
        <w:spacing w:line="460" w:lineRule="exact"/>
        <w:rPr>
          <w:rFonts w:ascii="宋体" w:hAnsi="宋体" w:cs="宋体"/>
          <w:sz w:val="24"/>
          <w:szCs w:val="24"/>
        </w:rPr>
      </w:pPr>
      <w:r>
        <w:rPr>
          <w:rFonts w:hint="eastAsia" w:ascii="宋体" w:hAnsi="宋体" w:cs="宋体"/>
          <w:sz w:val="24"/>
          <w:szCs w:val="24"/>
        </w:rPr>
        <w:t xml:space="preserve">填报内容：</w:t>
      </w:r>
      <w:r/>
    </w:p>
    <w:p>
      <w:pPr>
        <w:numPr>
          <w:ilvl w:val="0"/>
          <w:numId w:val="5"/>
        </w:numPr>
        <w:ind w:firstLine="480"/>
        <w:spacing w:line="460" w:lineRule="exact"/>
        <w:rPr>
          <w:rFonts w:ascii="宋体" w:hAnsi="宋体" w:cs="宋体"/>
          <w:sz w:val="24"/>
          <w:szCs w:val="24"/>
        </w:rPr>
      </w:pPr>
      <w:r>
        <w:rPr>
          <w:rFonts w:hint="eastAsia" w:ascii="宋体" w:hAnsi="宋体" w:cs="宋体"/>
          <w:sz w:val="24"/>
          <w:szCs w:val="24"/>
        </w:rPr>
        <w:t xml:space="preserve">矛盾人员：点击添加人员，根据民警输入的姓名模糊检索改造人员，显示改造人员姓名和编号。</w:t>
      </w:r>
      <w:r/>
    </w:p>
    <w:p>
      <w:pPr>
        <w:ind w:firstLine="480"/>
        <w:spacing w:line="460" w:lineRule="exact"/>
        <w:rPr>
          <w:rFonts w:ascii="宋体" w:hAnsi="宋体" w:cs="宋体"/>
          <w:sz w:val="24"/>
          <w:szCs w:val="24"/>
        </w:rPr>
      </w:pPr>
      <w:r>
        <w:rPr>
          <w:rFonts w:hint="eastAsia" w:ascii="宋体" w:hAnsi="宋体" w:cs="宋体"/>
          <w:sz w:val="24"/>
          <w:szCs w:val="24"/>
        </w:rPr>
        <w:t xml:space="preserve">b.矛盾等级：</w:t>
      </w:r>
      <w:r>
        <w:rPr>
          <w:rFonts w:hint="eastAsia" w:ascii="宋体" w:hAnsi="宋体" w:cs="宋体"/>
          <w:b/>
          <w:bCs/>
          <w:sz w:val="24"/>
          <w:szCs w:val="24"/>
        </w:rPr>
        <w:t xml:space="preserve">下拉框选择</w:t>
      </w:r>
      <w:r>
        <w:rPr>
          <w:rFonts w:hint="eastAsia" w:ascii="宋体" w:hAnsi="宋体" w:cs="宋体"/>
          <w:sz w:val="24"/>
          <w:szCs w:val="24"/>
        </w:rPr>
        <w:t xml:space="preserve">矛盾等级。一般矛盾、较大矛盾、重大矛盾、特别重大矛盾。</w:t>
      </w:r>
      <w:r/>
    </w:p>
    <w:p>
      <w:pPr>
        <w:ind w:firstLine="480"/>
        <w:spacing w:line="460" w:lineRule="exact"/>
        <w:rPr>
          <w:rFonts w:ascii="宋体" w:hAnsi="宋体" w:cs="宋体"/>
          <w:sz w:val="24"/>
          <w:szCs w:val="24"/>
        </w:rPr>
      </w:pPr>
      <w:r>
        <w:rPr>
          <w:rFonts w:hint="eastAsia" w:ascii="宋体" w:hAnsi="宋体" w:cs="宋体"/>
          <w:sz w:val="24"/>
          <w:szCs w:val="24"/>
        </w:rPr>
        <w:t xml:space="preserve">在选择相应矛盾后，选择框下用醒目红色分别</w:t>
      </w:r>
      <w:r>
        <w:rPr>
          <w:rFonts w:hint="eastAsia" w:ascii="宋体" w:hAnsi="宋体" w:cs="宋体"/>
          <w:b/>
          <w:bCs/>
          <w:sz w:val="24"/>
          <w:szCs w:val="24"/>
        </w:rPr>
        <w:t xml:space="preserve">提醒</w:t>
      </w:r>
      <w:r>
        <w:rPr>
          <w:rFonts w:hint="eastAsia" w:ascii="宋体" w:hAnsi="宋体" w:cs="宋体"/>
          <w:sz w:val="24"/>
          <w:szCs w:val="24"/>
        </w:rPr>
        <w:t xml:space="preserve">矛盾分类的依据。</w:t>
      </w:r>
      <w:r/>
    </w:p>
    <w:p>
      <w:pPr>
        <w:ind w:firstLine="480"/>
        <w:spacing w:line="460" w:lineRule="exact"/>
        <w:rPr>
          <w:rFonts w:ascii="宋体" w:hAnsi="宋体" w:cs="宋体"/>
          <w:sz w:val="24"/>
          <w:szCs w:val="24"/>
        </w:rPr>
      </w:pPr>
      <w:r>
        <w:rPr>
          <w:rFonts w:hint="eastAsia" w:ascii="宋体" w:hAnsi="宋体" w:cs="宋体"/>
          <w:sz w:val="24"/>
          <w:szCs w:val="24"/>
        </w:rPr>
        <w:t xml:space="preserve">c.矛盾类型：根据不同矛盾诱因，将矛盾进行分类。警囚矛盾、囚囚矛盾、家庭矛盾、医患矛盾、与地方机关矛盾、减刑假释未达预期、工伤矛盾、其他矛盾。</w:t>
      </w:r>
      <w:r/>
    </w:p>
    <w:p>
      <w:pPr>
        <w:ind w:left="420"/>
        <w:spacing w:line="460" w:lineRule="exact"/>
        <w:rPr>
          <w:rFonts w:ascii="宋体" w:hAnsi="宋体" w:cs="宋体"/>
          <w:sz w:val="24"/>
          <w:szCs w:val="24"/>
        </w:rPr>
      </w:pPr>
      <w:r>
        <w:rPr>
          <w:rFonts w:hint="eastAsia" w:ascii="宋体" w:hAnsi="宋体" w:cs="宋体"/>
          <w:sz w:val="24"/>
          <w:szCs w:val="24"/>
        </w:rPr>
        <w:t xml:space="preserve">d.具体事由：文本框阐述事件基本要素。</w:t>
      </w:r>
      <w:r/>
    </w:p>
    <w:p>
      <w:pPr>
        <w:ind w:left="420"/>
        <w:spacing w:line="460" w:lineRule="exact"/>
        <w:rPr>
          <w:rFonts w:ascii="宋体" w:hAnsi="宋体" w:cs="宋体"/>
          <w:sz w:val="24"/>
          <w:szCs w:val="24"/>
        </w:rPr>
      </w:pPr>
      <w:r>
        <w:rPr>
          <w:rFonts w:hint="eastAsia" w:ascii="宋体" w:hAnsi="宋体" w:cs="宋体"/>
          <w:sz w:val="24"/>
          <w:szCs w:val="24"/>
        </w:rPr>
        <w:t xml:space="preserve">模板：2025年7月20日（时间自动生成），X监区（具体位置）改造人员XXX因·····发生矛盾，（是否产生后果，是的话请具体阐述）。</w:t>
      </w:r>
      <w:r/>
    </w:p>
    <w:p>
      <w:pPr>
        <w:ind w:left="420"/>
        <w:spacing w:line="460" w:lineRule="exact"/>
        <w:rPr>
          <w:rFonts w:ascii="宋体" w:hAnsi="宋体" w:cs="宋体"/>
          <w:sz w:val="24"/>
          <w:szCs w:val="24"/>
        </w:rPr>
      </w:pPr>
      <w:r>
        <w:rPr>
          <w:rFonts w:hint="eastAsia" w:ascii="宋体" w:hAnsi="宋体" w:cs="宋体"/>
          <w:sz w:val="24"/>
          <w:szCs w:val="24"/>
        </w:rPr>
        <w:t xml:space="preserve">(1.阐述事件基本要素，2.简单说明己采取措施)。</w:t>
      </w:r>
      <w:r/>
    </w:p>
    <w:p>
      <w:pPr>
        <w:ind w:firstLine="480"/>
        <w:spacing w:line="460" w:lineRule="exact"/>
        <w:rPr>
          <w:rFonts w:ascii="宋体" w:hAnsi="宋体" w:cs="宋体"/>
          <w:sz w:val="24"/>
          <w:szCs w:val="24"/>
        </w:rPr>
      </w:pPr>
      <w:r>
        <w:rPr>
          <w:rFonts w:hint="eastAsia" w:ascii="宋体" w:hAnsi="宋体" w:cs="宋体"/>
          <w:sz w:val="24"/>
          <w:szCs w:val="24"/>
        </w:rPr>
        <w:t xml:space="preserve">e.下一步措施：暂存、拟化解、待化解。1.暂存：的矛盾归入草稿箱并以时间、矛盾人员形式展示在列表。每个矛盾人员只展示最新的那条，每个用户草稿箱不互通。2.拟化解：收集上报前经民警介入已经化解的简单矛盾。3.待化解：收集上报需要安排专人攻坚化解的矛盾。</w:t>
      </w:r>
      <w:r/>
    </w:p>
    <w:p>
      <w:pPr>
        <w:ind w:firstLine="560"/>
        <w:jc w:val="left"/>
        <w:spacing w:line="460" w:lineRule="exact"/>
        <w:widowControl/>
        <w:tabs>
          <w:tab w:val="left" w:pos="1618" w:leader="none"/>
        </w:tabs>
        <w:rPr>
          <w:rFonts w:ascii="宋体" w:hAnsi="宋体" w:cs="宋体"/>
          <w:sz w:val="28"/>
          <w:szCs w:val="28"/>
        </w:rPr>
        <w:outlineLvl w:val="3"/>
      </w:pPr>
      <w:r>
        <w:rPr>
          <w:rFonts w:hint="eastAsia" w:ascii="宋体" w:hAnsi="宋体" w:cs="宋体"/>
          <w:sz w:val="28"/>
          <w:szCs w:val="28"/>
        </w:rPr>
        <w:t xml:space="preserve">5.1.3.2、监区评估   </w:t>
      </w:r>
      <w:r/>
    </w:p>
    <w:p>
      <w:pPr>
        <w:ind w:firstLine="480"/>
        <w:spacing w:line="460" w:lineRule="exact"/>
        <w:rPr>
          <w:rFonts w:ascii="宋体" w:hAnsi="宋体" w:cs="宋体"/>
          <w:sz w:val="24"/>
          <w:szCs w:val="24"/>
        </w:rPr>
      </w:pPr>
      <w:r>
        <w:rPr>
          <w:rFonts w:hint="eastAsia" w:ascii="宋体" w:hAnsi="宋体" w:cs="宋体"/>
          <w:sz w:val="24"/>
          <w:szCs w:val="24"/>
        </w:rPr>
        <w:t xml:space="preserve">主要应用对象：监区领导（以第一个完成处置为准）；</w:t>
      </w:r>
      <w:r/>
    </w:p>
    <w:p>
      <w:pPr>
        <w:ind w:firstLine="480"/>
        <w:spacing w:line="460" w:lineRule="exact"/>
        <w:rPr>
          <w:rFonts w:ascii="宋体" w:hAnsi="宋体" w:cs="宋体"/>
          <w:sz w:val="24"/>
          <w:szCs w:val="24"/>
        </w:rPr>
      </w:pPr>
      <w:r>
        <w:rPr>
          <w:rFonts w:hint="eastAsia" w:ascii="宋体" w:hAnsi="宋体" w:cs="宋体"/>
          <w:sz w:val="24"/>
          <w:szCs w:val="24"/>
        </w:rPr>
        <w:t xml:space="preserve">主要目标：用于民警上报的矛盾信息评估；</w:t>
      </w:r>
      <w:r/>
    </w:p>
    <w:p>
      <w:pPr>
        <w:ind w:firstLine="480"/>
        <w:spacing w:line="460" w:lineRule="exact"/>
        <w:rPr>
          <w:rFonts w:ascii="宋体" w:hAnsi="宋体" w:cs="宋体"/>
          <w:sz w:val="24"/>
          <w:szCs w:val="24"/>
        </w:rPr>
      </w:pPr>
      <w:r>
        <w:rPr>
          <w:rFonts w:hint="eastAsia" w:ascii="宋体" w:hAnsi="宋体" w:cs="宋体"/>
          <w:sz w:val="24"/>
          <w:szCs w:val="24"/>
        </w:rPr>
        <w:t xml:space="preserve">查看、调整内容，监区领导可以对提交的矛盾进行查看和调整。</w:t>
      </w:r>
      <w:r>
        <w:rPr>
          <w:rFonts w:hint="eastAsia" w:ascii="宋体" w:hAnsi="宋体" w:cs="宋体"/>
          <w:b/>
          <w:bCs/>
          <w:sz w:val="24"/>
          <w:szCs w:val="24"/>
        </w:rPr>
        <w:t xml:space="preserve">如选择待化解则该控件为必填，其余选项非必填</w:t>
      </w:r>
      <w:r>
        <w:rPr>
          <w:rFonts w:hint="eastAsia" w:ascii="宋体" w:hAnsi="宋体" w:cs="宋体"/>
          <w:sz w:val="24"/>
          <w:szCs w:val="24"/>
        </w:rPr>
        <w:t xml:space="preserve">。</w:t>
      </w:r>
      <w:r/>
    </w:p>
    <w:p>
      <w:pPr>
        <w:ind w:firstLine="480"/>
        <w:spacing w:line="460" w:lineRule="exact"/>
        <w:rPr>
          <w:rFonts w:ascii="宋体" w:hAnsi="宋体" w:cs="宋体"/>
          <w:sz w:val="24"/>
          <w:szCs w:val="24"/>
        </w:rPr>
      </w:pPr>
      <w:r>
        <w:rPr>
          <w:rFonts w:hint="eastAsia" w:ascii="宋体" w:hAnsi="宋体" w:cs="宋体"/>
          <w:sz w:val="24"/>
          <w:szCs w:val="24"/>
        </w:rPr>
        <w:t xml:space="preserve">g.下一步措施：已化解、待化解、不同意。（1.对收集的矛盾进行评估，认为已化解的可选择已化解选项办结。2.评估认为需要专人攻坚化解的选择本监区人员攻坚。3.不同意的结束流程办结，不认可矛盾成立。）</w:t>
      </w:r>
      <w:r/>
    </w:p>
    <w:p>
      <w:pPr>
        <w:ind w:firstLine="560"/>
        <w:jc w:val="left"/>
        <w:spacing w:line="460" w:lineRule="exact"/>
        <w:widowControl/>
        <w:tabs>
          <w:tab w:val="left" w:pos="1618" w:leader="none"/>
          <w:tab w:val="left" w:pos="2916" w:leader="none"/>
        </w:tabs>
        <w:rPr>
          <w:rFonts w:ascii="宋体" w:hAnsi="宋体" w:cs="宋体"/>
          <w:sz w:val="28"/>
          <w:szCs w:val="28"/>
        </w:rPr>
        <w:outlineLvl w:val="3"/>
      </w:pPr>
      <w:r>
        <w:rPr>
          <w:rFonts w:hint="eastAsia" w:ascii="宋体" w:hAnsi="宋体" w:cs="宋体"/>
          <w:sz w:val="28"/>
          <w:szCs w:val="28"/>
        </w:rPr>
        <w:t xml:space="preserve">5.1.3.3、监狱研判</w:t>
      </w:r>
      <w:r>
        <w:rPr>
          <w:rFonts w:hint="eastAsia" w:ascii="宋体" w:hAnsi="宋体" w:cs="宋体"/>
          <w:sz w:val="28"/>
          <w:szCs w:val="28"/>
        </w:rPr>
        <w:tab/>
      </w:r>
      <w:r/>
    </w:p>
    <w:p>
      <w:pPr>
        <w:ind w:firstLine="480"/>
        <w:spacing w:line="460" w:lineRule="exact"/>
        <w:rPr>
          <w:rFonts w:ascii="宋体" w:hAnsi="宋体" w:cs="宋体"/>
          <w:sz w:val="24"/>
          <w:szCs w:val="24"/>
        </w:rPr>
      </w:pPr>
      <w:r>
        <w:rPr>
          <w:rFonts w:hint="eastAsia" w:ascii="宋体" w:hAnsi="宋体" w:cs="宋体"/>
          <w:sz w:val="24"/>
          <w:szCs w:val="24"/>
        </w:rPr>
        <w:t xml:space="preserve">每月15、30号自动抓取全监经过监区评估且监狱研判时未稳控或化解的矛盾进行研判</w:t>
      </w:r>
      <w:r/>
    </w:p>
    <w:p>
      <w:pPr>
        <w:ind w:firstLine="560"/>
        <w:jc w:val="left"/>
        <w:spacing w:line="460" w:lineRule="exact"/>
        <w:widowControl/>
        <w:tabs>
          <w:tab w:val="left" w:pos="1618" w:leader="none"/>
          <w:tab w:val="left" w:pos="2916" w:leader="none"/>
        </w:tabs>
        <w:rPr>
          <w:rFonts w:ascii="宋体" w:hAnsi="宋体" w:cs="宋体"/>
          <w:sz w:val="28"/>
          <w:szCs w:val="28"/>
        </w:rPr>
        <w:outlineLvl w:val="3"/>
      </w:pPr>
      <w:r>
        <w:rPr>
          <w:rFonts w:hint="eastAsia" w:ascii="宋体" w:hAnsi="宋体" w:cs="宋体"/>
          <w:sz w:val="28"/>
          <w:szCs w:val="28"/>
        </w:rPr>
        <w:t xml:space="preserve">5.1.3.4、矛盾调处</w:t>
      </w:r>
      <w:r>
        <w:rPr>
          <w:rFonts w:hint="eastAsia" w:ascii="宋体" w:hAnsi="宋体" w:cs="宋体"/>
          <w:sz w:val="28"/>
          <w:szCs w:val="28"/>
        </w:rPr>
        <w:tab/>
      </w:r>
      <w:r/>
    </w:p>
    <w:p>
      <w:pPr>
        <w:ind w:firstLine="480"/>
        <w:spacing w:line="460" w:lineRule="exact"/>
        <w:rPr>
          <w:rFonts w:ascii="宋体" w:hAnsi="宋体" w:cs="宋体"/>
          <w:sz w:val="24"/>
          <w:szCs w:val="24"/>
        </w:rPr>
      </w:pPr>
      <w:r>
        <w:rPr>
          <w:rFonts w:hint="eastAsia" w:ascii="宋体" w:hAnsi="宋体" w:cs="宋体"/>
          <w:sz w:val="24"/>
          <w:szCs w:val="24"/>
        </w:rPr>
        <w:t xml:space="preserve">主要应用对象：监区民警（监区研判分配给自己的责任民警）；</w:t>
      </w:r>
      <w:r/>
    </w:p>
    <w:p>
      <w:pPr>
        <w:ind w:firstLine="480"/>
        <w:spacing w:line="460" w:lineRule="exact"/>
        <w:rPr>
          <w:rFonts w:ascii="宋体" w:hAnsi="宋体" w:cs="宋体"/>
          <w:sz w:val="24"/>
          <w:szCs w:val="24"/>
        </w:rPr>
      </w:pPr>
      <w:r>
        <w:rPr>
          <w:rFonts w:hint="eastAsia" w:ascii="宋体" w:hAnsi="宋体" w:cs="宋体"/>
          <w:sz w:val="24"/>
          <w:szCs w:val="24"/>
        </w:rPr>
        <w:t xml:space="preserve">主要目标：用于监区未能化解的矛盾信息处置；</w:t>
      </w:r>
      <w:r/>
    </w:p>
    <w:p>
      <w:pPr>
        <w:ind w:firstLine="480"/>
        <w:spacing w:line="460" w:lineRule="exact"/>
        <w:rPr>
          <w:rFonts w:ascii="宋体" w:hAnsi="宋体" w:cs="宋体"/>
          <w:sz w:val="24"/>
          <w:szCs w:val="24"/>
        </w:rPr>
      </w:pPr>
      <w:r>
        <w:rPr>
          <w:rFonts w:hint="eastAsia" w:ascii="宋体" w:hAnsi="宋体" w:cs="宋体"/>
          <w:sz w:val="24"/>
          <w:szCs w:val="24"/>
        </w:rPr>
        <w:t xml:space="preserve">下一步措施：拟化解、未化解。（1.拟化解：矛盾化解成功的选择拟化解交由监区研判。2.未化解：无能力化解此矛盾的，提交监区重新分配责任民警。）</w:t>
      </w:r>
      <w:r/>
    </w:p>
    <w:p>
      <w:pPr>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5.1.3.5、超期提醒</w:t>
      </w:r>
      <w:r/>
    </w:p>
    <w:p>
      <w:pPr>
        <w:ind w:firstLine="480"/>
        <w:spacing w:line="460" w:lineRule="exact"/>
        <w:rPr>
          <w:rFonts w:ascii="宋体" w:hAnsi="宋体" w:cs="宋体"/>
          <w:sz w:val="24"/>
          <w:szCs w:val="24"/>
        </w:rPr>
      </w:pPr>
      <w:r>
        <w:rPr>
          <w:rFonts w:hint="eastAsia" w:ascii="宋体" w:hAnsi="宋体" w:cs="宋体"/>
          <w:sz w:val="24"/>
          <w:szCs w:val="24"/>
        </w:rPr>
        <w:t xml:space="preserve">主要应用对象：监区领导；</w:t>
      </w:r>
      <w:r/>
    </w:p>
    <w:p>
      <w:pPr>
        <w:ind w:firstLine="480"/>
        <w:spacing w:line="460" w:lineRule="exact"/>
        <w:rPr>
          <w:rFonts w:ascii="宋体" w:hAnsi="宋体" w:cs="宋体"/>
          <w:sz w:val="24"/>
          <w:szCs w:val="24"/>
        </w:rPr>
      </w:pPr>
      <w:r>
        <w:rPr>
          <w:rFonts w:hint="eastAsia" w:ascii="宋体" w:hAnsi="宋体" w:cs="宋体"/>
          <w:sz w:val="24"/>
          <w:szCs w:val="24"/>
        </w:rPr>
        <w:t xml:space="preserve">主要目标：用于监区超过设定期限未能化解的矛盾；</w:t>
      </w:r>
      <w:r/>
    </w:p>
    <w:p>
      <w:pPr>
        <w:ind w:firstLine="480"/>
        <w:spacing w:line="460" w:lineRule="exact"/>
        <w:rPr>
          <w:rFonts w:ascii="宋体" w:hAnsi="宋体" w:cs="宋体"/>
          <w:sz w:val="24"/>
          <w:szCs w:val="24"/>
        </w:rPr>
      </w:pPr>
      <w:r>
        <w:rPr>
          <w:rFonts w:hint="eastAsia" w:ascii="宋体" w:hAnsi="宋体" w:cs="宋体"/>
          <w:sz w:val="24"/>
          <w:szCs w:val="24"/>
        </w:rPr>
        <w:t xml:space="preserve">初始页面右上角设置</w:t>
      </w:r>
      <w:r>
        <w:rPr>
          <w:rFonts w:hint="eastAsia" w:ascii="宋体" w:hAnsi="宋体" w:cs="宋体"/>
          <w:b/>
          <w:bCs/>
          <w:sz w:val="24"/>
          <w:szCs w:val="24"/>
        </w:rPr>
        <w:t xml:space="preserve">提醒</w:t>
      </w:r>
      <w:r>
        <w:rPr>
          <w:rFonts w:hint="eastAsia" w:ascii="宋体" w:hAnsi="宋体" w:cs="宋体"/>
          <w:sz w:val="24"/>
          <w:szCs w:val="24"/>
        </w:rPr>
        <w:t xml:space="preserve">标识，提醒超过管理员设定期限未化解的矛盾数量，点击打开表格可查看</w:t>
      </w:r>
      <w:r>
        <w:rPr>
          <w:rFonts w:hint="eastAsia" w:ascii="宋体" w:hAnsi="宋体" w:cs="宋体"/>
          <w:b/>
          <w:bCs/>
          <w:sz w:val="24"/>
          <w:szCs w:val="24"/>
        </w:rPr>
        <w:t xml:space="preserve">具体</w:t>
      </w:r>
      <w:r>
        <w:rPr>
          <w:rFonts w:hint="eastAsia" w:ascii="宋体" w:hAnsi="宋体" w:cs="宋体"/>
          <w:sz w:val="24"/>
          <w:szCs w:val="24"/>
        </w:rPr>
        <w:t xml:space="preserve">矛盾数据。</w:t>
      </w:r>
      <w:r/>
    </w:p>
    <w:p>
      <w:pPr>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5.1.4、历史记录模块</w:t>
      </w:r>
      <w:r/>
    </w:p>
    <w:p>
      <w:pPr>
        <w:ind w:firstLine="480"/>
        <w:spacing w:line="460" w:lineRule="exact"/>
        <w:rPr>
          <w:rFonts w:ascii="宋体" w:hAnsi="宋体" w:cs="宋体"/>
          <w:sz w:val="24"/>
          <w:szCs w:val="24"/>
        </w:rPr>
      </w:pPr>
      <w:r>
        <w:rPr>
          <w:rFonts w:hint="eastAsia" w:ascii="宋体" w:hAnsi="宋体" w:cs="宋体"/>
          <w:sz w:val="24"/>
          <w:szCs w:val="24"/>
        </w:rPr>
        <w:t xml:space="preserve">按1.监狱；2.监区；3.时间区间；4.矛盾等级；5.矛盾类型；6.姓名（模糊检索），共计6种查询方式查询。</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1.省局权限登录的：初始“监狱”“监区”搜索选项</w:t>
      </w:r>
      <w:r>
        <w:rPr>
          <w:rFonts w:hint="eastAsia" w:ascii="宋体" w:hAnsi="宋体" w:cs="宋体"/>
          <w:b/>
          <w:bCs/>
          <w:sz w:val="24"/>
          <w:szCs w:val="24"/>
        </w:rPr>
        <w:t xml:space="preserve">下拉框</w:t>
      </w:r>
      <w:r>
        <w:rPr>
          <w:rFonts w:hint="eastAsia" w:ascii="宋体" w:hAnsi="宋体" w:cs="宋体"/>
          <w:sz w:val="24"/>
          <w:szCs w:val="24"/>
        </w:rPr>
        <w:t xml:space="preserve">为空，可查询</w:t>
      </w:r>
      <w:r>
        <w:rPr>
          <w:rFonts w:hint="eastAsia" w:ascii="宋体" w:hAnsi="宋体" w:cs="宋体"/>
          <w:b/>
          <w:bCs/>
          <w:sz w:val="24"/>
          <w:szCs w:val="24"/>
        </w:rPr>
        <w:t xml:space="preserve">全省</w:t>
      </w:r>
      <w:r>
        <w:rPr>
          <w:rFonts w:hint="eastAsia" w:ascii="宋体" w:hAnsi="宋体" w:cs="宋体"/>
          <w:sz w:val="24"/>
          <w:szCs w:val="24"/>
        </w:rPr>
        <w:t xml:space="preserve">数据，也可选择后查询</w:t>
      </w:r>
      <w:r>
        <w:rPr>
          <w:rFonts w:hint="eastAsia" w:ascii="宋体" w:hAnsi="宋体" w:cs="宋体"/>
          <w:b/>
          <w:bCs/>
          <w:sz w:val="24"/>
          <w:szCs w:val="24"/>
        </w:rPr>
        <w:t xml:space="preserve">特定</w:t>
      </w:r>
      <w:r>
        <w:rPr>
          <w:rFonts w:hint="eastAsia" w:ascii="宋体" w:hAnsi="宋体" w:cs="宋体"/>
          <w:sz w:val="24"/>
          <w:szCs w:val="24"/>
        </w:rPr>
        <w:t xml:space="preserve">监狱、</w:t>
      </w:r>
      <w:r>
        <w:rPr>
          <w:rFonts w:hint="eastAsia" w:ascii="宋体" w:hAnsi="宋体" w:cs="宋体"/>
          <w:b/>
          <w:bCs/>
          <w:sz w:val="24"/>
          <w:szCs w:val="24"/>
        </w:rPr>
        <w:t xml:space="preserve">特定</w:t>
      </w:r>
      <w:r>
        <w:rPr>
          <w:rFonts w:hint="eastAsia" w:ascii="宋体" w:hAnsi="宋体" w:cs="宋体"/>
          <w:sz w:val="24"/>
          <w:szCs w:val="24"/>
        </w:rPr>
        <w:t xml:space="preserve">监区数据。</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2.监狱权限登录的：监狱</w:t>
      </w:r>
      <w:r>
        <w:rPr>
          <w:rFonts w:hint="eastAsia" w:ascii="宋体" w:hAnsi="宋体" w:cs="宋体"/>
          <w:b/>
          <w:bCs/>
          <w:sz w:val="24"/>
          <w:szCs w:val="24"/>
        </w:rPr>
        <w:t xml:space="preserve">下拉框</w:t>
      </w:r>
      <w:r>
        <w:rPr>
          <w:rFonts w:hint="eastAsia" w:ascii="宋体" w:hAnsi="宋体" w:cs="宋体"/>
          <w:sz w:val="24"/>
          <w:szCs w:val="24"/>
        </w:rPr>
        <w:t xml:space="preserve">根据登录的ID自动匹配所属监狱，且不可更改，初始“监区”搜索选项下拉框为空，可查询</w:t>
      </w:r>
      <w:r>
        <w:rPr>
          <w:rFonts w:hint="eastAsia" w:ascii="宋体" w:hAnsi="宋体" w:cs="宋体"/>
          <w:b/>
          <w:bCs/>
          <w:sz w:val="24"/>
          <w:szCs w:val="24"/>
        </w:rPr>
        <w:t xml:space="preserve">本监狱</w:t>
      </w:r>
      <w:r>
        <w:rPr>
          <w:rFonts w:hint="eastAsia" w:ascii="宋体" w:hAnsi="宋体" w:cs="宋体"/>
          <w:sz w:val="24"/>
          <w:szCs w:val="24"/>
        </w:rPr>
        <w:t xml:space="preserve">所有数据，也可选择后查询</w:t>
      </w:r>
      <w:r>
        <w:rPr>
          <w:rFonts w:hint="eastAsia" w:ascii="宋体" w:hAnsi="宋体" w:cs="宋体"/>
          <w:b/>
          <w:bCs/>
          <w:sz w:val="24"/>
          <w:szCs w:val="24"/>
        </w:rPr>
        <w:t xml:space="preserve">特定</w:t>
      </w:r>
      <w:r>
        <w:rPr>
          <w:rFonts w:hint="eastAsia" w:ascii="宋体" w:hAnsi="宋体" w:cs="宋体"/>
          <w:sz w:val="24"/>
          <w:szCs w:val="24"/>
        </w:rPr>
        <w:t xml:space="preserve">监区数据。</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3.监区权限登录的：监狱下拉框根据登录的ID自动匹配所属监狱、监区，且不可更改，仅可查询</w:t>
      </w:r>
      <w:r>
        <w:rPr>
          <w:rFonts w:hint="eastAsia" w:ascii="宋体" w:hAnsi="宋体" w:cs="宋体"/>
          <w:b/>
          <w:bCs/>
          <w:sz w:val="24"/>
          <w:szCs w:val="24"/>
        </w:rPr>
        <w:t xml:space="preserve">本监区</w:t>
      </w:r>
      <w:r>
        <w:rPr>
          <w:rFonts w:hint="eastAsia" w:ascii="宋体" w:hAnsi="宋体" w:cs="宋体"/>
          <w:sz w:val="24"/>
          <w:szCs w:val="24"/>
        </w:rPr>
        <w:t xml:space="preserve">数据。</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4.初始时间区间默认为当天，可通过下拉框更改时间区间。</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5.矛盾等级、矛盾类型初始为空白，搜索为所有等级和类型的矛盾数据。</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6.所有选择项均以</w:t>
      </w:r>
      <w:r>
        <w:rPr>
          <w:rFonts w:hint="eastAsia" w:ascii="宋体" w:hAnsi="宋体" w:cs="宋体"/>
          <w:b/>
          <w:bCs/>
          <w:sz w:val="24"/>
          <w:szCs w:val="24"/>
        </w:rPr>
        <w:t xml:space="preserve">下拉框</w:t>
      </w:r>
      <w:r>
        <w:rPr>
          <w:rFonts w:hint="eastAsia" w:ascii="宋体" w:hAnsi="宋体" w:cs="宋体"/>
          <w:sz w:val="24"/>
          <w:szCs w:val="24"/>
        </w:rPr>
        <w:t xml:space="preserve">的形式完成。</w:t>
      </w:r>
      <w:r/>
    </w:p>
    <w:p>
      <w:pPr>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5.1.5、统计查询模块</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按1.监狱；2.监区；3.时间区间，精确查询表1中的数据。点击数据打开表2的页面。</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1.</w:t>
      </w:r>
      <w:r>
        <w:rPr>
          <w:rFonts w:hint="eastAsia" w:ascii="宋体" w:hAnsi="宋体" w:cs="宋体"/>
          <w:b/>
          <w:bCs/>
          <w:sz w:val="24"/>
          <w:szCs w:val="24"/>
        </w:rPr>
        <w:t xml:space="preserve">省局</w:t>
      </w:r>
      <w:r>
        <w:rPr>
          <w:rFonts w:hint="eastAsia" w:ascii="宋体" w:hAnsi="宋体" w:cs="宋体"/>
          <w:sz w:val="24"/>
          <w:szCs w:val="24"/>
        </w:rPr>
        <w:t xml:space="preserve">权限登录的：初始“监狱”“监区”搜索选项下拉框为空，可查询全省数据，也可选择后查询特定监狱、特定监区数据。</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2.</w:t>
      </w:r>
      <w:r>
        <w:rPr>
          <w:rFonts w:hint="eastAsia" w:ascii="宋体" w:hAnsi="宋体" w:cs="宋体"/>
          <w:b/>
          <w:bCs/>
          <w:sz w:val="24"/>
          <w:szCs w:val="24"/>
        </w:rPr>
        <w:t xml:space="preserve">监狱</w:t>
      </w:r>
      <w:r>
        <w:rPr>
          <w:rFonts w:hint="eastAsia" w:ascii="宋体" w:hAnsi="宋体" w:cs="宋体"/>
          <w:sz w:val="24"/>
          <w:szCs w:val="24"/>
        </w:rPr>
        <w:t xml:space="preserve">权限登录的：监狱下拉框根据登录的ID自动匹配所属监狱，且不可更改，初始“监区”搜索选项下拉框为空，可查询本监狱所有数据，也可选择后查询特定监区数据。</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3.</w:t>
      </w:r>
      <w:r>
        <w:rPr>
          <w:rFonts w:hint="eastAsia" w:ascii="宋体" w:hAnsi="宋体" w:cs="宋体"/>
          <w:b/>
          <w:bCs/>
          <w:sz w:val="24"/>
          <w:szCs w:val="24"/>
        </w:rPr>
        <w:t xml:space="preserve">监区</w:t>
      </w:r>
      <w:r>
        <w:rPr>
          <w:rFonts w:hint="eastAsia" w:ascii="宋体" w:hAnsi="宋体" w:cs="宋体"/>
          <w:sz w:val="24"/>
          <w:szCs w:val="24"/>
        </w:rPr>
        <w:t xml:space="preserve">权限登录的：监狱下拉框根据登录的ID自动匹配所属监狱、监区，且不可更改，仅可查询本监区数据。</w:t>
      </w:r>
      <w:r/>
    </w:p>
    <w:p>
      <w:pPr>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4.初始时间区间默认为当月，可通过下拉框更改时间区间。</w:t>
      </w:r>
      <w:r/>
    </w:p>
    <w:p>
      <w:pPr>
        <w:numPr>
          <w:ilvl w:val="0"/>
          <w:numId w:val="6"/>
        </w:numPr>
        <w:ind w:firstLine="562"/>
        <w:spacing w:line="460" w:lineRule="exact"/>
        <w:rPr>
          <w:rFonts w:ascii="宋体" w:hAnsi="宋体" w:cs="宋体"/>
          <w:b/>
          <w:bCs/>
          <w:sz w:val="28"/>
          <w:szCs w:val="28"/>
        </w:rPr>
      </w:pPr>
      <w:r/>
      <w:bookmarkStart w:id="182" w:name="_Toc9747"/>
      <w:r>
        <w:rPr>
          <w:rFonts w:hint="eastAsia" w:ascii="宋体" w:hAnsi="宋体" w:cs="宋体"/>
          <w:b/>
          <w:bCs/>
          <w:sz w:val="28"/>
          <w:szCs w:val="28"/>
        </w:rPr>
        <w:t xml:space="preserve">方案总体设计要求。</w:t>
      </w:r>
      <w:r/>
    </w:p>
    <w:p>
      <w:pPr>
        <w:ind w:firstLine="480"/>
        <w:spacing w:line="460" w:lineRule="exact"/>
        <w:rPr>
          <w:rFonts w:ascii="宋体" w:hAnsi="宋体" w:cs="宋体"/>
          <w:sz w:val="24"/>
          <w:szCs w:val="24"/>
        </w:rPr>
      </w:pPr>
      <w:r>
        <w:rPr>
          <w:rFonts w:hint="eastAsia" w:ascii="宋体" w:hAnsi="宋体" w:cs="宋体"/>
          <w:sz w:val="24"/>
          <w:szCs w:val="24"/>
        </w:rPr>
        <w:t xml:space="preserve">部署实施前，需要对供应商提供的技术方案、兼容性安全性方案、质量管理方案、风险防控方案、应急处置方案等进行审核后，供应商应根据采购人要求对方案进行修改，修改同意后进行实际部署实施，且后期需要供应商对本系统进行售后和维保。</w:t>
      </w:r>
      <w:r/>
    </w:p>
    <w:p>
      <w:pPr>
        <w:ind w:firstLine="480"/>
        <w:spacing w:line="460" w:lineRule="exact"/>
        <w:rPr>
          <w:rFonts w:ascii="宋体" w:hAnsi="宋体" w:cs="宋体"/>
          <w:sz w:val="24"/>
          <w:szCs w:val="24"/>
        </w:rPr>
      </w:pPr>
      <w:r>
        <w:rPr>
          <w:rFonts w:hint="eastAsia" w:ascii="宋体" w:hAnsi="宋体" w:cs="宋体"/>
          <w:sz w:val="24"/>
          <w:szCs w:val="24"/>
        </w:rPr>
        <w:t xml:space="preserve">1.技术方案要求：</w:t>
      </w:r>
      <w:r/>
    </w:p>
    <w:p>
      <w:pPr>
        <w:ind w:firstLine="480"/>
        <w:spacing w:line="460" w:lineRule="exact"/>
        <w:rPr>
          <w:rFonts w:ascii="宋体" w:hAnsi="宋体" w:cs="宋体"/>
          <w:sz w:val="24"/>
          <w:szCs w:val="24"/>
        </w:rPr>
      </w:pPr>
      <w:r>
        <w:rPr>
          <w:rFonts w:hint="eastAsia" w:ascii="宋体" w:hAnsi="宋体" w:cs="宋体"/>
          <w:sz w:val="24"/>
          <w:szCs w:val="24"/>
        </w:rPr>
        <w:t xml:space="preserve">要适配项目需求，一要明确技术架构（前端、后端、数据库），选择合理技术栈，确保架构可扩展、可维护。二要明确开发标准，统一代码规范、接口规范、命名规范，确保开发流程标准化，便于团队协作和后期迭代。三要涵盖核心功能开发要求，明确各开发逻辑、交互逻辑，确保功能实现符合需求文档，兼顾性能（如响应速度、并发处理）。</w:t>
      </w:r>
      <w:r/>
    </w:p>
    <w:p>
      <w:pPr>
        <w:ind w:firstLine="480"/>
        <w:spacing w:line="460" w:lineRule="exact"/>
        <w:rPr>
          <w:rFonts w:ascii="宋体" w:hAnsi="宋体" w:cs="宋体"/>
          <w:sz w:val="24"/>
          <w:szCs w:val="24"/>
        </w:rPr>
      </w:pPr>
      <w:r>
        <w:rPr>
          <w:rFonts w:hint="eastAsia" w:ascii="宋体" w:hAnsi="宋体" w:cs="宋体"/>
          <w:sz w:val="24"/>
          <w:szCs w:val="24"/>
        </w:rPr>
        <w:t xml:space="preserve">2.兼容性安全性方案要求：</w:t>
      </w:r>
      <w:r/>
    </w:p>
    <w:p>
      <w:pPr>
        <w:ind w:firstLine="480"/>
        <w:spacing w:line="460" w:lineRule="exact"/>
        <w:rPr>
          <w:rFonts w:ascii="宋体" w:hAnsi="宋体" w:cs="宋体"/>
          <w:sz w:val="24"/>
          <w:szCs w:val="24"/>
        </w:rPr>
      </w:pPr>
      <w:r>
        <w:rPr>
          <w:rFonts w:hint="eastAsia" w:ascii="宋体" w:hAnsi="宋体" w:cs="宋体"/>
          <w:sz w:val="24"/>
          <w:szCs w:val="24"/>
        </w:rPr>
        <w:t xml:space="preserve">兼容性要求：一是设备兼容性：适配主流手机型号（安卓），覆盖不同屏幕尺寸、系统版本，确保APP正常安装、运行，无界面错乱、功能异常。二是浏览器/插件兼容性：需适配主流浏览器（Chrome、微信内置浏览器等），无兼容性报错。三是数据兼容性：确保不同版本APP之间数据互通，升级后不丢失用户数据，旧版本数据可正常迁移至新版本。</w:t>
      </w:r>
      <w:r/>
    </w:p>
    <w:p>
      <w:pPr>
        <w:ind w:firstLine="480"/>
        <w:spacing w:line="460" w:lineRule="exact"/>
        <w:rPr>
          <w:rFonts w:ascii="宋体" w:hAnsi="宋体" w:cs="宋体"/>
          <w:sz w:val="24"/>
          <w:szCs w:val="24"/>
        </w:rPr>
      </w:pPr>
      <w:r>
        <w:rPr>
          <w:rFonts w:hint="eastAsia" w:ascii="宋体" w:hAnsi="宋体" w:cs="宋体"/>
          <w:sz w:val="24"/>
          <w:szCs w:val="24"/>
        </w:rPr>
        <w:t xml:space="preserve">安全性要求：一是数据安全：用户敏感数据（手机号、密码、身份证号等）需加密存储，防止数据泄露、篡改。二是权限管理：明确用户权限分级（管理员、普通用户等），严格控制权限访问，防止越权操作；APP权限申请需符合系统规范，不滥用权限（如不必要的通讯录、相册权限）。三是漏洞防护：定期进行漏洞扫描、渗透测试，防范恶意代码注入等常见安全风险，及时修复安全漏洞。四是日志管理：记录APP运行日志、用户操作日志、安全日志，便于异常排查和安全追溯。</w:t>
      </w:r>
      <w:r/>
    </w:p>
    <w:p>
      <w:pPr>
        <w:ind w:firstLine="480"/>
        <w:spacing w:line="460" w:lineRule="exact"/>
        <w:rPr>
          <w:rFonts w:ascii="宋体" w:hAnsi="宋体" w:cs="宋体"/>
          <w:sz w:val="24"/>
          <w:szCs w:val="24"/>
        </w:rPr>
      </w:pPr>
      <w:r>
        <w:rPr>
          <w:rFonts w:hint="eastAsia" w:ascii="宋体" w:hAnsi="宋体" w:cs="宋体"/>
          <w:sz w:val="24"/>
          <w:szCs w:val="24"/>
        </w:rPr>
        <w:t xml:space="preserve">3.质量管理方案要求：</w:t>
      </w:r>
      <w:r/>
    </w:p>
    <w:p>
      <w:pPr>
        <w:ind w:firstLine="480"/>
        <w:spacing w:line="460" w:lineRule="exact"/>
        <w:rPr>
          <w:rFonts w:ascii="宋体" w:hAnsi="宋体" w:cs="宋体"/>
          <w:sz w:val="24"/>
          <w:szCs w:val="24"/>
        </w:rPr>
      </w:pPr>
      <w:r>
        <w:rPr>
          <w:rFonts w:hint="eastAsia" w:ascii="宋体" w:hAnsi="宋体" w:cs="宋体"/>
          <w:sz w:val="24"/>
          <w:szCs w:val="24"/>
        </w:rPr>
        <w:t xml:space="preserve">一是明确质量标准：制定功能、性能、界面、易用性等方面的质量验收标准，贴合需求文档，可量化、可落地。</w:t>
      </w:r>
      <w:r/>
    </w:p>
    <w:p>
      <w:pPr>
        <w:ind w:firstLine="480"/>
        <w:spacing w:line="460" w:lineRule="exact"/>
        <w:rPr>
          <w:rFonts w:ascii="宋体" w:hAnsi="宋体" w:cs="宋体"/>
          <w:sz w:val="24"/>
          <w:szCs w:val="24"/>
        </w:rPr>
      </w:pPr>
      <w:r>
        <w:rPr>
          <w:rFonts w:hint="eastAsia" w:ascii="宋体" w:hAnsi="宋体" w:cs="宋体"/>
          <w:sz w:val="24"/>
          <w:szCs w:val="24"/>
        </w:rPr>
        <w:t xml:space="preserve">二是测试管理：建立完整测试流程（单元测试、集成测试、系统测试、验收测试），明确各测试阶段的职责、时间节点、测试方法，确保测试覆盖所有功能模块。</w:t>
      </w:r>
      <w:r/>
    </w:p>
    <w:p>
      <w:pPr>
        <w:ind w:firstLine="480"/>
        <w:spacing w:line="460" w:lineRule="exact"/>
        <w:rPr>
          <w:rFonts w:ascii="宋体" w:hAnsi="宋体" w:cs="宋体"/>
          <w:sz w:val="24"/>
          <w:szCs w:val="24"/>
        </w:rPr>
      </w:pPr>
      <w:r>
        <w:rPr>
          <w:rFonts w:hint="eastAsia" w:ascii="宋体" w:hAnsi="宋体" w:cs="宋体"/>
          <w:sz w:val="24"/>
          <w:szCs w:val="24"/>
        </w:rPr>
        <w:t xml:space="preserve">三是版本管理：规范APP模块迭代流程，明确版本命名规则、更新范围、发布流程，确保版本稳定，更新后无重大问题。</w:t>
      </w:r>
      <w:r/>
    </w:p>
    <w:p>
      <w:pPr>
        <w:ind w:firstLine="480"/>
        <w:spacing w:line="46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风险防控方案要求</w:t>
      </w:r>
      <w:r>
        <w:rPr>
          <w:rFonts w:hint="eastAsia" w:ascii="宋体" w:hAnsi="宋体" w:cs="宋体"/>
          <w:sz w:val="24"/>
          <w:szCs w:val="24"/>
        </w:rPr>
        <w:t xml:space="preserve">：</w:t>
      </w:r>
      <w:r/>
    </w:p>
    <w:p>
      <w:pPr>
        <w:ind w:firstLine="480"/>
        <w:spacing w:line="460" w:lineRule="exact"/>
        <w:rPr>
          <w:rFonts w:ascii="宋体" w:hAnsi="宋体" w:cs="宋体"/>
          <w:sz w:val="24"/>
          <w:szCs w:val="24"/>
        </w:rPr>
      </w:pPr>
      <w:r>
        <w:rPr>
          <w:rFonts w:ascii="宋体" w:hAnsi="宋体" w:cs="宋体"/>
          <w:sz w:val="24"/>
          <w:szCs w:val="24"/>
        </w:rPr>
        <w:t xml:space="preserve">一要全面识别风险：涵盖技术风险、进度风险（如开发延期）、资源风险（如人力、设备不足）、安全风险（如数据泄露）等，建立风险清单。</w:t>
      </w:r>
      <w:r/>
    </w:p>
    <w:p>
      <w:pPr>
        <w:ind w:firstLine="480"/>
        <w:spacing w:line="460" w:lineRule="exact"/>
        <w:rPr>
          <w:rFonts w:ascii="宋体" w:hAnsi="宋体" w:cs="宋体"/>
          <w:sz w:val="24"/>
          <w:szCs w:val="24"/>
        </w:rPr>
      </w:pPr>
      <w:r>
        <w:rPr>
          <w:rFonts w:ascii="宋体" w:hAnsi="宋体" w:cs="宋体"/>
          <w:sz w:val="24"/>
          <w:szCs w:val="24"/>
        </w:rPr>
        <w:t xml:space="preserve">二要制定防控措施：针对各类风险，明确防控责任人、防控方法、防控节点，提前规避风险（如技术风险提前进行技术验证，进度风险制定详细进度计划并定期跟进）。</w:t>
      </w:r>
      <w:r/>
    </w:p>
    <w:p>
      <w:pPr>
        <w:ind w:firstLine="480"/>
        <w:spacing w:line="460" w:lineRule="exact"/>
        <w:rPr>
          <w:rFonts w:ascii="宋体" w:hAnsi="宋体" w:cs="宋体"/>
          <w:sz w:val="24"/>
          <w:szCs w:val="24"/>
        </w:rPr>
      </w:pPr>
      <w:r>
        <w:rPr>
          <w:rFonts w:ascii="宋体" w:hAnsi="宋体" w:cs="宋体"/>
          <w:sz w:val="24"/>
          <w:szCs w:val="24"/>
        </w:rPr>
        <w:t xml:space="preserve">三要风险监测：定期排查风险，跟踪风险变化，及时调整防控措施，确保风险处于可控范围。</w:t>
      </w:r>
      <w:r/>
    </w:p>
    <w:p>
      <w:pPr>
        <w:ind w:firstLine="480"/>
        <w:spacing w:line="46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应急处置应</w:t>
      </w:r>
      <w:r>
        <w:rPr>
          <w:rFonts w:hint="eastAsia" w:ascii="宋体" w:hAnsi="宋体" w:cs="宋体"/>
          <w:sz w:val="24"/>
          <w:szCs w:val="24"/>
        </w:rPr>
        <w:t xml:space="preserve">方案</w:t>
      </w:r>
      <w:r>
        <w:rPr>
          <w:rFonts w:ascii="宋体" w:hAnsi="宋体" w:cs="宋体"/>
          <w:sz w:val="24"/>
          <w:szCs w:val="24"/>
        </w:rPr>
        <w:t xml:space="preserve">要求</w:t>
      </w:r>
      <w:r>
        <w:rPr>
          <w:rFonts w:hint="eastAsia" w:ascii="宋体" w:hAnsi="宋体" w:cs="宋体"/>
          <w:sz w:val="24"/>
          <w:szCs w:val="24"/>
        </w:rPr>
        <w:t xml:space="preserve">：</w:t>
      </w:r>
      <w:r/>
    </w:p>
    <w:p>
      <w:pPr>
        <w:ind w:firstLine="480"/>
        <w:spacing w:line="460" w:lineRule="exact"/>
        <w:rPr>
          <w:rFonts w:ascii="宋体" w:hAnsi="宋体" w:cs="宋体"/>
          <w:sz w:val="24"/>
          <w:szCs w:val="24"/>
        </w:rPr>
      </w:pPr>
      <w:r>
        <w:rPr>
          <w:rFonts w:ascii="宋体" w:hAnsi="宋体" w:cs="宋体"/>
          <w:sz w:val="24"/>
          <w:szCs w:val="24"/>
        </w:rPr>
        <w:t xml:space="preserve">一要明确应急场景：涵盖模块或APP崩溃、服务器宕机、数据泄露、功能异常、用户投诉集中等常见应急场景。</w:t>
      </w:r>
      <w:r/>
    </w:p>
    <w:p>
      <w:pPr>
        <w:ind w:firstLine="480"/>
        <w:spacing w:line="460" w:lineRule="exact"/>
        <w:rPr>
          <w:rFonts w:ascii="宋体" w:hAnsi="宋体" w:cs="宋体"/>
          <w:sz w:val="24"/>
          <w:szCs w:val="24"/>
        </w:rPr>
      </w:pPr>
      <w:r>
        <w:rPr>
          <w:rFonts w:ascii="宋体" w:hAnsi="宋体" w:cs="宋体"/>
          <w:sz w:val="24"/>
          <w:szCs w:val="24"/>
        </w:rPr>
        <w:t xml:space="preserve">二要制定处置流程：明确各应急场景的处置步骤、责任人、响应时间，确保应急事件发生后可快速启动处置（如服务器宕机立即切换备用服务器，数据泄露立即止损、排查原因）。</w:t>
      </w:r>
      <w:r/>
    </w:p>
    <w:p>
      <w:pPr>
        <w:ind w:firstLine="480"/>
        <w:spacing w:line="460" w:lineRule="exact"/>
        <w:rPr>
          <w:szCs w:val="21"/>
        </w:rPr>
      </w:pPr>
      <w:r>
        <w:rPr>
          <w:rFonts w:ascii="宋体" w:hAnsi="宋体" w:cs="宋体"/>
          <w:sz w:val="24"/>
          <w:szCs w:val="24"/>
        </w:rPr>
        <w:t xml:space="preserve">三要应急保障：配备应急资源（如备用服务器、应急人员、数据备份），定期开展应急演练，提升应急处置能力。</w:t>
      </w:r>
      <w:r/>
    </w:p>
    <w:p>
      <w:pPr>
        <w:ind w:firstLine="562"/>
        <w:jc w:val="left"/>
        <w:spacing w:line="460" w:lineRule="exact"/>
        <w:widowControl/>
        <w:tabs>
          <w:tab w:val="left" w:pos="1618" w:leader="none"/>
        </w:tabs>
        <w:rPr>
          <w:rFonts w:ascii="宋体" w:hAnsi="宋体" w:cs="宋体"/>
          <w:b/>
          <w:bCs/>
          <w:sz w:val="28"/>
          <w:szCs w:val="28"/>
        </w:rPr>
        <w:outlineLvl w:val="0"/>
      </w:pPr>
      <w:r>
        <w:rPr>
          <w:rFonts w:hint="eastAsia" w:ascii="宋体" w:hAnsi="宋体" w:cs="宋体"/>
          <w:b/>
          <w:bCs/>
          <w:sz w:val="28"/>
          <w:szCs w:val="28"/>
        </w:rPr>
        <w:t xml:space="preserve">三、系统部署</w:t>
      </w:r>
      <w:bookmarkEnd w:id="182"/>
      <w:r>
        <w:rPr>
          <w:rFonts w:hint="eastAsia" w:ascii="宋体" w:hAnsi="宋体" w:cs="宋体"/>
          <w:b/>
          <w:bCs/>
          <w:sz w:val="28"/>
          <w:szCs w:val="28"/>
        </w:rPr>
        <w:t xml:space="preserve">要求。</w:t>
      </w:r>
      <w:r/>
    </w:p>
    <w:p>
      <w:pPr>
        <w:ind w:firstLine="480"/>
        <w:spacing w:line="460" w:lineRule="exact"/>
        <w:rPr>
          <w:rFonts w:ascii="宋体" w:hAnsi="宋体" w:cs="宋体"/>
          <w:sz w:val="24"/>
          <w:szCs w:val="24"/>
        </w:rPr>
      </w:pPr>
      <w:r>
        <w:rPr>
          <w:rFonts w:hint="eastAsia" w:ascii="宋体" w:hAnsi="宋体" w:cs="宋体"/>
          <w:sz w:val="24"/>
          <w:szCs w:val="24"/>
        </w:rPr>
        <w:t xml:space="preserve">系统部署主要以软件部署为主，首先根据需求开发完成后部署，并在警务通警务移动APP上架模块。</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部署实施人员要求：</w:t>
      </w:r>
      <w:r/>
    </w:p>
    <w:p>
      <w:pPr>
        <w:ind w:firstLine="480"/>
        <w:spacing w:line="460" w:lineRule="exact"/>
        <w:rPr>
          <w:rFonts w:ascii="宋体" w:hAnsi="宋体" w:cs="宋体"/>
          <w:sz w:val="24"/>
          <w:szCs w:val="24"/>
        </w:rPr>
      </w:pPr>
      <w:r>
        <w:rPr>
          <w:rFonts w:hint="eastAsia" w:ascii="宋体" w:hAnsi="宋体" w:cs="宋体"/>
          <w:sz w:val="24"/>
          <w:szCs w:val="24"/>
        </w:rPr>
        <w:t xml:space="preserve">供应商应当为本项目配备人员稳定的服务团队，至少需要包含项目经理1人、研发工程师1人及其他的团队成员2人，项目团队应当具备信息系统项目管理师证书、系统规划与管理师证书、ITSS信息技术应用创新服务经理证书；研发工程师具有网络工程师证书、系统集成项目管理工程师证书、系统分析师等证书；项目组成员应当具有网络规划设计师证书、软件设计师证书、数据库系统工程师、系统架构设计师等证书。</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供应商资质能力需求：</w:t>
      </w:r>
      <w:r/>
    </w:p>
    <w:p>
      <w:pPr>
        <w:ind w:firstLine="480"/>
        <w:spacing w:line="460" w:lineRule="exact"/>
        <w:rPr>
          <w:rFonts w:ascii="宋体" w:hAnsi="宋体" w:cs="宋体"/>
          <w:sz w:val="24"/>
          <w:szCs w:val="24"/>
        </w:rPr>
      </w:pPr>
      <w:r>
        <w:rPr>
          <w:rFonts w:hint="eastAsia" w:ascii="宋体" w:hAnsi="宋体" w:cs="宋体"/>
          <w:sz w:val="24"/>
          <w:szCs w:val="24"/>
        </w:rPr>
        <w:t xml:space="preserve">供应商应当具备参与实施类似系统部署升级的能力和业绩，具备狱政管理、刑罚执行、教育改造管理等领域的软件著作权登记证书。</w:t>
      </w:r>
      <w:r/>
    </w:p>
    <w:p>
      <w:pPr>
        <w:ind w:firstLine="480"/>
        <w:spacing w:line="460" w:lineRule="exact"/>
        <w:rPr>
          <w:rFonts w:ascii="宋体" w:hAnsi="宋体" w:cs="宋体"/>
          <w:sz w:val="24"/>
          <w:szCs w:val="24"/>
        </w:rPr>
      </w:pPr>
      <w:r>
        <w:rPr>
          <w:rFonts w:hint="eastAsia" w:ascii="宋体" w:hAnsi="宋体" w:cs="宋体"/>
          <w:sz w:val="24"/>
          <w:szCs w:val="24"/>
        </w:rPr>
        <w:t xml:space="preserve">供应商应当具备信息系统开发安全运维及风险评估能力，确保开发全过程信息安全。</w:t>
      </w:r>
      <w:r/>
    </w:p>
    <w:p>
      <w:pPr>
        <w:ind w:left="420"/>
        <w:spacing w:line="460" w:lineRule="exact"/>
        <w:rPr>
          <w:rFonts w:ascii="宋体" w:hAnsi="宋体" w:cs="宋体"/>
          <w:sz w:val="24"/>
          <w:szCs w:val="24"/>
        </w:rPr>
      </w:pPr>
      <w:r>
        <w:rPr>
          <w:rFonts w:hint="eastAsia" w:ascii="宋体" w:hAnsi="宋体" w:cs="宋体"/>
          <w:sz w:val="24"/>
          <w:szCs w:val="24"/>
        </w:rPr>
        <w:t xml:space="preserve">供应商售后服务需求：</w:t>
      </w:r>
      <w:r/>
    </w:p>
    <w:p>
      <w:pPr>
        <w:ind w:firstLine="480"/>
        <w:spacing w:line="460" w:lineRule="exact"/>
        <w:rPr>
          <w:rFonts w:ascii="宋体" w:hAnsi="宋体" w:cs="宋体"/>
          <w:sz w:val="24"/>
          <w:szCs w:val="24"/>
        </w:rPr>
      </w:pPr>
      <w:r>
        <w:rPr>
          <w:rFonts w:hint="eastAsia" w:ascii="宋体" w:hAnsi="宋体" w:cs="宋体"/>
          <w:sz w:val="24"/>
          <w:szCs w:val="24"/>
        </w:rPr>
        <w:t xml:space="preserve">供应商应当具备类似系统运行维护经验，为本项目提供3年免费运行维护期限，确保项目交付后平稳运行。</w:t>
      </w:r>
      <w:r/>
    </w:p>
    <w:p>
      <w:pPr>
        <w:ind w:left="420"/>
        <w:spacing w:line="460" w:lineRule="exact"/>
        <w:rPr>
          <w:rFonts w:ascii="宋体" w:hAnsi="宋体" w:cs="宋体"/>
          <w:b/>
          <w:bCs/>
          <w:sz w:val="28"/>
          <w:szCs w:val="28"/>
        </w:rPr>
      </w:pPr>
      <w:r>
        <w:rPr>
          <w:rFonts w:hint="eastAsia" w:ascii="宋体" w:hAnsi="宋体" w:cs="宋体"/>
          <w:b/>
          <w:bCs/>
          <w:sz w:val="28"/>
          <w:szCs w:val="28"/>
        </w:rPr>
        <w:t xml:space="preserve">四、服务时间</w:t>
      </w:r>
      <w:r/>
    </w:p>
    <w:p>
      <w:pPr>
        <w:ind w:firstLine="480"/>
        <w:spacing w:line="460" w:lineRule="exact"/>
        <w:rPr>
          <w:rFonts w:ascii="宋体" w:hAnsi="宋体" w:cs="宋体"/>
          <w:sz w:val="24"/>
          <w:szCs w:val="24"/>
        </w:rPr>
      </w:pPr>
      <w:r>
        <w:rPr>
          <w:rFonts w:hint="eastAsia" w:ascii="宋体" w:hAnsi="宋体" w:cs="宋体"/>
          <w:sz w:val="24"/>
          <w:szCs w:val="24"/>
        </w:rPr>
        <w:t xml:space="preserve">合同签订后2个月内，系统部署上线试运行，合同签订后3个月内，系统部署正式上线运行。</w:t>
      </w:r>
      <w:r/>
    </w:p>
    <w:p>
      <w:pPr>
        <w:ind w:left="420"/>
        <w:spacing w:line="460" w:lineRule="exact"/>
        <w:rPr>
          <w:rFonts w:ascii="宋体" w:hAnsi="宋体" w:cs="宋体"/>
          <w:b/>
          <w:bCs/>
          <w:sz w:val="28"/>
          <w:szCs w:val="28"/>
        </w:rPr>
      </w:pPr>
      <w:r>
        <w:rPr>
          <w:rFonts w:hint="eastAsia" w:ascii="宋体" w:hAnsi="宋体" w:cs="宋体"/>
          <w:b/>
          <w:bCs/>
          <w:sz w:val="28"/>
          <w:szCs w:val="28"/>
        </w:rPr>
        <w:t xml:space="preserve">五、付款条件</w:t>
      </w:r>
      <w:r/>
    </w:p>
    <w:p>
      <w:pPr>
        <w:ind w:left="420"/>
        <w:spacing w:line="460" w:lineRule="exact"/>
        <w:rPr>
          <w:rFonts w:ascii="宋体" w:hAnsi="宋体" w:cs="宋体"/>
          <w:sz w:val="24"/>
          <w:szCs w:val="24"/>
        </w:rPr>
      </w:pPr>
      <w:r>
        <w:rPr>
          <w:rFonts w:hint="eastAsia" w:ascii="宋体" w:hAnsi="宋体" w:cs="宋体"/>
          <w:sz w:val="24"/>
          <w:szCs w:val="24"/>
        </w:rPr>
        <w:t xml:space="preserve">合同签订并收到供应商提供的发票后10个工作日内，预付合同款30%；系统部署正式上线运行后，支付合同款至90%；项目验收合格，</w:t>
      </w:r>
      <w:r>
        <w:rPr>
          <w:rFonts w:hint="eastAsia" w:ascii="宋体" w:hAnsi="宋体" w:cs="宋体"/>
          <w:sz w:val="24"/>
          <w:szCs w:val="24"/>
        </w:rPr>
        <w:t xml:space="preserve">供应商</w:t>
      </w:r>
      <w:r>
        <w:rPr>
          <w:rFonts w:hint="eastAsia" w:ascii="宋体" w:hAnsi="宋体" w:cs="宋体"/>
          <w:sz w:val="24"/>
          <w:szCs w:val="24"/>
        </w:rPr>
        <w:t xml:space="preserve">提供发票后10个工作日内支付剩余尾款。。</w:t>
      </w:r>
      <w:r/>
    </w:p>
    <w:p>
      <w:pPr>
        <w:ind w:firstLine="562"/>
        <w:spacing w:line="0" w:lineRule="atLeast"/>
        <w:rPr>
          <w:rFonts w:ascii="宋体" w:hAnsi="宋体" w:cs="宋体"/>
          <w:b/>
          <w:bCs/>
          <w:sz w:val="28"/>
          <w:szCs w:val="28"/>
        </w:rPr>
      </w:pPr>
      <w:r>
        <w:rPr>
          <w:rFonts w:hint="eastAsia" w:ascii="宋体" w:hAnsi="宋体" w:cs="宋体"/>
          <w:b/>
          <w:bCs/>
          <w:sz w:val="28"/>
          <w:szCs w:val="28"/>
        </w:rPr>
        <w:t xml:space="preserve">六</w:t>
      </w:r>
      <w:r>
        <w:rPr>
          <w:rFonts w:ascii="宋体" w:hAnsi="宋体" w:cs="宋体"/>
          <w:b/>
          <w:bCs/>
          <w:sz w:val="28"/>
          <w:szCs w:val="28"/>
        </w:rPr>
        <w:t xml:space="preserve">、其他要求</w:t>
      </w:r>
      <w:r/>
    </w:p>
    <w:p>
      <w:pPr>
        <w:spacing w:line="0" w:lineRule="atLeast"/>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1"/>
        <w:gridCol w:w="778"/>
        <w:gridCol w:w="3058"/>
        <w:gridCol w:w="2852"/>
      </w:tblGrid>
      <w:tr>
        <w:trPr>
          <w:cantSplit/>
          <w:jc w:val="center"/>
        </w:trPr>
        <w:tc>
          <w:tcPr>
            <w:tcW w:w="10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05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482"/>
        </w:trPr>
        <w:tc>
          <w:tcPr>
            <w:tcW w:w="10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058"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江苏监狱智能管理大平台罪犯矛盾纠纷排查调处模块开发升级</w:t>
            </w:r>
            <w:r/>
          </w:p>
        </w:tc>
        <w:tc>
          <w:tcPr>
            <w:tcW w:w="2852" w:type="dxa"/>
            <w:vAlign w:val="center"/>
            <w:textDirection w:val="lrTb"/>
            <w:noWrap w:val="false"/>
          </w:tcPr>
          <w:p>
            <w:pPr>
              <w:jc w:val="center"/>
              <w:spacing w:line="0" w:lineRule="atLeast"/>
              <w:rPr>
                <w:rFonts w:ascii="宋体" w:hAnsi="宋体"/>
                <w:sz w:val="24"/>
                <w:szCs w:val="24"/>
              </w:rPr>
            </w:pPr>
            <w:r>
              <w:rPr>
                <w:rStyle w:val="766"/>
                <w:rFonts w:hint="eastAsia"/>
                <w:highlight w:val="white"/>
              </w:rPr>
              <w:t xml:space="preserve">软件和信息技术服务业</w:t>
            </w:r>
            <w:r/>
          </w:p>
        </w:tc>
      </w:tr>
    </w:tbl>
    <w:p>
      <w:pPr>
        <w:spacing w:line="0" w:lineRule="atLeast"/>
        <w:rPr>
          <w:rFonts w:ascii="宋体" w:hAnsi="宋体"/>
          <w:sz w:val="24"/>
          <w:szCs w:val="24"/>
        </w:rPr>
      </w:pPr>
      <w:r>
        <w:rPr>
          <w:rFonts w:hint="eastAsia" w:ascii="宋体" w:hAnsi="宋体"/>
          <w:sz w:val="24"/>
          <w:szCs w:val="24"/>
        </w:rPr>
        <w:t xml:space="preserve">2.项目属性:服务类项目。</w:t>
      </w:r>
      <w:r/>
    </w:p>
    <w:p>
      <w:pPr>
        <w:ind w:firstLine="562"/>
        <w:spacing w:line="0" w:lineRule="atLeast"/>
        <w:rPr>
          <w:rFonts w:ascii="宋体" w:hAnsi="宋体" w:cs="宋体"/>
          <w:b/>
          <w:bCs/>
          <w:sz w:val="28"/>
          <w:szCs w:val="28"/>
        </w:rPr>
      </w:pPr>
      <w:r>
        <w:rPr>
          <w:rFonts w:hint="eastAsia" w:ascii="宋体" w:hAnsi="宋体" w:cs="宋体"/>
          <w:b/>
          <w:bCs/>
          <w:sz w:val="28"/>
          <w:szCs w:val="28"/>
        </w:rPr>
        <w:t xml:space="preserve">七、政府采购中实施本国产品标准及相关政策</w:t>
      </w:r>
      <w:r/>
    </w:p>
    <w:p>
      <w:pPr>
        <w:ind w:firstLine="560"/>
        <w:spacing w:line="560" w:lineRule="exact"/>
        <w:rPr>
          <w:rFonts w:ascii="宋体" w:hAnsi="宋体" w:cs="宋体"/>
          <w:sz w:val="24"/>
          <w:szCs w:val="24"/>
        </w:rPr>
      </w:pPr>
      <w:r>
        <w:rPr>
          <w:rFonts w:hint="eastAsia" w:ascii="宋体" w:hAnsi="宋体" w:cs="宋体"/>
          <w:sz w:val="24"/>
          <w:szCs w:val="24"/>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562"/>
        <w:spacing w:line="560" w:lineRule="exact"/>
        <w:rPr>
          <w:rFonts w:ascii="宋体" w:hAnsi="宋体" w:cs="宋体"/>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60" w:lineRule="exact"/>
        <w:rPr>
          <w:rFonts w:ascii="宋体" w:hAnsi="宋体" w:cs="宋体"/>
          <w:sz w:val="24"/>
          <w:szCs w:val="24"/>
        </w:rPr>
      </w:pPr>
      <w:r>
        <w:rPr>
          <w:rFonts w:hint="eastAsia" w:ascii="宋体" w:hAnsi="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tabs>
          <w:tab w:val="left" w:pos="6200" w:leader="none"/>
        </w:tabs>
        <w:rPr>
          <w:rFonts w:ascii="Arial" w:hAnsi="Arial" w:cs="Arial"/>
          <w:b/>
          <w:sz w:val="32"/>
          <w:szCs w:val="21"/>
        </w:rPr>
      </w:pPr>
      <w:r>
        <w:rPr>
          <w:rFonts w:ascii="Arial" w:hAnsi="Arial" w:cs="Arial"/>
          <w:b/>
          <w:sz w:val="32"/>
          <w:szCs w:val="21"/>
        </w:rPr>
        <w:t xml:space="preserve">（本项目不包含货物，供应商无需提供《</w:t>
      </w:r>
      <w:r>
        <w:rPr>
          <w:rFonts w:hint="eastAsia" w:ascii="Arial" w:hAnsi="Arial" w:cs="Arial"/>
          <w:b/>
          <w:sz w:val="32"/>
          <w:szCs w:val="21"/>
        </w:rPr>
        <w:t xml:space="preserve">关于符合本国产品标准的声明函</w:t>
      </w:r>
      <w:r>
        <w:rPr>
          <w:rFonts w:ascii="Arial" w:hAnsi="Arial" w:cs="Arial"/>
          <w:b/>
          <w:sz w:val="32"/>
          <w:szCs w:val="21"/>
        </w:rPr>
        <w:t xml:space="preserve">》）</w:t>
      </w:r>
      <w:r/>
    </w:p>
    <w:p>
      <w:pPr>
        <w:tabs>
          <w:tab w:val="left" w:pos="6200" w:leader="none"/>
        </w:tabs>
        <w:rPr>
          <w:rFonts w:ascii="Arial" w:hAnsi="Arial" w:cs="Arial"/>
          <w:b/>
          <w:sz w:val="32"/>
          <w:szCs w:val="21"/>
        </w:rPr>
      </w:pPr>
      <w:r>
        <w:rPr>
          <w:rFonts w:ascii="Arial" w:hAnsi="Arial" w:cs="Arial"/>
          <w:b/>
          <w:sz w:val="32"/>
          <w:szCs w:val="21"/>
        </w:rPr>
      </w:r>
      <w:r/>
    </w:p>
    <w:p>
      <w:pPr>
        <w:tabs>
          <w:tab w:val="left" w:pos="6200" w:leader="none"/>
        </w:tabs>
        <w:rPr>
          <w:rFonts w:ascii="Arial" w:hAnsi="Arial" w:cs="Arial"/>
          <w:b/>
          <w:sz w:val="32"/>
          <w:szCs w:val="21"/>
        </w:rPr>
      </w:pPr>
      <w:r>
        <w:rPr>
          <w:rFonts w:ascii="Arial" w:hAnsi="Arial" w:cs="Arial"/>
          <w:b/>
          <w:sz w:val="32"/>
          <w:szCs w:val="21"/>
        </w:rPr>
        <w:br w:type="page" w:clear="all"/>
      </w:r>
      <w:r/>
    </w:p>
    <w:p>
      <w:pPr>
        <w:jc w:val="center"/>
        <w:keepNext/>
        <w:rPr>
          <w:rFonts w:ascii="黑体" w:hAnsi="Times New Roman" w:eastAsia="黑体"/>
          <w:bCs/>
          <w:sz w:val="44"/>
          <w:szCs w:val="28"/>
        </w:rPr>
        <w:outlineLvl w:val="0"/>
      </w:pPr>
      <w:r/>
      <w:bookmarkStart w:id="183" w:name="_Toc120614281"/>
      <w:r>
        <w:rPr>
          <w:rFonts w:hint="eastAsia" w:ascii="黑体" w:hAnsi="Times New Roman" w:eastAsia="黑体"/>
          <w:bCs/>
          <w:sz w:val="44"/>
          <w:szCs w:val="28"/>
        </w:rPr>
        <w:t xml:space="preserve">第五章  评审方法与评审标准</w:t>
      </w:r>
      <w:r/>
    </w:p>
    <w:p>
      <w:pPr>
        <w:rPr>
          <w:rFonts w:ascii="Times New Roman" w:hAnsi="Times New Roman"/>
          <w:szCs w:val="21"/>
        </w:rPr>
      </w:pPr>
      <w:r>
        <w:rPr>
          <w:rFonts w:ascii="Times New Roman" w:hAnsi="Times New Roman"/>
          <w:szCs w:val="21"/>
        </w:rPr>
      </w:r>
      <w:r/>
    </w:p>
    <w:p>
      <w:pPr>
        <w:ind w:firstLine="441"/>
        <w:jc w:val="left"/>
        <w:spacing w:before="120" w:after="120" w:line="360" w:lineRule="auto"/>
        <w:rPr>
          <w:rFonts w:ascii="宋体" w:hAnsi="宋体"/>
          <w:b/>
          <w:sz w:val="24"/>
          <w:szCs w:val="24"/>
        </w:rPr>
      </w:pPr>
      <w:r>
        <w:rPr>
          <w:rFonts w:hint="eastAsia" w:ascii="宋体" w:hAnsi="宋体"/>
          <w:b/>
          <w:sz w:val="24"/>
          <w:szCs w:val="24"/>
        </w:rPr>
        <w:t xml:space="preserve">政府采购政策功能落实</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ascii="宋体" w:hAnsi="宋体"/>
          <w:sz w:val="24"/>
          <w:szCs w:val="24"/>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p>
    <w:p>
      <w:pPr>
        <w:ind w:left="360"/>
        <w:jc w:val="left"/>
        <w:spacing w:before="120" w:after="120" w:line="480" w:lineRule="exact"/>
        <w:rPr>
          <w:rFonts w:ascii="宋体" w:hAnsi="宋体"/>
          <w:sz w:val="24"/>
          <w:szCs w:val="24"/>
        </w:rPr>
      </w:pPr>
      <w:r>
        <w:rPr>
          <w:rFonts w:hint="eastAsia" w:ascii="方正魏碑_GBK" w:hAnsi="方正魏碑_GBK" w:eastAsia="方正魏碑_GBK" w:cs="方正魏碑_GBK"/>
          <w:sz w:val="32"/>
          <w:szCs w:val="32"/>
        </w:rPr>
        <w:t xml:space="preserve">7、采购本国产品的支持政策</w:t>
      </w:r>
      <w:r/>
    </w:p>
    <w:p>
      <w:pPr>
        <w:ind w:firstLine="480"/>
        <w:jc w:val="left"/>
        <w:spacing w:line="480" w:lineRule="exact"/>
        <w:rPr>
          <w:rFonts w:ascii="宋体" w:hAnsi="宋体"/>
          <w:sz w:val="24"/>
          <w:szCs w:val="24"/>
        </w:rPr>
      </w:pPr>
      <w:r>
        <w:rPr>
          <w:rFonts w:hint="eastAsia" w:ascii="宋体" w:hAnsi="宋体"/>
          <w:sz w:val="24"/>
          <w:szCs w:val="24"/>
        </w:rPr>
        <w:t xml:space="preserve">7.1当采购包中含有货物的，供应商为该采购包提供的符合本国产品标准的货物成本之和占该供应商提供的整个采购包成本之和的比例达到80%以上时（供应商需在“第六章响应文件格式”的“附件1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jc w:val="left"/>
        <w:spacing w:line="480" w:lineRule="exact"/>
        <w:rPr>
          <w:rFonts w:ascii="宋体" w:hAnsi="宋体"/>
          <w:sz w:val="24"/>
          <w:szCs w:val="24"/>
        </w:rPr>
      </w:pPr>
      <w:r>
        <w:rPr>
          <w:rFonts w:hint="eastAsia" w:ascii="宋体" w:hAnsi="宋体"/>
          <w:sz w:val="24"/>
          <w:szCs w:val="24"/>
        </w:rPr>
        <w:t xml:space="preserve">7.2供应商需按照磋商文件的要求提供《关于符合本国产品标准的声明函》（以下简称《声明函》），如不提供将不享受本国产品价格评审优惠。</w:t>
      </w:r>
      <w:r/>
    </w:p>
    <w:p>
      <w:pPr>
        <w:ind w:firstLine="480"/>
        <w:jc w:val="left"/>
        <w:spacing w:line="480" w:lineRule="exact"/>
        <w:rPr>
          <w:rFonts w:ascii="宋体" w:hAnsi="宋体"/>
          <w:sz w:val="24"/>
          <w:szCs w:val="24"/>
        </w:rPr>
      </w:pPr>
      <w:r>
        <w:rPr>
          <w:rFonts w:hint="eastAsia" w:ascii="宋体" w:hAnsi="宋体"/>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480" w:lineRule="exact"/>
        <w:rPr>
          <w:rFonts w:ascii="宋体" w:hAnsi="宋体"/>
          <w:sz w:val="24"/>
          <w:szCs w:val="24"/>
        </w:rPr>
      </w:pPr>
      <w:r>
        <w:rPr>
          <w:rFonts w:hint="eastAsia" w:ascii="宋体" w:hAnsi="宋体"/>
          <w:sz w:val="24"/>
          <w:szCs w:val="24"/>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left="360"/>
        <w:jc w:val="left"/>
        <w:spacing w:before="120" w:after="120" w:line="480" w:lineRule="exact"/>
        <w:rPr>
          <w:rFonts w:ascii="宋体" w:hAnsi="宋体"/>
          <w:sz w:val="24"/>
          <w:szCs w:val="24"/>
        </w:rPr>
      </w:pPr>
      <w:r>
        <w:rPr>
          <w:rFonts w:ascii="宋体" w:hAnsi="宋体"/>
          <w:sz w:val="24"/>
          <w:szCs w:val="24"/>
        </w:rPr>
      </w:r>
      <w:r/>
    </w:p>
    <w:p>
      <w:pPr>
        <w:pStyle w:val="717"/>
      </w:pPr>
      <w:r>
        <w:rPr>
          <w:rFonts w:ascii="宋体" w:hAnsi="宋体" w:eastAsia="宋体" w:cs="Times New Roman"/>
          <w:bCs w:val="0"/>
          <w:sz w:val="24"/>
          <w:szCs w:val="24"/>
        </w:rPr>
        <w:br w:type="page" w:clear="all"/>
      </w:r>
      <w:r/>
    </w:p>
    <w:p>
      <w:pPr>
        <w:ind w:firstLine="482"/>
        <w:jc w:val="left"/>
        <w:spacing w:before="120" w:after="120" w:line="0" w:lineRule="atLeast"/>
        <w:rPr>
          <w:rFonts w:ascii="宋体" w:hAnsi="宋体"/>
          <w:b/>
          <w:sz w:val="24"/>
          <w:szCs w:val="24"/>
          <w:highlight w:val="yellow"/>
        </w:rPr>
      </w:pPr>
      <w:r>
        <w:rPr>
          <w:rFonts w:hint="eastAsia" w:ascii="宋体" w:hAnsi="宋体"/>
          <w:b/>
          <w:sz w:val="24"/>
          <w:szCs w:val="24"/>
        </w:rPr>
        <w:t xml:space="preserve">评审方法与评审标准</w:t>
      </w:r>
      <w:r/>
    </w:p>
    <w:tbl>
      <w:tblPr>
        <w:tblW w:w="9087" w:type="dxa"/>
        <w:jc w:val="center"/>
        <w:tblLook w:val="04A0" w:firstRow="1" w:lastRow="0" w:firstColumn="1" w:lastColumn="0" w:noHBand="0" w:noVBand="1"/>
      </w:tblPr>
      <w:tblGrid>
        <w:gridCol w:w="1020"/>
        <w:gridCol w:w="1214"/>
        <w:gridCol w:w="5861"/>
        <w:gridCol w:w="992"/>
      </w:tblGrid>
      <w:tr>
        <w:trPr>
          <w:jc w:val="cente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序号</w:t>
            </w:r>
            <w:r/>
          </w:p>
        </w:tc>
        <w:tc>
          <w:tcPr>
            <w:tcBorders>
              <w:top w:val="single" w:color="000000" w:sz="4" w:space="0"/>
              <w:left w:val="none" w:color="000000" w:sz="4" w:space="0"/>
              <w:bottom w:val="single" w:color="000000" w:sz="4" w:space="0"/>
              <w:right w:val="single" w:color="000000" w:sz="4" w:space="0"/>
            </w:tcBorders>
            <w:tcW w:w="1214"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评标因素</w:t>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评分内容</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分值</w:t>
            </w:r>
            <w:r/>
          </w:p>
        </w:tc>
      </w:tr>
      <w:tr>
        <w:trPr>
          <w:jc w:val="center"/>
          <w:trHeight w:val="1118"/>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1</w:t>
            </w:r>
            <w:r/>
          </w:p>
        </w:tc>
        <w:tc>
          <w:tcPr>
            <w:tcBorders>
              <w:top w:val="non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价格分</w:t>
            </w:r>
            <w:r/>
          </w:p>
        </w:tc>
        <w:tc>
          <w:tcPr>
            <w:tcBorders>
              <w:top w:val="none" w:color="000000" w:sz="4" w:space="0"/>
              <w:left w:val="none" w:color="000000" w:sz="4" w:space="0"/>
              <w:bottom w:val="single" w:color="000000" w:sz="4" w:space="0"/>
              <w:right w:val="single" w:color="000000" w:sz="4" w:space="0"/>
            </w:tcBorders>
            <w:tcW w:w="5861" w:type="dxa"/>
            <w:vAlign w:val="center"/>
            <w:textDirection w:val="lrTb"/>
            <w:noWrap w:val="false"/>
          </w:tcPr>
          <w:p>
            <w:pPr>
              <w:spacing w:line="460" w:lineRule="exact"/>
              <w:rPr>
                <w:rFonts w:ascii="宋体" w:hAnsi="宋体"/>
                <w:szCs w:val="24"/>
              </w:rPr>
            </w:pPr>
            <w:r>
              <w:rPr>
                <w:rFonts w:hint="eastAsia" w:ascii="宋体" w:hAnsi="宋体"/>
                <w:szCs w:val="24"/>
              </w:rPr>
              <w:t xml:space="preserve">采用低价优先法计算，即满足磋商文件要求且价格最低的有效报价为基准价，其价格分为满分。其他供应商的价格分按照下列公式计算（小数点保留两位）：磋商报价得分=(基准价／磋商报价)×25。</w:t>
            </w:r>
            <w:r/>
          </w:p>
        </w:tc>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25</w:t>
            </w:r>
            <w:r/>
          </w:p>
        </w:tc>
      </w:tr>
      <w:tr>
        <w:trPr>
          <w:jc w:val="center"/>
          <w:trHeight w:val="60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2</w:t>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sz w:val="24"/>
                <w:szCs w:val="24"/>
              </w:rPr>
            </w:pPr>
            <w:r>
              <w:rPr>
                <w:rFonts w:hint="eastAsia" w:ascii="宋体" w:hAnsi="宋体"/>
                <w:szCs w:val="24"/>
              </w:rPr>
              <w:t xml:space="preserve">项目团队</w:t>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spacing w:line="460" w:lineRule="exact"/>
              <w:rPr>
                <w:rFonts w:ascii="宋体" w:hAnsi="宋体"/>
                <w:szCs w:val="24"/>
              </w:rPr>
            </w:pPr>
            <w:r>
              <w:rPr>
                <w:rFonts w:hint="eastAsia" w:ascii="宋体" w:hAnsi="宋体"/>
                <w:szCs w:val="24"/>
              </w:rPr>
              <w:t xml:space="preserve">为本项目配置团队情况，相关管理、技术及服务人员的数量、资历、能力、经验等情况。</w:t>
            </w:r>
            <w:r/>
          </w:p>
          <w:p>
            <w:pPr>
              <w:spacing w:line="460" w:lineRule="exact"/>
              <w:rPr>
                <w:rFonts w:ascii="宋体" w:hAnsi="宋体"/>
                <w:szCs w:val="24"/>
              </w:rPr>
            </w:pPr>
            <w:r>
              <w:rPr>
                <w:rFonts w:hint="eastAsia" w:ascii="宋体" w:hAnsi="宋体"/>
                <w:szCs w:val="24"/>
              </w:rPr>
              <w:t xml:space="preserve">2.1项目经理（1人）</w:t>
            </w:r>
            <w:r/>
          </w:p>
          <w:p>
            <w:pPr>
              <w:spacing w:line="460" w:lineRule="exact"/>
              <w:rPr>
                <w:rFonts w:ascii="宋体" w:hAnsi="宋体"/>
                <w:szCs w:val="24"/>
              </w:rPr>
            </w:pPr>
            <w:r>
              <w:rPr>
                <w:rFonts w:hint="eastAsia" w:ascii="宋体" w:hAnsi="宋体"/>
                <w:szCs w:val="24"/>
              </w:rPr>
              <w:t xml:space="preserve">2.1.1项目经理具有信息系统项目管理师证书、系统规划与管理师证书、ITSS信息技术应用创新服务经理证书，每有一本证书得3分，最高得9分。</w:t>
            </w:r>
            <w:r/>
          </w:p>
          <w:p>
            <w:pPr>
              <w:spacing w:line="460" w:lineRule="atLeast"/>
            </w:pPr>
            <w:r>
              <w:rPr>
                <w:rFonts w:eastAsia="Calibri" w:cs="Calibri"/>
                <w:color w:val="000000"/>
                <w:sz w:val="22"/>
              </w:rPr>
              <w:t xml:space="preserve">2.1.2</w:t>
            </w:r>
            <w:r>
              <w:rPr>
                <w:rFonts w:ascii="宋体" w:hAnsi="宋体" w:cs="宋体"/>
                <w:color w:val="000000"/>
                <w:sz w:val="22"/>
              </w:rPr>
              <w:t xml:space="preserve">项目经理具有</w:t>
            </w:r>
            <w:r>
              <w:rPr>
                <w:rFonts w:eastAsia="Calibri" w:cs="Calibri"/>
                <w:color w:val="000000"/>
                <w:sz w:val="22"/>
              </w:rPr>
              <w:t xml:space="preserve">2</w:t>
            </w:r>
            <w:r>
              <w:rPr>
                <w:rFonts w:ascii="宋体" w:hAnsi="宋体" w:cs="宋体"/>
                <w:color w:val="000000"/>
                <w:sz w:val="22"/>
              </w:rPr>
              <w:t xml:space="preserve">年及以上类似软件开发项目工作经验得</w:t>
            </w:r>
            <w:r>
              <w:rPr>
                <w:rFonts w:eastAsia="Calibri" w:cs="Calibri"/>
                <w:color w:val="000000"/>
                <w:sz w:val="22"/>
              </w:rPr>
              <w:t xml:space="preserve">2</w:t>
            </w:r>
            <w:r>
              <w:rPr>
                <w:rFonts w:ascii="宋体" w:hAnsi="宋体" w:cs="宋体"/>
                <w:color w:val="000000"/>
                <w:sz w:val="22"/>
              </w:rPr>
              <w:t xml:space="preserve">分，具有</w:t>
            </w:r>
            <w:r>
              <w:rPr>
                <w:rFonts w:eastAsia="Calibri" w:cs="Calibri"/>
                <w:color w:val="000000"/>
                <w:sz w:val="22"/>
              </w:rPr>
              <w:t xml:space="preserve">5</w:t>
            </w:r>
            <w:r>
              <w:rPr>
                <w:rFonts w:ascii="宋体" w:hAnsi="宋体" w:cs="宋体"/>
                <w:color w:val="000000"/>
                <w:sz w:val="22"/>
              </w:rPr>
              <w:t xml:space="preserve">年及以上类似软件开发项目工作经验得</w:t>
            </w:r>
            <w:r>
              <w:rPr>
                <w:rFonts w:eastAsia="Calibri" w:cs="Calibri"/>
                <w:color w:val="000000"/>
                <w:sz w:val="22"/>
              </w:rPr>
              <w:t xml:space="preserve">4</w:t>
            </w:r>
            <w:r>
              <w:rPr>
                <w:rFonts w:ascii="宋体" w:hAnsi="宋体" w:cs="宋体"/>
                <w:color w:val="000000"/>
                <w:sz w:val="22"/>
              </w:rPr>
              <w:t xml:space="preserve">分。</w:t>
            </w:r>
            <w:r/>
          </w:p>
          <w:p>
            <w:pPr>
              <w:spacing w:line="460" w:lineRule="exact"/>
              <w:rPr>
                <w:rFonts w:ascii="宋体" w:hAnsi="宋体"/>
                <w:szCs w:val="24"/>
              </w:rPr>
            </w:pPr>
            <w:r>
              <w:rPr>
                <w:rFonts w:hint="eastAsia" w:ascii="宋体" w:hAnsi="宋体"/>
                <w:szCs w:val="24"/>
              </w:rPr>
              <w:t xml:space="preserve">2.2研发工程师（1人）</w:t>
            </w:r>
            <w:r/>
          </w:p>
          <w:p>
            <w:pPr>
              <w:spacing w:line="460" w:lineRule="exact"/>
              <w:rPr>
                <w:rFonts w:ascii="宋体" w:hAnsi="宋体"/>
                <w:szCs w:val="24"/>
              </w:rPr>
            </w:pPr>
            <w:r>
              <w:rPr>
                <w:rFonts w:hint="eastAsia" w:ascii="宋体" w:hAnsi="宋体"/>
                <w:szCs w:val="24"/>
              </w:rPr>
              <w:t xml:space="preserve">2.2.1研发工程师具有网络工程师证书、系统集成项目管理工程师证书、系统分析师证书，每有一本证书得3分，最高得9分。</w:t>
            </w:r>
            <w:r/>
          </w:p>
          <w:p>
            <w:pPr>
              <w:spacing w:line="460" w:lineRule="atLeast"/>
            </w:pPr>
            <w:r>
              <w:rPr>
                <w:rFonts w:eastAsia="Calibri" w:cs="Calibri"/>
                <w:color w:val="000000"/>
                <w:sz w:val="22"/>
              </w:rPr>
              <w:t xml:space="preserve">2.2.2</w:t>
            </w:r>
            <w:r>
              <w:rPr>
                <w:rFonts w:ascii="宋体" w:hAnsi="宋体" w:cs="宋体"/>
                <w:color w:val="000000"/>
                <w:sz w:val="22"/>
              </w:rPr>
              <w:t xml:space="preserve">研发工程师具有</w:t>
            </w:r>
            <w:r>
              <w:rPr>
                <w:rFonts w:eastAsia="Calibri" w:cs="Calibri"/>
                <w:color w:val="000000"/>
                <w:sz w:val="22"/>
              </w:rPr>
              <w:t xml:space="preserve">2</w:t>
            </w:r>
            <w:r>
              <w:rPr>
                <w:rFonts w:ascii="宋体" w:hAnsi="宋体" w:cs="宋体"/>
                <w:color w:val="000000"/>
                <w:sz w:val="22"/>
              </w:rPr>
              <w:t xml:space="preserve">年及以上类似软件开发项目工作经验得</w:t>
            </w:r>
            <w:r>
              <w:rPr>
                <w:rFonts w:eastAsia="Calibri" w:cs="Calibri"/>
                <w:color w:val="000000"/>
                <w:sz w:val="22"/>
              </w:rPr>
              <w:t xml:space="preserve">2</w:t>
            </w:r>
            <w:r>
              <w:rPr>
                <w:rFonts w:ascii="宋体" w:hAnsi="宋体" w:cs="宋体"/>
                <w:color w:val="000000"/>
                <w:sz w:val="22"/>
              </w:rPr>
              <w:t xml:space="preserve">分，具有</w:t>
            </w:r>
            <w:r>
              <w:rPr>
                <w:rFonts w:eastAsia="Calibri" w:cs="Calibri"/>
                <w:color w:val="000000"/>
                <w:sz w:val="22"/>
              </w:rPr>
              <w:t xml:space="preserve">5</w:t>
            </w:r>
            <w:r>
              <w:rPr>
                <w:rFonts w:ascii="宋体" w:hAnsi="宋体" w:cs="宋体"/>
                <w:color w:val="000000"/>
                <w:sz w:val="22"/>
              </w:rPr>
              <w:t xml:space="preserve">年及以上类似软件开发项目工作经验得</w:t>
            </w:r>
            <w:r>
              <w:rPr>
                <w:rFonts w:eastAsia="Calibri" w:cs="Calibri"/>
                <w:color w:val="000000"/>
                <w:sz w:val="22"/>
              </w:rPr>
              <w:t xml:space="preserve">4</w:t>
            </w:r>
            <w:r>
              <w:rPr>
                <w:rFonts w:ascii="宋体" w:hAnsi="宋体" w:cs="宋体"/>
                <w:color w:val="000000"/>
                <w:sz w:val="22"/>
              </w:rPr>
              <w:t xml:space="preserve">分。</w:t>
            </w:r>
            <w:r/>
          </w:p>
          <w:p>
            <w:pPr>
              <w:spacing w:line="460" w:lineRule="exact"/>
              <w:rPr>
                <w:rFonts w:ascii="宋体" w:hAnsi="宋体"/>
                <w:szCs w:val="24"/>
              </w:rPr>
            </w:pPr>
            <w:r>
              <w:rPr>
                <w:rFonts w:hint="eastAsia" w:ascii="宋体" w:hAnsi="宋体"/>
                <w:szCs w:val="24"/>
              </w:rPr>
              <w:t xml:space="preserve">2.3项目经理及研发工程师以外的团队成员（2人）</w:t>
            </w:r>
            <w:r/>
          </w:p>
          <w:p>
            <w:pPr>
              <w:spacing w:line="460" w:lineRule="exact"/>
              <w:rPr>
                <w:rFonts w:ascii="宋体" w:hAnsi="宋体"/>
                <w:szCs w:val="24"/>
              </w:rPr>
            </w:pPr>
            <w:r>
              <w:rPr>
                <w:rFonts w:hint="eastAsia" w:ascii="宋体" w:hAnsi="宋体"/>
                <w:szCs w:val="24"/>
              </w:rPr>
              <w:t xml:space="preserve">项目组成员具有网络规划设计师证书、软件设计师证书、数据库系统工程师、系统架构设计师证书，每提供一个证书得3分，最高得12分。1人多证可以重复计分，同一证书不累计得分。 </w:t>
            </w:r>
            <w:r/>
          </w:p>
          <w:p>
            <w:pPr>
              <w:spacing w:line="460" w:lineRule="exact"/>
              <w:rPr>
                <w:rFonts w:ascii="宋体" w:hAnsi="宋体" w:cs="宋体"/>
                <w:sz w:val="24"/>
                <w:szCs w:val="24"/>
              </w:rPr>
            </w:pPr>
            <w:r>
              <w:rPr>
                <w:rFonts w:hint="eastAsia" w:ascii="宋体" w:hAnsi="宋体"/>
                <w:szCs w:val="24"/>
              </w:rPr>
              <w:t xml:space="preserve">注:供应商需提供上述人员名单、证书和供应商为其近半年内任意一个月的社保缴纳证明材料复印件或扫描件；项目工作经验应提供项目合同或用户单位开具的书面证明，且能体现项目信息、工作年限及人员姓名、工作岗位或职务等信息，否则不得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Cs w:val="24"/>
              </w:rPr>
              <w:t xml:space="preserve">38</w:t>
            </w:r>
            <w:r/>
          </w:p>
        </w:tc>
      </w:tr>
      <w:tr>
        <w:trPr>
          <w:jc w:val="center"/>
          <w:trHeight w:val="2027"/>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3</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sz w:val="24"/>
                <w:szCs w:val="24"/>
              </w:rPr>
            </w:pPr>
            <w:r>
              <w:rPr>
                <w:rFonts w:hint="eastAsia" w:ascii="宋体" w:hAnsi="宋体"/>
                <w:szCs w:val="24"/>
              </w:rPr>
              <w:t xml:space="preserve">业务能力</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jc w:val="left"/>
              <w:spacing w:line="460" w:lineRule="exact"/>
              <w:widowControl/>
              <w:rPr>
                <w:rFonts w:ascii="宋体" w:hAnsi="宋体"/>
                <w:szCs w:val="24"/>
                <w:highlight w:val="yellow"/>
              </w:rPr>
            </w:pPr>
            <w:r>
              <w:rPr>
                <w:rFonts w:hint="eastAsia" w:ascii="宋体" w:hAnsi="宋体"/>
                <w:szCs w:val="24"/>
                <w:highlight w:val="white"/>
              </w:rPr>
              <w:t xml:space="preserve">供应商提供监狱狱政管理、刑罚执行、教育改造管理软件著作权登记证书的，有一个得1分，最高得2分。</w:t>
            </w:r>
            <w:r/>
          </w:p>
          <w:p>
            <w:pPr>
              <w:jc w:val="left"/>
              <w:spacing w:line="460" w:lineRule="exact"/>
              <w:widowControl/>
              <w:rPr>
                <w:rFonts w:ascii="华文宋体" w:hAnsi="华文宋体" w:cs="华文宋体"/>
                <w:szCs w:val="24"/>
                <w:highlight w:val="yellow"/>
              </w:rPr>
            </w:pPr>
            <w:r>
              <w:rPr>
                <w:rFonts w:hint="eastAsia" w:ascii="宋体" w:hAnsi="宋体"/>
                <w:szCs w:val="24"/>
                <w:highlight w:val="white"/>
              </w:rPr>
              <w:t xml:space="preserve">注：供应商</w:t>
            </w:r>
            <w:r>
              <w:rPr>
                <w:rFonts w:ascii="宋体" w:hAnsi="宋体"/>
                <w:szCs w:val="24"/>
                <w:highlight w:val="white"/>
              </w:rPr>
              <w:t xml:space="preserve">需提供软件著作权证书（如供应商提供的著作权名称表述与采购文件描述的关键字样不一致，而该磋商文件中能证明供应商拥有的软件著作权具有相同或相似功能和效果，且评审委员会认可的，视同符合要求）复印件或扫描件并加盖供应商公章，未提供不得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Cs w:val="24"/>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4</w:t>
            </w:r>
            <w:r/>
          </w:p>
        </w:tc>
        <w:tc>
          <w:tcPr>
            <w:tcBorders>
              <w:top w:val="single" w:color="000000" w:sz="4" w:space="0"/>
              <w:left w:val="non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sz w:val="24"/>
                <w:szCs w:val="24"/>
              </w:rPr>
            </w:pPr>
            <w:r>
              <w:rPr>
                <w:rFonts w:hint="eastAsia" w:ascii="宋体" w:hAnsi="宋体"/>
                <w:szCs w:val="24"/>
              </w:rPr>
              <w:t xml:space="preserve">企业业绩</w:t>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4</w:t>
            </w:r>
            <w:r>
              <w:rPr>
                <w:rFonts w:hint="eastAsia" w:ascii="宋体" w:hAnsi="宋体"/>
                <w:szCs w:val="24"/>
              </w:rPr>
              <w:t xml:space="preserve">.1、供应商提供自2020年1月1日以来，签订的类似信息系统维保项目业绩，每提供1个类似业绩得2分，最高得4分。</w:t>
            </w:r>
            <w:r/>
          </w:p>
          <w:p>
            <w:pPr>
              <w:jc w:val="left"/>
              <w:spacing w:line="460" w:lineRule="exact"/>
              <w:widowControl/>
              <w:rPr>
                <w:rFonts w:ascii="宋体" w:hAnsi="宋体"/>
                <w:szCs w:val="24"/>
              </w:rPr>
            </w:pPr>
            <w:r>
              <w:rPr>
                <w:rFonts w:hint="eastAsia" w:ascii="宋体" w:hAnsi="宋体"/>
                <w:szCs w:val="24"/>
              </w:rPr>
              <w:t xml:space="preserve">4</w:t>
            </w:r>
            <w:bookmarkStart w:id="184" w:name="_GoBack"/>
            <w:r/>
            <w:bookmarkEnd w:id="184"/>
            <w:r>
              <w:rPr>
                <w:rFonts w:hint="eastAsia" w:ascii="宋体" w:hAnsi="宋体"/>
                <w:szCs w:val="24"/>
              </w:rPr>
              <w:t xml:space="preserve">.2、供应商提供自2020年1月1日以来，具有类似的软件开发类项目业绩，每提供1个得2分，最多得6分。</w:t>
            </w:r>
            <w:r/>
          </w:p>
          <w:p>
            <w:pPr>
              <w:jc w:val="left"/>
              <w:spacing w:line="460" w:lineRule="exact"/>
              <w:widowControl/>
              <w:rPr>
                <w:rFonts w:ascii="宋体" w:hAnsi="宋体"/>
                <w:szCs w:val="24"/>
              </w:rPr>
            </w:pPr>
            <w:r>
              <w:rPr>
                <w:rFonts w:hint="eastAsia" w:ascii="宋体" w:hAnsi="宋体"/>
                <w:szCs w:val="24"/>
              </w:rPr>
              <w:t xml:space="preserve">需提供项目合同证明文件复印件或扫描件，并加盖公章，否则不得分，与本项目不相关不得分。</w:t>
            </w:r>
            <w:r/>
          </w:p>
          <w:p>
            <w:pPr>
              <w:jc w:val="left"/>
              <w:spacing w:line="460" w:lineRule="exact"/>
              <w:widowControl/>
              <w:rPr>
                <w:rFonts w:ascii="宋体" w:hAnsi="宋体"/>
                <w:szCs w:val="24"/>
              </w:rPr>
            </w:pPr>
            <w:r>
              <w:rPr>
                <w:rFonts w:hint="eastAsia" w:ascii="宋体" w:hAnsi="宋体"/>
                <w:szCs w:val="24"/>
              </w:rPr>
              <w:t xml:space="preserve">注:每份项目案例证明材料包括有效的合同关键页，时间以合同签订时间为准，合同上须能清晰体现合同签订时间、合同主要内容及合同双方的盖章，合同中对采购标的描述不清晰的，可提供其他有效的佐证材料。本项评审第1项和第2项项目案例业绩相同的不重复计算。</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Cs w:val="24"/>
              </w:rPr>
              <w:t xml:space="preserve">10</w:t>
            </w:r>
            <w:r/>
          </w:p>
        </w:tc>
      </w:tr>
      <w:tr>
        <w:trPr>
          <w:jc w:val="center"/>
          <w:trHeight w:val="60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5</w:t>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cs="宋体"/>
                <w:sz w:val="24"/>
                <w:szCs w:val="24"/>
                <w:lang w:bidi="ar"/>
              </w:rPr>
            </w:pPr>
            <w:r>
              <w:rPr>
                <w:rFonts w:hint="eastAsia" w:ascii="宋体" w:hAnsi="宋体" w:cs="宋体"/>
                <w:szCs w:val="24"/>
                <w:lang w:bidi="ar"/>
              </w:rPr>
              <w:t xml:space="preserve">技术方案</w:t>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评委根据响应文件对采购文件第四章“采购需求”中“技术方案”要求的响应情况进行评审</w:t>
            </w:r>
            <w:r/>
          </w:p>
          <w:p>
            <w:pPr>
              <w:jc w:val="left"/>
              <w:spacing w:line="460" w:lineRule="exact"/>
              <w:widowControl/>
              <w:rPr>
                <w:rFonts w:ascii="宋体" w:hAnsi="宋体"/>
                <w:szCs w:val="24"/>
              </w:rPr>
            </w:pPr>
            <w:r>
              <w:rPr>
                <w:rFonts w:hint="eastAsia" w:ascii="宋体" w:hAnsi="宋体"/>
                <w:szCs w:val="24"/>
              </w:rPr>
              <w:t xml:space="preserve">（1）响应文件未符合“技术方案”中全部条款要求的，视为不符合采购文件，本项得0分。</w:t>
            </w:r>
            <w:r/>
          </w:p>
          <w:p>
            <w:pPr>
              <w:jc w:val="left"/>
              <w:spacing w:line="460" w:lineRule="exact"/>
              <w:widowControl/>
              <w:rPr>
                <w:rFonts w:ascii="宋体" w:hAnsi="宋体"/>
                <w:szCs w:val="24"/>
              </w:rPr>
            </w:pPr>
            <w:r>
              <w:rPr>
                <w:rFonts w:hint="eastAsia" w:ascii="宋体" w:hAnsi="宋体"/>
                <w:szCs w:val="24"/>
              </w:rPr>
              <w:t xml:space="preserve">（2）响应文件符合“技术方案”中全部条款要求的，视为符合采购文件，本项得3分。</w:t>
            </w:r>
            <w:r/>
          </w:p>
          <w:p>
            <w:pPr>
              <w:jc w:val="left"/>
              <w:spacing w:line="460" w:lineRule="exact"/>
              <w:widowControl/>
              <w:rPr>
                <w:rFonts w:ascii="宋体" w:hAnsi="宋体"/>
                <w:szCs w:val="24"/>
              </w:rPr>
            </w:pPr>
            <w:r>
              <w:rPr>
                <w:rFonts w:hint="eastAsia" w:ascii="宋体" w:hAnsi="宋体"/>
                <w:szCs w:val="24"/>
              </w:rPr>
              <w:t xml:space="preserve">（3）响应文件对“技术方案”中“技术架构”、“核心功能”2项要求的响应内容全部优于采购文件要求的（前提是响应文件对“设计方案”中除“技术架构”、</w:t>
            </w:r>
            <w:r>
              <w:rPr>
                <w:rFonts w:hint="eastAsia" w:ascii="宋体" w:hAnsi="宋体"/>
                <w:szCs w:val="24"/>
              </w:rPr>
              <w:t xml:space="preserve"> </w:t>
            </w:r>
            <w:r>
              <w:rPr>
                <w:rFonts w:hint="eastAsia" w:ascii="宋体" w:hAnsi="宋体"/>
                <w:szCs w:val="24"/>
              </w:rPr>
              <w:t xml:space="preserve">“核心功能”外其他要求响应内容符合采购文件要求），本项得5</w:t>
            </w:r>
            <w:r>
              <w:rPr>
                <w:rFonts w:hint="eastAsia" w:ascii="宋体" w:hAnsi="宋体"/>
                <w:szCs w:val="24"/>
              </w:rPr>
              <w:t xml:space="preserve">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cs="宋体"/>
                <w:sz w:val="24"/>
                <w:szCs w:val="24"/>
                <w:lang w:bidi="ar"/>
              </w:rPr>
            </w:pPr>
            <w:r>
              <w:rPr>
                <w:rFonts w:hint="eastAsia" w:ascii="宋体" w:hAnsi="宋体" w:cs="宋体"/>
                <w:sz w:val="24"/>
                <w:szCs w:val="24"/>
                <w:lang w:bidi="ar"/>
              </w:rPr>
              <w:t xml:space="preserve">5</w:t>
            </w:r>
            <w:r/>
          </w:p>
        </w:tc>
      </w:tr>
      <w:tr>
        <w:trPr>
          <w:jc w:val="center"/>
          <w:trHeight w:val="60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6</w:t>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sz w:val="24"/>
                <w:szCs w:val="24"/>
              </w:rPr>
            </w:pPr>
            <w:r>
              <w:rPr>
                <w:rFonts w:hint="eastAsia" w:ascii="宋体" w:hAnsi="宋体" w:cs="宋体"/>
                <w:sz w:val="24"/>
                <w:szCs w:val="24"/>
              </w:rPr>
              <w:t xml:space="preserve">兼容性安全性方案</w:t>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评委根据响应文件对采购文件第四章“采购需求”中“兼容性安全性方案”要求的响应情况进行评审</w:t>
            </w:r>
            <w:r/>
          </w:p>
          <w:p>
            <w:pPr>
              <w:jc w:val="left"/>
              <w:spacing w:line="460" w:lineRule="exact"/>
              <w:widowControl/>
              <w:rPr>
                <w:rFonts w:ascii="宋体" w:hAnsi="宋体"/>
                <w:szCs w:val="24"/>
              </w:rPr>
            </w:pPr>
            <w:r>
              <w:rPr>
                <w:rFonts w:hint="eastAsia" w:ascii="宋体" w:hAnsi="宋体"/>
                <w:szCs w:val="24"/>
              </w:rPr>
              <w:t xml:space="preserve">（1）响应文件未符合“兼容性安全性方案”中全部条款要求的，视为不符合采购文件，本项得0分。</w:t>
            </w:r>
            <w:r/>
          </w:p>
          <w:p>
            <w:pPr>
              <w:jc w:val="left"/>
              <w:spacing w:line="460" w:lineRule="exact"/>
              <w:widowControl/>
              <w:rPr>
                <w:rFonts w:ascii="宋体" w:hAnsi="宋体"/>
                <w:szCs w:val="24"/>
              </w:rPr>
            </w:pPr>
            <w:r>
              <w:rPr>
                <w:rFonts w:hint="eastAsia" w:ascii="宋体" w:hAnsi="宋体"/>
                <w:szCs w:val="24"/>
              </w:rPr>
              <w:t xml:space="preserve">（2）响应文件符合“兼容性安全性方案”中全部条款要求的，视为符合采购文件，本项得3分。</w:t>
            </w:r>
            <w:r/>
          </w:p>
          <w:p>
            <w:pPr>
              <w:jc w:val="left"/>
              <w:spacing w:line="460" w:lineRule="exact"/>
              <w:widowControl/>
              <w:rPr>
                <w:rFonts w:ascii="宋体" w:hAnsi="宋体"/>
                <w:szCs w:val="24"/>
              </w:rPr>
            </w:pPr>
            <w:r>
              <w:rPr>
                <w:rFonts w:hint="eastAsia" w:ascii="宋体" w:hAnsi="宋体"/>
                <w:szCs w:val="24"/>
              </w:rPr>
              <w:t xml:space="preserve">（3）响应文件对“兼容性安全性方案”中“设备兼容性”、“浏览器/插件兼容性”、“数据兼容性”、“数据安全”、“权限管理”</w:t>
            </w:r>
            <w:r>
              <w:rPr>
                <w:rFonts w:hint="eastAsia" w:ascii="宋体" w:hAnsi="宋体"/>
                <w:szCs w:val="24"/>
              </w:rPr>
              <w:t xml:space="preserve">5项</w:t>
            </w:r>
            <w:r>
              <w:rPr>
                <w:rFonts w:hint="eastAsia" w:ascii="宋体" w:hAnsi="宋体"/>
                <w:szCs w:val="24"/>
              </w:rPr>
              <w:t xml:space="preserve">要求的响应内容全部优于采购文件要求的（前提是响应文件</w:t>
            </w:r>
            <w:r>
              <w:rPr>
                <w:rFonts w:hint="eastAsia" w:ascii="宋体" w:hAnsi="宋体"/>
                <w:szCs w:val="24"/>
              </w:rPr>
              <w:t xml:space="preserve">对</w:t>
            </w:r>
            <w:r>
              <w:rPr>
                <w:rFonts w:hint="eastAsia" w:ascii="宋体" w:hAnsi="宋体"/>
                <w:szCs w:val="24"/>
              </w:rPr>
              <w:t xml:space="preserve">“兼容性安全性方案”中“设备兼容性”、“浏览器/插件兼容性”、“数据兼容性”、“数据安全”、“权限管理”外</w:t>
            </w:r>
            <w:r>
              <w:rPr>
                <w:rFonts w:hint="eastAsia" w:ascii="宋体" w:hAnsi="宋体"/>
                <w:szCs w:val="24"/>
              </w:rPr>
              <w:t xml:space="preserve">其他要求响应内容符合采购文件要求），本项得5分。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Cs w:val="24"/>
              </w:rPr>
              <w:t xml:space="preserve">5</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7</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cs="宋体"/>
                <w:szCs w:val="24"/>
                <w:lang w:bidi="ar"/>
              </w:rPr>
            </w:pPr>
            <w:r>
              <w:rPr>
                <w:rFonts w:hint="eastAsia" w:ascii="宋体" w:hAnsi="宋体" w:cs="宋体"/>
                <w:sz w:val="24"/>
                <w:szCs w:val="24"/>
              </w:rPr>
              <w:t xml:space="preserve">质量管理方案</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评委根据响应文件对采购文件第四章“采购需求”中“质量管理方案”要求的响应情况进行评审</w:t>
            </w:r>
            <w:r/>
          </w:p>
          <w:p>
            <w:pPr>
              <w:jc w:val="left"/>
              <w:spacing w:line="460" w:lineRule="exact"/>
              <w:widowControl/>
              <w:rPr>
                <w:rFonts w:ascii="宋体" w:hAnsi="宋体"/>
                <w:szCs w:val="24"/>
              </w:rPr>
            </w:pPr>
            <w:r>
              <w:rPr>
                <w:rFonts w:hint="eastAsia" w:ascii="宋体" w:hAnsi="宋体"/>
                <w:szCs w:val="24"/>
              </w:rPr>
              <w:t xml:space="preserve">（1）响应文件未符合“质量管理方案”中全部条款要求的，视为不符合采购文件，本项得0分。</w:t>
            </w:r>
            <w:r/>
          </w:p>
          <w:p>
            <w:pPr>
              <w:jc w:val="left"/>
              <w:spacing w:line="460" w:lineRule="exact"/>
              <w:widowControl/>
              <w:rPr>
                <w:rFonts w:ascii="宋体" w:hAnsi="宋体"/>
                <w:szCs w:val="24"/>
              </w:rPr>
            </w:pPr>
            <w:r>
              <w:rPr>
                <w:rFonts w:hint="eastAsia" w:ascii="宋体" w:hAnsi="宋体"/>
                <w:szCs w:val="24"/>
              </w:rPr>
              <w:t xml:space="preserve">（2）响应文件符合“质量管理方案”中全部条款要求的，视为符合采购文件，本项得3分。</w:t>
            </w:r>
            <w:r/>
          </w:p>
          <w:p>
            <w:pPr>
              <w:jc w:val="left"/>
              <w:spacing w:line="460" w:lineRule="exact"/>
              <w:widowControl/>
              <w:rPr>
                <w:rFonts w:ascii="宋体" w:hAnsi="宋体"/>
                <w:szCs w:val="24"/>
              </w:rPr>
            </w:pPr>
            <w:r>
              <w:rPr>
                <w:rFonts w:hint="eastAsia" w:ascii="宋体" w:hAnsi="宋体"/>
                <w:szCs w:val="24"/>
              </w:rPr>
              <w:t xml:space="preserve">（3）响应文件</w:t>
            </w:r>
            <w:bookmarkStart w:id="185" w:name="OLE_LINK17"/>
            <w:r/>
            <w:bookmarkStart w:id="186" w:name="OLE_LINK18"/>
            <w:r>
              <w:rPr>
                <w:rFonts w:hint="eastAsia" w:ascii="宋体" w:hAnsi="宋体"/>
                <w:szCs w:val="24"/>
              </w:rPr>
              <w:t xml:space="preserve">对“质量管理方案”中“质量标准”、“测试管理”</w:t>
            </w:r>
            <w:bookmarkEnd w:id="185"/>
            <w:r/>
            <w:bookmarkEnd w:id="186"/>
            <w:r>
              <w:rPr>
                <w:rFonts w:hint="eastAsia" w:ascii="宋体" w:hAnsi="宋体"/>
                <w:szCs w:val="24"/>
              </w:rPr>
              <w:t xml:space="preserve">2项要求的响应内容全部优于采购文件要求的（前提是响应文件</w:t>
            </w:r>
            <w:r>
              <w:rPr>
                <w:rFonts w:hint="eastAsia" w:ascii="宋体" w:hAnsi="宋体"/>
                <w:szCs w:val="24"/>
              </w:rPr>
              <w:t xml:space="preserve">对“质量管理方案”中“质量标准”、“测试管理”外</w:t>
            </w:r>
            <w:r>
              <w:rPr>
                <w:rFonts w:hint="eastAsia" w:ascii="宋体" w:hAnsi="宋体"/>
                <w:szCs w:val="24"/>
              </w:rPr>
              <w:t xml:space="preserve">其他要求响应内容符合采购文件要求），本项得5分。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cs="宋体"/>
                <w:szCs w:val="24"/>
                <w:lang w:bidi="ar"/>
              </w:rPr>
            </w:pPr>
            <w:r>
              <w:rPr>
                <w:rFonts w:hint="eastAsia" w:ascii="宋体" w:hAnsi="宋体" w:cs="宋体"/>
                <w:szCs w:val="24"/>
                <w:lang w:bidi="ar"/>
              </w:rPr>
              <w:t xml:space="preserve">5</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8</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cs="宋体"/>
                <w:szCs w:val="24"/>
                <w:lang w:bidi="ar"/>
              </w:rPr>
            </w:pPr>
            <w:r>
              <w:rPr>
                <w:rFonts w:ascii="宋体" w:hAnsi="宋体" w:cs="宋体"/>
                <w:sz w:val="24"/>
                <w:szCs w:val="24"/>
              </w:rPr>
              <w:t xml:space="preserve">风险防控方案</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评委根据响应文件对采购文件第四章“采购需求”中“</w:t>
            </w:r>
            <w:r>
              <w:rPr>
                <w:rFonts w:ascii="宋体" w:hAnsi="宋体"/>
                <w:szCs w:val="24"/>
              </w:rPr>
              <w:t xml:space="preserve">风险防控方案</w:t>
            </w:r>
            <w:r>
              <w:rPr>
                <w:rFonts w:hint="eastAsia" w:ascii="宋体" w:hAnsi="宋体"/>
                <w:szCs w:val="24"/>
              </w:rPr>
              <w:t xml:space="preserve">”要求的响应情况进行评审</w:t>
            </w:r>
            <w:r/>
          </w:p>
          <w:p>
            <w:pPr>
              <w:jc w:val="left"/>
              <w:spacing w:line="460" w:lineRule="exact"/>
              <w:widowControl/>
              <w:rPr>
                <w:rFonts w:ascii="宋体" w:hAnsi="宋体"/>
                <w:szCs w:val="24"/>
              </w:rPr>
            </w:pPr>
            <w:r>
              <w:rPr>
                <w:rFonts w:hint="eastAsia" w:ascii="宋体" w:hAnsi="宋体"/>
                <w:szCs w:val="24"/>
              </w:rPr>
              <w:t xml:space="preserve">（1）响应文件未符合“</w:t>
            </w:r>
            <w:r>
              <w:rPr>
                <w:rFonts w:ascii="宋体" w:hAnsi="宋体"/>
                <w:szCs w:val="24"/>
              </w:rPr>
              <w:t xml:space="preserve">风险防控方案</w:t>
            </w:r>
            <w:r>
              <w:rPr>
                <w:rFonts w:hint="eastAsia" w:ascii="宋体" w:hAnsi="宋体"/>
                <w:szCs w:val="24"/>
              </w:rPr>
              <w:t xml:space="preserve">”中全部条款要求的，视为不符合采购文件，本项得0分。</w:t>
            </w:r>
            <w:r/>
          </w:p>
          <w:p>
            <w:pPr>
              <w:jc w:val="left"/>
              <w:spacing w:line="460" w:lineRule="exact"/>
              <w:widowControl/>
              <w:rPr>
                <w:rFonts w:ascii="宋体" w:hAnsi="宋体"/>
                <w:szCs w:val="24"/>
              </w:rPr>
            </w:pPr>
            <w:r>
              <w:rPr>
                <w:rFonts w:hint="eastAsia" w:ascii="宋体" w:hAnsi="宋体"/>
                <w:szCs w:val="24"/>
              </w:rPr>
              <w:t xml:space="preserve">（2）响应文件符合“</w:t>
            </w:r>
            <w:r>
              <w:rPr>
                <w:rFonts w:ascii="宋体" w:hAnsi="宋体"/>
                <w:szCs w:val="24"/>
              </w:rPr>
              <w:t xml:space="preserve">风险防控方案</w:t>
            </w:r>
            <w:r>
              <w:rPr>
                <w:rFonts w:hint="eastAsia" w:ascii="宋体" w:hAnsi="宋体"/>
                <w:szCs w:val="24"/>
              </w:rPr>
              <w:t xml:space="preserve">”中全部条款要求的，视为符合采购文件，本项得3分。</w:t>
            </w:r>
            <w:r/>
          </w:p>
          <w:p>
            <w:pPr>
              <w:jc w:val="left"/>
              <w:spacing w:line="460" w:lineRule="exact"/>
              <w:widowControl/>
              <w:rPr>
                <w:rFonts w:ascii="宋体" w:hAnsi="宋体"/>
                <w:szCs w:val="24"/>
              </w:rPr>
            </w:pPr>
            <w:r>
              <w:rPr>
                <w:rFonts w:hint="eastAsia" w:ascii="宋体" w:hAnsi="宋体"/>
                <w:szCs w:val="24"/>
              </w:rPr>
              <w:t xml:space="preserve">（3）响应文件对“</w:t>
            </w:r>
            <w:r>
              <w:rPr>
                <w:rFonts w:ascii="宋体" w:hAnsi="宋体"/>
                <w:szCs w:val="24"/>
              </w:rPr>
              <w:t xml:space="preserve">风险防控方案</w:t>
            </w:r>
            <w:r>
              <w:rPr>
                <w:rFonts w:hint="eastAsia" w:ascii="宋体" w:hAnsi="宋体"/>
                <w:szCs w:val="24"/>
              </w:rPr>
              <w:t xml:space="preserve">”中“</w:t>
            </w:r>
            <w:r>
              <w:rPr>
                <w:rFonts w:ascii="宋体" w:hAnsi="宋体"/>
                <w:szCs w:val="24"/>
              </w:rPr>
              <w:t xml:space="preserve">全面识别风险</w:t>
            </w:r>
            <w:r>
              <w:rPr>
                <w:rFonts w:hint="eastAsia" w:ascii="宋体" w:hAnsi="宋体"/>
                <w:szCs w:val="24"/>
              </w:rPr>
              <w:t xml:space="preserve">”、“</w:t>
            </w:r>
            <w:r>
              <w:rPr>
                <w:rFonts w:ascii="宋体" w:hAnsi="宋体"/>
                <w:szCs w:val="24"/>
              </w:rPr>
              <w:t xml:space="preserve">制定防控措施</w:t>
            </w:r>
            <w:r>
              <w:rPr>
                <w:rFonts w:hint="eastAsia" w:ascii="宋体" w:hAnsi="宋体"/>
                <w:szCs w:val="24"/>
              </w:rPr>
              <w:t xml:space="preserve">”2项要求的响应内容全部优于采购文件要求的（前提是响应文件对</w:t>
            </w:r>
            <w:r>
              <w:rPr>
                <w:rFonts w:hint="eastAsia" w:ascii="宋体" w:hAnsi="宋体"/>
                <w:szCs w:val="24"/>
              </w:rPr>
              <w:t xml:space="preserve">“风险防控方案”中“全面识别风险”、“制定防控措施”外</w:t>
            </w:r>
            <w:r>
              <w:rPr>
                <w:rFonts w:hint="eastAsia" w:ascii="宋体" w:hAnsi="宋体"/>
                <w:szCs w:val="24"/>
              </w:rPr>
              <w:t xml:space="preserve">其他要求响应内容符合采购文件要求），本项得5分。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cs="宋体"/>
                <w:szCs w:val="24"/>
                <w:lang w:bidi="ar"/>
              </w:rPr>
            </w:pPr>
            <w:r>
              <w:rPr>
                <w:rFonts w:hint="eastAsia" w:ascii="宋体" w:hAnsi="宋体" w:cs="宋体"/>
                <w:szCs w:val="24"/>
                <w:lang w:bidi="ar"/>
              </w:rPr>
              <w:t xml:space="preserve">5</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460" w:lineRule="exact"/>
              <w:widowControl/>
              <w:rPr>
                <w:rFonts w:ascii="宋体" w:hAnsi="宋体"/>
                <w:szCs w:val="24"/>
              </w:rPr>
            </w:pPr>
            <w:r>
              <w:rPr>
                <w:rFonts w:hint="eastAsia" w:ascii="宋体" w:hAnsi="宋体"/>
                <w:szCs w:val="24"/>
              </w:rPr>
              <w:t xml:space="preserve">9</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spacing w:line="460" w:lineRule="exact"/>
              <w:widowControl/>
              <w:rPr>
                <w:rFonts w:ascii="宋体" w:hAnsi="宋体" w:cs="宋体"/>
                <w:szCs w:val="24"/>
                <w:lang w:bidi="ar"/>
              </w:rPr>
            </w:pPr>
            <w:r>
              <w:rPr>
                <w:rFonts w:ascii="宋体" w:hAnsi="宋体" w:cs="宋体"/>
                <w:sz w:val="24"/>
                <w:szCs w:val="24"/>
              </w:rPr>
              <w:t xml:space="preserve">应急处置应</w:t>
            </w:r>
            <w:r>
              <w:rPr>
                <w:rFonts w:hint="eastAsia" w:ascii="宋体" w:hAnsi="宋体" w:cs="宋体"/>
                <w:sz w:val="24"/>
                <w:szCs w:val="24"/>
              </w:rPr>
              <w:t xml:space="preserve">方案</w:t>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jc w:val="left"/>
              <w:spacing w:line="460" w:lineRule="exact"/>
              <w:widowControl/>
              <w:rPr>
                <w:rFonts w:ascii="宋体" w:hAnsi="宋体"/>
                <w:szCs w:val="24"/>
              </w:rPr>
            </w:pPr>
            <w:r>
              <w:rPr>
                <w:rFonts w:hint="eastAsia" w:ascii="宋体" w:hAnsi="宋体"/>
                <w:szCs w:val="24"/>
              </w:rPr>
              <w:t xml:space="preserve">评委根据响应文件对采购文件第四章“采购需求”中“</w:t>
            </w:r>
            <w:r>
              <w:rPr>
                <w:rFonts w:ascii="宋体" w:hAnsi="宋体"/>
                <w:szCs w:val="24"/>
              </w:rPr>
              <w:t xml:space="preserve">应急处置应</w:t>
            </w:r>
            <w:r>
              <w:rPr>
                <w:rFonts w:hint="eastAsia" w:ascii="宋体" w:hAnsi="宋体"/>
                <w:szCs w:val="24"/>
              </w:rPr>
              <w:t xml:space="preserve">方案”要求的响应情况进行评审</w:t>
            </w:r>
            <w:r/>
          </w:p>
          <w:p>
            <w:pPr>
              <w:jc w:val="left"/>
              <w:spacing w:line="460" w:lineRule="exact"/>
              <w:widowControl/>
              <w:rPr>
                <w:rFonts w:ascii="宋体" w:hAnsi="宋体"/>
                <w:szCs w:val="24"/>
              </w:rPr>
            </w:pPr>
            <w:r>
              <w:rPr>
                <w:rFonts w:hint="eastAsia" w:ascii="宋体" w:hAnsi="宋体"/>
                <w:szCs w:val="24"/>
              </w:rPr>
              <w:t xml:space="preserve">（1）响应文件未符合“</w:t>
            </w:r>
            <w:r>
              <w:rPr>
                <w:rFonts w:ascii="宋体" w:hAnsi="宋体"/>
                <w:szCs w:val="24"/>
              </w:rPr>
              <w:t xml:space="preserve">应急处置应</w:t>
            </w:r>
            <w:r>
              <w:rPr>
                <w:rFonts w:hint="eastAsia" w:ascii="宋体" w:hAnsi="宋体"/>
                <w:szCs w:val="24"/>
              </w:rPr>
              <w:t xml:space="preserve">方案”中全部条款要求的，视为不符合采购文件，本项得0分。</w:t>
            </w:r>
            <w:r/>
          </w:p>
          <w:p>
            <w:pPr>
              <w:jc w:val="left"/>
              <w:spacing w:line="460" w:lineRule="exact"/>
              <w:widowControl/>
              <w:rPr>
                <w:rFonts w:ascii="宋体" w:hAnsi="宋体"/>
                <w:szCs w:val="24"/>
              </w:rPr>
            </w:pPr>
            <w:r>
              <w:rPr>
                <w:rFonts w:hint="eastAsia" w:ascii="宋体" w:hAnsi="宋体"/>
                <w:szCs w:val="24"/>
              </w:rPr>
              <w:t xml:space="preserve">（2）响应文件符合“</w:t>
            </w:r>
            <w:r>
              <w:rPr>
                <w:rFonts w:ascii="宋体" w:hAnsi="宋体"/>
                <w:szCs w:val="24"/>
              </w:rPr>
              <w:t xml:space="preserve">应急处置应</w:t>
            </w:r>
            <w:r>
              <w:rPr>
                <w:rFonts w:hint="eastAsia" w:ascii="宋体" w:hAnsi="宋体"/>
                <w:szCs w:val="24"/>
              </w:rPr>
              <w:t xml:space="preserve">方案”中全部条款要求的，视为符合采购文件，本项得3分。</w:t>
            </w:r>
            <w:r/>
          </w:p>
          <w:p>
            <w:pPr>
              <w:jc w:val="left"/>
              <w:spacing w:line="460" w:lineRule="exact"/>
              <w:widowControl/>
              <w:rPr>
                <w:rFonts w:ascii="宋体" w:hAnsi="宋体"/>
                <w:szCs w:val="24"/>
              </w:rPr>
            </w:pPr>
            <w:r>
              <w:rPr>
                <w:rFonts w:hint="eastAsia" w:ascii="宋体" w:hAnsi="宋体"/>
                <w:szCs w:val="24"/>
              </w:rPr>
              <w:t xml:space="preserve">（3）响应文件对</w:t>
            </w:r>
            <w:bookmarkStart w:id="187" w:name="OLE_LINK19"/>
            <w:r/>
            <w:bookmarkStart w:id="188" w:name="OLE_LINK20"/>
            <w:r>
              <w:rPr>
                <w:rFonts w:hint="eastAsia" w:ascii="宋体" w:hAnsi="宋体"/>
                <w:szCs w:val="24"/>
              </w:rPr>
              <w:t xml:space="preserve">“</w:t>
            </w:r>
            <w:r>
              <w:rPr>
                <w:rFonts w:ascii="宋体" w:hAnsi="宋体"/>
                <w:szCs w:val="24"/>
              </w:rPr>
              <w:t xml:space="preserve">应急处置应</w:t>
            </w:r>
            <w:r>
              <w:rPr>
                <w:rFonts w:hint="eastAsia" w:ascii="宋体" w:hAnsi="宋体"/>
                <w:szCs w:val="24"/>
              </w:rPr>
              <w:t xml:space="preserve">方案”中“</w:t>
            </w:r>
            <w:r>
              <w:rPr>
                <w:rFonts w:ascii="宋体" w:hAnsi="宋体"/>
                <w:szCs w:val="24"/>
              </w:rPr>
              <w:t xml:space="preserve">明确应急场景</w:t>
            </w:r>
            <w:r>
              <w:rPr>
                <w:rFonts w:hint="eastAsia" w:ascii="宋体" w:hAnsi="宋体"/>
                <w:szCs w:val="24"/>
              </w:rPr>
              <w:t xml:space="preserve">”、“</w:t>
            </w:r>
            <w:r>
              <w:rPr>
                <w:rFonts w:ascii="宋体" w:hAnsi="宋体"/>
                <w:szCs w:val="24"/>
              </w:rPr>
              <w:t xml:space="preserve">制定处置流程</w:t>
            </w:r>
            <w:r>
              <w:rPr>
                <w:rFonts w:hint="eastAsia" w:ascii="宋体" w:hAnsi="宋体"/>
                <w:szCs w:val="24"/>
              </w:rPr>
              <w:t xml:space="preserve">”</w:t>
            </w:r>
            <w:bookmarkEnd w:id="187"/>
            <w:r/>
            <w:bookmarkEnd w:id="188"/>
            <w:r>
              <w:rPr>
                <w:rFonts w:hint="eastAsia" w:ascii="宋体" w:hAnsi="宋体"/>
                <w:szCs w:val="24"/>
              </w:rPr>
              <w:t xml:space="preserve">2项要求的响应内容全部优于采购文件要求的（前提是响应文件对</w:t>
            </w:r>
            <w:r>
              <w:rPr>
                <w:rFonts w:hint="eastAsia" w:ascii="宋体" w:hAnsi="宋体"/>
                <w:szCs w:val="24"/>
              </w:rPr>
              <w:t xml:space="preserve">“应急处置应方案”中“明确应急场景”、“制定处置流程”外</w:t>
            </w:r>
            <w:r>
              <w:rPr>
                <w:rFonts w:hint="eastAsia" w:ascii="宋体" w:hAnsi="宋体"/>
                <w:szCs w:val="24"/>
              </w:rPr>
              <w:t xml:space="preserve">其他要求响应内容符合采购文件要求），本项得5分。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ascii="宋体" w:hAnsi="宋体" w:cs="宋体"/>
                <w:szCs w:val="24"/>
                <w:lang w:bidi="ar"/>
              </w:rPr>
            </w:pPr>
            <w:r>
              <w:rPr>
                <w:rFonts w:hint="eastAsia" w:ascii="宋体" w:hAnsi="宋体" w:cs="宋体"/>
                <w:szCs w:val="24"/>
                <w:lang w:bidi="ar"/>
              </w:rPr>
              <w:t xml:space="preserve">5</w:t>
            </w:r>
            <w:r/>
          </w:p>
        </w:tc>
      </w:tr>
    </w:tbl>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Times New Roman" w:hAnsi="Times New Roman"/>
          <w:szCs w:val="21"/>
        </w:rPr>
        <w:outlineLvl w:val="0"/>
      </w:pPr>
      <w:r>
        <w:rPr>
          <w:rFonts w:ascii="Times New Roman" w:hAnsi="Times New Roman"/>
          <w:szCs w:val="21"/>
        </w:rPr>
        <w:br w:type="page" w:clear="all"/>
      </w:r>
      <w:r/>
    </w:p>
    <w:p>
      <w:pPr>
        <w:jc w:val="center"/>
        <w:keepNext/>
        <w:rPr>
          <w:rFonts w:ascii="Times New Roman" w:hAnsi="Times New Roman"/>
          <w:szCs w:val="21"/>
        </w:rPr>
        <w:outlineLvl w:val="0"/>
      </w:pPr>
      <w:r>
        <w:rPr>
          <w:rFonts w:ascii="Times New Roman" w:hAnsi="Times New Roman"/>
          <w:szCs w:val="21"/>
        </w:rPr>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第六章  </w:t>
      </w:r>
      <w:bookmarkEnd w:id="179"/>
      <w:r/>
      <w:bookmarkEnd w:id="180"/>
      <w:r/>
      <w:bookmarkEnd w:id="183"/>
      <w:r>
        <w:rPr>
          <w:rFonts w:hint="eastAsia" w:ascii="黑体" w:hAnsi="Times New Roman" w:eastAsia="黑体"/>
          <w:bCs/>
          <w:sz w:val="44"/>
          <w:szCs w:val="28"/>
        </w:rPr>
        <w:t xml:space="preserve">响应文件格式 </w:t>
      </w:r>
      <w:r/>
    </w:p>
    <w:p>
      <w:pPr>
        <w:jc w:val="center"/>
        <w:rPr>
          <w:rFonts w:ascii="宋体" w:hAnsi="宋体"/>
          <w:b/>
          <w:sz w:val="72"/>
          <w:szCs w:val="21"/>
        </w:rPr>
      </w:pPr>
      <w:r/>
      <w:bookmarkStart w:id="189" w:name="_Hlt26671244"/>
      <w:r/>
      <w:bookmarkStart w:id="190" w:name="_Hlt26955039"/>
      <w:r/>
      <w:bookmarkStart w:id="191" w:name="_Toc49090576"/>
      <w:r/>
      <w:bookmarkStart w:id="192" w:name="_Toc120614282"/>
      <w:r/>
      <w:bookmarkStart w:id="193" w:name="_Toc26554094"/>
      <w:r/>
      <w:bookmarkEnd w:id="189"/>
      <w:r/>
      <w:bookmarkEnd w:id="190"/>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ind w:firstLine="964"/>
        <w:rPr>
          <w:rFonts w:ascii="宋体" w:hAnsi="宋体"/>
          <w:b/>
          <w:bCs/>
          <w:sz w:val="32"/>
          <w:szCs w:val="32"/>
        </w:rPr>
      </w:pPr>
      <w:r>
        <w:rPr>
          <w:rFonts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spacing w:line="400" w:lineRule="exact"/>
        <w:rPr>
          <w:rFonts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ind w:firstLine="480"/>
        <w:jc w:val="left"/>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总备注：上述“资格审查内容”中1-5条、8、9条供应商必须在响应文件中提供相关材料，否则作无效响应处理。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w:t>
      </w:r>
      <w:r>
        <w:rPr>
          <w:rFonts w:hint="eastAsia" w:ascii="宋体" w:hAnsi="宋体"/>
          <w:sz w:val="24"/>
          <w:szCs w:val="21"/>
        </w:rPr>
        <w:t xml:space="preserve">0）</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color w:val="ff0000"/>
          <w:sz w:val="24"/>
          <w:szCs w:val="21"/>
        </w:rPr>
      </w:pPr>
      <w:r>
        <w:rPr>
          <w:rFonts w:hint="eastAsia" w:ascii="宋体" w:hAnsi="宋体"/>
          <w:color w:val="000000" w:themeColor="text1"/>
          <w:sz w:val="24"/>
          <w:szCs w:val="21"/>
        </w:rPr>
        <w:t xml:space="preserve">3.关于符合本国产品标准的声明函（格式见附件11）</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hint="eastAsia" w:ascii="宋体" w:hAnsi="宋体"/>
          <w:b/>
          <w:sz w:val="24"/>
          <w:szCs w:val="21"/>
        </w:rPr>
        <w:t xml:space="preserve">附件1 分项报价表（服务类项目）</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序号</w:t>
            </w:r>
            <w:r/>
          </w:p>
        </w:tc>
        <w:tc>
          <w:tcPr>
            <w:tcW w:w="1106"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1</w:t>
            </w:r>
            <w:r/>
          </w:p>
        </w:tc>
        <w:tc>
          <w:tcPr>
            <w:tcW w:w="1064"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2</w:t>
            </w:r>
            <w:r/>
          </w:p>
        </w:tc>
        <w:tc>
          <w:tcPr>
            <w:tcW w:w="10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3</w:t>
            </w:r>
            <w:r/>
          </w:p>
        </w:tc>
        <w:tc>
          <w:tcPr>
            <w:tcW w:w="98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4</w:t>
            </w:r>
            <w:r/>
          </w:p>
        </w:tc>
        <w:tc>
          <w:tcPr>
            <w:tcW w:w="104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5</w:t>
            </w:r>
            <w:r/>
          </w:p>
        </w:tc>
        <w:tc>
          <w:tcPr>
            <w:tcW w:w="125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6</w:t>
            </w:r>
            <w:r/>
          </w:p>
        </w:tc>
        <w:tc>
          <w:tcPr>
            <w:tcW w:w="8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w:t>
            </w:r>
            <w:r/>
          </w:p>
        </w:tc>
        <w:tc>
          <w:tcPr>
            <w:tcW w:w="9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8</w:t>
            </w:r>
            <w:r/>
          </w:p>
        </w:tc>
        <w:tc>
          <w:tcPr>
            <w:tcW w:w="861"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9</w:t>
            </w:r>
            <w:r/>
          </w:p>
        </w:tc>
      </w:tr>
      <w:tr>
        <w:trPr>
          <w:cantSplit/>
          <w:trHeight w:val="294"/>
        </w:trPr>
        <w:tc>
          <w:tcPr>
            <w:tcW w:w="7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1</w:t>
            </w:r>
            <w:r/>
          </w:p>
        </w:tc>
        <w:tc>
          <w:tcPr>
            <w:tcW w:w="1106" w:type="dxa"/>
            <w:vAlign w:val="center"/>
            <w:textDirection w:val="lrTb"/>
            <w:noWrap w:val="false"/>
          </w:tcPr>
          <w:p>
            <w:pP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分项服务名称/货物名称</w:t>
            </w:r>
            <w:r/>
          </w:p>
        </w:tc>
        <w:tc>
          <w:tcPr>
            <w:tcW w:w="1064"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品牌</w:t>
            </w:r>
            <w:r/>
          </w:p>
        </w:tc>
        <w:tc>
          <w:tcPr>
            <w:tcW w:w="10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规格</w:t>
            </w:r>
            <w:r/>
          </w:p>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型号</w:t>
            </w:r>
            <w:r/>
          </w:p>
        </w:tc>
        <w:tc>
          <w:tcPr>
            <w:tcW w:w="98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制造商名称</w:t>
            </w:r>
            <w:r/>
          </w:p>
        </w:tc>
        <w:tc>
          <w:tcPr>
            <w:tcW w:w="104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产地</w:t>
            </w:r>
            <w:r/>
          </w:p>
        </w:tc>
        <w:tc>
          <w:tcPr>
            <w:tcW w:w="125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交付期/服务期</w:t>
            </w:r>
            <w:r/>
          </w:p>
        </w:tc>
        <w:tc>
          <w:tcPr>
            <w:tcW w:w="8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数量</w:t>
            </w:r>
            <w:r/>
          </w:p>
        </w:tc>
        <w:tc>
          <w:tcPr>
            <w:tcW w:w="9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w:t>
            </w:r>
            <w:r/>
          </w:p>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单价</w:t>
            </w:r>
            <w:r/>
          </w:p>
        </w:tc>
        <w:tc>
          <w:tcPr>
            <w:tcW w:w="861"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w:t>
            </w:r>
            <w:r/>
          </w:p>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总价</w:t>
            </w:r>
            <w:r/>
          </w:p>
        </w:tc>
      </w:tr>
      <w:tr>
        <w:trPr>
          <w:cantSplit/>
          <w:trHeight w:val="696"/>
        </w:trPr>
        <w:tc>
          <w:tcPr>
            <w:tcW w:w="7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2</w:t>
            </w:r>
            <w:r/>
          </w:p>
        </w:tc>
        <w:tc>
          <w:tcPr>
            <w:tcW w:w="1106"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sz w:val="28"/>
                <w:szCs w:val="28"/>
                <w:highlight w:val="cyan"/>
              </w:rPr>
            </w:pPr>
            <w:r>
              <w:rPr>
                <w:rFonts w:ascii="方正魏碑_GBK" w:hAnsi="方正魏碑_GBK" w:eastAsia="方正魏碑_GBK" w:cs="方正魏碑_GBK"/>
                <w:sz w:val="28"/>
                <w:szCs w:val="28"/>
                <w:highlight w:val="cyan"/>
              </w:rPr>
            </w:r>
            <w:r/>
          </w:p>
        </w:tc>
        <w:tc>
          <w:tcPr>
            <w:tcW w:w="1040" w:type="dxa"/>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sz w:val="28"/>
                <w:szCs w:val="28"/>
                <w:u w:val="single"/>
              </w:rPr>
            </w:pPr>
            <w:r>
              <w:rPr>
                <w:rFonts w:hint="eastAsia" w:ascii="方正魏碑_GBK" w:hAnsi="方正魏碑_GBK" w:eastAsia="方正魏碑_GBK" w:cs="方正魏碑_GBK"/>
                <w:sz w:val="28"/>
                <w:szCs w:val="28"/>
              </w:rPr>
              <w:t xml:space="preserve">合同签订后</w:t>
            </w:r>
            <w:r>
              <w:rPr>
                <w:rFonts w:hint="eastAsia" w:ascii="方正魏碑_GBK" w:hAnsi="方正魏碑_GBK" w:eastAsia="方正魏碑_GBK" w:cs="方正魏碑_GBK"/>
                <w:sz w:val="28"/>
                <w:szCs w:val="28"/>
                <w:u w:val="single"/>
              </w:rPr>
              <w:t xml:space="preserve">  </w:t>
            </w:r>
            <w:r>
              <w:rPr>
                <w:rFonts w:hint="eastAsia" w:ascii="方正魏碑_GBK" w:hAnsi="方正魏碑_GBK" w:eastAsia="方正魏碑_GBK" w:cs="方正魏碑_GBK"/>
                <w:sz w:val="28"/>
                <w:szCs w:val="28"/>
              </w:rPr>
              <w:t xml:space="preserve">日</w:t>
            </w:r>
            <w:r/>
          </w:p>
        </w:tc>
        <w:tc>
          <w:tcPr>
            <w:tcW w:w="8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r>
      <w:tr>
        <w:trPr>
          <w:cantSplit/>
          <w:trHeight w:val="724"/>
        </w:trPr>
        <w:tc>
          <w:tcPr>
            <w:tcW w:w="7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3</w:t>
            </w:r>
            <w:r/>
          </w:p>
        </w:tc>
        <w:tc>
          <w:tcPr>
            <w:tcW w:w="1106"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r>
      <w:tr>
        <w:trPr>
          <w:cantSplit/>
          <w:trHeight w:val="640"/>
        </w:trPr>
        <w:tc>
          <w:tcPr>
            <w:tcW w:w="7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4</w:t>
            </w:r>
            <w:r/>
          </w:p>
        </w:tc>
        <w:tc>
          <w:tcPr>
            <w:tcW w:w="1106"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4"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r>
      <w:tr>
        <w:trPr>
          <w:cantSplit/>
          <w:trHeight w:val="580"/>
        </w:trPr>
        <w:tc>
          <w:tcPr>
            <w:tcW w:w="7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w:t>
            </w:r>
            <w:r/>
          </w:p>
        </w:tc>
        <w:tc>
          <w:tcPr>
            <w:tcW w:w="1106"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w:t>
            </w:r>
            <w:r/>
          </w:p>
        </w:tc>
        <w:tc>
          <w:tcPr>
            <w:tcW w:w="1064"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8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40" w:type="dxa"/>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25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20"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1" w:type="dxa"/>
            <w:vAlign w:val="center"/>
            <w:textDirection w:val="lrTb"/>
            <w:noWrap w:val="false"/>
          </w:tcPr>
          <w:p>
            <w:pPr>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r>
      <w:tr>
        <w:trPr>
          <w:cantSplit/>
          <w:trHeight w:val="434"/>
        </w:trPr>
        <w:tc>
          <w:tcPr>
            <w:gridSpan w:val="10"/>
            <w:tcW w:w="9861" w:type="dxa"/>
            <w:textDirection w:val="lrTb"/>
            <w:noWrap w:val="false"/>
          </w:tcPr>
          <w:p>
            <w:pPr>
              <w:spacing w:line="0" w:lineRule="atLeast"/>
              <w:rPr>
                <w:rFonts w:ascii="方正魏碑_GBK" w:hAnsi="方正魏碑_GBK" w:eastAsia="方正魏碑_GBK" w:cs="方正魏碑_GBK"/>
                <w:sz w:val="28"/>
                <w:szCs w:val="28"/>
                <w:u w:val="single"/>
              </w:rPr>
            </w:pPr>
            <w:r>
              <w:rPr>
                <w:rFonts w:hint="eastAsia" w:ascii="方正魏碑_GBK" w:hAnsi="方正魏碑_GBK" w:eastAsia="方正魏碑_GBK" w:cs="方正魏碑_GBK"/>
                <w:sz w:val="28"/>
                <w:szCs w:val="28"/>
              </w:rPr>
              <w:t xml:space="preserve">磋商总报价（人民币：元）</w:t>
            </w:r>
            <w:r>
              <w:rPr>
                <w:rFonts w:hint="eastAsia" w:ascii="方正魏碑_GBK" w:hAnsi="方正魏碑_GBK" w:eastAsia="方正魏碑_GBK" w:cs="方正魏碑_GBK"/>
                <w:sz w:val="28"/>
                <w:szCs w:val="28"/>
                <w:u w:val="single"/>
              </w:rPr>
              <w:t xml:space="preserve">                             </w:t>
            </w:r>
            <w:r/>
          </w:p>
        </w:tc>
      </w:tr>
      <w:tr>
        <w:trPr>
          <w:cantSplit/>
          <w:trHeight w:val="767"/>
        </w:trPr>
        <w:tc>
          <w:tcPr>
            <w:gridSpan w:val="10"/>
            <w:tcW w:w="9861" w:type="dxa"/>
            <w:textDirection w:val="lrTb"/>
            <w:noWrap w:val="false"/>
          </w:tcPr>
          <w:p>
            <w:pPr>
              <w:jc w:val="left"/>
              <w:spacing w:line="0" w:lineRule="atLeast"/>
              <w:widowControl/>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本采购包中提供的符合本国产品标准的货物成本之和占该采购包全部成本之和的比例为</w:t>
            </w:r>
            <w:r>
              <w:rPr>
                <w:rFonts w:hint="eastAsia" w:ascii="Times New Roman" w:hAnsi="Times New Roman" w:eastAsia="方正仿宋_GBK"/>
                <w:sz w:val="28"/>
                <w:szCs w:val="28"/>
                <w:u w:val="single"/>
              </w:rPr>
              <w:t xml:space="preserve">XX</w:t>
            </w:r>
            <w:r>
              <w:rPr>
                <w:rFonts w:hint="eastAsia" w:ascii="方正魏碑_GBK" w:hAnsi="方正魏碑_GBK" w:eastAsia="方正魏碑_GBK" w:cs="方正魏碑_GBK"/>
                <w:sz w:val="28"/>
                <w:szCs w:val="28"/>
              </w:rPr>
              <w:t xml:space="preserve">%。（本项目不包含货物）</w:t>
            </w:r>
            <w:r/>
          </w:p>
        </w:tc>
      </w:tr>
    </w:tbl>
    <w:p>
      <w:pPr>
        <w:rPr>
          <w:rFonts w:ascii="宋体" w:hAnsi="宋体"/>
          <w:sz w:val="24"/>
          <w:szCs w:val="24"/>
        </w:rPr>
      </w:pPr>
      <w:r>
        <w:rPr>
          <w:rFonts w:hint="eastAsia" w:ascii="宋体" w:hAnsi="宋体"/>
          <w:sz w:val="24"/>
          <w:szCs w:val="24"/>
        </w:rPr>
        <w:t xml:space="preserve">备注： </w:t>
      </w:r>
      <w:r/>
    </w:p>
    <w:p>
      <w:pPr>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spacing w:line="400" w:lineRule="exact"/>
        <w:rPr>
          <w:rFonts w:ascii="宋体" w:hAnsi="宋体"/>
          <w:sz w:val="24"/>
          <w:szCs w:val="21"/>
        </w:rPr>
      </w:pPr>
      <w:r>
        <w:rPr>
          <w:rFonts w:ascii="宋体" w:hAnsi="宋体"/>
          <w:sz w:val="24"/>
          <w:szCs w:val="24"/>
        </w:rPr>
        <w:t xml:space="preserve">2.</w:t>
      </w:r>
      <w:r>
        <w:rPr>
          <w:rFonts w:hint="eastAsia"/>
        </w:rPr>
        <w:t xml:space="preserve"> </w:t>
      </w:r>
      <w:r>
        <w:rPr>
          <w:rFonts w:hint="eastAsia" w:ascii="宋体" w:hAnsi="宋体"/>
          <w:sz w:val="24"/>
          <w:szCs w:val="21"/>
        </w:rPr>
        <w:t xml:space="preserve">分项服务不需填写品牌、规格型号、制造商、产地。</w:t>
      </w:r>
      <w:r/>
    </w:p>
    <w:p>
      <w:pPr>
        <w:spacing w:line="400" w:lineRule="exact"/>
        <w:rPr>
          <w:rFonts w:ascii="宋体" w:hAnsi="宋体"/>
          <w:sz w:val="24"/>
          <w:szCs w:val="21"/>
        </w:rPr>
      </w:pPr>
      <w:r>
        <w:rPr>
          <w:rFonts w:hint="eastAsia" w:ascii="宋体" w:hAnsi="宋体"/>
          <w:sz w:val="24"/>
          <w:szCs w:val="21"/>
        </w:rPr>
        <w:t xml:space="preserve">3.本采购包中含有货物时，供应商未填写本采购包中提供的符合本国产品标准的货物成本之和占该采购包全部成本之和比例数值的，或比例数值低于80%的，将不享受本国产品价格评审优惠。（本项目不涉及货物）</w:t>
      </w:r>
      <w:r/>
    </w:p>
    <w:p>
      <w:pPr>
        <w:spacing w:line="400" w:lineRule="exact"/>
        <w:rPr>
          <w:rFonts w:ascii="宋体" w:hAnsi="宋体"/>
          <w:sz w:val="24"/>
          <w:szCs w:val="24"/>
          <w:highlight w:val="yellow"/>
        </w:rPr>
      </w:pPr>
      <w:r>
        <w:rPr>
          <w:rFonts w:ascii="宋体" w:hAnsi="宋体"/>
          <w:sz w:val="24"/>
          <w:szCs w:val="24"/>
          <w:highlight w:val="yellow"/>
        </w:rPr>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r/>
      <w:r/>
    </w:p>
    <w:p>
      <w:pPr>
        <w:pStyle w:val="717"/>
      </w:pPr>
      <w:r/>
      <w:r/>
    </w:p>
    <w:p>
      <w:pPr>
        <w:pStyle w:val="718"/>
      </w:pPr>
      <w:r/>
      <w:r/>
    </w:p>
    <w:p>
      <w:pPr>
        <w:pStyle w:val="718"/>
      </w:p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1.供应商需对磋商文件技术要求中的非实质性要求（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left="480"/>
        <w:rPr>
          <w:rFonts w:ascii="宋体" w:hAnsi="宋体"/>
          <w:b/>
          <w:i/>
          <w:color w:val="ff0000"/>
          <w:sz w:val="24"/>
          <w:szCs w:val="21"/>
          <w:u w:val="single"/>
        </w:rPr>
      </w:pPr>
      <w:r>
        <w:rPr>
          <w:rFonts w:ascii="宋体" w:hAnsi="宋体"/>
          <w:b/>
          <w:i/>
          <w:color w:val="ff0000"/>
          <w:sz w:val="24"/>
          <w:szCs w:val="21"/>
          <w:u w:val="single"/>
        </w:rPr>
      </w:r>
      <w:r/>
    </w:p>
    <w:p>
      <w:pPr>
        <w:jc w:val="center"/>
        <w:rPr>
          <w:rFonts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1.供应商需对磋商文件商务要求中的非实质性要求（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rPr>
          <w:rFonts w:ascii="宋体" w:hAnsi="宋体"/>
          <w:b/>
          <w:color w:val="000000"/>
          <w:sz w:val="24"/>
          <w:szCs w:val="21"/>
        </w:rPr>
      </w:pPr>
      <w:r/>
      <w:bookmarkStart w:id="194" w:name="_Toc120614284"/>
      <w:r/>
      <w:bookmarkEnd w:id="191"/>
      <w:r/>
      <w:bookmarkEnd w:id="192"/>
      <w:r/>
      <w:bookmarkEnd w:id="193"/>
      <w:r/>
      <w:r/>
    </w:p>
    <w:p>
      <w:pPr>
        <w:jc w:val="center"/>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0" w:lineRule="atLeas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Times New Roman" w:hAnsi="Times New Roman"/>
          <w:sz w:val="24"/>
          <w:szCs w:val="24"/>
        </w:rPr>
        <w:t xml:space="preserve">____________</w:t>
      </w:r>
      <w:r>
        <w:rPr>
          <w:rFonts w:hint="eastAsia" w:ascii="Times New Roman" w:hAnsi="Times New Roman"/>
          <w:sz w:val="24"/>
          <w:szCs w:val="24"/>
        </w:rPr>
        <w:t xml:space="preserve">（供应商名称）授权</w:t>
      </w:r>
      <w:r>
        <w:rPr>
          <w:rFonts w:hint="eastAsia" w:ascii="Times New Roman" w:hAnsi="Times New Roman"/>
          <w:sz w:val="24"/>
          <w:szCs w:val="24"/>
        </w:rPr>
        <w:t xml:space="preserve">________________</w:t>
      </w:r>
      <w:r>
        <w:rPr>
          <w:rFonts w:hint="eastAsia" w:ascii="Times New Roman" w:hAnsi="Times New Roman"/>
          <w:sz w:val="24"/>
          <w:szCs w:val="24"/>
        </w:rPr>
        <w:t xml:space="preserve">（被授权人的姓名）为我方就</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hint="eastAsia" w:ascii="Times New Roman" w:hAnsi="Times New Roman"/>
          <w:sz w:val="24"/>
          <w:szCs w:val="24"/>
        </w:rPr>
        <w:t xml:space="preserve">______</w:t>
      </w:r>
      <w:r>
        <w:rPr>
          <w:rFonts w:hint="eastAsia" w:ascii="Times New Roman" w:hAnsi="Times New Roman"/>
          <w:sz w:val="24"/>
          <w:szCs w:val="24"/>
        </w:rPr>
        <w:t xml:space="preserve">年</w:t>
      </w:r>
      <w:r>
        <w:rPr>
          <w:rFonts w:hint="eastAsia" w:ascii="Times New Roman" w:hAnsi="Times New Roman"/>
          <w:sz w:val="24"/>
          <w:szCs w:val="24"/>
        </w:rPr>
        <w:t xml:space="preserve">____</w:t>
      </w:r>
      <w:r>
        <w:rPr>
          <w:rFonts w:hint="eastAsia" w:ascii="Times New Roman" w:hAnsi="Times New Roman"/>
          <w:sz w:val="24"/>
          <w:szCs w:val="24"/>
        </w:rPr>
        <w:t xml:space="preserve">月</w:t>
      </w:r>
      <w:r>
        <w:rPr>
          <w:rFonts w:hint="eastAsia"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95" w:name="_格式3__银行出具的资信证明"/>
      <w:r/>
      <w:bookmarkStart w:id="196" w:name="_Hlt26955070"/>
      <w:r/>
      <w:bookmarkStart w:id="197" w:name="_Hlt26671380"/>
      <w:r/>
      <w:bookmarkEnd w:id="195"/>
      <w:r/>
      <w:bookmarkEnd w:id="196"/>
      <w:r/>
      <w:bookmarkEnd w:id="197"/>
      <w:r>
        <w:rPr>
          <w:rFonts w:hint="eastAsia" w:ascii="Times New Roman" w:hAnsi="Times New Roman"/>
          <w:sz w:val="24"/>
          <w:szCs w:val="24"/>
          <w:u w:val="single"/>
        </w:rPr>
        <w:t xml:space="preserve">                                         </w:t>
      </w:r>
      <w:r/>
    </w:p>
    <w:p>
      <w:pPr>
        <w:ind w:firstLine="360"/>
        <w:spacing w:line="0" w:lineRule="atLeast"/>
        <w:rPr>
          <w:rFonts w:ascii="宋体" w:hAnsi="宋体"/>
          <w:sz w:val="24"/>
          <w:szCs w:val="24"/>
          <w:highlight w:val="yellow"/>
        </w:rPr>
      </w:pPr>
      <w:r>
        <w:rPr>
          <w:rFonts w:ascii="宋体" w:hAnsi="宋体"/>
          <w:sz w:val="24"/>
          <w:szCs w:val="24"/>
          <w:highlight w:val="yellow"/>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sz w:val="24"/>
          <w:szCs w:val="21"/>
        </w:rPr>
        <w:t xml:space="preserve">的磋商文件，正式授权下述签字人______(姓名)代表我方______________（供应商的名称），全权处理本次项目磋商的有关事宜。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ascii="宋体" w:hAnsi="宋体"/>
          <w:sz w:val="24"/>
          <w:szCs w:val="21"/>
        </w:rPr>
      </w:r>
      <w:r/>
    </w:p>
    <w:p>
      <w:pPr>
        <w:jc w:val="right"/>
        <w:spacing w:line="560" w:lineRule="exact"/>
        <w:rPr>
          <w:rFonts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 供应商全称（加盖CA电子公章）：</w:t>
      </w:r>
      <w:r/>
    </w:p>
    <w:p>
      <w:pPr>
        <w:jc w:val="right"/>
        <w:spacing w:line="560" w:lineRule="exact"/>
        <w:rPr>
          <w:rFonts w:ascii="宋体" w:hAnsi="宋体"/>
          <w:color w:val="000000"/>
          <w:sz w:val="32"/>
          <w:szCs w:val="32"/>
        </w:rPr>
      </w:pPr>
      <w:r>
        <w:rPr>
          <w:rFonts w:hint="eastAsia" w:ascii="方正仿宋_GBK" w:hAnsi="方正仿宋_GBK" w:eastAsia="方正仿宋_GBK" w:cs="方正仿宋_GBK"/>
          <w:color w:val="000000"/>
          <w:sz w:val="32"/>
          <w:szCs w:val="32"/>
        </w:rPr>
        <w:t xml:space="preserve">日    期：___年____月____日</w:t>
      </w:r>
      <w:r/>
    </w:p>
    <w:p>
      <w:pPr>
        <w:spacing w:line="460" w:lineRule="exact"/>
        <w:rPr>
          <w:rFonts w:ascii="宋体" w:hAnsi="宋体"/>
          <w:sz w:val="24"/>
          <w:szCs w:val="24"/>
        </w:rPr>
      </w:pPr>
      <w:r>
        <w:rPr>
          <w:rFonts w:hint="eastAsia" w:ascii="宋体" w:hAnsi="宋体"/>
          <w:sz w:val="24"/>
          <w:szCs w:val="24"/>
        </w:rPr>
        <w:t xml:space="preserve"> </w:t>
      </w:r>
      <w:r/>
    </w:p>
    <w:p>
      <w:pPr>
        <w:pStyle w:val="816"/>
        <w:numPr>
          <w:ilvl w:val="0"/>
          <w:numId w:val="0"/>
        </w:numPr>
        <w:rPr>
          <w:highlight w:val="cyan"/>
        </w:rPr>
      </w:pPr>
      <w:r>
        <w:rPr>
          <w:highlight w:val="cyan"/>
        </w:rPr>
      </w:r>
      <w:r/>
    </w:p>
    <w:p>
      <w:pPr>
        <w:jc w:val="center"/>
        <w:rPr>
          <w:rFonts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p>
    <w:p>
      <w:pPr>
        <w:ind w:right="480" w:firstLine="4560"/>
        <w:spacing w:line="400" w:lineRule="exact"/>
        <w:rPr>
          <w:rFonts w:ascii="宋体" w:hAnsi="宋体"/>
          <w:sz w:val="24"/>
          <w:szCs w:val="24"/>
        </w:rPr>
      </w:pPr>
      <w:r>
        <w:rPr>
          <w:rFonts w:hint="eastAsia" w:ascii="宋体" w:hAnsi="宋体"/>
          <w:sz w:val="24"/>
          <w:szCs w:val="24"/>
        </w:rPr>
        <w:t xml:space="preserve">日  期：</w:t>
      </w:r>
      <w:r>
        <w:rPr>
          <w:rFonts w:hint="eastAsia" w:ascii="宋体" w:hAnsi="宋体"/>
          <w:sz w:val="24"/>
          <w:szCs w:val="21"/>
        </w:rPr>
        <w:t xml:space="preserve">____年____月____日</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ascii="宋体" w:hAnsi="宋体"/>
          <w:color w:val="000000"/>
          <w:sz w:val="24"/>
          <w:szCs w:val="21"/>
        </w:rPr>
      </w:pPr>
      <w:r>
        <w:rPr>
          <w:rFonts w:ascii="宋体" w:hAnsi="宋体"/>
          <w:color w:val="000000"/>
          <w:sz w:val="24"/>
          <w:szCs w:val="21"/>
        </w:rPr>
      </w:r>
      <w:r/>
    </w:p>
    <w:p>
      <w:pPr>
        <w:spacing w:line="400" w:lineRule="exact"/>
        <w:rPr>
          <w:rFonts w:ascii="宋体" w:hAnsi="宋体"/>
          <w:color w:val="000000"/>
          <w:sz w:val="24"/>
          <w:szCs w:val="21"/>
        </w:rPr>
      </w:pPr>
      <w:r>
        <w:rPr>
          <w:rFonts w:ascii="宋体" w:hAnsi="宋体"/>
          <w:color w:val="000000"/>
          <w:sz w:val="24"/>
          <w:szCs w:val="21"/>
        </w:rPr>
      </w:r>
      <w:r/>
    </w:p>
    <w:p>
      <w:pPr>
        <w:spacing w:line="400" w:lineRule="exact"/>
        <w:rPr>
          <w:rFonts w:ascii="宋体" w:hAnsi="宋体"/>
          <w:color w:val="000000"/>
          <w:sz w:val="24"/>
          <w:szCs w:val="21"/>
        </w:rPr>
      </w:pPr>
      <w:r>
        <w:rPr>
          <w:rFonts w:ascii="宋体" w:hAnsi="宋体"/>
          <w:color w:val="000000"/>
          <w:sz w:val="24"/>
          <w:szCs w:val="21"/>
        </w:rPr>
      </w:r>
      <w:r/>
    </w:p>
    <w:p>
      <w:pPr>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p>
    <w:p>
      <w:pPr>
        <w:ind w:firstLine="480"/>
        <w:spacing w:line="0" w:lineRule="atLeas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rPr>
        <w:t xml:space="preserve">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（采购包号：**）采购活动由本单位提供服务。</w:t>
      </w:r>
      <w:r/>
    </w:p>
    <w:p>
      <w:pPr>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0" w:lineRule="atLeast"/>
        <w:rPr>
          <w:rFonts w:ascii="宋体" w:hAnsi="宋体"/>
          <w:sz w:val="24"/>
          <w:szCs w:val="21"/>
        </w:rPr>
      </w:pPr>
      <w:r>
        <w:rPr>
          <w:rFonts w:ascii="宋体" w:hAnsi="宋体"/>
          <w:sz w:val="24"/>
          <w:szCs w:val="21"/>
        </w:rPr>
      </w:r>
      <w:r/>
    </w:p>
    <w:p>
      <w:pPr>
        <w:ind w:firstLine="480"/>
        <w:spacing w:line="0" w:lineRule="atLeast"/>
        <w:rPr>
          <w:rFonts w:ascii="宋体" w:hAnsi="宋体"/>
          <w:sz w:val="24"/>
          <w:szCs w:val="21"/>
        </w:rPr>
      </w:pPr>
      <w:r>
        <w:rPr>
          <w:rFonts w:hint="eastAsia" w:ascii="宋体" w:hAnsi="宋体"/>
          <w:sz w:val="24"/>
          <w:szCs w:val="21"/>
        </w:rPr>
        <w:t xml:space="preserve">备注：</w:t>
      </w:r>
      <w:r/>
    </w:p>
    <w:p>
      <w:pPr>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0" w:lineRule="atLeas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p>
    <w:p>
      <w:pPr>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p>
    <w:p>
      <w:pPr>
        <w:ind w:right="1559" w:firstLine="480"/>
        <w:jc w:val="center"/>
        <w:spacing w:line="0" w:lineRule="atLeast"/>
        <w:tabs>
          <w:tab w:val="left" w:pos="4860" w:leader="none"/>
        </w:tabs>
        <w:rPr>
          <w:rFonts w:ascii="宋体" w:hAnsi="宋体"/>
          <w:sz w:val="24"/>
          <w:szCs w:val="21"/>
        </w:rPr>
      </w:pPr>
      <w:r>
        <w:rPr>
          <w:rFonts w:ascii="宋体" w:hAnsi="宋体"/>
          <w:sz w:val="24"/>
          <w:szCs w:val="21"/>
        </w:rPr>
        <w:t xml:space="preserve">                        </w:t>
      </w:r>
      <w:r>
        <w:rPr>
          <w:rFonts w:hint="eastAsia" w:ascii="宋体" w:hAnsi="宋体"/>
          <w:sz w:val="24"/>
          <w:szCs w:val="21"/>
        </w:rPr>
        <w:t xml:space="preserve">供应商全称（加盖CA电子公章）：  </w:t>
      </w:r>
      <w:r/>
    </w:p>
    <w:p>
      <w:pPr>
        <w:ind w:right="1559" w:firstLine="480"/>
        <w:jc w:val="center"/>
        <w:spacing w:line="0" w:lineRule="atLeast"/>
        <w:tabs>
          <w:tab w:val="left" w:pos="4860" w:leader="none"/>
        </w:tabs>
        <w:rPr>
          <w:rFonts w:ascii="宋体" w:hAnsi="宋体"/>
          <w:sz w:val="24"/>
          <w:szCs w:val="24"/>
        </w:rPr>
      </w:pPr>
      <w:r>
        <w:rPr>
          <w:rFonts w:hint="eastAsia" w:ascii="宋体" w:hAnsi="宋体"/>
          <w:sz w:val="24"/>
          <w:szCs w:val="21"/>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p>
    <w:p>
      <w:pPr>
        <w:ind w:right="1559" w:firstLine="480"/>
        <w:jc w:val="center"/>
        <w:spacing w:line="0" w:lineRule="atLeast"/>
        <w:tabs>
          <w:tab w:val="left" w:pos="4860" w:leader="none"/>
        </w:tabs>
        <w:rPr>
          <w:rFonts w:ascii="宋体" w:hAnsi="宋体"/>
          <w:sz w:val="24"/>
          <w:szCs w:val="21"/>
        </w:rPr>
      </w:pPr>
      <w:r>
        <w:rPr>
          <w:rFonts w:ascii="宋体" w:hAnsi="宋体"/>
          <w:sz w:val="24"/>
          <w:szCs w:val="21"/>
        </w:rPr>
      </w:r>
      <w:r/>
    </w:p>
    <w:p>
      <w:pPr>
        <w:spacing w:line="0" w:lineRule="atLeast"/>
        <w:rPr>
          <w:rFonts w:ascii="宋体" w:hAnsi="宋体"/>
          <w:b/>
          <w:sz w:val="24"/>
          <w:szCs w:val="24"/>
        </w:rPr>
      </w:pPr>
      <w:r>
        <w:rPr>
          <w:rFonts w:ascii="宋体" w:hAnsi="宋体"/>
          <w:b/>
          <w:sz w:val="24"/>
          <w:szCs w:val="24"/>
        </w:rPr>
      </w:r>
      <w:r/>
    </w:p>
    <w:p>
      <w:pPr>
        <w:jc w:val="center"/>
        <w:spacing w:line="0" w:lineRule="atLeast"/>
        <w:rPr>
          <w:rFonts w:ascii="宋体" w:hAnsi="宋体"/>
          <w:b/>
          <w:sz w:val="24"/>
          <w:szCs w:val="24"/>
        </w:rPr>
      </w:pPr>
      <w:r>
        <w:rPr>
          <w:rFonts w:ascii="宋体" w:hAnsi="宋体"/>
          <w:b/>
          <w:sz w:val="24"/>
          <w:szCs w:val="24"/>
        </w:rPr>
      </w:r>
      <w:r/>
    </w:p>
    <w:p>
      <w:pPr>
        <w:jc w:val="center"/>
        <w:spacing w:line="0" w:lineRule="atLeast"/>
        <w:rPr>
          <w:rFonts w:ascii="宋体" w:hAnsi="宋体"/>
          <w:b/>
          <w:sz w:val="24"/>
          <w:szCs w:val="24"/>
        </w:rPr>
      </w:pPr>
      <w:r>
        <w:rPr>
          <w:rFonts w:ascii="宋体" w:hAnsi="宋体"/>
          <w:b/>
          <w:sz w:val="24"/>
          <w:szCs w:val="24"/>
        </w:rPr>
      </w:r>
      <w:r/>
    </w:p>
    <w:p>
      <w:pPr>
        <w:spacing w:line="0" w:lineRule="atLeas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11-1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必须对</w:t>
      </w: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p>
    <w:p>
      <w:pPr>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p>
    <w:p>
      <w:pPr>
        <w:jc w:val="center"/>
        <w:spacing w:line="560" w:lineRule="exact"/>
        <w:rPr>
          <w:rFonts w:ascii="方正魏碑_GBK" w:hAnsi="方正魏碑_GBK" w:eastAsia="方正魏碑_GBK" w:cs="方正魏碑_GBK"/>
          <w:b/>
          <w:sz w:val="32"/>
          <w:szCs w:val="32"/>
        </w:rPr>
      </w:pPr>
      <w:r>
        <w:rPr>
          <w:rFonts w:ascii="方正魏碑_GBK" w:hAnsi="方正魏碑_GBK" w:eastAsia="方正魏碑_GBK" w:cs="方正魏碑_GBK"/>
          <w:b/>
          <w:sz w:val="32"/>
          <w:szCs w:val="32"/>
        </w:rPr>
      </w:r>
      <w:r/>
    </w:p>
    <w:p>
      <w:pPr>
        <w:jc w:val="cente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附件11  关于符合本国产品标准的声明函</w:t>
      </w:r>
      <w:r/>
    </w:p>
    <w:p>
      <w:pPr>
        <w:ind w:firstLine="420"/>
        <w:jc w:val="left"/>
        <w:spacing w:line="560" w:lineRule="exact"/>
        <w:widowControl/>
        <w:rPr>
          <w:rFonts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1.</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2.</w:t>
      </w:r>
      <w:r>
        <w:rPr>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exact"/>
        <w:widowControl/>
        <w:rPr>
          <w:rFonts w:ascii="宋体" w:hAnsi="宋体" w:cs="方正魏碑_GBK"/>
          <w:sz w:val="24"/>
          <w:szCs w:val="24"/>
        </w:rPr>
      </w:pPr>
      <w:r>
        <w:rPr>
          <w:rFonts w:ascii="宋体" w:hAnsi="宋体" w:cs="方正魏碑_GBK"/>
          <w:sz w:val="24"/>
          <w:szCs w:val="24"/>
        </w:rPr>
      </w:r>
      <w:r/>
    </w:p>
    <w:p>
      <w:pPr>
        <w:jc w:val="center"/>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                   公司（单位）名称（加盖CA电子公章）：　        日期：</w:t>
      </w:r>
      <w:r>
        <w:rPr>
          <w:rFonts w:hint="eastAsia" w:ascii="宋体" w:hAnsi="宋体" w:cs="方正魏碑_GBK"/>
          <w:sz w:val="24"/>
          <w:szCs w:val="24"/>
        </w:rPr>
        <w:t xml:space="preserve">____年____月____日</w:t>
      </w:r>
      <w:r/>
    </w:p>
    <w:p>
      <w:pPr>
        <w:jc w:val="center"/>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       </w:t>
      </w:r>
      <w:r/>
    </w:p>
    <w:p>
      <w:pPr>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ind w:firstLine="64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ind w:firstLine="64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ind w:firstLine="64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ind w:firstLine="64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ind w:firstLine="640"/>
        <w:jc w:val="left"/>
        <w:spacing w:before="30" w:after="30" w:line="560" w:lineRule="exac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ind w:firstLine="640"/>
        <w:jc w:val="left"/>
        <w:spacing w:before="30" w:after="30" w:line="560" w:lineRule="exac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6.《声明函》中标注“</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”的地方不填。</w:t>
      </w:r>
      <w:r/>
    </w:p>
    <w:p>
      <w:pPr>
        <w:pStyle w:val="717"/>
      </w:pPr>
      <w:r/>
      <w:r/>
    </w:p>
    <w:p>
      <w:pPr>
        <w:spacing w:line="460" w:lineRule="exact"/>
        <w:rPr>
          <w:rFonts w:ascii="宋体" w:hAnsi="宋体"/>
          <w:bCs/>
          <w:sz w:val="24"/>
          <w:szCs w:val="21"/>
        </w:rPr>
      </w:pPr>
      <w:r>
        <w:rPr>
          <w:rFonts w:ascii="宋体" w:hAnsi="宋体"/>
          <w:bCs/>
          <w:sz w:val="24"/>
          <w:szCs w:val="21"/>
        </w:rPr>
      </w:r>
      <w:bookmarkEnd w:id="177"/>
      <w:r/>
      <w:bookmarkEnd w:id="178"/>
      <w:r/>
      <w:bookmarkEnd w:id="194"/>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方正仿宋_GBK">
    <w:panose1 w:val="020B0503020202020204"/>
  </w:font>
  <w:font w:name="方正黑体_GBK">
    <w:panose1 w:val="020B0503020202020204"/>
  </w:font>
  <w:font w:name="华文楷体">
    <w:panose1 w:val="02010600040101010101"/>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763"/>
        <w:rFonts w:ascii="宋体" w:hAnsi="宋体"/>
      </w:rPr>
      <w:framePr w:wrap="around" w:vAnchor="text" w:hAnchor="margin" w:xAlign="center" w:y="1"/>
    </w:pPr>
    <w:r>
      <w:rPr>
        <w:rFonts w:ascii="宋体" w:hAnsi="宋体"/>
      </w:rPr>
      <w:fldChar w:fldCharType="begin"/>
    </w:r>
    <w:r>
      <w:rPr>
        <w:rStyle w:val="763"/>
        <w:rFonts w:ascii="宋体" w:hAnsi="宋体"/>
      </w:rPr>
      <w:instrText xml:space="preserve">PAGE  </w:instrText>
    </w:r>
    <w:r>
      <w:rPr>
        <w:rFonts w:ascii="宋体" w:hAnsi="宋体"/>
      </w:rPr>
      <w:fldChar w:fldCharType="separate"/>
    </w:r>
    <w:r>
      <w:rPr>
        <w:rStyle w:val="763"/>
        <w:rFonts w:ascii="宋体" w:hAnsi="宋体"/>
      </w:rPr>
      <w:t xml:space="preserve">1</w:t>
    </w:r>
    <w:r>
      <w:rPr>
        <w:rFonts w:ascii="宋体" w:hAnsi="宋体"/>
      </w:rPr>
      <w:fldChar w:fldCharType="end"/>
    </w:r>
    <w:r/>
  </w:p>
  <w:p>
    <w:pPr>
      <w:pStyle w:val="79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p>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8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16"/>
      <w:isLgl w:val="false"/>
      <w:suff w:val="nothing"/>
      <w:lvlText w:val=""/>
      <w:lvlJc w:val="left"/>
      <w:pPr>
        <w:ind w:left="0" w:firstLine="0"/>
      </w:pPr>
      <w:rPr>
        <w:rFonts w:hint="eastAsia"/>
      </w:rPr>
    </w:lvl>
    <w:lvl w:ilvl="6">
      <w:start w:val="1"/>
      <w:numFmt w:val="decimal"/>
      <w:pStyle w:val="810"/>
      <w:isLgl w:val="false"/>
      <w:suff w:val="nothing"/>
      <w:lvlText w:val=""/>
      <w:lvlJc w:val="left"/>
      <w:pPr>
        <w:ind w:left="0" w:firstLine="0"/>
      </w:pPr>
      <w:rPr>
        <w:rFonts w:hint="eastAsia"/>
      </w:rPr>
    </w:lvl>
    <w:lvl w:ilvl="7">
      <w:start w:val="1"/>
      <w:numFmt w:val="decimal"/>
      <w:pStyle w:val="823"/>
      <w:isLgl w:val="false"/>
      <w:suff w:val="nothing"/>
      <w:lvlText w:val=""/>
      <w:lvlJc w:val="left"/>
      <w:pPr>
        <w:ind w:left="0" w:firstLine="0"/>
      </w:pPr>
      <w:rPr>
        <w:rFonts w:hint="eastAsia"/>
      </w:rPr>
    </w:lvl>
    <w:lvl w:ilvl="8">
      <w:start w:val="1"/>
      <w:numFmt w:val="decimal"/>
      <w:pStyle w:val="800"/>
      <w:isLgl w:val="false"/>
      <w:suff w:val="nothing"/>
      <w:lvlText w:val=""/>
      <w:lvlJc w:val="left"/>
      <w:pPr>
        <w:ind w:left="0" w:firstLine="0"/>
      </w:pPr>
      <w:rPr>
        <w:rFonts w:hint="eastAsia"/>
      </w:rPr>
    </w:lvl>
  </w:abstractNum>
  <w:abstractNum w:abstractNumId="5">
    <w:multiLevelType w:val="hybridMultilevel"/>
    <w:lvl w:ilvl="0">
      <w:start w:val="1"/>
      <w:numFmt w:val="decimal"/>
      <w:pStyle w:val="8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5"/>
  </w:num>
  <w:num w:numId="3">
    <w:abstractNumId w:val="3"/>
  </w:num>
  <w:num w:numId="4">
    <w:abstractNumId w:val="2"/>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14"/>
    <w:link w:val="705"/>
    <w:uiPriority w:val="9"/>
    <w:rPr>
      <w:rFonts w:ascii="Arial" w:hAnsi="Arial" w:eastAsia="Arial" w:cs="Arial"/>
      <w:sz w:val="40"/>
      <w:szCs w:val="40"/>
    </w:rPr>
  </w:style>
  <w:style w:type="character" w:styleId="695">
    <w:name w:val="Heading 2 Char"/>
    <w:basedOn w:val="714"/>
    <w:link w:val="706"/>
    <w:uiPriority w:val="9"/>
    <w:rPr>
      <w:rFonts w:ascii="Arial" w:hAnsi="Arial" w:eastAsia="Arial" w:cs="Arial"/>
      <w:sz w:val="34"/>
    </w:rPr>
  </w:style>
  <w:style w:type="character" w:styleId="696">
    <w:name w:val="Heading 3 Char"/>
    <w:basedOn w:val="714"/>
    <w:link w:val="707"/>
    <w:uiPriority w:val="9"/>
    <w:rPr>
      <w:rFonts w:ascii="Arial" w:hAnsi="Arial" w:eastAsia="Arial" w:cs="Arial"/>
      <w:sz w:val="30"/>
      <w:szCs w:val="30"/>
    </w:rPr>
  </w:style>
  <w:style w:type="character" w:styleId="697">
    <w:name w:val="Heading 4 Char"/>
    <w:basedOn w:val="714"/>
    <w:link w:val="708"/>
    <w:uiPriority w:val="9"/>
    <w:rPr>
      <w:rFonts w:ascii="Arial" w:hAnsi="Arial" w:eastAsia="Arial" w:cs="Arial"/>
      <w:b/>
      <w:bCs/>
      <w:sz w:val="26"/>
      <w:szCs w:val="26"/>
    </w:rPr>
  </w:style>
  <w:style w:type="character" w:styleId="698">
    <w:name w:val="Heading 5 Char"/>
    <w:basedOn w:val="714"/>
    <w:link w:val="709"/>
    <w:uiPriority w:val="9"/>
    <w:rPr>
      <w:rFonts w:ascii="Arial" w:hAnsi="Arial" w:eastAsia="Arial" w:cs="Arial"/>
      <w:b/>
      <w:bCs/>
      <w:sz w:val="24"/>
      <w:szCs w:val="24"/>
    </w:rPr>
  </w:style>
  <w:style w:type="character" w:styleId="699">
    <w:name w:val="Heading 6 Char"/>
    <w:basedOn w:val="714"/>
    <w:link w:val="710"/>
    <w:uiPriority w:val="9"/>
    <w:rPr>
      <w:rFonts w:ascii="Arial" w:hAnsi="Arial" w:eastAsia="Arial" w:cs="Arial"/>
      <w:b/>
      <w:bCs/>
      <w:sz w:val="22"/>
      <w:szCs w:val="22"/>
    </w:rPr>
  </w:style>
  <w:style w:type="character" w:styleId="700">
    <w:name w:val="Heading 7 Char"/>
    <w:basedOn w:val="714"/>
    <w:link w:val="711"/>
    <w:uiPriority w:val="9"/>
    <w:rPr>
      <w:rFonts w:ascii="Arial" w:hAnsi="Arial" w:eastAsia="Arial" w:cs="Arial"/>
      <w:b/>
      <w:bCs/>
      <w:i/>
      <w:iCs/>
      <w:sz w:val="22"/>
      <w:szCs w:val="22"/>
    </w:rPr>
  </w:style>
  <w:style w:type="character" w:styleId="701">
    <w:name w:val="Heading 8 Char"/>
    <w:basedOn w:val="714"/>
    <w:link w:val="712"/>
    <w:uiPriority w:val="9"/>
    <w:rPr>
      <w:rFonts w:ascii="Arial" w:hAnsi="Arial" w:eastAsia="Arial" w:cs="Arial"/>
      <w:i/>
      <w:iCs/>
      <w:sz w:val="22"/>
      <w:szCs w:val="22"/>
    </w:rPr>
  </w:style>
  <w:style w:type="character" w:styleId="702">
    <w:name w:val="Heading 9 Char"/>
    <w:basedOn w:val="714"/>
    <w:link w:val="713"/>
    <w:uiPriority w:val="9"/>
    <w:rPr>
      <w:rFonts w:ascii="Arial" w:hAnsi="Arial" w:eastAsia="Arial" w:cs="Arial"/>
      <w:i/>
      <w:iCs/>
      <w:sz w:val="21"/>
      <w:szCs w:val="21"/>
    </w:rPr>
  </w:style>
  <w:style w:type="paragraph" w:styleId="703">
    <w:name w:val="TOC Heading"/>
    <w:uiPriority w:val="39"/>
    <w:unhideWhenUsed/>
  </w:style>
  <w:style w:type="paragraph" w:styleId="704" w:default="1">
    <w:name w:val="Normal"/>
    <w:next w:val="717"/>
    <w:qFormat/>
    <w:pPr>
      <w:jc w:val="both"/>
      <w:widowControl w:val="off"/>
    </w:pPr>
    <w:rPr>
      <w:sz w:val="21"/>
      <w:szCs w:val="22"/>
    </w:rPr>
  </w:style>
  <w:style w:type="paragraph" w:styleId="705">
    <w:name w:val="Heading 1"/>
    <w:basedOn w:val="704"/>
    <w:next w:val="704"/>
    <w:link w:val="765"/>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74"/>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59"/>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817"/>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8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98"/>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67"/>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814"/>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78"/>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customStyle="1">
    <w:name w:val="标题 41"/>
    <w:basedOn w:val="704"/>
    <w:next w:val="718"/>
    <w:qFormat/>
    <w:pPr>
      <w:keepLines/>
      <w:keepNext/>
      <w:spacing w:before="280" w:after="290" w:line="376" w:lineRule="auto"/>
      <w:outlineLvl w:val="3"/>
    </w:pPr>
    <w:rPr>
      <w:rFonts w:ascii="Arial" w:hAnsi="Arial" w:eastAsia="黑体" w:cs="Arial"/>
      <w:b/>
      <w:bCs/>
      <w:sz w:val="28"/>
      <w:szCs w:val="28"/>
    </w:rPr>
  </w:style>
  <w:style w:type="paragraph" w:styleId="718" w:customStyle="1">
    <w:name w:val="正文缩进1"/>
    <w:basedOn w:val="704"/>
    <w:qFormat/>
    <w:pPr>
      <w:ind w:firstLine="420"/>
    </w:pPr>
  </w:style>
  <w:style w:type="paragraph" w:styleId="719">
    <w:name w:val="toc 7"/>
    <w:basedOn w:val="704"/>
    <w:next w:val="704"/>
    <w:uiPriority w:val="39"/>
    <w:unhideWhenUsed/>
    <w:qFormat/>
    <w:pPr>
      <w:ind w:left="1701"/>
      <w:spacing w:after="57"/>
    </w:pPr>
  </w:style>
  <w:style w:type="paragraph" w:styleId="720">
    <w:name w:val="Caption"/>
    <w:basedOn w:val="704"/>
    <w:next w:val="704"/>
    <w:uiPriority w:val="35"/>
    <w:semiHidden/>
    <w:unhideWhenUsed/>
    <w:qFormat/>
    <w:pPr>
      <w:spacing w:line="276" w:lineRule="auto"/>
    </w:pPr>
    <w:rPr>
      <w:b/>
      <w:bCs/>
      <w:color w:val="4f81bd" w:themeColor="accent1"/>
      <w:sz w:val="18"/>
      <w:szCs w:val="18"/>
    </w:rPr>
  </w:style>
  <w:style w:type="paragraph" w:styleId="721">
    <w:name w:val="annotation text"/>
    <w:basedOn w:val="704"/>
    <w:link w:val="1013"/>
    <w:uiPriority w:val="99"/>
    <w:unhideWhenUsed/>
    <w:qFormat/>
    <w:pPr>
      <w:jc w:val="left"/>
    </w:pPr>
  </w:style>
  <w:style w:type="paragraph" w:styleId="722">
    <w:name w:val="toc 5"/>
    <w:basedOn w:val="704"/>
    <w:next w:val="704"/>
    <w:uiPriority w:val="39"/>
    <w:unhideWhenUsed/>
    <w:qFormat/>
    <w:pPr>
      <w:ind w:left="1134"/>
      <w:spacing w:after="57"/>
    </w:pPr>
  </w:style>
  <w:style w:type="paragraph" w:styleId="723">
    <w:name w:val="toc 3"/>
    <w:basedOn w:val="704"/>
    <w:next w:val="704"/>
    <w:uiPriority w:val="39"/>
    <w:unhideWhenUsed/>
    <w:qFormat/>
    <w:pPr>
      <w:ind w:left="567"/>
      <w:spacing w:after="57"/>
    </w:pPr>
  </w:style>
  <w:style w:type="paragraph" w:styleId="724">
    <w:name w:val="toc 8"/>
    <w:basedOn w:val="704"/>
    <w:next w:val="704"/>
    <w:uiPriority w:val="39"/>
    <w:unhideWhenUsed/>
    <w:qFormat/>
    <w:pPr>
      <w:ind w:left="1984"/>
      <w:spacing w:after="57"/>
    </w:pPr>
  </w:style>
  <w:style w:type="paragraph" w:styleId="725">
    <w:name w:val="endnote text"/>
    <w:basedOn w:val="704"/>
    <w:link w:val="812"/>
    <w:uiPriority w:val="99"/>
    <w:unhideWhenUsed/>
    <w:qFormat/>
    <w:rPr>
      <w:sz w:val="20"/>
    </w:rPr>
  </w:style>
  <w:style w:type="paragraph" w:styleId="726">
    <w:name w:val="Balloon Text"/>
    <w:basedOn w:val="704"/>
    <w:link w:val="1012"/>
    <w:uiPriority w:val="99"/>
    <w:semiHidden/>
    <w:unhideWhenUsed/>
    <w:qFormat/>
    <w:rPr>
      <w:sz w:val="18"/>
      <w:szCs w:val="18"/>
    </w:rPr>
  </w:style>
  <w:style w:type="paragraph" w:styleId="727">
    <w:name w:val="Footer"/>
    <w:basedOn w:val="704"/>
    <w:uiPriority w:val="99"/>
    <w:unhideWhenUsed/>
    <w:qFormat/>
    <w:pPr>
      <w:tabs>
        <w:tab w:val="center" w:pos="7143" w:leader="none"/>
        <w:tab w:val="right" w:pos="14287" w:leader="none"/>
      </w:tabs>
    </w:pPr>
  </w:style>
  <w:style w:type="paragraph" w:styleId="728">
    <w:name w:val="Header"/>
    <w:basedOn w:val="704"/>
    <w:uiPriority w:val="99"/>
    <w:unhideWhenUsed/>
    <w:qFormat/>
    <w:pPr>
      <w:tabs>
        <w:tab w:val="center" w:pos="7143" w:leader="none"/>
        <w:tab w:val="right" w:pos="14287" w:leader="none"/>
      </w:tabs>
    </w:pPr>
  </w:style>
  <w:style w:type="paragraph" w:styleId="729">
    <w:name w:val="toc 1"/>
    <w:basedOn w:val="704"/>
    <w:next w:val="704"/>
    <w:uiPriority w:val="39"/>
    <w:unhideWhenUsed/>
    <w:pPr>
      <w:spacing w:after="57"/>
    </w:pPr>
  </w:style>
  <w:style w:type="paragraph" w:styleId="730">
    <w:name w:val="toc 4"/>
    <w:basedOn w:val="704"/>
    <w:next w:val="704"/>
    <w:uiPriority w:val="39"/>
    <w:unhideWhenUsed/>
    <w:qFormat/>
    <w:pPr>
      <w:ind w:left="850"/>
      <w:spacing w:after="57"/>
    </w:pPr>
  </w:style>
  <w:style w:type="paragraph" w:styleId="731">
    <w:name w:val="Subtitle"/>
    <w:basedOn w:val="704"/>
    <w:next w:val="704"/>
    <w:link w:val="762"/>
    <w:uiPriority w:val="11"/>
    <w:qFormat/>
    <w:pPr>
      <w:spacing w:before="200" w:after="200"/>
    </w:pPr>
    <w:rPr>
      <w:sz w:val="24"/>
      <w:szCs w:val="24"/>
    </w:rPr>
  </w:style>
  <w:style w:type="paragraph" w:styleId="732">
    <w:name w:val="footnote text"/>
    <w:basedOn w:val="704"/>
    <w:link w:val="818"/>
    <w:uiPriority w:val="99"/>
    <w:unhideWhenUsed/>
    <w:pPr>
      <w:spacing w:after="40"/>
    </w:pPr>
    <w:rPr>
      <w:sz w:val="18"/>
    </w:rPr>
  </w:style>
  <w:style w:type="paragraph" w:styleId="733">
    <w:name w:val="toc 6"/>
    <w:basedOn w:val="704"/>
    <w:next w:val="704"/>
    <w:uiPriority w:val="39"/>
    <w:unhideWhenUsed/>
    <w:qFormat/>
    <w:pPr>
      <w:ind w:left="1417"/>
      <w:spacing w:after="57"/>
    </w:pPr>
  </w:style>
  <w:style w:type="paragraph" w:styleId="734">
    <w:name w:val="table of figures"/>
    <w:basedOn w:val="704"/>
    <w:next w:val="704"/>
    <w:uiPriority w:val="99"/>
    <w:unhideWhenUsed/>
    <w:qFormat/>
  </w:style>
  <w:style w:type="paragraph" w:styleId="735">
    <w:name w:val="toc 2"/>
    <w:basedOn w:val="704"/>
    <w:next w:val="704"/>
    <w:uiPriority w:val="39"/>
    <w:unhideWhenUsed/>
    <w:qFormat/>
    <w:pPr>
      <w:ind w:left="283"/>
      <w:spacing w:after="57"/>
    </w:pPr>
  </w:style>
  <w:style w:type="paragraph" w:styleId="736">
    <w:name w:val="toc 9"/>
    <w:basedOn w:val="704"/>
    <w:next w:val="704"/>
    <w:uiPriority w:val="39"/>
    <w:unhideWhenUsed/>
    <w:qFormat/>
    <w:pPr>
      <w:ind w:left="2268"/>
      <w:spacing w:after="57"/>
    </w:pPr>
  </w:style>
  <w:style w:type="paragraph" w:styleId="737">
    <w:name w:val="Title"/>
    <w:basedOn w:val="704"/>
    <w:next w:val="704"/>
    <w:link w:val="775"/>
    <w:uiPriority w:val="10"/>
    <w:qFormat/>
    <w:pPr>
      <w:contextualSpacing/>
      <w:spacing w:before="300" w:after="200"/>
    </w:pPr>
    <w:rPr>
      <w:sz w:val="48"/>
      <w:szCs w:val="48"/>
    </w:rPr>
  </w:style>
  <w:style w:type="paragraph" w:styleId="738">
    <w:name w:val="annotation subject"/>
    <w:basedOn w:val="721"/>
    <w:next w:val="721"/>
    <w:link w:val="1014"/>
    <w:uiPriority w:val="99"/>
    <w:semiHidden/>
    <w:unhideWhenUsed/>
    <w:qFormat/>
    <w:rPr>
      <w:b/>
      <w:bCs/>
    </w:rPr>
  </w:style>
  <w:style w:type="table" w:styleId="739">
    <w:name w:val="Table Grid"/>
    <w:uiPriority w:val="59"/>
    <w:qFormat/>
    <w:tblPr>
      <w:tblCellMar>
        <w:left w:w="0" w:type="dxa"/>
        <w:top w:w="0" w:type="dxa"/>
        <w:right w:w="0" w:type="dxa"/>
        <w:bottom w:w="0" w:type="dxa"/>
      </w:tblCellMar>
    </w:tblPr>
  </w:style>
  <w:style w:type="character" w:styleId="740">
    <w:name w:val="endnote reference"/>
    <w:uiPriority w:val="99"/>
    <w:unhideWhenUsed/>
    <w:rPr>
      <w:vertAlign w:val="superscript"/>
    </w:rPr>
  </w:style>
  <w:style w:type="character" w:styleId="741">
    <w:name w:val="FollowedHyperlink"/>
    <w:qFormat/>
    <w:rPr>
      <w:color w:val="800080"/>
      <w:u w:val="single"/>
    </w:rPr>
  </w:style>
  <w:style w:type="character" w:styleId="742">
    <w:name w:val="Hyperlink"/>
    <w:uiPriority w:val="99"/>
    <w:unhideWhenUsed/>
    <w:qFormat/>
    <w:rPr>
      <w:color w:val="0000ff"/>
      <w:u w:val="single"/>
    </w:rPr>
  </w:style>
  <w:style w:type="character" w:styleId="743">
    <w:name w:val="annotation reference"/>
    <w:basedOn w:val="714"/>
    <w:uiPriority w:val="99"/>
    <w:semiHidden/>
    <w:unhideWhenUsed/>
    <w:qFormat/>
    <w:rPr>
      <w:sz w:val="21"/>
      <w:szCs w:val="21"/>
    </w:rPr>
  </w:style>
  <w:style w:type="character" w:styleId="744">
    <w:name w:val="footnote reference"/>
    <w:uiPriority w:val="99"/>
    <w:unhideWhenUsed/>
    <w:qFormat/>
    <w:rPr>
      <w:vertAlign w:val="superscript"/>
    </w:rPr>
  </w:style>
  <w:style w:type="paragraph" w:styleId="745">
    <w:name w:val="List Paragraph"/>
    <w:basedOn w:val="704"/>
    <w:qFormat/>
    <w:pPr>
      <w:contextualSpacing/>
      <w:ind w:left="720"/>
      <w:jc w:val="left"/>
      <w:widowControl/>
    </w:pPr>
    <w:rPr>
      <w:sz w:val="24"/>
      <w:szCs w:val="24"/>
      <w:lang w:eastAsia="en-US" w:bidi="en-US"/>
    </w:rPr>
  </w:style>
  <w:style w:type="paragraph" w:styleId="746">
    <w:name w:val="No Spacing"/>
    <w:uiPriority w:val="99"/>
    <w:qFormat/>
    <w:pPr>
      <w:jc w:val="both"/>
      <w:widowControl w:val="off"/>
    </w:pPr>
    <w:rPr>
      <w:rFonts w:ascii="Times New Roman" w:hAnsi="Times New Roman"/>
      <w:sz w:val="21"/>
      <w:szCs w:val="21"/>
    </w:rPr>
  </w:style>
  <w:style w:type="character" w:styleId="747" w:customStyle="1">
    <w:name w:val="Title Char"/>
    <w:uiPriority w:val="10"/>
    <w:qFormat/>
    <w:rPr>
      <w:sz w:val="48"/>
      <w:szCs w:val="48"/>
    </w:rPr>
  </w:style>
  <w:style w:type="character" w:styleId="748" w:customStyle="1">
    <w:name w:val="Subtitle Char"/>
    <w:uiPriority w:val="11"/>
    <w:qFormat/>
    <w:rPr>
      <w:sz w:val="24"/>
      <w:szCs w:val="24"/>
    </w:rPr>
  </w:style>
  <w:style w:type="paragraph" w:styleId="749">
    <w:name w:val="Quote"/>
    <w:basedOn w:val="704"/>
    <w:next w:val="704"/>
    <w:link w:val="797"/>
    <w:uiPriority w:val="29"/>
    <w:qFormat/>
    <w:pPr>
      <w:ind w:left="720" w:right="720"/>
    </w:pPr>
    <w:rPr>
      <w:i/>
    </w:rPr>
  </w:style>
  <w:style w:type="character" w:styleId="750" w:customStyle="1">
    <w:name w:val="Quote Char"/>
    <w:uiPriority w:val="29"/>
    <w:qFormat/>
    <w:rPr>
      <w:i/>
    </w:rPr>
  </w:style>
  <w:style w:type="paragraph" w:styleId="751">
    <w:name w:val="Intense Quote"/>
    <w:basedOn w:val="704"/>
    <w:next w:val="704"/>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uiPriority w:val="30"/>
    <w:qFormat/>
    <w:rPr>
      <w:i/>
    </w:rPr>
  </w:style>
  <w:style w:type="character" w:styleId="753" w:customStyle="1">
    <w:name w:val="Footnote Text Char"/>
    <w:uiPriority w:val="99"/>
    <w:rPr>
      <w:sz w:val="18"/>
    </w:rPr>
  </w:style>
  <w:style w:type="character" w:styleId="754" w:customStyle="1">
    <w:name w:val="Endnote Text Char"/>
    <w:uiPriority w:val="99"/>
    <w:qFormat/>
    <w:rPr>
      <w:sz w:val="20"/>
    </w:rPr>
  </w:style>
  <w:style w:type="paragraph" w:styleId="755" w:customStyle="1">
    <w:name w:val="TOC 标题1"/>
    <w:uiPriority w:val="39"/>
    <w:qFormat/>
  </w:style>
  <w:style w:type="character" w:styleId="756" w:customStyle="1">
    <w:name w:val="标题 2 Char"/>
    <w:link w:val="757"/>
    <w:qFormat/>
    <w:rPr>
      <w:rFonts w:ascii="Arial" w:hAnsi="Arial" w:eastAsia="幼圆" w:cs="Arial"/>
      <w:b/>
      <w:bCs/>
      <w:sz w:val="44"/>
      <w:szCs w:val="44"/>
    </w:rPr>
  </w:style>
  <w:style w:type="paragraph" w:styleId="757" w:customStyle="1">
    <w:name w:val="标题 21"/>
    <w:basedOn w:val="704"/>
    <w:next w:val="758"/>
    <w:link w:val="756"/>
    <w:qFormat/>
    <w:pPr>
      <w:jc w:val="center"/>
      <w:keepLines/>
      <w:keepNext/>
      <w:spacing w:before="260" w:after="260" w:line="416" w:lineRule="auto"/>
      <w:outlineLvl w:val="1"/>
    </w:pPr>
    <w:rPr>
      <w:rFonts w:ascii="Arial" w:hAnsi="Arial" w:eastAsia="幼圆" w:cs="Arial"/>
      <w:b/>
      <w:bCs/>
      <w:sz w:val="44"/>
      <w:szCs w:val="44"/>
    </w:rPr>
  </w:style>
  <w:style w:type="paragraph" w:styleId="758" w:customStyle="1">
    <w:name w:val="正文缩进11"/>
    <w:basedOn w:val="704"/>
    <w:link w:val="788"/>
    <w:qFormat/>
    <w:pPr>
      <w:ind w:firstLine="420"/>
    </w:pPr>
    <w:rPr>
      <w:szCs w:val="21"/>
    </w:rPr>
  </w:style>
  <w:style w:type="character" w:styleId="759" w:customStyle="1">
    <w:name w:val="标题 3 Char1"/>
    <w:link w:val="707"/>
    <w:uiPriority w:val="9"/>
    <w:qFormat/>
    <w:rPr>
      <w:rFonts w:ascii="Arial" w:hAnsi="Arial" w:eastAsia="Arial" w:cs="Arial"/>
      <w:sz w:val="30"/>
      <w:szCs w:val="30"/>
    </w:rPr>
  </w:style>
  <w:style w:type="character" w:styleId="760" w:customStyle="1">
    <w:name w:val="正文文本缩进 2 Char"/>
    <w:link w:val="761"/>
    <w:qFormat/>
    <w:rPr>
      <w:rFonts w:ascii="Arial" w:hAnsi="Arial" w:eastAsia="仿宋_GB2312" w:cs="Arial"/>
      <w:sz w:val="32"/>
      <w:szCs w:val="32"/>
    </w:rPr>
  </w:style>
  <w:style w:type="paragraph" w:styleId="761" w:customStyle="1">
    <w:name w:val="正文文本缩进 21"/>
    <w:basedOn w:val="704"/>
    <w:link w:val="760"/>
    <w:qFormat/>
    <w:pPr>
      <w:ind w:left="630" w:firstLine="645"/>
    </w:pPr>
    <w:rPr>
      <w:rFonts w:ascii="Arial" w:hAnsi="Arial" w:eastAsia="仿宋_GB2312" w:cs="Arial"/>
      <w:sz w:val="32"/>
      <w:szCs w:val="32"/>
    </w:rPr>
  </w:style>
  <w:style w:type="character" w:styleId="762" w:customStyle="1">
    <w:name w:val="副标题 Char"/>
    <w:link w:val="731"/>
    <w:uiPriority w:val="11"/>
    <w:qFormat/>
    <w:rPr>
      <w:sz w:val="24"/>
      <w:szCs w:val="24"/>
    </w:rPr>
  </w:style>
  <w:style w:type="character" w:styleId="763" w:customStyle="1">
    <w:name w:val="页码1"/>
    <w:qFormat/>
  </w:style>
  <w:style w:type="character" w:styleId="764" w:customStyle="1">
    <w:name w:val="Caption Char"/>
    <w:uiPriority w:val="99"/>
    <w:qFormat/>
  </w:style>
  <w:style w:type="character" w:styleId="765" w:customStyle="1">
    <w:name w:val="标题 1 Char1"/>
    <w:link w:val="705"/>
    <w:uiPriority w:val="9"/>
    <w:qFormat/>
    <w:rPr>
      <w:rFonts w:ascii="Arial" w:hAnsi="Arial" w:eastAsia="Arial" w:cs="Arial"/>
      <w:sz w:val="40"/>
      <w:szCs w:val="40"/>
    </w:rPr>
  </w:style>
  <w:style w:type="character" w:styleId="766" w:customStyle="1">
    <w:name w:val="批注引用1"/>
    <w:uiPriority w:val="99"/>
    <w:qFormat/>
    <w:rPr>
      <w:sz w:val="21"/>
      <w:szCs w:val="21"/>
    </w:rPr>
  </w:style>
  <w:style w:type="character" w:styleId="767" w:customStyle="1">
    <w:name w:val="标题 7 Char1"/>
    <w:link w:val="711"/>
    <w:uiPriority w:val="9"/>
    <w:qFormat/>
    <w:rPr>
      <w:rFonts w:ascii="Arial" w:hAnsi="Arial" w:eastAsia="Arial" w:cs="Arial"/>
      <w:b/>
      <w:bCs/>
      <w:i/>
      <w:iCs/>
      <w:sz w:val="22"/>
      <w:szCs w:val="22"/>
    </w:rPr>
  </w:style>
  <w:style w:type="character" w:styleId="768" w:customStyle="1">
    <w:name w:val="纯文本 Char"/>
    <w:link w:val="769"/>
    <w:qFormat/>
    <w:rPr>
      <w:rFonts w:ascii="宋体" w:hAnsi="Courier New" w:eastAsia="宋体" w:cs="Courier New"/>
      <w:szCs w:val="21"/>
    </w:rPr>
  </w:style>
  <w:style w:type="paragraph" w:styleId="769" w:customStyle="1">
    <w:name w:val="纯文本1"/>
    <w:basedOn w:val="704"/>
    <w:link w:val="768"/>
    <w:qFormat/>
    <w:rPr>
      <w:rFonts w:ascii="宋体" w:hAnsi="Courier New" w:cs="Courier New"/>
      <w:szCs w:val="21"/>
    </w:rPr>
  </w:style>
  <w:style w:type="character" w:styleId="770" w:customStyle="1">
    <w:name w:val="正文文本 3 Char"/>
    <w:link w:val="771"/>
    <w:qFormat/>
    <w:rPr>
      <w:rFonts w:ascii="仿宋_GB2312" w:hAnsi="Arial" w:eastAsia="仿宋_GB2312" w:cs="Times New Roman"/>
      <w:sz w:val="32"/>
      <w:szCs w:val="32"/>
    </w:rPr>
  </w:style>
  <w:style w:type="paragraph" w:styleId="771" w:customStyle="1">
    <w:name w:val="正文文本 31"/>
    <w:basedOn w:val="704"/>
    <w:link w:val="770"/>
    <w:rPr>
      <w:rFonts w:ascii="仿宋_GB2312" w:hAnsi="Arial" w:eastAsia="仿宋_GB2312"/>
      <w:sz w:val="32"/>
      <w:szCs w:val="32"/>
    </w:rPr>
  </w:style>
  <w:style w:type="character" w:styleId="772" w:customStyle="1">
    <w:name w:val="标题 4 Char"/>
    <w:link w:val="773"/>
    <w:rPr>
      <w:rFonts w:ascii="Arial" w:hAnsi="Arial" w:eastAsia="黑体" w:cs="Arial"/>
      <w:b/>
      <w:bCs/>
      <w:sz w:val="28"/>
      <w:szCs w:val="28"/>
    </w:rPr>
  </w:style>
  <w:style w:type="paragraph" w:styleId="773" w:customStyle="1">
    <w:name w:val="标题 411"/>
    <w:basedOn w:val="704"/>
    <w:next w:val="758"/>
    <w:link w:val="772"/>
    <w:qFormat/>
    <w:pPr>
      <w:keepLines/>
      <w:keepNext/>
      <w:spacing w:before="280" w:after="290" w:line="376" w:lineRule="auto"/>
      <w:outlineLvl w:val="3"/>
    </w:pPr>
    <w:rPr>
      <w:rFonts w:ascii="Arial" w:hAnsi="Arial" w:eastAsia="黑体" w:cs="Arial"/>
      <w:b/>
      <w:bCs/>
      <w:sz w:val="28"/>
      <w:szCs w:val="28"/>
    </w:rPr>
  </w:style>
  <w:style w:type="character" w:styleId="774" w:customStyle="1">
    <w:name w:val="标题 2 Char1"/>
    <w:link w:val="706"/>
    <w:uiPriority w:val="9"/>
    <w:rPr>
      <w:rFonts w:ascii="Arial" w:hAnsi="Arial" w:eastAsia="Arial" w:cs="Arial"/>
      <w:sz w:val="34"/>
    </w:rPr>
  </w:style>
  <w:style w:type="character" w:styleId="775" w:customStyle="1">
    <w:name w:val="标题 Char"/>
    <w:link w:val="737"/>
    <w:uiPriority w:val="10"/>
    <w:rPr>
      <w:sz w:val="48"/>
      <w:szCs w:val="48"/>
    </w:rPr>
  </w:style>
  <w:style w:type="character" w:styleId="776" w:customStyle="1">
    <w:name w:val="正文文本缩进 3 Char"/>
    <w:link w:val="777"/>
    <w:rPr>
      <w:rFonts w:ascii="Arial" w:hAnsi="Arial" w:eastAsia="仿宋_GB2312" w:cs="Arial"/>
      <w:color w:val="ffff00"/>
      <w:sz w:val="32"/>
      <w:szCs w:val="32"/>
    </w:rPr>
  </w:style>
  <w:style w:type="paragraph" w:styleId="777" w:customStyle="1">
    <w:name w:val="正文文本缩进 31"/>
    <w:basedOn w:val="704"/>
    <w:link w:val="776"/>
    <w:pPr>
      <w:ind w:left="645" w:firstLine="645"/>
    </w:pPr>
    <w:rPr>
      <w:rFonts w:ascii="Arial" w:hAnsi="Arial" w:eastAsia="仿宋_GB2312" w:cs="Arial"/>
      <w:color w:val="ffff00"/>
      <w:sz w:val="32"/>
      <w:szCs w:val="32"/>
    </w:rPr>
  </w:style>
  <w:style w:type="character" w:styleId="778" w:customStyle="1">
    <w:name w:val="标题 9 Char1"/>
    <w:link w:val="713"/>
    <w:uiPriority w:val="9"/>
    <w:rPr>
      <w:rFonts w:ascii="Arial" w:hAnsi="Arial" w:eastAsia="Arial" w:cs="Arial"/>
      <w:i/>
      <w:iCs/>
      <w:sz w:val="21"/>
      <w:szCs w:val="21"/>
    </w:rPr>
  </w:style>
  <w:style w:type="character" w:styleId="779" w:customStyle="1">
    <w:name w:val="文档结构图 Char"/>
    <w:link w:val="780"/>
    <w:semiHidden/>
    <w:rPr>
      <w:rFonts w:ascii="Times New Roman" w:hAnsi="Times New Roman" w:eastAsia="宋体" w:cs="Times New Roman"/>
      <w:szCs w:val="21"/>
      <w:shd w:val="clear" w:color="auto" w:fill="000080"/>
    </w:rPr>
  </w:style>
  <w:style w:type="paragraph" w:styleId="780" w:customStyle="1">
    <w:name w:val="文档结构图1"/>
    <w:basedOn w:val="704"/>
    <w:link w:val="779"/>
    <w:semiHidden/>
    <w:pPr>
      <w:shd w:val="clear" w:color="auto" w:fill="000080"/>
    </w:pPr>
    <w:rPr>
      <w:rFonts w:ascii="Times New Roman" w:hAnsi="Times New Roman"/>
      <w:szCs w:val="21"/>
    </w:rPr>
  </w:style>
  <w:style w:type="character" w:styleId="781" w:customStyle="1">
    <w:name w:val="Header Char"/>
    <w:link w:val="782"/>
    <w:uiPriority w:val="99"/>
  </w:style>
  <w:style w:type="paragraph" w:styleId="782" w:customStyle="1">
    <w:name w:val="Header1"/>
    <w:basedOn w:val="704"/>
    <w:link w:val="781"/>
    <w:uiPriority w:val="99"/>
    <w:unhideWhenUsed/>
    <w:pPr>
      <w:tabs>
        <w:tab w:val="center" w:pos="7143" w:leader="none"/>
        <w:tab w:val="right" w:pos="14287" w:leader="none"/>
      </w:tabs>
    </w:pPr>
  </w:style>
  <w:style w:type="character" w:styleId="783" w:customStyle="1">
    <w:name w:val="标题 5 Char1"/>
    <w:link w:val="709"/>
    <w:uiPriority w:val="9"/>
    <w:rPr>
      <w:rFonts w:ascii="Arial" w:hAnsi="Arial" w:eastAsia="Arial" w:cs="Arial"/>
      <w:b/>
      <w:bCs/>
      <w:sz w:val="24"/>
      <w:szCs w:val="24"/>
    </w:rPr>
  </w:style>
  <w:style w:type="character" w:styleId="784" w:customStyle="1">
    <w:name w:val="标题 3 Char"/>
    <w:link w:val="785"/>
    <w:rPr>
      <w:rFonts w:ascii="Times New Roman" w:hAnsi="Times New Roman" w:eastAsia="宋体" w:cs="Times New Roman"/>
      <w:b/>
      <w:bCs/>
      <w:sz w:val="32"/>
      <w:szCs w:val="32"/>
    </w:rPr>
  </w:style>
  <w:style w:type="paragraph" w:styleId="785" w:customStyle="1">
    <w:name w:val="标题 31"/>
    <w:basedOn w:val="704"/>
    <w:next w:val="758"/>
    <w:link w:val="784"/>
    <w:qFormat/>
    <w:pPr>
      <w:keepLines/>
      <w:keepNext/>
      <w:spacing w:before="260" w:after="260" w:line="416" w:lineRule="auto"/>
      <w:outlineLvl w:val="2"/>
    </w:pPr>
    <w:rPr>
      <w:rFonts w:ascii="Times New Roman" w:hAnsi="Times New Roman"/>
      <w:b/>
      <w:bCs/>
      <w:sz w:val="32"/>
      <w:szCs w:val="32"/>
    </w:rPr>
  </w:style>
  <w:style w:type="character" w:styleId="786" w:customStyle="1">
    <w:name w:val="正文文本 Char"/>
    <w:link w:val="787"/>
    <w:qFormat/>
    <w:rPr>
      <w:rFonts w:ascii="楷体_GB2312" w:hAnsi="Arial" w:eastAsia="楷体_GB2312" w:cs="Times New Roman"/>
      <w:sz w:val="28"/>
      <w:szCs w:val="28"/>
    </w:rPr>
  </w:style>
  <w:style w:type="paragraph" w:styleId="787" w:customStyle="1">
    <w:name w:val="正文文本11"/>
    <w:basedOn w:val="704"/>
    <w:link w:val="786"/>
    <w:qFormat/>
    <w:rPr>
      <w:rFonts w:ascii="楷体_GB2312" w:hAnsi="Arial" w:eastAsia="楷体_GB2312"/>
      <w:sz w:val="28"/>
      <w:szCs w:val="28"/>
    </w:rPr>
  </w:style>
  <w:style w:type="character" w:styleId="788" w:customStyle="1">
    <w:name w:val="正文缩进 Char"/>
    <w:link w:val="758"/>
    <w:qFormat/>
    <w:rPr>
      <w:szCs w:val="21"/>
    </w:rPr>
  </w:style>
  <w:style w:type="character" w:styleId="789" w:customStyle="1">
    <w:name w:val="明显引用 Char"/>
    <w:link w:val="751"/>
    <w:uiPriority w:val="30"/>
    <w:qFormat/>
    <w:rPr>
      <w:i/>
    </w:rPr>
  </w:style>
  <w:style w:type="character" w:styleId="790" w:customStyle="1">
    <w:name w:val="Footer Char"/>
    <w:link w:val="791"/>
    <w:uiPriority w:val="99"/>
    <w:qFormat/>
  </w:style>
  <w:style w:type="paragraph" w:styleId="791" w:customStyle="1">
    <w:name w:val="Footer1"/>
    <w:basedOn w:val="704"/>
    <w:link w:val="790"/>
    <w:uiPriority w:val="99"/>
    <w:unhideWhenUsed/>
    <w:qFormat/>
    <w:pPr>
      <w:tabs>
        <w:tab w:val="center" w:pos="7143" w:leader="none"/>
        <w:tab w:val="right" w:pos="14287" w:leader="none"/>
      </w:tabs>
    </w:pPr>
  </w:style>
  <w:style w:type="character" w:styleId="792" w:customStyle="1">
    <w:name w:val="页脚 Char"/>
    <w:link w:val="793"/>
    <w:uiPriority w:val="99"/>
    <w:qFormat/>
    <w:rPr>
      <w:rFonts w:ascii="Times New Roman" w:hAnsi="Times New Roman" w:eastAsia="宋体" w:cs="Times New Roman"/>
      <w:sz w:val="18"/>
      <w:szCs w:val="18"/>
    </w:rPr>
  </w:style>
  <w:style w:type="paragraph" w:styleId="793" w:customStyle="1">
    <w:name w:val="页脚1"/>
    <w:basedOn w:val="704"/>
    <w:link w:val="792"/>
    <w:uiPriority w:val="99"/>
    <w:qFormat/>
    <w:pPr>
      <w:jc w:val="left"/>
      <w:tabs>
        <w:tab w:val="center" w:pos="4153" w:leader="none"/>
        <w:tab w:val="right" w:pos="8306" w:leader="none"/>
      </w:tabs>
    </w:pPr>
    <w:rPr>
      <w:rFonts w:ascii="Times New Roman" w:hAnsi="Times New Roman"/>
      <w:sz w:val="18"/>
      <w:szCs w:val="18"/>
    </w:rPr>
  </w:style>
  <w:style w:type="character" w:styleId="794" w:customStyle="1">
    <w:name w:val="日期 Char"/>
    <w:link w:val="795"/>
    <w:qFormat/>
    <w:rPr>
      <w:rFonts w:ascii="Times New Roman" w:hAnsi="Times New Roman" w:eastAsia="宋体" w:cs="Times New Roman"/>
      <w:sz w:val="24"/>
      <w:szCs w:val="24"/>
    </w:rPr>
  </w:style>
  <w:style w:type="paragraph" w:styleId="795" w:customStyle="1">
    <w:name w:val="日期1"/>
    <w:basedOn w:val="704"/>
    <w:next w:val="704"/>
    <w:link w:val="794"/>
    <w:qFormat/>
    <w:rPr>
      <w:rFonts w:ascii="Times New Roman" w:hAnsi="Times New Roman"/>
      <w:sz w:val="24"/>
      <w:szCs w:val="24"/>
    </w:rPr>
  </w:style>
  <w:style w:type="character" w:styleId="796" w:customStyle="1">
    <w:name w:val="默认段落字体1"/>
    <w:uiPriority w:val="1"/>
    <w:unhideWhenUsed/>
    <w:qFormat/>
  </w:style>
  <w:style w:type="character" w:styleId="797" w:customStyle="1">
    <w:name w:val="引用 Char"/>
    <w:link w:val="749"/>
    <w:uiPriority w:val="29"/>
    <w:qFormat/>
    <w:rPr>
      <w:i/>
    </w:rPr>
  </w:style>
  <w:style w:type="character" w:styleId="798" w:customStyle="1">
    <w:name w:val="标题 6 Char1"/>
    <w:link w:val="710"/>
    <w:uiPriority w:val="9"/>
    <w:qFormat/>
    <w:rPr>
      <w:rFonts w:ascii="Arial" w:hAnsi="Arial" w:eastAsia="Arial" w:cs="Arial"/>
      <w:b/>
      <w:bCs/>
      <w:sz w:val="22"/>
      <w:szCs w:val="22"/>
    </w:rPr>
  </w:style>
  <w:style w:type="character" w:styleId="799" w:customStyle="1">
    <w:name w:val="标题 9 Char"/>
    <w:link w:val="800"/>
    <w:qFormat/>
    <w:rPr>
      <w:rFonts w:ascii="Arial" w:hAnsi="Arial" w:eastAsia="黑体" w:cs="Times New Roman"/>
      <w:szCs w:val="21"/>
    </w:rPr>
  </w:style>
  <w:style w:type="paragraph" w:styleId="800" w:customStyle="1">
    <w:name w:val="标题 91"/>
    <w:basedOn w:val="704"/>
    <w:next w:val="704"/>
    <w:link w:val="799"/>
    <w:qFormat/>
    <w:pPr>
      <w:numPr>
        <w:ilvl w:val="8"/>
        <w:numId w:val="1"/>
      </w:numPr>
      <w:keepLines/>
      <w:keepNext/>
      <w:spacing w:before="240" w:after="64" w:line="320" w:lineRule="auto"/>
      <w:outlineLvl w:val="8"/>
    </w:pPr>
    <w:rPr>
      <w:rFonts w:ascii="Arial" w:hAnsi="Arial" w:eastAsia="黑体"/>
      <w:szCs w:val="21"/>
    </w:rPr>
  </w:style>
  <w:style w:type="character" w:styleId="801" w:customStyle="1">
    <w:name w:val="标题 1 Char"/>
    <w:link w:val="802"/>
    <w:qFormat/>
    <w:rPr>
      <w:rFonts w:ascii="楷体_GB2312" w:hAnsi="Times New Roman" w:eastAsia="楷体_GB2312" w:cs="Times New Roman"/>
      <w:sz w:val="28"/>
      <w:szCs w:val="28"/>
    </w:rPr>
  </w:style>
  <w:style w:type="paragraph" w:styleId="802" w:customStyle="1">
    <w:name w:val="标题 11"/>
    <w:basedOn w:val="704"/>
    <w:next w:val="704"/>
    <w:link w:val="801"/>
    <w:qFormat/>
    <w:pPr>
      <w:jc w:val="center"/>
      <w:keepNext/>
      <w:outlineLvl w:val="0"/>
    </w:pPr>
    <w:rPr>
      <w:rFonts w:ascii="楷体_GB2312" w:hAnsi="Times New Roman" w:eastAsia="楷体_GB2312"/>
      <w:sz w:val="28"/>
      <w:szCs w:val="28"/>
    </w:rPr>
  </w:style>
  <w:style w:type="character" w:styleId="803" w:customStyle="1">
    <w:name w:val="批注主题 Char"/>
    <w:link w:val="804"/>
    <w:semiHidden/>
    <w:qFormat/>
    <w:rPr>
      <w:rFonts w:ascii="Times New Roman" w:hAnsi="Times New Roman" w:eastAsia="宋体" w:cs="Times New Roman"/>
      <w:b/>
      <w:bCs/>
      <w:szCs w:val="21"/>
    </w:rPr>
  </w:style>
  <w:style w:type="paragraph" w:styleId="804" w:customStyle="1">
    <w:name w:val="批注主题1"/>
    <w:basedOn w:val="805"/>
    <w:next w:val="805"/>
    <w:link w:val="803"/>
    <w:semiHidden/>
    <w:qFormat/>
    <w:rPr>
      <w:rFonts w:ascii="Times New Roman" w:hAnsi="Times New Roman"/>
      <w:b/>
      <w:bCs/>
      <w:szCs w:val="21"/>
    </w:rPr>
  </w:style>
  <w:style w:type="paragraph" w:styleId="805" w:customStyle="1">
    <w:name w:val="批注文字1"/>
    <w:basedOn w:val="704"/>
    <w:link w:val="819"/>
    <w:unhideWhenUsed/>
    <w:qFormat/>
    <w:pPr>
      <w:jc w:val="left"/>
    </w:pPr>
  </w:style>
  <w:style w:type="character" w:styleId="806" w:customStyle="1">
    <w:name w:val="正文首行缩进 2 Char"/>
    <w:link w:val="807"/>
    <w:qFormat/>
    <w:rPr>
      <w:rFonts w:ascii="宋体" w:hAnsi="宋体" w:eastAsia="宋体" w:cs="Times New Roman"/>
      <w:szCs w:val="20"/>
    </w:rPr>
  </w:style>
  <w:style w:type="paragraph" w:styleId="807" w:customStyle="1">
    <w:name w:val="正文首行缩进 21"/>
    <w:basedOn w:val="808"/>
    <w:link w:val="806"/>
    <w:qFormat/>
    <w:pPr>
      <w:ind w:left="0" w:firstLine="420"/>
      <w:spacing w:after="0" w:line="360" w:lineRule="auto"/>
    </w:pPr>
    <w:rPr>
      <w:rFonts w:ascii="宋体" w:hAnsi="宋体"/>
      <w:szCs w:val="20"/>
    </w:rPr>
  </w:style>
  <w:style w:type="paragraph" w:styleId="808" w:customStyle="1">
    <w:name w:val="正文文本缩进1"/>
    <w:basedOn w:val="704"/>
    <w:link w:val="824"/>
    <w:unhideWhenUsed/>
    <w:qFormat/>
    <w:pPr>
      <w:ind w:left="420"/>
      <w:spacing w:after="120"/>
    </w:pPr>
  </w:style>
  <w:style w:type="character" w:styleId="809" w:customStyle="1">
    <w:name w:val="标题 7 Char"/>
    <w:link w:val="810"/>
    <w:qFormat/>
    <w:rPr>
      <w:rFonts w:ascii="Times New Roman" w:hAnsi="Times New Roman" w:eastAsia="宋体" w:cs="Times New Roman"/>
      <w:b/>
      <w:bCs/>
      <w:sz w:val="24"/>
      <w:szCs w:val="24"/>
    </w:rPr>
  </w:style>
  <w:style w:type="paragraph" w:styleId="810" w:customStyle="1">
    <w:name w:val="标题 71"/>
    <w:basedOn w:val="704"/>
    <w:next w:val="704"/>
    <w:link w:val="809"/>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811" w:customStyle="1">
    <w:name w:val="要点1"/>
    <w:qFormat/>
    <w:rPr>
      <w:b/>
      <w:bCs/>
    </w:rPr>
  </w:style>
  <w:style w:type="character" w:styleId="812" w:customStyle="1">
    <w:name w:val="尾注文本 Char"/>
    <w:link w:val="725"/>
    <w:uiPriority w:val="99"/>
    <w:qFormat/>
    <w:rPr>
      <w:sz w:val="20"/>
    </w:rPr>
  </w:style>
  <w:style w:type="character" w:styleId="813" w:customStyle="1">
    <w:name w:val="超链接1"/>
    <w:qFormat/>
    <w:rPr>
      <w:color w:val="0000ff"/>
      <w:u w:val="single"/>
    </w:rPr>
  </w:style>
  <w:style w:type="character" w:styleId="814" w:customStyle="1">
    <w:name w:val="标题 8 Char1"/>
    <w:link w:val="712"/>
    <w:uiPriority w:val="9"/>
    <w:qFormat/>
    <w:rPr>
      <w:rFonts w:ascii="Arial" w:hAnsi="Arial" w:eastAsia="Arial" w:cs="Arial"/>
      <w:i/>
      <w:iCs/>
      <w:sz w:val="22"/>
      <w:szCs w:val="22"/>
    </w:rPr>
  </w:style>
  <w:style w:type="character" w:styleId="815" w:customStyle="1">
    <w:name w:val="标题 6 Char"/>
    <w:link w:val="816"/>
    <w:qFormat/>
    <w:rPr>
      <w:rFonts w:ascii="Arial" w:hAnsi="Arial" w:eastAsia="黑体" w:cs="Times New Roman"/>
      <w:b/>
      <w:bCs/>
      <w:sz w:val="24"/>
      <w:szCs w:val="24"/>
    </w:rPr>
  </w:style>
  <w:style w:type="paragraph" w:styleId="816" w:customStyle="1">
    <w:name w:val="标题 61"/>
    <w:basedOn w:val="704"/>
    <w:next w:val="704"/>
    <w:link w:val="815"/>
    <w:qFormat/>
    <w:pPr>
      <w:numPr>
        <w:ilvl w:val="5"/>
        <w:numId w:val="1"/>
      </w:numPr>
      <w:keepLines/>
      <w:keepNext/>
      <w:spacing w:before="240" w:after="64" w:line="320" w:lineRule="auto"/>
      <w:outlineLvl w:val="5"/>
    </w:pPr>
    <w:rPr>
      <w:rFonts w:ascii="Arial" w:hAnsi="Arial" w:eastAsia="黑体"/>
      <w:b/>
      <w:bCs/>
      <w:sz w:val="24"/>
      <w:szCs w:val="24"/>
    </w:rPr>
  </w:style>
  <w:style w:type="character" w:styleId="817" w:customStyle="1">
    <w:name w:val="标题 4 Char1"/>
    <w:link w:val="708"/>
    <w:uiPriority w:val="9"/>
    <w:qFormat/>
    <w:rPr>
      <w:rFonts w:ascii="Arial" w:hAnsi="Arial" w:eastAsia="Arial" w:cs="Arial"/>
      <w:b/>
      <w:bCs/>
      <w:sz w:val="26"/>
      <w:szCs w:val="26"/>
    </w:rPr>
  </w:style>
  <w:style w:type="character" w:styleId="818" w:customStyle="1">
    <w:name w:val="脚注文本 Char"/>
    <w:link w:val="732"/>
    <w:uiPriority w:val="99"/>
    <w:qFormat/>
    <w:rPr>
      <w:sz w:val="18"/>
    </w:rPr>
  </w:style>
  <w:style w:type="character" w:styleId="819" w:customStyle="1">
    <w:name w:val="批注文字 Char"/>
    <w:link w:val="805"/>
    <w:uiPriority w:val="99"/>
    <w:qFormat/>
  </w:style>
  <w:style w:type="character" w:styleId="820" w:customStyle="1">
    <w:name w:val="标题 5 Char"/>
    <w:link w:val="821"/>
    <w:qFormat/>
    <w:rPr>
      <w:rFonts w:ascii="宋体" w:hAnsi="Times New Roman" w:eastAsia="宋体" w:cs="Times New Roman"/>
      <w:color w:val="000000"/>
      <w:sz w:val="28"/>
      <w:szCs w:val="28"/>
    </w:rPr>
  </w:style>
  <w:style w:type="paragraph" w:styleId="821" w:customStyle="1">
    <w:name w:val="标题 51"/>
    <w:basedOn w:val="704"/>
    <w:next w:val="758"/>
    <w:link w:val="820"/>
    <w:qFormat/>
    <w:pPr>
      <w:keepNext/>
      <w:outlineLvl w:val="4"/>
    </w:pPr>
    <w:rPr>
      <w:rFonts w:ascii="宋体" w:hAnsi="Times New Roman"/>
      <w:color w:val="000000"/>
      <w:sz w:val="28"/>
      <w:szCs w:val="28"/>
    </w:rPr>
  </w:style>
  <w:style w:type="character" w:styleId="822" w:customStyle="1">
    <w:name w:val="标题 8 Char"/>
    <w:link w:val="823"/>
    <w:qFormat/>
    <w:rPr>
      <w:rFonts w:ascii="Arial" w:hAnsi="Arial" w:eastAsia="黑体" w:cs="Times New Roman"/>
      <w:sz w:val="24"/>
      <w:szCs w:val="24"/>
    </w:rPr>
  </w:style>
  <w:style w:type="paragraph" w:styleId="823" w:customStyle="1">
    <w:name w:val="标题 81"/>
    <w:basedOn w:val="704"/>
    <w:next w:val="704"/>
    <w:link w:val="822"/>
    <w:qFormat/>
    <w:pPr>
      <w:numPr>
        <w:ilvl w:val="7"/>
        <w:numId w:val="1"/>
      </w:numPr>
      <w:keepLines/>
      <w:keepNext/>
      <w:spacing w:before="240" w:after="64" w:line="320" w:lineRule="auto"/>
      <w:outlineLvl w:val="7"/>
    </w:pPr>
    <w:rPr>
      <w:rFonts w:ascii="Arial" w:hAnsi="Arial" w:eastAsia="黑体"/>
      <w:sz w:val="24"/>
      <w:szCs w:val="24"/>
    </w:rPr>
  </w:style>
  <w:style w:type="character" w:styleId="824" w:customStyle="1">
    <w:name w:val="正文文本缩进 Char"/>
    <w:link w:val="808"/>
    <w:uiPriority w:val="99"/>
    <w:semiHidden/>
    <w:qFormat/>
  </w:style>
  <w:style w:type="character" w:styleId="825" w:customStyle="1">
    <w:name w:val="批注框文本 Char"/>
    <w:link w:val="826"/>
    <w:semiHidden/>
    <w:qFormat/>
    <w:rPr>
      <w:rFonts w:ascii="Times New Roman" w:hAnsi="Times New Roman" w:eastAsia="宋体" w:cs="Times New Roman"/>
      <w:sz w:val="18"/>
      <w:szCs w:val="18"/>
    </w:rPr>
  </w:style>
  <w:style w:type="paragraph" w:styleId="826" w:customStyle="1">
    <w:name w:val="批注框文本1"/>
    <w:basedOn w:val="704"/>
    <w:link w:val="825"/>
    <w:semiHidden/>
    <w:qFormat/>
    <w:rPr>
      <w:rFonts w:ascii="Times New Roman" w:hAnsi="Times New Roman"/>
      <w:sz w:val="18"/>
      <w:szCs w:val="18"/>
    </w:rPr>
  </w:style>
  <w:style w:type="character" w:styleId="827" w:customStyle="1">
    <w:name w:val="页眉 Char"/>
    <w:link w:val="828"/>
    <w:qFormat/>
    <w:rPr>
      <w:rFonts w:ascii="Times New Roman" w:hAnsi="Times New Roman" w:eastAsia="宋体" w:cs="Times New Roman"/>
      <w:sz w:val="18"/>
      <w:szCs w:val="18"/>
    </w:rPr>
  </w:style>
  <w:style w:type="paragraph" w:styleId="828" w:customStyle="1">
    <w:name w:val="页眉1"/>
    <w:basedOn w:val="704"/>
    <w:link w:val="827"/>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9" w:customStyle="1">
    <w:name w:val="正文文本 2 Char"/>
    <w:link w:val="830"/>
    <w:qFormat/>
    <w:rPr>
      <w:rFonts w:ascii="楷体_GB2312" w:hAnsi="Times New Roman" w:eastAsia="楷体_GB2312" w:cs="Times New Roman"/>
      <w:sz w:val="28"/>
      <w:szCs w:val="28"/>
    </w:rPr>
  </w:style>
  <w:style w:type="paragraph" w:styleId="830" w:customStyle="1">
    <w:name w:val="正文文本 21"/>
    <w:basedOn w:val="704"/>
    <w:link w:val="829"/>
    <w:qFormat/>
    <w:pPr>
      <w:jc w:val="center"/>
      <w:widowControl/>
    </w:pPr>
    <w:rPr>
      <w:rFonts w:ascii="楷体_GB2312" w:hAnsi="Times New Roman" w:eastAsia="楷体_GB2312"/>
      <w:sz w:val="28"/>
      <w:szCs w:val="28"/>
    </w:rPr>
  </w:style>
  <w:style w:type="character" w:styleId="831" w:customStyle="1">
    <w:name w:val="正文首行缩进 Char"/>
    <w:link w:val="832"/>
    <w:qFormat/>
    <w:rPr>
      <w:rFonts w:ascii="仿宋_GB2312" w:hAnsi="Times New Roman" w:eastAsia="仿宋_GB2312" w:cs="Times New Roman"/>
      <w:sz w:val="30"/>
      <w:szCs w:val="30"/>
    </w:rPr>
  </w:style>
  <w:style w:type="paragraph" w:styleId="832" w:customStyle="1">
    <w:name w:val="正文首行缩进1"/>
    <w:basedOn w:val="704"/>
    <w:link w:val="831"/>
    <w:qFormat/>
    <w:pPr>
      <w:ind w:firstLine="200"/>
      <w:spacing w:line="360" w:lineRule="auto"/>
    </w:pPr>
    <w:rPr>
      <w:rFonts w:ascii="仿宋_GB2312" w:hAnsi="Times New Roman" w:eastAsia="仿宋_GB2312"/>
      <w:sz w:val="30"/>
      <w:szCs w:val="30"/>
    </w:rPr>
  </w:style>
  <w:style w:type="character" w:styleId="833" w:customStyle="1">
    <w:name w:val="font5 Char"/>
    <w:qFormat/>
    <w:rPr>
      <w:rFonts w:ascii="宋体" w:hAnsi="宋体" w:eastAsia="宋体"/>
      <w:sz w:val="28"/>
      <w:szCs w:val="28"/>
      <w:lang w:val="en-US" w:eastAsia="zh-CN" w:bidi="ar-SA"/>
    </w:rPr>
  </w:style>
  <w:style w:type="character" w:styleId="834" w:customStyle="1">
    <w:name w:val="二级目录 Char"/>
    <w:link w:val="835"/>
    <w:qFormat/>
    <w:rPr>
      <w:b/>
      <w:sz w:val="30"/>
      <w:szCs w:val="28"/>
    </w:rPr>
  </w:style>
  <w:style w:type="paragraph" w:styleId="835" w:customStyle="1">
    <w:name w:val="二级目录"/>
    <w:next w:val="704"/>
    <w:link w:val="834"/>
    <w:qFormat/>
    <w:pPr>
      <w:ind w:left="907" w:hanging="907"/>
      <w:tabs>
        <w:tab w:val="left" w:pos="907" w:leader="none"/>
        <w:tab w:val="left" w:pos="1145" w:leader="none"/>
      </w:tabs>
      <w:outlineLvl w:val="1"/>
    </w:pPr>
    <w:rPr>
      <w:b/>
      <w:sz w:val="30"/>
      <w:szCs w:val="28"/>
    </w:rPr>
  </w:style>
  <w:style w:type="character" w:styleId="836" w:customStyle="1">
    <w:name w:val="列出段落 Char"/>
    <w:link w:val="837"/>
    <w:qFormat/>
    <w:rPr>
      <w:rFonts w:ascii="Calibri" w:hAnsi="Calibri"/>
      <w:sz w:val="24"/>
      <w:szCs w:val="24"/>
      <w:lang w:eastAsia="en-US" w:bidi="en-US"/>
    </w:rPr>
  </w:style>
  <w:style w:type="paragraph" w:styleId="837" w:customStyle="1">
    <w:name w:val="列出段落1"/>
    <w:basedOn w:val="704"/>
    <w:link w:val="836"/>
    <w:qFormat/>
    <w:pPr>
      <w:contextualSpacing/>
      <w:ind w:left="720"/>
      <w:jc w:val="left"/>
      <w:widowControl/>
    </w:pPr>
    <w:rPr>
      <w:sz w:val="24"/>
      <w:szCs w:val="24"/>
      <w:lang w:eastAsia="en-US" w:bidi="en-US"/>
    </w:rPr>
  </w:style>
  <w:style w:type="paragraph" w:styleId="838" w:customStyle="1">
    <w:name w:val="目录 41"/>
    <w:basedOn w:val="704"/>
    <w:next w:val="704"/>
    <w:semiHidden/>
    <w:qFormat/>
    <w:pPr>
      <w:ind w:left="630"/>
      <w:jc w:val="left"/>
    </w:pPr>
    <w:rPr>
      <w:rFonts w:ascii="Times New Roman" w:hAnsi="Times New Roman"/>
      <w:szCs w:val="21"/>
    </w:rPr>
  </w:style>
  <w:style w:type="paragraph" w:styleId="839" w:customStyle="1">
    <w:name w:val="font7"/>
    <w:basedOn w:val="704"/>
    <w:qFormat/>
    <w:pPr>
      <w:jc w:val="left"/>
      <w:spacing w:before="100" w:beforeAutospacing="1" w:after="100" w:afterAutospacing="1"/>
      <w:widowControl/>
    </w:pPr>
    <w:rPr>
      <w:rFonts w:hint="eastAsia" w:ascii="宋体" w:hAnsi="宋体"/>
      <w:sz w:val="18"/>
      <w:szCs w:val="18"/>
    </w:rPr>
  </w:style>
  <w:style w:type="paragraph" w:styleId="840" w:customStyle="1">
    <w:name w:val="样式1"/>
    <w:basedOn w:val="704"/>
    <w:qFormat/>
    <w:pPr>
      <w:numPr>
        <w:numId w:val="2"/>
      </w:numPr>
    </w:pPr>
    <w:rPr>
      <w:rFonts w:ascii="宋体" w:hAnsi="宋体"/>
      <w:szCs w:val="21"/>
    </w:rPr>
  </w:style>
  <w:style w:type="paragraph" w:styleId="841" w:customStyle="1">
    <w:name w:val="table_1stline"/>
    <w:basedOn w:val="704"/>
    <w:qFormat/>
    <w:pPr>
      <w:jc w:val="left"/>
      <w:spacing w:before="120"/>
      <w:widowControl/>
    </w:pPr>
    <w:rPr>
      <w:rFonts w:ascii="Times New Roman" w:hAnsi="Times New Roman"/>
      <w:bCs/>
      <w:sz w:val="20"/>
      <w:szCs w:val="20"/>
      <w:lang w:val="de-DE" w:eastAsia="de-DE"/>
    </w:rPr>
  </w:style>
  <w:style w:type="paragraph" w:styleId="842" w:customStyle="1">
    <w:name w:val="xl27"/>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3" w:customStyle="1">
    <w:name w:val="目录 11"/>
    <w:basedOn w:val="704"/>
    <w:next w:val="704"/>
    <w:semiHidden/>
    <w:qFormat/>
    <w:pPr>
      <w:jc w:val="left"/>
      <w:spacing w:before="120" w:after="120" w:line="400" w:lineRule="exact"/>
      <w:tabs>
        <w:tab w:val="right" w:pos="8720" w:leader="dot"/>
      </w:tabs>
    </w:pPr>
    <w:rPr>
      <w:rFonts w:ascii="宋体" w:hAnsi="宋体"/>
      <w:caps/>
      <w:sz w:val="24"/>
      <w:szCs w:val="24"/>
    </w:rPr>
  </w:style>
  <w:style w:type="paragraph" w:styleId="844" w:customStyle="1">
    <w:name w:val="目录 51"/>
    <w:basedOn w:val="704"/>
    <w:next w:val="704"/>
    <w:semiHidden/>
    <w:qFormat/>
    <w:pPr>
      <w:ind w:left="840"/>
      <w:jc w:val="left"/>
    </w:pPr>
    <w:rPr>
      <w:rFonts w:ascii="Times New Roman" w:hAnsi="Times New Roman"/>
      <w:szCs w:val="21"/>
    </w:rPr>
  </w:style>
  <w:style w:type="paragraph" w:styleId="845" w:customStyle="1">
    <w:name w:val="目录 81"/>
    <w:basedOn w:val="704"/>
    <w:next w:val="704"/>
    <w:semiHidden/>
    <w:qFormat/>
    <w:pPr>
      <w:ind w:left="1470"/>
      <w:jc w:val="left"/>
    </w:pPr>
    <w:rPr>
      <w:rFonts w:ascii="Times New Roman" w:hAnsi="Times New Roman"/>
      <w:szCs w:val="21"/>
    </w:rPr>
  </w:style>
  <w:style w:type="paragraph" w:styleId="846" w:customStyle="1">
    <w:name w:val="table_lines"/>
    <w:basedOn w:val="704"/>
    <w:qFormat/>
    <w:pPr>
      <w:jc w:val="left"/>
      <w:widowControl/>
    </w:pPr>
    <w:rPr>
      <w:rFonts w:ascii="Times New Roman" w:hAnsi="Times New Roman"/>
      <w:sz w:val="20"/>
      <w:szCs w:val="20"/>
      <w:lang w:val="de-DE" w:eastAsia="de-DE"/>
    </w:rPr>
  </w:style>
  <w:style w:type="paragraph" w:styleId="847" w:customStyle="1">
    <w:name w:val="Char"/>
    <w:basedOn w:val="780"/>
    <w:qFormat/>
    <w:rPr>
      <w:rFonts w:ascii="Tahoma" w:hAnsi="Tahoma"/>
      <w:sz w:val="24"/>
      <w:szCs w:val="24"/>
    </w:rPr>
  </w:style>
  <w:style w:type="paragraph" w:styleId="848" w:customStyle="1">
    <w:name w:val="普通 (Web)"/>
    <w:basedOn w:val="704"/>
    <w:qFormat/>
    <w:pPr>
      <w:jc w:val="left"/>
      <w:spacing w:before="100" w:beforeAutospacing="1" w:after="100" w:afterAutospacing="1"/>
      <w:widowControl/>
    </w:pPr>
    <w:rPr>
      <w:rFonts w:ascii="宋体" w:hAnsi="宋体"/>
      <w:sz w:val="24"/>
      <w:szCs w:val="24"/>
    </w:rPr>
  </w:style>
  <w:style w:type="paragraph" w:styleId="849" w:customStyle="1">
    <w:name w:val="目录 71"/>
    <w:basedOn w:val="704"/>
    <w:next w:val="704"/>
    <w:semiHidden/>
    <w:qFormat/>
    <w:pPr>
      <w:ind w:left="1260"/>
      <w:jc w:val="left"/>
    </w:pPr>
    <w:rPr>
      <w:rFonts w:ascii="Times New Roman" w:hAnsi="Times New Roman"/>
      <w:szCs w:val="21"/>
    </w:rPr>
  </w:style>
  <w:style w:type="paragraph" w:styleId="850" w:customStyle="1">
    <w:name w:val="图表目录1"/>
    <w:basedOn w:val="704"/>
    <w:next w:val="704"/>
    <w:semiHidden/>
    <w:qFormat/>
    <w:pPr>
      <w:ind w:left="840" w:hanging="420"/>
    </w:pPr>
    <w:rPr>
      <w:rFonts w:ascii="Times New Roman" w:hAnsi="Times New Roman"/>
      <w:szCs w:val="21"/>
    </w:rPr>
  </w:style>
  <w:style w:type="paragraph" w:styleId="851" w:customStyle="1">
    <w:name w:val="附录1"/>
    <w:qFormat/>
    <w:pPr>
      <w:numPr>
        <w:numId w:val="3"/>
      </w:numPr>
      <w:spacing w:before="240" w:line="600" w:lineRule="atLeast"/>
    </w:pPr>
    <w:rPr>
      <w:rFonts w:ascii="Times New Roman" w:hAnsi="Times New Roman"/>
      <w:b/>
      <w:i/>
      <w:sz w:val="28"/>
    </w:rPr>
  </w:style>
  <w:style w:type="paragraph" w:styleId="852" w:customStyle="1">
    <w:name w:val="普通正文"/>
    <w:basedOn w:val="704"/>
    <w:qFormat/>
    <w:pPr>
      <w:ind w:firstLine="480"/>
      <w:jc w:val="left"/>
      <w:spacing w:before="120" w:after="120" w:line="360" w:lineRule="auto"/>
    </w:pPr>
    <w:rPr>
      <w:rFonts w:ascii="Arial" w:hAnsi="Arial"/>
      <w:sz w:val="24"/>
      <w:szCs w:val="24"/>
    </w:rPr>
  </w:style>
  <w:style w:type="paragraph" w:styleId="853" w:customStyle="1">
    <w:name w:val="目录 21"/>
    <w:basedOn w:val="704"/>
    <w:next w:val="704"/>
    <w:semiHidden/>
    <w:qFormat/>
    <w:pPr>
      <w:ind w:left="210"/>
      <w:jc w:val="left"/>
    </w:pPr>
    <w:rPr>
      <w:rFonts w:ascii="Times New Roman" w:hAnsi="Times New Roman"/>
      <w:smallCaps/>
      <w:szCs w:val="24"/>
    </w:rPr>
  </w:style>
  <w:style w:type="paragraph" w:styleId="854" w:customStyle="1">
    <w:name w:val="Char1"/>
    <w:basedOn w:val="704"/>
    <w:qFormat/>
    <w:pPr>
      <w:ind w:firstLine="200"/>
      <w:tabs>
        <w:tab w:val="left" w:pos="360" w:leader="none"/>
      </w:tabs>
    </w:pPr>
    <w:rPr>
      <w:rFonts w:ascii="Times New Roman" w:hAnsi="Times New Roman"/>
      <w:sz w:val="28"/>
      <w:szCs w:val="30"/>
    </w:rPr>
  </w:style>
  <w:style w:type="paragraph" w:styleId="855" w:customStyle="1">
    <w:name w:val="列表1"/>
    <w:basedOn w:val="704"/>
    <w:qFormat/>
    <w:pPr>
      <w:ind w:left="200" w:hanging="200"/>
    </w:pPr>
    <w:rPr>
      <w:rFonts w:ascii="Times New Roman" w:hAnsi="Times New Roman"/>
      <w:szCs w:val="21"/>
    </w:rPr>
  </w:style>
  <w:style w:type="paragraph" w:styleId="856" w:customStyle="1">
    <w:name w:val="列表 21"/>
    <w:basedOn w:val="704"/>
    <w:qFormat/>
    <w:pPr>
      <w:ind w:left="100" w:hanging="200"/>
    </w:pPr>
    <w:rPr>
      <w:rFonts w:ascii="Times New Roman" w:hAnsi="Times New Roman"/>
      <w:szCs w:val="21"/>
    </w:rPr>
  </w:style>
  <w:style w:type="paragraph" w:styleId="857" w:customStyle="1">
    <w:name w:val="xl24"/>
    <w:basedOn w:val="7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8" w:customStyle="1">
    <w:name w:val="Caption1"/>
    <w:basedOn w:val="704"/>
    <w:next w:val="704"/>
    <w:uiPriority w:val="35"/>
    <w:unhideWhenUsed/>
    <w:qFormat/>
    <w:pPr>
      <w:spacing w:line="276" w:lineRule="auto"/>
    </w:pPr>
    <w:rPr>
      <w:b/>
      <w:bCs/>
      <w:color w:val="4f81bd"/>
      <w:sz w:val="18"/>
      <w:szCs w:val="18"/>
    </w:rPr>
  </w:style>
  <w:style w:type="paragraph" w:styleId="859" w:customStyle="1">
    <w:name w:val="xl28"/>
    <w:basedOn w:val="70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0" w:customStyle="1">
    <w:name w:val="Char Char Char Char"/>
    <w:basedOn w:val="780"/>
    <w:qFormat/>
    <w:pPr>
      <w:spacing w:line="360" w:lineRule="auto"/>
    </w:pPr>
    <w:rPr>
      <w:rFonts w:ascii="Tahoma" w:hAnsi="Tahoma"/>
      <w:sz w:val="24"/>
      <w:szCs w:val="24"/>
    </w:rPr>
  </w:style>
  <w:style w:type="paragraph" w:styleId="861" w:customStyle="1">
    <w:name w:val="目录 61"/>
    <w:basedOn w:val="704"/>
    <w:next w:val="704"/>
    <w:semiHidden/>
    <w:qFormat/>
    <w:pPr>
      <w:ind w:left="1050"/>
      <w:jc w:val="left"/>
    </w:pPr>
    <w:rPr>
      <w:rFonts w:ascii="Times New Roman" w:hAnsi="Times New Roman"/>
      <w:szCs w:val="21"/>
    </w:rPr>
  </w:style>
  <w:style w:type="paragraph" w:styleId="862" w:customStyle="1">
    <w:name w:val="AONormal"/>
    <w:qFormat/>
    <w:pPr>
      <w:ind w:firstLine="440"/>
      <w:spacing w:line="400" w:lineRule="exact"/>
    </w:pPr>
    <w:rPr>
      <w:rFonts w:ascii="华文楷体" w:hAnsi="华文楷体" w:eastAsia="华文楷体" w:cs="华文楷体"/>
      <w:sz w:val="22"/>
      <w:szCs w:val="21"/>
    </w:rPr>
  </w:style>
  <w:style w:type="paragraph" w:styleId="863" w:customStyle="1">
    <w:name w:val="Char Char Char Char Char Char Char Char"/>
    <w:basedOn w:val="704"/>
    <w:pPr>
      <w:jc w:val="left"/>
      <w:spacing w:after="160" w:line="240" w:lineRule="exact"/>
      <w:widowControl/>
    </w:pPr>
    <w:rPr>
      <w:rFonts w:ascii="Verdana" w:hAnsi="Verdana"/>
      <w:sz w:val="20"/>
      <w:szCs w:val="20"/>
      <w:lang w:eastAsia="en-US"/>
    </w:rPr>
  </w:style>
  <w:style w:type="paragraph" w:styleId="864" w:customStyle="1">
    <w:name w:val="列表 31"/>
    <w:basedOn w:val="704"/>
    <w:qFormat/>
    <w:pPr>
      <w:ind w:left="100" w:hanging="200"/>
    </w:pPr>
    <w:rPr>
      <w:rFonts w:ascii="Times New Roman" w:hAnsi="Times New Roman"/>
      <w:szCs w:val="21"/>
    </w:rPr>
  </w:style>
  <w:style w:type="paragraph" w:styleId="865" w:customStyle="1">
    <w:name w:val="目录 31"/>
    <w:basedOn w:val="704"/>
    <w:next w:val="704"/>
    <w:semiHidden/>
    <w:pPr>
      <w:ind w:left="420"/>
      <w:jc w:val="left"/>
    </w:pPr>
    <w:rPr>
      <w:rFonts w:ascii="Times New Roman" w:hAnsi="Times New Roman"/>
      <w:i/>
      <w:iCs/>
      <w:szCs w:val="24"/>
    </w:rPr>
  </w:style>
  <w:style w:type="paragraph" w:styleId="866" w:customStyle="1">
    <w:name w:val="font6"/>
    <w:basedOn w:val="704"/>
    <w:pPr>
      <w:jc w:val="left"/>
      <w:spacing w:before="100" w:beforeAutospacing="1" w:after="100" w:afterAutospacing="1"/>
      <w:widowControl/>
    </w:pPr>
    <w:rPr>
      <w:rFonts w:hint="eastAsia" w:ascii="宋体" w:hAnsi="宋体"/>
      <w:sz w:val="28"/>
      <w:szCs w:val="28"/>
      <w:u w:val="single"/>
    </w:rPr>
  </w:style>
  <w:style w:type="paragraph" w:styleId="867" w:customStyle="1">
    <w:name w:val="Char Char Char Char1"/>
    <w:basedOn w:val="780"/>
    <w:qFormat/>
    <w:pPr>
      <w:spacing w:line="360" w:lineRule="auto"/>
    </w:pPr>
    <w:rPr>
      <w:rFonts w:ascii="Tahoma" w:hAnsi="Tahoma"/>
      <w:sz w:val="24"/>
      <w:szCs w:val="24"/>
    </w:rPr>
  </w:style>
  <w:style w:type="paragraph" w:styleId="868" w:customStyle="1">
    <w:name w:val="修订1"/>
    <w:uiPriority w:val="99"/>
    <w:semiHidden/>
    <w:rPr>
      <w:rFonts w:ascii="Times New Roman" w:hAnsi="Times New Roman"/>
      <w:sz w:val="21"/>
      <w:szCs w:val="21"/>
    </w:rPr>
  </w:style>
  <w:style w:type="paragraph" w:styleId="869" w:customStyle="1">
    <w:name w:val="4"/>
    <w:basedOn w:val="704"/>
    <w:next w:val="777"/>
    <w:qFormat/>
    <w:pPr>
      <w:ind w:firstLine="420"/>
      <w:spacing w:line="360" w:lineRule="auto"/>
    </w:pPr>
    <w:rPr>
      <w:rFonts w:ascii="Times New Roman" w:hAnsi="Times New Roman"/>
      <w:color w:val="ff0000"/>
      <w:sz w:val="24"/>
      <w:szCs w:val="24"/>
    </w:rPr>
  </w:style>
  <w:style w:type="paragraph" w:styleId="870" w:customStyle="1">
    <w:name w:val="目录 91"/>
    <w:basedOn w:val="704"/>
    <w:next w:val="704"/>
    <w:semiHidden/>
    <w:pPr>
      <w:ind w:left="1680"/>
      <w:jc w:val="left"/>
    </w:pPr>
    <w:rPr>
      <w:rFonts w:ascii="Times New Roman" w:hAnsi="Times New Roman"/>
      <w:szCs w:val="21"/>
    </w:rPr>
  </w:style>
  <w:style w:type="paragraph" w:styleId="871" w:customStyle="1">
    <w:name w:val="标题3"/>
    <w:basedOn w:val="704"/>
    <w:next w:val="704"/>
    <w:qFormat/>
    <w:pPr>
      <w:ind w:firstLine="624"/>
      <w:spacing w:line="590" w:lineRule="atLeast"/>
    </w:pPr>
    <w:rPr>
      <w:rFonts w:ascii="方正黑体_GBK" w:hAnsi="Times New Roman" w:eastAsia="方正黑体_GBK"/>
      <w:sz w:val="32"/>
      <w:szCs w:val="32"/>
    </w:rPr>
  </w:style>
  <w:style w:type="paragraph" w:styleId="872" w:customStyle="1">
    <w:name w:val="图标"/>
    <w:basedOn w:val="704"/>
    <w:next w:val="70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73"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874" w:customStyle="1">
    <w:name w:val="xl29"/>
    <w:basedOn w:val="70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75" w:customStyle="1">
    <w:name w:val="索引 11"/>
    <w:basedOn w:val="704"/>
    <w:next w:val="704"/>
    <w:semiHidden/>
    <w:pPr>
      <w:spacing w:line="240" w:lineRule="atLeast"/>
    </w:pPr>
    <w:rPr>
      <w:rFonts w:ascii="Times New Roman" w:hAnsi="Times New Roman"/>
      <w:b/>
      <w:bCs/>
      <w:szCs w:val="21"/>
    </w:rPr>
  </w:style>
  <w:style w:type="paragraph" w:styleId="876" w:customStyle="1">
    <w:name w:val="Char Char Char Char Char Char Char Char Char Char"/>
    <w:basedOn w:val="704"/>
    <w:pPr>
      <w:spacing w:line="360" w:lineRule="auto"/>
    </w:pPr>
    <w:rPr>
      <w:rFonts w:ascii="Times New Roman" w:hAnsi="Times New Roman"/>
      <w:sz w:val="24"/>
      <w:szCs w:val="20"/>
    </w:rPr>
  </w:style>
  <w:style w:type="paragraph" w:styleId="877" w:customStyle="1">
    <w:name w:val="Body Text(ch)"/>
    <w:basedOn w:val="704"/>
    <w:next w:val="787"/>
    <w:pPr>
      <w:spacing w:after="120"/>
    </w:pPr>
    <w:rPr>
      <w:rFonts w:ascii="宋体" w:hAnsi="Arial"/>
      <w:bCs/>
      <w:iCs/>
      <w:szCs w:val="24"/>
    </w:rPr>
  </w:style>
  <w:style w:type="paragraph" w:styleId="878" w:customStyle="1">
    <w:name w:val="标题1"/>
    <w:basedOn w:val="704"/>
    <w:next w:val="704"/>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79" w:customStyle="1">
    <w:name w:val="xl26"/>
    <w:basedOn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0" w:customStyle="1">
    <w:name w:val="font5"/>
    <w:basedOn w:val="704"/>
    <w:pPr>
      <w:jc w:val="left"/>
      <w:spacing w:before="100" w:beforeAutospacing="1" w:after="100" w:afterAutospacing="1"/>
      <w:widowControl/>
    </w:pPr>
    <w:rPr>
      <w:rFonts w:hint="eastAsia" w:ascii="宋体" w:hAnsi="宋体"/>
      <w:sz w:val="28"/>
      <w:szCs w:val="28"/>
    </w:rPr>
  </w:style>
  <w:style w:type="paragraph" w:styleId="881" w:customStyle="1">
    <w:name w:val="xl25"/>
    <w:basedOn w:val="70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2" w:customStyle="1">
    <w:name w:val="Char Char Char Char Char Char Char Char1"/>
    <w:basedOn w:val="704"/>
    <w:qFormat/>
    <w:pPr>
      <w:jc w:val="left"/>
      <w:spacing w:after="160" w:line="240" w:lineRule="exact"/>
      <w:widowControl/>
    </w:pPr>
    <w:rPr>
      <w:rFonts w:ascii="Verdana" w:hAnsi="Verdana"/>
      <w:sz w:val="20"/>
      <w:szCs w:val="20"/>
      <w:lang w:eastAsia="en-US"/>
    </w:rPr>
  </w:style>
  <w:style w:type="paragraph" w:styleId="883" w:customStyle="1">
    <w:name w:val="xl30"/>
    <w:basedOn w:val="704"/>
    <w:qFormat/>
    <w:pPr>
      <w:jc w:val="center"/>
      <w:spacing w:before="100" w:beforeAutospacing="1" w:after="100" w:afterAutospacing="1"/>
      <w:widowControl/>
    </w:pPr>
    <w:rPr>
      <w:rFonts w:ascii="宋体" w:hAnsi="宋体"/>
      <w:b/>
      <w:bCs/>
      <w:sz w:val="36"/>
      <w:szCs w:val="36"/>
    </w:rPr>
  </w:style>
  <w:style w:type="paragraph" w:styleId="884" w:customStyle="1">
    <w:name w:val="正文文本1"/>
    <w:basedOn w:val="704"/>
    <w:qFormat/>
  </w:style>
  <w:style w:type="table" w:styleId="885" w:customStyle="1">
    <w:name w:val="Bordered &amp; Lined - Accent 4"/>
    <w:uiPriority w:val="99"/>
    <w:rPr>
      <w:color w:val="404040"/>
    </w:rPr>
    <w:tblPr>
      <w:tblCellMar>
        <w:left w:w="0" w:type="dxa"/>
        <w:top w:w="0" w:type="dxa"/>
        <w:right w:w="0" w:type="dxa"/>
        <w:bottom w:w="0" w:type="dxa"/>
      </w:tblCellMar>
    </w:tblPr>
  </w:style>
  <w:style w:type="table" w:styleId="886" w:customStyle="1">
    <w:name w:val="Grid Table 4 - Accent 3"/>
    <w:uiPriority w:val="59"/>
    <w:tblPr>
      <w:tblCellMar>
        <w:left w:w="0" w:type="dxa"/>
        <w:top w:w="0" w:type="dxa"/>
        <w:right w:w="0" w:type="dxa"/>
        <w:bottom w:w="0" w:type="dxa"/>
      </w:tblCellMar>
    </w:tblPr>
  </w:style>
  <w:style w:type="table" w:styleId="887" w:customStyle="1">
    <w:name w:val="Bordered &amp; Lined - Accent 5"/>
    <w:uiPriority w:val="99"/>
    <w:qFormat/>
    <w:rPr>
      <w:color w:val="404040"/>
    </w:rPr>
    <w:tblPr>
      <w:tblCellMar>
        <w:left w:w="0" w:type="dxa"/>
        <w:top w:w="0" w:type="dxa"/>
        <w:right w:w="0" w:type="dxa"/>
        <w:bottom w:w="0" w:type="dxa"/>
      </w:tblCellMar>
    </w:tblPr>
  </w:style>
  <w:style w:type="table" w:styleId="888" w:customStyle="1">
    <w:name w:val="Grid Table 4 - Accent 4"/>
    <w:uiPriority w:val="59"/>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Grid Table 3 - Accent 1"/>
    <w:uiPriority w:val="99"/>
    <w:tblPr>
      <w:tblCellMar>
        <w:left w:w="0" w:type="dxa"/>
        <w:top w:w="0" w:type="dxa"/>
        <w:right w:w="0" w:type="dxa"/>
        <w:bottom w:w="0" w:type="dxa"/>
      </w:tblCellMar>
    </w:tblPr>
  </w:style>
  <w:style w:type="table" w:styleId="891" w:customStyle="1">
    <w:name w:val="Bordered &amp; Lined - Accent 2"/>
    <w:uiPriority w:val="99"/>
    <w:rPr>
      <w:color w:val="404040"/>
    </w:rPr>
    <w:tblPr>
      <w:tblCellMar>
        <w:left w:w="0" w:type="dxa"/>
        <w:top w:w="0" w:type="dxa"/>
        <w:right w:w="0" w:type="dxa"/>
        <w:bottom w:w="0" w:type="dxa"/>
      </w:tblCellMar>
    </w:tblPr>
  </w:style>
  <w:style w:type="table" w:styleId="892" w:customStyle="1">
    <w:name w:val="Grid Table 4 - Accent 1"/>
    <w:uiPriority w:val="59"/>
    <w:tblPr>
      <w:tblCellMar>
        <w:left w:w="0" w:type="dxa"/>
        <w:top w:w="0" w:type="dxa"/>
        <w:right w:w="0" w:type="dxa"/>
        <w:bottom w:w="0" w:type="dxa"/>
      </w:tblCellMar>
    </w:tblPr>
  </w:style>
  <w:style w:type="table" w:styleId="893" w:customStyle="1">
    <w:name w:val="Bordered &amp; Lined - Accent 3"/>
    <w:uiPriority w:val="99"/>
    <w:qFormat/>
    <w:rPr>
      <w:color w:val="404040"/>
    </w:rPr>
    <w:tblPr>
      <w:tblCellMar>
        <w:left w:w="0" w:type="dxa"/>
        <w:top w:w="0" w:type="dxa"/>
        <w:right w:w="0" w:type="dxa"/>
        <w:bottom w:w="0" w:type="dxa"/>
      </w:tblCellMar>
    </w:tblPr>
  </w:style>
  <w:style w:type="table" w:styleId="894" w:customStyle="1">
    <w:name w:val="Grid Table 4 - Accent 2"/>
    <w:uiPriority w:val="59"/>
    <w:tblPr>
      <w:tblCellMar>
        <w:left w:w="0" w:type="dxa"/>
        <w:top w:w="0" w:type="dxa"/>
        <w:right w:w="0" w:type="dxa"/>
        <w:bottom w:w="0" w:type="dxa"/>
      </w:tblCellMar>
    </w:tblPr>
  </w:style>
  <w:style w:type="table" w:styleId="895" w:customStyle="1">
    <w:name w:val="Table Grid Light"/>
    <w:uiPriority w:val="59"/>
    <w:tblPr>
      <w:tblCellMar>
        <w:left w:w="0" w:type="dxa"/>
        <w:top w:w="0" w:type="dxa"/>
        <w:right w:w="0" w:type="dxa"/>
        <w:bottom w:w="0" w:type="dxa"/>
      </w:tblCellMar>
    </w:tblPr>
  </w:style>
  <w:style w:type="table" w:styleId="896" w:customStyle="1">
    <w:name w:val="Plain Table 1"/>
    <w:uiPriority w:val="59"/>
    <w:qFormat/>
    <w:tblPr>
      <w:tblCellMar>
        <w:left w:w="0" w:type="dxa"/>
        <w:top w:w="0" w:type="dxa"/>
        <w:right w:w="0" w:type="dxa"/>
        <w:bottom w:w="0" w:type="dxa"/>
      </w:tblCellMar>
    </w:tblPr>
  </w:style>
  <w:style w:type="table" w:styleId="897" w:customStyle="1">
    <w:name w:val="Plain Table 2"/>
    <w:uiPriority w:val="59"/>
    <w:qFormat/>
    <w:tblPr>
      <w:tblCellMar>
        <w:left w:w="0" w:type="dxa"/>
        <w:top w:w="0" w:type="dxa"/>
        <w:right w:w="0" w:type="dxa"/>
        <w:bottom w:w="0" w:type="dxa"/>
      </w:tblCellMar>
    </w:tblPr>
  </w:style>
  <w:style w:type="table" w:styleId="898" w:customStyle="1">
    <w:name w:val="Plain Table 3"/>
    <w:uiPriority w:val="99"/>
    <w:tblPr>
      <w:tblCellMar>
        <w:left w:w="0" w:type="dxa"/>
        <w:top w:w="0" w:type="dxa"/>
        <w:right w:w="0" w:type="dxa"/>
        <w:bottom w:w="0" w:type="dxa"/>
      </w:tblCellMar>
    </w:tblPr>
  </w:style>
  <w:style w:type="table" w:styleId="899" w:customStyle="1">
    <w:name w:val="Plain Table 4"/>
    <w:uiPriority w:val="99"/>
    <w:tblPr>
      <w:tblCellMar>
        <w:left w:w="0" w:type="dxa"/>
        <w:top w:w="0" w:type="dxa"/>
        <w:right w:w="0" w:type="dxa"/>
        <w:bottom w:w="0" w:type="dxa"/>
      </w:tblCellMar>
    </w:tblPr>
  </w:style>
  <w:style w:type="table" w:styleId="900" w:customStyle="1">
    <w:name w:val="Plain Table 5"/>
    <w:uiPriority w:val="99"/>
    <w:tblPr>
      <w:tblCellMar>
        <w:left w:w="0" w:type="dxa"/>
        <w:top w:w="0" w:type="dxa"/>
        <w:right w:w="0" w:type="dxa"/>
        <w:bottom w:w="0" w:type="dxa"/>
      </w:tblCellMar>
    </w:tblPr>
  </w:style>
  <w:style w:type="table" w:styleId="901" w:customStyle="1">
    <w:name w:val="Grid Table 1 Light"/>
    <w:uiPriority w:val="99"/>
    <w:qFormat/>
    <w:tblPr>
      <w:tblCellMar>
        <w:left w:w="0" w:type="dxa"/>
        <w:top w:w="0" w:type="dxa"/>
        <w:right w:w="0" w:type="dxa"/>
        <w:bottom w:w="0" w:type="dxa"/>
      </w:tblCellMar>
    </w:tblPr>
  </w:style>
  <w:style w:type="table" w:styleId="902" w:customStyle="1">
    <w:name w:val="Grid Table 1 Light - Accent 1"/>
    <w:uiPriority w:val="99"/>
    <w:tblPr>
      <w:tblCellMar>
        <w:left w:w="0" w:type="dxa"/>
        <w:top w:w="0" w:type="dxa"/>
        <w:right w:w="0" w:type="dxa"/>
        <w:bottom w:w="0" w:type="dxa"/>
      </w:tblCellMar>
    </w:tblPr>
  </w:style>
  <w:style w:type="table" w:styleId="903" w:customStyle="1">
    <w:name w:val="Grid Table 1 Light - Accent 2"/>
    <w:uiPriority w:val="99"/>
    <w:tblPr>
      <w:tblCellMar>
        <w:left w:w="0" w:type="dxa"/>
        <w:top w:w="0" w:type="dxa"/>
        <w:right w:w="0" w:type="dxa"/>
        <w:bottom w:w="0" w:type="dxa"/>
      </w:tblCellMar>
    </w:tblPr>
  </w:style>
  <w:style w:type="table" w:styleId="904" w:customStyle="1">
    <w:name w:val="Grid Table 1 Light - Accent 3"/>
    <w:uiPriority w:val="99"/>
    <w:qFormat/>
    <w:tblPr>
      <w:tblCellMar>
        <w:left w:w="0" w:type="dxa"/>
        <w:top w:w="0" w:type="dxa"/>
        <w:right w:w="0" w:type="dxa"/>
        <w:bottom w:w="0" w:type="dxa"/>
      </w:tblCellMar>
    </w:tblPr>
  </w:style>
  <w:style w:type="table" w:styleId="905" w:customStyle="1">
    <w:name w:val="List Table 6 Colorful - Accent 6"/>
    <w:uiPriority w:val="99"/>
    <w:qFormat/>
    <w:tblPr>
      <w:tblCellMar>
        <w:left w:w="0" w:type="dxa"/>
        <w:top w:w="0" w:type="dxa"/>
        <w:right w:w="0" w:type="dxa"/>
        <w:bottom w:w="0" w:type="dxa"/>
      </w:tblCellMar>
    </w:tblPr>
  </w:style>
  <w:style w:type="table" w:styleId="906" w:customStyle="1">
    <w:name w:val="Grid Table 1 Light - Accent 4"/>
    <w:uiPriority w:val="99"/>
    <w:qFormat/>
    <w:tblPr>
      <w:tblCellMar>
        <w:left w:w="0" w:type="dxa"/>
        <w:top w:w="0" w:type="dxa"/>
        <w:right w:w="0" w:type="dxa"/>
        <w:bottom w:w="0" w:type="dxa"/>
      </w:tblCellMar>
    </w:tblPr>
  </w:style>
  <w:style w:type="table" w:styleId="907" w:customStyle="1">
    <w:name w:val="Bordered"/>
    <w:uiPriority w:val="99"/>
    <w:qFormat/>
    <w:tblPr>
      <w:tblCellMar>
        <w:left w:w="0" w:type="dxa"/>
        <w:top w:w="0" w:type="dxa"/>
        <w:right w:w="0" w:type="dxa"/>
        <w:bottom w:w="0" w:type="dxa"/>
      </w:tblCellMar>
    </w:tblPr>
  </w:style>
  <w:style w:type="table" w:styleId="908" w:customStyle="1">
    <w:name w:val="Grid Table 1 Light - Accent 5"/>
    <w:uiPriority w:val="99"/>
    <w:qFormat/>
    <w:tblPr>
      <w:tblCellMar>
        <w:left w:w="0" w:type="dxa"/>
        <w:top w:w="0" w:type="dxa"/>
        <w:right w:w="0" w:type="dxa"/>
        <w:bottom w:w="0" w:type="dxa"/>
      </w:tblCellMar>
    </w:tblPr>
  </w:style>
  <w:style w:type="table" w:styleId="909" w:customStyle="1">
    <w:name w:val="List Table 7 Colorful"/>
    <w:uiPriority w:val="99"/>
    <w:tblPr>
      <w:tblCellMar>
        <w:left w:w="0" w:type="dxa"/>
        <w:top w:w="0" w:type="dxa"/>
        <w:right w:w="0" w:type="dxa"/>
        <w:bottom w:w="0" w:type="dxa"/>
      </w:tblCellMar>
    </w:tblPr>
  </w:style>
  <w:style w:type="table" w:styleId="910" w:customStyle="1">
    <w:name w:val="Grid Table 1 Light - Accent 6"/>
    <w:uiPriority w:val="99"/>
    <w:tblPr>
      <w:tblCellMar>
        <w:left w:w="0" w:type="dxa"/>
        <w:top w:w="0" w:type="dxa"/>
        <w:right w:w="0" w:type="dxa"/>
        <w:bottom w:w="0" w:type="dxa"/>
      </w:tblCellMar>
    </w:tblPr>
  </w:style>
  <w:style w:type="table" w:styleId="911" w:customStyle="1">
    <w:name w:val="List Table 7 Colorful - Accent 1"/>
    <w:uiPriority w:val="99"/>
    <w:tblPr>
      <w:tblCellMar>
        <w:left w:w="0" w:type="dxa"/>
        <w:top w:w="0" w:type="dxa"/>
        <w:right w:w="0" w:type="dxa"/>
        <w:bottom w:w="0" w:type="dxa"/>
      </w:tblCellMar>
    </w:tblPr>
  </w:style>
  <w:style w:type="table" w:styleId="912" w:customStyle="1">
    <w:name w:val="Grid Table 2"/>
    <w:uiPriority w:val="99"/>
    <w:tblPr>
      <w:tblCellMar>
        <w:left w:w="0" w:type="dxa"/>
        <w:top w:w="0" w:type="dxa"/>
        <w:right w:w="0" w:type="dxa"/>
        <w:bottom w:w="0" w:type="dxa"/>
      </w:tblCellMar>
    </w:tblPr>
  </w:style>
  <w:style w:type="table" w:styleId="913" w:customStyle="1">
    <w:name w:val="List Table 7 Colorful - Accent 2"/>
    <w:uiPriority w:val="99"/>
    <w:qFormat/>
    <w:tblPr>
      <w:tblCellMar>
        <w:left w:w="0" w:type="dxa"/>
        <w:top w:w="0" w:type="dxa"/>
        <w:right w:w="0" w:type="dxa"/>
        <w:bottom w:w="0" w:type="dxa"/>
      </w:tblCellMar>
    </w:tblPr>
  </w:style>
  <w:style w:type="table" w:styleId="914" w:customStyle="1">
    <w:name w:val="Grid Table 2 - Accent 1"/>
    <w:uiPriority w:val="99"/>
    <w:tblPr>
      <w:tblCellMar>
        <w:left w:w="0" w:type="dxa"/>
        <w:top w:w="0" w:type="dxa"/>
        <w:right w:w="0" w:type="dxa"/>
        <w:bottom w:w="0" w:type="dxa"/>
      </w:tblCellMar>
    </w:tblPr>
  </w:style>
  <w:style w:type="table" w:styleId="915" w:customStyle="1">
    <w:name w:val="List Table 7 Colorful - Accent 3"/>
    <w:uiPriority w:val="99"/>
    <w:qFormat/>
    <w:tblPr>
      <w:tblCellMar>
        <w:left w:w="0" w:type="dxa"/>
        <w:top w:w="0" w:type="dxa"/>
        <w:right w:w="0" w:type="dxa"/>
        <w:bottom w:w="0" w:type="dxa"/>
      </w:tblCellMar>
    </w:tblPr>
  </w:style>
  <w:style w:type="table" w:styleId="916" w:customStyle="1">
    <w:name w:val="Grid Table 2 - Accent 2"/>
    <w:uiPriority w:val="99"/>
    <w:tblPr>
      <w:tblCellMar>
        <w:left w:w="0" w:type="dxa"/>
        <w:top w:w="0" w:type="dxa"/>
        <w:right w:w="0" w:type="dxa"/>
        <w:bottom w:w="0" w:type="dxa"/>
      </w:tblCellMar>
    </w:tblPr>
  </w:style>
  <w:style w:type="table" w:styleId="917" w:customStyle="1">
    <w:name w:val="Bordered - Accent 4"/>
    <w:uiPriority w:val="99"/>
    <w:tblPr>
      <w:tblCellMar>
        <w:left w:w="0" w:type="dxa"/>
        <w:top w:w="0" w:type="dxa"/>
        <w:right w:w="0" w:type="dxa"/>
        <w:bottom w:w="0" w:type="dxa"/>
      </w:tblCellMar>
    </w:tblPr>
  </w:style>
  <w:style w:type="table" w:styleId="918" w:customStyle="1">
    <w:name w:val="List Table 7 Colorful - Accent 4"/>
    <w:uiPriority w:val="99"/>
    <w:tblPr>
      <w:tblCellMar>
        <w:left w:w="0" w:type="dxa"/>
        <w:top w:w="0" w:type="dxa"/>
        <w:right w:w="0" w:type="dxa"/>
        <w:bottom w:w="0" w:type="dxa"/>
      </w:tblCellMar>
    </w:tblPr>
  </w:style>
  <w:style w:type="table" w:styleId="919" w:customStyle="1">
    <w:name w:val="Grid Table 2 - Accent 3"/>
    <w:uiPriority w:val="99"/>
    <w:tblPr>
      <w:tblCellMar>
        <w:left w:w="0" w:type="dxa"/>
        <w:top w:w="0" w:type="dxa"/>
        <w:right w:w="0" w:type="dxa"/>
        <w:bottom w:w="0" w:type="dxa"/>
      </w:tblCellMar>
    </w:tblPr>
  </w:style>
  <w:style w:type="table" w:styleId="920" w:customStyle="1">
    <w:name w:val="Bordered - Accent 5"/>
    <w:uiPriority w:val="99"/>
    <w:tblPr>
      <w:tblCellMar>
        <w:left w:w="0" w:type="dxa"/>
        <w:top w:w="0" w:type="dxa"/>
        <w:right w:w="0" w:type="dxa"/>
        <w:bottom w:w="0" w:type="dxa"/>
      </w:tblCellMar>
    </w:tblPr>
  </w:style>
  <w:style w:type="table" w:styleId="921" w:customStyle="1">
    <w:name w:val="List Table 7 Colorful - Accent 5"/>
    <w:uiPriority w:val="99"/>
    <w:qFormat/>
    <w:tblPr>
      <w:tblCellMar>
        <w:left w:w="0" w:type="dxa"/>
        <w:top w:w="0" w:type="dxa"/>
        <w:right w:w="0" w:type="dxa"/>
        <w:bottom w:w="0" w:type="dxa"/>
      </w:tblCellMar>
    </w:tblPr>
  </w:style>
  <w:style w:type="table" w:styleId="922" w:customStyle="1">
    <w:name w:val="Grid Table 2 - Accent 4"/>
    <w:uiPriority w:val="99"/>
    <w:qFormat/>
    <w:tblPr>
      <w:tblCellMar>
        <w:left w:w="0" w:type="dxa"/>
        <w:top w:w="0" w:type="dxa"/>
        <w:right w:w="0" w:type="dxa"/>
        <w:bottom w:w="0" w:type="dxa"/>
      </w:tblCellMar>
    </w:tblPr>
  </w:style>
  <w:style w:type="table" w:styleId="923" w:customStyle="1">
    <w:name w:val="Bordered - Accent 6"/>
    <w:uiPriority w:val="99"/>
    <w:qFormat/>
    <w:tblPr>
      <w:tblCellMar>
        <w:left w:w="0" w:type="dxa"/>
        <w:top w:w="0" w:type="dxa"/>
        <w:right w:w="0" w:type="dxa"/>
        <w:bottom w:w="0" w:type="dxa"/>
      </w:tblCellMar>
    </w:tblPr>
  </w:style>
  <w:style w:type="table" w:styleId="924" w:customStyle="1">
    <w:name w:val="List Table 7 Colorful - Accent 6"/>
    <w:uiPriority w:val="99"/>
    <w:qFormat/>
    <w:tblPr>
      <w:tblCellMar>
        <w:left w:w="0" w:type="dxa"/>
        <w:top w:w="0" w:type="dxa"/>
        <w:right w:w="0" w:type="dxa"/>
        <w:bottom w:w="0" w:type="dxa"/>
      </w:tblCellMar>
    </w:tblPr>
  </w:style>
  <w:style w:type="table" w:styleId="925" w:customStyle="1">
    <w:name w:val="Grid Table 2 - Accent 5"/>
    <w:uiPriority w:val="99"/>
    <w:qFormat/>
    <w:tblPr>
      <w:tblCellMar>
        <w:left w:w="0" w:type="dxa"/>
        <w:top w:w="0" w:type="dxa"/>
        <w:right w:w="0" w:type="dxa"/>
        <w:bottom w:w="0" w:type="dxa"/>
      </w:tblCellMar>
    </w:tblPr>
  </w:style>
  <w:style w:type="table" w:styleId="926" w:customStyle="1">
    <w:name w:val="普通表格1"/>
    <w:uiPriority w:val="99"/>
    <w:unhideWhenUsed/>
    <w:qFormat/>
    <w:tblPr>
      <w:tblCellMar>
        <w:left w:w="0" w:type="dxa"/>
        <w:top w:w="0" w:type="dxa"/>
        <w:right w:w="0" w:type="dxa"/>
        <w:bottom w:w="0" w:type="dxa"/>
      </w:tblCellMar>
    </w:tblPr>
  </w:style>
  <w:style w:type="table" w:styleId="927" w:customStyle="1">
    <w:name w:val="Lined - Accent"/>
    <w:uiPriority w:val="99"/>
    <w:rPr>
      <w:color w:val="404040"/>
    </w:rPr>
    <w:tblPr>
      <w:tblCellMar>
        <w:left w:w="0" w:type="dxa"/>
        <w:top w:w="0" w:type="dxa"/>
        <w:right w:w="0" w:type="dxa"/>
        <w:bottom w:w="0" w:type="dxa"/>
      </w:tblCellMar>
    </w:tblPr>
  </w:style>
  <w:style w:type="table" w:styleId="928" w:customStyle="1">
    <w:name w:val="Grid Table 2 - Accent 6"/>
    <w:uiPriority w:val="99"/>
    <w:qFormat/>
    <w:tblPr>
      <w:tblCellMar>
        <w:left w:w="0" w:type="dxa"/>
        <w:top w:w="0" w:type="dxa"/>
        <w:right w:w="0" w:type="dxa"/>
        <w:bottom w:w="0" w:type="dxa"/>
      </w:tblCellMar>
    </w:tblPr>
  </w:style>
  <w:style w:type="table" w:styleId="929" w:customStyle="1">
    <w:name w:val="Lined - Accent 2"/>
    <w:uiPriority w:val="99"/>
    <w:rPr>
      <w:color w:val="404040"/>
    </w:rPr>
    <w:tblPr>
      <w:tblCellMar>
        <w:left w:w="0" w:type="dxa"/>
        <w:top w:w="0" w:type="dxa"/>
        <w:right w:w="0" w:type="dxa"/>
        <w:bottom w:w="0" w:type="dxa"/>
      </w:tblCellMar>
    </w:tblPr>
  </w:style>
  <w:style w:type="table" w:styleId="930" w:customStyle="1">
    <w:name w:val="Grid Table 3"/>
    <w:uiPriority w:val="99"/>
    <w:qFormat/>
    <w:tblPr>
      <w:tblCellMar>
        <w:left w:w="0" w:type="dxa"/>
        <w:top w:w="0" w:type="dxa"/>
        <w:right w:w="0" w:type="dxa"/>
        <w:bottom w:w="0" w:type="dxa"/>
      </w:tblCellMar>
    </w:tblPr>
  </w:style>
  <w:style w:type="table" w:styleId="931" w:customStyle="1">
    <w:name w:val="Lined - Accent 4"/>
    <w:uiPriority w:val="99"/>
    <w:rPr>
      <w:color w:val="404040"/>
    </w:rPr>
    <w:tblPr>
      <w:tblCellMar>
        <w:left w:w="0" w:type="dxa"/>
        <w:top w:w="0" w:type="dxa"/>
        <w:right w:w="0" w:type="dxa"/>
        <w:bottom w:w="0" w:type="dxa"/>
      </w:tblCellMar>
    </w:tblPr>
  </w:style>
  <w:style w:type="table" w:styleId="932" w:customStyle="1">
    <w:name w:val="Grid Table 3 - Accent 2"/>
    <w:uiPriority w:val="99"/>
    <w:qFormat/>
    <w:tblPr>
      <w:tblCellMar>
        <w:left w:w="0" w:type="dxa"/>
        <w:top w:w="0" w:type="dxa"/>
        <w:right w:w="0" w:type="dxa"/>
        <w:bottom w:w="0" w:type="dxa"/>
      </w:tblCellMar>
    </w:tblPr>
  </w:style>
  <w:style w:type="table" w:styleId="933" w:customStyle="1">
    <w:name w:val="Lined - Accent 5"/>
    <w:uiPriority w:val="99"/>
    <w:rPr>
      <w:color w:val="404040"/>
    </w:rPr>
    <w:tblPr>
      <w:tblCellMar>
        <w:left w:w="0" w:type="dxa"/>
        <w:top w:w="0" w:type="dxa"/>
        <w:right w:w="0" w:type="dxa"/>
        <w:bottom w:w="0" w:type="dxa"/>
      </w:tblCellMar>
    </w:tblPr>
  </w:style>
  <w:style w:type="table" w:styleId="934" w:customStyle="1">
    <w:name w:val="Grid Table 3 - Accent 3"/>
    <w:uiPriority w:val="99"/>
    <w:qFormat/>
    <w:tblPr>
      <w:tblCellMar>
        <w:left w:w="0" w:type="dxa"/>
        <w:top w:w="0" w:type="dxa"/>
        <w:right w:w="0" w:type="dxa"/>
        <w:bottom w:w="0" w:type="dxa"/>
      </w:tblCellMar>
    </w:tblPr>
  </w:style>
  <w:style w:type="table" w:styleId="935" w:customStyle="1">
    <w:name w:val="Lined - Accent 6"/>
    <w:uiPriority w:val="99"/>
    <w:rPr>
      <w:color w:val="404040"/>
    </w:rPr>
    <w:tblPr>
      <w:tblCellMar>
        <w:left w:w="0" w:type="dxa"/>
        <w:top w:w="0" w:type="dxa"/>
        <w:right w:w="0" w:type="dxa"/>
        <w:bottom w:w="0" w:type="dxa"/>
      </w:tblCellMar>
    </w:tblPr>
  </w:style>
  <w:style w:type="table" w:styleId="936" w:customStyle="1">
    <w:name w:val="Grid Table 3 - Accent 4"/>
    <w:uiPriority w:val="99"/>
    <w:tblPr>
      <w:tblCellMar>
        <w:left w:w="0" w:type="dxa"/>
        <w:top w:w="0" w:type="dxa"/>
        <w:right w:w="0" w:type="dxa"/>
        <w:bottom w:w="0" w:type="dxa"/>
      </w:tblCellMar>
    </w:tblPr>
  </w:style>
  <w:style w:type="table" w:styleId="937" w:customStyle="1">
    <w:name w:val="Bordered &amp; Lined - Accent"/>
    <w:uiPriority w:val="99"/>
    <w:qFormat/>
    <w:rPr>
      <w:color w:val="404040"/>
    </w:rPr>
    <w:tblPr>
      <w:tblCellMar>
        <w:left w:w="0" w:type="dxa"/>
        <w:top w:w="0" w:type="dxa"/>
        <w:right w:w="0" w:type="dxa"/>
        <w:bottom w:w="0" w:type="dxa"/>
      </w:tblCellMar>
    </w:tblPr>
  </w:style>
  <w:style w:type="table" w:styleId="938" w:customStyle="1">
    <w:name w:val="Grid Table 3 - Accent 5"/>
    <w:uiPriority w:val="99"/>
    <w:tblPr>
      <w:tblCellMar>
        <w:left w:w="0" w:type="dxa"/>
        <w:top w:w="0" w:type="dxa"/>
        <w:right w:w="0" w:type="dxa"/>
        <w:bottom w:w="0" w:type="dxa"/>
      </w:tblCellMar>
    </w:tblPr>
  </w:style>
  <w:style w:type="table" w:styleId="939" w:customStyle="1">
    <w:name w:val="Bordered &amp; Lined - Accent 1"/>
    <w:uiPriority w:val="99"/>
    <w:qFormat/>
    <w:rPr>
      <w:color w:val="404040"/>
    </w:rPr>
    <w:tblPr>
      <w:tblCellMar>
        <w:left w:w="0" w:type="dxa"/>
        <w:top w:w="0" w:type="dxa"/>
        <w:right w:w="0" w:type="dxa"/>
        <w:bottom w:w="0" w:type="dxa"/>
      </w:tblCellMar>
    </w:tblPr>
  </w:style>
  <w:style w:type="table" w:styleId="940" w:customStyle="1">
    <w:name w:val="Grid Table 3 - Accent 6"/>
    <w:uiPriority w:val="99"/>
    <w:tblPr>
      <w:tblCellMar>
        <w:left w:w="0" w:type="dxa"/>
        <w:top w:w="0" w:type="dxa"/>
        <w:right w:w="0" w:type="dxa"/>
        <w:bottom w:w="0" w:type="dxa"/>
      </w:tblCellMar>
    </w:tblPr>
  </w:style>
  <w:style w:type="table" w:styleId="941" w:customStyle="1">
    <w:name w:val="网格型1"/>
    <w:basedOn w:val="926"/>
    <w:pPr>
      <w:jc w:val="both"/>
      <w:widowControl w:val="off"/>
    </w:pPr>
    <w:rPr>
      <w:rFonts w:ascii="Times New Roman" w:hAnsi="Times New Roman"/>
    </w:rPr>
    <w:tblPr/>
  </w:style>
  <w:style w:type="table" w:styleId="942" w:customStyle="1">
    <w:name w:val="Lined - Accent 1"/>
    <w:uiPriority w:val="99"/>
    <w:qFormat/>
    <w:rPr>
      <w:color w:val="404040"/>
    </w:rPr>
    <w:tblPr>
      <w:tblCellMar>
        <w:left w:w="0" w:type="dxa"/>
        <w:top w:w="0" w:type="dxa"/>
        <w:right w:w="0" w:type="dxa"/>
        <w:bottom w:w="0" w:type="dxa"/>
      </w:tblCellMar>
    </w:tblPr>
  </w:style>
  <w:style w:type="table" w:styleId="943" w:customStyle="1">
    <w:name w:val="Grid Table 4"/>
    <w:uiPriority w:val="59"/>
    <w:tblPr>
      <w:tblCellMar>
        <w:left w:w="0" w:type="dxa"/>
        <w:top w:w="0" w:type="dxa"/>
        <w:right w:w="0" w:type="dxa"/>
        <w:bottom w:w="0" w:type="dxa"/>
      </w:tblCellMar>
    </w:tblPr>
  </w:style>
  <w:style w:type="table" w:styleId="944" w:customStyle="1">
    <w:name w:val="Bordered &amp; Lined - Accent 6"/>
    <w:uiPriority w:val="99"/>
    <w:qFormat/>
    <w:rPr>
      <w:color w:val="404040"/>
    </w:rPr>
    <w:tblPr>
      <w:tblCellMar>
        <w:left w:w="0" w:type="dxa"/>
        <w:top w:w="0" w:type="dxa"/>
        <w:right w:w="0" w:type="dxa"/>
        <w:bottom w:w="0" w:type="dxa"/>
      </w:tblCellMar>
    </w:tblPr>
  </w:style>
  <w:style w:type="table" w:styleId="945" w:customStyle="1">
    <w:name w:val="Grid Table 4 - Accent 5"/>
    <w:uiPriority w:val="59"/>
    <w:qFormat/>
    <w:tblPr>
      <w:tblCellMar>
        <w:left w:w="0" w:type="dxa"/>
        <w:top w:w="0" w:type="dxa"/>
        <w:right w:w="0" w:type="dxa"/>
        <w:bottom w:w="0" w:type="dxa"/>
      </w:tblCellMar>
    </w:tblPr>
  </w:style>
  <w:style w:type="table" w:styleId="946" w:customStyle="1">
    <w:name w:val="Bordered - Accent 1"/>
    <w:uiPriority w:val="99"/>
    <w:qFormat/>
    <w:tblPr>
      <w:tblCellMar>
        <w:left w:w="0" w:type="dxa"/>
        <w:top w:w="0" w:type="dxa"/>
        <w:right w:w="0" w:type="dxa"/>
        <w:bottom w:w="0" w:type="dxa"/>
      </w:tblCellMar>
    </w:tblPr>
  </w:style>
  <w:style w:type="table" w:styleId="947" w:customStyle="1">
    <w:name w:val="Grid Table 4 - Accent 6"/>
    <w:uiPriority w:val="59"/>
    <w:tblPr>
      <w:tblCellMar>
        <w:left w:w="0" w:type="dxa"/>
        <w:top w:w="0" w:type="dxa"/>
        <w:right w:w="0" w:type="dxa"/>
        <w:bottom w:w="0" w:type="dxa"/>
      </w:tblCellMar>
    </w:tblPr>
  </w:style>
  <w:style w:type="table" w:styleId="948" w:customStyle="1">
    <w:name w:val="Bordered - Accent 2"/>
    <w:uiPriority w:val="99"/>
    <w:tblPr>
      <w:tblCellMar>
        <w:left w:w="0" w:type="dxa"/>
        <w:top w:w="0" w:type="dxa"/>
        <w:right w:w="0" w:type="dxa"/>
        <w:bottom w:w="0" w:type="dxa"/>
      </w:tblCellMar>
    </w:tblPr>
  </w:style>
  <w:style w:type="table" w:styleId="949" w:customStyle="1">
    <w:name w:val="Grid Table 5 Dark"/>
    <w:uiPriority w:val="99"/>
    <w:tblPr>
      <w:tblCellMar>
        <w:left w:w="0" w:type="dxa"/>
        <w:top w:w="0" w:type="dxa"/>
        <w:right w:w="0" w:type="dxa"/>
        <w:bottom w:w="0" w:type="dxa"/>
      </w:tblCellMar>
    </w:tblPr>
  </w:style>
  <w:style w:type="table" w:styleId="950" w:customStyle="1">
    <w:name w:val="Bordered - Accent 3"/>
    <w:uiPriority w:val="99"/>
    <w:qFormat/>
    <w:tblPr>
      <w:tblCellMar>
        <w:left w:w="0" w:type="dxa"/>
        <w:top w:w="0" w:type="dxa"/>
        <w:right w:w="0" w:type="dxa"/>
        <w:bottom w:w="0" w:type="dxa"/>
      </w:tblCellMar>
    </w:tblPr>
  </w:style>
  <w:style w:type="table" w:styleId="951" w:customStyle="1">
    <w:name w:val="Grid Table 5 Dark- Accent 1"/>
    <w:uiPriority w:val="99"/>
    <w:qFormat/>
    <w:tblPr>
      <w:tblCellMar>
        <w:left w:w="0" w:type="dxa"/>
        <w:top w:w="0" w:type="dxa"/>
        <w:right w:w="0" w:type="dxa"/>
        <w:bottom w:w="0" w:type="dxa"/>
      </w:tblCellMar>
    </w:tblPr>
  </w:style>
  <w:style w:type="table" w:styleId="952" w:customStyle="1">
    <w:name w:val="Grid Table 5 Dark - Accent 2"/>
    <w:uiPriority w:val="99"/>
    <w:qFormat/>
    <w:tblPr>
      <w:tblCellMar>
        <w:left w:w="0" w:type="dxa"/>
        <w:top w:w="0" w:type="dxa"/>
        <w:right w:w="0" w:type="dxa"/>
        <w:bottom w:w="0" w:type="dxa"/>
      </w:tblCellMar>
    </w:tblPr>
  </w:style>
  <w:style w:type="table" w:styleId="953" w:customStyle="1">
    <w:name w:val="Grid Table 5 Dark - Accent 3"/>
    <w:uiPriority w:val="99"/>
    <w:qFormat/>
    <w:tblPr>
      <w:tblCellMar>
        <w:left w:w="0" w:type="dxa"/>
        <w:top w:w="0" w:type="dxa"/>
        <w:right w:w="0" w:type="dxa"/>
        <w:bottom w:w="0" w:type="dxa"/>
      </w:tblCellMar>
    </w:tblPr>
  </w:style>
  <w:style w:type="table" w:styleId="954" w:customStyle="1">
    <w:name w:val="Grid Table 5 Dark- Accent 4"/>
    <w:uiPriority w:val="99"/>
    <w:tblPr>
      <w:tblCellMar>
        <w:left w:w="0" w:type="dxa"/>
        <w:top w:w="0" w:type="dxa"/>
        <w:right w:w="0" w:type="dxa"/>
        <w:bottom w:w="0" w:type="dxa"/>
      </w:tblCellMar>
    </w:tblPr>
  </w:style>
  <w:style w:type="table" w:styleId="955" w:customStyle="1">
    <w:name w:val="Grid Table 5 Dark - Accent 5"/>
    <w:uiPriority w:val="99"/>
    <w:tblPr>
      <w:tblCellMar>
        <w:left w:w="0" w:type="dxa"/>
        <w:top w:w="0" w:type="dxa"/>
        <w:right w:w="0" w:type="dxa"/>
        <w:bottom w:w="0" w:type="dxa"/>
      </w:tblCellMar>
    </w:tblPr>
  </w:style>
  <w:style w:type="table" w:styleId="956" w:customStyle="1">
    <w:name w:val="Grid Table 5 Dark - Accent 6"/>
    <w:uiPriority w:val="99"/>
    <w:qFormat/>
    <w:tblPr>
      <w:tblCellMar>
        <w:left w:w="0" w:type="dxa"/>
        <w:top w:w="0" w:type="dxa"/>
        <w:right w:w="0" w:type="dxa"/>
        <w:bottom w:w="0" w:type="dxa"/>
      </w:tblCellMar>
    </w:tblPr>
  </w:style>
  <w:style w:type="table" w:styleId="957" w:customStyle="1">
    <w:name w:val="Grid Table 6 Colorful"/>
    <w:uiPriority w:val="99"/>
    <w:tblPr>
      <w:tblCellMar>
        <w:left w:w="0" w:type="dxa"/>
        <w:top w:w="0" w:type="dxa"/>
        <w:right w:w="0" w:type="dxa"/>
        <w:bottom w:w="0" w:type="dxa"/>
      </w:tblCellMar>
    </w:tblPr>
  </w:style>
  <w:style w:type="table" w:styleId="958" w:customStyle="1">
    <w:name w:val="Grid Table 6 Colorful - Accent 1"/>
    <w:uiPriority w:val="99"/>
    <w:tblPr>
      <w:tblCellMar>
        <w:left w:w="0" w:type="dxa"/>
        <w:top w:w="0" w:type="dxa"/>
        <w:right w:w="0" w:type="dxa"/>
        <w:bottom w:w="0" w:type="dxa"/>
      </w:tblCellMar>
    </w:tblPr>
  </w:style>
  <w:style w:type="table" w:styleId="959" w:customStyle="1">
    <w:name w:val="Grid Table 6 Colorful - Accent 2"/>
    <w:uiPriority w:val="99"/>
    <w:qFormat/>
    <w:tblPr>
      <w:tblCellMar>
        <w:left w:w="0" w:type="dxa"/>
        <w:top w:w="0" w:type="dxa"/>
        <w:right w:w="0" w:type="dxa"/>
        <w:bottom w:w="0" w:type="dxa"/>
      </w:tblCellMar>
    </w:tblPr>
  </w:style>
  <w:style w:type="table" w:styleId="960" w:customStyle="1">
    <w:name w:val="Grid Table 6 Colorful - Accent 3"/>
    <w:uiPriority w:val="99"/>
    <w:tblPr>
      <w:tblCellMar>
        <w:left w:w="0" w:type="dxa"/>
        <w:top w:w="0" w:type="dxa"/>
        <w:right w:w="0" w:type="dxa"/>
        <w:bottom w:w="0" w:type="dxa"/>
      </w:tblCellMar>
    </w:tblPr>
  </w:style>
  <w:style w:type="table" w:styleId="961" w:customStyle="1">
    <w:name w:val="Grid Table 6 Colorful - Accent 4"/>
    <w:uiPriority w:val="99"/>
    <w:tblPr>
      <w:tblCellMar>
        <w:left w:w="0" w:type="dxa"/>
        <w:top w:w="0" w:type="dxa"/>
        <w:right w:w="0" w:type="dxa"/>
        <w:bottom w:w="0" w:type="dxa"/>
      </w:tblCellMar>
    </w:tblPr>
  </w:style>
  <w:style w:type="table" w:styleId="962" w:customStyle="1">
    <w:name w:val="Grid Table 6 Colorful - Accent 5"/>
    <w:uiPriority w:val="99"/>
    <w:tblPr>
      <w:tblCellMar>
        <w:left w:w="0" w:type="dxa"/>
        <w:top w:w="0" w:type="dxa"/>
        <w:right w:w="0" w:type="dxa"/>
        <w:bottom w:w="0" w:type="dxa"/>
      </w:tblCellMar>
    </w:tblPr>
  </w:style>
  <w:style w:type="table" w:styleId="963" w:customStyle="1">
    <w:name w:val="Grid Table 6 Colorful - Accent 6"/>
    <w:uiPriority w:val="99"/>
    <w:tblPr>
      <w:tblCellMar>
        <w:left w:w="0" w:type="dxa"/>
        <w:top w:w="0" w:type="dxa"/>
        <w:right w:w="0" w:type="dxa"/>
        <w:bottom w:w="0" w:type="dxa"/>
      </w:tblCellMar>
    </w:tblPr>
  </w:style>
  <w:style w:type="table" w:styleId="964" w:customStyle="1">
    <w:name w:val="Grid Table 7 Colorful"/>
    <w:uiPriority w:val="99"/>
    <w:qFormat/>
    <w:tblPr>
      <w:tblCellMar>
        <w:left w:w="0" w:type="dxa"/>
        <w:top w:w="0" w:type="dxa"/>
        <w:right w:w="0" w:type="dxa"/>
        <w:bottom w:w="0" w:type="dxa"/>
      </w:tblCellMar>
    </w:tblPr>
  </w:style>
  <w:style w:type="table" w:styleId="965" w:customStyle="1">
    <w:name w:val="Grid Table 7 Colorful - Accent 1"/>
    <w:uiPriority w:val="99"/>
    <w:tblPr>
      <w:tblCellMar>
        <w:left w:w="0" w:type="dxa"/>
        <w:top w:w="0" w:type="dxa"/>
        <w:right w:w="0" w:type="dxa"/>
        <w:bottom w:w="0" w:type="dxa"/>
      </w:tblCellMar>
    </w:tblPr>
  </w:style>
  <w:style w:type="table" w:styleId="966" w:customStyle="1">
    <w:name w:val="Grid Table 7 Colorful - Accent 2"/>
    <w:uiPriority w:val="99"/>
    <w:qFormat/>
    <w:tblPr>
      <w:tblCellMar>
        <w:left w:w="0" w:type="dxa"/>
        <w:top w:w="0" w:type="dxa"/>
        <w:right w:w="0" w:type="dxa"/>
        <w:bottom w:w="0" w:type="dxa"/>
      </w:tblCellMar>
    </w:tblPr>
  </w:style>
  <w:style w:type="table" w:styleId="967" w:customStyle="1">
    <w:name w:val="Grid Table 7 Colorful - Accent 3"/>
    <w:uiPriority w:val="99"/>
    <w:tblPr>
      <w:tblCellMar>
        <w:left w:w="0" w:type="dxa"/>
        <w:top w:w="0" w:type="dxa"/>
        <w:right w:w="0" w:type="dxa"/>
        <w:bottom w:w="0" w:type="dxa"/>
      </w:tblCellMar>
    </w:tblPr>
  </w:style>
  <w:style w:type="table" w:styleId="968" w:customStyle="1">
    <w:name w:val="Grid Table 7 Colorful - Accent 4"/>
    <w:uiPriority w:val="99"/>
    <w:qFormat/>
    <w:tblPr>
      <w:tblCellMar>
        <w:left w:w="0" w:type="dxa"/>
        <w:top w:w="0" w:type="dxa"/>
        <w:right w:w="0" w:type="dxa"/>
        <w:bottom w:w="0" w:type="dxa"/>
      </w:tblCellMar>
    </w:tblPr>
  </w:style>
  <w:style w:type="table" w:styleId="969" w:customStyle="1">
    <w:name w:val="Grid Table 7 Colorful - Accent 5"/>
    <w:uiPriority w:val="99"/>
    <w:qFormat/>
    <w:tblPr>
      <w:tblCellMar>
        <w:left w:w="0" w:type="dxa"/>
        <w:top w:w="0" w:type="dxa"/>
        <w:right w:w="0" w:type="dxa"/>
        <w:bottom w:w="0" w:type="dxa"/>
      </w:tblCellMar>
    </w:tblPr>
  </w:style>
  <w:style w:type="table" w:styleId="970" w:customStyle="1">
    <w:name w:val="Grid Table 7 Colorful - Accent 6"/>
    <w:uiPriority w:val="99"/>
    <w:qFormat/>
    <w:tblPr>
      <w:tblCellMar>
        <w:left w:w="0" w:type="dxa"/>
        <w:top w:w="0" w:type="dxa"/>
        <w:right w:w="0" w:type="dxa"/>
        <w:bottom w:w="0" w:type="dxa"/>
      </w:tblCellMar>
    </w:tblPr>
  </w:style>
  <w:style w:type="table" w:styleId="971" w:customStyle="1">
    <w:name w:val="List Table 1 Light"/>
    <w:uiPriority w:val="99"/>
    <w:tblPr>
      <w:tblCellMar>
        <w:left w:w="0" w:type="dxa"/>
        <w:top w:w="0" w:type="dxa"/>
        <w:right w:w="0" w:type="dxa"/>
        <w:bottom w:w="0" w:type="dxa"/>
      </w:tblCellMar>
    </w:tblPr>
  </w:style>
  <w:style w:type="table" w:styleId="972" w:customStyle="1">
    <w:name w:val="List Table 1 Light - Accent 1"/>
    <w:uiPriority w:val="99"/>
    <w:tblPr>
      <w:tblCellMar>
        <w:left w:w="0" w:type="dxa"/>
        <w:top w:w="0" w:type="dxa"/>
        <w:right w:w="0" w:type="dxa"/>
        <w:bottom w:w="0" w:type="dxa"/>
      </w:tblCellMar>
    </w:tblPr>
  </w:style>
  <w:style w:type="table" w:styleId="973" w:customStyle="1">
    <w:name w:val="List Table 1 Light - Accent 2"/>
    <w:uiPriority w:val="99"/>
    <w:qFormat/>
    <w:tblPr>
      <w:tblCellMar>
        <w:left w:w="0" w:type="dxa"/>
        <w:top w:w="0" w:type="dxa"/>
        <w:right w:w="0" w:type="dxa"/>
        <w:bottom w:w="0" w:type="dxa"/>
      </w:tblCellMar>
    </w:tblPr>
  </w:style>
  <w:style w:type="table" w:styleId="974" w:customStyle="1">
    <w:name w:val="List Table 1 Light - Accent 3"/>
    <w:uiPriority w:val="99"/>
    <w:tblPr>
      <w:tblCellMar>
        <w:left w:w="0" w:type="dxa"/>
        <w:top w:w="0" w:type="dxa"/>
        <w:right w:w="0" w:type="dxa"/>
        <w:bottom w:w="0" w:type="dxa"/>
      </w:tblCellMar>
    </w:tblPr>
  </w:style>
  <w:style w:type="table" w:styleId="975" w:customStyle="1">
    <w:name w:val="List Table 1 Light - Accent 4"/>
    <w:uiPriority w:val="99"/>
    <w:tblPr>
      <w:tblCellMar>
        <w:left w:w="0" w:type="dxa"/>
        <w:top w:w="0" w:type="dxa"/>
        <w:right w:w="0" w:type="dxa"/>
        <w:bottom w:w="0" w:type="dxa"/>
      </w:tblCellMar>
    </w:tblPr>
  </w:style>
  <w:style w:type="table" w:styleId="976" w:customStyle="1">
    <w:name w:val="List Table 1 Light - Accent 5"/>
    <w:uiPriority w:val="99"/>
    <w:tblPr>
      <w:tblCellMar>
        <w:left w:w="0" w:type="dxa"/>
        <w:top w:w="0" w:type="dxa"/>
        <w:right w:w="0" w:type="dxa"/>
        <w:bottom w:w="0" w:type="dxa"/>
      </w:tblCellMar>
    </w:tblPr>
  </w:style>
  <w:style w:type="table" w:styleId="977" w:customStyle="1">
    <w:name w:val="List Table 1 Light - Accent 6"/>
    <w:uiPriority w:val="99"/>
    <w:tblPr>
      <w:tblCellMar>
        <w:left w:w="0" w:type="dxa"/>
        <w:top w:w="0" w:type="dxa"/>
        <w:right w:w="0" w:type="dxa"/>
        <w:bottom w:w="0" w:type="dxa"/>
      </w:tblCellMar>
    </w:tblPr>
  </w:style>
  <w:style w:type="table" w:styleId="978" w:customStyle="1">
    <w:name w:val="List Table 2"/>
    <w:uiPriority w:val="99"/>
    <w:qFormat/>
    <w:tblPr>
      <w:tblCellMar>
        <w:left w:w="0" w:type="dxa"/>
        <w:top w:w="0" w:type="dxa"/>
        <w:right w:w="0" w:type="dxa"/>
        <w:bottom w:w="0" w:type="dxa"/>
      </w:tblCellMar>
    </w:tblPr>
  </w:style>
  <w:style w:type="table" w:styleId="979" w:customStyle="1">
    <w:name w:val="List Table 2 - Accent 1"/>
    <w:uiPriority w:val="99"/>
    <w:tblPr>
      <w:tblCellMar>
        <w:left w:w="0" w:type="dxa"/>
        <w:top w:w="0" w:type="dxa"/>
        <w:right w:w="0" w:type="dxa"/>
        <w:bottom w:w="0" w:type="dxa"/>
      </w:tblCellMar>
    </w:tblPr>
  </w:style>
  <w:style w:type="table" w:styleId="980" w:customStyle="1">
    <w:name w:val="List Table 2 - Accent 2"/>
    <w:uiPriority w:val="99"/>
    <w:tblPr>
      <w:tblCellMar>
        <w:left w:w="0" w:type="dxa"/>
        <w:top w:w="0" w:type="dxa"/>
        <w:right w:w="0" w:type="dxa"/>
        <w:bottom w:w="0" w:type="dxa"/>
      </w:tblCellMar>
    </w:tblPr>
  </w:style>
  <w:style w:type="table" w:styleId="981" w:customStyle="1">
    <w:name w:val="List Table 2 - Accent 3"/>
    <w:uiPriority w:val="99"/>
    <w:tblPr>
      <w:tblCellMar>
        <w:left w:w="0" w:type="dxa"/>
        <w:top w:w="0" w:type="dxa"/>
        <w:right w:w="0" w:type="dxa"/>
        <w:bottom w:w="0" w:type="dxa"/>
      </w:tblCellMar>
    </w:tblPr>
  </w:style>
  <w:style w:type="table" w:styleId="982" w:customStyle="1">
    <w:name w:val="List Table 2 - Accent 4"/>
    <w:uiPriority w:val="99"/>
    <w:tblPr>
      <w:tblCellMar>
        <w:left w:w="0" w:type="dxa"/>
        <w:top w:w="0" w:type="dxa"/>
        <w:right w:w="0" w:type="dxa"/>
        <w:bottom w:w="0" w:type="dxa"/>
      </w:tblCellMar>
    </w:tblPr>
  </w:style>
  <w:style w:type="table" w:styleId="983" w:customStyle="1">
    <w:name w:val="List Table 2 - Accent 5"/>
    <w:uiPriority w:val="99"/>
    <w:tblPr>
      <w:tblCellMar>
        <w:left w:w="0" w:type="dxa"/>
        <w:top w:w="0" w:type="dxa"/>
        <w:right w:w="0" w:type="dxa"/>
        <w:bottom w:w="0" w:type="dxa"/>
      </w:tblCellMar>
    </w:tblPr>
  </w:style>
  <w:style w:type="table" w:styleId="984" w:customStyle="1">
    <w:name w:val="List Table 2 - Accent 6"/>
    <w:uiPriority w:val="99"/>
    <w:tblPr>
      <w:tblCellMar>
        <w:left w:w="0" w:type="dxa"/>
        <w:top w:w="0" w:type="dxa"/>
        <w:right w:w="0" w:type="dxa"/>
        <w:bottom w:w="0" w:type="dxa"/>
      </w:tblCellMar>
    </w:tblPr>
  </w:style>
  <w:style w:type="table" w:styleId="985" w:customStyle="1">
    <w:name w:val="List Table 3"/>
    <w:uiPriority w:val="99"/>
    <w:tblPr>
      <w:tblCellMar>
        <w:left w:w="0" w:type="dxa"/>
        <w:top w:w="0" w:type="dxa"/>
        <w:right w:w="0" w:type="dxa"/>
        <w:bottom w:w="0" w:type="dxa"/>
      </w:tblCellMar>
    </w:tblPr>
  </w:style>
  <w:style w:type="table" w:styleId="986" w:customStyle="1">
    <w:name w:val="List Table 3 - Accent 1"/>
    <w:uiPriority w:val="99"/>
    <w:tblPr>
      <w:tblCellMar>
        <w:left w:w="0" w:type="dxa"/>
        <w:top w:w="0" w:type="dxa"/>
        <w:right w:w="0" w:type="dxa"/>
        <w:bottom w:w="0" w:type="dxa"/>
      </w:tblCellMar>
    </w:tblPr>
  </w:style>
  <w:style w:type="table" w:styleId="987" w:customStyle="1">
    <w:name w:val="List Table 3 - Accent 2"/>
    <w:uiPriority w:val="99"/>
    <w:tblPr>
      <w:tblCellMar>
        <w:left w:w="0" w:type="dxa"/>
        <w:top w:w="0" w:type="dxa"/>
        <w:right w:w="0" w:type="dxa"/>
        <w:bottom w:w="0" w:type="dxa"/>
      </w:tblCellMar>
    </w:tblPr>
  </w:style>
  <w:style w:type="table" w:styleId="988" w:customStyle="1">
    <w:name w:val="List Table 3 - Accent 3"/>
    <w:uiPriority w:val="99"/>
    <w:qFormat/>
    <w:tblPr>
      <w:tblCellMar>
        <w:left w:w="0" w:type="dxa"/>
        <w:top w:w="0" w:type="dxa"/>
        <w:right w:w="0" w:type="dxa"/>
        <w:bottom w:w="0" w:type="dxa"/>
      </w:tblCellMar>
    </w:tblPr>
  </w:style>
  <w:style w:type="table" w:styleId="989" w:customStyle="1">
    <w:name w:val="List Table 3 - Accent 4"/>
    <w:uiPriority w:val="99"/>
    <w:tblPr>
      <w:tblCellMar>
        <w:left w:w="0" w:type="dxa"/>
        <w:top w:w="0" w:type="dxa"/>
        <w:right w:w="0" w:type="dxa"/>
        <w:bottom w:w="0" w:type="dxa"/>
      </w:tblCellMar>
    </w:tblPr>
  </w:style>
  <w:style w:type="table" w:styleId="990" w:customStyle="1">
    <w:name w:val="List Table 3 - Accent 5"/>
    <w:uiPriority w:val="99"/>
    <w:tblPr>
      <w:tblCellMar>
        <w:left w:w="0" w:type="dxa"/>
        <w:top w:w="0" w:type="dxa"/>
        <w:right w:w="0" w:type="dxa"/>
        <w:bottom w:w="0" w:type="dxa"/>
      </w:tblCellMar>
    </w:tblPr>
  </w:style>
  <w:style w:type="table" w:styleId="991" w:customStyle="1">
    <w:name w:val="List Table 3 - Accent 6"/>
    <w:uiPriority w:val="99"/>
    <w:qFormat/>
    <w:tblPr>
      <w:tblCellMar>
        <w:left w:w="0" w:type="dxa"/>
        <w:top w:w="0" w:type="dxa"/>
        <w:right w:w="0" w:type="dxa"/>
        <w:bottom w:w="0" w:type="dxa"/>
      </w:tblCellMar>
    </w:tblPr>
  </w:style>
  <w:style w:type="table" w:styleId="992" w:customStyle="1">
    <w:name w:val="List Table 4"/>
    <w:uiPriority w:val="99"/>
    <w:tblPr>
      <w:tblCellMar>
        <w:left w:w="0" w:type="dxa"/>
        <w:top w:w="0" w:type="dxa"/>
        <w:right w:w="0" w:type="dxa"/>
        <w:bottom w:w="0" w:type="dxa"/>
      </w:tblCellMar>
    </w:tblPr>
  </w:style>
  <w:style w:type="table" w:styleId="993" w:customStyle="1">
    <w:name w:val="List Table 4 - Accent 1"/>
    <w:uiPriority w:val="99"/>
    <w:qFormat/>
    <w:tblPr>
      <w:tblCellMar>
        <w:left w:w="0" w:type="dxa"/>
        <w:top w:w="0" w:type="dxa"/>
        <w:right w:w="0" w:type="dxa"/>
        <w:bottom w:w="0" w:type="dxa"/>
      </w:tblCellMar>
    </w:tblPr>
  </w:style>
  <w:style w:type="table" w:styleId="994" w:customStyle="1">
    <w:name w:val="List Table 4 - Accent 2"/>
    <w:uiPriority w:val="99"/>
    <w:tblPr>
      <w:tblCellMar>
        <w:left w:w="0" w:type="dxa"/>
        <w:top w:w="0" w:type="dxa"/>
        <w:right w:w="0" w:type="dxa"/>
        <w:bottom w:w="0" w:type="dxa"/>
      </w:tblCellMar>
    </w:tblPr>
  </w:style>
  <w:style w:type="table" w:styleId="995" w:customStyle="1">
    <w:name w:val="List Table 4 - Accent 3"/>
    <w:uiPriority w:val="99"/>
    <w:qFormat/>
    <w:tblPr>
      <w:tblCellMar>
        <w:left w:w="0" w:type="dxa"/>
        <w:top w:w="0" w:type="dxa"/>
        <w:right w:w="0" w:type="dxa"/>
        <w:bottom w:w="0" w:type="dxa"/>
      </w:tblCellMar>
    </w:tblPr>
  </w:style>
  <w:style w:type="table" w:styleId="996" w:customStyle="1">
    <w:name w:val="List Table 4 - Accent 4"/>
    <w:uiPriority w:val="99"/>
    <w:tblPr>
      <w:tblCellMar>
        <w:left w:w="0" w:type="dxa"/>
        <w:top w:w="0" w:type="dxa"/>
        <w:right w:w="0" w:type="dxa"/>
        <w:bottom w:w="0" w:type="dxa"/>
      </w:tblCellMar>
    </w:tblPr>
  </w:style>
  <w:style w:type="table" w:styleId="997" w:customStyle="1">
    <w:name w:val="List Table 4 - Accent 5"/>
    <w:uiPriority w:val="99"/>
    <w:qFormat/>
    <w:tblPr>
      <w:tblCellMar>
        <w:left w:w="0" w:type="dxa"/>
        <w:top w:w="0" w:type="dxa"/>
        <w:right w:w="0" w:type="dxa"/>
        <w:bottom w:w="0" w:type="dxa"/>
      </w:tblCellMar>
    </w:tblPr>
  </w:style>
  <w:style w:type="table" w:styleId="998" w:customStyle="1">
    <w:name w:val="List Table 4 - Accent 6"/>
    <w:uiPriority w:val="99"/>
    <w:tblPr>
      <w:tblCellMar>
        <w:left w:w="0" w:type="dxa"/>
        <w:top w:w="0" w:type="dxa"/>
        <w:right w:w="0" w:type="dxa"/>
        <w:bottom w:w="0" w:type="dxa"/>
      </w:tblCellMar>
    </w:tblPr>
  </w:style>
  <w:style w:type="table" w:styleId="999" w:customStyle="1">
    <w:name w:val="List Table 5 Dark"/>
    <w:uiPriority w:val="99"/>
    <w:tblPr>
      <w:tblCellMar>
        <w:left w:w="0" w:type="dxa"/>
        <w:top w:w="0" w:type="dxa"/>
        <w:right w:w="0" w:type="dxa"/>
        <w:bottom w:w="0" w:type="dxa"/>
      </w:tblCellMar>
    </w:tblPr>
  </w:style>
  <w:style w:type="table" w:styleId="1000" w:customStyle="1">
    <w:name w:val="List Table 5 Dark - Accent 1"/>
    <w:uiPriority w:val="99"/>
    <w:qFormat/>
    <w:tblPr>
      <w:tblCellMar>
        <w:left w:w="0" w:type="dxa"/>
        <w:top w:w="0" w:type="dxa"/>
        <w:right w:w="0" w:type="dxa"/>
        <w:bottom w:w="0" w:type="dxa"/>
      </w:tblCellMar>
    </w:tblPr>
  </w:style>
  <w:style w:type="table" w:styleId="1001" w:customStyle="1">
    <w:name w:val="List Table 5 Dark - Accent 2"/>
    <w:uiPriority w:val="99"/>
    <w:tblPr>
      <w:tblCellMar>
        <w:left w:w="0" w:type="dxa"/>
        <w:top w:w="0" w:type="dxa"/>
        <w:right w:w="0" w:type="dxa"/>
        <w:bottom w:w="0" w:type="dxa"/>
      </w:tblCellMar>
    </w:tblPr>
  </w:style>
  <w:style w:type="table" w:styleId="1002" w:customStyle="1">
    <w:name w:val="List Table 5 Dark - Accent 3"/>
    <w:uiPriority w:val="99"/>
    <w:qFormat/>
    <w:tblPr>
      <w:tblCellMar>
        <w:left w:w="0" w:type="dxa"/>
        <w:top w:w="0" w:type="dxa"/>
        <w:right w:w="0" w:type="dxa"/>
        <w:bottom w:w="0" w:type="dxa"/>
      </w:tblCellMar>
    </w:tblPr>
  </w:style>
  <w:style w:type="table" w:styleId="1003" w:customStyle="1">
    <w:name w:val="List Table 5 Dark - Accent 4"/>
    <w:uiPriority w:val="99"/>
    <w:tblPr>
      <w:tblCellMar>
        <w:left w:w="0" w:type="dxa"/>
        <w:top w:w="0" w:type="dxa"/>
        <w:right w:w="0" w:type="dxa"/>
        <w:bottom w:w="0" w:type="dxa"/>
      </w:tblCellMar>
    </w:tblPr>
  </w:style>
  <w:style w:type="table" w:styleId="1004" w:customStyle="1">
    <w:name w:val="List Table 5 Dark - Accent 5"/>
    <w:uiPriority w:val="99"/>
    <w:tblPr>
      <w:tblCellMar>
        <w:left w:w="0" w:type="dxa"/>
        <w:top w:w="0" w:type="dxa"/>
        <w:right w:w="0" w:type="dxa"/>
        <w:bottom w:w="0" w:type="dxa"/>
      </w:tblCellMar>
    </w:tblPr>
  </w:style>
  <w:style w:type="table" w:styleId="1005" w:customStyle="1">
    <w:name w:val="List Table 5 Dark - Accent 6"/>
    <w:uiPriority w:val="99"/>
    <w:tblPr>
      <w:tblCellMar>
        <w:left w:w="0" w:type="dxa"/>
        <w:top w:w="0" w:type="dxa"/>
        <w:right w:w="0" w:type="dxa"/>
        <w:bottom w:w="0" w:type="dxa"/>
      </w:tblCellMar>
    </w:tblPr>
  </w:style>
  <w:style w:type="table" w:styleId="1006" w:customStyle="1">
    <w:name w:val="List Table 6 Colorful"/>
    <w:uiPriority w:val="99"/>
    <w:tblPr>
      <w:tblCellMar>
        <w:left w:w="0" w:type="dxa"/>
        <w:top w:w="0" w:type="dxa"/>
        <w:right w:w="0" w:type="dxa"/>
        <w:bottom w:w="0" w:type="dxa"/>
      </w:tblCellMar>
    </w:tblPr>
  </w:style>
  <w:style w:type="table" w:styleId="1007" w:customStyle="1">
    <w:name w:val="List Table 6 Colorful - Accent 1"/>
    <w:uiPriority w:val="99"/>
    <w:qFormat/>
    <w:tblPr>
      <w:tblCellMar>
        <w:left w:w="0" w:type="dxa"/>
        <w:top w:w="0" w:type="dxa"/>
        <w:right w:w="0" w:type="dxa"/>
        <w:bottom w:w="0" w:type="dxa"/>
      </w:tblCellMar>
    </w:tblPr>
  </w:style>
  <w:style w:type="table" w:styleId="1008" w:customStyle="1">
    <w:name w:val="List Table 6 Colorful - Accent 2"/>
    <w:uiPriority w:val="99"/>
    <w:qFormat/>
    <w:tblPr>
      <w:tblCellMar>
        <w:left w:w="0" w:type="dxa"/>
        <w:top w:w="0" w:type="dxa"/>
        <w:right w:w="0" w:type="dxa"/>
        <w:bottom w:w="0" w:type="dxa"/>
      </w:tblCellMar>
    </w:tblPr>
  </w:style>
  <w:style w:type="table" w:styleId="1009" w:customStyle="1">
    <w:name w:val="List Table 6 Colorful - Accent 3"/>
    <w:uiPriority w:val="99"/>
    <w:qFormat/>
    <w:tblPr>
      <w:tblCellMar>
        <w:left w:w="0" w:type="dxa"/>
        <w:top w:w="0" w:type="dxa"/>
        <w:right w:w="0" w:type="dxa"/>
        <w:bottom w:w="0" w:type="dxa"/>
      </w:tblCellMar>
    </w:tblPr>
  </w:style>
  <w:style w:type="table" w:styleId="1010" w:customStyle="1">
    <w:name w:val="List Table 6 Colorful - Accent 4"/>
    <w:uiPriority w:val="99"/>
    <w:qFormat/>
    <w:tblPr>
      <w:tblCellMar>
        <w:left w:w="0" w:type="dxa"/>
        <w:top w:w="0" w:type="dxa"/>
        <w:right w:w="0" w:type="dxa"/>
        <w:bottom w:w="0" w:type="dxa"/>
      </w:tblCellMar>
    </w:tblPr>
  </w:style>
  <w:style w:type="table" w:styleId="1011" w:customStyle="1">
    <w:name w:val="List Table 6 Colorful - Accent 5"/>
    <w:uiPriority w:val="99"/>
    <w:tblPr>
      <w:tblCellMar>
        <w:left w:w="0" w:type="dxa"/>
        <w:top w:w="0" w:type="dxa"/>
        <w:right w:w="0" w:type="dxa"/>
        <w:bottom w:w="0" w:type="dxa"/>
      </w:tblCellMar>
    </w:tblPr>
  </w:style>
  <w:style w:type="character" w:styleId="1012" w:customStyle="1">
    <w:name w:val="批注框文本 Char1"/>
    <w:basedOn w:val="714"/>
    <w:link w:val="726"/>
    <w:uiPriority w:val="99"/>
    <w:semiHidden/>
    <w:rPr>
      <w:sz w:val="18"/>
      <w:szCs w:val="18"/>
    </w:rPr>
  </w:style>
  <w:style w:type="character" w:styleId="1013" w:customStyle="1">
    <w:name w:val="批注文字 Char1"/>
    <w:basedOn w:val="714"/>
    <w:link w:val="721"/>
    <w:uiPriority w:val="99"/>
    <w:semiHidden/>
    <w:qFormat/>
    <w:rPr>
      <w:sz w:val="21"/>
      <w:szCs w:val="22"/>
    </w:rPr>
  </w:style>
  <w:style w:type="character" w:styleId="1014" w:customStyle="1">
    <w:name w:val="批注主题 Char1"/>
    <w:basedOn w:val="1013"/>
    <w:link w:val="738"/>
    <w:uiPriority w:val="99"/>
    <w:semiHidden/>
    <w:qFormat/>
    <w:rPr>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张文怡</cp:lastModifiedBy>
  <cp:revision>42</cp:revision>
  <dcterms:created xsi:type="dcterms:W3CDTF">2026-08-04T02:30:00Z</dcterms:created>
  <dcterms:modified xsi:type="dcterms:W3CDTF">2026-08-11T06:14:07Z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