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jc w:val="center"/>
        <w:spacing w:before="120" w:after="120" w:line="660" w:lineRule="exact"/>
        <w:rPr>
          <w:rFonts w:hint="eastAsia" w:ascii="方正小标宋_GBK" w:hAnsi="方正小标宋_GBK" w:eastAsia="方正小标宋_GBK" w:cs="方正小标宋_GBK"/>
          <w:sz w:val="72"/>
          <w:szCs w:val="72"/>
        </w:rPr>
      </w:pPr>
      <w:r>
        <w:rPr>
          <w:rFonts w:hint="eastAsia" w:ascii="方正小标宋_GBK" w:hAnsi="方正小标宋_GBK" w:eastAsia="方正小标宋_GBK" w:cs="方正小标宋_GBK"/>
          <w:sz w:val="72"/>
          <w:szCs w:val="72"/>
        </w:rPr>
      </w:r>
      <w:r/>
    </w:p>
    <w:p>
      <w:pPr>
        <w:pStyle w:val="691"/>
        <w:rPr>
          <w:rFonts w:hint="eastAsia" w:ascii="方正小标宋_GBK" w:hAnsi="方正小标宋_GBK" w:eastAsia="方正小标宋_GBK" w:cs="方正小标宋_GBK"/>
          <w:sz w:val="72"/>
          <w:szCs w:val="72"/>
        </w:rPr>
      </w:pPr>
      <w:r>
        <w:rPr>
          <w:rFonts w:hint="eastAsia" w:ascii="方正小标宋_GBK" w:hAnsi="方正小标宋_GBK" w:eastAsia="方正小标宋_GBK" w:cs="方正小标宋_GBK"/>
          <w:sz w:val="72"/>
          <w:szCs w:val="72"/>
        </w:rPr>
      </w:r>
      <w:r/>
    </w:p>
    <w:p>
      <w:pPr>
        <w:pStyle w:val="679"/>
        <w:rPr>
          <w:rFonts w:hint="eastAsia"/>
        </w:rPr>
      </w:pPr>
      <w:r>
        <w:rPr>
          <w:rFonts w:hint="eastAsia"/>
        </w:rPr>
      </w:r>
      <w:r/>
    </w:p>
    <w:p>
      <w:pPr>
        <w:pStyle w:val="679"/>
        <w:jc w:val="center"/>
        <w:spacing w:before="120" w:after="120" w:line="66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竞争性磋商文件</w:t>
      </w:r>
      <w:r>
        <w:rPr>
          <w:rFonts w:hint="eastAsia" w:ascii="方正小标宋_GBK" w:hAnsi="方正小标宋_GBK" w:eastAsia="方正小标宋_GBK" w:cs="方正小标宋_GBK"/>
          <w:sz w:val="52"/>
          <w:szCs w:val="52"/>
        </w:rPr>
      </w:r>
      <w:r/>
    </w:p>
    <w:p>
      <w:pPr>
        <w:pStyle w:val="679"/>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679"/>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项目名称：江苏省生态环境非现场监管能力综合提升服务项目</w:t>
      </w:r>
      <w:r>
        <w:rPr>
          <w:rFonts w:hint="eastAsia" w:ascii="方正黑体_GBK" w:hAnsi="方正黑体_GBK" w:eastAsia="方正黑体_GBK" w:cs="方正黑体_GBK"/>
          <w:sz w:val="28"/>
          <w:szCs w:val="28"/>
        </w:rPr>
      </w:r>
      <w:r/>
    </w:p>
    <w:p>
      <w:pPr>
        <w:pStyle w:val="679"/>
        <w:ind w:firstLine="840"/>
        <w:jc w:val="left"/>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采购编号：JSZC-320000-SCZX-C2026-0302     </w:t>
      </w:r>
      <w:r>
        <w:rPr>
          <w:rFonts w:ascii="Arial" w:hAnsi="Arial"/>
          <w:b/>
          <w:bCs/>
          <w:sz w:val="28"/>
          <w:szCs w:val="28"/>
        </w:rPr>
        <w:t xml:space="preserve">         </w:t>
      </w:r>
      <w:r>
        <w:rPr>
          <w:rFonts w:ascii="Arial" w:hAnsi="Arial"/>
          <w:b/>
          <w:bCs/>
          <w:sz w:val="28"/>
          <w:szCs w:val="28"/>
        </w:rPr>
      </w:r>
      <w:r/>
    </w:p>
    <w:p>
      <w:pPr>
        <w:pStyle w:val="679"/>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center"/>
        <w:spacing w:before="120" w:after="120" w:line="660" w:lineRule="exact"/>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left"/>
        <w:spacing w:line="360" w:lineRule="auto"/>
        <w:rPr>
          <w:rFonts w:hint="eastAsia" w:ascii="宋体" w:hAnsi="宋体"/>
          <w:sz w:val="24"/>
          <w:szCs w:val="24"/>
        </w:rPr>
      </w:pPr>
      <w:r>
        <w:rPr>
          <w:rFonts w:hint="eastAsia" w:ascii="宋体" w:hAnsi="宋体"/>
          <w:sz w:val="24"/>
          <w:szCs w:val="24"/>
        </w:rPr>
      </w:r>
      <w:r/>
    </w:p>
    <w:p>
      <w:pPr>
        <w:pStyle w:val="679"/>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rPr>
          <w:rFonts w:hint="eastAsia" w:ascii="方正黑体_GBK" w:hAnsi="方正黑体_GBK" w:eastAsia="方正黑体_GBK" w:cs="方正黑体_GBK"/>
          <w:sz w:val="28"/>
          <w:szCs w:val="28"/>
        </w:rPr>
      </w:r>
      <w:r/>
    </w:p>
    <w:p>
      <w:pPr>
        <w:pStyle w:val="679"/>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2026年7月</w:t>
      </w:r>
      <w:r>
        <w:rPr>
          <w:rFonts w:hint="eastAsia" w:ascii="方正黑体_GBK" w:hAnsi="方正黑体_GBK" w:eastAsia="方正黑体_GBK" w:cs="方正黑体_GBK"/>
          <w:sz w:val="28"/>
          <w:szCs w:val="28"/>
        </w:rPr>
      </w:r>
      <w:r/>
    </w:p>
    <w:p>
      <w:pPr>
        <w:pStyle w:val="67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79"/>
        <w:jc w:val="center"/>
        <w:spacing w:before="120" w:after="120" w:line="360" w:lineRule="auto"/>
        <w:rPr>
          <w:rFonts w:hint="eastAsia" w:ascii="Arial" w:hAnsi="Arial"/>
          <w:sz w:val="24"/>
          <w:szCs w:val="24"/>
        </w:rPr>
      </w:pPr>
      <w:r>
        <w:rPr>
          <w:rFonts w:hint="eastAsia" w:ascii="Arial" w:hAnsi="Arial"/>
          <w:sz w:val="24"/>
          <w:szCs w:val="24"/>
        </w:rPr>
      </w:r>
      <w:r/>
    </w:p>
    <w:p>
      <w:pPr>
        <w:pStyle w:val="679"/>
        <w:jc w:val="center"/>
        <w:spacing w:line="400" w:lineRule="exact"/>
        <w:rPr>
          <w:rFonts w:hint="eastAsia" w:ascii="方正黑体_GBK" w:hAnsi="方正黑体_GBK" w:eastAsia="方正黑体_GBK" w:cs="方正黑体_GBK"/>
          <w:bCs/>
          <w:sz w:val="28"/>
          <w:szCs w:val="28"/>
        </w:rPr>
        <w:outlineLvl w:val="0"/>
      </w:pPr>
      <w:r>
        <w:rPr>
          <w:szCs w:val="21"/>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方正黑体_GBK" w:hAnsi="方正黑体_GBK" w:eastAsia="方正黑体_GBK" w:cs="方正黑体_GBK"/>
          <w:bCs/>
          <w:sz w:val="28"/>
          <w:szCs w:val="28"/>
        </w:rPr>
        <w:t xml:space="preserve">总  目  录</w:t>
      </w: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w:t>
      </w:r>
      <w:r>
        <w:rPr>
          <w:rFonts w:hint="eastAsia" w:ascii="方正黑体_GBK" w:hAnsi="方正黑体_GBK" w:eastAsia="方正黑体_GBK" w:cs="方正黑体_GBK"/>
          <w:bCs/>
          <w:sz w:val="28"/>
          <w:szCs w:val="28"/>
          <w:lang w:val="en-US" w:eastAsia="zh-CN"/>
        </w:rPr>
        <w:t xml:space="preserve">3</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79"/>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w:t>
      </w:r>
      <w:r>
        <w:rPr>
          <w:rFonts w:hint="eastAsia" w:ascii="方正黑体_GBK" w:hAnsi="方正黑体_GBK" w:eastAsia="方正黑体_GBK" w:cs="方正黑体_GBK"/>
          <w:bCs/>
          <w:sz w:val="28"/>
          <w:szCs w:val="28"/>
          <w:lang w:val="en-US" w:eastAsia="zh-CN"/>
        </w:rPr>
        <w:t xml:space="preserve">6</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lang w:val="en-US" w:eastAsia="zh-CN"/>
        </w:rPr>
        <w:t xml:space="preserve">18</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lang w:val="en-US" w:eastAsia="zh-CN"/>
        </w:rPr>
        <w:t xml:space="preserve">22</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lang w:val="en-US" w:eastAsia="zh-CN"/>
        </w:rPr>
        <w:t xml:space="preserve">32</w:t>
      </w:r>
      <w:r>
        <w:rPr>
          <w:rFonts w:ascii="方正黑体_GBK" w:hAnsi="方正黑体_GBK" w:eastAsia="方正黑体_GBK" w:cs="方正黑体_GBK"/>
          <w:bCs/>
          <w:sz w:val="28"/>
          <w:szCs w:val="28"/>
          <w:lang w:val="en-US" w:eastAsia="zh-CN"/>
        </w:rPr>
      </w:r>
      <w:r/>
    </w:p>
    <w:p>
      <w:pPr>
        <w:pStyle w:val="679"/>
        <w:jc w:val="center"/>
        <w:spacing w:line="400" w:lineRule="exact"/>
        <w:rPr>
          <w:rFonts w:ascii="方正黑体_GBK" w:hAnsi="方正黑体_GBK" w:eastAsia="方正黑体_GBK" w:cs="方正黑体_GBK"/>
          <w:bCs/>
          <w:sz w:val="28"/>
          <w:szCs w:val="28"/>
          <w:lang w:val="en-US" w:eastAsia="zh-CN"/>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lang w:val="en-US" w:eastAsia="zh-CN"/>
        </w:rPr>
        <w:t xml:space="preserve">38</w:t>
      </w:r>
      <w:r>
        <w:rPr>
          <w:rFonts w:ascii="方正黑体_GBK" w:hAnsi="方正黑体_GBK" w:eastAsia="方正黑体_GBK" w:cs="方正黑体_GBK"/>
          <w:bCs/>
          <w:sz w:val="28"/>
          <w:szCs w:val="28"/>
          <w:lang w:val="en-US" w:eastAsia="zh-CN"/>
        </w:rPr>
      </w:r>
      <w:r/>
    </w:p>
    <w:p>
      <w:pPr>
        <w:pStyle w:val="679"/>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rPr>
          <w:rFonts w:hint="eastAsia"/>
        </w:rPr>
      </w:pPr>
      <w:r>
        <w:rPr>
          <w:rFonts w:hint="eastAsia"/>
          <w:szCs w:val="21"/>
        </w:rPr>
      </w:r>
      <w:r>
        <w:rPr>
          <w:rFonts w:hint="eastAsia"/>
          <w:szCs w:val="21"/>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79"/>
        <w:rPr>
          <w:rFonts w:hint="eastAsia"/>
        </w:rPr>
      </w:pPr>
      <w:r>
        <w:rPr>
          <w:rFonts w:hint="eastAsia"/>
          <w:szCs w:val="21"/>
        </w:rPr>
      </w:r>
      <w:r/>
    </w:p>
    <w:p>
      <w:pPr>
        <w:pStyle w:val="679"/>
        <w:rPr>
          <w:rFonts w:hint="eastAsia"/>
          <w:szCs w:val="21"/>
        </w:rPr>
      </w:pPr>
      <w:r>
        <w:rPr>
          <w:rFonts w:hint="eastAsia"/>
          <w:szCs w:val="21"/>
        </w:rPr>
      </w:r>
      <w:r/>
    </w:p>
    <w:p>
      <w:pPr>
        <w:pStyle w:val="679"/>
        <w:rPr>
          <w:rFonts w:hint="eastAsia"/>
          <w:szCs w:val="21"/>
        </w:rPr>
      </w:pPr>
      <w:r>
        <w:rPr>
          <w:rFonts w:hint="eastAsia"/>
          <w:szCs w:val="21"/>
        </w:rPr>
      </w:r>
      <w:r/>
    </w:p>
    <w:p>
      <w:pPr>
        <w:pStyle w:val="679"/>
        <w:jc w:val="center"/>
        <w:keepNext/>
        <w:spacing w:line="400" w:lineRule="exact"/>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受〔江苏省生态环境监控中心〕的委托，江苏省政府采购中心就〔江苏省生态环境非现场监管能力综合提升服务项目〕(JSZC-320000-SCZX-C2026-0302)项目进行竞争性磋商采购，欢迎符合条件的供应商参加磋商。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江苏省生态环境非现场监管能力综合提升服务项目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eastAsia="方正黑体_GBK"/>
          <w:sz w:val="28"/>
          <w:szCs w:val="28"/>
          <w:lang w:val="en-US" w:eastAsia="zh-CN"/>
        </w:rPr>
        <w:t xml:space="preserve">8</w:t>
      </w:r>
      <w:r>
        <w:rPr>
          <w:rFonts w:hint="eastAsia" w:ascii="方正仿宋_GBK" w:hAnsi="方正仿宋_GBK" w:eastAsia="方正仿宋_GBK" w:cs="方正仿宋_GBK"/>
          <w:bCs/>
          <w:sz w:val="28"/>
          <w:szCs w:val="28"/>
        </w:rPr>
        <w:t xml:space="preserve">月</w:t>
      </w:r>
      <w:r>
        <w:rPr>
          <w:rFonts w:hint="eastAsia" w:ascii="方正仿宋_GBK" w:hAnsi="方正仿宋_GBK" w:eastAsia="方正仿宋_GBK" w:cs="方正仿宋_GBK"/>
          <w:bCs/>
          <w:sz w:val="28"/>
          <w:szCs w:val="28"/>
          <w:lang w:val="en-US" w:eastAsia="zh-CN"/>
        </w:rPr>
        <w:t xml:space="preserve">1</w:t>
      </w:r>
      <w:r>
        <w:rPr>
          <w:rFonts w:hint="eastAsia" w:eastAsia="方正黑体_GBK"/>
          <w:sz w:val="28"/>
          <w:szCs w:val="28"/>
          <w:lang w:val="en-US" w:eastAsia="zh-CN"/>
        </w:rPr>
        <w:t xml:space="preserve">2</w:t>
      </w:r>
      <w:r>
        <w:rPr>
          <w:rFonts w:hint="eastAsia" w:ascii="方正仿宋_GBK" w:hAnsi="方正仿宋_GBK" w:eastAsia="方正仿宋_GBK" w:cs="方正仿宋_GBK"/>
          <w:bCs/>
          <w:sz w:val="28"/>
          <w:szCs w:val="28"/>
        </w:rPr>
        <w:t xml:space="preserve">日</w:t>
      </w:r>
      <w:r>
        <w:rPr>
          <w:rFonts w:hint="eastAsia"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1.采购编号：JSZC-320000-SCZX-C2026-0302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bookmarkStart w:id="12" w:name="OLE_LINK14"/>
      <w:r>
        <w:rPr>
          <w:rFonts w:hint="eastAsia" w:eastAsia="方正仿宋_GBK"/>
          <w:sz w:val="28"/>
          <w:szCs w:val="28"/>
        </w:rPr>
        <w:t xml:space="preserve">江苏省生态环境非现场监管能力综合提升服务项目</w:t>
      </w:r>
      <w:bookmarkEnd w:id="12"/>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679"/>
              <w:ind w:firstLine="1120"/>
              <w:spacing w:line="400" w:lineRule="exact"/>
              <w:rPr>
                <w:rFonts w:hint="eastAsia" w:ascii="方正仿宋_GBK" w:hAnsi="方正仿宋_GBK" w:eastAsia="方正仿宋_GBK" w:cs="方正仿宋_GBK"/>
                <w:sz w:val="28"/>
                <w:szCs w:val="28"/>
              </w:rPr>
            </w:pPr>
            <w:r>
              <w:rPr>
                <w:rFonts w:hint="eastAsia" w:eastAsia="方正黑体_GBK"/>
                <w:sz w:val="28"/>
                <w:szCs w:val="28"/>
              </w:rPr>
              <w:t xml:space="preserve">210</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eastAsia="方正黑体_GBK"/>
                <w:sz w:val="28"/>
                <w:szCs w:val="28"/>
              </w:rPr>
              <w:t xml:space="preserve">210</w:t>
            </w:r>
            <w:r>
              <w:rPr>
                <w:rFonts w:hint="eastAsia" w:ascii="方正仿宋_GBK" w:hAnsi="方正仿宋_GBK" w:eastAsia="方正仿宋_GBK" w:cs="方正仿宋_GBK"/>
                <w:sz w:val="28"/>
                <w:szCs w:val="28"/>
              </w:rPr>
            </w:r>
            <w:r/>
          </w:p>
        </w:tc>
      </w:tr>
    </w:tbl>
    <w:p>
      <w:pPr>
        <w:pStyle w:val="679"/>
        <w:ind w:firstLine="560"/>
        <w:spacing w:line="400" w:lineRule="exact"/>
        <w:rPr>
          <w:rFonts w:ascii="宋体" w:hAnsi="宋体"/>
          <w:sz w:val="28"/>
          <w:szCs w:val="28"/>
          <w:u w:val="single"/>
        </w:rPr>
      </w:pPr>
      <w:r>
        <w:rPr>
          <w:rFonts w:hint="eastAsia" w:ascii="方正仿宋_GBK" w:hAnsi="方正仿宋_GBK" w:eastAsia="方正仿宋_GBK" w:cs="方正仿宋_GBK"/>
          <w:sz w:val="28"/>
          <w:szCs w:val="28"/>
        </w:rPr>
        <w:t xml:space="preserve">5.采购需求（简介）：江苏省生态环境非现场监管能力综合提升服务（详细内容见本磋商文件第四章）</w:t>
      </w:r>
      <w:r>
        <w:rPr>
          <w:rFonts w:ascii="宋体" w:hAnsi="宋体"/>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6.合同履行期限：自签订合同之日起一年</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13" w:name="_Toc35393791"/>
      <w:r/>
      <w:bookmarkStart w:id="14" w:name="_Toc35393622"/>
      <w:r/>
      <w:bookmarkStart w:id="15" w:name="_Toc28359003"/>
      <w:r/>
      <w:bookmarkStart w:id="16" w:name="_Toc28359080"/>
      <w:r/>
      <w:bookmarkStart w:id="17" w:name="_Toc38985264"/>
      <w:r>
        <w:rPr>
          <w:rFonts w:hint="eastAsia" w:ascii="方正黑体_GBK" w:hAnsi="方正黑体_GBK" w:eastAsia="方正黑体_GBK" w:cs="方正黑体_GBK"/>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sz w:val="28"/>
          <w:szCs w:val="28"/>
        </w:rPr>
      </w:r>
      <w:r/>
    </w:p>
    <w:p>
      <w:pPr>
        <w:pStyle w:val="679"/>
        <w:ind w:firstLine="560"/>
        <w:spacing w:line="400" w:lineRule="exact"/>
        <w:rPr>
          <w:rFonts w:hint="eastAsia" w:ascii="方正楷体_GBK" w:hAnsi="方正楷体_GBK" w:eastAsia="方正楷体_GBK" w:cs="方正楷体_GBK"/>
          <w:sz w:val="28"/>
          <w:szCs w:val="28"/>
        </w:rPr>
      </w:pPr>
      <w:r/>
      <w:bookmarkStart w:id="18" w:name="_Toc28359004"/>
      <w:r/>
      <w:bookmarkStart w:id="19" w:name="_Toc38985265"/>
      <w:r/>
      <w:bookmarkStart w:id="20" w:name="_Toc35393623"/>
      <w:r/>
      <w:bookmarkStart w:id="21" w:name="_Toc35393792"/>
      <w:r/>
      <w:bookmarkStart w:id="22" w:name="_Toc28359081"/>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666"/>
        <w:gridCol w:w="3030"/>
      </w:tblGrid>
      <w:tr>
        <w:trPr/>
        <w:tc>
          <w:tcPr>
            <w:tcW w:w="80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66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是否接受联合体参与磋商（是/否）</w:t>
            </w:r>
            <w:r>
              <w:rPr>
                <w:rFonts w:hint="eastAsia" w:ascii="方正仿宋_GBK" w:hAnsi="方正仿宋_GBK" w:eastAsia="方正仿宋_GBK" w:cs="方正仿宋_GBK"/>
                <w:sz w:val="28"/>
                <w:szCs w:val="28"/>
              </w:rPr>
            </w:r>
            <w:r/>
          </w:p>
        </w:tc>
        <w:tc>
          <w:tcPr>
            <w:tcW w:w="303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66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03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09" w:type="dxa"/>
            <w:vAlign w:val="top"/>
            <w:textDirection w:val="lrTb"/>
            <w:noWrap w:val="false"/>
          </w:tcPr>
          <w:p>
            <w:pPr>
              <w:pStyle w:val="679"/>
              <w:jc w:val="center"/>
              <w:spacing w:line="400" w:lineRule="exact"/>
              <w:rPr>
                <w:rFonts w:hint="eastAsia" w:ascii="方正仿宋_GBK" w:hAnsi="方正仿宋_GBK" w:eastAsia="方正黑体_GBK" w:cs="方正仿宋_GBK"/>
                <w:sz w:val="28"/>
                <w:szCs w:val="28"/>
              </w:rPr>
            </w:pPr>
            <w:r>
              <w:rPr>
                <w:rFonts w:hint="eastAsia" w:eastAsia="方正黑体_GBK"/>
                <w:sz w:val="28"/>
                <w:szCs w:val="28"/>
              </w:rPr>
              <w:t xml:space="preserve">无</w:t>
            </w:r>
            <w:r>
              <w:rPr>
                <w:rFonts w:hint="eastAsia" w:ascii="方正仿宋_GBK" w:hAnsi="方正仿宋_GBK" w:eastAsia="方正黑体_GBK" w:cs="方正仿宋_GBK"/>
                <w:sz w:val="28"/>
                <w:szCs w:val="28"/>
              </w:rPr>
            </w:r>
            <w:r/>
          </w:p>
        </w:tc>
      </w:tr>
    </w:tbl>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rPr>
          <w:rFonts w:hint="eastAsia" w:ascii="方正黑体_GBK" w:hAnsi="方正黑体_GBK" w:eastAsia="方正黑体_GBK" w:cs="方正黑体_GBK"/>
          <w:sz w:val="28"/>
          <w:szCs w:val="28"/>
        </w:rPr>
        <w:t xml:space="preserve">三、获取磋商文件</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18"/>
      <w:r/>
      <w:bookmarkEnd w:id="19"/>
      <w:r/>
      <w:bookmarkEnd w:id="20"/>
      <w:r/>
      <w:bookmarkEnd w:id="21"/>
      <w:r/>
      <w:bookmarkEnd w:id="22"/>
      <w:r/>
      <w:bookmarkStart w:id="23" w:name="_Toc28359005"/>
      <w:r/>
      <w:bookmarkStart w:id="24" w:name="_Toc28359082"/>
      <w:r/>
      <w:bookmarkStart w:id="25" w:name="_Toc38985266"/>
      <w:r/>
      <w:bookmarkStart w:id="26" w:name="_Toc35393624"/>
      <w:r/>
      <w:bookmarkStart w:id="27" w:name="_Toc35393793"/>
      <w:r>
        <w:rPr>
          <w:rFonts w:hint="eastAsia" w:ascii="方正黑体_GBK" w:hAnsi="方正黑体_GBK" w:eastAsia="方正黑体_GBK" w:cs="方正黑体_GBK"/>
          <w:sz w:val="28"/>
          <w:szCs w:val="28"/>
        </w:rPr>
        <w:t xml:space="preserve">四、提交</w:t>
      </w:r>
      <w:bookmarkEnd w:id="23"/>
      <w:r/>
      <w:bookmarkEnd w:id="24"/>
      <w:r>
        <w:rPr>
          <w:rFonts w:hint="eastAsia" w:ascii="方正黑体_GBK" w:hAnsi="方正黑体_GBK" w:eastAsia="方正黑体_GBK" w:cs="方正黑体_GBK"/>
          <w:sz w:val="28"/>
          <w:szCs w:val="28"/>
        </w:rPr>
        <w:t xml:space="preserve">响应文件截止时间</w:t>
      </w:r>
      <w:bookmarkEnd w:id="25"/>
      <w:r/>
      <w:bookmarkEnd w:id="26"/>
      <w:r/>
      <w:bookmarkEnd w:id="27"/>
      <w:r>
        <w:rPr>
          <w:rFonts w:hint="eastAsia" w:ascii="方正黑体_GBK" w:hAnsi="方正黑体_GBK" w:eastAsia="方正黑体_GBK" w:cs="方正黑体_GBK"/>
          <w:sz w:val="28"/>
          <w:szCs w:val="28"/>
        </w:rPr>
        <w:t xml:space="preserve">、开启时间及地点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eastAsia="方正黑体_GBK"/>
          <w:sz w:val="28"/>
          <w:szCs w:val="28"/>
          <w:lang w:val="en-US" w:eastAsia="zh-CN"/>
        </w:rPr>
        <w:t xml:space="preserve">2026</w:t>
      </w:r>
      <w:r>
        <w:rPr>
          <w:rFonts w:hint="eastAsia" w:ascii="方正仿宋_GBK" w:hAnsi="方正仿宋_GBK" w:eastAsia="方正仿宋_GBK" w:cs="方正仿宋_GBK"/>
          <w:bCs/>
          <w:sz w:val="28"/>
          <w:szCs w:val="28"/>
        </w:rPr>
        <w:t xml:space="preserve">年</w:t>
      </w:r>
      <w:r>
        <w:rPr>
          <w:rFonts w:hint="eastAsia" w:eastAsia="方正黑体_GBK"/>
          <w:sz w:val="28"/>
          <w:szCs w:val="28"/>
          <w:lang w:val="en-US" w:eastAsia="zh-CN"/>
        </w:rPr>
        <w:t xml:space="preserve">8</w:t>
      </w:r>
      <w:r>
        <w:rPr>
          <w:rFonts w:hint="eastAsia" w:ascii="方正仿宋_GBK" w:hAnsi="方正仿宋_GBK" w:eastAsia="方正仿宋_GBK" w:cs="方正仿宋_GBK"/>
          <w:bCs/>
          <w:sz w:val="28"/>
          <w:szCs w:val="28"/>
        </w:rPr>
        <w:t xml:space="preserve">月</w:t>
      </w:r>
      <w:r>
        <w:rPr>
          <w:rFonts w:hint="eastAsia" w:eastAsia="方正黑体_GBK"/>
          <w:sz w:val="28"/>
          <w:szCs w:val="28"/>
          <w:lang w:val="en-US" w:eastAsia="zh-CN"/>
        </w:rPr>
        <w:t xml:space="preserve">12</w:t>
      </w:r>
      <w:r>
        <w:rPr>
          <w:rFonts w:hint="eastAsia" w:ascii="方正仿宋_GBK" w:hAnsi="方正仿宋_GBK" w:eastAsia="方正仿宋_GBK" w:cs="方正仿宋_GBK"/>
          <w:bCs/>
          <w:sz w:val="28"/>
          <w:szCs w:val="28"/>
        </w:rPr>
        <w:t xml:space="preserve">日</w:t>
      </w:r>
      <w:r>
        <w:rPr>
          <w:rFonts w:hint="eastAsia" w:eastAsia="方正黑体_GBK"/>
          <w:sz w:val="28"/>
          <w:szCs w:val="28"/>
          <w:lang w:val="en-US" w:eastAsia="zh-CN"/>
        </w:rPr>
        <w:t xml:space="preserve">9</w:t>
      </w:r>
      <w:r>
        <w:rPr>
          <w:rFonts w:hint="eastAsia" w:ascii="方正仿宋_GBK" w:hAnsi="方正仿宋_GBK" w:eastAsia="方正仿宋_GBK" w:cs="方正仿宋_GBK"/>
          <w:bCs/>
          <w:sz w:val="28"/>
          <w:szCs w:val="28"/>
        </w:rPr>
        <w:t xml:space="preserve">时</w:t>
      </w:r>
      <w:r>
        <w:rPr>
          <w:rFonts w:hint="eastAsia" w:eastAsia="方正黑体_GBK"/>
          <w:sz w:val="28"/>
          <w:szCs w:val="28"/>
          <w:lang w:val="en-US" w:eastAsia="zh-CN"/>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28" w:name="_Toc28359007"/>
      <w:r/>
      <w:bookmarkStart w:id="29" w:name="_Toc28359084"/>
      <w:r/>
      <w:bookmarkStart w:id="30" w:name="_Toc35393625"/>
      <w:r/>
      <w:bookmarkStart w:id="31" w:name="_Toc35393794"/>
      <w:r/>
      <w:bookmarkStart w:id="32" w:name="_Toc38985267"/>
      <w:r>
        <w:rPr>
          <w:rFonts w:hint="eastAsia" w:ascii="方正黑体_GBK" w:hAnsi="方正黑体_GBK" w:eastAsia="方正黑体_GBK" w:cs="方正黑体_GBK"/>
          <w:sz w:val="28"/>
          <w:szCs w:val="28"/>
        </w:rPr>
        <w:t xml:space="preserve">五、公告期限</w:t>
      </w:r>
      <w:bookmarkEnd w:id="28"/>
      <w:r/>
      <w:bookmarkEnd w:id="29"/>
      <w:r/>
      <w:bookmarkEnd w:id="30"/>
      <w:r/>
      <w:bookmarkEnd w:id="31"/>
      <w:r/>
      <w:bookmarkEnd w:id="32"/>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3" w:name="_Toc35393626"/>
      <w:r/>
      <w:bookmarkStart w:id="34" w:name="_Toc38985268"/>
      <w:r/>
      <w:bookmarkStart w:id="35" w:name="_Toc35393795"/>
      <w:r>
        <w:rPr>
          <w:rFonts w:hint="eastAsia" w:ascii="方正黑体_GBK" w:hAnsi="方正黑体_GBK" w:eastAsia="方正黑体_GBK" w:cs="方正黑体_GBK"/>
          <w:sz w:val="28"/>
          <w:szCs w:val="28"/>
        </w:rPr>
        <w:t xml:space="preserve">六、其他补充事宜</w:t>
      </w:r>
      <w:bookmarkEnd w:id="33"/>
      <w:r/>
      <w:bookmarkEnd w:id="34"/>
      <w:r/>
      <w:bookmarkEnd w:id="35"/>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Start w:id="36" w:name="_Toc38985269"/>
      <w:r/>
      <w:bookmarkStart w:id="37" w:name="_Toc28359008"/>
      <w:r/>
      <w:bookmarkStart w:id="38" w:name="_Toc28359085"/>
      <w:r/>
      <w:bookmarkStart w:id="39" w:name="_Toc35393796"/>
      <w:r/>
      <w:bookmarkStart w:id="40" w:name="_Toc35393627"/>
      <w:r>
        <w:rPr>
          <w:rFonts w:hint="eastAsia" w:ascii="方正黑体_GBK" w:hAnsi="方正黑体_GBK" w:eastAsia="方正黑体_GBK" w:cs="方正黑体_GBK"/>
          <w:sz w:val="28"/>
          <w:szCs w:val="28"/>
        </w:rPr>
        <w:t xml:space="preserve">七、本次磋商联系方式</w:t>
      </w:r>
      <w:bookmarkEnd w:id="36"/>
      <w:r/>
      <w:bookmarkEnd w:id="37"/>
      <w:r/>
      <w:bookmarkEnd w:id="38"/>
      <w:r/>
      <w:bookmarkEnd w:id="39"/>
      <w:r/>
      <w:bookmarkEnd w:id="40"/>
      <w:r>
        <w:rPr>
          <w:rFonts w:hint="eastAsia" w:ascii="方正黑体_GBK" w:hAnsi="方正黑体_GBK" w:eastAsia="方正黑体_GBK" w:cs="方正黑体_GBK"/>
          <w:sz w:val="28"/>
          <w:szCs w:val="28"/>
        </w:rPr>
      </w:r>
      <w:r/>
    </w:p>
    <w:p>
      <w:pPr>
        <w:pStyle w:val="679"/>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1" w:name="_Toc28359010"/>
      <w:r/>
      <w:bookmarkStart w:id="42" w:name="_Toc28359087"/>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江苏省生态环境监控中心</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南京市江东北路176号</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杨清          </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025-58527064</w:t>
      </w:r>
      <w:r>
        <w:rPr>
          <w:rFonts w:hint="eastAsia" w:ascii="方正仿宋_GBK" w:hAnsi="方正仿宋_GBK" w:eastAsia="方正仿宋_GBK" w:cs="方正仿宋_GBK"/>
          <w:sz w:val="28"/>
          <w:szCs w:val="28"/>
          <w:u w:val="single"/>
        </w:rPr>
        <w:t xml:space="preserve">　 </w:t>
      </w:r>
      <w:bookmarkStart w:id="43" w:name="_Toc28359086"/>
      <w:r/>
      <w:bookmarkStart w:id="44" w:name="_Toc28359009"/>
      <w:r>
        <w:rPr>
          <w:rFonts w:hint="eastAsia" w:ascii="方正仿宋_GBK" w:hAnsi="方正仿宋_GBK" w:eastAsia="方正仿宋_GBK" w:cs="方正仿宋_GBK"/>
          <w:sz w:val="28"/>
          <w:szCs w:val="28"/>
          <w:u w:val="single"/>
        </w:rPr>
      </w:r>
      <w:r/>
    </w:p>
    <w:p>
      <w:pPr>
        <w:pStyle w:val="679"/>
        <w:ind w:firstLine="480"/>
        <w:jc w:val="left"/>
        <w:spacing w:line="400" w:lineRule="exact"/>
        <w:rPr>
          <w:rFonts w:ascii="宋体" w:hAnsi="宋体"/>
          <w:sz w:val="24"/>
          <w:szCs w:val="24"/>
        </w:rPr>
      </w:pPr>
      <w:r/>
      <w:bookmarkStart w:id="45" w:name="OLE_LINK10"/>
      <w:r/>
      <w:bookmarkStart w:id="46" w:name="OLE_LINK6"/>
      <w:r>
        <w:rPr>
          <w:rFonts w:hint="eastAsia" w:ascii="宋体" w:hAnsi="宋体" w:cs="宋体"/>
          <w:sz w:val="24"/>
          <w:szCs w:val="24"/>
        </w:rPr>
        <w:t xml:space="preserve">2.江苏省政府采购中心信息</w:t>
      </w:r>
      <w:r>
        <w:rPr>
          <w:rFonts w:ascii="宋体" w:hAnsi="宋体"/>
          <w:sz w:val="24"/>
          <w:szCs w:val="24"/>
        </w:rPr>
      </w:r>
      <w:r/>
    </w:p>
    <w:p>
      <w:pPr>
        <w:pStyle w:val="679"/>
        <w:ind w:firstLine="48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679"/>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679"/>
        <w:ind w:firstLine="480"/>
        <w:spacing w:line="400" w:lineRule="exact"/>
        <w:rPr>
          <w:rFonts w:hint="eastAsia"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bookmarkEnd w:id="46"/>
      <w:r>
        <w:rPr>
          <w:rFonts w:hint="eastAsia" w:ascii="宋体" w:hAnsi="宋体"/>
          <w:sz w:val="24"/>
          <w:szCs w:val="24"/>
          <w:u w:val="single"/>
        </w:rPr>
        <w:t xml:space="preserve"> </w:t>
      </w:r>
      <w:bookmarkEnd w:id="45"/>
      <w:r>
        <w:rPr>
          <w:rFonts w:hint="eastAsia" w:ascii="宋体" w:hAnsi="宋体"/>
          <w:sz w:val="24"/>
          <w:szCs w:val="24"/>
          <w:u w:val="single"/>
        </w:rPr>
      </w:r>
      <w:r/>
    </w:p>
    <w:p>
      <w:pPr>
        <w:pStyle w:val="679"/>
        <w:ind w:firstLine="560"/>
        <w:keepLines/>
        <w:keepNext/>
        <w:spacing w:before="156" w:after="156" w:line="400" w:lineRule="exact"/>
        <w:rPr>
          <w:rFonts w:hint="eastAsia" w:ascii="方正黑体_GBK" w:hAnsi="方正黑体_GBK" w:eastAsia="方正黑体_GBK" w:cs="方正黑体_GBK"/>
          <w:sz w:val="28"/>
          <w:szCs w:val="28"/>
        </w:rPr>
        <w:outlineLvl w:val="2"/>
      </w:pPr>
      <w:r/>
      <w:bookmarkEnd w:id="41"/>
      <w:r/>
      <w:bookmarkEnd w:id="42"/>
      <w:r/>
      <w:bookmarkEnd w:id="43"/>
      <w:r/>
      <w:bookmarkEnd w:id="44"/>
      <w:r>
        <w:rPr>
          <w:rFonts w:hint="eastAsia" w:ascii="方正黑体_GBK" w:hAnsi="方正黑体_GBK" w:eastAsia="方正黑体_GBK" w:cs="方正黑体_GBK"/>
          <w:sz w:val="28"/>
          <w:szCs w:val="28"/>
        </w:rPr>
        <w:t xml:space="preserve">八、其他</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ind w:right="840"/>
        <w:rPr>
          <w:rFonts w:hint="eastAsia" w:ascii="宋体" w:hAnsi="宋体"/>
          <w:sz w:val="24"/>
          <w:szCs w:val="24"/>
        </w:rPr>
      </w:pPr>
      <w:r>
        <w:rPr>
          <w:rFonts w:hint="eastAsia" w:ascii="宋体" w:hAnsi="宋体"/>
          <w:sz w:val="24"/>
          <w:szCs w:val="24"/>
        </w:rPr>
      </w:r>
      <w:r/>
    </w:p>
    <w:p>
      <w:pPr>
        <w:pStyle w:val="679"/>
        <w:jc w:val="center"/>
        <w:keepLines/>
        <w:keepNext/>
        <w:spacing w:before="260" w:after="260" w:line="400" w:lineRule="exact"/>
        <w:rPr>
          <w:rFonts w:hint="eastAsia" w:ascii="方正黑体_GBK" w:hAnsi="方正黑体_GBK" w:eastAsia="方正黑体_GBK" w:cs="方正黑体_GBK"/>
          <w:sz w:val="28"/>
          <w:szCs w:val="28"/>
        </w:rPr>
        <w:outlineLvl w:val="1"/>
      </w:pPr>
      <w:r/>
      <w:bookmarkEnd w:id="1"/>
      <w:r/>
      <w:bookmarkEnd w:id="2"/>
      <w:r/>
      <w:bookmarkEnd w:id="3"/>
      <w:r/>
      <w:bookmarkEnd w:id="4"/>
      <w:r/>
      <w:bookmarkEnd w:id="5"/>
      <w:r/>
      <w:bookmarkStart w:id="47" w:name="_Toc120614211"/>
      <w:r/>
      <w:bookmarkStart w:id="48" w:name="_Toc120614214"/>
      <w:r/>
      <w:bookmarkStart w:id="49" w:name="_Toc513029203"/>
      <w:r/>
      <w:bookmarkStart w:id="50" w:name="_Toc20823275"/>
      <w:r/>
      <w:bookmarkStart w:id="51" w:name="_Toc16938519"/>
      <w:r>
        <w:rPr>
          <w:rFonts w:hint="eastAsia" w:ascii="方正黑体_GBK" w:hAnsi="方正黑体_GBK" w:eastAsia="方正黑体_GBK" w:cs="方正黑体_GBK"/>
          <w:sz w:val="28"/>
          <w:szCs w:val="28"/>
        </w:rPr>
        <w:t xml:space="preserve">第二章  </w:t>
      </w:r>
      <w:bookmarkEnd w:id="47"/>
      <w:r>
        <w:rPr>
          <w:rFonts w:hint="eastAsia" w:ascii="方正黑体_GBK" w:hAnsi="方正黑体_GBK" w:eastAsia="方正黑体_GBK" w:cs="方正黑体_GBK"/>
          <w:sz w:val="28"/>
          <w:szCs w:val="28"/>
        </w:rPr>
        <w:t xml:space="preserve">供应商须知</w:t>
      </w:r>
      <w:r>
        <w:rPr>
          <w:rFonts w:hint="eastAsia" w:ascii="方正黑体_GBK" w:hAnsi="方正黑体_GBK" w:eastAsia="方正黑体_GBK" w:cs="方正黑体_GBK"/>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48"/>
      <w:r/>
      <w:bookmarkEnd w:id="49"/>
      <w:r/>
      <w:bookmarkEnd w:id="50"/>
      <w:r/>
      <w:bookmarkEnd w:id="51"/>
      <w:r/>
      <w:bookmarkStart w:id="52" w:name="_Toc16938525"/>
      <w:r/>
      <w:bookmarkStart w:id="53" w:name="_Toc20823281"/>
      <w:r/>
      <w:bookmarkStart w:id="54" w:name="_Toc513029209"/>
      <w:r/>
      <w:bookmarkStart w:id="55" w:name="_Toc120614215"/>
      <w:r>
        <w:rPr>
          <w:rFonts w:hint="eastAsia" w:ascii="方正黑体_GBK" w:hAnsi="方正黑体_GBK" w:eastAsia="方正黑体_GBK" w:cs="方正黑体_GBK"/>
          <w:sz w:val="28"/>
          <w:szCs w:val="28"/>
        </w:rPr>
        <w:t xml:space="preserve">一、总则</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仿宋_GBK" w:hAnsi="方正仿宋_GBK" w:eastAsia="方正仿宋_GBK" w:cs="方正仿宋_GBK"/>
          <w:bCs/>
          <w:sz w:val="28"/>
          <w:szCs w:val="28"/>
        </w:rPr>
        <w:t xml:space="preserve">1</w:t>
      </w:r>
      <w:bookmarkEnd w:id="57"/>
      <w:r>
        <w:rPr>
          <w:rFonts w:hint="eastAsia" w:ascii="方正仿宋_GBK" w:hAnsi="方正仿宋_GBK" w:eastAsia="方正仿宋_GBK" w:cs="方正仿宋_GBK"/>
          <w:bCs/>
          <w:sz w:val="28"/>
          <w:szCs w:val="28"/>
        </w:rPr>
        <w:t xml:space="preserve">.采购方式</w:t>
      </w:r>
      <w:bookmarkEnd w:id="58"/>
      <w:r/>
      <w:bookmarkEnd w:id="59"/>
      <w:r/>
      <w:bookmarkEnd w:id="60"/>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61" w:name="_Toc513029205"/>
      <w:r/>
      <w:bookmarkStart w:id="62" w:name="_Toc16938521"/>
      <w:r/>
      <w:bookmarkStart w:id="63" w:name="_Toc20823277"/>
      <w:r>
        <w:rPr>
          <w:rFonts w:hint="eastAsia" w:ascii="方正仿宋_GBK" w:hAnsi="方正仿宋_GBK" w:eastAsia="方正仿宋_GBK" w:cs="方正仿宋_GBK"/>
          <w:bCs/>
          <w:sz w:val="28"/>
          <w:szCs w:val="28"/>
        </w:rPr>
        <w:t xml:space="preserve">2.合格的</w:t>
      </w:r>
      <w:bookmarkEnd w:id="61"/>
      <w:r/>
      <w:bookmarkEnd w:id="62"/>
      <w:r/>
      <w:bookmarkEnd w:id="63"/>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64" w:name="_Toc20823278"/>
      <w:r/>
      <w:bookmarkStart w:id="65" w:name="_Toc513029206"/>
      <w:r/>
      <w:bookmarkStart w:id="66" w:name="_Toc16938522"/>
      <w:r/>
      <w:bookmarkStart w:id="67" w:name="_Toc16938523"/>
      <w:r/>
      <w:bookmarkStart w:id="68" w:name="_Toc462564067"/>
      <w:r/>
      <w:bookmarkStart w:id="69" w:name="_Toc20823279"/>
      <w:r/>
      <w:bookmarkStart w:id="70" w:name="_Toc513029207"/>
      <w:r>
        <w:rPr>
          <w:rFonts w:hint="eastAsia" w:ascii="方正仿宋_GBK" w:hAnsi="方正仿宋_GBK" w:eastAsia="方正仿宋_GBK" w:cs="方正仿宋_GBK"/>
          <w:bCs/>
          <w:sz w:val="28"/>
          <w:szCs w:val="28"/>
        </w:rPr>
        <w:t xml:space="preserve">3.适用法律</w:t>
      </w:r>
      <w:bookmarkEnd w:id="64"/>
      <w:r/>
      <w:bookmarkEnd w:id="65"/>
      <w:r/>
      <w:bookmarkEnd w:id="66"/>
      <w:r>
        <w:rPr>
          <w:rFonts w:hint="eastAsia" w:ascii="方正仿宋_GBK" w:hAnsi="方正仿宋_GBK" w:eastAsia="方正仿宋_GBK" w:cs="方正仿宋_GBK"/>
          <w:bCs/>
          <w:sz w:val="28"/>
          <w:szCs w:val="28"/>
        </w:rPr>
        <w:t xml:space="preserve">和标准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67"/>
      <w:r/>
      <w:bookmarkEnd w:id="68"/>
      <w:r/>
      <w:bookmarkEnd w:id="69"/>
      <w:r/>
      <w:bookmarkEnd w:id="70"/>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52"/>
      <w:r/>
      <w:bookmarkEnd w:id="53"/>
      <w:r/>
      <w:bookmarkEnd w:id="54"/>
      <w:r/>
      <w:bookmarkEnd w:id="55"/>
      <w:r/>
      <w:bookmarkStart w:id="71" w:name="_Toc513029213"/>
      <w:r/>
      <w:bookmarkStart w:id="72" w:name="_Toc462564072"/>
      <w:r/>
      <w:bookmarkStart w:id="73" w:name="_Toc16938529"/>
      <w:r/>
      <w:bookmarkStart w:id="74" w:name="_Toc20823285"/>
      <w:r/>
      <w:bookmarkStart w:id="75" w:name="_Toc120614216"/>
      <w:r>
        <w:rPr>
          <w:rFonts w:hint="eastAsia" w:ascii="方正黑体_GBK" w:hAnsi="方正黑体_GBK" w:eastAsia="方正黑体_GBK" w:cs="方正黑体_GBK"/>
          <w:sz w:val="28"/>
          <w:szCs w:val="28"/>
        </w:rPr>
        <w:t xml:space="preserve">二、磋商文件</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16938526"/>
      <w:r/>
      <w:bookmarkStart w:id="77" w:name="_Toc513029210"/>
      <w:r/>
      <w:bookmarkStart w:id="78" w:name="_Toc20823282"/>
      <w:r>
        <w:rPr>
          <w:rFonts w:hint="eastAsia" w:ascii="方正仿宋_GBK" w:hAnsi="方正仿宋_GBK" w:eastAsia="方正仿宋_GBK" w:cs="方正仿宋_GBK"/>
          <w:bCs/>
          <w:sz w:val="28"/>
          <w:szCs w:val="28"/>
        </w:rPr>
        <w:t xml:space="preserve">6.磋商文件构成</w:t>
      </w:r>
      <w:bookmarkEnd w:id="76"/>
      <w:r/>
      <w:bookmarkEnd w:id="77"/>
      <w:r/>
      <w:bookmarkEnd w:id="78"/>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79" w:name="_Toc513029212"/>
      <w:r/>
      <w:bookmarkStart w:id="80" w:name="_Toc16938528"/>
      <w:r/>
      <w:bookmarkStart w:id="81" w:name="_Toc20823284"/>
      <w:r/>
      <w:bookmarkStart w:id="82" w:name="_Toc462564071"/>
      <w:r>
        <w:rPr>
          <w:rFonts w:hint="eastAsia" w:ascii="方正仿宋_GBK" w:hAnsi="方正仿宋_GBK" w:eastAsia="方正仿宋_GBK" w:cs="方正仿宋_GBK"/>
          <w:bCs/>
          <w:sz w:val="28"/>
          <w:szCs w:val="28"/>
        </w:rPr>
        <w:t xml:space="preserve">7.磋商文件的澄清和修改</w:t>
      </w:r>
      <w:bookmarkEnd w:id="79"/>
      <w:r/>
      <w:bookmarkEnd w:id="80"/>
      <w:r/>
      <w:bookmarkEnd w:id="81"/>
      <w:r/>
      <w:bookmarkEnd w:id="82"/>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71"/>
      <w:r/>
      <w:bookmarkEnd w:id="72"/>
      <w:r/>
      <w:bookmarkEnd w:id="73"/>
      <w:r/>
      <w:bookmarkEnd w:id="74"/>
      <w:r/>
      <w:bookmarkEnd w:id="75"/>
      <w:r/>
      <w:bookmarkStart w:id="83" w:name="_Hlt26954852"/>
      <w:r/>
      <w:bookmarkEnd w:id="83"/>
      <w:r/>
      <w:bookmarkStart w:id="84" w:name="_Hlt26954739"/>
      <w:r/>
      <w:bookmarkEnd w:id="84"/>
      <w:r/>
      <w:bookmarkStart w:id="85" w:name="_Toc462564073"/>
      <w:r/>
      <w:bookmarkStart w:id="86" w:name="_Toc513029214"/>
      <w:r/>
      <w:bookmarkStart w:id="87" w:name="_Toc20823286"/>
      <w:r/>
      <w:bookmarkStart w:id="88" w:name="_Toc16938530"/>
      <w:r/>
      <w:bookmarkStart w:id="89" w:name="_Toc120614217"/>
      <w:r/>
      <w:bookmarkStart w:id="90" w:name="_Toc16938540"/>
      <w:r/>
      <w:bookmarkStart w:id="91" w:name="_Toc513029224"/>
      <w:r/>
      <w:bookmarkStart w:id="92" w:name="_Toc20823296"/>
      <w:r>
        <w:rPr>
          <w:rFonts w:hint="eastAsia" w:ascii="方正黑体_GBK" w:hAnsi="方正黑体_GBK" w:eastAsia="方正黑体_GBK" w:cs="方正黑体_GBK"/>
          <w:sz w:val="28"/>
          <w:szCs w:val="28"/>
        </w:rPr>
        <w:t xml:space="preserve">三、响应文件的编制</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85"/>
      <w:r/>
      <w:bookmarkEnd w:id="86"/>
      <w:r/>
      <w:bookmarkEnd w:id="87"/>
      <w:r/>
      <w:bookmarkEnd w:id="88"/>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3" w:name="_Toc16938531"/>
      <w:r/>
      <w:bookmarkStart w:id="94" w:name="_Toc462564074"/>
      <w:r/>
      <w:bookmarkStart w:id="95" w:name="_Toc513029215"/>
      <w:r/>
      <w:bookmarkStart w:id="96" w:name="_Toc20823287"/>
      <w:r>
        <w:rPr>
          <w:rFonts w:hint="eastAsia" w:ascii="方正仿宋_GBK" w:hAnsi="方正仿宋_GBK" w:eastAsia="方正仿宋_GBK" w:cs="方正仿宋_GBK"/>
          <w:bCs/>
          <w:sz w:val="28"/>
          <w:szCs w:val="28"/>
        </w:rPr>
        <w:t xml:space="preserve">9.响应文件构成</w:t>
      </w:r>
      <w:bookmarkEnd w:id="93"/>
      <w:r/>
      <w:bookmarkEnd w:id="94"/>
      <w:r/>
      <w:bookmarkEnd w:id="95"/>
      <w:r/>
      <w:bookmarkEnd w:id="96"/>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97" w:name="_Toc49090509"/>
      <w:r/>
      <w:bookmarkStart w:id="98" w:name="_Toc14577357"/>
      <w:r/>
      <w:bookmarkStart w:id="99" w:name="_Toc49090507"/>
      <w:r/>
      <w:bookmarkStart w:id="100" w:name="_Toc513029216"/>
      <w:r/>
      <w:bookmarkStart w:id="101" w:name="_Toc14577354"/>
      <w:r/>
      <w:bookmarkStart w:id="102" w:name="_Toc49090508"/>
      <w:r/>
      <w:bookmarkStart w:id="103" w:name="_Toc14577355"/>
      <w:r/>
      <w:bookmarkStart w:id="104" w:name="_Hlt26668975"/>
      <w:r/>
      <w:bookmarkEnd w:id="104"/>
      <w:r/>
      <w:bookmarkStart w:id="105" w:name="_Hlt26670360"/>
      <w:r/>
      <w:bookmarkEnd w:id="105"/>
      <w:r/>
      <w:bookmarkStart w:id="106" w:name="_Hlt26954838"/>
      <w:r/>
      <w:bookmarkEnd w:id="106"/>
      <w:r/>
      <w:bookmarkStart w:id="107" w:name="_Toc513029219"/>
      <w:r>
        <w:rPr>
          <w:rFonts w:hint="eastAsia" w:ascii="方正仿宋_GBK" w:hAnsi="方正仿宋_GBK" w:eastAsia="方正仿宋_GBK" w:cs="方正仿宋_GBK"/>
          <w:bCs/>
          <w:sz w:val="28"/>
          <w:szCs w:val="28"/>
        </w:rPr>
        <w:t xml:space="preserve">10.证明磋商响应标的符合磋商文件规定的文件</w:t>
      </w:r>
      <w:bookmarkEnd w:id="97"/>
      <w:r/>
      <w:bookmarkEnd w:id="98"/>
      <w:r/>
      <w:bookmarkEnd w:id="107"/>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99"/>
      <w:r/>
      <w:bookmarkEnd w:id="100"/>
      <w:r/>
      <w:bookmarkEnd w:id="101"/>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02"/>
      <w:r/>
      <w:bookmarkEnd w:id="103"/>
      <w:r>
        <w:rPr>
          <w:rFonts w:hint="eastAsia" w:ascii="方正仿宋_GBK" w:hAnsi="方正仿宋_GBK" w:eastAsia="方正仿宋_GBK" w:cs="方正仿宋_GBK"/>
          <w:bCs/>
          <w:sz w:val="28"/>
          <w:szCs w:val="28"/>
        </w:rPr>
        <w:t xml:space="preserve">11.分项报价表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8" w:name="_Hlt26954731"/>
      <w:r/>
      <w:bookmarkEnd w:id="108"/>
      <w:r/>
      <w:bookmarkStart w:id="109" w:name="_Hlt26954848"/>
      <w:r/>
      <w:bookmarkEnd w:id="109"/>
      <w:r/>
      <w:bookmarkStart w:id="110" w:name="_Hlt26670482"/>
      <w:r/>
      <w:bookmarkEnd w:id="110"/>
      <w:r/>
      <w:bookmarkStart w:id="111" w:name="_Hlt26954846"/>
      <w:r/>
      <w:bookmarkEnd w:id="111"/>
      <w:r/>
      <w:bookmarkStart w:id="112" w:name="_Hlt26670486"/>
      <w:r/>
      <w:bookmarkEnd w:id="112"/>
      <w:r>
        <w:rPr>
          <w:rFonts w:hint="eastAsia" w:ascii="方正仿宋_GBK" w:hAnsi="方正仿宋_GBK" w:eastAsia="方正仿宋_GBK" w:cs="方正仿宋_GBK"/>
          <w:bCs/>
          <w:sz w:val="28"/>
          <w:szCs w:val="28"/>
        </w:rPr>
        <w:t xml:space="preserve">12.技术要求响应及偏离表、商务要求响应及偏离表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3" w:name="_Toc14577359"/>
      <w:r/>
      <w:bookmarkStart w:id="114" w:name="_Toc49090510"/>
      <w:r>
        <w:rPr>
          <w:rFonts w:hint="eastAsia" w:ascii="方正仿宋_GBK" w:hAnsi="方正仿宋_GBK" w:eastAsia="方正仿宋_GBK" w:cs="方正仿宋_GBK"/>
          <w:bCs/>
          <w:sz w:val="28"/>
          <w:szCs w:val="28"/>
        </w:rPr>
        <w:t xml:space="preserve">14.磋商响应函</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13"/>
      <w:r/>
      <w:bookmarkEnd w:id="114"/>
      <w:r/>
      <w:bookmarkStart w:id="115" w:name="_Toc49090511"/>
      <w:r/>
      <w:bookmarkStart w:id="116" w:name="_Toc14577360"/>
      <w:r>
        <w:rPr>
          <w:rFonts w:hint="eastAsia" w:ascii="方正仿宋_GBK" w:hAnsi="方正仿宋_GBK" w:eastAsia="方正仿宋_GBK" w:cs="方正仿宋_GBK"/>
          <w:bCs/>
          <w:sz w:val="28"/>
          <w:szCs w:val="28"/>
        </w:rPr>
        <w:t xml:space="preserve">15.磋商有效期</w:t>
      </w:r>
      <w:bookmarkEnd w:id="115"/>
      <w:r/>
      <w:bookmarkEnd w:id="116"/>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89"/>
      <w:r/>
      <w:bookmarkEnd w:id="90"/>
      <w:r/>
      <w:bookmarkEnd w:id="91"/>
      <w:r/>
      <w:bookmarkEnd w:id="92"/>
      <w:r/>
      <w:bookmarkStart w:id="117" w:name="_Toc513029229"/>
      <w:r/>
      <w:bookmarkStart w:id="118" w:name="_Toc20823301"/>
      <w:r/>
      <w:bookmarkStart w:id="119" w:name="_Toc16938545"/>
      <w:r/>
      <w:bookmarkStart w:id="120" w:name="_Toc120614218"/>
      <w:r>
        <w:rPr>
          <w:rFonts w:hint="eastAsia" w:ascii="方正黑体_GBK" w:hAnsi="方正黑体_GBK" w:eastAsia="方正黑体_GBK" w:cs="方正黑体_GBK"/>
          <w:sz w:val="28"/>
          <w:szCs w:val="28"/>
        </w:rPr>
        <w:t xml:space="preserve">四、响应文件的递交</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1" w:name="_Toc20823297"/>
      <w:r/>
      <w:bookmarkStart w:id="122" w:name="_Toc16938541"/>
      <w:r/>
      <w:bookmarkStart w:id="123" w:name="_Toc513029225"/>
      <w:r/>
      <w:bookmarkStart w:id="124" w:name="_Toc462564084"/>
      <w:r>
        <w:rPr>
          <w:rFonts w:hint="eastAsia" w:ascii="方正仿宋_GBK" w:hAnsi="方正仿宋_GBK" w:eastAsia="方正仿宋_GBK" w:cs="方正仿宋_GBK"/>
          <w:bCs/>
          <w:sz w:val="28"/>
          <w:szCs w:val="28"/>
        </w:rPr>
        <w:t xml:space="preserve">17.电子磋商</w:t>
      </w:r>
      <w:bookmarkEnd w:id="121"/>
      <w:r/>
      <w:bookmarkEnd w:id="122"/>
      <w:r/>
      <w:bookmarkEnd w:id="123"/>
      <w:r/>
      <w:bookmarkEnd w:id="124"/>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5" w:name="_Toc513029226"/>
      <w:r/>
      <w:bookmarkStart w:id="126" w:name="_Toc20823298"/>
      <w:r/>
      <w:bookmarkStart w:id="127" w:name="_Toc16938542"/>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25"/>
      <w:r/>
      <w:bookmarkEnd w:id="126"/>
      <w:r/>
      <w:bookmarkEnd w:id="127"/>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供应商应充分考虑到网络环境、网络带宽等风险因素，如因供应商自身原因造成的电子响应文件上传不成功的按照本磋商文件第二章第25.3.2条规定作无效响应处理。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8" w:name="_Toc513029227"/>
      <w:r/>
      <w:bookmarkStart w:id="129" w:name="_Toc16938543"/>
      <w:r/>
      <w:bookmarkStart w:id="130" w:name="_Toc20823299"/>
      <w:r>
        <w:rPr>
          <w:rFonts w:hint="eastAsia" w:ascii="方正仿宋_GBK" w:hAnsi="方正仿宋_GBK" w:eastAsia="方正仿宋_GBK" w:cs="方正仿宋_GBK"/>
          <w:bCs/>
          <w:sz w:val="28"/>
          <w:szCs w:val="28"/>
        </w:rPr>
        <w:t xml:space="preserve">19.响应文件</w:t>
      </w:r>
      <w:bookmarkEnd w:id="128"/>
      <w:r/>
      <w:bookmarkEnd w:id="129"/>
      <w:r/>
      <w:bookmarkEnd w:id="130"/>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1" w:name="_Toc513029228"/>
      <w:r/>
      <w:bookmarkStart w:id="132" w:name="_Toc16938544"/>
      <w:r/>
      <w:bookmarkStart w:id="133" w:name="_Toc20823300"/>
      <w:r>
        <w:rPr>
          <w:rFonts w:hint="eastAsia" w:ascii="方正仿宋_GBK" w:hAnsi="方正仿宋_GBK" w:eastAsia="方正仿宋_GBK" w:cs="方正仿宋_GBK"/>
          <w:bCs/>
          <w:sz w:val="28"/>
          <w:szCs w:val="28"/>
        </w:rPr>
        <w:t xml:space="preserve">20.响应文件的撤回和修改</w:t>
      </w:r>
      <w:bookmarkEnd w:id="131"/>
      <w:r/>
      <w:bookmarkEnd w:id="132"/>
      <w:r/>
      <w:bookmarkEnd w:id="133"/>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rPr>
          <w:rFonts w:hint="eastAsia" w:ascii="方正黑体_GBK" w:hAnsi="方正黑体_GBK" w:eastAsia="方正黑体_GBK" w:cs="方正黑体_GBK"/>
          <w:sz w:val="28"/>
          <w:szCs w:val="28"/>
        </w:rPr>
        <w:t xml:space="preserve">五、响应文件的解密与评审</w:t>
      </w:r>
      <w:bookmarkEnd w:id="117"/>
      <w:r/>
      <w:bookmarkEnd w:id="118"/>
      <w:r/>
      <w:bookmarkEnd w:id="119"/>
      <w:r/>
      <w:bookmarkEnd w:id="120"/>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4" w:name="_Toc16938546"/>
      <w:r/>
      <w:bookmarkStart w:id="135" w:name="_Toc513029230"/>
      <w:r/>
      <w:bookmarkStart w:id="136" w:name="_Toc20823302"/>
      <w:r/>
      <w:bookmarkStart w:id="137" w:name="_Toc513029232"/>
      <w:r/>
      <w:bookmarkStart w:id="138" w:name="_Toc20823304"/>
      <w:r/>
      <w:bookmarkStart w:id="139" w:name="_Toc16938548"/>
      <w:r>
        <w:rPr>
          <w:rFonts w:hint="eastAsia" w:ascii="方正仿宋_GBK" w:hAnsi="方正仿宋_GBK" w:eastAsia="方正仿宋_GBK" w:cs="方正仿宋_GBK"/>
          <w:bCs/>
          <w:sz w:val="28"/>
          <w:szCs w:val="28"/>
        </w:rPr>
        <w:t xml:space="preserve">21</w:t>
      </w:r>
      <w:bookmarkEnd w:id="134"/>
      <w:r/>
      <w:bookmarkEnd w:id="135"/>
      <w:r/>
      <w:bookmarkEnd w:id="136"/>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0" w:name="_Toc16938547"/>
      <w:r/>
      <w:bookmarkStart w:id="141" w:name="_Toc20823303"/>
      <w:r/>
      <w:bookmarkStart w:id="142" w:name="_Toc513029231"/>
      <w:r>
        <w:rPr>
          <w:rFonts w:hint="eastAsia" w:ascii="方正仿宋_GBK" w:hAnsi="方正仿宋_GBK" w:eastAsia="方正仿宋_GBK" w:cs="方正仿宋_GBK"/>
          <w:bCs/>
          <w:sz w:val="28"/>
          <w:szCs w:val="28"/>
        </w:rPr>
        <w:t xml:space="preserve">22.磋商小组</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22.2磋商小组独立工作，负责评审所有响应文件并确定成交候选人。</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40"/>
      <w:r/>
      <w:bookmarkEnd w:id="141"/>
      <w:r/>
      <w:bookmarkEnd w:id="142"/>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37"/>
      <w:r/>
      <w:bookmarkEnd w:id="138"/>
      <w:r/>
      <w:bookmarkEnd w:id="139"/>
      <w:r/>
      <w:bookmarkStart w:id="143" w:name="_Toc16938549"/>
      <w:r/>
      <w:bookmarkStart w:id="144" w:name="_Toc20823305"/>
      <w:r/>
      <w:bookmarkStart w:id="145" w:name="_Toc513029233"/>
      <w:r>
        <w:rPr>
          <w:rFonts w:hint="eastAsia" w:ascii="方正仿宋_GBK" w:hAnsi="方正仿宋_GBK" w:eastAsia="方正仿宋_GBK" w:cs="方正仿宋_GBK"/>
          <w:bCs/>
          <w:sz w:val="28"/>
          <w:szCs w:val="28"/>
        </w:rPr>
        <w:t xml:space="preserve">24.评审过程中的澄清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接到磋商小组澄清、说明和更正要求的供应商如未按规定作出澄清、说明和 更正，其风险由供应商自行承担。</w:t>
      </w:r>
      <w:r>
        <w:rPr>
          <w:rFonts w:hint="eastAsia" w:ascii="方正仿宋_GBK" w:hAnsi="方正仿宋_GBK" w:eastAsia="方正仿宋_GBK" w:cs="方正仿宋_GBK"/>
          <w:bCs/>
          <w:sz w:val="28"/>
          <w:szCs w:val="28"/>
        </w:rPr>
      </w:r>
      <w:r/>
    </w:p>
    <w:p>
      <w:pPr>
        <w:pStyle w:val="67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25.对响应文件的审</w:t>
      </w:r>
      <w:bookmarkEnd w:id="143"/>
      <w:r/>
      <w:bookmarkEnd w:id="144"/>
      <w:r/>
      <w:bookmarkEnd w:id="145"/>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bookmarkStart w:id="146" w:name="_Toc513029234"/>
      <w:r/>
      <w:bookmarkStart w:id="147" w:name="_Toc20823306"/>
      <w:r/>
      <w:bookmarkStart w:id="148"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679"/>
        <w:ind w:firstLine="560"/>
        <w:keepLines/>
        <w:keepNext/>
        <w:spacing w:line="400" w:lineRule="exact"/>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6"/>
      <w:r/>
      <w:bookmarkEnd w:id="147"/>
      <w:r/>
      <w:bookmarkEnd w:id="148"/>
      <w:r>
        <w:rPr>
          <w:rFonts w:hint="eastAsia" w:ascii="方正仿宋_GBK" w:hAnsi="方正仿宋_GBK" w:eastAsia="方正仿宋_GBK" w:cs="方正仿宋_GBK"/>
          <w:sz w:val="28"/>
          <w:szCs w:val="28"/>
        </w:rPr>
        <w:t xml:space="preserve">.磋商程序及评审方法与评审标准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Start w:id="149" w:name="_Toc120614219"/>
      <w:r/>
      <w:bookmarkStart w:id="150" w:name="_Toc513029235"/>
      <w:r/>
      <w:bookmarkStart w:id="151" w:name="_Toc20823307"/>
      <w:r/>
      <w:bookmarkStart w:id="152" w:name="_Toc16938551"/>
      <w:r>
        <w:rPr>
          <w:rFonts w:hint="eastAsia" w:ascii="方正黑体_GBK" w:hAnsi="方正黑体_GBK" w:eastAsia="方正黑体_GBK" w:cs="方正黑体_GBK"/>
          <w:sz w:val="28"/>
          <w:szCs w:val="28"/>
        </w:rPr>
        <w:t xml:space="preserve">六、</w:t>
      </w:r>
      <w:bookmarkEnd w:id="149"/>
      <w:r/>
      <w:bookmarkEnd w:id="150"/>
      <w:r/>
      <w:bookmarkEnd w:id="151"/>
      <w:r/>
      <w:bookmarkEnd w:id="152"/>
      <w:r>
        <w:rPr>
          <w:rFonts w:hint="eastAsia" w:ascii="方正黑体_GBK" w:hAnsi="方正黑体_GBK" w:eastAsia="方正黑体_GBK" w:cs="方正黑体_GBK"/>
          <w:sz w:val="28"/>
          <w:szCs w:val="28"/>
        </w:rPr>
        <w:t xml:space="preserve">成交</w:t>
      </w:r>
      <w:r>
        <w:rPr>
          <w:rFonts w:hint="eastAsia" w:ascii="方正黑体_GBK" w:hAnsi="方正黑体_GBK" w:eastAsia="方正黑体_GBK" w:cs="方正黑体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bookmarkStart w:id="153" w:name="_Toc513029238"/>
      <w:r/>
      <w:bookmarkStart w:id="154" w:name="_Toc16938554"/>
      <w:r/>
      <w:bookmarkStart w:id="155" w:name="_Toc20823310"/>
      <w:r>
        <w:rPr>
          <w:rFonts w:hint="eastAsia" w:ascii="方正仿宋_GBK" w:hAnsi="方正仿宋_GBK" w:eastAsia="方正仿宋_GBK" w:cs="方正仿宋_GBK"/>
          <w:sz w:val="28"/>
          <w:szCs w:val="28"/>
        </w:rPr>
        <w:t xml:space="preserve">27</w:t>
      </w:r>
      <w:bookmarkEnd w:id="153"/>
      <w:r>
        <w:rPr>
          <w:rFonts w:hint="eastAsia" w:ascii="方正仿宋_GBK" w:hAnsi="方正仿宋_GBK" w:eastAsia="方正仿宋_GBK" w:cs="方正仿宋_GBK"/>
          <w:sz w:val="28"/>
          <w:szCs w:val="28"/>
        </w:rPr>
        <w:t xml:space="preserve">.确定</w:t>
      </w:r>
      <w:bookmarkEnd w:id="154"/>
      <w:r/>
      <w:bookmarkEnd w:id="155"/>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679"/>
        <w:ind w:firstLine="560"/>
        <w:spacing w:after="156" w:line="400" w:lineRule="exact"/>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679"/>
        <w:ind w:firstLine="560"/>
        <w:keepLines/>
        <w:keepNext/>
        <w:spacing w:line="400" w:lineRule="exact"/>
        <w:rPr>
          <w:rFonts w:hint="eastAsia" w:ascii="方正仿宋_GBK" w:hAnsi="方正仿宋_GBK" w:eastAsia="方正仿宋_GBK" w:cs="方正仿宋_GBK"/>
          <w:bCs/>
          <w:sz w:val="28"/>
          <w:szCs w:val="28"/>
        </w:rPr>
        <w:outlineLvl w:val="3"/>
      </w:pPr>
      <w:r/>
      <w:bookmarkStart w:id="156" w:name="_Toc200451960"/>
      <w:r>
        <w:rPr>
          <w:rFonts w:hint="eastAsia" w:ascii="方正仿宋_GBK" w:hAnsi="方正仿宋_GBK" w:eastAsia="方正仿宋_GBK" w:cs="方正仿宋_GBK"/>
          <w:bCs/>
          <w:sz w:val="28"/>
          <w:szCs w:val="28"/>
        </w:rPr>
        <w:t xml:space="preserve">28.质疑处理</w:t>
      </w:r>
      <w:bookmarkEnd w:id="156"/>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7" w:name="_Toc513029236"/>
      <w:r/>
      <w:bookmarkStart w:id="158" w:name="_Toc16938552"/>
      <w:r/>
      <w:bookmarkStart w:id="159" w:name="_Toc120614220"/>
      <w:r/>
      <w:bookmarkStart w:id="160" w:name="_Toc20823308"/>
      <w:r>
        <w:rPr>
          <w:rFonts w:hint="eastAsia" w:ascii="方正仿宋_GBK" w:hAnsi="方正仿宋_GBK" w:eastAsia="方正仿宋_GBK" w:cs="方正仿宋_GBK"/>
          <w:bCs/>
          <w:sz w:val="28"/>
          <w:szCs w:val="28"/>
        </w:rPr>
        <w:t xml:space="preserve">29.成交通知书</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679"/>
        <w:ind w:firstLine="560"/>
        <w:jc w:val="left"/>
        <w:keepLines/>
        <w:keepNext/>
        <w:spacing w:before="260" w:after="260" w:line="400" w:lineRule="exact"/>
        <w:rPr>
          <w:rFonts w:hint="eastAsia" w:ascii="方正黑体_GBK" w:hAnsi="方正黑体_GBK" w:eastAsia="方正黑体_GBK" w:cs="方正黑体_GBK"/>
          <w:sz w:val="28"/>
          <w:szCs w:val="28"/>
        </w:rPr>
        <w:outlineLvl w:val="1"/>
      </w:pPr>
      <w:r/>
      <w:bookmarkEnd w:id="157"/>
      <w:r/>
      <w:bookmarkEnd w:id="158"/>
      <w:r/>
      <w:bookmarkEnd w:id="159"/>
      <w:r/>
      <w:bookmarkEnd w:id="160"/>
      <w:r/>
      <w:bookmarkStart w:id="161" w:name="_Toc513029242"/>
      <w:r/>
      <w:bookmarkStart w:id="162" w:name="_Toc20823314"/>
      <w:r/>
      <w:bookmarkStart w:id="163" w:name="_Toc479757207"/>
      <w:r/>
      <w:bookmarkStart w:id="164" w:name="_Toc16938558"/>
      <w:r/>
      <w:bookmarkStart w:id="165" w:name="_Toc120614221"/>
      <w:r>
        <w:rPr>
          <w:rFonts w:hint="eastAsia" w:ascii="方正黑体_GBK" w:hAnsi="方正黑体_GBK" w:eastAsia="方正黑体_GBK" w:cs="方正黑体_GBK"/>
          <w:sz w:val="28"/>
          <w:szCs w:val="28"/>
        </w:rPr>
        <w:t xml:space="preserve">七、授予合同</w:t>
      </w:r>
      <w:r>
        <w:rPr>
          <w:rFonts w:hint="eastAsia" w:ascii="方正黑体_GBK" w:hAnsi="方正黑体_GBK" w:eastAsia="方正黑体_GBK" w:cs="方正黑体_GBK"/>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6" w:name="_Toc513029237"/>
      <w:r/>
      <w:bookmarkStart w:id="167" w:name="_Toc16938553"/>
      <w:r/>
      <w:bookmarkStart w:id="168" w:name="_Toc20823309"/>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bookmarkEnd w:id="166"/>
      <w:r/>
      <w:bookmarkEnd w:id="167"/>
      <w:r/>
      <w:bookmarkEnd w:id="168"/>
      <w:r>
        <w:rPr>
          <w:rFonts w:hint="eastAsia" w:ascii="方正仿宋_GBK" w:hAnsi="方正仿宋_GBK" w:eastAsia="方正仿宋_GBK" w:cs="方正仿宋_GBK"/>
          <w:bCs/>
          <w:sz w:val="28"/>
          <w:szCs w:val="28"/>
        </w:rPr>
        <w:t xml:space="preserve">32.政府采购履约资金扶持政策</w:t>
      </w:r>
      <w:r>
        <w:rPr>
          <w:rFonts w:hint="eastAsia" w:ascii="方正仿宋_GBK" w:hAnsi="方正仿宋_GBK" w:eastAsia="方正仿宋_GBK" w:cs="方正仿宋_GBK"/>
          <w:bCs/>
          <w:sz w:val="28"/>
          <w:szCs w:val="28"/>
        </w:rPr>
      </w:r>
      <w:r/>
    </w:p>
    <w:p>
      <w:pPr>
        <w:pStyle w:val="67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rPr>
          <w:rFonts w:hint="eastAsia"/>
        </w:rPr>
      </w:pPr>
      <w:r>
        <w:rPr>
          <w:rFonts w:hint="eastAsia"/>
        </w:rPr>
      </w:r>
      <w:r/>
    </w:p>
    <w:p>
      <w:pPr>
        <w:pStyle w:val="679"/>
        <w:ind w:firstLine="2240"/>
        <w:keepNext/>
        <w:spacing w:line="400" w:lineRule="exact"/>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679"/>
        <w:ind w:firstLine="2880"/>
        <w:keepNext/>
        <w:spacing w:line="400" w:lineRule="exact"/>
        <w:rPr>
          <w:rFonts w:hint="eastAsia" w:ascii="方正黑体_GBK" w:hAnsi="方正黑体_GBK" w:eastAsia="方正黑体_GBK" w:cs="方正黑体_GBK"/>
          <w:bCs/>
          <w:color w:val="000000"/>
          <w:sz w:val="36"/>
          <w:szCs w:val="36"/>
        </w:rPr>
        <w:outlineLvl w:val="0"/>
      </w:pPr>
      <w:r>
        <w:rPr>
          <w:rFonts w:hint="eastAsia" w:ascii="方正黑体_GBK" w:hAnsi="方正黑体_GBK" w:eastAsia="方正黑体_GBK" w:cs="方正黑体_GBK"/>
          <w:bCs/>
          <w:color w:val="000000"/>
          <w:sz w:val="36"/>
          <w:szCs w:val="36"/>
        </w:rPr>
        <w:t xml:space="preserve">第三章  合同</w:t>
      </w:r>
      <w:bookmarkEnd w:id="161"/>
      <w:r/>
      <w:bookmarkEnd w:id="162"/>
      <w:r/>
      <w:bookmarkEnd w:id="163"/>
      <w:r/>
      <w:bookmarkEnd w:id="164"/>
      <w:r/>
      <w:bookmarkEnd w:id="165"/>
      <w:r>
        <w:rPr>
          <w:rFonts w:hint="eastAsia" w:ascii="方正黑体_GBK" w:hAnsi="方正黑体_GBK" w:eastAsia="方正黑体_GBK" w:cs="方正黑体_GBK"/>
          <w:bCs/>
          <w:color w:val="000000"/>
          <w:sz w:val="36"/>
          <w:szCs w:val="36"/>
        </w:rPr>
        <w:t xml:space="preserve">文本</w:t>
      </w:r>
      <w:r>
        <w:rPr>
          <w:rFonts w:hint="eastAsia" w:ascii="方正黑体_GBK" w:hAnsi="方正黑体_GBK" w:eastAsia="方正黑体_GBK" w:cs="方正黑体_GBK"/>
          <w:bCs/>
          <w:color w:val="000000"/>
          <w:sz w:val="36"/>
          <w:szCs w:val="36"/>
        </w:rPr>
      </w:r>
      <w:r/>
    </w:p>
    <w:p>
      <w:pPr>
        <w:pStyle w:val="679"/>
        <w:spacing w:line="400" w:lineRule="exact"/>
        <w:rPr>
          <w:rFonts w:ascii="宋体" w:hAnsi="宋体"/>
          <w:bCs/>
          <w:color w:val="000000"/>
          <w:sz w:val="28"/>
          <w:szCs w:val="28"/>
          <w:highlight w:val="yellow"/>
        </w:rPr>
      </w:pPr>
      <w:r/>
      <w:bookmarkStart w:id="169" w:name="_Toc513029243"/>
      <w:r/>
      <w:bookmarkStart w:id="170" w:name="_Toc20823315"/>
      <w:r/>
      <w:bookmarkStart w:id="171" w:name="_Toc16938559"/>
      <w:r>
        <w:rPr>
          <w:rFonts w:ascii="宋体" w:hAnsi="宋体"/>
          <w:bCs/>
          <w:color w:val="000000"/>
          <w:sz w:val="28"/>
          <w:szCs w:val="28"/>
          <w:highlight w:val="yellow"/>
        </w:rPr>
      </w:r>
      <w:r/>
    </w:p>
    <w:p>
      <w:pPr>
        <w:pStyle w:val="679"/>
        <w:jc w:val="center"/>
        <w:spacing w:before="156" w:after="156"/>
        <w:rPr>
          <w:rFonts w:hint="eastAsia" w:ascii="宋体" w:hAnsi="宋体"/>
          <w:b/>
          <w:sz w:val="30"/>
          <w:szCs w:val="21"/>
        </w:rPr>
        <w:outlineLvl w:val="0"/>
      </w:pPr>
      <w:r>
        <w:rPr>
          <w:rFonts w:hint="eastAsia" w:ascii="宋体" w:hAnsi="宋体"/>
          <w:b/>
          <w:sz w:val="30"/>
          <w:szCs w:val="21"/>
        </w:rPr>
      </w:r>
      <w:r/>
    </w:p>
    <w:p>
      <w:pPr>
        <w:pStyle w:val="711"/>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江苏省生态环境非现场监管能力综合提升服务项目</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JSZC-320000-SCZX-C20XX-XXXX  </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rPr>
          <w:rFonts w:hint="eastAsia" w:ascii="方正仿宋_GBK" w:hAnsi="方正仿宋_GBK" w:eastAsia="方正仿宋_GBK" w:cs="方正仿宋_GBK"/>
          <w:b/>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bCs/>
          <w:sz w:val="28"/>
          <w:szCs w:val="28"/>
          <w:highlight w:val="yellow"/>
        </w:rPr>
      </w:pPr>
      <w:r>
        <w:rPr>
          <w:rFonts w:hint="eastAsia" w:ascii="方正仿宋_GBK" w:hAnsi="方正仿宋_GBK" w:eastAsia="方正仿宋_GBK" w:cs="方正仿宋_GBK"/>
          <w:bCs/>
          <w:sz w:val="28"/>
          <w:szCs w:val="28"/>
          <w:highlight w:val="yellow"/>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679"/>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eastAsia="方正仿宋_GBK"/>
          <w:sz w:val="28"/>
          <w:szCs w:val="28"/>
        </w:rPr>
        <w:t xml:space="preserve">XXXX</w:t>
      </w:r>
      <w:r>
        <w:rPr>
          <w:rFonts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eastAsia="方正仿宋_GBK"/>
          <w:sz w:val="28"/>
          <w:szCs w:val="28"/>
        </w:rPr>
        <w:t xml:space="preserve">XXXX</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67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71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679"/>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679"/>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679"/>
        <w:ind w:firstLine="560"/>
        <w:jc w:val="right"/>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679"/>
        <w:ind w:firstLine="480"/>
        <w:jc w:val="right"/>
        <w:spacing w:line="500" w:lineRule="exact"/>
        <w:rPr>
          <w:sz w:val="24"/>
          <w:szCs w:val="24"/>
        </w:rPr>
      </w:pPr>
      <w:r>
        <w:rPr>
          <w:sz w:val="24"/>
          <w:szCs w:val="24"/>
        </w:rPr>
      </w:r>
      <w:r/>
    </w:p>
    <w:p>
      <w:pPr>
        <w:pStyle w:val="679"/>
        <w:ind w:firstLine="480"/>
        <w:jc w:val="right"/>
        <w:spacing w:line="500" w:lineRule="exact"/>
        <w:rPr>
          <w:sz w:val="24"/>
          <w:szCs w:val="24"/>
        </w:rPr>
      </w:pPr>
      <w:r>
        <w:rPr>
          <w:sz w:val="24"/>
          <w:szCs w:val="24"/>
        </w:rPr>
      </w:r>
      <w:r/>
    </w:p>
    <w:p>
      <w:pPr>
        <w:pStyle w:val="681"/>
        <w:spacing w:line="400" w:lineRule="exact"/>
        <w:rPr>
          <w:rFonts w:ascii="宋体" w:hAnsi="Courier New" w:cs="Courier New"/>
          <w:sz w:val="36"/>
          <w:szCs w:val="36"/>
        </w:rPr>
      </w:pPr>
      <w:r/>
      <w:bookmarkEnd w:id="169"/>
      <w:r/>
      <w:bookmarkEnd w:id="170"/>
      <w:r/>
      <w:bookmarkEnd w:id="171"/>
      <w:r/>
      <w:bookmarkStart w:id="172" w:name="_Hlt16619369"/>
      <w:r/>
      <w:bookmarkEnd w:id="172"/>
      <w:r/>
      <w:bookmarkStart w:id="173" w:name="_Toc49090575"/>
      <w:r/>
      <w:bookmarkStart w:id="174" w:name="_Toc26554093"/>
      <w:r/>
      <w:bookmarkStart w:id="175" w:name="_Toc462564139"/>
      <w:r/>
      <w:bookmarkStart w:id="176" w:name="_Toc479757211"/>
      <w:r>
        <w:rPr>
          <w:rFonts w:hint="eastAsia" w:ascii="方正黑体_GBK" w:hAnsi="方正黑体_GBK" w:eastAsia="方正黑体_GBK" w:cs="方正黑体_GBK"/>
          <w:b w:val="0"/>
          <w:bCs w:val="0"/>
          <w:sz w:val="36"/>
          <w:szCs w:val="36"/>
        </w:rPr>
        <w:t xml:space="preserve">第四章 采购需求</w:t>
      </w:r>
      <w:r>
        <w:rPr>
          <w:rFonts w:ascii="宋体" w:hAnsi="Courier New" w:cs="Courier New"/>
          <w:sz w:val="36"/>
          <w:szCs w:val="36"/>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一、采购标的清单</w:t>
      </w:r>
      <w:r>
        <w:rPr>
          <w:rFonts w:hint="eastAsia" w:ascii="方正黑体_GBK" w:hAnsi="方正黑体_GBK" w:eastAsia="方正黑体_GBK" w:cs="方正黑体_GBK"/>
          <w:b w:val="0"/>
          <w:bCs w:val="0"/>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3370"/>
        <w:gridCol w:w="2422"/>
      </w:tblGrid>
      <w:tr>
        <w:trPr>
          <w:cantSplit/>
        </w:trPr>
        <w:tc>
          <w:tcPr>
            <w:tcW w:w="113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7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22"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13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7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江苏省生态环境非现场监管能力综合提升服务项目</w:t>
            </w:r>
            <w:r>
              <w:rPr>
                <w:rFonts w:hint="eastAsia" w:ascii="方正仿宋_GBK" w:hAnsi="方正仿宋_GBK" w:eastAsia="方正仿宋_GBK" w:cs="方正仿宋_GBK"/>
                <w:sz w:val="28"/>
                <w:szCs w:val="28"/>
              </w:rPr>
            </w:r>
            <w:r/>
          </w:p>
        </w:tc>
        <w:tc>
          <w:tcPr>
            <w:tcW w:w="2422"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宋体" w:hAnsi="宋体"/>
          <w:sz w:val="28"/>
          <w:szCs w:val="28"/>
          <w:highlight w:val="yellow"/>
        </w:rPr>
      </w:pPr>
      <w:r>
        <w:rPr>
          <w:rFonts w:hint="eastAsia" w:ascii="宋体" w:hAnsi="宋体"/>
          <w:sz w:val="28"/>
          <w:szCs w:val="28"/>
          <w:highlight w:val="yellow"/>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二、政府采购中实施本国产品标准及相关政策</w:t>
      </w:r>
      <w:r>
        <w:rPr>
          <w:rFonts w:hint="eastAsia" w:ascii="方正黑体_GBK" w:hAnsi="方正黑体_GBK" w:eastAsia="方正黑体_GBK" w:cs="方正黑体_GBK"/>
          <w:b w:val="0"/>
          <w:bCs w:val="0"/>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rPr>
      </w:r>
      <w:r/>
    </w:p>
    <w:p>
      <w:pPr>
        <w:pStyle w:val="67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三、技术要求</w:t>
      </w:r>
      <w:r>
        <w:rPr>
          <w:rFonts w:hint="eastAsia" w:ascii="方正黑体_GBK" w:hAnsi="方正黑体_GBK" w:eastAsia="方正黑体_GBK" w:cs="方正黑体_GBK"/>
          <w:b w:val="0"/>
          <w:bCs w:val="0"/>
          <w:sz w:val="28"/>
          <w:szCs w:val="28"/>
        </w:rPr>
      </w:r>
      <w:r/>
    </w:p>
    <w:p>
      <w:pPr>
        <w:pStyle w:val="679"/>
        <w:ind w:firstLine="562"/>
        <w:spacing w:line="400" w:lineRule="exact"/>
        <w:rPr>
          <w:rFonts w:hint="eastAsia" w:eastAsia="方正仿宋_GBK"/>
          <w:b/>
          <w:sz w:val="28"/>
          <w:szCs w:val="28"/>
        </w:rPr>
      </w:pPr>
      <w:r>
        <w:rPr>
          <w:rFonts w:hint="eastAsia" w:eastAsia="方正仿宋_GBK"/>
          <w:b/>
          <w:sz w:val="28"/>
          <w:szCs w:val="28"/>
        </w:rPr>
        <w:t xml:space="preserve">（一）项目背景</w:t>
      </w:r>
      <w:r>
        <w:rPr>
          <w:rFonts w:hint="eastAsia" w:eastAsia="方正仿宋_GBK"/>
          <w:b/>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为落实生态环境部《关于优化生态环境保护执法方式提高执法效能的指导意见》（环执法〔2021〕1号）关于拓展非现场监管手段的要求，按照《省生态环境厅关于加快推进非现场监管的工作方案》（苏环发〔2022〕1号）明确的“1+5+N”工作体系部署，以及《生态环境监测条例》（国务院令第820号）关于提升生态环境监测自动化、数字化、智能化水平的规定，结合太湖安全度夏、重污染天气应急管控、化工园区复核认定等专项工作对多源数据融合分析和异常线索挖掘的实际需求，开展本项目采购。</w:t>
      </w:r>
      <w:r>
        <w:rPr>
          <w:rFonts w:hint="eastAsia" w:eastAsia="方正仿宋_GBK"/>
          <w:bCs/>
          <w:sz w:val="28"/>
          <w:szCs w:val="28"/>
        </w:rPr>
      </w:r>
      <w:r/>
    </w:p>
    <w:p>
      <w:pPr>
        <w:pStyle w:val="679"/>
        <w:ind w:firstLine="562"/>
        <w:spacing w:line="400" w:lineRule="exact"/>
        <w:rPr>
          <w:rFonts w:hint="eastAsia" w:eastAsia="方正仿宋_GBK"/>
          <w:b/>
          <w:sz w:val="28"/>
          <w:szCs w:val="28"/>
        </w:rPr>
      </w:pPr>
      <w:r>
        <w:rPr>
          <w:rFonts w:hint="eastAsia" w:eastAsia="方正仿宋_GBK"/>
          <w:b/>
          <w:sz w:val="28"/>
          <w:szCs w:val="28"/>
        </w:rPr>
        <w:t xml:space="preserve">（二）项目目标</w:t>
      </w:r>
      <w:r>
        <w:rPr>
          <w:rFonts w:hint="eastAsia" w:eastAsia="方正仿宋_GBK"/>
          <w:b/>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通过专业化服务，在数据归集处理、综合分析、问题诊断及成果集成等方面强化日常支撑与重点领域攻坚，开发太湖流域污染排放趋势分析功能模块，将太湖流域污染源和产排污信息等各类数据进行全面融合，支撑对污染排放时空演变规律的深度挖掘与趋势分析，基于此开展太湖安全度夏专项研判；此外，围绕重污染天气应急管控、化工园区复核认定、边缘数据规范化采集与成果集成等任务，提供全流程技术保障，进一步提升数据研判精准性和非现场监管赋能能力，为美丽江苏建设提供坚实支撑。</w:t>
      </w:r>
      <w:r>
        <w:rPr>
          <w:rFonts w:eastAsia="方正仿宋_GBK"/>
          <w:bCs/>
          <w:sz w:val="28"/>
          <w:szCs w:val="28"/>
        </w:rPr>
      </w:r>
      <w:r/>
    </w:p>
    <w:p>
      <w:pPr>
        <w:pStyle w:val="679"/>
        <w:ind w:firstLine="562"/>
        <w:spacing w:line="400" w:lineRule="exact"/>
        <w:rPr>
          <w:rFonts w:eastAsia="方正仿宋_GBK"/>
          <w:b/>
          <w:sz w:val="28"/>
          <w:szCs w:val="28"/>
        </w:rPr>
      </w:pPr>
      <w:r>
        <w:rPr>
          <w:rFonts w:hint="eastAsia" w:eastAsia="方正仿宋_GBK"/>
          <w:b/>
          <w:sz w:val="28"/>
          <w:szCs w:val="28"/>
        </w:rPr>
        <w:t xml:space="preserve">（三）服务内容及技术要求</w:t>
      </w:r>
      <w:r>
        <w:rPr>
          <w:rFonts w:eastAsia="方正仿宋_GBK"/>
          <w:b/>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太湖流域污染排放趋势分析功能开发</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基于智慧监管平台，通过集成污染源清单、自动监测、排污许可等多源数据，实现面向太湖流域的水污染物排放趋势分析功能，为精准治污与总量控制提供数据支撑。功能核心实现包括：</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3.1.1</w:t>
      </w:r>
      <w:r>
        <w:rPr>
          <w:rFonts w:hint="eastAsia" w:eastAsia="方正仿宋_GBK"/>
          <w:bCs/>
          <w:sz w:val="28"/>
          <w:szCs w:val="28"/>
        </w:rPr>
        <w:t xml:space="preserve">多维度筛选与参数配置</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支持按行政区、流域范围、时间区间、污染因子及对比口径进行灵活筛选。提供同比、环比及自定义基准期三种比较口径，可一键切换，实时更新分析结果。</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3.1.2</w:t>
      </w:r>
      <w:r>
        <w:rPr>
          <w:rFonts w:hint="eastAsia" w:eastAsia="方正仿宋_GBK"/>
          <w:bCs/>
          <w:sz w:val="28"/>
          <w:szCs w:val="28"/>
        </w:rPr>
        <w:t xml:space="preserve">排放强度时空演变分析</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自动计算各行政区在选定时间段内的平均浓度和排放总量，并按污染源类型（如生活污水处理厂、综合污水处理厂、工业企业直排源等）进行分组统计，分别展示各类型的平均浓度</w:t>
      </w:r>
      <w:r>
        <w:rPr>
          <w:rFonts w:hint="eastAsia" w:ascii="Times New Roman" w:hAnsi="Times New Roman" w:eastAsia="方正仿宋_GBK" w:cs="Times New Roman"/>
          <w:bCs/>
          <w:sz w:val="28"/>
          <w:szCs w:val="28"/>
        </w:rPr>
        <w:t xml:space="preserve">与总排放量</w:t>
      </w:r>
      <w:r>
        <w:rPr>
          <w:rFonts w:hint="eastAsia" w:ascii="Times New Roman" w:hAnsi="Times New Roman" w:eastAsia="方正仿宋_GBK" w:cs="Times New Roman"/>
          <w:bCs/>
          <w:sz w:val="28"/>
          <w:szCs w:val="28"/>
        </w:rPr>
        <w:t xml:space="preserve">（演示内容）</w:t>
      </w:r>
      <w:r>
        <w:rPr>
          <w:rFonts w:hint="eastAsia" w:ascii="Times New Roman" w:hAnsi="Times New Roman" w:eastAsia="方正仿宋_GBK" w:cs="Times New Roman"/>
          <w:bCs/>
          <w:sz w:val="28"/>
          <w:szCs w:val="28"/>
        </w:rPr>
        <w:t xml:space="preserve">。</w:t>
      </w:r>
      <w:r>
        <w:rPr>
          <w:rFonts w:hint="eastAsia" w:eastAsia="方正仿宋_GBK"/>
          <w:bCs/>
          <w:sz w:val="28"/>
          <w:szCs w:val="28"/>
        </w:rPr>
        <w:t xml:space="preserve">通过柱状图、折线图等可视化组件，呈现总磷、总氮等关键指标的浓度空间分布、时间变化曲线及排放总量趋势，识别高值区域和时段，量化不同污染源类别的贡献占比。</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3.1.3</w:t>
      </w:r>
      <w:r>
        <w:rPr>
          <w:rFonts w:hint="eastAsia" w:eastAsia="方正仿宋_GBK"/>
          <w:bCs/>
          <w:sz w:val="28"/>
          <w:szCs w:val="28"/>
        </w:rPr>
        <w:t xml:space="preserve">同比</w:t>
      </w:r>
      <w:r>
        <w:rPr>
          <w:rFonts w:eastAsia="方正仿宋_GBK"/>
          <w:bCs/>
          <w:sz w:val="28"/>
          <w:szCs w:val="28"/>
        </w:rPr>
        <w:t xml:space="preserve">/</w:t>
      </w:r>
      <w:r>
        <w:rPr>
          <w:rFonts w:hint="eastAsia" w:eastAsia="方正仿宋_GBK"/>
          <w:bCs/>
          <w:sz w:val="28"/>
          <w:szCs w:val="28"/>
        </w:rPr>
        <w:t xml:space="preserve">环比变化与异常识别</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针对各行政区及污染源类型，自动计算浓度和排放量的同比、环比变化率，直观反映治污措施成效和排放波动。自动标记浓度突增、排放量异常波动、数据恒值或缺失等异常情形，支持用户逐级下钻至具体排放口及监测点位，辅助发现潜在偷排、超标或治理设施异常等问题</w:t>
      </w:r>
      <w:r>
        <w:rPr>
          <w:rFonts w:hint="eastAsia" w:ascii="Times New Roman" w:hAnsi="Times New Roman" w:eastAsia="方正仿宋_GBK" w:cs="Times New Roman"/>
          <w:bCs/>
          <w:sz w:val="28"/>
          <w:szCs w:val="28"/>
        </w:rPr>
        <w:t xml:space="preserve">（演示内容）</w:t>
      </w:r>
      <w:r>
        <w:rPr>
          <w:rFonts w:hint="eastAsia" w:ascii="Times New Roman" w:hAnsi="Times New Roman" w:eastAsia="方正仿宋_GBK" w:cs="Times New Roman"/>
          <w:bCs/>
          <w:sz w:val="28"/>
          <w:szCs w:val="28"/>
        </w:rPr>
        <w:t xml:space="preserve">。</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3.1.4</w:t>
      </w:r>
      <w:r>
        <w:rPr>
          <w:rFonts w:hint="eastAsia" w:eastAsia="方正仿宋_GBK"/>
          <w:bCs/>
          <w:sz w:val="28"/>
          <w:szCs w:val="28"/>
        </w:rPr>
        <w:t xml:space="preserve">分源统计与对比分析</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按污染源类型分别统计各类型在选定时间段内的平均排放浓度及排放总量，与所在行政区总体均值进行并列对比展示；基于排污许可证行业类别，形成行业排放清单，辅助识别排放强度偏高的行业类型；支持横向对比不同污染源的浓度和排放量差异。统计结果以表格和柱状图形式呈现，支撑管理部门从污染源行业维度掌握排放结构，对比高值污染源排放情况。</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3.1.5</w:t>
      </w:r>
      <w:r>
        <w:rPr>
          <w:rFonts w:hint="eastAsia" w:eastAsia="方正仿宋_GBK"/>
          <w:bCs/>
          <w:sz w:val="28"/>
          <w:szCs w:val="28"/>
        </w:rPr>
        <w:t xml:space="preserve">统计图表与报告自动生成</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内置标准化报告模板，可根据筛选条件自动生成包含数据汇总表、趋势图、同比环比对比表、异常记录清单的综合分析报告。可通过“生成报告”按钮一键输出，满足日常会商、月报编制及专项上报需求。</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3.2 </w:t>
      </w:r>
      <w:r>
        <w:rPr>
          <w:rFonts w:hint="eastAsia" w:eastAsia="方正仿宋_GBK"/>
          <w:bCs/>
          <w:sz w:val="28"/>
          <w:szCs w:val="28"/>
        </w:rPr>
        <w:t xml:space="preserve">太湖安全度夏专项研判支撑</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基于太湖流域污染排放趋势分析功能，根据采购方需求，围绕涉磷企业、污水处理厂、不达标断面整治等太湖安全度夏专项研判重点工作，综合运用筛查超标、超量、不正常运行、未执行管控措施等典型特征，研判提出涉嫌超标排放、旁路偷排、不正常运行治污设施等违法线索，提出核查建议，协助推送至属地核查</w:t>
      </w:r>
      <w:r>
        <w:rPr>
          <w:rFonts w:hint="eastAsia" w:ascii="Times New Roman" w:hAnsi="Times New Roman" w:eastAsia="方正仿宋_GBK" w:cs="Times New Roman"/>
          <w:bCs/>
          <w:sz w:val="28"/>
          <w:szCs w:val="28"/>
        </w:rPr>
        <w:t xml:space="preserve">（演示内容）</w:t>
      </w:r>
      <w:r>
        <w:rPr>
          <w:rFonts w:hint="eastAsia" w:eastAsia="方正仿宋_GBK"/>
          <w:bCs/>
          <w:sz w:val="28"/>
          <w:szCs w:val="28"/>
        </w:rPr>
        <w:t xml:space="preserve">，支撑管控措施精准落地。项目期间，形成各类专项问题线索分析报告。</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3.3 </w:t>
      </w:r>
      <w:r>
        <w:rPr>
          <w:rFonts w:hint="eastAsia" w:eastAsia="方正仿宋_GBK"/>
          <w:bCs/>
          <w:sz w:val="28"/>
          <w:szCs w:val="28"/>
        </w:rPr>
        <w:t xml:space="preserve">其他重点领域专项分析服务</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3.3.1 </w:t>
      </w:r>
      <w:r>
        <w:rPr>
          <w:rFonts w:hint="eastAsia" w:eastAsia="方正仿宋_GBK"/>
          <w:bCs/>
          <w:sz w:val="28"/>
          <w:szCs w:val="28"/>
        </w:rPr>
        <w:t xml:space="preserve">重污染天气应急管控专项支撑</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根据采购方需求，协助开展全省污染源研判工作，为重污染天气应急管控工作提供技术支撑。针对春夏臭氧管控、秋冬</w:t>
      </w:r>
      <w:r>
        <w:rPr>
          <w:rFonts w:eastAsia="方正仿宋_GBK"/>
          <w:bCs/>
          <w:sz w:val="28"/>
          <w:szCs w:val="28"/>
        </w:rPr>
        <w:t xml:space="preserve">PM</w:t>
      </w:r>
      <w:r>
        <w:rPr>
          <w:rFonts w:eastAsia="方正仿宋_GBK"/>
          <w:bCs/>
          <w:sz w:val="28"/>
          <w:szCs w:val="28"/>
          <w:vertAlign w:val="subscript"/>
        </w:rPr>
        <w:t xml:space="preserve">2.5</w:t>
      </w:r>
      <w:r>
        <w:rPr>
          <w:rFonts w:hint="eastAsia" w:eastAsia="方正仿宋_GBK"/>
          <w:bCs/>
          <w:sz w:val="28"/>
          <w:szCs w:val="28"/>
        </w:rPr>
        <w:t xml:space="preserve">及二氧化氮管控、沙尘天管控等会商需求，开展重点单位污染物排放监测监控数据收集处理和综合分析工作，快速匹配污染源排放清单，实时向省指挥中心提供全省及各设区市、重点行业固定污染源排放浓度及排放总量情况，结合环境质量高值站点、污染物扩散等研判场</w:t>
      </w:r>
      <w:r>
        <w:rPr>
          <w:rFonts w:ascii="Times New Roman" w:hAnsi="Times New Roman" w:eastAsia="方正仿宋_GBK" w:cs="Times New Roman"/>
          <w:bCs/>
          <w:sz w:val="28"/>
          <w:szCs w:val="28"/>
        </w:rPr>
        <w:t xml:space="preserve">景</w:t>
      </w:r>
      <w:r>
        <w:rPr>
          <w:rFonts w:ascii="Times New Roman" w:hAnsi="Times New Roman" w:eastAsia="方正仿宋_GBK" w:cs="Times New Roman"/>
          <w:bCs/>
          <w:sz w:val="28"/>
          <w:szCs w:val="28"/>
        </w:rPr>
        <w:t xml:space="preserve">（演示内容）</w:t>
      </w:r>
      <w:r>
        <w:rPr>
          <w:rFonts w:ascii="Times New Roman" w:hAnsi="Times New Roman" w:eastAsia="方正仿宋_GBK" w:cs="Times New Roman"/>
          <w:bCs/>
          <w:sz w:val="28"/>
          <w:szCs w:val="28"/>
        </w:rPr>
        <w:t xml:space="preserve">，根据调度指令动态实时查询污染源在线监控浓度、总量、视频、工况等数据，查看特定企业特定时段排放变化情况</w:t>
      </w:r>
      <w:r>
        <w:rPr>
          <w:rFonts w:ascii="Times New Roman" w:hAnsi="Times New Roman" w:eastAsia="方正仿宋_GBK" w:cs="Times New Roman"/>
          <w:bCs/>
          <w:sz w:val="28"/>
          <w:szCs w:val="28"/>
        </w:rPr>
        <w:t xml:space="preserve">（演示内容）</w:t>
      </w:r>
      <w:r>
        <w:rPr>
          <w:rFonts w:ascii="Times New Roman" w:hAnsi="Times New Roman" w:eastAsia="方正仿宋_GBK" w:cs="Times New Roman"/>
          <w:bCs/>
          <w:sz w:val="28"/>
          <w:szCs w:val="28"/>
        </w:rPr>
        <w:t xml:space="preserve">，快</w:t>
      </w:r>
      <w:r>
        <w:rPr>
          <w:rFonts w:hint="eastAsia" w:eastAsia="方正仿宋_GBK"/>
          <w:bCs/>
          <w:sz w:val="28"/>
          <w:szCs w:val="28"/>
        </w:rPr>
        <w:t xml:space="preserve">速锁定排放异常企业，支撑生态环境部门判定污染成因与主要贡献源，为会商调度及管控决策提供及时、准确的技术支撑。法定节假日及周末期间根据安排提供保障支撑服务。重污染天气应急管控服务期间，编制形成重污染天气应急管控支撑工作日报。</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3.3.2 </w:t>
      </w:r>
      <w:r>
        <w:rPr>
          <w:rFonts w:hint="eastAsia" w:eastAsia="方正仿宋_GBK"/>
          <w:bCs/>
          <w:sz w:val="28"/>
          <w:szCs w:val="28"/>
        </w:rPr>
        <w:t xml:space="preserve">化工园区复核认定专项分析应用</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结合相关文件要求，对接</w:t>
      </w:r>
      <w:r>
        <w:rPr>
          <w:rFonts w:eastAsia="方正仿宋_GBK"/>
          <w:bCs/>
          <w:sz w:val="28"/>
          <w:szCs w:val="28"/>
        </w:rPr>
        <w:t xml:space="preserve">29</w:t>
      </w:r>
      <w:r>
        <w:rPr>
          <w:rFonts w:hint="eastAsia" w:eastAsia="方正仿宋_GBK"/>
          <w:bCs/>
          <w:sz w:val="28"/>
          <w:szCs w:val="28"/>
        </w:rPr>
        <w:t xml:space="preserve">家全省化工园区，逐一梳理网络环境，协调完成政务外网联通及网络安全策略配置，打通园区至省生态环境智慧监管平台的</w:t>
      </w:r>
      <w:r>
        <w:rPr>
          <w:rFonts w:hint="eastAsia" w:eastAsia="方正仿宋_GBK"/>
          <w:bCs/>
          <w:sz w:val="28"/>
          <w:szCs w:val="28"/>
        </w:rPr>
        <w:t xml:space="preserve">传输链路。对传输中断、延迟等异常情况协助排查问题，对省生态环境智慧监管平台中化工园区上传的各类监测监控、环境管理数据的实时性、完整率进行分析。结合相关文件要求，依托省生态环境智慧监管平台，协助开展申请认定化工园区资料审核工作，利用大数据技术，逐一比对园区内的企业排污口、排放口、治理设施工况、用电监控、视频监控等数据点的接入与上线情况，筛选异常与离线企业，结合资料审查和现场复核结果，汇总各园区的联网率、系统符合性、数据质量、闭环管理情况等评价结论，针对每家申请认定化工园区编制形成专项分析报告，并形成整体报告。</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3.3.3 </w:t>
      </w:r>
      <w:r>
        <w:rPr>
          <w:rFonts w:hint="eastAsia" w:eastAsia="方正仿宋_GBK"/>
          <w:bCs/>
          <w:sz w:val="28"/>
          <w:szCs w:val="28"/>
        </w:rPr>
        <w:t xml:space="preserve">边缘数据规范化采集调研分析</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基于非现场监管智能边缘计算网关试点情况，开展数据采集现状调查，梳理监测设备台账，对数据缺失率、断线时长、异常数据比例等关键指标进行数据归集与定量测算，结合《污染物自动监测监控系统数据传输技术要求（</w:t>
      </w:r>
      <w:r>
        <w:rPr>
          <w:rFonts w:eastAsia="方正仿宋_GBK"/>
          <w:bCs/>
          <w:sz w:val="28"/>
          <w:szCs w:val="28"/>
        </w:rPr>
        <w:t xml:space="preserve">HJ 212—2025</w:t>
      </w:r>
      <w:r>
        <w:rPr>
          <w:rFonts w:hint="eastAsia" w:eastAsia="方正仿宋_GBK"/>
          <w:bCs/>
          <w:sz w:val="28"/>
          <w:szCs w:val="28"/>
        </w:rPr>
        <w:t xml:space="preserve">）》协议、关键工况参数上传、多媒体文件传输及相关管理文件要求，从数据全链条视角开展深度问题诊断，针对采集、传输、分析等环节，分析协议适配、网络架构、上传接口、预警规则应用等方面存在的问题，提出针对性整改措施与网关部署优化方案，形成涵盖问题清单及技术路线图的专题分析报告，为网关部署提供技术支撑。</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3.4 </w:t>
      </w:r>
      <w:r>
        <w:rPr>
          <w:rFonts w:hint="eastAsia" w:eastAsia="方正仿宋_GBK"/>
          <w:bCs/>
          <w:sz w:val="28"/>
          <w:szCs w:val="28"/>
        </w:rPr>
        <w:t xml:space="preserve">成果整理集成</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整理、编制</w:t>
      </w:r>
      <w:r>
        <w:rPr>
          <w:rFonts w:eastAsia="方正仿宋_GBK"/>
          <w:bCs/>
          <w:sz w:val="28"/>
          <w:szCs w:val="28"/>
        </w:rPr>
        <w:t xml:space="preserve">2</w:t>
      </w:r>
      <w:r>
        <w:rPr>
          <w:rFonts w:hint="eastAsia" w:eastAsia="方正仿宋_GBK"/>
          <w:bCs/>
          <w:sz w:val="28"/>
          <w:szCs w:val="28"/>
        </w:rPr>
        <w:t xml:space="preserve">项科技成果评价材料，并委托具有资质的第三方评价机构开展科技成果评价工作。围绕本项目成果，申请相关的软件著作权不少于</w:t>
      </w:r>
      <w:r>
        <w:rPr>
          <w:rFonts w:eastAsia="方正仿宋_GBK"/>
          <w:bCs/>
          <w:sz w:val="28"/>
          <w:szCs w:val="28"/>
        </w:rPr>
        <w:t xml:space="preserve">2</w:t>
      </w:r>
      <w:r>
        <w:rPr>
          <w:rFonts w:hint="eastAsia" w:eastAsia="方正仿宋_GBK"/>
          <w:bCs/>
          <w:sz w:val="28"/>
          <w:szCs w:val="28"/>
        </w:rPr>
        <w:t xml:space="preserve">项、发明专利</w:t>
      </w:r>
      <w:r>
        <w:rPr>
          <w:rFonts w:eastAsia="方正仿宋_GBK"/>
          <w:bCs/>
          <w:sz w:val="28"/>
          <w:szCs w:val="28"/>
        </w:rPr>
        <w:t xml:space="preserve">2</w:t>
      </w:r>
      <w:r>
        <w:rPr>
          <w:rFonts w:hint="eastAsia" w:eastAsia="方正仿宋_GBK"/>
          <w:bCs/>
          <w:sz w:val="28"/>
          <w:szCs w:val="28"/>
        </w:rPr>
        <w:t xml:space="preserve">项（以提交申请文本为准）。</w:t>
      </w:r>
      <w:r>
        <w:rPr>
          <w:rFonts w:eastAsia="方正仿宋_GBK"/>
          <w:bCs/>
          <w:sz w:val="28"/>
          <w:szCs w:val="28"/>
        </w:rPr>
      </w:r>
      <w:r/>
    </w:p>
    <w:p>
      <w:pPr>
        <w:pStyle w:val="679"/>
        <w:ind w:firstLine="562"/>
        <w:spacing w:line="400" w:lineRule="exact"/>
        <w:rPr>
          <w:rFonts w:hint="eastAsia" w:eastAsia="方正仿宋_GBK"/>
          <w:b/>
          <w:sz w:val="28"/>
          <w:szCs w:val="28"/>
        </w:rPr>
      </w:pPr>
      <w:r>
        <w:rPr>
          <w:rFonts w:hint="eastAsia" w:eastAsia="方正仿宋_GBK"/>
          <w:b/>
          <w:sz w:val="28"/>
          <w:szCs w:val="28"/>
        </w:rPr>
        <w:t xml:space="preserve">（四）技术方案要求</w:t>
      </w:r>
      <w:r>
        <w:rPr>
          <w:rFonts w:hint="eastAsia" w:eastAsia="方正仿宋_GBK"/>
          <w:b/>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1.太湖流域污染排放趋势分析功能开发</w:t>
      </w:r>
      <w:r>
        <w:rPr>
          <w:rFonts w:hint="eastAsia" w:eastAsia="方正仿宋_GBK"/>
          <w:bCs/>
          <w:sz w:val="28"/>
          <w:szCs w:val="28"/>
        </w:rPr>
        <w:t xml:space="preserve">方案：供应商须结合本项目太湖流域水污染物排放趋势分析功能开发的实际需求，编制专项技术开发方案。方案需基于智慧监管平台，围绕多源数据集成、排放趋势分析、异常识别等核心功能，明确技术路线、架构设计、数据融合方案、功能模块划分及实现方式。具体内容包括但不限于：多维度筛选与参数配置的技术实现、排放强度时空演变分析算法设计、同比/环比变化与异常识别规则引擎、分源统计与对比分析方法、统计图表与报告自动生成技术方案等。要求方案详细、技术路线科学合理、可行性高、有实际操作性，且各项功能设计明确、数据流程清晰、技术保障有力。</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2. 太湖安全度夏专项研判支撑方案：供应商须结合太湖安全度夏专项研判工作需求，编制专项研判支撑方案。方案需围绕涉磷企业、污水处理厂、不达标断面整治等重点任务，明确专项研判的技术方法、分析模型、研判流程及线索输出机制。具体内容包括但不限于：超标超量筛查方法、不正常运行识别模型、管控措施执行评估体系、违法线索研判规则、核查建议生成机制、属地推送与闭环反馈流程等。要求方案内容翔实、研判方法科学合理、可操作性强，线索输出机制清晰、闭环管理流程规范，充分满足太湖安全度夏专项研判的技术支撑需求。</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3. 其他重点领域专项分析方</w:t>
      </w:r>
      <w:r>
        <w:rPr>
          <w:rFonts w:hint="eastAsia" w:eastAsia="方正仿宋_GBK"/>
          <w:bCs/>
          <w:sz w:val="28"/>
          <w:szCs w:val="28"/>
        </w:rPr>
        <w:t xml:space="preserve">案：供应商须结合本项目其他重点领域专项分析服务需求，编制专项分析方案。方案需全面覆盖重污染天气应急管控专项支撑、化工园区复核认定专项分析应用、边缘数据规范化采集调研分析三大任务，针对每项任务明确服务思路、分析方法、实施流程及成果输出。具体内容包括但不限于：重污染天气应急管控数据快速匹配与研判分析方法、化工园区数据联网接入与质量评价体系、边缘计算网关数据采集规范化诊断与优化方案、各专项任务的成果报告编制规范等。要求方案内容翔实、科学合理、可行性高、有实际操作性，且各专项任务的服务措施明确、流程规范、保障到位。</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4. 成果整理集成方案：供应商须结合本项目成果整理集成要求，编制成果整理集成方案。方案需围绕科技成果评价、软件著作权申请、发明专利申请等核心任务，明确工作思路和实施路径。具体内容包括但不限于：科技成果评价材料编制方法、第三方评价机构选取与委托流程、软件著作权申报策略与材料准备、发明专利技术交底书撰写与申请流程、各项成果的时间进度安排与质量管控措施等。要求方案内容翔实、流程规范、科学合理、可行性高，各项成果产出路径明确、质量保障措施到位。</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5. 项目管理方案：供应商须建立符合项目特点的项目管理方案，建立健全保障项目顺利实施的各项管理制度和质量保证体系。方案需结合本项目多任务并行、多部门协同的特点，制定科学的组织管理架构、风险管理机制、进度计划安排及文档管理规范。具体内容包括但不限于：项目组织架构与职责分工、风险管理识别与应对措施、项目进度计划与里程碑设置、文档管理与版本控制机制、质量控制与内部评审制度等。要求方案详细、科学合理、可行性高、有实际操作性，且各项管理措施明确、责任清晰、保障有力，能满足项目高质量交付的管理需求。</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6. 项目培训方案：供应商须结合本项目功能开发使用及数据分析方法的特点，制定系统化、分层次的培训方案。方案需覆盖采购方相关业务人员及技术人员，明确培训目标、培训方式、授课人员、培训内容及考核机制。具体内容包括但不限于：太湖流域污染排放趋势分析功能操作培训、数据分析研判方法培训、功能日常运维培训、培训教材编制、培训效果评估等。要求方案内容翔实、科学合理、贴合项目实际、可操作性强，培训计划安排合理、培训方式多样、考核机制完善，全面保障采购方相关人员熟练掌握分析功能及分析方法。</w:t>
      </w:r>
      <w:r>
        <w:rPr>
          <w:rFonts w:hint="eastAsia"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7.</w:t>
      </w:r>
      <w:r>
        <w:rPr>
          <w:rFonts w:eastAsia="方正仿宋_GBK"/>
          <w:bCs/>
          <w:sz w:val="28"/>
          <w:szCs w:val="28"/>
        </w:rPr>
        <w:t xml:space="preserve"> </w:t>
      </w:r>
      <w:r>
        <w:rPr>
          <w:rFonts w:hint="eastAsia" w:eastAsia="方正仿宋_GBK"/>
          <w:bCs/>
          <w:sz w:val="28"/>
          <w:szCs w:val="28"/>
        </w:rPr>
        <w:t xml:space="preserve">数据治理与质量管控方案：供应商须建立符合生态环境监测数据管理相关规范的数据治理与质量</w:t>
      </w:r>
      <w:r>
        <w:rPr>
          <w:rFonts w:hint="eastAsia" w:eastAsia="方正仿宋_GBK"/>
          <w:bCs/>
          <w:sz w:val="28"/>
          <w:szCs w:val="28"/>
        </w:rPr>
        <w:t xml:space="preserve">管控方案，结合本项目污染源清单、自动监测、排污许可等多源数据融合分析的实际需求，清晰明确数据治理目标、管控标准、质量保障体系及全流程数据管理框架，确保方案与项目多源异构数据特性精准契合。具体内容包括但不限于：多源数据接入规范与标准化处理、数据质量评估指标体系（完整性、时效性、准确性、一致性）、异常数据识别与自动修复机制、数据血缘追踪与版本管理、数据质量监控报告与持续改进机制等。要求方案详细、科学合理、可行性高、有实际操作性，且各项管控措施明确、流程规范、保障到位，能满足项目多源异构数据的高质量融合分析需求。</w:t>
      </w:r>
      <w:r>
        <w:rPr>
          <w:rFonts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8.</w:t>
      </w:r>
      <w:r>
        <w:rPr>
          <w:rFonts w:eastAsia="方正仿宋_GBK"/>
          <w:bCs/>
          <w:sz w:val="28"/>
          <w:szCs w:val="28"/>
        </w:rPr>
        <w:t xml:space="preserve"> </w:t>
      </w:r>
      <w:r>
        <w:rPr>
          <w:rFonts w:hint="eastAsia" w:eastAsia="方正仿宋_GBK"/>
          <w:bCs/>
          <w:sz w:val="28"/>
          <w:szCs w:val="28"/>
        </w:rPr>
        <w:t xml:space="preserve">应急响应与重大活动保障方案：供应商须建立应急响应与重大活动保障方案，结合本项目太湖安全度夏、重污染天气应急</w:t>
      </w:r>
      <w:r>
        <w:rPr>
          <w:rFonts w:hint="eastAsia" w:eastAsia="方正仿宋_GBK"/>
          <w:bCs/>
          <w:sz w:val="28"/>
          <w:szCs w:val="28"/>
        </w:rPr>
        <w:t xml:space="preserve">管控等特殊时期保障需求，清晰明确应急响应组织架构、分级响应机制、值守保障体系及全流程应急处置框架，确保方案与项目应急保障特性精准契合。具体内容包括但不限于：应急响应组织指挥体系、分级分类响应流程（日常监测异常、重污染天气应急、太湖安全度夏、系统故障等）、法定节假日及重大活动期间的值守排班与保障机制、应急情况下的快速研判与信息报送流程、应急演练计划与培训、事后复盘与持续改进机制等。要求方案内容翔实、科学合理、可操作性强，处置措施清晰有力、流程规范闭环、责任分工明确，充分保障特殊时期的业务连续性和应急响应效能。</w:t>
      </w:r>
      <w:r>
        <w:rPr>
          <w:rFonts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9. 售后服务方案：供应商须结合本项目功能运行和技术服务保障需求，编制全面的售后服务方案。方案需明确服务体系、服务内容、故障解决方案、应急响应机制及服务人员配置。具体内容包括但不限于：售后服务体系架构与服务流程、技术支持服务方式（现场、远程、电话等）与响应时效承诺、功能故障分级分类与解决方案、法定节假日及重污染天气应急期间的值守保障安排、服务人员能力要求与配置计划、服务质量监督与持续改进机制等。要求方案详细、科学合理、响应机制高效、保障措施有力，满足项目全年常态化运行及应急响应的服务保障需求。</w:t>
      </w:r>
      <w:r>
        <w:rPr>
          <w:rFonts w:hint="eastAsia" w:eastAsia="方正仿宋_GBK"/>
          <w:bCs/>
          <w:sz w:val="28"/>
          <w:szCs w:val="28"/>
        </w:rPr>
      </w:r>
      <w:r/>
    </w:p>
    <w:p>
      <w:pPr>
        <w:pStyle w:val="679"/>
        <w:ind w:firstLine="562"/>
        <w:spacing w:line="400" w:lineRule="exact"/>
        <w:rPr>
          <w:rFonts w:hint="eastAsia" w:eastAsia="方正仿宋_GBK"/>
          <w:b/>
          <w:sz w:val="28"/>
          <w:szCs w:val="28"/>
        </w:rPr>
      </w:pPr>
      <w:r>
        <w:rPr>
          <w:rFonts w:hint="eastAsia" w:eastAsia="方正仿宋_GBK"/>
          <w:b/>
          <w:sz w:val="28"/>
          <w:szCs w:val="28"/>
        </w:rPr>
        <w:t xml:space="preserve">（五）履约能力要求</w:t>
      </w:r>
      <w:r>
        <w:rPr>
          <w:rFonts w:hint="eastAsia" w:eastAsia="方正仿宋_GBK"/>
          <w:b/>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1. 人员要求</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（1）供应商应在磋商响应文件中提供人员配置管理计划，包括项目负责人、技术人员及分工职责等。</w:t>
      </w:r>
      <w:r>
        <w:rPr>
          <w:rFonts w:hint="eastAsia"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（2）供应商能够熟练使用环境监管类信息化系统，掌握生态环境监控数据分析研判方法，定期出具专业的数据分析和环保分析报告。</w:t>
      </w:r>
      <w:r>
        <w:rPr>
          <w:rFonts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（3）</w:t>
      </w:r>
      <w:r>
        <w:rPr>
          <w:rFonts w:hint="eastAsia" w:eastAsia="方正仿宋_GBK"/>
          <w:bCs/>
          <w:sz w:val="28"/>
          <w:szCs w:val="28"/>
          <w:lang w:val="en-US" w:eastAsia="zh-CN"/>
        </w:rPr>
        <w:t xml:space="preserve">生态环境非现场监管工作涉及大量数据分析，需要保证安全可控，</w:t>
      </w:r>
      <w:r>
        <w:rPr>
          <w:rFonts w:hint="eastAsia" w:eastAsia="方正仿宋_GBK"/>
          <w:bCs/>
          <w:sz w:val="28"/>
          <w:szCs w:val="28"/>
        </w:rPr>
        <w:t xml:space="preserve">供应商</w:t>
      </w:r>
      <w:r>
        <w:rPr>
          <w:rFonts w:hint="eastAsia" w:eastAsia="方正仿宋_GBK"/>
          <w:bCs/>
          <w:sz w:val="28"/>
          <w:szCs w:val="28"/>
          <w:lang w:val="en-US" w:eastAsia="zh-CN"/>
        </w:rPr>
        <w:t xml:space="preserve">应</w:t>
      </w:r>
      <w:r>
        <w:rPr>
          <w:rFonts w:hint="eastAsia" w:eastAsia="方正仿宋_GBK"/>
          <w:bCs/>
          <w:sz w:val="28"/>
          <w:szCs w:val="28"/>
        </w:rPr>
        <w:t xml:space="preserve">具备自主可控的生态环境数字化产品，相关产品获国产化适配性测试相关证书。</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（4）本项目核心任务涵盖多个技术维度，</w:t>
      </w:r>
      <w:r>
        <w:rPr>
          <w:rFonts w:hint="eastAsia" w:eastAsia="方正仿宋_GBK"/>
          <w:bCs/>
          <w:sz w:val="28"/>
          <w:szCs w:val="28"/>
          <w:lang w:val="en-US" w:eastAsia="zh-CN"/>
        </w:rPr>
        <w:t xml:space="preserve">需要</w:t>
      </w:r>
      <w:r>
        <w:rPr>
          <w:rFonts w:hint="eastAsia" w:eastAsia="方正仿宋_GBK"/>
          <w:bCs/>
          <w:sz w:val="28"/>
          <w:szCs w:val="28"/>
        </w:rPr>
        <w:t xml:space="preserve">数据归集处理与综合分析</w:t>
      </w:r>
      <w:r>
        <w:rPr>
          <w:rFonts w:hint="eastAsia" w:eastAsia="方正仿宋_GBK"/>
          <w:bCs/>
          <w:sz w:val="28"/>
          <w:szCs w:val="28"/>
          <w:lang w:eastAsia="zh-CN"/>
        </w:rPr>
        <w:t xml:space="preserve">、</w:t>
      </w:r>
      <w:r>
        <w:rPr>
          <w:rFonts w:hint="eastAsia" w:eastAsia="方正仿宋_GBK"/>
          <w:bCs/>
          <w:sz w:val="28"/>
          <w:szCs w:val="28"/>
        </w:rPr>
        <w:t xml:space="preserve">模型开发与趋势分析</w:t>
      </w:r>
      <w:r>
        <w:rPr>
          <w:rFonts w:hint="eastAsia" w:eastAsia="方正仿宋_GBK"/>
          <w:bCs/>
          <w:sz w:val="28"/>
          <w:szCs w:val="28"/>
          <w:lang w:eastAsia="zh-CN"/>
        </w:rPr>
        <w:t xml:space="preserve">、</w:t>
      </w:r>
      <w:r>
        <w:rPr>
          <w:rFonts w:hint="eastAsia" w:eastAsia="方正仿宋_GBK"/>
          <w:bCs/>
          <w:sz w:val="28"/>
          <w:szCs w:val="28"/>
        </w:rPr>
        <w:t xml:space="preserve">问题诊断与攻坚</w:t>
      </w:r>
      <w:r>
        <w:rPr>
          <w:rFonts w:hint="eastAsia" w:eastAsia="方正仿宋_GBK"/>
          <w:bCs/>
          <w:sz w:val="28"/>
          <w:szCs w:val="28"/>
          <w:lang w:val="en-US" w:eastAsia="zh-CN"/>
        </w:rPr>
        <w:t xml:space="preserve">等</w:t>
      </w:r>
      <w:r>
        <w:rPr>
          <w:rFonts w:hint="eastAsia" w:eastAsia="方正仿宋_GBK"/>
          <w:bCs/>
          <w:sz w:val="28"/>
          <w:szCs w:val="28"/>
        </w:rPr>
        <w:t xml:space="preserve">能力</w:t>
      </w:r>
      <w:r>
        <w:rPr>
          <w:rFonts w:hint="eastAsia" w:eastAsia="方正仿宋_GBK"/>
          <w:bCs/>
          <w:sz w:val="28"/>
          <w:szCs w:val="28"/>
          <w:lang w:eastAsia="zh-CN"/>
        </w:rPr>
        <w:t xml:space="preserve">。</w:t>
      </w:r>
      <w:r>
        <w:rPr>
          <w:rFonts w:hint="eastAsia" w:eastAsia="方正仿宋_GBK"/>
          <w:bCs/>
          <w:sz w:val="28"/>
          <w:szCs w:val="28"/>
        </w:rPr>
        <w:t xml:space="preserve">研究生培养</w:t>
      </w:r>
      <w:r>
        <w:rPr>
          <w:rFonts w:hint="eastAsia" w:eastAsia="方正仿宋_GBK"/>
          <w:bCs/>
          <w:sz w:val="28"/>
          <w:szCs w:val="28"/>
          <w:lang w:val="en-US" w:eastAsia="zh-CN"/>
        </w:rPr>
        <w:t xml:space="preserve">遵循</w:t>
      </w:r>
      <w:r>
        <w:rPr>
          <w:rFonts w:hint="eastAsia" w:eastAsia="方正仿宋_GBK"/>
          <w:bCs/>
          <w:sz w:val="28"/>
          <w:szCs w:val="28"/>
        </w:rPr>
        <w:t xml:space="preserve">“发现问题—分析问题—解决问题”的完整训练过程，具备较强的逻辑思维能力和独立攻关能力，</w:t>
      </w:r>
      <w:r>
        <w:rPr>
          <w:rFonts w:hint="eastAsia" w:eastAsia="方正仿宋_GBK"/>
          <w:bCs/>
          <w:sz w:val="28"/>
          <w:szCs w:val="28"/>
          <w:lang w:val="en-US" w:eastAsia="zh-CN"/>
        </w:rPr>
        <w:t xml:space="preserve">因此</w:t>
      </w:r>
      <w:r>
        <w:rPr>
          <w:rFonts w:hint="eastAsia" w:eastAsia="方正仿宋_GBK"/>
          <w:bCs/>
          <w:sz w:val="28"/>
          <w:szCs w:val="28"/>
        </w:rPr>
        <w:t xml:space="preserve">研究生毕业人员在</w:t>
      </w:r>
      <w:r>
        <w:rPr>
          <w:rFonts w:hint="eastAsia" w:eastAsia="方正仿宋_GBK"/>
          <w:bCs/>
          <w:sz w:val="28"/>
          <w:szCs w:val="28"/>
          <w:lang w:val="en-US" w:eastAsia="zh-CN"/>
        </w:rPr>
        <w:t xml:space="preserve">本项目中</w:t>
      </w:r>
      <w:r>
        <w:rPr>
          <w:rFonts w:hint="eastAsia" w:eastAsia="方正仿宋_GBK"/>
          <w:bCs/>
          <w:sz w:val="28"/>
          <w:szCs w:val="28"/>
        </w:rPr>
        <w:t xml:space="preserve">具备显著</w:t>
      </w:r>
      <w:r>
        <w:rPr>
          <w:rFonts w:hint="eastAsia" w:eastAsia="方正仿宋_GBK"/>
          <w:bCs/>
          <w:sz w:val="28"/>
          <w:szCs w:val="28"/>
          <w:lang w:val="en-US" w:eastAsia="zh-CN"/>
        </w:rPr>
        <w:t xml:space="preserve">能力</w:t>
      </w:r>
      <w:r>
        <w:rPr>
          <w:rFonts w:hint="eastAsia" w:eastAsia="方正仿宋_GBK"/>
          <w:bCs/>
          <w:sz w:val="28"/>
          <w:szCs w:val="28"/>
        </w:rPr>
        <w:t xml:space="preserve">优势。拟投入本项目的项目负责人须具有硕士研究生及以上学历，并具有电子信息工程专业技术资格证书。</w:t>
      </w:r>
      <w:r>
        <w:rPr>
          <w:rFonts w:hint="eastAsia" w:eastAsia="方正仿宋_GBK"/>
          <w:bCs/>
          <w:sz w:val="28"/>
          <w:szCs w:val="28"/>
        </w:rPr>
      </w:r>
      <w:r/>
    </w:p>
    <w:p>
      <w:pPr>
        <w:pStyle w:val="679"/>
        <w:ind w:left="105" w:firstLine="420"/>
        <w:spacing w:line="400" w:lineRule="exact"/>
        <w:rPr>
          <w:rFonts w:eastAsia="方正仿宋_GBK"/>
          <w:bCs/>
          <w:sz w:val="28"/>
          <w:szCs w:val="28"/>
        </w:rPr>
      </w:pPr>
      <w:r>
        <w:rPr>
          <w:rFonts w:hint="eastAsia" w:eastAsia="方正仿宋_GBK"/>
          <w:bCs/>
          <w:sz w:val="28"/>
          <w:szCs w:val="28"/>
        </w:rPr>
        <w:t xml:space="preserve">（5）拟投入本项目的项目成员中，须至少有1名具有</w:t>
      </w:r>
      <w:r>
        <w:rPr>
          <w:rFonts w:hint="eastAsia" w:eastAsia="方正仿宋_GBK"/>
          <w:bCs/>
          <w:sz w:val="28"/>
          <w:szCs w:val="28"/>
          <w:lang w:val="en-US" w:eastAsia="zh-CN"/>
        </w:rPr>
        <w:t xml:space="preserve">全日制本科</w:t>
      </w:r>
      <w:r>
        <w:rPr>
          <w:rFonts w:hint="eastAsia" w:eastAsia="方正仿宋_GBK"/>
          <w:bCs/>
          <w:sz w:val="28"/>
          <w:szCs w:val="28"/>
        </w:rPr>
        <w:t xml:space="preserve">及以上学历、并具有气象专业高级工程师或工程师专业技术资格证书。</w:t>
      </w:r>
      <w:r>
        <w:rPr>
          <w:rFonts w:eastAsia="方正仿宋_GBK"/>
          <w:bCs/>
          <w:sz w:val="28"/>
          <w:szCs w:val="28"/>
        </w:rPr>
      </w:r>
      <w:r/>
    </w:p>
    <w:p>
      <w:pPr>
        <w:pStyle w:val="679"/>
        <w:ind w:left="105" w:firstLine="420"/>
        <w:spacing w:line="400" w:lineRule="exact"/>
        <w:rPr>
          <w:rFonts w:hint="eastAsia" w:eastAsia="方正仿宋_GBK"/>
          <w:bCs/>
          <w:sz w:val="28"/>
          <w:szCs w:val="28"/>
        </w:rPr>
      </w:pPr>
      <w:r>
        <w:rPr>
          <w:rFonts w:hint="eastAsia" w:eastAsia="方正仿宋_GBK"/>
          <w:bCs/>
          <w:sz w:val="28"/>
          <w:szCs w:val="28"/>
        </w:rPr>
        <w:t xml:space="preserve">（6）拟投入本项目的项目成员中，</w:t>
      </w:r>
      <w:bookmarkStart w:id="177" w:name="OLE_LINK4"/>
      <w:r>
        <w:rPr>
          <w:rFonts w:hint="eastAsia" w:eastAsia="方正仿宋_GBK"/>
          <w:bCs/>
          <w:sz w:val="28"/>
          <w:szCs w:val="28"/>
        </w:rPr>
        <w:t xml:space="preserve">须至少有1名</w:t>
      </w:r>
      <w:bookmarkEnd w:id="177"/>
      <w:r>
        <w:rPr>
          <w:rFonts w:hint="eastAsia" w:eastAsia="方正仿宋_GBK"/>
          <w:bCs/>
          <w:sz w:val="28"/>
          <w:szCs w:val="28"/>
        </w:rPr>
        <w:t xml:space="preserve">具有</w:t>
      </w:r>
      <w:r>
        <w:rPr>
          <w:rFonts w:hint="eastAsia" w:eastAsia="方正仿宋_GBK"/>
          <w:bCs/>
          <w:sz w:val="28"/>
          <w:szCs w:val="28"/>
          <w:lang w:val="en-US" w:eastAsia="zh-CN"/>
        </w:rPr>
        <w:t xml:space="preserve">全日制本科</w:t>
      </w:r>
      <w:r>
        <w:rPr>
          <w:rFonts w:hint="eastAsia" w:eastAsia="方正仿宋_GBK"/>
          <w:bCs/>
          <w:sz w:val="28"/>
          <w:szCs w:val="28"/>
        </w:rPr>
        <w:t xml:space="preserve">及以上学历且为环境类相关专业、并具有生态环境工程专业工程师专业技术资格证书。</w:t>
      </w:r>
      <w:r>
        <w:rPr>
          <w:rFonts w:hint="eastAsia" w:eastAsia="方正仿宋_GBK"/>
          <w:bCs/>
          <w:sz w:val="28"/>
          <w:szCs w:val="28"/>
        </w:rPr>
      </w:r>
      <w:r/>
    </w:p>
    <w:p>
      <w:pPr>
        <w:pStyle w:val="679"/>
        <w:ind w:firstLine="560"/>
        <w:spacing w:line="400" w:lineRule="exact"/>
        <w:rPr>
          <w:rFonts w:eastAsia="方正仿宋_GBK"/>
          <w:bCs/>
          <w:sz w:val="28"/>
          <w:szCs w:val="28"/>
        </w:rPr>
      </w:pPr>
      <w:r>
        <w:rPr>
          <w:rFonts w:hint="eastAsia" w:eastAsia="方正仿宋_GBK"/>
          <w:bCs/>
          <w:sz w:val="28"/>
          <w:szCs w:val="28"/>
        </w:rPr>
        <w:t xml:space="preserve">（7）拟投入本项目的项目成员，须至少有1名具备</w:t>
      </w:r>
      <w:r>
        <w:rPr>
          <w:rFonts w:hint="eastAsia" w:eastAsia="方正仿宋_GBK"/>
          <w:bCs/>
          <w:sz w:val="28"/>
          <w:szCs w:val="28"/>
          <w:lang w:val="en-US" w:eastAsia="zh-CN"/>
        </w:rPr>
        <w:t xml:space="preserve">全日制本科</w:t>
      </w:r>
      <w:r>
        <w:rPr>
          <w:rFonts w:hint="eastAsia" w:eastAsia="方正仿宋_GBK"/>
          <w:bCs/>
          <w:sz w:val="28"/>
          <w:szCs w:val="28"/>
        </w:rPr>
        <w:t xml:space="preserve">及以上学历且为计算机或电子信息类相关专业。</w:t>
      </w:r>
      <w:r>
        <w:rPr>
          <w:rFonts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（8）拟投入本项目的项目成员中，须至少有1名具有数据治理经验或相关证书。</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2. 软件著作权要求</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供应商具备生态环境信息化综合研究能力，具有与生态环境相关的计算机软件著作权证书，且证书应包含“非现场监管”类或“生态环境”类或“大数据”类相关能力。软件著作权须为供应商自有（经授权取得的不得分），须在本项目开标之日前取得。</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3. 业绩要求</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（1）供应商自2023年1月1日以来（以合同签订时间为准）承担过类似人工智能研发或应用类项目的，需提供合同扫描件或复印件。</w:t>
      </w:r>
      <w:r>
        <w:rPr>
          <w:rFonts w:hint="eastAsia" w:eastAsia="方正仿宋_GBK"/>
          <w:bCs/>
          <w:sz w:val="28"/>
          <w:szCs w:val="28"/>
        </w:rPr>
      </w:r>
      <w:r/>
    </w:p>
    <w:p>
      <w:pPr>
        <w:pStyle w:val="679"/>
        <w:ind w:firstLine="560"/>
        <w:spacing w:line="400" w:lineRule="exact"/>
        <w:rPr>
          <w:rFonts w:hint="eastAsia" w:eastAsia="方正仿宋_GBK"/>
          <w:bCs/>
          <w:sz w:val="28"/>
          <w:szCs w:val="28"/>
        </w:rPr>
      </w:pPr>
      <w:r>
        <w:rPr>
          <w:rFonts w:hint="eastAsia" w:eastAsia="方正仿宋_GBK"/>
          <w:bCs/>
          <w:sz w:val="28"/>
          <w:szCs w:val="28"/>
        </w:rPr>
        <w:t xml:space="preserve">（2）供应商自2023年1月1日以来（以合同签订时间为准）承担过类似非现场监管系统开发或数据服务类项目的，需提供合同扫描件或复印件。</w:t>
      </w:r>
      <w:r>
        <w:rPr>
          <w:rFonts w:hint="eastAsia" w:eastAsia="方正仿宋_GBK"/>
          <w:bCs/>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四、商务要求</w:t>
      </w:r>
      <w:r>
        <w:rPr>
          <w:rFonts w:hint="eastAsia" w:ascii="方正黑体_GBK" w:hAnsi="方正黑体_GBK" w:eastAsia="方正黑体_GBK" w:cs="方正黑体_GBK"/>
          <w:b w:val="0"/>
          <w:bCs w:val="0"/>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1.交付时间及地点</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交付时间：</w:t>
      </w:r>
      <w:bookmarkStart w:id="178" w:name="OLE_LINK13"/>
      <w:r>
        <w:rPr>
          <w:rFonts w:eastAsia="方正仿宋_GBK"/>
          <w:bCs/>
          <w:sz w:val="28"/>
          <w:szCs w:val="28"/>
        </w:rPr>
        <w:t xml:space="preserve">自签订合同之日起一年</w:t>
      </w:r>
      <w:bookmarkEnd w:id="178"/>
      <w:r>
        <w:rPr>
          <w:rFonts w:eastAsia="方正仿宋_GBK"/>
          <w:bCs/>
          <w:sz w:val="28"/>
          <w:szCs w:val="28"/>
        </w:rPr>
        <w:t xml:space="preserve">。</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交付地点：江苏省南京市</w:t>
      </w:r>
      <w:r>
        <w:rPr>
          <w:rFonts w:hint="eastAsia" w:eastAsia="方正仿宋_GBK"/>
          <w:bCs/>
          <w:sz w:val="28"/>
          <w:szCs w:val="28"/>
        </w:rPr>
        <w:t xml:space="preserve">江东北路176号</w:t>
      </w:r>
      <w:r>
        <w:rPr>
          <w:rFonts w:eastAsia="方正仿宋_GBK"/>
          <w:bCs/>
          <w:sz w:val="28"/>
          <w:szCs w:val="28"/>
        </w:rPr>
        <w:t xml:space="preserve">。</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2.付款方式：合同签订并生效后15日内，采购人向成交</w:t>
      </w:r>
      <w:r>
        <w:rPr>
          <w:rFonts w:hint="eastAsia" w:eastAsia="方正仿宋_GBK"/>
          <w:bCs/>
          <w:sz w:val="28"/>
          <w:szCs w:val="28"/>
        </w:rPr>
        <w:t xml:space="preserve">供应商</w:t>
      </w:r>
      <w:r>
        <w:rPr>
          <w:rFonts w:eastAsia="方正仿宋_GBK"/>
          <w:bCs/>
          <w:sz w:val="28"/>
          <w:szCs w:val="28"/>
        </w:rPr>
        <w:t xml:space="preserve">支付合同总价款的40%；成交</w:t>
      </w:r>
      <w:r>
        <w:rPr>
          <w:rFonts w:hint="eastAsia" w:eastAsia="方正仿宋_GBK"/>
          <w:bCs/>
          <w:sz w:val="28"/>
          <w:szCs w:val="28"/>
        </w:rPr>
        <w:t xml:space="preserve">供应商</w:t>
      </w:r>
      <w:r>
        <w:rPr>
          <w:rFonts w:eastAsia="方正仿宋_GBK"/>
          <w:bCs/>
          <w:sz w:val="28"/>
          <w:szCs w:val="28"/>
        </w:rPr>
        <w:t xml:space="preserve">递交最终成果并经采购人验收合格后15日内，由甲方支付至合同额的100%。成交人在申请付款前，需向采购人提交等额正规发票。</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3.履约保证金或履约保函要求</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无。</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4.知识产权要求</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（1）本项目产生的所有技术成果（包括但不限于软件代码、技术文档、分析报告、数据模型、方法专利等）的知识产权归采购人所有。</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（2）供应商应保证采购人在使用、接受本合同标的或其任何一部分时不受第三方提出侵犯其专利权、版权、商标权和工业设计权等知识产权的起诉。一旦出现侵权，由供应商负全部责任。</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5.保密要求</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（1）供应商需提供保密承诺函，落实供应商及项目组工作人员安全保密责任。</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（2）未经采购人许可，供应商不得对采购人数据进行拷贝、下载、储存、备份，不得违规访问采购人数据。</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（3）供应商应对项目实施过程中接触到的所有采购人信息、数据和资料承担保密义务，保密期限不因合同终止而结束。</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6.验收要求</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（1）采购人依法组织履约验收工作。</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（3）验收内容包括但不限于：太湖流域污染排放趋势分析功能开发完成情况验收、各项专项分析报告质量验收、科技成果评价材料及知识产权申请成果验收等。</w:t>
      </w:r>
      <w:r>
        <w:rPr>
          <w:rFonts w:eastAsia="方正仿宋_GBK"/>
          <w:bCs/>
          <w:sz w:val="28"/>
          <w:szCs w:val="28"/>
        </w:rPr>
      </w:r>
      <w:r/>
    </w:p>
    <w:p>
      <w:pPr>
        <w:pStyle w:val="679"/>
        <w:ind w:firstLine="560"/>
        <w:spacing w:line="400" w:lineRule="exact"/>
        <w:rPr>
          <w:rFonts w:eastAsia="方正仿宋_GBK"/>
          <w:bCs/>
          <w:sz w:val="28"/>
          <w:szCs w:val="28"/>
        </w:rPr>
      </w:pPr>
      <w:r>
        <w:rPr>
          <w:rFonts w:eastAsia="方正仿宋_GBK"/>
          <w:bCs/>
          <w:sz w:val="28"/>
          <w:szCs w:val="28"/>
        </w:rPr>
        <w:t xml:space="preserve">（4）验收结果与采购合同约定的资金支付条件挂钩。</w:t>
      </w:r>
      <w:r>
        <w:rPr>
          <w:rFonts w:eastAsia="方正仿宋_GBK"/>
          <w:bCs/>
          <w:sz w:val="28"/>
          <w:szCs w:val="28"/>
        </w:rPr>
      </w:r>
      <w:r/>
    </w:p>
    <w:p>
      <w:pPr>
        <w:pStyle w:val="681"/>
        <w:jc w:val="left"/>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五、其他要求</w:t>
      </w:r>
      <w:r>
        <w:rPr>
          <w:rFonts w:hint="eastAsia" w:ascii="方正黑体_GBK" w:hAnsi="方正黑体_GBK" w:eastAsia="方正黑体_GBK" w:cs="方正黑体_GBK"/>
          <w:b w:val="0"/>
          <w:bCs w:val="0"/>
          <w:sz w:val="28"/>
          <w:szCs w:val="28"/>
        </w:rPr>
      </w:r>
      <w:r/>
    </w:p>
    <w:p>
      <w:pPr>
        <w:pStyle w:val="679"/>
        <w:ind w:firstLine="560"/>
        <w:spacing w:line="400" w:lineRule="exact"/>
        <w:rPr>
          <w:rFonts w:eastAsia="方正仿宋_GBK"/>
          <w:sz w:val="28"/>
          <w:szCs w:val="28"/>
        </w:rPr>
      </w:pPr>
      <w:r>
        <w:rPr>
          <w:rFonts w:eastAsia="方正仿宋_GBK"/>
          <w:sz w:val="28"/>
          <w:szCs w:val="28"/>
        </w:rPr>
        <w:t xml:space="preserve">1.项目属性</w:t>
      </w:r>
      <w:r>
        <w:rPr>
          <w:rFonts w:hint="eastAsia" w:eastAsia="方正仿宋_GBK"/>
          <w:sz w:val="28"/>
          <w:szCs w:val="28"/>
        </w:rPr>
        <w:t xml:space="preserve">：</w:t>
      </w:r>
      <w:r>
        <w:rPr>
          <w:rFonts w:eastAsia="方正仿宋_GBK"/>
          <w:b/>
          <w:bCs/>
          <w:sz w:val="28"/>
          <w:szCs w:val="28"/>
        </w:rPr>
        <w:t xml:space="preserve">服务类项目</w:t>
      </w:r>
      <w:r>
        <w:rPr>
          <w:rFonts w:eastAsia="方正仿宋_GBK"/>
          <w:sz w:val="28"/>
          <w:szCs w:val="28"/>
        </w:rPr>
        <w:t xml:space="preserve">。</w:t>
      </w:r>
      <w:r>
        <w:rPr>
          <w:rFonts w:eastAsia="方正仿宋_GBK"/>
          <w:sz w:val="28"/>
          <w:szCs w:val="28"/>
        </w:rPr>
      </w:r>
      <w:r/>
    </w:p>
    <w:p>
      <w:pPr>
        <w:pStyle w:val="679"/>
        <w:ind w:firstLine="560"/>
        <w:spacing w:line="400" w:lineRule="exact"/>
        <w:rPr>
          <w:rFonts w:eastAsia="方正仿宋_GBK"/>
          <w:sz w:val="28"/>
          <w:szCs w:val="28"/>
        </w:rPr>
      </w:pPr>
      <w:r>
        <w:rPr>
          <w:rFonts w:eastAsia="方正仿宋_GBK"/>
          <w:sz w:val="28"/>
          <w:szCs w:val="28"/>
        </w:rPr>
        <w:t xml:space="preserve">2.演示要求</w:t>
      </w:r>
      <w:r>
        <w:rPr>
          <w:rFonts w:eastAsia="方正仿宋_GBK"/>
          <w:sz w:val="28"/>
          <w:szCs w:val="28"/>
        </w:rPr>
      </w:r>
      <w:r/>
    </w:p>
    <w:p>
      <w:pPr>
        <w:pStyle w:val="679"/>
        <w:ind w:firstLine="560"/>
        <w:spacing w:line="400" w:lineRule="exact"/>
        <w:rPr>
          <w:rFonts w:eastAsia="方正仿宋_GBK"/>
          <w:sz w:val="28"/>
          <w:szCs w:val="28"/>
        </w:rPr>
      </w:pPr>
      <w:r>
        <w:rPr>
          <w:rFonts w:eastAsia="方正仿宋_GBK"/>
          <w:sz w:val="28"/>
          <w:szCs w:val="28"/>
        </w:rPr>
        <w:t xml:space="preserve">演示方式</w:t>
      </w:r>
      <w:r>
        <w:rPr>
          <w:rFonts w:hint="eastAsia" w:eastAsia="方正仿宋_GBK"/>
          <w:sz w:val="28"/>
          <w:szCs w:val="28"/>
        </w:rPr>
        <w:t xml:space="preserve">：</w:t>
      </w:r>
      <w:r>
        <w:rPr>
          <w:rFonts w:eastAsia="方正仿宋_GBK"/>
          <w:sz w:val="28"/>
          <w:szCs w:val="28"/>
        </w:rPr>
        <w:t xml:space="preserve">上传视频演示</w:t>
      </w:r>
      <w:r>
        <w:rPr>
          <w:rFonts w:eastAsia="方正仿宋_GBK"/>
          <w:sz w:val="28"/>
          <w:szCs w:val="28"/>
        </w:rPr>
      </w:r>
      <w:r/>
    </w:p>
    <w:p>
      <w:pPr>
        <w:pStyle w:val="679"/>
        <w:ind w:firstLine="560"/>
        <w:spacing w:line="400" w:lineRule="exact"/>
        <w:rPr>
          <w:rFonts w:eastAsia="方正仿宋_GBK"/>
          <w:sz w:val="28"/>
          <w:szCs w:val="28"/>
        </w:rPr>
      </w:pPr>
      <w:r/>
      <w:bookmarkStart w:id="179" w:name="OLE_LINK11"/>
      <w:r>
        <w:rPr>
          <w:rFonts w:eastAsia="方正仿宋_GBK"/>
          <w:sz w:val="28"/>
          <w:szCs w:val="28"/>
        </w:rPr>
        <w:t xml:space="preserve">（1）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w:t>
      </w:r>
      <w:r>
        <w:rPr>
          <w:rFonts w:eastAsia="方正仿宋_GBK"/>
          <w:sz w:val="28"/>
          <w:szCs w:val="28"/>
          <w:u w:val="single"/>
        </w:rPr>
        <w:t xml:space="preserve">15</w:t>
      </w:r>
      <w:r>
        <w:rPr>
          <w:rFonts w:eastAsia="方正仿宋_GBK"/>
          <w:sz w:val="28"/>
          <w:szCs w:val="28"/>
        </w:rPr>
        <w:t xml:space="preserve">分钟</w:t>
      </w:r>
      <w:r>
        <w:rPr>
          <w:rFonts w:eastAsia="方正仿宋_GBK"/>
          <w:sz w:val="28"/>
          <w:szCs w:val="28"/>
        </w:rPr>
      </w:r>
      <w:r/>
    </w:p>
    <w:p>
      <w:pPr>
        <w:pStyle w:val="679"/>
        <w:ind w:firstLine="560"/>
        <w:spacing w:line="400" w:lineRule="exact"/>
        <w:rPr>
          <w:rFonts w:eastAsia="方正仿宋_GBK"/>
          <w:sz w:val="28"/>
          <w:szCs w:val="28"/>
        </w:rPr>
      </w:pPr>
      <w:r>
        <w:rPr>
          <w:rFonts w:eastAsia="方正仿宋_GBK"/>
          <w:sz w:val="28"/>
          <w:szCs w:val="28"/>
        </w:rPr>
        <w:t xml:space="preserve">（2）演示内容如下：</w:t>
      </w:r>
      <w:r>
        <w:rPr>
          <w:rFonts w:eastAsia="方正仿宋_GBK"/>
          <w:sz w:val="28"/>
          <w:szCs w:val="28"/>
        </w:rPr>
      </w:r>
      <w:r/>
    </w:p>
    <w:p>
      <w:pPr>
        <w:pStyle w:val="679"/>
        <w:ind w:firstLine="560"/>
        <w:spacing w:line="400" w:lineRule="exact"/>
        <w:rPr>
          <w:rFonts w:ascii="Times New Roman" w:hAnsi="Times New Roman" w:eastAsia="方正仿宋_GBK" w:cs="Times New Roman"/>
          <w:sz w:val="28"/>
          <w:szCs w:val="28"/>
        </w:rPr>
      </w:pPr>
      <w:r/>
      <w:bookmarkEnd w:id="179"/>
      <w:r/>
      <w:bookmarkStart w:id="180" w:name="OLE_LINK25"/>
      <w:r>
        <w:rPr>
          <w:rFonts w:hint="eastAsia" w:ascii="Times New Roman" w:hAnsi="Times New Roman" w:eastAsia="方正仿宋_GBK" w:cs="Times New Roman"/>
          <w:sz w:val="28"/>
          <w:szCs w:val="28"/>
          <w:lang w:val="en-US" w:eastAsia="zh-CN"/>
        </w:rPr>
        <w:t xml:space="preserve">①</w:t>
      </w:r>
      <w:r>
        <w:rPr>
          <w:rFonts w:ascii="Times New Roman" w:hAnsi="Times New Roman" w:eastAsia="方正仿宋_GBK" w:cs="Times New Roman"/>
          <w:sz w:val="28"/>
          <w:szCs w:val="28"/>
        </w:rPr>
        <w:t xml:space="preserve">演示污染源排放查询功能</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以太湖流域企业或污水处理厂为例：</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1）演示按行政区、企业、排口、时间区间、污染因子查询排放浓度和排放量，支持日/小时切换统计；</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2）支持按行业类型或关键字快速查询企业基础信息。</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eastAsia="zh-CN"/>
        </w:rPr>
        <w:t xml:space="preserve">②</w:t>
      </w:r>
      <w:r>
        <w:rPr>
          <w:rFonts w:ascii="Times New Roman" w:hAnsi="Times New Roman" w:eastAsia="方正仿宋_GBK" w:cs="Times New Roman"/>
          <w:sz w:val="28"/>
          <w:szCs w:val="28"/>
        </w:rPr>
        <w:t xml:space="preserve">演示非现场监管规则管理、预警功能</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以省级或市级为例：</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1）演示非现场监管规则库管理，包括编辑预警阈值、修改预警等级、增减功能；</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2）演示异常数据预警功能，包括信息提醒、信息内容展示。</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③</w:t>
      </w:r>
      <w:r>
        <w:rPr>
          <w:rFonts w:ascii="Times New Roman" w:hAnsi="Times New Roman" w:eastAsia="方正仿宋_GBK" w:cs="Times New Roman"/>
          <w:sz w:val="28"/>
          <w:szCs w:val="28"/>
        </w:rPr>
        <w:t xml:space="preserve">演示指挥调度流程</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以省级或市级为例：</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1）演示指挥调度全过程，包括预警下发、预警接收、预警反馈、预警审核；</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2）演示指挥调度视频连线功能，包括视频通话、视频录制。</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④</w:t>
      </w:r>
      <w:r>
        <w:rPr>
          <w:rFonts w:ascii="Times New Roman" w:hAnsi="Times New Roman" w:eastAsia="方正仿宋_GBK" w:cs="Times New Roman"/>
          <w:sz w:val="28"/>
          <w:szCs w:val="28"/>
        </w:rPr>
        <w:t xml:space="preserve">演示污染源监测监控设施管理功能</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以省级或市级为例：</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1）演示企业自动监测监控设备检定、验收、数据联网、异常标记情况，并支持查看单个企业的详细数据；</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2）演示企业自动监测监控设备数据质控情况，并支持查看单个企业的详细数据。</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lang w:eastAsia="zh-CN"/>
        </w:rPr>
        <w:t xml:space="preserve">⑤</w:t>
      </w:r>
      <w:r>
        <w:rPr>
          <w:rFonts w:ascii="Times New Roman" w:hAnsi="Times New Roman" w:eastAsia="方正仿宋_GBK" w:cs="Times New Roman"/>
          <w:sz w:val="28"/>
          <w:szCs w:val="28"/>
        </w:rPr>
        <w:t xml:space="preserve">演示一张图展示功能</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以省级或市级为例：</w:t>
      </w:r>
      <w:r>
        <w:rPr>
          <w:rFonts w:ascii="Times New Roman" w:hAnsi="Times New Roman" w:eastAsia="方正仿宋_GBK" w:cs="Times New Roman"/>
          <w:sz w:val="28"/>
          <w:szCs w:val="28"/>
        </w:rPr>
      </w:r>
      <w:r/>
    </w:p>
    <w:p>
      <w:pPr>
        <w:pStyle w:val="679"/>
        <w:ind w:firstLine="560"/>
        <w:spacing w:line="4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1）基于GIS地图，展示区域水站、区域河流水系图要素，支持按图层进行要素筛选；</w:t>
      </w:r>
      <w:r>
        <w:rPr>
          <w:rFonts w:ascii="Times New Roman" w:hAnsi="Times New Roman" w:eastAsia="方正仿宋_GBK" w:cs="Times New Roman"/>
          <w:sz w:val="28"/>
          <w:szCs w:val="28"/>
        </w:rPr>
      </w:r>
      <w:r/>
    </w:p>
    <w:p>
      <w:pPr>
        <w:pStyle w:val="679"/>
        <w:ind w:firstLine="560"/>
        <w:spacing w:line="400" w:lineRule="exact"/>
        <w:rPr>
          <w:rFonts w:hint="eastAsia"/>
          <w:sz w:val="24"/>
          <w:szCs w:val="24"/>
        </w:rPr>
      </w:pPr>
      <w:r>
        <w:rPr>
          <w:rFonts w:ascii="Times New Roman" w:hAnsi="Times New Roman" w:eastAsia="方正仿宋_GBK" w:cs="Times New Roman"/>
          <w:sz w:val="28"/>
          <w:szCs w:val="28"/>
        </w:rPr>
        <w:t xml:space="preserve">2）基于GIS地图，展示区域气站、VOCs、微站、风场要素，支持按图层进行要素筛选。</w:t>
      </w:r>
      <w:bookmarkEnd w:id="180"/>
      <w:r>
        <w:rPr>
          <w:rFonts w:hint="eastAsia"/>
          <w:sz w:val="24"/>
          <w:szCs w:val="24"/>
        </w:rPr>
      </w:r>
      <w:r/>
    </w:p>
    <w:p>
      <w:pPr>
        <w:pStyle w:val="679"/>
        <w:jc w:val="center"/>
        <w:keepNext/>
        <w:spacing w:line="400" w:lineRule="exact"/>
        <w:rPr>
          <w:rFonts w:hint="eastAsia" w:ascii="黑体" w:eastAsia="黑体"/>
          <w:bCs/>
          <w:sz w:val="28"/>
          <w:szCs w:val="28"/>
        </w:rPr>
        <w:outlineLvl w:val="0"/>
      </w:pPr>
      <w:r>
        <w:br w:type="page" w:clear="all"/>
      </w:r>
      <w:bookmarkStart w:id="181" w:name="_Toc120614281"/>
      <w:r>
        <w:rPr>
          <w:rFonts w:hint="eastAsia" w:ascii="黑体" w:eastAsia="黑体"/>
          <w:bCs/>
          <w:sz w:val="32"/>
          <w:szCs w:val="32"/>
        </w:rPr>
        <w:t xml:space="preserve">第五章  评审方法与评审标准</w:t>
      </w:r>
      <w:r>
        <w:rPr>
          <w:rFonts w:hint="eastAsia" w:ascii="黑体" w:eastAsia="黑体"/>
          <w:bCs/>
          <w:sz w:val="28"/>
          <w:szCs w:val="28"/>
        </w:rPr>
      </w:r>
      <w:r/>
    </w:p>
    <w:p>
      <w:pPr>
        <w:pStyle w:val="679"/>
        <w:ind w:firstLine="643"/>
        <w:jc w:val="left"/>
        <w:spacing w:before="120" w:after="120" w:line="40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679"/>
        <w:ind w:firstLine="562"/>
        <w:jc w:val="left"/>
        <w:spacing w:before="120" w:after="120"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679"/>
        <w:ind w:left="120"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679"/>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8"/>
          <w:szCs w:val="28"/>
        </w:rPr>
      </w:r>
      <w:r/>
    </w:p>
    <w:p>
      <w:pPr>
        <w:pStyle w:val="679"/>
        <w:ind w:firstLine="562"/>
        <w:jc w:val="left"/>
        <w:spacing w:before="120" w:after="120" w:line="400" w:lineRule="exact"/>
        <w:rPr>
          <w:rFonts w:ascii="宋体" w:hAnsi="宋体"/>
          <w:b/>
          <w:sz w:val="28"/>
          <w:szCs w:val="28"/>
        </w:rPr>
      </w:pPr>
      <w:r>
        <w:rPr>
          <w:rFonts w:ascii="宋体" w:hAnsi="宋体"/>
          <w:b/>
          <w:sz w:val="28"/>
          <w:szCs w:val="28"/>
        </w:rPr>
      </w:r>
      <w:r/>
    </w:p>
    <w:p>
      <w:pPr>
        <w:pStyle w:val="679"/>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679"/>
        <w:ind w:firstLine="482"/>
        <w:jc w:val="left"/>
        <w:shd w:val="clear" w:color="auto" w:fill="ffffff"/>
        <w:widowControl/>
        <w:rPr>
          <w:b/>
          <w:bCs/>
          <w:sz w:val="24"/>
          <w:szCs w:val="24"/>
        </w:rPr>
      </w:pPr>
      <w:r>
        <w:rPr>
          <w:rFonts w:hint="eastAsia"/>
          <w:b/>
          <w:bCs/>
          <w:sz w:val="24"/>
          <w:szCs w:val="24"/>
        </w:rPr>
        <w:t xml:space="preserve">（一）价格分（</w:t>
      </w:r>
      <w:r>
        <w:rPr>
          <w:b/>
          <w:bCs/>
          <w:sz w:val="24"/>
          <w:szCs w:val="24"/>
        </w:rPr>
        <w:t xml:space="preserve">10</w:t>
      </w:r>
      <w:r>
        <w:rPr>
          <w:rFonts w:hint="eastAsia"/>
          <w:b/>
          <w:bCs/>
          <w:sz w:val="24"/>
          <w:szCs w:val="24"/>
        </w:rPr>
        <w:t xml:space="preserve">分）</w:t>
      </w:r>
      <w:r>
        <w:rPr>
          <w:b/>
          <w:bCs/>
          <w:sz w:val="24"/>
          <w:szCs w:val="24"/>
        </w:rPr>
      </w:r>
      <w:r/>
    </w:p>
    <w:p>
      <w:pPr>
        <w:pStyle w:val="679"/>
        <w:ind w:firstLine="482"/>
        <w:rPr>
          <w:sz w:val="24"/>
          <w:szCs w:val="24"/>
        </w:rPr>
      </w:pPr>
      <w:r>
        <w:rPr>
          <w:rFonts w:hint="eastAsia"/>
          <w:sz w:val="24"/>
          <w:szCs w:val="24"/>
        </w:rPr>
        <w:t xml:space="preserve">1.1价格分采用低价优先法计算，即满足招标文件要求且投标价格最低的投标报价为基准价，其价格分为满分10分。</w:t>
      </w:r>
      <w:r>
        <w:rPr>
          <w:sz w:val="24"/>
          <w:szCs w:val="24"/>
        </w:rPr>
      </w:r>
      <w:r/>
    </w:p>
    <w:p>
      <w:pPr>
        <w:pStyle w:val="679"/>
        <w:ind w:firstLine="482"/>
        <w:rPr>
          <w:sz w:val="24"/>
          <w:szCs w:val="24"/>
        </w:rPr>
      </w:pPr>
      <w:r>
        <w:rPr>
          <w:rFonts w:hint="eastAsia"/>
          <w:sz w:val="24"/>
          <w:szCs w:val="24"/>
        </w:rPr>
        <w:t xml:space="preserve">其他投标人的投标报价得分计算公式如下：投标报价得分</w:t>
      </w:r>
      <w:r>
        <w:rPr>
          <w:sz w:val="24"/>
          <w:szCs w:val="24"/>
        </w:rPr>
        <w:t xml:space="preserve">=</w:t>
      </w:r>
      <w:r>
        <w:rPr>
          <w:rFonts w:hint="eastAsia"/>
          <w:sz w:val="24"/>
          <w:szCs w:val="24"/>
        </w:rPr>
        <w:t xml:space="preserve">（评标基准价／投标报价）×</w:t>
      </w:r>
      <w:r>
        <w:rPr>
          <w:sz w:val="24"/>
          <w:szCs w:val="24"/>
        </w:rPr>
        <w:t xml:space="preserve">10</w:t>
      </w:r>
      <w:r>
        <w:rPr>
          <w:rFonts w:hint="eastAsia"/>
          <w:sz w:val="24"/>
          <w:szCs w:val="24"/>
        </w:rPr>
        <w:t xml:space="preserve">（保留两位小数）</w:t>
      </w:r>
      <w:r>
        <w:rPr>
          <w:sz w:val="24"/>
          <w:szCs w:val="24"/>
        </w:rPr>
      </w:r>
      <w:r/>
    </w:p>
    <w:p>
      <w:pPr>
        <w:pStyle w:val="679"/>
        <w:ind w:firstLine="482"/>
        <w:shd w:val="clear" w:color="auto" w:fill="ffffff"/>
        <w:widowControl/>
        <w:rPr>
          <w:b/>
          <w:bCs/>
          <w:sz w:val="24"/>
          <w:szCs w:val="24"/>
        </w:rPr>
      </w:pPr>
      <w:r>
        <w:rPr>
          <w:rFonts w:hint="eastAsia"/>
          <w:b/>
          <w:bCs/>
          <w:sz w:val="24"/>
          <w:szCs w:val="24"/>
        </w:rPr>
        <w:t xml:space="preserve">（二）技术方案（</w:t>
      </w:r>
      <w:r>
        <w:rPr>
          <w:rFonts w:hint="eastAsia"/>
          <w:b/>
          <w:sz w:val="24"/>
          <w:szCs w:val="24"/>
          <w:lang w:val="zh-CN"/>
        </w:rPr>
        <w:t xml:space="preserve">44分</w:t>
      </w:r>
      <w:r>
        <w:rPr>
          <w:rFonts w:hint="eastAsia"/>
          <w:b/>
          <w:bCs/>
          <w:sz w:val="24"/>
          <w:szCs w:val="24"/>
        </w:rPr>
        <w:t xml:space="preserve">）</w:t>
      </w:r>
      <w:r>
        <w:rPr>
          <w:b/>
          <w:bCs/>
          <w:sz w:val="24"/>
          <w:szCs w:val="24"/>
        </w:rPr>
      </w:r>
      <w:r/>
    </w:p>
    <w:p>
      <w:pPr>
        <w:pStyle w:val="679"/>
        <w:ind w:firstLine="482"/>
        <w:rPr>
          <w:rFonts w:hint="eastAsia"/>
          <w:sz w:val="24"/>
          <w:szCs w:val="24"/>
        </w:rPr>
      </w:pPr>
      <w:r>
        <w:rPr>
          <w:rFonts w:hint="eastAsia"/>
          <w:sz w:val="24"/>
          <w:szCs w:val="24"/>
        </w:rPr>
        <w:t xml:space="preserve">2.1太湖流域污染排放趋势分析功能开发方案（5分）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（1）响应文件未提供“太湖流域污染排放趋势分析功能开发方案”或不符合该方案中全部条款要求的，视为不符合采购文件，不得分；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（2）响应文件符合“太湖流域污染排放趋势分析功能开发方案”中全部条款要求的，得3分；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太湖流域污染排放趋势分析功能开发方案”中“排放强度时空演变分析算法设计”、“同比/环比变化与异常识别规则引擎”、“统计图表与报告自动生成技术方案”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太湖安全度夏专项研判支撑方案（5分）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（1）响应文件未提供“太湖安全度夏专项研判支撑方案”或不符合该方案中全部条款要求的，视为不符合采购文件，不得分；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（2）响应文件符合“太湖安全度夏专项研判支撑方案”中全部条款要求的，得3分；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太湖安全度夏专项研判支撑方案”中“超标超量筛查方法”、“违法线索研判规则”、“核查建议生成与闭环反馈流程”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3</w:t>
      </w:r>
      <w:r>
        <w:rPr>
          <w:rFonts w:hint="eastAsia"/>
          <w:sz w:val="24"/>
          <w:szCs w:val="24"/>
        </w:rPr>
        <w:t xml:space="preserve"> 其他重点领域专项分析方案（5分）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（1）响应文件未提供“其他重点领域专项分析方案”或不符合该方案中全部条款要求的，视为不符合采购文件，不得分；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（2）响应文件符合“其他重点领域专项分析方案”中全部条款要求的，得3分；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其他重点领域专项分析方案”中“重污染天气应急管控数据快速匹配与研判分析方法”、“化工园区数据联网接入与质量评价体系”、“边缘计算网关数据采集规范化诊断与优化方案”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成果整理集成方案（5分）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（1）响应文件未提供“成果整理集成方案”或不符合该方案中全部条款要求的，视为不符合采购文件，不得分；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（2）响应文件符合“成果整理集成方案”中全部条款要求的，得3分；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成果整理集成方案”中“科技成果评价材料编制方法”、“软件著作权申报策略与材料准备”、“发明专利申请与质量管控”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项目管理方案（5分）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（1）响应文件未提供“项目管理方案”或不符合“项目管理方案”中全部条款要求的，视为不符合采购文件，不得分；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（2）响应文件符合“项目管理方案”中全部条款要求的，得3分；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项目管理方案”中“项目组织架构与职责分工”、“风险管理识别与应对措施”、“质量控制与内部评审制度”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6</w:t>
      </w:r>
      <w:r>
        <w:rPr>
          <w:rFonts w:hint="eastAsia"/>
          <w:sz w:val="24"/>
          <w:szCs w:val="24"/>
        </w:rPr>
        <w:t xml:space="preserve"> 项目培训方案（5分）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（1）响应文件未提供“项目培训方案”或不符合“项目培训方案”中全部条款要求的，视为不符合采购文件，不得分；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（2）响应文件符合“项目培训方案”中全部条款要求的，得3分；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项目培训方案”中“太湖流域污染排放趋势分析功能操作培训”、“数据分析研判方法培训”、“培训效果评估”三项要求的响应内容全部优于采购文件要求的（响应文件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7</w:t>
      </w:r>
      <w:r>
        <w:rPr>
          <w:rFonts w:hint="eastAsia"/>
          <w:sz w:val="24"/>
          <w:szCs w:val="24"/>
        </w:rPr>
        <w:t xml:space="preserve"> 数据治理与质量管控方案（5分）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（1）响应文件未提供“数据治理与质量管控方案”或不符合该方案中全部条款要求的，视为不符合采购文件，不得分；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（2）响应文件符合“数据治理与质量管控方案”中全部条款要求的，得3分；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数据治理与质量管控方案”中“多源数据接入规范与标准化处理”、“数据质量评估指标体系（完整性、时效性、准确性、一致性）”、“异常数据识别与自动修复机制”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w:t>
      </w:r>
      <w:r>
        <w:rPr>
          <w:sz w:val="24"/>
          <w:szCs w:val="24"/>
        </w:rPr>
        <w:t xml:space="preserve">8</w:t>
      </w:r>
      <w:r>
        <w:rPr>
          <w:rFonts w:hint="eastAsia"/>
          <w:sz w:val="24"/>
          <w:szCs w:val="24"/>
        </w:rPr>
        <w:t xml:space="preserve"> 应急响应与重大活动保障方案（5分）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（1）响应文件未提供“应急响应与重大活动保障方案”或不符合该方案中全部条款要求的，视为不符合采购文件，不得分；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（2）响应文件符合“应急响应与重大活动保障方案”中全部条款要求的，得3分；</w:t>
      </w:r>
      <w:r>
        <w:rPr>
          <w:rFonts w:hint="eastAsia"/>
          <w:sz w:val="24"/>
          <w:szCs w:val="24"/>
        </w:rPr>
      </w:r>
      <w:r/>
    </w:p>
    <w:p>
      <w:pPr>
        <w:pStyle w:val="679"/>
        <w:ind w:firstLine="482"/>
        <w:rPr>
          <w:rFonts w:hint="eastAsia"/>
          <w:sz w:val="24"/>
          <w:szCs w:val="24"/>
        </w:rPr>
      </w:pPr>
      <w:r>
        <w:rPr>
          <w:rFonts w:hint="eastAsia"/>
          <w:sz w:val="24"/>
          <w:szCs w:val="24"/>
        </w:rPr>
        <w:t xml:space="preserve">（3）经评委认定，响应文件对“应急响应与重大活动保障方案”中“分级分类响应流程（日常监测异常、重污染天气应急、太湖安全度夏、系统故障）”、“法定节假日及重大活动期间的值守排班与保障机制”、“应急情况下的快速研判与信息报送流程”三项要求的响应内容全部优于采购文件要求的（响应文件对该方案中其他要求响应内容符合采购文件要求），得5分。</w:t>
      </w:r>
      <w:r>
        <w:rPr>
          <w:rFonts w:hint="eastAsia"/>
          <w:sz w:val="24"/>
          <w:szCs w:val="24"/>
        </w:rPr>
      </w:r>
      <w:r/>
    </w:p>
    <w:p>
      <w:pPr>
        <w:pStyle w:val="679"/>
        <w:ind w:firstLine="482"/>
        <w:rPr>
          <w:rFonts w:hint="eastAsia"/>
          <w:sz w:val="24"/>
          <w:szCs w:val="24"/>
        </w:rPr>
      </w:pPr>
      <w:r>
        <w:rPr>
          <w:rFonts w:hint="eastAsia"/>
          <w:sz w:val="24"/>
          <w:szCs w:val="24"/>
        </w:rPr>
        <w:t xml:space="preserve">2.9 售后服务方案（4分）</w:t>
      </w:r>
      <w:r>
        <w:rPr>
          <w:rFonts w:hint="eastAsia"/>
          <w:sz w:val="24"/>
          <w:szCs w:val="24"/>
        </w:rPr>
      </w:r>
      <w:r/>
    </w:p>
    <w:p>
      <w:pPr>
        <w:pStyle w:val="679"/>
        <w:ind w:firstLine="482"/>
        <w:rPr>
          <w:rFonts w:hint="eastAsia"/>
          <w:sz w:val="24"/>
          <w:szCs w:val="24"/>
        </w:rPr>
      </w:pPr>
      <w:r>
        <w:rPr>
          <w:rFonts w:hint="eastAsia"/>
          <w:sz w:val="24"/>
          <w:szCs w:val="24"/>
        </w:rPr>
        <w:t xml:space="preserve">（1）响应文件未提供“售后服务方案”或不符合“售后服务方案”中全部条款要求的，视为不符合采购文件，不得分；</w:t>
      </w:r>
      <w:r>
        <w:rPr>
          <w:rFonts w:hint="eastAsia"/>
          <w:sz w:val="24"/>
          <w:szCs w:val="24"/>
        </w:rPr>
      </w:r>
      <w:r/>
    </w:p>
    <w:p>
      <w:pPr>
        <w:pStyle w:val="679"/>
        <w:ind w:firstLine="482"/>
        <w:rPr>
          <w:rFonts w:hint="eastAsia"/>
          <w:sz w:val="24"/>
          <w:szCs w:val="24"/>
        </w:rPr>
      </w:pPr>
      <w:r>
        <w:rPr>
          <w:rFonts w:hint="eastAsia"/>
          <w:sz w:val="24"/>
          <w:szCs w:val="24"/>
        </w:rPr>
        <w:t xml:space="preserve">（2）响应文件符合“售后服务方案”中全部条款要求的，得2分；</w:t>
      </w:r>
      <w:r>
        <w:rPr>
          <w:rFonts w:hint="eastAsia"/>
          <w:sz w:val="24"/>
          <w:szCs w:val="24"/>
        </w:rPr>
      </w:r>
      <w:r/>
    </w:p>
    <w:p>
      <w:pPr>
        <w:pStyle w:val="679"/>
        <w:ind w:firstLine="482"/>
        <w:rPr>
          <w:sz w:val="24"/>
          <w:szCs w:val="24"/>
        </w:rPr>
      </w:pPr>
      <w:r>
        <w:rPr>
          <w:rFonts w:hint="eastAsia"/>
          <w:sz w:val="24"/>
          <w:szCs w:val="24"/>
        </w:rPr>
        <w:t xml:space="preserve">（3）经评委认定，响应文件对“售后服务方案”中“技术支持服务方式与响应时效承诺”、“功能故障分级分类与解决方案”、“应急期间值守保障安排”三项要求的响应内容全部优于采购文件要求的（响应文件对该方案中其他要求响应内容符合采购文件要求），得4分。</w:t>
      </w:r>
      <w:r>
        <w:rPr>
          <w:sz w:val="24"/>
          <w:szCs w:val="24"/>
        </w:rPr>
      </w:r>
      <w:r/>
    </w:p>
    <w:p>
      <w:pPr>
        <w:pStyle w:val="679"/>
        <w:ind w:firstLine="482"/>
        <w:shd w:val="clear" w:color="auto" w:fill="ffffff"/>
        <w:widowControl/>
        <w:rPr>
          <w:b/>
          <w:bCs/>
          <w:sz w:val="24"/>
          <w:szCs w:val="24"/>
        </w:rPr>
      </w:pPr>
      <w:r>
        <w:rPr>
          <w:rFonts w:hint="eastAsia"/>
          <w:b/>
          <w:bCs/>
          <w:sz w:val="24"/>
          <w:szCs w:val="24"/>
        </w:rPr>
        <w:t xml:space="preserve">（三）供应商实力及业绩（17分）</w:t>
      </w:r>
      <w:r>
        <w:rPr>
          <w:b/>
          <w:bCs/>
          <w:sz w:val="24"/>
          <w:szCs w:val="24"/>
        </w:rPr>
      </w:r>
      <w:r/>
    </w:p>
    <w:p>
      <w:pPr>
        <w:pStyle w:val="679"/>
        <w:ind w:firstLine="482"/>
        <w:rPr>
          <w:sz w:val="24"/>
          <w:szCs w:val="24"/>
        </w:rPr>
      </w:pPr>
      <w:r>
        <w:rPr>
          <w:sz w:val="24"/>
          <w:szCs w:val="24"/>
        </w:rPr>
        <w:t xml:space="preserve">4.1</w:t>
      </w:r>
      <w:r>
        <w:rPr>
          <w:rFonts w:hint="eastAsia"/>
          <w:sz w:val="24"/>
          <w:szCs w:val="24"/>
        </w:rPr>
        <w:t xml:space="preserve">供应商提供有效期内数据管理能力成熟度（D</w:t>
      </w:r>
      <w:r>
        <w:rPr>
          <w:sz w:val="24"/>
          <w:szCs w:val="24"/>
        </w:rPr>
        <w:t xml:space="preserve">CMM</w:t>
      </w:r>
      <w:r>
        <w:rPr>
          <w:rFonts w:hint="eastAsia"/>
          <w:sz w:val="24"/>
          <w:szCs w:val="24"/>
        </w:rPr>
        <w:t xml:space="preserve">）证书，得2分。</w:t>
      </w:r>
      <w:r>
        <w:rPr>
          <w:sz w:val="24"/>
          <w:szCs w:val="24"/>
        </w:rPr>
      </w:r>
      <w:r/>
    </w:p>
    <w:p>
      <w:pPr>
        <w:pStyle w:val="679"/>
        <w:ind w:firstLine="482"/>
        <w:rPr>
          <w:rFonts w:hint="eastAsia"/>
          <w:b/>
          <w:bCs/>
          <w:sz w:val="24"/>
          <w:szCs w:val="24"/>
        </w:rPr>
      </w:pPr>
      <w:r>
        <w:rPr>
          <w:sz w:val="24"/>
          <w:szCs w:val="24"/>
        </w:rPr>
        <w:t xml:space="preserve">4.</w:t>
      </w:r>
      <w:bookmarkStart w:id="182" w:name="OLE_LINK8"/>
      <w:r>
        <w:rPr>
          <w:rFonts w:hint="eastAsia"/>
          <w:sz w:val="24"/>
          <w:szCs w:val="24"/>
        </w:rPr>
        <w:t xml:space="preserve">2供应商</w:t>
      </w:r>
      <w:bookmarkEnd w:id="182"/>
      <w:r>
        <w:rPr>
          <w:rFonts w:hint="eastAsia"/>
          <w:sz w:val="24"/>
          <w:szCs w:val="24"/>
        </w:rPr>
        <w:t xml:space="preserve">具备生态环境信息化综合研究能力，具有与生态环境相关的计算机软件著作权证书，证书应包含“非现场监管”类或“生态环境”类或“大数据”类相关能力，提供1类软件著作权证书得1分，本项最高得3分，没有不得分（须为供应商自有，经授权取得的不得分，软件著作权须在本项目开标之日前取得）。</w:t>
      </w:r>
      <w:bookmarkStart w:id="183" w:name="OLE_LINK7"/>
      <w:r>
        <w:rPr>
          <w:rFonts w:hint="eastAsia"/>
          <w:b/>
          <w:bCs/>
          <w:sz w:val="24"/>
          <w:szCs w:val="24"/>
        </w:rPr>
        <w:t xml:space="preserve">（如磋商响应文件中提供的著作权名称表述与招标文件描述的关键字样不一致，而该投标文件中能证明投标人拥有的软件著作权具有相同或相似功能和效果，且评标委员会认可的，视同符合要求。）</w:t>
      </w:r>
      <w:bookmarkEnd w:id="183"/>
      <w:r>
        <w:rPr>
          <w:rFonts w:hint="eastAsia"/>
          <w:b/>
          <w:bCs/>
          <w:sz w:val="24"/>
          <w:szCs w:val="24"/>
        </w:rPr>
      </w:r>
      <w:r/>
    </w:p>
    <w:p>
      <w:pPr>
        <w:pStyle w:val="679"/>
        <w:ind w:firstLine="482"/>
        <w:rPr>
          <w:sz w:val="24"/>
          <w:szCs w:val="24"/>
        </w:rPr>
      </w:pPr>
      <w:r>
        <w:rPr>
          <w:rFonts w:hint="eastAsia"/>
          <w:sz w:val="24"/>
          <w:szCs w:val="24"/>
        </w:rPr>
        <w:t xml:space="preserve">4.3投标人具备自主可控的生态环境数字化产品，相关产品获国产化适配性测试相关证书的得2分，未提供不得分。须为投标人自有，投标人需提供相关证书原件并加盖投标人公章，不提供则不得分</w:t>
      </w:r>
      <w:r>
        <w:rPr>
          <w:sz w:val="24"/>
          <w:szCs w:val="24"/>
        </w:rPr>
      </w:r>
      <w:r/>
    </w:p>
    <w:p>
      <w:pPr>
        <w:pStyle w:val="679"/>
        <w:ind w:firstLine="482"/>
        <w:rPr>
          <w:sz w:val="24"/>
          <w:szCs w:val="24"/>
        </w:rPr>
      </w:pPr>
      <w:r>
        <w:rPr>
          <w:sz w:val="24"/>
          <w:szCs w:val="24"/>
        </w:rPr>
        <w:t xml:space="preserve">4.</w:t>
      </w:r>
      <w:r>
        <w:rPr>
          <w:rFonts w:hint="eastAsia"/>
          <w:sz w:val="24"/>
          <w:szCs w:val="24"/>
        </w:rPr>
        <w:t xml:space="preserve">4供应商自</w:t>
      </w:r>
      <w:r>
        <w:rPr>
          <w:sz w:val="24"/>
          <w:szCs w:val="24"/>
        </w:rPr>
        <w:t xml:space="preserve">2023</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日以来（以合同签订时间为准）承担过类似人工智能研发或应用类项目</w:t>
      </w:r>
      <w:r>
        <w:rPr>
          <w:rFonts w:hint="eastAsia"/>
          <w:sz w:val="24"/>
          <w:szCs w:val="24"/>
          <w:lang w:eastAsia="zh-CN"/>
        </w:rPr>
        <w:t xml:space="preserve">（</w:t>
      </w:r>
      <w:r>
        <w:rPr>
          <w:rFonts w:hint="eastAsia"/>
          <w:sz w:val="24"/>
          <w:szCs w:val="24"/>
          <w:lang w:val="en-US" w:eastAsia="zh-CN"/>
        </w:rPr>
        <w:t xml:space="preserve">包含环境监测、污染源自动监控等</w:t>
      </w:r>
      <w:r>
        <w:rPr>
          <w:rFonts w:hint="eastAsia"/>
          <w:sz w:val="24"/>
          <w:szCs w:val="24"/>
          <w:lang w:eastAsia="zh-CN"/>
        </w:rPr>
        <w:t xml:space="preserve">）</w:t>
      </w:r>
      <w:r>
        <w:rPr>
          <w:rFonts w:hint="eastAsia"/>
          <w:sz w:val="24"/>
          <w:szCs w:val="24"/>
        </w:rPr>
        <w:t xml:space="preserve">，每提供</w:t>
      </w:r>
      <w:r>
        <w:rPr>
          <w:sz w:val="24"/>
          <w:szCs w:val="24"/>
        </w:rPr>
        <w:t xml:space="preserve">1</w:t>
      </w:r>
      <w:r>
        <w:rPr>
          <w:rFonts w:hint="eastAsia"/>
          <w:sz w:val="24"/>
          <w:szCs w:val="24"/>
        </w:rPr>
        <w:t xml:space="preserve">项得</w:t>
      </w:r>
      <w:r>
        <w:rPr>
          <w:sz w:val="24"/>
          <w:szCs w:val="24"/>
        </w:rPr>
        <w:t xml:space="preserve">2</w:t>
      </w:r>
      <w:r>
        <w:rPr>
          <w:rFonts w:hint="eastAsia"/>
          <w:sz w:val="24"/>
          <w:szCs w:val="24"/>
        </w:rPr>
        <w:t xml:space="preserve">分，最高得4分，没有不得分。需提供合同扫描件或复印件。</w:t>
      </w:r>
      <w:r>
        <w:rPr>
          <w:sz w:val="24"/>
          <w:szCs w:val="24"/>
        </w:rPr>
      </w:r>
      <w:r/>
    </w:p>
    <w:p>
      <w:pPr>
        <w:pStyle w:val="679"/>
        <w:ind w:firstLine="482"/>
        <w:rPr>
          <w:sz w:val="24"/>
          <w:szCs w:val="24"/>
        </w:rPr>
      </w:pPr>
      <w:r>
        <w:rPr>
          <w:sz w:val="24"/>
          <w:szCs w:val="24"/>
        </w:rPr>
        <w:t xml:space="preserve">4.</w:t>
      </w:r>
      <w:r>
        <w:rPr>
          <w:rFonts w:hint="eastAsia"/>
          <w:sz w:val="24"/>
          <w:szCs w:val="24"/>
        </w:rPr>
        <w:t xml:space="preserve">5供应商自</w:t>
      </w:r>
      <w:r>
        <w:rPr>
          <w:sz w:val="24"/>
          <w:szCs w:val="24"/>
        </w:rPr>
        <w:t xml:space="preserve">2023</w:t>
      </w:r>
      <w:r>
        <w:rPr>
          <w:rFonts w:hint="eastAsia"/>
          <w:sz w:val="24"/>
          <w:szCs w:val="24"/>
        </w:rPr>
        <w:t xml:space="preserve">年</w:t>
      </w:r>
      <w:r>
        <w:rPr>
          <w:sz w:val="24"/>
          <w:szCs w:val="24"/>
        </w:rPr>
        <w:t xml:space="preserve">1</w:t>
      </w:r>
      <w:r>
        <w:rPr>
          <w:rFonts w:hint="eastAsia"/>
          <w:sz w:val="24"/>
          <w:szCs w:val="24"/>
        </w:rPr>
        <w:t xml:space="preserve">月</w:t>
      </w:r>
      <w:r>
        <w:rPr>
          <w:sz w:val="24"/>
          <w:szCs w:val="24"/>
        </w:rPr>
        <w:t xml:space="preserve">1</w:t>
      </w:r>
      <w:r>
        <w:rPr>
          <w:rFonts w:hint="eastAsia"/>
          <w:sz w:val="24"/>
          <w:szCs w:val="24"/>
        </w:rPr>
        <w:t xml:space="preserve">日以来（以合同签订时间为准）承担过类似非现场监管系统开发或数据服务类项目的，每提供</w:t>
      </w:r>
      <w:r>
        <w:rPr>
          <w:sz w:val="24"/>
          <w:szCs w:val="24"/>
        </w:rPr>
        <w:t xml:space="preserve">1</w:t>
      </w:r>
      <w:r>
        <w:rPr>
          <w:rFonts w:hint="eastAsia"/>
          <w:sz w:val="24"/>
          <w:szCs w:val="24"/>
        </w:rPr>
        <w:t xml:space="preserve">项得</w:t>
      </w:r>
      <w:r>
        <w:rPr>
          <w:sz w:val="24"/>
          <w:szCs w:val="24"/>
        </w:rPr>
        <w:t xml:space="preserve">2</w:t>
      </w:r>
      <w:r>
        <w:rPr>
          <w:rFonts w:hint="eastAsia"/>
          <w:sz w:val="24"/>
          <w:szCs w:val="24"/>
        </w:rPr>
        <w:t xml:space="preserve">分，最高得6分，没有不得分。需提供合同扫描件或复印件。</w:t>
      </w:r>
      <w:r>
        <w:rPr>
          <w:sz w:val="24"/>
          <w:szCs w:val="24"/>
        </w:rPr>
      </w:r>
      <w:r/>
    </w:p>
    <w:p>
      <w:pPr>
        <w:pStyle w:val="679"/>
        <w:ind w:firstLine="482"/>
        <w:jc w:val="left"/>
        <w:shd w:val="clear" w:color="auto" w:fill="ffffff"/>
        <w:widowControl/>
        <w:rPr>
          <w:sz w:val="24"/>
          <w:szCs w:val="24"/>
        </w:rPr>
      </w:pPr>
      <w:r>
        <w:rPr>
          <w:rFonts w:hint="eastAsia"/>
          <w:b/>
          <w:bCs/>
          <w:sz w:val="24"/>
          <w:szCs w:val="24"/>
        </w:rPr>
        <w:t xml:space="preserve">（五）项目团队实力（19分）</w:t>
      </w:r>
      <w:r>
        <w:rPr>
          <w:sz w:val="24"/>
          <w:szCs w:val="24"/>
        </w:rPr>
      </w:r>
      <w:r/>
    </w:p>
    <w:p>
      <w:pPr>
        <w:pStyle w:val="679"/>
        <w:ind w:firstLine="482"/>
        <w:rPr>
          <w:color w:val="ff0000"/>
          <w:sz w:val="24"/>
          <w:szCs w:val="24"/>
        </w:rPr>
      </w:pPr>
      <w:r/>
      <w:bookmarkStart w:id="184" w:name="_Hlk191367579"/>
      <w:r>
        <w:rPr>
          <w:sz w:val="24"/>
          <w:szCs w:val="24"/>
        </w:rPr>
        <w:t xml:space="preserve">5.1</w:t>
      </w:r>
      <w:r>
        <w:rPr>
          <w:rFonts w:hint="eastAsia"/>
          <w:sz w:val="24"/>
          <w:szCs w:val="24"/>
        </w:rPr>
        <w:t xml:space="preserve">拟投入本项目的项目负责人，提供硕士研究生及以上学历证书得1分，提供高级工程师专业技术资格证书得2分，提供工程师专业技术资格证书得1分。本项最高得3分。</w:t>
      </w:r>
      <w:r>
        <w:rPr>
          <w:color w:val="ff0000"/>
          <w:sz w:val="24"/>
          <w:szCs w:val="24"/>
        </w:rPr>
      </w:r>
      <w:r/>
    </w:p>
    <w:p>
      <w:pPr>
        <w:pStyle w:val="679"/>
        <w:ind w:firstLine="482"/>
        <w:rPr>
          <w:sz w:val="24"/>
          <w:szCs w:val="24"/>
        </w:rPr>
      </w:pPr>
      <w:r>
        <w:rPr>
          <w:rFonts w:hint="eastAsia"/>
          <w:sz w:val="24"/>
          <w:szCs w:val="24"/>
        </w:rPr>
        <w:t xml:space="preserve">5.2拟投入本项目的项目成员，提供全日制本科及以上学历证书得1分，提供高级工程师专业技术资格证书得2分，提供工程师专业技术资格证书得1分。本项最高得3分。</w:t>
      </w:r>
      <w:r>
        <w:rPr>
          <w:sz w:val="24"/>
          <w:szCs w:val="24"/>
        </w:rPr>
      </w:r>
      <w:r/>
    </w:p>
    <w:p>
      <w:pPr>
        <w:pStyle w:val="679"/>
        <w:ind w:firstLine="482"/>
        <w:rPr>
          <w:sz w:val="24"/>
          <w:szCs w:val="24"/>
        </w:rPr>
      </w:pPr>
      <w:r/>
      <w:bookmarkStart w:id="185" w:name="OLE_LINK3"/>
      <w:r/>
      <w:bookmarkStart w:id="186" w:name="OLE_LINK15"/>
      <w:r>
        <w:rPr>
          <w:rFonts w:hint="eastAsia"/>
          <w:sz w:val="24"/>
          <w:szCs w:val="24"/>
        </w:rPr>
        <w:t xml:space="preserve">5.3拟投入本项目的项目成员，</w:t>
      </w:r>
      <w:bookmarkStart w:id="187" w:name="OLE_LINK5"/>
      <w:r>
        <w:rPr>
          <w:rFonts w:hint="eastAsia"/>
          <w:sz w:val="24"/>
          <w:szCs w:val="24"/>
        </w:rPr>
        <w:t xml:space="preserve">具有全日制本科及以上学历且为环境类相关专业的</w:t>
      </w:r>
      <w:bookmarkEnd w:id="187"/>
      <w:r>
        <w:rPr>
          <w:rFonts w:hint="eastAsia"/>
          <w:sz w:val="24"/>
          <w:szCs w:val="24"/>
        </w:rPr>
        <w:t xml:space="preserve">、并具有生态环境工程专业工程师专业技术资格证书，提供学历证书得</w:t>
      </w:r>
      <w:r>
        <w:rPr>
          <w:sz w:val="24"/>
          <w:szCs w:val="24"/>
        </w:rPr>
        <w:t xml:space="preserve">2</w:t>
      </w:r>
      <w:r>
        <w:rPr>
          <w:rFonts w:hint="eastAsia"/>
          <w:sz w:val="24"/>
          <w:szCs w:val="24"/>
        </w:rPr>
        <w:t xml:space="preserve">分，提供工程师专业技术资格证书得1分。同一人员同时满足上述两项条件时，可合并计分；本项人员数量上限为2人，最高得6分，超出部分不予计分。</w:t>
      </w:r>
      <w:bookmarkEnd w:id="184"/>
      <w:r>
        <w:rPr>
          <w:sz w:val="24"/>
          <w:szCs w:val="24"/>
        </w:rPr>
      </w:r>
      <w:r/>
    </w:p>
    <w:p>
      <w:pPr>
        <w:pStyle w:val="679"/>
        <w:ind w:firstLine="482"/>
        <w:rPr>
          <w:rFonts w:hint="eastAsia"/>
          <w:sz w:val="24"/>
          <w:szCs w:val="24"/>
        </w:rPr>
      </w:pPr>
      <w:r/>
      <w:bookmarkEnd w:id="185"/>
      <w:r>
        <w:rPr>
          <w:sz w:val="24"/>
          <w:szCs w:val="24"/>
        </w:rPr>
        <w:t xml:space="preserve">5.</w:t>
      </w:r>
      <w:r>
        <w:rPr>
          <w:rFonts w:hint="eastAsia"/>
          <w:sz w:val="24"/>
          <w:szCs w:val="24"/>
        </w:rPr>
        <w:t xml:space="preserve">4拟投入本项目的项目成员，</w:t>
      </w:r>
      <w:r>
        <w:rPr>
          <w:rFonts w:hint="eastAsia"/>
          <w:sz w:val="24"/>
          <w:szCs w:val="24"/>
          <w:lang w:val="en-US" w:eastAsia="zh-CN"/>
        </w:rPr>
        <w:t xml:space="preserve">提供</w:t>
      </w:r>
      <w:r>
        <w:rPr>
          <w:rFonts w:hint="eastAsia"/>
          <w:sz w:val="24"/>
          <w:szCs w:val="24"/>
        </w:rPr>
        <w:t xml:space="preserve">全日制本科及以上学历</w:t>
      </w:r>
      <w:r>
        <w:rPr>
          <w:rFonts w:hint="eastAsia"/>
          <w:sz w:val="24"/>
          <w:szCs w:val="24"/>
          <w:lang w:val="en-US" w:eastAsia="zh-CN"/>
        </w:rPr>
        <w:t xml:space="preserve">证书得1分，提供</w:t>
      </w:r>
      <w:r>
        <w:rPr>
          <w:rFonts w:hint="eastAsia"/>
          <w:sz w:val="24"/>
          <w:szCs w:val="24"/>
        </w:rPr>
        <w:t xml:space="preserve">计算机或电子信息类相关专业</w:t>
      </w:r>
      <w:r>
        <w:rPr>
          <w:rFonts w:hint="eastAsia"/>
          <w:sz w:val="24"/>
          <w:szCs w:val="24"/>
          <w:lang w:val="en-US" w:eastAsia="zh-CN"/>
        </w:rPr>
        <w:t xml:space="preserve">证书</w:t>
      </w:r>
      <w:r>
        <w:rPr>
          <w:rFonts w:hint="eastAsia"/>
          <w:sz w:val="24"/>
          <w:szCs w:val="24"/>
        </w:rPr>
        <w:t xml:space="preserve">的</w:t>
      </w:r>
      <w:r>
        <w:rPr>
          <w:rFonts w:hint="eastAsia"/>
          <w:sz w:val="24"/>
          <w:szCs w:val="24"/>
          <w:lang w:val="en-US" w:eastAsia="zh-CN"/>
        </w:rPr>
        <w:t xml:space="preserve">得1分</w:t>
      </w:r>
      <w:r>
        <w:rPr>
          <w:rFonts w:hint="eastAsia"/>
          <w:sz w:val="24"/>
          <w:szCs w:val="24"/>
        </w:rPr>
        <w:t xml:space="preserve">，</w:t>
      </w:r>
      <w:r>
        <w:rPr>
          <w:rFonts w:hint="eastAsia"/>
          <w:sz w:val="24"/>
          <w:szCs w:val="24"/>
          <w:lang w:val="en-US" w:eastAsia="zh-CN"/>
        </w:rPr>
        <w:t xml:space="preserve">同</w:t>
      </w:r>
      <w:r>
        <w:rPr>
          <w:rFonts w:hint="eastAsia"/>
          <w:sz w:val="24"/>
          <w:szCs w:val="24"/>
        </w:rPr>
        <w:t xml:space="preserve">一人</w:t>
      </w:r>
      <w:r>
        <w:rPr>
          <w:rFonts w:hint="eastAsia"/>
          <w:sz w:val="24"/>
          <w:szCs w:val="24"/>
          <w:lang w:val="en-US" w:eastAsia="zh-CN"/>
        </w:rPr>
        <w:t xml:space="preserve">满足要求</w:t>
      </w:r>
      <w:r>
        <w:rPr>
          <w:rFonts w:hint="eastAsia"/>
          <w:sz w:val="24"/>
          <w:szCs w:val="24"/>
        </w:rPr>
        <w:t xml:space="preserve">得2分，本项最高得4分。</w:t>
      </w:r>
      <w:r>
        <w:rPr>
          <w:rFonts w:hint="eastAsia"/>
          <w:sz w:val="24"/>
          <w:szCs w:val="24"/>
        </w:rPr>
      </w:r>
      <w:r/>
    </w:p>
    <w:p>
      <w:pPr>
        <w:pStyle w:val="679"/>
        <w:ind w:firstLine="482"/>
        <w:rPr>
          <w:sz w:val="24"/>
          <w:szCs w:val="24"/>
        </w:rPr>
      </w:pPr>
      <w:r/>
      <w:bookmarkEnd w:id="186"/>
      <w:r>
        <w:rPr>
          <w:sz w:val="24"/>
          <w:szCs w:val="24"/>
        </w:rPr>
        <w:t xml:space="preserve">5.</w:t>
      </w:r>
      <w:r>
        <w:rPr>
          <w:rFonts w:hint="eastAsia"/>
          <w:sz w:val="24"/>
          <w:szCs w:val="24"/>
        </w:rPr>
        <w:t xml:space="preserve">5拟投入本项目的项目成员，提供全日制本科及以上学历证书得1分，提供数据治理工程师（CDGA）证书得2分。本项最高得3分。</w:t>
      </w:r>
      <w:r>
        <w:rPr>
          <w:sz w:val="24"/>
          <w:szCs w:val="24"/>
        </w:rPr>
      </w:r>
      <w:r/>
    </w:p>
    <w:p>
      <w:pPr>
        <w:pStyle w:val="679"/>
        <w:ind w:firstLine="482"/>
        <w:jc w:val="left"/>
        <w:shd w:val="clear" w:color="auto" w:fill="ffffff"/>
        <w:widowControl/>
        <w:rPr>
          <w:b/>
          <w:sz w:val="24"/>
          <w:szCs w:val="24"/>
          <w:u w:val="single"/>
        </w:rPr>
      </w:pPr>
      <w:r>
        <w:rPr>
          <w:b/>
          <w:color w:val="000000"/>
          <w:sz w:val="24"/>
          <w:szCs w:val="24"/>
          <w:u w:val="single"/>
        </w:rPr>
        <w:t xml:space="preserve">5.1</w:t>
      </w:r>
      <w:r>
        <w:rPr>
          <w:rFonts w:hint="eastAsia"/>
          <w:b/>
          <w:color w:val="000000"/>
          <w:sz w:val="24"/>
          <w:szCs w:val="24"/>
          <w:u w:val="single"/>
        </w:rPr>
        <w:t xml:space="preserve">、</w:t>
      </w:r>
      <w:r>
        <w:rPr>
          <w:b/>
          <w:color w:val="000000"/>
          <w:sz w:val="24"/>
          <w:szCs w:val="24"/>
          <w:u w:val="single"/>
        </w:rPr>
        <w:t xml:space="preserve">5.2</w:t>
      </w:r>
      <w:r>
        <w:rPr>
          <w:rFonts w:hint="eastAsia"/>
          <w:b/>
          <w:color w:val="000000"/>
          <w:sz w:val="24"/>
          <w:szCs w:val="24"/>
          <w:u w:val="single"/>
        </w:rPr>
        <w:t xml:space="preserve">、</w:t>
      </w:r>
      <w:r>
        <w:rPr>
          <w:b/>
          <w:color w:val="000000"/>
          <w:sz w:val="24"/>
          <w:szCs w:val="24"/>
          <w:u w:val="single"/>
        </w:rPr>
        <w:t xml:space="preserve">5.3</w:t>
      </w:r>
      <w:r>
        <w:rPr>
          <w:rFonts w:hint="eastAsia"/>
          <w:b/>
          <w:color w:val="000000"/>
          <w:sz w:val="24"/>
          <w:szCs w:val="24"/>
          <w:u w:val="single"/>
        </w:rPr>
        <w:t xml:space="preserve">、5.4、5.5人员不重复得分，提供上述有</w:t>
      </w:r>
      <w:r>
        <w:rPr>
          <w:rFonts w:hint="eastAsia"/>
          <w:b/>
          <w:sz w:val="24"/>
          <w:szCs w:val="24"/>
          <w:u w:val="single"/>
        </w:rPr>
        <w:t xml:space="preserve">效证明文件扫描件或复印件以及供应商为其缴纳的近3个月以来任意1个月的社保证明，否则不得分。</w:t>
      </w:r>
      <w:r>
        <w:rPr>
          <w:b/>
          <w:sz w:val="24"/>
          <w:szCs w:val="24"/>
          <w:u w:val="single"/>
        </w:rPr>
      </w:r>
      <w:r/>
    </w:p>
    <w:p>
      <w:pPr>
        <w:pStyle w:val="679"/>
        <w:rPr>
          <w:b/>
          <w:color w:val="000000"/>
          <w:sz w:val="24"/>
        </w:rPr>
      </w:pPr>
      <w:r>
        <w:rPr>
          <w:rFonts w:hint="eastAsia"/>
          <w:b/>
          <w:color w:val="000000"/>
          <w:sz w:val="24"/>
        </w:rPr>
        <w:t xml:space="preserve">说明：以上证明、证书、认证等资料的复印件或扫描件，采购人有权在成交后签订合同前要求成交供应商提供原件备查，如有虚假，将上报政府采购主管部门。</w:t>
      </w:r>
      <w:r>
        <w:rPr>
          <w:b/>
          <w:color w:val="000000"/>
          <w:sz w:val="24"/>
        </w:rPr>
      </w:r>
      <w:r/>
    </w:p>
    <w:p>
      <w:pPr>
        <w:pStyle w:val="679"/>
        <w:numPr>
          <w:ilvl w:val="0"/>
          <w:numId w:val="4"/>
        </w:numPr>
        <w:ind w:firstLine="482"/>
        <w:jc w:val="left"/>
        <w:shd w:val="clear" w:color="auto" w:fill="ffffff"/>
        <w:widowControl/>
        <w:rPr>
          <w:b/>
          <w:sz w:val="24"/>
          <w:szCs w:val="24"/>
        </w:rPr>
      </w:pPr>
      <w:r>
        <w:rPr>
          <w:rFonts w:hint="eastAsia"/>
          <w:b/>
          <w:sz w:val="24"/>
          <w:szCs w:val="24"/>
        </w:rPr>
        <w:t xml:space="preserve">演示（10分）</w:t>
      </w:r>
      <w:r>
        <w:rPr>
          <w:b/>
          <w:sz w:val="24"/>
          <w:szCs w:val="24"/>
        </w:rPr>
      </w:r>
      <w:r/>
    </w:p>
    <w:p>
      <w:pPr>
        <w:pStyle w:val="679"/>
        <w:ind w:firstLine="482"/>
        <w:jc w:val="left"/>
        <w:shd w:val="clear" w:color="auto" w:fill="auto"/>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演示要求：供应商需按照磋商文件规定的演示内容制作演示视频文件，视频文件的格式为X.mp4或X.avi，供应商须将视频文件分段压缩为X.zip文件上传（单个文件不得大于50M，所有文件总共不得大于300M）。文件上传方式见《操作手册》规定，上传的演示视频将作为响应文件的组成部分，视频时长总计不超过15分钟。投标人提供的演示视频，根据招标演示要求，以真实系统呈现最高得10分；以PPT、图片、静态HTML演示最高得5分（即每个演示部分最高得分为该部分总分数的一半），未按要求提供演示视频的视为无效投标。</w:t>
      </w:r>
      <w:r>
        <w:rPr>
          <w:rFonts w:hint="eastAsia" w:ascii="Times New Roman" w:hAnsi="Times New Roman" w:eastAsia="宋体" w:cs="Times New Roman"/>
          <w:sz w:val="24"/>
          <w:szCs w:val="24"/>
        </w:rPr>
      </w:r>
      <w:r/>
    </w:p>
    <w:p>
      <w:pPr>
        <w:pStyle w:val="679"/>
        <w:ind w:firstLine="482"/>
        <w:rPr>
          <w:sz w:val="24"/>
          <w:szCs w:val="24"/>
        </w:rPr>
      </w:pPr>
      <w:r>
        <w:rPr>
          <w:sz w:val="24"/>
          <w:szCs w:val="24"/>
        </w:rPr>
        <w:t xml:space="preserve">6.1</w:t>
      </w:r>
      <w:r>
        <w:rPr>
          <w:rFonts w:hint="eastAsia"/>
          <w:sz w:val="24"/>
          <w:szCs w:val="24"/>
        </w:rPr>
        <w:t xml:space="preserve">演示污染源排放查询功能（</w:t>
      </w:r>
      <w:r>
        <w:rPr>
          <w:sz w:val="24"/>
          <w:szCs w:val="24"/>
        </w:rPr>
        <w:t xml:space="preserve">2</w:t>
      </w:r>
      <w:r>
        <w:rPr>
          <w:rFonts w:hint="eastAsia"/>
          <w:sz w:val="24"/>
          <w:szCs w:val="24"/>
        </w:rPr>
        <w:t xml:space="preserve">分）</w:t>
      </w:r>
      <w:r>
        <w:rPr>
          <w:sz w:val="24"/>
          <w:szCs w:val="24"/>
        </w:rPr>
      </w:r>
      <w:r/>
    </w:p>
    <w:p>
      <w:pPr>
        <w:pStyle w:val="679"/>
        <w:ind w:firstLine="482"/>
        <w:rPr>
          <w:sz w:val="24"/>
          <w:szCs w:val="24"/>
        </w:rPr>
      </w:pPr>
      <w:r>
        <w:rPr>
          <w:rFonts w:hint="eastAsia"/>
          <w:sz w:val="24"/>
          <w:szCs w:val="24"/>
        </w:rPr>
        <w:t xml:space="preserve">以太湖流域企业或污水处理厂为例：</w:t>
      </w:r>
      <w:r>
        <w:rPr>
          <w:sz w:val="24"/>
          <w:szCs w:val="24"/>
        </w:rPr>
      </w:r>
      <w:r/>
    </w:p>
    <w:p>
      <w:pPr>
        <w:pStyle w:val="679"/>
        <w:ind w:firstLine="482"/>
        <w:rPr>
          <w:sz w:val="24"/>
          <w:szCs w:val="24"/>
        </w:rPr>
      </w:pPr>
      <w:r>
        <w:rPr>
          <w:rFonts w:hint="eastAsia"/>
          <w:sz w:val="24"/>
          <w:szCs w:val="24"/>
        </w:rPr>
        <w:t xml:space="preserve">1）演示按行政区、企业、排口、时间区间、污染因子查询排放浓度和排放量，支持日/小时切换统计；</w:t>
      </w:r>
      <w:r>
        <w:rPr>
          <w:sz w:val="24"/>
          <w:szCs w:val="24"/>
        </w:rPr>
      </w:r>
      <w:r/>
    </w:p>
    <w:p>
      <w:pPr>
        <w:pStyle w:val="679"/>
        <w:ind w:firstLine="482"/>
        <w:rPr>
          <w:sz w:val="24"/>
          <w:szCs w:val="24"/>
        </w:rPr>
      </w:pPr>
      <w:r>
        <w:rPr>
          <w:rFonts w:hint="eastAsia"/>
          <w:sz w:val="24"/>
          <w:szCs w:val="24"/>
        </w:rPr>
        <w:t xml:space="preserve">2）支持按行业类型或关键字快速查询企业基础信息。</w:t>
      </w:r>
      <w:r>
        <w:rPr>
          <w:sz w:val="24"/>
          <w:szCs w:val="24"/>
        </w:rPr>
      </w:r>
      <w:r/>
    </w:p>
    <w:p>
      <w:pPr>
        <w:pStyle w:val="679"/>
        <w:ind w:firstLine="482"/>
        <w:rPr>
          <w:rFonts w:hint="eastAsia"/>
          <w:sz w:val="24"/>
          <w:szCs w:val="24"/>
        </w:rPr>
      </w:pPr>
      <w:r>
        <w:rPr>
          <w:rFonts w:hint="eastAsia"/>
          <w:sz w:val="24"/>
          <w:szCs w:val="24"/>
        </w:rPr>
        <w:t xml:space="preserve">每点1分，本项最高2分。</w:t>
      </w:r>
      <w:r>
        <w:rPr>
          <w:rFonts w:hint="eastAsia"/>
          <w:sz w:val="24"/>
          <w:szCs w:val="24"/>
        </w:rPr>
      </w:r>
      <w:r/>
    </w:p>
    <w:p>
      <w:pPr>
        <w:pStyle w:val="679"/>
        <w:ind w:firstLine="482"/>
        <w:rPr>
          <w:sz w:val="24"/>
          <w:szCs w:val="24"/>
        </w:rPr>
      </w:pPr>
      <w:r>
        <w:rPr>
          <w:sz w:val="24"/>
          <w:szCs w:val="24"/>
        </w:rPr>
        <w:t xml:space="preserve">6.2</w:t>
      </w:r>
      <w:r>
        <w:rPr>
          <w:rFonts w:hint="eastAsia"/>
          <w:sz w:val="24"/>
          <w:szCs w:val="24"/>
        </w:rPr>
        <w:t xml:space="preserve">演示非现场监管规则管理、预警</w:t>
      </w:r>
      <w:bookmarkStart w:id="188" w:name="OLE_LINK22"/>
      <w:r>
        <w:rPr>
          <w:rFonts w:hint="eastAsia"/>
          <w:sz w:val="24"/>
          <w:szCs w:val="24"/>
        </w:rPr>
        <w:t xml:space="preserve">功能（</w:t>
      </w:r>
      <w:r>
        <w:rPr>
          <w:sz w:val="24"/>
          <w:szCs w:val="24"/>
        </w:rPr>
        <w:t xml:space="preserve">2</w:t>
      </w:r>
      <w:r>
        <w:rPr>
          <w:rFonts w:hint="eastAsia"/>
          <w:sz w:val="24"/>
          <w:szCs w:val="24"/>
        </w:rPr>
        <w:t xml:space="preserve">分）</w:t>
      </w:r>
      <w:bookmarkEnd w:id="188"/>
      <w:r>
        <w:rPr>
          <w:sz w:val="24"/>
          <w:szCs w:val="24"/>
        </w:rPr>
      </w:r>
      <w:r/>
    </w:p>
    <w:p>
      <w:pPr>
        <w:pStyle w:val="679"/>
        <w:ind w:firstLine="482"/>
        <w:rPr>
          <w:sz w:val="24"/>
          <w:szCs w:val="24"/>
        </w:rPr>
      </w:pPr>
      <w:r>
        <w:rPr>
          <w:rFonts w:hint="eastAsia"/>
          <w:sz w:val="24"/>
          <w:szCs w:val="24"/>
        </w:rPr>
        <w:t xml:space="preserve">以省级或市级为例：</w:t>
      </w:r>
      <w:r>
        <w:rPr>
          <w:sz w:val="24"/>
          <w:szCs w:val="24"/>
        </w:rPr>
      </w:r>
      <w:r/>
    </w:p>
    <w:p>
      <w:pPr>
        <w:pStyle w:val="679"/>
        <w:ind w:firstLine="482"/>
        <w:rPr>
          <w:sz w:val="24"/>
          <w:szCs w:val="24"/>
        </w:rPr>
      </w:pPr>
      <w:r>
        <w:rPr>
          <w:rFonts w:hint="eastAsia"/>
          <w:sz w:val="24"/>
          <w:szCs w:val="24"/>
        </w:rPr>
        <w:t xml:space="preserve">1）演示非现场监管规则库管理，包括编辑预警阈值、修改预警等级、增减功能；</w:t>
      </w:r>
      <w:r>
        <w:rPr>
          <w:sz w:val="24"/>
          <w:szCs w:val="24"/>
        </w:rPr>
      </w:r>
      <w:r/>
    </w:p>
    <w:p>
      <w:pPr>
        <w:pStyle w:val="679"/>
        <w:ind w:firstLine="482"/>
        <w:rPr>
          <w:sz w:val="24"/>
          <w:szCs w:val="24"/>
        </w:rPr>
      </w:pPr>
      <w:r>
        <w:rPr>
          <w:rFonts w:hint="eastAsia"/>
          <w:sz w:val="24"/>
          <w:szCs w:val="24"/>
        </w:rPr>
        <w:t xml:space="preserve">2）演示异常数据预警功能，包括信息提醒、信息内容展示。</w:t>
      </w:r>
      <w:r>
        <w:rPr>
          <w:sz w:val="24"/>
          <w:szCs w:val="24"/>
        </w:rPr>
      </w:r>
      <w:r/>
    </w:p>
    <w:p>
      <w:pPr>
        <w:pStyle w:val="679"/>
        <w:ind w:firstLine="482"/>
        <w:rPr>
          <w:rFonts w:hint="eastAsia"/>
          <w:sz w:val="24"/>
          <w:szCs w:val="24"/>
        </w:rPr>
      </w:pPr>
      <w:r>
        <w:rPr>
          <w:rFonts w:hint="eastAsia"/>
          <w:sz w:val="24"/>
          <w:szCs w:val="24"/>
        </w:rPr>
        <w:t xml:space="preserve">每点1分，本项最高2分。</w:t>
      </w:r>
      <w:r>
        <w:rPr>
          <w:rFonts w:hint="eastAsia"/>
          <w:sz w:val="24"/>
          <w:szCs w:val="24"/>
        </w:rPr>
      </w:r>
      <w:r/>
    </w:p>
    <w:p>
      <w:pPr>
        <w:pStyle w:val="679"/>
        <w:ind w:firstLine="482"/>
        <w:rPr>
          <w:sz w:val="24"/>
          <w:szCs w:val="24"/>
        </w:rPr>
      </w:pPr>
      <w:r>
        <w:rPr>
          <w:rFonts w:hint="eastAsia"/>
          <w:sz w:val="24"/>
          <w:szCs w:val="24"/>
        </w:rPr>
        <w:t xml:space="preserve">6.3演示指挥调度流程（2分）</w:t>
      </w:r>
      <w:r>
        <w:rPr>
          <w:sz w:val="24"/>
          <w:szCs w:val="24"/>
        </w:rPr>
      </w:r>
      <w:r/>
    </w:p>
    <w:p>
      <w:pPr>
        <w:pStyle w:val="679"/>
        <w:ind w:firstLine="482"/>
        <w:rPr>
          <w:sz w:val="24"/>
          <w:szCs w:val="24"/>
        </w:rPr>
      </w:pPr>
      <w:r>
        <w:rPr>
          <w:rFonts w:hint="eastAsia"/>
          <w:sz w:val="24"/>
          <w:szCs w:val="24"/>
        </w:rPr>
        <w:t xml:space="preserve">以省级或市级为例：</w:t>
      </w:r>
      <w:r>
        <w:rPr>
          <w:sz w:val="24"/>
          <w:szCs w:val="24"/>
        </w:rPr>
      </w:r>
      <w:r/>
    </w:p>
    <w:p>
      <w:pPr>
        <w:pStyle w:val="679"/>
        <w:ind w:firstLine="482"/>
        <w:rPr>
          <w:sz w:val="24"/>
          <w:szCs w:val="24"/>
        </w:rPr>
      </w:pPr>
      <w:r>
        <w:rPr>
          <w:rFonts w:hint="eastAsia"/>
          <w:sz w:val="24"/>
          <w:szCs w:val="24"/>
        </w:rPr>
        <w:t xml:space="preserve">1）演示指挥调度全过程，包括预警下发、预警接收、预警反馈、预警审核；</w:t>
      </w:r>
      <w:r>
        <w:rPr>
          <w:sz w:val="24"/>
          <w:szCs w:val="24"/>
        </w:rPr>
      </w:r>
      <w:r/>
    </w:p>
    <w:p>
      <w:pPr>
        <w:pStyle w:val="679"/>
        <w:ind w:firstLine="482"/>
        <w:rPr>
          <w:sz w:val="24"/>
          <w:szCs w:val="24"/>
        </w:rPr>
      </w:pPr>
      <w:r>
        <w:rPr>
          <w:rFonts w:hint="eastAsia"/>
          <w:sz w:val="24"/>
          <w:szCs w:val="24"/>
        </w:rPr>
        <w:t xml:space="preserve">2）演示指挥调度视频连线功能，包括视频通话、视频录制。</w:t>
      </w:r>
      <w:r>
        <w:rPr>
          <w:sz w:val="24"/>
          <w:szCs w:val="24"/>
        </w:rPr>
      </w:r>
      <w:r/>
    </w:p>
    <w:p>
      <w:pPr>
        <w:pStyle w:val="679"/>
        <w:ind w:firstLine="482"/>
        <w:rPr>
          <w:rFonts w:hint="eastAsia"/>
          <w:sz w:val="24"/>
          <w:szCs w:val="24"/>
        </w:rPr>
      </w:pPr>
      <w:r>
        <w:rPr>
          <w:rFonts w:hint="eastAsia"/>
          <w:sz w:val="24"/>
          <w:szCs w:val="24"/>
        </w:rPr>
        <w:t xml:space="preserve">每点1分，本项最高2分。</w:t>
      </w:r>
      <w:r>
        <w:rPr>
          <w:rFonts w:hint="eastAsia"/>
          <w:sz w:val="24"/>
          <w:szCs w:val="24"/>
        </w:rPr>
      </w:r>
      <w:r/>
    </w:p>
    <w:p>
      <w:pPr>
        <w:pStyle w:val="679"/>
        <w:ind w:firstLine="482"/>
        <w:rPr>
          <w:sz w:val="24"/>
          <w:szCs w:val="24"/>
        </w:rPr>
      </w:pPr>
      <w:r>
        <w:rPr>
          <w:rFonts w:hint="eastAsia"/>
          <w:sz w:val="24"/>
          <w:szCs w:val="24"/>
        </w:rPr>
        <w:t xml:space="preserve">6.4演示污染源监测监控设施管理功能（2分）</w:t>
      </w:r>
      <w:r>
        <w:rPr>
          <w:sz w:val="24"/>
          <w:szCs w:val="24"/>
        </w:rPr>
      </w:r>
      <w:r/>
    </w:p>
    <w:p>
      <w:pPr>
        <w:pStyle w:val="679"/>
        <w:ind w:firstLine="482"/>
        <w:rPr>
          <w:rFonts w:hint="eastAsia"/>
          <w:sz w:val="24"/>
          <w:szCs w:val="24"/>
        </w:rPr>
      </w:pPr>
      <w:r/>
      <w:bookmarkStart w:id="189" w:name="OLE_LINK23"/>
      <w:r>
        <w:rPr>
          <w:rFonts w:hint="eastAsia"/>
          <w:sz w:val="24"/>
          <w:szCs w:val="24"/>
        </w:rPr>
        <w:t xml:space="preserve">以省级或市级为例</w:t>
      </w:r>
      <w:bookmarkEnd w:id="189"/>
      <w:r>
        <w:rPr>
          <w:rFonts w:hint="eastAsia"/>
          <w:sz w:val="24"/>
          <w:szCs w:val="24"/>
        </w:rPr>
        <w:t xml:space="preserve">：</w:t>
      </w:r>
      <w:r>
        <w:rPr>
          <w:rFonts w:hint="eastAsia"/>
          <w:sz w:val="24"/>
          <w:szCs w:val="24"/>
        </w:rPr>
      </w:r>
      <w:r/>
    </w:p>
    <w:p>
      <w:pPr>
        <w:pStyle w:val="679"/>
        <w:ind w:firstLine="482"/>
        <w:rPr>
          <w:rFonts w:hint="eastAsia"/>
          <w:sz w:val="24"/>
          <w:szCs w:val="24"/>
        </w:rPr>
      </w:pPr>
      <w:r>
        <w:rPr>
          <w:rFonts w:hint="eastAsia"/>
          <w:sz w:val="24"/>
          <w:szCs w:val="24"/>
        </w:rPr>
        <w:t xml:space="preserve">1）演示企业自动监测监控设备检定、验收、数据联网、异常标记情况，并支持查看单个企业的详细数据；</w:t>
      </w:r>
      <w:r>
        <w:rPr>
          <w:rFonts w:hint="eastAsia"/>
          <w:sz w:val="24"/>
          <w:szCs w:val="24"/>
        </w:rPr>
      </w:r>
      <w:r/>
    </w:p>
    <w:p>
      <w:pPr>
        <w:pStyle w:val="679"/>
        <w:ind w:firstLine="482"/>
        <w:rPr>
          <w:rFonts w:hint="eastAsia"/>
          <w:sz w:val="24"/>
          <w:szCs w:val="24"/>
        </w:rPr>
      </w:pPr>
      <w:r>
        <w:rPr>
          <w:rFonts w:hint="eastAsia"/>
          <w:sz w:val="24"/>
          <w:szCs w:val="24"/>
        </w:rPr>
        <w:t xml:space="preserve">2）演示企业自动监测监控设备数据质控情况，并支持查看单个企业的详细数据。</w:t>
      </w:r>
      <w:r>
        <w:rPr>
          <w:rFonts w:hint="eastAsia"/>
          <w:sz w:val="24"/>
          <w:szCs w:val="24"/>
        </w:rPr>
      </w:r>
      <w:r/>
    </w:p>
    <w:p>
      <w:pPr>
        <w:pStyle w:val="679"/>
        <w:ind w:firstLine="482"/>
        <w:rPr>
          <w:rFonts w:hint="eastAsia"/>
          <w:sz w:val="24"/>
          <w:szCs w:val="24"/>
        </w:rPr>
      </w:pPr>
      <w:r>
        <w:rPr>
          <w:rFonts w:hint="eastAsia"/>
          <w:sz w:val="24"/>
          <w:szCs w:val="24"/>
        </w:rPr>
        <w:t xml:space="preserve">每点1分，本项最高2分。</w:t>
      </w:r>
      <w:r>
        <w:rPr>
          <w:rFonts w:hint="eastAsia"/>
          <w:sz w:val="24"/>
          <w:szCs w:val="24"/>
        </w:rPr>
      </w:r>
      <w:r/>
    </w:p>
    <w:p>
      <w:pPr>
        <w:pStyle w:val="679"/>
        <w:ind w:firstLine="482"/>
        <w:rPr>
          <w:sz w:val="24"/>
          <w:szCs w:val="24"/>
        </w:rPr>
      </w:pPr>
      <w:r>
        <w:rPr>
          <w:rFonts w:hint="eastAsia"/>
          <w:sz w:val="24"/>
          <w:szCs w:val="24"/>
        </w:rPr>
        <w:t xml:space="preserve">6.5</w:t>
      </w:r>
      <w:bookmarkStart w:id="190" w:name="OLE_LINK2"/>
      <w:r>
        <w:rPr>
          <w:rFonts w:hint="eastAsia"/>
          <w:sz w:val="24"/>
          <w:szCs w:val="24"/>
        </w:rPr>
        <w:t xml:space="preserve">演示</w:t>
      </w:r>
      <w:bookmarkEnd w:id="190"/>
      <w:r>
        <w:rPr>
          <w:rFonts w:hint="eastAsia"/>
          <w:sz w:val="24"/>
          <w:szCs w:val="24"/>
        </w:rPr>
        <w:t xml:space="preserve">一张图展示功能（2分）</w:t>
      </w:r>
      <w:r>
        <w:rPr>
          <w:sz w:val="24"/>
          <w:szCs w:val="24"/>
        </w:rPr>
      </w:r>
      <w:r/>
    </w:p>
    <w:p>
      <w:pPr>
        <w:pStyle w:val="679"/>
        <w:ind w:firstLine="482"/>
        <w:rPr>
          <w:rFonts w:hint="eastAsia"/>
          <w:sz w:val="24"/>
          <w:szCs w:val="24"/>
        </w:rPr>
      </w:pPr>
      <w:r/>
      <w:bookmarkStart w:id="191" w:name="OLE_LINK24"/>
      <w:r/>
      <w:bookmarkStart w:id="192" w:name="OLE_LINK18"/>
      <w:r>
        <w:rPr>
          <w:rFonts w:hint="eastAsia"/>
          <w:sz w:val="24"/>
          <w:szCs w:val="24"/>
        </w:rPr>
        <w:t xml:space="preserve">以省级或市级为例</w:t>
      </w:r>
      <w:bookmarkEnd w:id="191"/>
      <w:r>
        <w:rPr>
          <w:rFonts w:hint="eastAsia"/>
          <w:sz w:val="24"/>
          <w:szCs w:val="24"/>
        </w:rPr>
        <w:t xml:space="preserve">：</w:t>
      </w:r>
      <w:r>
        <w:rPr>
          <w:rFonts w:hint="eastAsia"/>
          <w:sz w:val="24"/>
          <w:szCs w:val="24"/>
        </w:rPr>
      </w:r>
      <w:r/>
    </w:p>
    <w:p>
      <w:pPr>
        <w:pStyle w:val="679"/>
        <w:ind w:firstLine="482"/>
        <w:rPr>
          <w:rFonts w:hint="eastAsia"/>
          <w:sz w:val="24"/>
          <w:szCs w:val="24"/>
        </w:rPr>
      </w:pPr>
      <w:r>
        <w:rPr>
          <w:rFonts w:hint="eastAsia"/>
          <w:sz w:val="24"/>
          <w:szCs w:val="24"/>
        </w:rPr>
        <w:t xml:space="preserve">1）基于GIS地图，展示区域水站、区域河流水系图要素，支持按图层进行要素筛选；</w:t>
      </w:r>
      <w:bookmarkStart w:id="193" w:name="OLE_LINK20"/>
      <w:r>
        <w:rPr>
          <w:rFonts w:hint="eastAsia"/>
          <w:sz w:val="24"/>
          <w:szCs w:val="24"/>
        </w:rPr>
      </w:r>
      <w:r/>
    </w:p>
    <w:p>
      <w:pPr>
        <w:pStyle w:val="691"/>
        <w:ind w:left="0" w:firstLine="480"/>
        <w:rPr>
          <w:rFonts w:hint="eastAsia"/>
          <w:sz w:val="24"/>
          <w:szCs w:val="24"/>
        </w:rPr>
      </w:pPr>
      <w:r>
        <w:rPr>
          <w:rFonts w:hint="eastAsia"/>
          <w:sz w:val="24"/>
          <w:szCs w:val="24"/>
        </w:rPr>
        <w:t xml:space="preserve">2）基于GIS地图，展示区域气站、VOCs、微站、风场要素，支持按图层进行要素筛选。</w:t>
      </w:r>
      <w:r>
        <w:rPr>
          <w:rFonts w:hint="eastAsia"/>
          <w:sz w:val="24"/>
          <w:szCs w:val="24"/>
        </w:rPr>
      </w:r>
      <w:r/>
    </w:p>
    <w:p>
      <w:pPr>
        <w:pStyle w:val="679"/>
        <w:ind w:firstLine="480"/>
        <w:rPr>
          <w:sz w:val="24"/>
          <w:szCs w:val="24"/>
        </w:rPr>
      </w:pPr>
      <w:r>
        <w:rPr>
          <w:rFonts w:hint="eastAsia"/>
          <w:sz w:val="24"/>
          <w:szCs w:val="24"/>
        </w:rPr>
        <w:t xml:space="preserve">每点1分，本项最高2分。</w:t>
      </w:r>
      <w:bookmarkEnd w:id="192"/>
      <w:r/>
      <w:bookmarkEnd w:id="193"/>
      <w:r>
        <w:rPr>
          <w:sz w:val="24"/>
          <w:szCs w:val="24"/>
        </w:rPr>
      </w:r>
      <w:r/>
    </w:p>
    <w:p>
      <w:pPr>
        <w:pStyle w:val="679"/>
        <w:rPr>
          <w:szCs w:val="21"/>
        </w:rPr>
      </w:pPr>
      <w:r>
        <w:rPr>
          <w:szCs w:val="21"/>
        </w:rPr>
        <w:br w:type="page" w:clear="all"/>
      </w:r>
      <w:r>
        <w:rPr>
          <w:szCs w:val="21"/>
        </w:rPr>
      </w:r>
      <w:r/>
    </w:p>
    <w:p>
      <w:pPr>
        <w:pStyle w:val="681"/>
        <w:spacing w:line="400" w:lineRule="exact"/>
        <w:rPr>
          <w:rFonts w:hint="eastAsia" w:ascii="黑体" w:hAnsi="黑体" w:eastAsia="黑体"/>
          <w:b w:val="0"/>
          <w:bCs w:val="0"/>
          <w:sz w:val="28"/>
          <w:szCs w:val="28"/>
        </w:rPr>
      </w:pPr>
      <w:r/>
      <w:bookmarkEnd w:id="173"/>
      <w:r/>
      <w:bookmarkEnd w:id="174"/>
      <w:r/>
      <w:bookmarkEnd w:id="181"/>
      <w:r/>
      <w:bookmarkStart w:id="194" w:name="_Toc26554094"/>
      <w:r/>
      <w:bookmarkStart w:id="195" w:name="_Toc120614282"/>
      <w:r/>
      <w:bookmarkStart w:id="196" w:name="_Toc49090576"/>
      <w:r>
        <w:rPr>
          <w:rFonts w:hint="eastAsia" w:ascii="黑体" w:hAnsi="黑体" w:eastAsia="黑体"/>
          <w:b w:val="0"/>
          <w:bCs w:val="0"/>
          <w:sz w:val="28"/>
          <w:szCs w:val="28"/>
        </w:rPr>
        <w:t xml:space="preserve">第六章  响应文件格式 </w:t>
      </w:r>
      <w:r>
        <w:rPr>
          <w:rFonts w:hint="eastAsia" w:ascii="黑体" w:hAnsi="黑体" w:eastAsia="黑体"/>
          <w:b w:val="0"/>
          <w:bCs w:val="0"/>
          <w:sz w:val="28"/>
          <w:szCs w:val="28"/>
        </w:rPr>
      </w:r>
      <w:r/>
    </w:p>
    <w:p>
      <w:pPr>
        <w:pStyle w:val="679"/>
        <w:jc w:val="center"/>
        <w:rPr>
          <w:rFonts w:hint="eastAsia" w:ascii="宋体" w:hAnsi="宋体"/>
          <w:b/>
          <w:sz w:val="72"/>
          <w:szCs w:val="21"/>
        </w:rPr>
      </w:pPr>
      <w:r/>
      <w:bookmarkStart w:id="197" w:name="_Hlt26955039"/>
      <w:r/>
      <w:bookmarkEnd w:id="197"/>
      <w:r/>
      <w:bookmarkStart w:id="198" w:name="_Hlt26671244"/>
      <w:r/>
      <w:bookmarkEnd w:id="198"/>
      <w:r>
        <w:rPr>
          <w:rFonts w:hint="eastAsia" w:ascii="宋体" w:hAnsi="宋体"/>
          <w:b/>
          <w:sz w:val="72"/>
          <w:szCs w:val="21"/>
        </w:rPr>
      </w:r>
      <w:r/>
    </w:p>
    <w:p>
      <w:pPr>
        <w:pStyle w:val="679"/>
        <w:jc w:val="center"/>
        <w:spacing w:line="660" w:lineRule="exact"/>
        <w:rPr>
          <w:rFonts w:hint="eastAsia" w:ascii="方正小标宋_GBK" w:hAnsi="方正小标宋_GBK" w:eastAsia="方正小标宋_GBK" w:cs="方正小标宋_GBK"/>
          <w:bCs/>
          <w:color w:val="000000"/>
          <w:sz w:val="32"/>
          <w:szCs w:val="32"/>
        </w:rPr>
      </w:pPr>
      <w:r>
        <w:rPr>
          <w:rFonts w:hint="eastAsia" w:ascii="方正小标宋_GBK" w:hAnsi="方正小标宋_GBK" w:eastAsia="方正小标宋_GBK" w:cs="方正小标宋_GBK"/>
          <w:bCs/>
          <w:color w:val="000000"/>
          <w:sz w:val="32"/>
          <w:szCs w:val="32"/>
        </w:rPr>
        <w:t xml:space="preserve">响  应  文  件</w:t>
      </w:r>
      <w:r>
        <w:rPr>
          <w:rFonts w:hint="eastAsia" w:ascii="方正小标宋_GBK" w:hAnsi="方正小标宋_GBK" w:eastAsia="方正小标宋_GBK" w:cs="方正小标宋_GBK"/>
          <w:bCs/>
          <w:color w:val="000000"/>
          <w:sz w:val="32"/>
          <w:szCs w:val="32"/>
        </w:rPr>
      </w:r>
      <w:r/>
    </w:p>
    <w:p>
      <w:pPr>
        <w:pStyle w:val="679"/>
        <w:jc w:val="center"/>
        <w:rPr>
          <w:rFonts w:hint="eastAsia" w:ascii="宋体" w:hAnsi="宋体"/>
          <w:b/>
          <w:sz w:val="72"/>
          <w:szCs w:val="21"/>
        </w:rPr>
      </w:pPr>
      <w:r>
        <w:rPr>
          <w:rFonts w:hint="eastAsia" w:ascii="宋体" w:hAnsi="宋体"/>
          <w:b/>
          <w:sz w:val="72"/>
          <w:szCs w:val="21"/>
        </w:rPr>
      </w:r>
      <w:r/>
    </w:p>
    <w:p>
      <w:pPr>
        <w:pStyle w:val="679"/>
        <w:jc w:val="center"/>
        <w:rPr>
          <w:rFonts w:hint="eastAsia" w:ascii="宋体" w:hAnsi="宋体"/>
          <w:b/>
          <w:sz w:val="72"/>
          <w:szCs w:val="21"/>
        </w:rPr>
      </w:pPr>
      <w:r>
        <w:rPr>
          <w:rFonts w:hint="eastAsia" w:ascii="宋体" w:hAnsi="宋体"/>
          <w:b/>
          <w:sz w:val="72"/>
          <w:szCs w:val="21"/>
        </w:rPr>
      </w:r>
      <w:r/>
    </w:p>
    <w:p>
      <w:pPr>
        <w:pStyle w:val="679"/>
        <w:jc w:val="center"/>
        <w:rPr>
          <w:rFonts w:hint="eastAsia" w:ascii="宋体" w:hAnsi="宋体"/>
          <w:b/>
          <w:sz w:val="36"/>
          <w:szCs w:val="21"/>
        </w:rPr>
      </w:pPr>
      <w:r>
        <w:rPr>
          <w:rFonts w:hint="eastAsia" w:ascii="宋体" w:hAnsi="宋体"/>
          <w:b/>
          <w:sz w:val="36"/>
          <w:szCs w:val="21"/>
        </w:rPr>
      </w:r>
      <w:r/>
    </w:p>
    <w:p>
      <w:pPr>
        <w:pStyle w:val="679"/>
        <w:jc w:val="center"/>
        <w:rPr>
          <w:rFonts w:hint="eastAsia" w:ascii="宋体" w:hAnsi="宋体"/>
          <w:b/>
          <w:sz w:val="36"/>
          <w:szCs w:val="21"/>
        </w:rPr>
      </w:pPr>
      <w:r>
        <w:rPr>
          <w:rFonts w:hint="eastAsia" w:ascii="宋体" w:hAnsi="宋体"/>
          <w:b/>
          <w:sz w:val="36"/>
          <w:szCs w:val="21"/>
        </w:rPr>
      </w:r>
      <w:r/>
    </w:p>
    <w:p>
      <w:pPr>
        <w:pStyle w:val="679"/>
        <w:jc w:val="center"/>
        <w:rPr>
          <w:rFonts w:hint="eastAsia" w:ascii="宋体" w:hAnsi="宋体"/>
          <w:b/>
          <w:sz w:val="36"/>
          <w:szCs w:val="21"/>
        </w:rPr>
      </w:pPr>
      <w:r>
        <w:rPr>
          <w:rFonts w:hint="eastAsia" w:ascii="宋体" w:hAnsi="宋体"/>
          <w:b/>
          <w:sz w:val="36"/>
          <w:szCs w:val="21"/>
        </w:rPr>
      </w:r>
      <w:r/>
    </w:p>
    <w:p>
      <w:pPr>
        <w:pStyle w:val="67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67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67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679"/>
        <w:jc w:val="center"/>
        <w:spacing w:line="440" w:lineRule="exact"/>
        <w:rPr>
          <w:rFonts w:hint="eastAsia" w:ascii="宋体" w:hAnsi="宋体"/>
          <w:b/>
          <w:bCs/>
          <w:sz w:val="32"/>
          <w:szCs w:val="32"/>
        </w:rPr>
      </w:pPr>
      <w:r>
        <w:rPr>
          <w:rFonts w:hint="eastAsia" w:ascii="宋体" w:hAnsi="宋体"/>
          <w:b/>
          <w:bCs/>
          <w:sz w:val="32"/>
          <w:szCs w:val="32"/>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ascii="宋体" w:hAnsi="宋体"/>
          <w:szCs w:val="21"/>
        </w:rPr>
      </w:pPr>
      <w:r>
        <w:rPr>
          <w:rFonts w:ascii="宋体" w:hAnsi="宋体"/>
          <w:szCs w:val="21"/>
        </w:rPr>
      </w:r>
      <w:r/>
    </w:p>
    <w:p>
      <w:pPr>
        <w:pStyle w:val="679"/>
        <w:spacing w:line="440" w:lineRule="exact"/>
        <w:rPr>
          <w:rFonts w:hint="eastAsia" w:ascii="宋体" w:hAnsi="宋体"/>
          <w:szCs w:val="21"/>
        </w:rPr>
      </w:pPr>
      <w:r>
        <w:rPr>
          <w:rFonts w:hint="eastAsia" w:ascii="宋体" w:hAnsi="宋体"/>
          <w:szCs w:val="21"/>
        </w:rPr>
      </w:r>
      <w:r/>
    </w:p>
    <w:p>
      <w:pPr>
        <w:pStyle w:val="679"/>
        <w:ind w:firstLine="964"/>
        <w:rPr>
          <w:rFonts w:ascii="宋体" w:hAnsi="宋体"/>
          <w:b/>
          <w:bCs/>
          <w:sz w:val="32"/>
          <w:szCs w:val="32"/>
        </w:rPr>
      </w:pPr>
      <w:r>
        <w:rPr>
          <w:rFonts w:ascii="宋体" w:hAnsi="宋体"/>
          <w:b/>
          <w:bCs/>
          <w:sz w:val="32"/>
          <w:szCs w:val="32"/>
        </w:rPr>
      </w:r>
      <w:r/>
    </w:p>
    <w:p>
      <w:pPr>
        <w:ind w:firstLine="964"/>
        <w:rPr>
          <w:rFonts w:ascii="宋体" w:hAnsi="宋体"/>
          <w:b/>
          <w:bCs/>
          <w:sz w:val="32"/>
          <w:szCs w:val="32"/>
        </w:rPr>
      </w:pPr>
      <w:r>
        <w:rPr>
          <w:rFonts w:ascii="宋体" w:hAnsi="宋体"/>
          <w:b/>
          <w:bCs/>
          <w:sz w:val="32"/>
          <w:szCs w:val="32"/>
        </w:rPr>
      </w:r>
      <w:r>
        <w:rPr>
          <w:rFonts w:ascii="宋体" w:hAnsi="宋体"/>
          <w:b/>
          <w:bCs/>
          <w:sz w:val="32"/>
          <w:szCs w:val="32"/>
        </w:rPr>
      </w:r>
    </w:p>
    <w:p>
      <w:pPr>
        <w:pStyle w:val="679"/>
        <w:ind w:firstLine="964"/>
        <w:rPr>
          <w:rFonts w:ascii="宋体" w:hAnsi="宋体"/>
          <w:b/>
          <w:bCs/>
          <w:sz w:val="32"/>
          <w:szCs w:val="32"/>
        </w:rPr>
      </w:pPr>
      <w:r>
        <w:rPr>
          <w:rFonts w:ascii="宋体" w:hAnsi="宋体"/>
          <w:b/>
          <w:bCs/>
          <w:sz w:val="32"/>
          <w:szCs w:val="32"/>
        </w:rPr>
      </w:r>
      <w:r/>
    </w:p>
    <w:p>
      <w:pPr>
        <w:pStyle w:val="679"/>
        <w:ind w:firstLine="964"/>
        <w:rPr>
          <w:rFonts w:ascii="宋体" w:hAnsi="宋体"/>
          <w:b/>
          <w:bCs/>
          <w:sz w:val="32"/>
          <w:szCs w:val="32"/>
        </w:rPr>
      </w:pPr>
      <w:r>
        <w:rPr>
          <w:rFonts w:ascii="宋体" w:hAnsi="宋体"/>
          <w:b/>
          <w:bCs/>
          <w:sz w:val="32"/>
          <w:szCs w:val="32"/>
        </w:rPr>
      </w:r>
      <w:r/>
    </w:p>
    <w:p>
      <w:pPr>
        <w:pStyle w:val="67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rPr>
          <w:rFonts w:hint="eastAsia" w:ascii="方正黑体_GBK" w:hAnsi="方正黑体_GBK" w:eastAsia="方正黑体_GBK" w:cs="方正黑体_GBK"/>
          <w:sz w:val="28"/>
          <w:szCs w:val="28"/>
        </w:rPr>
      </w:r>
      <w:r/>
    </w:p>
    <w:p>
      <w:pPr>
        <w:pStyle w:val="679"/>
        <w:jc w:val="center"/>
        <w:spacing w:line="400" w:lineRule="exact"/>
        <w:rPr>
          <w:rFonts w:hint="eastAsia" w:ascii="宋体" w:hAnsi="宋体"/>
          <w:b/>
          <w:bCs/>
          <w:sz w:val="28"/>
          <w:szCs w:val="28"/>
        </w:rPr>
      </w:pPr>
      <w:r>
        <w:rPr>
          <w:rFonts w:hint="eastAsia" w:ascii="宋体" w:hAnsi="宋体"/>
          <w:b/>
          <w:bCs/>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10.中小微企业声明函（如果本项目专门面向中小微型企业采购，则必须提供。格式见附件8）</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12.联合体协议（如果本项目接受联合体参与磋商，供应商是联合体的，则必须提供。格式见附件10）</w:t>
      </w: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的实质性要求逐条做出响应，并按照磋商文件要求提供证明材料，否则作无效响应处理。（格式见附件11）</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3.关于符合本国产品标准的声明函（格式见附件12）</w:t>
      </w:r>
      <w:r>
        <w:rPr>
          <w:rFonts w:hint="eastAsia" w:ascii="方正仿宋_GBK" w:hAnsi="方正仿宋_GBK" w:eastAsia="方正仿宋_GBK" w:cs="方正仿宋_GBK"/>
          <w:sz w:val="32"/>
          <w:szCs w:val="32"/>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ind w:left="480"/>
        <w:rPr>
          <w:rFonts w:ascii="宋体" w:hAnsi="宋体"/>
          <w:b/>
          <w:sz w:val="24"/>
          <w:szCs w:val="21"/>
        </w:rPr>
      </w:pPr>
      <w:r>
        <w:rPr>
          <w:rFonts w:ascii="宋体" w:hAnsi="宋体"/>
          <w:b/>
          <w:sz w:val="24"/>
          <w:szCs w:val="21"/>
        </w:rPr>
      </w:r>
      <w:r/>
    </w:p>
    <w:p>
      <w:pPr>
        <w:pStyle w:val="679"/>
        <w:rPr>
          <w:rFonts w:ascii="宋体" w:hAnsi="宋体"/>
          <w:b/>
          <w:sz w:val="24"/>
          <w:szCs w:val="21"/>
        </w:rPr>
      </w:pPr>
      <w:r>
        <w:rPr>
          <w:rFonts w:ascii="宋体" w:hAnsi="宋体"/>
          <w:b/>
          <w:sz w:val="24"/>
          <w:szCs w:val="21"/>
        </w:rPr>
      </w:r>
      <w:r/>
    </w:p>
    <w:p>
      <w:pPr>
        <w:pStyle w:val="67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861" w:type="dxa"/>
            <w:vAlign w:val="top"/>
            <w:textDirection w:val="lrTb"/>
            <w:noWrap w:val="false"/>
          </w:tcPr>
          <w:p>
            <w:pPr>
              <w:pStyle w:val="742"/>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679"/>
        <w:ind w:firstLine="560"/>
        <w:spacing w:line="400" w:lineRule="exact"/>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679"/>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67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679"/>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技术要求响应及偏离表（采购包号：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附件3-1  证明材料1，证明材料2，……</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9"/>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482"/>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附件4-1  证明材料1，证明材料2，……</w:t>
      </w: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rPr>
          <w:rFonts w:hint="eastAsia" w:ascii="方正仿宋_GBK" w:hAnsi="方正仿宋_GBK" w:eastAsia="方正仿宋_GBK" w:cs="方正仿宋_GBK"/>
          <w:sz w:val="28"/>
          <w:szCs w:val="28"/>
        </w:rPr>
      </w:r>
      <w:r/>
    </w:p>
    <w:p>
      <w:pPr>
        <w:pStyle w:val="679"/>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679"/>
        <w:ind w:left="480"/>
        <w:spacing w:line="400" w:lineRule="exact"/>
        <w:rPr>
          <w:rFonts w:ascii="宋体" w:hAnsi="宋体"/>
          <w:b/>
          <w:color w:val="000000"/>
          <w:sz w:val="28"/>
          <w:szCs w:val="28"/>
        </w:rPr>
      </w:pPr>
      <w:r>
        <w:rPr>
          <w:rFonts w:ascii="宋体" w:hAnsi="宋体"/>
          <w:b/>
          <w:color w:val="000000"/>
          <w:sz w:val="28"/>
          <w:szCs w:val="28"/>
        </w:rPr>
      </w:r>
      <w:r/>
    </w:p>
    <w:p>
      <w:pPr>
        <w:pStyle w:val="679"/>
        <w:spacing w:line="400" w:lineRule="exact"/>
        <w:rPr>
          <w:rFonts w:ascii="宋体" w:hAnsi="宋体"/>
          <w:b/>
          <w:color w:val="000000"/>
          <w:sz w:val="28"/>
          <w:szCs w:val="28"/>
        </w:rPr>
      </w:pPr>
      <w:r>
        <w:rPr>
          <w:rFonts w:ascii="宋体" w:hAnsi="宋体"/>
          <w:b/>
          <w:color w:val="000000"/>
          <w:sz w:val="28"/>
          <w:szCs w:val="28"/>
        </w:rPr>
      </w:r>
      <w:r/>
    </w:p>
    <w:p>
      <w:pPr>
        <w:pStyle w:val="679"/>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r>
        <w:rPr>
          <w:rFonts w:hint="eastAsia" w:ascii="宋体" w:hAnsi="宋体"/>
          <w:b/>
          <w:color w:val="000000"/>
          <w:sz w:val="28"/>
          <w:szCs w:val="28"/>
        </w:rPr>
      </w:r>
      <w:r/>
      <w:r>
        <w:rPr>
          <w:rFonts w:hint="eastAsia" w:ascii="方正仿宋_GBK" w:hAnsi="方正仿宋_GBK" w:eastAsia="方正仿宋_GBK" w:cs="方正仿宋_GBK"/>
          <w:sz w:val="28"/>
          <w:szCs w:val="28"/>
        </w:rPr>
      </w:r>
    </w:p>
    <w:p>
      <w:pPr>
        <w:pStyle w:val="679"/>
        <w:spacing w:line="400" w:lineRule="exact"/>
        <w:rPr>
          <w:rFonts w:hint="eastAsia" w:ascii="宋体" w:hAnsi="宋体"/>
          <w:b/>
          <w:color w:val="000000"/>
          <w:sz w:val="28"/>
          <w:szCs w:val="28"/>
        </w:rPr>
      </w:pPr>
      <w:r>
        <w:rPr>
          <w:rFonts w:hint="eastAsia" w:ascii="宋体" w:hAnsi="宋体"/>
          <w:b/>
          <w:color w:val="000000"/>
          <w:sz w:val="28"/>
          <w:szCs w:val="28"/>
        </w:rPr>
      </w:r>
      <w:r/>
    </w:p>
    <w:p>
      <w:pPr>
        <w:pStyle w:val="67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rPr>
          <w:rFonts w:hint="eastAsia" w:ascii="方正黑体_GBK" w:hAnsi="方正黑体_GBK" w:eastAsia="方正黑体_GBK" w:cs="方正黑体_GBK"/>
          <w:bCs/>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（投标人名称）授权</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JSZC-320000-SCZX-C20XX-XXXX</w:t>
      </w:r>
      <w:r>
        <w:rPr>
          <w:rFonts w:hint="eastAsia" w:ascii="方正仿宋_GBK" w:hAnsi="方正仿宋_GBK" w:eastAsia="方正仿宋_GBK" w:cs="方正仿宋_GBK"/>
          <w:color w:val="000000"/>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黑体_GBK"/>
          <w:bCs/>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 </w:t>
      </w:r>
      <w:r>
        <w:rPr>
          <w:rFonts w:hint="eastAsia" w:ascii="方正仿宋_GBK" w:hAnsi="方正仿宋_GBK" w:eastAsia="方正仿宋_GBK" w:cs="方正仿宋_GBK"/>
          <w:color w:val="000000"/>
          <w:sz w:val="28"/>
          <w:szCs w:val="28"/>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u w:val="single"/>
        </w:rPr>
      </w:r>
      <w:r/>
    </w:p>
    <w:p>
      <w:pPr>
        <w:pStyle w:val="67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    期：</w:t>
      </w:r>
      <w:bookmarkStart w:id="200" w:name="_Hlt26955070"/>
      <w:r/>
      <w:bookmarkEnd w:id="200"/>
      <w:r/>
      <w:bookmarkStart w:id="201" w:name="_Hlt26671380"/>
      <w:r/>
      <w:bookmarkEnd w:id="201"/>
      <w:r/>
      <w:bookmarkStart w:id="202" w:name="_格式3__银行出具的资信证明"/>
      <w:r/>
      <w:bookmarkEnd w:id="202"/>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679"/>
        <w:ind w:firstLine="420"/>
        <w:spacing w:line="400" w:lineRule="exact"/>
        <w:rPr>
          <w:color w:val="000000"/>
          <w:sz w:val="28"/>
          <w:szCs w:val="28"/>
          <w:highlight w:val="yellow"/>
        </w:rPr>
      </w:pPr>
      <w:r>
        <w:rPr>
          <w:color w:val="000000"/>
          <w:sz w:val="28"/>
          <w:szCs w:val="28"/>
          <w:highlight w:val="yellow"/>
        </w:rPr>
      </w:r>
      <w:r/>
    </w:p>
    <w:p>
      <w:pPr>
        <w:pStyle w:val="679"/>
        <w:ind w:firstLine="560"/>
        <w:spacing w:line="400" w:lineRule="exact"/>
        <w:tabs>
          <w:tab w:val="left" w:pos="360" w:leader="none"/>
        </w:tabs>
        <w:rPr>
          <w:sz w:val="28"/>
          <w:szCs w:val="28"/>
          <w:u w:val="single"/>
        </w:rPr>
      </w:pPr>
      <w:r>
        <w:rPr>
          <w:sz w:val="28"/>
          <w:szCs w:val="28"/>
          <w:u w:val="single"/>
        </w:rPr>
      </w:r>
      <w:r/>
    </w:p>
    <w:p>
      <w:pPr>
        <w:pStyle w:val="679"/>
        <w:ind w:firstLine="560"/>
        <w:spacing w:line="400" w:lineRule="exact"/>
        <w:tabs>
          <w:tab w:val="left" w:pos="360" w:leader="none"/>
        </w:tabs>
        <w:rPr>
          <w:rFonts w:hint="eastAsia"/>
          <w:sz w:val="28"/>
          <w:szCs w:val="28"/>
        </w:rPr>
      </w:pPr>
      <w:r>
        <w:rPr>
          <w:rFonts w:hint="eastAsia"/>
          <w:sz w:val="28"/>
          <w:szCs w:val="28"/>
        </w:rPr>
      </w:r>
      <w:r/>
    </w:p>
    <w:p>
      <w:pPr>
        <w:pStyle w:val="679"/>
        <w:ind w:firstLine="560"/>
        <w:spacing w:line="400" w:lineRule="exact"/>
        <w:tabs>
          <w:tab w:val="left" w:pos="360" w:leader="none"/>
        </w:tabs>
        <w:rPr>
          <w:rFonts w:hint="eastAsia"/>
          <w:sz w:val="28"/>
          <w:szCs w:val="28"/>
        </w:rPr>
      </w:pPr>
      <w:r>
        <w:rPr>
          <w:rFonts w:hint="eastAsia"/>
          <w:sz w:val="28"/>
          <w:szCs w:val="28"/>
        </w:rPr>
      </w:r>
      <w:r/>
    </w:p>
    <w:p>
      <w:pPr>
        <w:pStyle w:val="679"/>
        <w:ind w:firstLine="560"/>
        <w:spacing w:line="400" w:lineRule="exact"/>
        <w:tabs>
          <w:tab w:val="left" w:pos="360" w:leader="none"/>
        </w:tabs>
        <w:rPr>
          <w:rFonts w:hint="eastAsia"/>
          <w:sz w:val="28"/>
          <w:szCs w:val="28"/>
        </w:rPr>
      </w:pPr>
      <w:r>
        <w:rPr>
          <w:rFonts w:hint="eastAsia"/>
          <w:sz w:val="28"/>
          <w:szCs w:val="28"/>
        </w:rPr>
      </w:r>
      <w:r/>
    </w:p>
    <w:p>
      <w:pPr>
        <w:pStyle w:val="679"/>
        <w:ind w:firstLine="420"/>
        <w:spacing w:line="400" w:lineRule="exact"/>
        <w:rPr>
          <w:rFonts w:hint="eastAsia"/>
          <w:i/>
          <w:sz w:val="28"/>
          <w:szCs w:val="28"/>
          <w:u w:val="single"/>
        </w:rPr>
      </w:pPr>
      <w:r>
        <w:rPr>
          <w:rFonts w:hint="eastAsia"/>
          <w:i/>
          <w:sz w:val="28"/>
          <w:szCs w:val="28"/>
          <w:u w:val="single"/>
        </w:rPr>
      </w:r>
      <w:r/>
    </w:p>
    <w:p>
      <w:pPr>
        <w:pStyle w:val="679"/>
        <w:spacing w:line="400" w:lineRule="exact"/>
        <w:rPr>
          <w:rFonts w:hint="eastAsia"/>
          <w:sz w:val="28"/>
          <w:szCs w:val="28"/>
        </w:rPr>
      </w:pPr>
      <w:r>
        <w:rPr>
          <w:rFonts w:hint="eastAsia"/>
          <w:sz w:val="28"/>
          <w:szCs w:val="28"/>
        </w:rPr>
      </w:r>
      <w:r/>
    </w:p>
    <w:p>
      <w:pPr>
        <w:pStyle w:val="679"/>
        <w:spacing w:line="400" w:lineRule="exact"/>
        <w:rPr>
          <w:rFonts w:hint="eastAsia"/>
          <w:sz w:val="28"/>
          <w:szCs w:val="28"/>
        </w:rPr>
      </w:pPr>
      <w:r>
        <w:rPr>
          <w:rFonts w:hint="eastAsia"/>
          <w:sz w:val="28"/>
          <w:szCs w:val="28"/>
        </w:rPr>
      </w:r>
      <w:r/>
    </w:p>
    <w:p>
      <w:pPr>
        <w:pStyle w:val="679"/>
        <w:spacing w:line="400" w:lineRule="exact"/>
        <w:rPr>
          <w:rFonts w:hint="eastAsia"/>
          <w:sz w:val="28"/>
          <w:szCs w:val="28"/>
        </w:rPr>
      </w:pPr>
      <w:r>
        <w:rPr>
          <w:rFonts w:hint="eastAsia"/>
          <w:sz w:val="28"/>
          <w:szCs w:val="28"/>
        </w:rPr>
      </w:r>
      <w:r/>
    </w:p>
    <w:p>
      <w:pPr>
        <w:pStyle w:val="679"/>
        <w:spacing w:line="400" w:lineRule="exact"/>
        <w:rPr>
          <w:rFonts w:hint="eastAsia"/>
          <w:sz w:val="28"/>
          <w:szCs w:val="28"/>
        </w:rPr>
      </w:pPr>
      <w:r>
        <w:rPr>
          <w:rFonts w:hint="eastAsia"/>
          <w:sz w:val="28"/>
          <w:szCs w:val="28"/>
        </w:rPr>
      </w: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spacing w:line="400" w:lineRule="exact"/>
        <w:rPr>
          <w:rFonts w:hint="eastAsia"/>
          <w:sz w:val="28"/>
          <w:szCs w:val="28"/>
        </w:rPr>
      </w:pPr>
      <w:r>
        <w:rPr>
          <w:rFonts w:hint="eastAsia"/>
          <w:sz w:val="28"/>
          <w:szCs w:val="28"/>
        </w:rPr>
      </w:r>
      <w:r>
        <w:rPr>
          <w:rFonts w:hint="eastAsia"/>
          <w:sz w:val="28"/>
          <w:szCs w:val="28"/>
        </w:rPr>
      </w:r>
    </w:p>
    <w:p>
      <w:pPr>
        <w:pStyle w:val="679"/>
        <w:spacing w:line="400" w:lineRule="exact"/>
        <w:rPr>
          <w:rFonts w:hint="eastAsia"/>
          <w:sz w:val="28"/>
          <w:szCs w:val="28"/>
        </w:rPr>
      </w:pPr>
      <w:r>
        <w:rPr>
          <w:rFonts w:hint="eastAsia"/>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rPr>
          <w:rFonts w:hint="eastAsia" w:ascii="方正黑体_GBK" w:hAnsi="方正黑体_GBK" w:eastAsia="方正黑体_GBK" w:cs="方正黑体_GBK"/>
          <w:bCs/>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67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679"/>
        <w:ind w:left="420" w:firstLine="560"/>
        <w:jc w:val="left"/>
        <w:spacing w:line="400" w:lineRule="exact"/>
        <w:rPr>
          <w:rFonts w:hint="eastAsia" w:ascii="宋体" w:hAnsi="宋体"/>
          <w:sz w:val="28"/>
          <w:szCs w:val="28"/>
        </w:rPr>
      </w:pPr>
      <w:r>
        <w:rPr>
          <w:rFonts w:hint="eastAsia" w:ascii="宋体" w:hAnsi="宋体"/>
          <w:sz w:val="28"/>
          <w:szCs w:val="28"/>
        </w:rPr>
      </w:r>
      <w:r/>
    </w:p>
    <w:p>
      <w:pPr>
        <w:pStyle w:val="679"/>
        <w:ind w:firstLine="584"/>
        <w:spacing w:line="400" w:lineRule="exact"/>
        <w:rPr>
          <w:rFonts w:ascii="仿宋_GB2312" w:eastAsia="仿宋_GB2312"/>
          <w:color w:val="000000"/>
          <w:spacing w:val="6"/>
          <w:sz w:val="28"/>
          <w:szCs w:val="28"/>
        </w:rPr>
      </w:pPr>
      <w:r>
        <w:rPr>
          <w:rFonts w:ascii="仿宋_GB2312" w:eastAsia="仿宋_GB2312"/>
          <w:color w:val="000000"/>
          <w:spacing w:val="6"/>
          <w:sz w:val="28"/>
          <w:szCs w:val="28"/>
        </w:rPr>
      </w:r>
      <w:r/>
    </w:p>
    <w:p>
      <w:pPr>
        <w:pStyle w:val="67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679"/>
        <w:jc w:val="right"/>
        <w:spacing w:line="400" w:lineRule="exact"/>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679"/>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679"/>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ind w:firstLine="560"/>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highlight w:val="none"/>
        </w:rPr>
      </w:r>
      <w:r>
        <w:rPr>
          <w:rFonts w:hint="eastAsia" w:ascii="方正黑体_GBK" w:hAnsi="方正黑体_GBK" w:eastAsia="方正黑体_GBK" w:cs="方正黑体_GBK"/>
          <w:bCs/>
          <w:sz w:val="28"/>
          <w:szCs w:val="28"/>
          <w:highlight w:val="none"/>
        </w:rPr>
      </w:r>
    </w:p>
    <w:p>
      <w:pPr>
        <w:ind w:firstLine="560"/>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r>
      <w:r>
        <w:rPr>
          <w:rFonts w:hint="eastAsia" w:ascii="方正黑体_GBK" w:hAnsi="方正黑体_GBK" w:eastAsia="方正黑体_GBK" w:cs="方正黑体_GBK"/>
          <w:bCs/>
          <w:sz w:val="28"/>
          <w:szCs w:val="28"/>
          <w:highlight w:val="none"/>
        </w:rPr>
      </w:r>
    </w:p>
    <w:p>
      <w:pPr>
        <w:ind w:firstLine="560"/>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highlight w:val="none"/>
        </w:rPr>
      </w:r>
      <w:r>
        <w:rPr>
          <w:rFonts w:hint="eastAsia" w:ascii="方正黑体_GBK" w:hAnsi="方正黑体_GBK" w:eastAsia="方正黑体_GBK" w:cs="方正黑体_GBK"/>
          <w:bCs/>
          <w:sz w:val="28"/>
          <w:szCs w:val="28"/>
          <w:highlight w:val="none"/>
        </w:rPr>
      </w:r>
    </w:p>
    <w:p>
      <w:pPr>
        <w:pStyle w:val="679"/>
        <w:ind w:firstLine="560"/>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bCs/>
          <w:sz w:val="28"/>
          <w:szCs w:val="28"/>
        </w:rPr>
        <w:t xml:space="preserve">附件8 中小微企业声明函（服务类项目）（采购包号：XX）</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67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679"/>
        <w:ind w:right="4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9"/>
        <w:ind w:firstLine="560"/>
        <w:spacing w:line="400" w:lineRule="exact"/>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679"/>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right="1559" w:firstLine="560"/>
        <w:jc w:val="right"/>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rPr>
          <w:rFonts w:hint="eastAsia" w:ascii="方正仿宋_GBK" w:hAnsi="方正仿宋_GBK" w:eastAsia="方正仿宋_GBK" w:cs="方正仿宋_GBK"/>
          <w:sz w:val="28"/>
          <w:szCs w:val="28"/>
        </w:rPr>
      </w:r>
      <w:r/>
    </w:p>
    <w:p>
      <w:pPr>
        <w:pStyle w:val="679"/>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9"/>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679"/>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 联合体协议（参考格式）（采购包号：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eastAsia="方正仿宋_GBK"/>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67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679"/>
        <w:ind w:left="420"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679"/>
        <w:ind w:firstLine="645"/>
        <w:spacing w:line="400" w:lineRule="exact"/>
        <w:rPr>
          <w:rFonts w:ascii="宋体" w:hAnsi="宋体"/>
          <w:sz w:val="28"/>
          <w:szCs w:val="28"/>
        </w:rPr>
      </w:pPr>
      <w:r>
        <w:rPr>
          <w:rFonts w:ascii="宋体" w:hAnsi="宋体"/>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宋体" w:hAnsi="宋体"/>
          <w:b/>
          <w:sz w:val="28"/>
          <w:szCs w:val="28"/>
        </w:rPr>
      </w:pPr>
      <w:r>
        <w:rPr>
          <w:rFonts w:hint="eastAsia" w:ascii="宋体" w:hAnsi="宋体"/>
          <w:b/>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附件11实质性要求响应及偏离表（采购包号：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67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679"/>
        <w:spacing w:line="400" w:lineRule="exact"/>
        <w:rPr>
          <w:rFonts w:ascii="宋体" w:hAnsi="宋体"/>
          <w:sz w:val="28"/>
          <w:szCs w:val="28"/>
        </w:rPr>
      </w:pPr>
      <w:r>
        <w:rPr>
          <w:rFonts w:ascii="宋体" w:hAnsi="宋体"/>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1.磋商响应供应商必须对磋商文件（含技术要求和商务要求）中的实质性要求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逐条做出明确响应，否则作无效响应处理。</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rPr>
          <w:rFonts w:hint="eastAsia" w:ascii="方正仿宋_GBK" w:hAnsi="方正仿宋_GBK" w:eastAsia="方正仿宋_GBK" w:cs="方正仿宋_GBK"/>
          <w:sz w:val="28"/>
          <w:szCs w:val="28"/>
        </w:rPr>
      </w:r>
      <w:r/>
    </w:p>
    <w:p>
      <w:pPr>
        <w:pStyle w:val="67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3.磋商响应供应商未对实质性要求逐条作出明确响应的，或未按磋商文件要求提供证明材料的，该采购包作无效响应处理。</w:t>
      </w:r>
      <w:r>
        <w:rPr>
          <w:rFonts w:hint="eastAsia" w:ascii="方正仿宋_GBK" w:hAnsi="方正仿宋_GBK" w:eastAsia="方正仿宋_GBK" w:cs="方正仿宋_GBK"/>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spacing w:line="400" w:lineRule="exact"/>
        <w:rPr>
          <w:rFonts w:hint="eastAsia" w:ascii="宋体" w:hAnsi="宋体"/>
          <w:bCs/>
          <w:sz w:val="28"/>
          <w:szCs w:val="28"/>
        </w:rPr>
      </w:pPr>
      <w:r>
        <w:rPr>
          <w:rFonts w:hint="eastAsia" w:ascii="宋体" w:hAnsi="宋体"/>
          <w:bCs/>
          <w:sz w:val="28"/>
          <w:szCs w:val="28"/>
        </w:rPr>
      </w:r>
      <w:r/>
    </w:p>
    <w:p>
      <w:pPr>
        <w:pStyle w:val="679"/>
        <w:jc w:val="center"/>
        <w:spacing w:line="400" w:lineRule="exact"/>
        <w:rPr>
          <w:rFonts w:hint="eastAsia" w:ascii="方正仿宋_GBK" w:hAnsi="方正仿宋_GBK" w:eastAsia="方正仿宋_GBK" w:cs="方正仿宋_GBK"/>
          <w:sz w:val="28"/>
          <w:szCs w:val="28"/>
        </w:rPr>
      </w:pPr>
      <w:r/>
      <w:bookmarkEnd w:id="175"/>
      <w:r/>
      <w:bookmarkEnd w:id="176"/>
      <w:r/>
      <w:bookmarkEnd w:id="199"/>
      <w:r>
        <w:rPr>
          <w:rFonts w:hint="eastAsia" w:ascii="方正仿宋_GBK" w:hAnsi="方正仿宋_GBK" w:eastAsia="方正仿宋_GBK" w:cs="方正仿宋_GBK"/>
          <w:b/>
          <w:sz w:val="28"/>
          <w:szCs w:val="28"/>
        </w:rPr>
        <w:t xml:space="preserve">附件12  关于符合本国产品标准的声明函（采购包号：XX）</w:t>
      </w:r>
      <w:r>
        <w:rPr>
          <w:rFonts w:hint="eastAsia" w:ascii="方正仿宋_GBK" w:hAnsi="方正仿宋_GBK" w:eastAsia="方正仿宋_GBK" w:cs="方正仿宋_GBK"/>
          <w:sz w:val="28"/>
          <w:szCs w:val="28"/>
        </w:rPr>
      </w:r>
      <w:r/>
    </w:p>
    <w:p>
      <w:pPr>
        <w:pStyle w:val="742"/>
        <w:ind w:firstLine="420"/>
        <w:jc w:val="center"/>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ff0000"/>
          <w:sz w:val="28"/>
          <w:szCs w:val="28"/>
        </w:rPr>
        <w:t xml:space="preserve">（本项目不适用无需提供）</w:t>
      </w:r>
      <w:r>
        <w:rPr>
          <w:rFonts w:hint="eastAsia" w:ascii="方正仿宋_GBK" w:hAnsi="方正仿宋_GBK" w:eastAsia="方正仿宋_GBK" w:cs="方正仿宋_GBK"/>
          <w:sz w:val="28"/>
          <w:szCs w:val="28"/>
        </w:rPr>
      </w:r>
      <w:r/>
    </w:p>
    <w:p>
      <w:pPr>
        <w:pStyle w:val="742"/>
        <w:ind w:firstLine="42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754"/>
          <w:rFonts w:hint="eastAsia" w:ascii="方正仿宋_GBK" w:hAnsi="方正仿宋_GBK" w:eastAsia="方正仿宋_GBK" w:cs="方正仿宋_GBK"/>
          <w:i w:val="0"/>
          <w:sz w:val="28"/>
          <w:szCs w:val="28"/>
          <w:u w:val="single"/>
          <w:shd w:val="clear" w:color="auto" w:fill="ffffff"/>
        </w:rPr>
        <w:t xml:space="preserve">（产品名称1）</w:t>
      </w:r>
      <w:r>
        <w:rPr>
          <w:rStyle w:val="75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54"/>
          <w:rFonts w:hint="eastAsia" w:ascii="方正仿宋_GBK" w:hAnsi="方正仿宋_GBK" w:eastAsia="方正仿宋_GBK" w:cs="方正仿宋_GBK"/>
          <w:i w:val="0"/>
          <w:sz w:val="28"/>
          <w:szCs w:val="28"/>
          <w:u w:val="single"/>
          <w:shd w:val="clear" w:color="auto" w:fill="ffffff"/>
        </w:rPr>
        <w:t xml:space="preserve">（厂名）</w:t>
      </w:r>
      <w:r>
        <w:rPr>
          <w:rStyle w:val="75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5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75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5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5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742"/>
        <w:ind w:firstLine="42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74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4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rPr>
          <w:rFonts w:hint="eastAsia" w:ascii="方正仿宋_GBK" w:hAnsi="方正仿宋_GBK" w:eastAsia="方正仿宋_GBK" w:cs="方正仿宋_GBK"/>
          <w:sz w:val="28"/>
          <w:szCs w:val="28"/>
        </w:rPr>
      </w:r>
      <w:r/>
    </w:p>
    <w:p>
      <w:pPr>
        <w:pStyle w:val="742"/>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742"/>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74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75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”的地方不填。</w:t>
      </w:r>
      <w:r>
        <w:rPr>
          <w:rFonts w:hint="eastAsia" w:ascii="方正仿宋_GBK" w:hAnsi="方正仿宋_GBK" w:eastAsia="方正仿宋_GBK" w:cs="方正仿宋_GBK"/>
          <w:sz w:val="28"/>
          <w:szCs w:val="28"/>
          <w:shd w:val="clear" w:color="auto" w:fill="ffffff"/>
        </w:rPr>
      </w:r>
      <w:r/>
    </w:p>
    <w:p>
      <w:pPr>
        <w:pStyle w:val="679"/>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宋体" w:hAnsi="宋体" w:cs="仿宋"/>
          <w:b/>
          <w:bCs/>
          <w:sz w:val="28"/>
          <w:szCs w:val="28"/>
        </w:rPr>
      </w:pPr>
      <w:r>
        <w:rPr>
          <w:rFonts w:hint="eastAsia" w:ascii="宋体" w:hAnsi="宋体" w:cs="仿宋"/>
          <w:b/>
          <w:bCs/>
          <w:sz w:val="28"/>
          <w:szCs w:val="28"/>
        </w:rPr>
      </w:r>
      <w:r/>
    </w:p>
    <w:p>
      <w:pPr>
        <w:pStyle w:val="679"/>
        <w:spacing w:line="400" w:lineRule="exact"/>
        <w:rPr>
          <w:rFonts w:hint="eastAsia" w:ascii="宋体" w:hAnsi="宋体" w:cs="仿宋"/>
          <w:b/>
          <w:bCs/>
          <w:sz w:val="28"/>
          <w:szCs w:val="28"/>
        </w:rPr>
      </w:pPr>
      <w:r>
        <w:rPr>
          <w:rFonts w:hint="eastAsia" w:ascii="宋体" w:hAnsi="宋体" w:cs="仿宋"/>
          <w:b/>
          <w:bCs/>
          <w:sz w:val="28"/>
          <w:szCs w:val="28"/>
        </w:rPr>
      </w:r>
      <w:r/>
    </w:p>
    <w:p>
      <w:pPr>
        <w:pStyle w:val="679"/>
        <w:spacing w:line="400" w:lineRule="exact"/>
        <w:rPr>
          <w:rFonts w:hint="eastAsia" w:ascii="宋体" w:hAnsi="宋体" w:cs="仿宋"/>
          <w:b/>
          <w:bCs/>
          <w:sz w:val="28"/>
          <w:szCs w:val="28"/>
        </w:rPr>
      </w:pPr>
      <w:r>
        <w:rPr>
          <w:rFonts w:hint="eastAsia" w:ascii="宋体" w:hAnsi="宋体" w:cs="仿宋"/>
          <w:b/>
          <w:bCs/>
          <w:sz w:val="28"/>
          <w:szCs w:val="28"/>
        </w:rPr>
      </w:r>
      <w:r/>
    </w:p>
    <w:p>
      <w:pPr>
        <w:pStyle w:val="67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679"/>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67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679"/>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67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67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rPr>
        <w:rStyle w:val="752"/>
      </w:rPr>
    </w:r>
    <w:r/>
  </w:p>
  <w:p>
    <w:pPr>
      <w:pStyle w:val="7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9"/>
      <w:isLgl w:val="false"/>
      <w:suff w:val="tab"/>
      <w:lvlText w:val="附录%1."/>
      <w:lvlJc w:val="left"/>
      <w:pPr>
        <w:pStyle w:val="6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6"/>
      <w:isLgl w:val="false"/>
      <w:suff w:val="tab"/>
      <w:lvlText w:val="%1."/>
      <w:lvlJc w:val="left"/>
      <w:pPr>
        <w:pStyle w:val="679"/>
        <w:ind w:left="709" w:hanging="709"/>
        <w:tabs>
          <w:tab w:val="num" w:pos="709" w:leader="none"/>
        </w:tabs>
      </w:pPr>
      <w:rPr>
        <w:rFonts w:hint="eastAsia"/>
      </w:rPr>
    </w:lvl>
    <w:lvl w:ilvl="1">
      <w:start w:val="1"/>
      <w:numFmt w:val="decimal"/>
      <w:isLgl w:val="false"/>
      <w:suff w:val="tab"/>
      <w:lvlText w:val="%1.%2"/>
      <w:lvlJc w:val="left"/>
      <w:pPr>
        <w:pStyle w:val="679"/>
        <w:ind w:left="709" w:hanging="709"/>
        <w:tabs>
          <w:tab w:val="num" w:pos="709" w:leader="none"/>
        </w:tabs>
      </w:pPr>
      <w:rPr>
        <w:rFonts w:hint="eastAsia"/>
      </w:rPr>
    </w:lvl>
    <w:lvl w:ilvl="2">
      <w:start w:val="1"/>
      <w:numFmt w:val="decimal"/>
      <w:isLgl w:val="false"/>
      <w:suff w:val="tab"/>
      <w:lvlText w:val="%1.%2.%3."/>
      <w:lvlJc w:val="left"/>
      <w:pPr>
        <w:pStyle w:val="679"/>
        <w:ind w:left="425" w:hanging="425"/>
        <w:tabs>
          <w:tab w:val="num" w:pos="425" w:leader="none"/>
        </w:tabs>
      </w:pPr>
      <w:rPr>
        <w:rFonts w:hint="eastAsia"/>
      </w:rPr>
    </w:lvl>
    <w:lvl w:ilvl="3">
      <w:start w:val="1"/>
      <w:numFmt w:val="decimal"/>
      <w:isLgl w:val="false"/>
      <w:suff w:val="tab"/>
      <w:lvlText w:val="%1.%2.%3.%4."/>
      <w:lvlJc w:val="left"/>
      <w:pPr>
        <w:pStyle w:val="679"/>
        <w:ind w:left="851" w:hanging="851"/>
        <w:tabs>
          <w:tab w:val="num" w:pos="851" w:leader="none"/>
        </w:tabs>
      </w:pPr>
      <w:rPr>
        <w:rFonts w:hint="eastAsia"/>
      </w:rPr>
    </w:lvl>
    <w:lvl w:ilvl="4">
      <w:start w:val="1"/>
      <w:numFmt w:val="decimal"/>
      <w:isLgl w:val="false"/>
      <w:suff w:val="tab"/>
      <w:lvlText w:val="%1.%2.%3.%4.%5."/>
      <w:lvlJc w:val="left"/>
      <w:pPr>
        <w:pStyle w:val="679"/>
        <w:ind w:left="992" w:hanging="992"/>
        <w:tabs>
          <w:tab w:val="num" w:pos="992" w:leader="none"/>
        </w:tabs>
      </w:pPr>
      <w:rPr>
        <w:rFonts w:hint="eastAsia"/>
      </w:rPr>
    </w:lvl>
    <w:lvl w:ilvl="5">
      <w:start w:val="1"/>
      <w:numFmt w:val="decimal"/>
      <w:isLgl w:val="false"/>
      <w:suff w:val="tab"/>
      <w:lvlText w:val="%1.%2.%3.%4.%5.%6."/>
      <w:lvlJc w:val="left"/>
      <w:pPr>
        <w:pStyle w:val="679"/>
        <w:ind w:left="1134" w:hanging="1134"/>
        <w:tabs>
          <w:tab w:val="num" w:pos="1134" w:leader="none"/>
        </w:tabs>
      </w:pPr>
      <w:rPr>
        <w:rFonts w:hint="eastAsia"/>
      </w:rPr>
    </w:lvl>
    <w:lvl w:ilvl="6">
      <w:start w:val="1"/>
      <w:numFmt w:val="decimal"/>
      <w:isLgl w:val="false"/>
      <w:suff w:val="tab"/>
      <w:lvlText w:val="%1.%2.%3.%4.%5.%6.%7."/>
      <w:lvlJc w:val="left"/>
      <w:pPr>
        <w:pStyle w:val="679"/>
        <w:ind w:left="1276" w:hanging="1276"/>
        <w:tabs>
          <w:tab w:val="num" w:pos="1276" w:leader="none"/>
        </w:tabs>
      </w:pPr>
      <w:rPr>
        <w:rFonts w:hint="eastAsia"/>
      </w:rPr>
    </w:lvl>
    <w:lvl w:ilvl="7">
      <w:start w:val="1"/>
      <w:numFmt w:val="decimal"/>
      <w:isLgl w:val="false"/>
      <w:suff w:val="tab"/>
      <w:lvlText w:val="%1.%2.%3.%4.%5.%6.%7.%8."/>
      <w:lvlJc w:val="left"/>
      <w:pPr>
        <w:pStyle w:val="679"/>
        <w:ind w:left="1418" w:hanging="1418"/>
        <w:tabs>
          <w:tab w:val="num" w:pos="1418" w:leader="none"/>
        </w:tabs>
      </w:pPr>
      <w:rPr>
        <w:rFonts w:hint="eastAsia"/>
      </w:rPr>
    </w:lvl>
    <w:lvl w:ilvl="8">
      <w:start w:val="1"/>
      <w:numFmt w:val="decimal"/>
      <w:isLgl w:val="false"/>
      <w:suff w:val="tab"/>
      <w:lvlText w:val="%1.%2.%3.%4.%5.%6.%7.%8.%9."/>
      <w:lvlJc w:val="left"/>
      <w:pPr>
        <w:pStyle w:val="67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79"/>
        <w:ind w:left="0" w:firstLine="0"/>
      </w:pPr>
      <w:rPr>
        <w:rFonts w:hint="eastAsia"/>
      </w:rPr>
    </w:lvl>
    <w:lvl w:ilvl="1">
      <w:start w:val="1"/>
      <w:numFmt w:val="decimal"/>
      <w:isLgl w:val="false"/>
      <w:suff w:val="nothing"/>
      <w:lvlText w:val="%2、"/>
      <w:lvlJc w:val="left"/>
      <w:pPr>
        <w:pStyle w:val="679"/>
        <w:ind w:left="0" w:firstLine="0"/>
      </w:pPr>
      <w:rPr>
        <w:rFonts w:hint="eastAsia"/>
      </w:rPr>
    </w:lvl>
    <w:lvl w:ilvl="2">
      <w:start w:val="1"/>
      <w:numFmt w:val="decimal"/>
      <w:isLgl w:val="false"/>
      <w:suff w:val="nothing"/>
      <w:lvlText w:val="%2.%3 "/>
      <w:lvlJc w:val="left"/>
      <w:pPr>
        <w:pStyle w:val="679"/>
        <w:ind w:left="0" w:firstLine="0"/>
      </w:pPr>
      <w:rPr>
        <w:rFonts w:hint="eastAsia"/>
      </w:rPr>
    </w:lvl>
    <w:lvl w:ilvl="3">
      <w:start w:val="1"/>
      <w:numFmt w:val="decimal"/>
      <w:isLgl w:val="false"/>
      <w:suff w:val="nothing"/>
      <w:lvlText w:val="%2.%3.%4 "/>
      <w:lvlJc w:val="left"/>
      <w:pPr>
        <w:pStyle w:val="679"/>
        <w:ind w:left="0" w:firstLine="0"/>
      </w:pPr>
      <w:rPr>
        <w:rFonts w:hint="eastAsia"/>
      </w:rPr>
    </w:lvl>
    <w:lvl w:ilvl="4">
      <w:start w:val="1"/>
      <w:numFmt w:val="decimal"/>
      <w:isLgl w:val="false"/>
      <w:suff w:val="nothing"/>
      <w:lvlText w:val="%2.%3.%4.%5 "/>
      <w:lvlJc w:val="left"/>
      <w:pPr>
        <w:pStyle w:val="679"/>
        <w:ind w:left="0" w:firstLine="0"/>
      </w:pPr>
      <w:rPr>
        <w:rFonts w:hint="eastAsia"/>
      </w:rPr>
    </w:lvl>
    <w:lvl w:ilvl="5">
      <w:start w:val="1"/>
      <w:numFmt w:val="decimal"/>
      <w:pStyle w:val="685"/>
      <w:isLgl w:val="false"/>
      <w:suff w:val="nothing"/>
      <w:lvlText w:val=""/>
      <w:lvlJc w:val="left"/>
      <w:pPr>
        <w:pStyle w:val="679"/>
        <w:ind w:left="0" w:firstLine="0"/>
      </w:pPr>
      <w:rPr>
        <w:rFonts w:hint="eastAsia"/>
      </w:rPr>
    </w:lvl>
    <w:lvl w:ilvl="6">
      <w:start w:val="1"/>
      <w:numFmt w:val="decimal"/>
      <w:pStyle w:val="686"/>
      <w:isLgl w:val="false"/>
      <w:suff w:val="nothing"/>
      <w:lvlText w:val=""/>
      <w:lvlJc w:val="left"/>
      <w:pPr>
        <w:pStyle w:val="679"/>
        <w:ind w:left="0" w:firstLine="0"/>
      </w:pPr>
      <w:rPr>
        <w:rFonts w:hint="eastAsia"/>
      </w:rPr>
    </w:lvl>
    <w:lvl w:ilvl="7">
      <w:start w:val="1"/>
      <w:numFmt w:val="decimal"/>
      <w:pStyle w:val="687"/>
      <w:isLgl w:val="false"/>
      <w:suff w:val="nothing"/>
      <w:lvlText w:val=""/>
      <w:lvlJc w:val="left"/>
      <w:pPr>
        <w:pStyle w:val="679"/>
        <w:ind w:left="0" w:firstLine="0"/>
      </w:pPr>
      <w:rPr>
        <w:rFonts w:hint="eastAsia"/>
      </w:rPr>
    </w:lvl>
    <w:lvl w:ilvl="8">
      <w:start w:val="1"/>
      <w:numFmt w:val="decimal"/>
      <w:pStyle w:val="688"/>
      <w:isLgl w:val="false"/>
      <w:suff w:val="nothing"/>
      <w:lvlText w:val=""/>
      <w:lvlJc w:val="left"/>
      <w:pPr>
        <w:pStyle w:val="679"/>
        <w:ind w:left="0" w:firstLine="0"/>
      </w:pPr>
      <w:rPr>
        <w:rFonts w:hint="eastAsia"/>
      </w:rPr>
    </w:lvl>
  </w:abstractNum>
  <w:abstractNum w:abstractNumId="3">
    <w:multiLevelType w:val="hybridMultilevel"/>
    <w:lvl w:ilvl="0">
      <w:start w:val="6"/>
      <w:numFmt w:val="chineseCounting"/>
      <w:isLgl w:val="false"/>
      <w:suff w:val="nothing"/>
      <w:lvlText w:val="（%1）"/>
      <w:lvlJc w:val="left"/>
      <w:pPr>
        <w:pStyle w:val="67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9"/>
    <w:next w:val="67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91"/>
    <w:link w:val="679"/>
    <w:qFormat/>
    <w:pPr>
      <w:jc w:val="both"/>
      <w:widowControl w:val="off"/>
    </w:pPr>
    <w:rPr>
      <w:sz w:val="21"/>
      <w:szCs w:val="22"/>
      <w:lang w:val="en-US" w:eastAsia="zh-CN" w:bidi="ar-SA"/>
    </w:rPr>
  </w:style>
  <w:style w:type="paragraph" w:styleId="680">
    <w:name w:val="标题 1"/>
    <w:basedOn w:val="679"/>
    <w:next w:val="679"/>
    <w:link w:val="692"/>
    <w:qFormat/>
    <w:pPr>
      <w:jc w:val="center"/>
      <w:keepNext/>
      <w:outlineLvl w:val="0"/>
    </w:pPr>
    <w:rPr>
      <w:rFonts w:ascii="楷体_GB2312" w:hAnsi="Times New Roman" w:eastAsia="楷体_GB2312" w:cs="Times New Roman"/>
      <w:sz w:val="28"/>
      <w:szCs w:val="28"/>
    </w:rPr>
  </w:style>
  <w:style w:type="paragraph" w:styleId="681">
    <w:name w:val="标题 2"/>
    <w:basedOn w:val="679"/>
    <w:next w:val="694"/>
    <w:link w:val="693"/>
    <w:qFormat/>
    <w:pPr>
      <w:jc w:val="center"/>
      <w:keepLines/>
      <w:keepNext/>
      <w:spacing w:before="260" w:after="260" w:line="416" w:lineRule="auto"/>
      <w:outlineLvl w:val="1"/>
    </w:pPr>
    <w:rPr>
      <w:rFonts w:ascii="Arial" w:hAnsi="Arial" w:eastAsia="幼圆" w:cs="Arial"/>
      <w:b/>
      <w:bCs/>
      <w:sz w:val="44"/>
      <w:szCs w:val="44"/>
    </w:rPr>
  </w:style>
  <w:style w:type="paragraph" w:styleId="682">
    <w:name w:val="标题 3"/>
    <w:basedOn w:val="679"/>
    <w:next w:val="694"/>
    <w:link w:val="696"/>
    <w:qFormat/>
    <w:pPr>
      <w:keepLines/>
      <w:keepNext/>
      <w:spacing w:before="260" w:after="260" w:line="416" w:lineRule="auto"/>
      <w:outlineLvl w:val="2"/>
    </w:pPr>
    <w:rPr>
      <w:rFonts w:ascii="Times New Roman" w:hAnsi="Times New Roman" w:eastAsia="宋体" w:cs="Times New Roman"/>
      <w:b/>
      <w:bCs/>
      <w:sz w:val="32"/>
      <w:szCs w:val="32"/>
    </w:rPr>
  </w:style>
  <w:style w:type="paragraph" w:styleId="683">
    <w:name w:val="标题 4"/>
    <w:basedOn w:val="679"/>
    <w:next w:val="694"/>
    <w:link w:val="697"/>
    <w:qFormat/>
    <w:pPr>
      <w:keepLines/>
      <w:keepNext/>
      <w:spacing w:before="280" w:after="290" w:line="376" w:lineRule="auto"/>
      <w:outlineLvl w:val="3"/>
    </w:pPr>
    <w:rPr>
      <w:rFonts w:ascii="Arial" w:hAnsi="Arial" w:eastAsia="黑体" w:cs="Arial"/>
      <w:b/>
      <w:bCs/>
      <w:sz w:val="28"/>
      <w:szCs w:val="28"/>
    </w:rPr>
  </w:style>
  <w:style w:type="paragraph" w:styleId="684">
    <w:name w:val="标题 5"/>
    <w:basedOn w:val="679"/>
    <w:next w:val="694"/>
    <w:link w:val="698"/>
    <w:qFormat/>
    <w:pPr>
      <w:keepNext/>
      <w:outlineLvl w:val="4"/>
    </w:pPr>
    <w:rPr>
      <w:rFonts w:ascii="宋体" w:hAnsi="Times New Roman" w:eastAsia="宋体" w:cs="Times New Roman"/>
      <w:color w:val="000000"/>
      <w:sz w:val="28"/>
      <w:szCs w:val="28"/>
    </w:rPr>
  </w:style>
  <w:style w:type="paragraph" w:styleId="685">
    <w:name w:val="标题 6"/>
    <w:basedOn w:val="679"/>
    <w:next w:val="679"/>
    <w:link w:val="69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86">
    <w:name w:val="标题 7"/>
    <w:basedOn w:val="679"/>
    <w:next w:val="679"/>
    <w:link w:val="70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87">
    <w:name w:val="标题 8"/>
    <w:basedOn w:val="679"/>
    <w:next w:val="679"/>
    <w:link w:val="70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88">
    <w:name w:val="标题 9"/>
    <w:basedOn w:val="679"/>
    <w:next w:val="679"/>
    <w:link w:val="702"/>
    <w:qFormat/>
    <w:pPr>
      <w:numPr>
        <w:ilvl w:val="8"/>
        <w:numId w:val="1"/>
      </w:numPr>
      <w:keepLines/>
      <w:keepNext/>
      <w:spacing w:before="240" w:after="64" w:line="320" w:lineRule="auto"/>
      <w:outlineLvl w:val="8"/>
    </w:pPr>
    <w:rPr>
      <w:rFonts w:ascii="Arial" w:hAnsi="Arial" w:eastAsia="黑体" w:cs="Times New Roman"/>
      <w:szCs w:val="21"/>
    </w:rPr>
  </w:style>
  <w:style w:type="character" w:styleId="689">
    <w:name w:val="默认段落字体"/>
    <w:next w:val="689"/>
    <w:link w:val="679"/>
    <w:uiPriority w:val="1"/>
    <w:unhideWhenUsed/>
  </w:style>
  <w:style w:type="table" w:styleId="690">
    <w:name w:val="普通表格"/>
    <w:next w:val="690"/>
    <w:link w:val="679"/>
    <w:uiPriority w:val="99"/>
    <w:unhideWhenUsed/>
    <w:tblPr/>
  </w:style>
  <w:style w:type="paragraph" w:styleId="691">
    <w:name w:val="索引 8"/>
    <w:basedOn w:val="679"/>
    <w:next w:val="679"/>
    <w:link w:val="679"/>
    <w:uiPriority w:val="99"/>
    <w:unhideWhenUsed/>
    <w:qFormat/>
    <w:pPr>
      <w:ind w:left="1400"/>
    </w:pPr>
  </w:style>
  <w:style w:type="character" w:styleId="692">
    <w:name w:val="标题 1 字符"/>
    <w:next w:val="692"/>
    <w:link w:val="680"/>
    <w:rPr>
      <w:rFonts w:ascii="楷体_GB2312" w:hAnsi="Times New Roman" w:eastAsia="楷体_GB2312" w:cs="Times New Roman"/>
      <w:sz w:val="28"/>
      <w:szCs w:val="28"/>
    </w:rPr>
  </w:style>
  <w:style w:type="character" w:styleId="693">
    <w:name w:val="标题 2 字符"/>
    <w:next w:val="693"/>
    <w:link w:val="681"/>
    <w:rPr>
      <w:rFonts w:ascii="Arial" w:hAnsi="Arial" w:eastAsia="幼圆" w:cs="Arial"/>
      <w:b/>
      <w:bCs/>
      <w:sz w:val="44"/>
      <w:szCs w:val="44"/>
    </w:rPr>
  </w:style>
  <w:style w:type="paragraph" w:styleId="694">
    <w:name w:val="正文缩进"/>
    <w:basedOn w:val="679"/>
    <w:next w:val="694"/>
    <w:link w:val="695"/>
    <w:pPr>
      <w:ind w:firstLine="420"/>
    </w:pPr>
    <w:rPr>
      <w:szCs w:val="21"/>
    </w:rPr>
  </w:style>
  <w:style w:type="character" w:styleId="695">
    <w:name w:val="正文缩进 字符"/>
    <w:next w:val="695"/>
    <w:link w:val="694"/>
    <w:rPr>
      <w:szCs w:val="21"/>
    </w:rPr>
  </w:style>
  <w:style w:type="character" w:styleId="696">
    <w:name w:val="标题 3 字符"/>
    <w:next w:val="696"/>
    <w:link w:val="682"/>
    <w:rPr>
      <w:rFonts w:ascii="Times New Roman" w:hAnsi="Times New Roman" w:eastAsia="宋体" w:cs="Times New Roman"/>
      <w:b/>
      <w:bCs/>
      <w:sz w:val="32"/>
      <w:szCs w:val="32"/>
    </w:rPr>
  </w:style>
  <w:style w:type="character" w:styleId="697">
    <w:name w:val="标题 4 字符"/>
    <w:next w:val="697"/>
    <w:link w:val="683"/>
    <w:rPr>
      <w:rFonts w:ascii="Arial" w:hAnsi="Arial" w:eastAsia="黑体" w:cs="Arial"/>
      <w:b/>
      <w:bCs/>
      <w:sz w:val="28"/>
      <w:szCs w:val="28"/>
    </w:rPr>
  </w:style>
  <w:style w:type="character" w:styleId="698">
    <w:name w:val="标题 5 字符"/>
    <w:next w:val="698"/>
    <w:link w:val="684"/>
    <w:rPr>
      <w:rFonts w:ascii="宋体" w:hAnsi="Times New Roman" w:eastAsia="宋体" w:cs="Times New Roman"/>
      <w:color w:val="000000"/>
      <w:sz w:val="28"/>
      <w:szCs w:val="28"/>
    </w:rPr>
  </w:style>
  <w:style w:type="character" w:styleId="699">
    <w:name w:val="标题 6 字符"/>
    <w:next w:val="699"/>
    <w:link w:val="685"/>
    <w:rPr>
      <w:rFonts w:ascii="Arial" w:hAnsi="Arial" w:eastAsia="黑体" w:cs="Times New Roman"/>
      <w:b/>
      <w:bCs/>
      <w:sz w:val="24"/>
      <w:szCs w:val="24"/>
    </w:rPr>
  </w:style>
  <w:style w:type="character" w:styleId="700">
    <w:name w:val="标题 7 字符"/>
    <w:next w:val="700"/>
    <w:link w:val="686"/>
    <w:rPr>
      <w:rFonts w:ascii="Times New Roman" w:hAnsi="Times New Roman" w:eastAsia="宋体" w:cs="Times New Roman"/>
      <w:b/>
      <w:bCs/>
      <w:sz w:val="24"/>
      <w:szCs w:val="24"/>
    </w:rPr>
  </w:style>
  <w:style w:type="character" w:styleId="701">
    <w:name w:val="标题 8 字符"/>
    <w:next w:val="701"/>
    <w:link w:val="687"/>
    <w:rPr>
      <w:rFonts w:ascii="Arial" w:hAnsi="Arial" w:eastAsia="黑体" w:cs="Times New Roman"/>
      <w:sz w:val="24"/>
      <w:szCs w:val="24"/>
    </w:rPr>
  </w:style>
  <w:style w:type="character" w:styleId="702">
    <w:name w:val="标题 9 字符"/>
    <w:next w:val="702"/>
    <w:link w:val="688"/>
    <w:rPr>
      <w:rFonts w:ascii="Arial" w:hAnsi="Arial" w:eastAsia="黑体" w:cs="Times New Roman"/>
      <w:szCs w:val="21"/>
    </w:rPr>
  </w:style>
  <w:style w:type="paragraph" w:styleId="703">
    <w:name w:val="列表 3"/>
    <w:basedOn w:val="679"/>
    <w:next w:val="703"/>
    <w:link w:val="679"/>
    <w:pPr>
      <w:ind w:left="100" w:hanging="200"/>
    </w:pPr>
    <w:rPr>
      <w:rFonts w:ascii="Times New Roman" w:hAnsi="Times New Roman" w:eastAsia="宋体" w:cs="Times New Roman"/>
      <w:szCs w:val="21"/>
    </w:rPr>
  </w:style>
  <w:style w:type="paragraph" w:styleId="704">
    <w:name w:val="目录 7"/>
    <w:basedOn w:val="679"/>
    <w:next w:val="679"/>
    <w:link w:val="679"/>
    <w:semiHidden/>
    <w:pPr>
      <w:ind w:left="1260"/>
      <w:jc w:val="left"/>
    </w:pPr>
    <w:rPr>
      <w:rFonts w:ascii="Times New Roman" w:hAnsi="Times New Roman" w:eastAsia="宋体" w:cs="Times New Roman"/>
      <w:szCs w:val="21"/>
    </w:rPr>
  </w:style>
  <w:style w:type="paragraph" w:styleId="705">
    <w:name w:val="文档结构图"/>
    <w:basedOn w:val="679"/>
    <w:next w:val="705"/>
    <w:link w:val="706"/>
    <w:semiHidden/>
    <w:pPr>
      <w:shd w:val="clear" w:color="auto" w:fill="000080"/>
    </w:pPr>
    <w:rPr>
      <w:rFonts w:ascii="Times New Roman" w:hAnsi="Times New Roman" w:eastAsia="宋体" w:cs="Times New Roman"/>
      <w:szCs w:val="21"/>
    </w:rPr>
  </w:style>
  <w:style w:type="character" w:styleId="706">
    <w:name w:val="文档结构图 字符"/>
    <w:next w:val="706"/>
    <w:link w:val="705"/>
    <w:semiHidden/>
    <w:rPr>
      <w:rFonts w:ascii="Times New Roman" w:hAnsi="Times New Roman" w:eastAsia="宋体" w:cs="Times New Roman"/>
      <w:szCs w:val="21"/>
      <w:shd w:val="clear" w:color="auto" w:fill="000080"/>
    </w:rPr>
  </w:style>
  <w:style w:type="paragraph" w:styleId="707">
    <w:name w:val="批注文字"/>
    <w:basedOn w:val="679"/>
    <w:next w:val="707"/>
    <w:link w:val="708"/>
    <w:unhideWhenUsed/>
    <w:pPr>
      <w:jc w:val="left"/>
    </w:pPr>
  </w:style>
  <w:style w:type="character" w:styleId="708">
    <w:name w:val="批注文字 字符"/>
    <w:next w:val="708"/>
    <w:link w:val="707"/>
  </w:style>
  <w:style w:type="paragraph" w:styleId="709">
    <w:name w:val="正文文本 3"/>
    <w:basedOn w:val="679"/>
    <w:next w:val="709"/>
    <w:link w:val="710"/>
    <w:rPr>
      <w:rFonts w:ascii="仿宋_GB2312" w:hAnsi="Arial" w:eastAsia="仿宋_GB2312" w:cs="Times New Roman"/>
      <w:sz w:val="32"/>
      <w:szCs w:val="32"/>
    </w:rPr>
  </w:style>
  <w:style w:type="character" w:styleId="710">
    <w:name w:val="正文文本 3 字符"/>
    <w:next w:val="710"/>
    <w:link w:val="709"/>
    <w:rPr>
      <w:rFonts w:ascii="仿宋_GB2312" w:hAnsi="Arial" w:eastAsia="仿宋_GB2312" w:cs="Times New Roman"/>
      <w:sz w:val="32"/>
      <w:szCs w:val="32"/>
    </w:rPr>
  </w:style>
  <w:style w:type="paragraph" w:styleId="711">
    <w:name w:val="正文文本"/>
    <w:basedOn w:val="679"/>
    <w:next w:val="711"/>
    <w:link w:val="712"/>
    <w:rPr>
      <w:rFonts w:ascii="楷体_GB2312" w:hAnsi="Arial" w:eastAsia="楷体_GB2312" w:cs="Times New Roman"/>
      <w:sz w:val="28"/>
      <w:szCs w:val="28"/>
    </w:rPr>
  </w:style>
  <w:style w:type="character" w:styleId="712">
    <w:name w:val="正文文本 字符"/>
    <w:next w:val="712"/>
    <w:link w:val="711"/>
    <w:rPr>
      <w:rFonts w:ascii="楷体_GB2312" w:hAnsi="Arial" w:eastAsia="楷体_GB2312" w:cs="Times New Roman"/>
      <w:sz w:val="28"/>
      <w:szCs w:val="28"/>
    </w:rPr>
  </w:style>
  <w:style w:type="paragraph" w:styleId="713">
    <w:name w:val="正文文本缩进"/>
    <w:basedOn w:val="679"/>
    <w:next w:val="713"/>
    <w:link w:val="714"/>
    <w:unhideWhenUsed/>
    <w:pPr>
      <w:ind w:left="420"/>
      <w:spacing w:after="120"/>
    </w:pPr>
  </w:style>
  <w:style w:type="character" w:styleId="714">
    <w:name w:val="正文文本缩进 字符"/>
    <w:next w:val="714"/>
    <w:link w:val="713"/>
    <w:uiPriority w:val="99"/>
    <w:semiHidden/>
  </w:style>
  <w:style w:type="paragraph" w:styleId="715">
    <w:name w:val="列表 2"/>
    <w:basedOn w:val="679"/>
    <w:next w:val="715"/>
    <w:link w:val="679"/>
    <w:pPr>
      <w:ind w:left="100" w:hanging="200"/>
    </w:pPr>
    <w:rPr>
      <w:rFonts w:ascii="Times New Roman" w:hAnsi="Times New Roman" w:eastAsia="宋体" w:cs="Times New Roman"/>
      <w:szCs w:val="21"/>
    </w:rPr>
  </w:style>
  <w:style w:type="paragraph" w:styleId="716">
    <w:name w:val="目录 5"/>
    <w:basedOn w:val="679"/>
    <w:next w:val="679"/>
    <w:link w:val="679"/>
    <w:semiHidden/>
    <w:pPr>
      <w:ind w:left="840"/>
      <w:jc w:val="left"/>
    </w:pPr>
    <w:rPr>
      <w:rFonts w:ascii="Times New Roman" w:hAnsi="Times New Roman" w:eastAsia="宋体" w:cs="Times New Roman"/>
      <w:szCs w:val="21"/>
    </w:rPr>
  </w:style>
  <w:style w:type="paragraph" w:styleId="717">
    <w:name w:val="目录 3"/>
    <w:basedOn w:val="679"/>
    <w:next w:val="679"/>
    <w:link w:val="679"/>
    <w:semiHidden/>
    <w:pPr>
      <w:ind w:left="420"/>
      <w:jc w:val="left"/>
    </w:pPr>
    <w:rPr>
      <w:rFonts w:ascii="Times New Roman" w:hAnsi="Times New Roman" w:eastAsia="宋体" w:cs="Times New Roman"/>
      <w:i/>
      <w:iCs/>
      <w:szCs w:val="24"/>
    </w:rPr>
  </w:style>
  <w:style w:type="paragraph" w:styleId="718">
    <w:name w:val="纯文本"/>
    <w:basedOn w:val="679"/>
    <w:next w:val="718"/>
    <w:link w:val="719"/>
    <w:qFormat/>
    <w:rPr>
      <w:rFonts w:ascii="宋体" w:hAnsi="Courier New" w:eastAsia="宋体" w:cs="Courier New"/>
      <w:szCs w:val="21"/>
    </w:rPr>
  </w:style>
  <w:style w:type="character" w:styleId="719">
    <w:name w:val="纯文本 字符"/>
    <w:next w:val="719"/>
    <w:link w:val="718"/>
    <w:rPr>
      <w:rFonts w:ascii="宋体" w:hAnsi="Courier New" w:eastAsia="宋体" w:cs="Courier New"/>
      <w:szCs w:val="21"/>
    </w:rPr>
  </w:style>
  <w:style w:type="paragraph" w:styleId="720">
    <w:name w:val="目录 8"/>
    <w:basedOn w:val="679"/>
    <w:next w:val="679"/>
    <w:link w:val="679"/>
    <w:semiHidden/>
    <w:pPr>
      <w:ind w:left="1470"/>
      <w:jc w:val="left"/>
    </w:pPr>
    <w:rPr>
      <w:rFonts w:ascii="Times New Roman" w:hAnsi="Times New Roman" w:eastAsia="宋体" w:cs="Times New Roman"/>
      <w:szCs w:val="21"/>
    </w:rPr>
  </w:style>
  <w:style w:type="paragraph" w:styleId="721">
    <w:name w:val="日期"/>
    <w:basedOn w:val="679"/>
    <w:next w:val="679"/>
    <w:link w:val="722"/>
    <w:rPr>
      <w:rFonts w:ascii="Times New Roman" w:hAnsi="Times New Roman" w:eastAsia="宋体" w:cs="Times New Roman"/>
      <w:sz w:val="24"/>
      <w:szCs w:val="24"/>
    </w:rPr>
  </w:style>
  <w:style w:type="character" w:styleId="722">
    <w:name w:val="日期 字符"/>
    <w:next w:val="722"/>
    <w:link w:val="721"/>
    <w:rPr>
      <w:rFonts w:ascii="Times New Roman" w:hAnsi="Times New Roman" w:eastAsia="宋体" w:cs="Times New Roman"/>
      <w:sz w:val="24"/>
      <w:szCs w:val="24"/>
    </w:rPr>
  </w:style>
  <w:style w:type="paragraph" w:styleId="723">
    <w:name w:val="正文文本缩进 2"/>
    <w:basedOn w:val="679"/>
    <w:next w:val="723"/>
    <w:link w:val="724"/>
    <w:pPr>
      <w:ind w:left="630" w:firstLine="645"/>
    </w:pPr>
    <w:rPr>
      <w:rFonts w:ascii="Arial" w:hAnsi="Arial" w:eastAsia="仿宋_GB2312" w:cs="Arial"/>
      <w:sz w:val="32"/>
      <w:szCs w:val="32"/>
    </w:rPr>
  </w:style>
  <w:style w:type="character" w:styleId="724">
    <w:name w:val="正文文本缩进 2 字符"/>
    <w:next w:val="724"/>
    <w:link w:val="723"/>
    <w:rPr>
      <w:rFonts w:ascii="Arial" w:hAnsi="Arial" w:eastAsia="仿宋_GB2312" w:cs="Arial"/>
      <w:sz w:val="32"/>
      <w:szCs w:val="32"/>
    </w:rPr>
  </w:style>
  <w:style w:type="paragraph" w:styleId="725">
    <w:name w:val="批注框文本"/>
    <w:basedOn w:val="679"/>
    <w:next w:val="725"/>
    <w:link w:val="726"/>
    <w:semiHidden/>
    <w:rPr>
      <w:rFonts w:ascii="Times New Roman" w:hAnsi="Times New Roman" w:eastAsia="宋体" w:cs="Times New Roman"/>
      <w:sz w:val="18"/>
      <w:szCs w:val="18"/>
    </w:rPr>
  </w:style>
  <w:style w:type="character" w:styleId="726">
    <w:name w:val="批注框文本 字符"/>
    <w:next w:val="726"/>
    <w:link w:val="725"/>
    <w:semiHidden/>
    <w:rPr>
      <w:rFonts w:ascii="Times New Roman" w:hAnsi="Times New Roman" w:eastAsia="宋体" w:cs="Times New Roman"/>
      <w:sz w:val="18"/>
      <w:szCs w:val="18"/>
    </w:rPr>
  </w:style>
  <w:style w:type="paragraph" w:styleId="727">
    <w:name w:val="页脚"/>
    <w:basedOn w:val="679"/>
    <w:next w:val="727"/>
    <w:link w:val="728"/>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28">
    <w:name w:val="页脚 字符"/>
    <w:next w:val="728"/>
    <w:link w:val="727"/>
    <w:uiPriority w:val="99"/>
    <w:rPr>
      <w:rFonts w:ascii="Times New Roman" w:hAnsi="Times New Roman" w:eastAsia="宋体" w:cs="Times New Roman"/>
      <w:sz w:val="18"/>
      <w:szCs w:val="18"/>
    </w:rPr>
  </w:style>
  <w:style w:type="paragraph" w:styleId="729">
    <w:name w:val="页眉"/>
    <w:basedOn w:val="679"/>
    <w:next w:val="729"/>
    <w:link w:val="7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30">
    <w:name w:val="页眉 字符"/>
    <w:next w:val="730"/>
    <w:link w:val="729"/>
    <w:rPr>
      <w:rFonts w:ascii="Times New Roman" w:hAnsi="Times New Roman" w:eastAsia="宋体" w:cs="Times New Roman"/>
      <w:sz w:val="18"/>
      <w:szCs w:val="18"/>
    </w:rPr>
  </w:style>
  <w:style w:type="paragraph" w:styleId="731">
    <w:name w:val="目录 1"/>
    <w:basedOn w:val="679"/>
    <w:next w:val="679"/>
    <w:link w:val="67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2">
    <w:name w:val="目录 4"/>
    <w:basedOn w:val="679"/>
    <w:next w:val="679"/>
    <w:link w:val="679"/>
    <w:semiHidden/>
    <w:pPr>
      <w:ind w:left="630"/>
      <w:jc w:val="left"/>
    </w:pPr>
    <w:rPr>
      <w:rFonts w:ascii="Times New Roman" w:hAnsi="Times New Roman" w:eastAsia="宋体" w:cs="Times New Roman"/>
      <w:szCs w:val="21"/>
    </w:rPr>
  </w:style>
  <w:style w:type="paragraph" w:styleId="733">
    <w:name w:val="列表"/>
    <w:basedOn w:val="679"/>
    <w:next w:val="733"/>
    <w:link w:val="679"/>
    <w:pPr>
      <w:ind w:left="200" w:hanging="200"/>
    </w:pPr>
    <w:rPr>
      <w:rFonts w:ascii="Times New Roman" w:hAnsi="Times New Roman" w:eastAsia="宋体" w:cs="Times New Roman"/>
      <w:szCs w:val="21"/>
    </w:rPr>
  </w:style>
  <w:style w:type="paragraph" w:styleId="734">
    <w:name w:val="目录 6"/>
    <w:basedOn w:val="679"/>
    <w:next w:val="679"/>
    <w:link w:val="679"/>
    <w:semiHidden/>
    <w:pPr>
      <w:ind w:left="1050"/>
      <w:jc w:val="left"/>
    </w:pPr>
    <w:rPr>
      <w:rFonts w:ascii="Times New Roman" w:hAnsi="Times New Roman" w:eastAsia="宋体" w:cs="Times New Roman"/>
      <w:szCs w:val="21"/>
    </w:rPr>
  </w:style>
  <w:style w:type="paragraph" w:styleId="735">
    <w:name w:val="正文文本缩进 3"/>
    <w:basedOn w:val="679"/>
    <w:next w:val="735"/>
    <w:link w:val="736"/>
    <w:pPr>
      <w:ind w:left="645" w:firstLine="645"/>
    </w:pPr>
    <w:rPr>
      <w:rFonts w:ascii="Arial" w:hAnsi="Arial" w:eastAsia="仿宋_GB2312" w:cs="Arial"/>
      <w:color w:val="ffff00"/>
      <w:sz w:val="32"/>
      <w:szCs w:val="32"/>
    </w:rPr>
  </w:style>
  <w:style w:type="character" w:styleId="736">
    <w:name w:val="正文文本缩进 3 字符"/>
    <w:next w:val="736"/>
    <w:link w:val="735"/>
    <w:rPr>
      <w:rFonts w:ascii="Arial" w:hAnsi="Arial" w:eastAsia="仿宋_GB2312" w:cs="Arial"/>
      <w:color w:val="ffff00"/>
      <w:sz w:val="32"/>
      <w:szCs w:val="32"/>
    </w:rPr>
  </w:style>
  <w:style w:type="paragraph" w:styleId="737">
    <w:name w:val="图表目录"/>
    <w:basedOn w:val="679"/>
    <w:next w:val="679"/>
    <w:link w:val="679"/>
    <w:semiHidden/>
    <w:pPr>
      <w:ind w:left="840" w:hanging="420"/>
    </w:pPr>
    <w:rPr>
      <w:rFonts w:ascii="Times New Roman" w:hAnsi="Times New Roman" w:eastAsia="宋体" w:cs="Times New Roman"/>
      <w:szCs w:val="21"/>
    </w:rPr>
  </w:style>
  <w:style w:type="paragraph" w:styleId="738">
    <w:name w:val="目录 2"/>
    <w:basedOn w:val="679"/>
    <w:next w:val="679"/>
    <w:link w:val="679"/>
    <w:semiHidden/>
    <w:pPr>
      <w:ind w:left="210"/>
      <w:jc w:val="left"/>
    </w:pPr>
    <w:rPr>
      <w:rFonts w:ascii="Times New Roman" w:hAnsi="Times New Roman" w:eastAsia="宋体" w:cs="Times New Roman"/>
      <w:smallCaps/>
      <w:szCs w:val="24"/>
    </w:rPr>
  </w:style>
  <w:style w:type="paragraph" w:styleId="739">
    <w:name w:val="目录 9"/>
    <w:basedOn w:val="679"/>
    <w:next w:val="679"/>
    <w:link w:val="679"/>
    <w:semiHidden/>
    <w:pPr>
      <w:ind w:left="1680"/>
      <w:jc w:val="left"/>
    </w:pPr>
    <w:rPr>
      <w:rFonts w:ascii="Times New Roman" w:hAnsi="Times New Roman" w:eastAsia="宋体" w:cs="Times New Roman"/>
      <w:szCs w:val="21"/>
    </w:rPr>
  </w:style>
  <w:style w:type="paragraph" w:styleId="740">
    <w:name w:val="正文文本 2"/>
    <w:basedOn w:val="679"/>
    <w:next w:val="740"/>
    <w:link w:val="741"/>
    <w:pPr>
      <w:jc w:val="center"/>
      <w:widowControl/>
    </w:pPr>
    <w:rPr>
      <w:rFonts w:ascii="楷体_GB2312" w:hAnsi="Times New Roman" w:eastAsia="楷体_GB2312" w:cs="Times New Roman"/>
      <w:sz w:val="28"/>
      <w:szCs w:val="28"/>
    </w:rPr>
  </w:style>
  <w:style w:type="character" w:styleId="741">
    <w:name w:val="正文文本 2 字符"/>
    <w:next w:val="741"/>
    <w:link w:val="740"/>
    <w:rPr>
      <w:rFonts w:ascii="楷体_GB2312" w:hAnsi="Times New Roman" w:eastAsia="楷体_GB2312" w:cs="Times New Roman"/>
      <w:sz w:val="28"/>
      <w:szCs w:val="28"/>
    </w:rPr>
  </w:style>
  <w:style w:type="paragraph" w:styleId="742">
    <w:name w:val="普通(网站)"/>
    <w:basedOn w:val="679"/>
    <w:next w:val="742"/>
    <w:link w:val="679"/>
    <w:uiPriority w:val="99"/>
    <w:pPr>
      <w:jc w:val="left"/>
      <w:spacing w:before="100" w:beforeAutospacing="1" w:after="100" w:afterAutospacing="1"/>
      <w:widowControl/>
    </w:pPr>
    <w:rPr>
      <w:rFonts w:ascii="宋体" w:hAnsi="宋体" w:eastAsia="宋体" w:cs="宋体"/>
      <w:sz w:val="24"/>
      <w:szCs w:val="24"/>
    </w:rPr>
  </w:style>
  <w:style w:type="paragraph" w:styleId="743">
    <w:name w:val="索引 1"/>
    <w:basedOn w:val="679"/>
    <w:next w:val="679"/>
    <w:link w:val="679"/>
    <w:semiHidden/>
    <w:pPr>
      <w:spacing w:line="240" w:lineRule="atLeast"/>
    </w:pPr>
    <w:rPr>
      <w:rFonts w:ascii="Times New Roman" w:hAnsi="Times New Roman" w:eastAsia="宋体" w:cs="Times New Roman"/>
      <w:b/>
      <w:bCs/>
      <w:szCs w:val="21"/>
    </w:rPr>
  </w:style>
  <w:style w:type="paragraph" w:styleId="744">
    <w:name w:val="批注主题"/>
    <w:basedOn w:val="707"/>
    <w:next w:val="707"/>
    <w:link w:val="745"/>
    <w:semiHidden/>
    <w:rPr>
      <w:rFonts w:ascii="Times New Roman" w:hAnsi="Times New Roman" w:eastAsia="宋体" w:cs="Times New Roman"/>
      <w:b/>
      <w:bCs/>
      <w:szCs w:val="21"/>
    </w:rPr>
  </w:style>
  <w:style w:type="character" w:styleId="745">
    <w:name w:val="批注主题 字符"/>
    <w:next w:val="745"/>
    <w:link w:val="744"/>
    <w:semiHidden/>
    <w:rPr>
      <w:rFonts w:ascii="Times New Roman" w:hAnsi="Times New Roman" w:eastAsia="宋体" w:cs="Times New Roman"/>
      <w:b/>
      <w:bCs/>
      <w:szCs w:val="21"/>
    </w:rPr>
  </w:style>
  <w:style w:type="paragraph" w:styleId="746">
    <w:name w:val="正文首行缩进"/>
    <w:basedOn w:val="679"/>
    <w:next w:val="746"/>
    <w:link w:val="747"/>
    <w:pPr>
      <w:ind w:firstLine="200"/>
      <w:spacing w:line="360" w:lineRule="auto"/>
    </w:pPr>
    <w:rPr>
      <w:rFonts w:ascii="仿宋_GB2312" w:hAnsi="Times New Roman" w:eastAsia="仿宋_GB2312" w:cs="Times New Roman"/>
      <w:sz w:val="30"/>
      <w:szCs w:val="30"/>
    </w:rPr>
  </w:style>
  <w:style w:type="character" w:styleId="747">
    <w:name w:val="正文文本首行缩进 字符"/>
    <w:next w:val="747"/>
    <w:link w:val="746"/>
    <w:rPr>
      <w:rFonts w:ascii="仿宋_GB2312" w:hAnsi="Times New Roman" w:eastAsia="仿宋_GB2312" w:cs="Times New Roman"/>
      <w:sz w:val="30"/>
      <w:szCs w:val="30"/>
    </w:rPr>
  </w:style>
  <w:style w:type="paragraph" w:styleId="748">
    <w:name w:val="正文首行缩进 2"/>
    <w:basedOn w:val="713"/>
    <w:next w:val="748"/>
    <w:link w:val="749"/>
    <w:pPr>
      <w:ind w:left="0" w:firstLine="420"/>
      <w:spacing w:after="0" w:line="360" w:lineRule="auto"/>
    </w:pPr>
    <w:rPr>
      <w:rFonts w:ascii="宋体" w:hAnsi="宋体" w:eastAsia="宋体" w:cs="Times New Roman"/>
      <w:szCs w:val="20"/>
    </w:rPr>
  </w:style>
  <w:style w:type="character" w:styleId="749">
    <w:name w:val="正文文本首行缩进 2 字符"/>
    <w:next w:val="749"/>
    <w:link w:val="748"/>
    <w:rPr>
      <w:rFonts w:ascii="宋体" w:hAnsi="宋体" w:eastAsia="宋体" w:cs="Times New Roman"/>
      <w:szCs w:val="20"/>
    </w:rPr>
  </w:style>
  <w:style w:type="table" w:styleId="750">
    <w:name w:val="网格型"/>
    <w:basedOn w:val="690"/>
    <w:next w:val="750"/>
    <w:link w:val="679"/>
    <w:pPr>
      <w:jc w:val="both"/>
      <w:widowControl w:val="off"/>
    </w:pPr>
    <w:rPr>
      <w:rFonts w:ascii="Times New Roman" w:hAnsi="Times New Roman" w:eastAsia="宋体" w:cs="Times New Roman"/>
      <w:sz w:val="20"/>
      <w:szCs w:val="20"/>
    </w:rPr>
    <w:tblPr/>
  </w:style>
  <w:style w:type="character" w:styleId="751">
    <w:name w:val="要点"/>
    <w:next w:val="751"/>
    <w:link w:val="679"/>
    <w:qFormat/>
    <w:rPr>
      <w:b/>
      <w:bCs/>
    </w:rPr>
  </w:style>
  <w:style w:type="character" w:styleId="752">
    <w:name w:val="页码"/>
    <w:next w:val="752"/>
    <w:link w:val="679"/>
  </w:style>
  <w:style w:type="character" w:styleId="753">
    <w:name w:val="已访问的超链接"/>
    <w:next w:val="753"/>
    <w:link w:val="679"/>
    <w:rPr>
      <w:color w:val="800080"/>
      <w:u w:val="single"/>
    </w:rPr>
  </w:style>
  <w:style w:type="character" w:styleId="754">
    <w:name w:val="强调"/>
    <w:next w:val="754"/>
    <w:link w:val="679"/>
    <w:qFormat/>
    <w:rPr>
      <w:i/>
    </w:rPr>
  </w:style>
  <w:style w:type="character" w:styleId="755">
    <w:name w:val="超链接"/>
    <w:next w:val="755"/>
    <w:link w:val="679"/>
    <w:rPr>
      <w:color w:val="0000ff"/>
      <w:u w:val="single"/>
    </w:rPr>
  </w:style>
  <w:style w:type="character" w:styleId="756">
    <w:name w:val="批注引用"/>
    <w:next w:val="756"/>
    <w:link w:val="679"/>
    <w:semiHidden/>
    <w:rPr>
      <w:sz w:val="21"/>
      <w:szCs w:val="21"/>
    </w:rPr>
  </w:style>
  <w:style w:type="character" w:styleId="757">
    <w:name w:val="font5 Char"/>
    <w:next w:val="757"/>
    <w:link w:val="679"/>
    <w:rPr>
      <w:rFonts w:ascii="宋体" w:hAnsi="宋体" w:eastAsia="宋体"/>
      <w:sz w:val="28"/>
      <w:szCs w:val="28"/>
      <w:lang w:val="en-US" w:eastAsia="zh-CN" w:bidi="ar-SA"/>
    </w:rPr>
  </w:style>
  <w:style w:type="character" w:styleId="758">
    <w:name w:val="二级目录 Char"/>
    <w:next w:val="758"/>
    <w:link w:val="759"/>
    <w:rPr>
      <w:b/>
      <w:sz w:val="30"/>
      <w:szCs w:val="28"/>
    </w:rPr>
  </w:style>
  <w:style w:type="paragraph" w:styleId="759">
    <w:name w:val="二级目录"/>
    <w:next w:val="679"/>
    <w:link w:val="758"/>
    <w:pPr>
      <w:numPr>
        <w:ilvl w:val="0"/>
        <w:numId w:val="2"/>
      </w:numPr>
      <w:tabs>
        <w:tab w:val="left" w:pos="907" w:leader="none"/>
        <w:tab w:val="left" w:pos="1145" w:leader="none"/>
      </w:tabs>
      <w:outlineLvl w:val="1"/>
    </w:pPr>
    <w:rPr>
      <w:b/>
      <w:sz w:val="30"/>
      <w:szCs w:val="28"/>
      <w:lang w:val="en-US" w:eastAsia="zh-CN" w:bidi="ar-SA"/>
    </w:rPr>
  </w:style>
  <w:style w:type="character" w:styleId="760">
    <w:name w:val="列出段落 Char,Bullet List Char,numbered Char,FooterText Char,List Paragraph1 Char,Paragraphe de liste1 Char"/>
    <w:next w:val="760"/>
    <w:link w:val="761"/>
    <w:rPr>
      <w:rFonts w:ascii="Calibri" w:hAnsi="Calibri"/>
      <w:sz w:val="24"/>
      <w:szCs w:val="24"/>
      <w:lang w:eastAsia="en-US" w:bidi="en-US"/>
    </w:rPr>
  </w:style>
  <w:style w:type="paragraph" w:styleId="761">
    <w:name w:val="列出段落1"/>
    <w:basedOn w:val="679"/>
    <w:next w:val="761"/>
    <w:link w:val="760"/>
    <w:qFormat/>
    <w:pPr>
      <w:contextualSpacing/>
      <w:ind w:left="720"/>
      <w:jc w:val="left"/>
      <w:widowControl/>
    </w:pPr>
    <w:rPr>
      <w:rFonts w:ascii="Calibri" w:hAnsi="Calibri"/>
      <w:sz w:val="24"/>
      <w:szCs w:val="24"/>
      <w:lang w:eastAsia="en-US" w:bidi="en-US"/>
    </w:rPr>
  </w:style>
  <w:style w:type="paragraph" w:styleId="762">
    <w:name w:val="Body Text(ch)"/>
    <w:basedOn w:val="679"/>
    <w:next w:val="711"/>
    <w:link w:val="679"/>
    <w:pPr>
      <w:spacing w:after="120"/>
    </w:pPr>
    <w:rPr>
      <w:rFonts w:ascii="宋体" w:hAnsi="Arial" w:eastAsia="宋体" w:cs="Times New Roman"/>
      <w:bCs/>
      <w:iCs/>
      <w:szCs w:val="24"/>
    </w:rPr>
  </w:style>
  <w:style w:type="paragraph" w:styleId="763">
    <w:name w:val="xl27"/>
    <w:basedOn w:val="679"/>
    <w:next w:val="763"/>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4">
    <w:name w:val="xl26"/>
    <w:basedOn w:val="679"/>
    <w:next w:val="764"/>
    <w:link w:val="6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5">
    <w:name w:val="Char"/>
    <w:basedOn w:val="679"/>
    <w:next w:val="765"/>
    <w:link w:val="679"/>
    <w:pPr>
      <w:ind w:firstLine="200"/>
      <w:tabs>
        <w:tab w:val="left" w:pos="360" w:leader="none"/>
      </w:tabs>
    </w:pPr>
    <w:rPr>
      <w:rFonts w:ascii="Times New Roman" w:hAnsi="Times New Roman" w:eastAsia="宋体" w:cs="Times New Roman"/>
      <w:sz w:val="28"/>
      <w:szCs w:val="30"/>
    </w:rPr>
  </w:style>
  <w:style w:type="paragraph" w:styleId="766">
    <w:name w:val=" Char"/>
    <w:basedOn w:val="705"/>
    <w:next w:val="766"/>
    <w:link w:val="679"/>
    <w:rPr>
      <w:rFonts w:ascii="Tahoma" w:hAnsi="Tahoma"/>
      <w:sz w:val="24"/>
      <w:szCs w:val="24"/>
    </w:rPr>
  </w:style>
  <w:style w:type="paragraph" w:styleId="767">
    <w:name w:val="普通正文"/>
    <w:basedOn w:val="679"/>
    <w:next w:val="767"/>
    <w:link w:val="679"/>
    <w:pPr>
      <w:ind w:firstLine="480"/>
      <w:jc w:val="left"/>
      <w:spacing w:before="120" w:after="120" w:line="360" w:lineRule="auto"/>
    </w:pPr>
    <w:rPr>
      <w:rFonts w:ascii="Arial" w:hAnsi="Arial" w:eastAsia="宋体" w:cs="Times New Roman"/>
      <w:sz w:val="24"/>
      <w:szCs w:val="24"/>
    </w:rPr>
  </w:style>
  <w:style w:type="paragraph" w:styleId="768">
    <w:name w:val="table_lines"/>
    <w:basedOn w:val="679"/>
    <w:next w:val="768"/>
    <w:link w:val="679"/>
    <w:pPr>
      <w:jc w:val="left"/>
      <w:widowControl/>
    </w:pPr>
    <w:rPr>
      <w:rFonts w:ascii="Times New Roman" w:hAnsi="Times New Roman" w:eastAsia="宋体" w:cs="Times New Roman"/>
      <w:sz w:val="20"/>
      <w:szCs w:val="20"/>
      <w:lang w:val="de-DE" w:eastAsia="de-DE"/>
    </w:rPr>
  </w:style>
  <w:style w:type="paragraph" w:styleId="769">
    <w:name w:val="附录1"/>
    <w:next w:val="769"/>
    <w:link w:val="679"/>
    <w:pPr>
      <w:numPr>
        <w:ilvl w:val="0"/>
        <w:numId w:val="2"/>
      </w:numPr>
      <w:spacing w:before="240" w:line="600" w:lineRule="atLeast"/>
      <w:tabs>
        <w:tab w:val="left" w:pos="907" w:leader="none"/>
      </w:tabs>
    </w:pPr>
    <w:rPr>
      <w:b/>
      <w:i/>
      <w:sz w:val="28"/>
      <w:lang w:val="en-US" w:eastAsia="zh-CN" w:bidi="ar-SA"/>
    </w:rPr>
  </w:style>
  <w:style w:type="paragraph" w:styleId="770">
    <w:name w:val="font7"/>
    <w:basedOn w:val="679"/>
    <w:next w:val="770"/>
    <w:link w:val="679"/>
    <w:pPr>
      <w:jc w:val="left"/>
      <w:spacing w:before="100" w:beforeAutospacing="1" w:after="100" w:afterAutospacing="1"/>
      <w:widowControl/>
    </w:pPr>
    <w:rPr>
      <w:rFonts w:hint="eastAsia" w:ascii="宋体" w:hAnsi="宋体" w:eastAsia="宋体" w:cs="Times New Roman"/>
      <w:sz w:val="18"/>
      <w:szCs w:val="18"/>
    </w:rPr>
  </w:style>
  <w:style w:type="paragraph" w:styleId="771">
    <w:name w:val=" Char Char Char Char"/>
    <w:basedOn w:val="705"/>
    <w:next w:val="771"/>
    <w:link w:val="679"/>
    <w:pPr>
      <w:spacing w:line="360" w:lineRule="auto"/>
    </w:pPr>
    <w:rPr>
      <w:rFonts w:ascii="Tahoma" w:hAnsi="Tahoma"/>
      <w:sz w:val="24"/>
      <w:szCs w:val="24"/>
    </w:rPr>
  </w:style>
  <w:style w:type="paragraph" w:styleId="772">
    <w:name w:val="列表段落"/>
    <w:basedOn w:val="679"/>
    <w:next w:val="772"/>
    <w:link w:val="679"/>
    <w:qFormat/>
    <w:pPr>
      <w:contextualSpacing/>
      <w:ind w:left="720"/>
      <w:jc w:val="left"/>
      <w:widowControl/>
    </w:pPr>
    <w:rPr>
      <w:rFonts w:ascii="Calibri" w:hAnsi="Calibri" w:eastAsia="宋体" w:cs="Times New Roman"/>
      <w:sz w:val="24"/>
      <w:szCs w:val="24"/>
      <w:lang w:eastAsia="en-US" w:bidi="en-US"/>
    </w:rPr>
  </w:style>
  <w:style w:type="paragraph" w:styleId="773">
    <w:name w:val="4"/>
    <w:basedOn w:val="679"/>
    <w:next w:val="735"/>
    <w:link w:val="679"/>
    <w:pPr>
      <w:ind w:firstLine="420"/>
      <w:spacing w:line="360" w:lineRule="auto"/>
    </w:pPr>
    <w:rPr>
      <w:rFonts w:ascii="Times New Roman" w:hAnsi="Times New Roman" w:eastAsia="宋体" w:cs="Times New Roman"/>
      <w:color w:val="ff0000"/>
      <w:sz w:val="24"/>
      <w:szCs w:val="24"/>
    </w:rPr>
  </w:style>
  <w:style w:type="paragraph" w:styleId="774">
    <w:name w:val="普通 (Web)"/>
    <w:basedOn w:val="679"/>
    <w:next w:val="774"/>
    <w:link w:val="679"/>
    <w:pPr>
      <w:jc w:val="left"/>
      <w:spacing w:before="100" w:beforeAutospacing="1" w:after="100" w:afterAutospacing="1"/>
      <w:widowControl/>
    </w:pPr>
    <w:rPr>
      <w:rFonts w:ascii="宋体" w:hAnsi="宋体" w:eastAsia="宋体" w:cs="Times New Roman"/>
      <w:sz w:val="24"/>
      <w:szCs w:val="24"/>
    </w:rPr>
  </w:style>
  <w:style w:type="paragraph" w:styleId="775">
    <w:name w:val=" Char Char Char Char Char Char Char Char Char Char"/>
    <w:basedOn w:val="679"/>
    <w:next w:val="775"/>
    <w:link w:val="679"/>
    <w:pPr>
      <w:spacing w:line="360" w:lineRule="auto"/>
    </w:pPr>
    <w:rPr>
      <w:rFonts w:ascii="Times New Roman" w:hAnsi="Times New Roman" w:eastAsia="宋体" w:cs="Times New Roman"/>
      <w:sz w:val="24"/>
      <w:szCs w:val="20"/>
    </w:rPr>
  </w:style>
  <w:style w:type="paragraph" w:styleId="776">
    <w:name w:val="样式1"/>
    <w:basedOn w:val="679"/>
    <w:next w:val="776"/>
    <w:link w:val="679"/>
    <w:pPr>
      <w:numPr>
        <w:ilvl w:val="0"/>
        <w:numId w:val="3"/>
      </w:numPr>
      <w:tabs>
        <w:tab w:val="left" w:pos="709" w:leader="none"/>
      </w:tabs>
    </w:pPr>
    <w:rPr>
      <w:rFonts w:ascii="宋体" w:hAnsi="宋体" w:eastAsia="宋体" w:cs="Times New Roman"/>
      <w:szCs w:val="21"/>
    </w:rPr>
  </w:style>
  <w:style w:type="paragraph" w:styleId="777">
    <w:name w:val="font6"/>
    <w:basedOn w:val="679"/>
    <w:next w:val="777"/>
    <w:link w:val="679"/>
    <w:pPr>
      <w:jc w:val="left"/>
      <w:spacing w:before="100" w:beforeAutospacing="1" w:after="100" w:afterAutospacing="1"/>
      <w:widowControl/>
    </w:pPr>
    <w:rPr>
      <w:rFonts w:hint="eastAsia" w:ascii="宋体" w:hAnsi="宋体" w:eastAsia="宋体" w:cs="Times New Roman"/>
      <w:sz w:val="28"/>
      <w:szCs w:val="28"/>
      <w:u w:val="single"/>
    </w:rPr>
  </w:style>
  <w:style w:type="paragraph" w:styleId="778">
    <w:name w:val="xl25"/>
    <w:basedOn w:val="679"/>
    <w:next w:val="778"/>
    <w:link w:val="6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9">
    <w:name w:val="图标"/>
    <w:basedOn w:val="679"/>
    <w:next w:val="679"/>
    <w:link w:val="67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80">
    <w:name w:val="标题3"/>
    <w:basedOn w:val="679"/>
    <w:next w:val="679"/>
    <w:link w:val="679"/>
    <w:pPr>
      <w:ind w:firstLine="624"/>
      <w:spacing w:line="590" w:lineRule="atLeast"/>
    </w:pPr>
    <w:rPr>
      <w:rFonts w:ascii="方正黑体_GBK" w:hAnsi="Times New Roman" w:eastAsia="方正黑体_GBK" w:cs="Times New Roman"/>
      <w:sz w:val="32"/>
      <w:szCs w:val="32"/>
    </w:rPr>
  </w:style>
  <w:style w:type="paragraph" w:styleId="781">
    <w:name w:val="xl24"/>
    <w:basedOn w:val="679"/>
    <w:next w:val="781"/>
    <w:link w:val="6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2">
    <w:name w:val="xl29"/>
    <w:basedOn w:val="679"/>
    <w:next w:val="782"/>
    <w:link w:val="67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83">
    <w:name w:val="Char Char Char Char Char Char Char Char"/>
    <w:basedOn w:val="679"/>
    <w:next w:val="783"/>
    <w:link w:val="679"/>
    <w:pPr>
      <w:jc w:val="left"/>
      <w:spacing w:after="160" w:line="240" w:lineRule="exact"/>
      <w:widowControl/>
    </w:pPr>
    <w:rPr>
      <w:rFonts w:ascii="Verdana" w:hAnsi="Verdana" w:eastAsia="宋体" w:cs="Times New Roman"/>
      <w:sz w:val="20"/>
      <w:szCs w:val="20"/>
      <w:lang w:eastAsia="en-US"/>
    </w:rPr>
  </w:style>
  <w:style w:type="paragraph" w:styleId="784">
    <w:name w:val="xl28"/>
    <w:basedOn w:val="679"/>
    <w:next w:val="784"/>
    <w:link w:val="6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5">
    <w:name w:val=" Char Char Char Char Char Char Char Char"/>
    <w:basedOn w:val="679"/>
    <w:next w:val="785"/>
    <w:link w:val="679"/>
    <w:pPr>
      <w:jc w:val="left"/>
      <w:spacing w:after="160" w:line="240" w:lineRule="exact"/>
      <w:widowControl/>
    </w:pPr>
    <w:rPr>
      <w:rFonts w:ascii="Verdana" w:hAnsi="Verdana" w:eastAsia="宋体" w:cs="Times New Roman"/>
      <w:sz w:val="20"/>
      <w:szCs w:val="20"/>
      <w:lang w:eastAsia="en-US"/>
    </w:rPr>
  </w:style>
  <w:style w:type="paragraph" w:styleId="786">
    <w:name w:val="xl30"/>
    <w:basedOn w:val="679"/>
    <w:next w:val="786"/>
    <w:link w:val="679"/>
    <w:pPr>
      <w:jc w:val="center"/>
      <w:spacing w:before="100" w:beforeAutospacing="1" w:after="100" w:afterAutospacing="1"/>
      <w:widowControl/>
    </w:pPr>
    <w:rPr>
      <w:rFonts w:ascii="宋体" w:hAnsi="宋体" w:eastAsia="宋体" w:cs="Times New Roman"/>
      <w:b/>
      <w:bCs/>
      <w:sz w:val="36"/>
      <w:szCs w:val="36"/>
    </w:rPr>
  </w:style>
  <w:style w:type="paragraph" w:styleId="787">
    <w:name w:val="Char Char Char Char"/>
    <w:basedOn w:val="705"/>
    <w:next w:val="787"/>
    <w:link w:val="679"/>
    <w:pPr>
      <w:spacing w:line="360" w:lineRule="auto"/>
    </w:pPr>
    <w:rPr>
      <w:rFonts w:ascii="Tahoma" w:hAnsi="Tahoma"/>
      <w:sz w:val="24"/>
      <w:szCs w:val="24"/>
    </w:rPr>
  </w:style>
  <w:style w:type="paragraph" w:styleId="788">
    <w:name w:val="table_1stline"/>
    <w:basedOn w:val="679"/>
    <w:next w:val="788"/>
    <w:link w:val="679"/>
    <w:pPr>
      <w:jc w:val="left"/>
      <w:spacing w:before="120"/>
      <w:widowControl/>
    </w:pPr>
    <w:rPr>
      <w:rFonts w:ascii="Times New Roman" w:hAnsi="Times New Roman" w:eastAsia="宋体" w:cs="Times New Roman"/>
      <w:bCs/>
      <w:sz w:val="20"/>
      <w:szCs w:val="20"/>
      <w:lang w:val="de-DE" w:eastAsia="de-DE"/>
    </w:rPr>
  </w:style>
  <w:style w:type="paragraph" w:styleId="789">
    <w:name w:val="font5"/>
    <w:basedOn w:val="679"/>
    <w:next w:val="789"/>
    <w:link w:val="679"/>
    <w:pPr>
      <w:jc w:val="left"/>
      <w:spacing w:before="100" w:beforeAutospacing="1" w:after="100" w:afterAutospacing="1"/>
      <w:widowControl/>
    </w:pPr>
    <w:rPr>
      <w:rFonts w:hint="eastAsia" w:ascii="宋体" w:hAnsi="宋体" w:eastAsia="宋体" w:cs="Times New Roman"/>
      <w:sz w:val="28"/>
      <w:szCs w:val="28"/>
    </w:rPr>
  </w:style>
  <w:style w:type="paragraph" w:styleId="790">
    <w:name w:val="标题1"/>
    <w:basedOn w:val="679"/>
    <w:next w:val="679"/>
    <w:link w:val="67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1">
    <w:name w:val="修订"/>
    <w:next w:val="791"/>
    <w:link w:val="679"/>
    <w:uiPriority w:val="99"/>
    <w:semiHidden/>
    <w:rPr>
      <w:sz w:val="21"/>
      <w:szCs w:val="21"/>
      <w:lang w:val="en-US" w:eastAsia="zh-CN" w:bidi="ar-SA"/>
    </w:rPr>
  </w:style>
  <w:style w:type="paragraph" w:styleId="792">
    <w:name w:val="无间隔"/>
    <w:next w:val="792"/>
    <w:link w:val="679"/>
    <w:uiPriority w:val="99"/>
    <w:qFormat/>
    <w:pPr>
      <w:jc w:val="both"/>
      <w:widowControl w:val="off"/>
    </w:pPr>
    <w:rPr>
      <w:sz w:val="21"/>
      <w:szCs w:val="21"/>
      <w:lang w:val="en-US" w:eastAsia="zh-CN" w:bidi="ar-SA"/>
    </w:rPr>
  </w:style>
  <w:style w:type="paragraph" w:styleId="793">
    <w:name w:val="AONormal"/>
    <w:next w:val="793"/>
    <w:link w:val="679"/>
    <w:qFormat/>
    <w:pPr>
      <w:ind w:firstLine="440"/>
      <w:spacing w:line="400" w:lineRule="exact"/>
    </w:pPr>
    <w:rPr>
      <w:rFonts w:ascii="华文楷体" w:hAnsi="华文楷体" w:eastAsia="华文楷体" w:cs="华文楷体"/>
      <w:sz w:val="22"/>
      <w:szCs w:val="21"/>
      <w:lang w:val="en-US" w:eastAsia="zh-CN" w:bidi="ar-SA"/>
    </w:rPr>
  </w:style>
  <w:style w:type="character" w:styleId="7816" w:default="1">
    <w:name w:val="Default Paragraph Font"/>
    <w:uiPriority w:val="1"/>
    <w:semiHidden/>
    <w:unhideWhenUsed/>
  </w:style>
  <w:style w:type="numbering" w:styleId="7817" w:default="1">
    <w:name w:val="No List"/>
    <w:uiPriority w:val="99"/>
    <w:semiHidden/>
    <w:unhideWhenUsed/>
  </w:style>
  <w:style w:type="table" w:styleId="78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3</cp:revision>
  <dcterms:created xsi:type="dcterms:W3CDTF">2026-07-28T04:41:00Z</dcterms:created>
  <dcterms:modified xsi:type="dcterms:W3CDTF">2026-07-31T08:28:13Z</dcterms:modified>
</cp:coreProperties>
</file>