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楷体" w:hAnsi="楷体" w:eastAsia="楷体"/>
          <w:b/>
          <w:color w:val="auto"/>
          <w:sz w:val="52"/>
          <w:szCs w:val="52"/>
          <w:highlight w:val="none"/>
        </w:rPr>
      </w:pPr>
      <w:r>
        <w:rPr>
          <w:rFonts w:hint="eastAsia" w:ascii="楷体" w:hAnsi="楷体" w:eastAsia="楷体"/>
          <w:b/>
          <w:color w:val="auto"/>
          <w:sz w:val="52"/>
          <w:szCs w:val="52"/>
          <w:highlight w:val="none"/>
        </w:rPr>
        <w:t xml:space="preserve">“苏采云全流程不见面交易”</w:t>
      </w:r>
      <w:r/>
    </w:p>
    <w:p>
      <w:pPr>
        <w:rPr>
          <w:rFonts w:ascii="楷体" w:hAnsi="楷体" w:eastAsia="楷体"/>
          <w:b/>
          <w:color w:val="auto"/>
          <w:sz w:val="72"/>
          <w:szCs w:val="72"/>
          <w:highlight w:val="none"/>
        </w:rPr>
      </w:pPr>
      <w:r>
        <w:rPr>
          <w:rFonts w:ascii="楷体" w:hAnsi="楷体" w:eastAsia="楷体"/>
          <w:b/>
          <w:color w:val="auto"/>
          <w:sz w:val="72"/>
          <w:szCs w:val="72"/>
          <w:highlight w:val="none"/>
        </w:rPr>
      </w:r>
      <w:r/>
    </w:p>
    <w:p>
      <w:pPr>
        <w:jc w:val="center"/>
        <w:spacing w:line="1040" w:lineRule="exact"/>
        <w:rPr>
          <w:rFonts w:ascii="黑体" w:hAnsi="黑体" w:eastAsia="黑体"/>
          <w:b/>
          <w:color w:val="auto"/>
          <w:sz w:val="72"/>
          <w:szCs w:val="72"/>
          <w:highlight w:val="none"/>
        </w:rPr>
      </w:pPr>
      <w:r>
        <w:rPr>
          <w:rFonts w:ascii="黑体" w:hAnsi="黑体" w:eastAsia="黑体"/>
          <w:b/>
          <w:color w:val="auto"/>
          <w:sz w:val="72"/>
          <w:szCs w:val="72"/>
          <w:highlight w:val="none"/>
        </w:rPr>
      </w:r>
      <w:r/>
    </w:p>
    <w:p>
      <w:pPr>
        <w:jc w:val="center"/>
        <w:spacing w:line="1040" w:lineRule="exact"/>
        <w:rPr>
          <w:rFonts w:ascii="黑体" w:hAnsi="黑体" w:eastAsia="黑体"/>
          <w:b/>
          <w:color w:val="auto"/>
          <w:sz w:val="72"/>
          <w:szCs w:val="72"/>
          <w:highlight w:val="none"/>
        </w:rPr>
      </w:pPr>
      <w:r>
        <w:rPr>
          <w:rFonts w:hint="eastAsia" w:ascii="黑体" w:hAnsi="黑体" w:eastAsia="黑体"/>
          <w:b/>
          <w:color w:val="auto"/>
          <w:sz w:val="72"/>
          <w:szCs w:val="72"/>
          <w:highlight w:val="none"/>
        </w:rPr>
        <w:t xml:space="preserve">公 开 招 标 文 件</w:t>
      </w:r>
      <w:r/>
    </w:p>
    <w:p>
      <w:pPr>
        <w:jc w:val="left"/>
        <w:tabs>
          <w:tab w:val="center" w:pos="4621" w:leader="none"/>
        </w:tabs>
        <w:rPr>
          <w:rFonts w:hint="eastAsia" w:ascii="黑体" w:hAnsi="黑体" w:eastAsia="黑体"/>
          <w:b/>
          <w:color w:val="auto"/>
          <w:sz w:val="72"/>
          <w:highlight w:val="none"/>
          <w:lang w:val="en-US" w:eastAsia="zh-CN"/>
        </w:rPr>
      </w:pPr>
      <w:r>
        <w:rPr>
          <w:rFonts w:hint="eastAsia" w:ascii="黑体" w:hAnsi="黑体" w:eastAsia="黑体"/>
          <w:b/>
          <w:color w:val="auto"/>
          <w:sz w:val="72"/>
          <w:highlight w:val="none"/>
          <w:lang w:val="en-US" w:eastAsia="zh-CN"/>
        </w:rPr>
        <w:t xml:space="preserve"> </w:t>
      </w:r>
      <w:r/>
    </w:p>
    <w:p>
      <w:pPr>
        <w:rPr>
          <w:rFonts w:ascii="黑体" w:hAnsi="黑体" w:eastAsia="黑体"/>
          <w:b/>
          <w:color w:val="auto"/>
          <w:sz w:val="32"/>
          <w:highlight w:val="none"/>
        </w:rPr>
      </w:pPr>
      <w:r>
        <w:rPr>
          <w:rFonts w:hint="eastAsia" w:ascii="黑体" w:hAnsi="黑体" w:eastAsia="黑体"/>
          <w:b/>
          <w:color w:val="auto"/>
          <w:sz w:val="32"/>
          <w:highlight w:val="none"/>
        </w:rPr>
        <w:t xml:space="preserve"> </w:t>
      </w:r>
      <w:r/>
    </w:p>
    <w:p>
      <w:pPr>
        <w:rPr>
          <w:rFonts w:ascii="黑体" w:hAnsi="黑体" w:eastAsia="黑体"/>
          <w:b/>
          <w:color w:val="auto"/>
          <w:sz w:val="32"/>
          <w:highlight w:val="none"/>
        </w:rPr>
      </w:pPr>
      <w:r>
        <w:rPr>
          <w:rFonts w:ascii="黑体" w:hAnsi="黑体" w:eastAsia="黑体"/>
          <w:b/>
          <w:color w:val="auto"/>
          <w:sz w:val="32"/>
          <w:highlight w:val="none"/>
        </w:rPr>
      </w:r>
      <w:r/>
    </w:p>
    <w:p>
      <w:pPr>
        <w:ind w:firstLine="708"/>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rPr>
        <w:t xml:space="preserve">项目名称：</w:t>
      </w:r>
      <w:r>
        <w:rPr>
          <w:rFonts w:hint="eastAsia" w:ascii="黑体" w:hAnsi="黑体" w:eastAsia="黑体"/>
          <w:b/>
          <w:color w:val="auto"/>
          <w:sz w:val="36"/>
          <w:szCs w:val="36"/>
          <w:highlight w:val="none"/>
          <w:lang w:eastAsia="zh-CN"/>
        </w:rPr>
        <w:t xml:space="preserve">淮阴区生活类应急救灾物资采购项目</w:t>
      </w:r>
      <w:r/>
    </w:p>
    <w:p>
      <w:pPr>
        <w:spacing w:line="760" w:lineRule="exact"/>
        <w:rPr>
          <w:rFonts w:ascii="黑体" w:hAnsi="黑体" w:eastAsia="黑体"/>
          <w:b/>
          <w:color w:val="auto"/>
          <w:sz w:val="36"/>
          <w:highlight w:val="none"/>
        </w:rPr>
      </w:pPr>
      <w:r>
        <w:rPr>
          <w:rFonts w:ascii="黑体" w:hAnsi="黑体" w:eastAsia="黑体"/>
          <w:b/>
          <w:color w:val="auto"/>
          <w:sz w:val="36"/>
          <w:highlight w:val="none"/>
        </w:rPr>
      </w:r>
      <w:r/>
    </w:p>
    <w:p>
      <w:pPr>
        <w:spacing w:line="760" w:lineRule="exact"/>
        <w:rPr>
          <w:rFonts w:ascii="黑体" w:hAnsi="黑体" w:eastAsia="黑体"/>
          <w:b/>
          <w:color w:val="auto"/>
          <w:sz w:val="36"/>
          <w:highlight w:val="none"/>
        </w:rPr>
      </w:pPr>
      <w:r>
        <w:rPr>
          <w:rFonts w:ascii="黑体" w:hAnsi="黑体" w:eastAsia="黑体"/>
          <w:b/>
          <w:color w:val="auto"/>
          <w:sz w:val="36"/>
          <w:highlight w:val="none"/>
        </w:rPr>
      </w:r>
      <w:r/>
    </w:p>
    <w:p>
      <w:pPr>
        <w:ind w:firstLine="708"/>
        <w:spacing w:line="760" w:lineRule="exact"/>
        <w:rPr>
          <w:rFonts w:ascii="黑体" w:hAnsi="黑体" w:eastAsia="黑体"/>
          <w:b/>
          <w:color w:val="auto"/>
          <w:sz w:val="36"/>
          <w:highlight w:val="none"/>
        </w:rPr>
      </w:pPr>
      <w:r>
        <w:rPr>
          <w:rFonts w:hint="eastAsia" w:ascii="黑体" w:hAnsi="黑体" w:eastAsia="黑体"/>
          <w:b/>
          <w:color w:val="auto"/>
          <w:sz w:val="36"/>
          <w:highlight w:val="none"/>
          <w:lang w:eastAsia="zh-CN"/>
        </w:rPr>
        <w:t xml:space="preserve">项目编号：JSZC-320804-YCGS-G2026-0009</w:t>
      </w:r>
      <w:r>
        <w:rPr>
          <w:rFonts w:hint="eastAsia" w:ascii="黑体" w:hAnsi="黑体" w:eastAsia="黑体"/>
          <w:b/>
          <w:color w:val="auto"/>
          <w:sz w:val="36"/>
          <w:highlight w:val="none"/>
        </w:rPr>
        <w:t xml:space="preserve"> </w:t>
      </w:r>
      <w:r/>
    </w:p>
    <w:p>
      <w:pPr>
        <w:ind w:left="-359" w:firstLine="360"/>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ind w:firstLine="1205"/>
        <w:spacing w:line="640" w:lineRule="exact"/>
        <w:tabs>
          <w:tab w:val="center" w:pos="5215" w:leader="none"/>
        </w:tabs>
        <w:rPr>
          <w:rFonts w:hint="eastAsia" w:ascii="黑体" w:hAnsi="黑体" w:eastAsia="黑体"/>
          <w:b/>
          <w:color w:val="auto"/>
          <w:sz w:val="30"/>
          <w:szCs w:val="30"/>
          <w:highlight w:val="none"/>
          <w:lang w:eastAsia="zh-CN"/>
        </w:rPr>
      </w:pPr>
      <w:r>
        <w:rPr>
          <w:rFonts w:hint="eastAsia" w:ascii="黑体" w:hAnsi="黑体" w:eastAsia="黑体"/>
          <w:b/>
          <w:color w:val="auto"/>
          <w:sz w:val="30"/>
          <w:szCs w:val="30"/>
          <w:highlight w:val="none"/>
        </w:rPr>
        <w:t xml:space="preserve">采   购  人：</w:t>
      </w:r>
      <w:r>
        <w:rPr>
          <w:rFonts w:hint="eastAsia" w:ascii="黑体" w:hAnsi="黑体" w:eastAsia="黑体"/>
          <w:b/>
          <w:color w:val="auto"/>
          <w:sz w:val="30"/>
          <w:szCs w:val="30"/>
          <w:highlight w:val="none"/>
          <w:lang w:eastAsia="zh-CN"/>
        </w:rPr>
        <w:t xml:space="preserve">淮安市淮阴区发展和改革委员会</w:t>
      </w:r>
      <w:r/>
    </w:p>
    <w:p>
      <w:pPr>
        <w:ind w:firstLine="1205"/>
        <w:spacing w:line="640" w:lineRule="exact"/>
        <w:tabs>
          <w:tab w:val="center" w:pos="5215" w:leader="none"/>
        </w:tabs>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代 理 机 构：江苏宇城工程造价咨询有限公司</w:t>
      </w:r>
      <w:r/>
    </w:p>
    <w:p>
      <w:pPr>
        <w:jc w:val="center"/>
        <w:spacing w:line="600" w:lineRule="exact"/>
        <w:tabs>
          <w:tab w:val="center" w:pos="5215" w:leader="none"/>
        </w:tabs>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二〇二六年</w:t>
      </w:r>
      <w:r>
        <w:rPr>
          <w:rFonts w:hint="eastAsia" w:ascii="黑体" w:hAnsi="黑体" w:eastAsia="黑体"/>
          <w:b/>
          <w:color w:val="auto"/>
          <w:sz w:val="36"/>
          <w:szCs w:val="36"/>
          <w:highlight w:val="none"/>
          <w:lang w:val="en-US" w:eastAsia="zh-CN"/>
        </w:rPr>
        <w:t xml:space="preserve">七</w:t>
      </w:r>
      <w:r>
        <w:rPr>
          <w:rFonts w:hint="eastAsia" w:ascii="黑体" w:hAnsi="黑体" w:eastAsia="黑体"/>
          <w:b/>
          <w:color w:val="auto"/>
          <w:sz w:val="36"/>
          <w:szCs w:val="36"/>
          <w:highlight w:val="none"/>
        </w:rPr>
        <w:t xml:space="preserve">月</w:t>
      </w:r>
      <w:r/>
    </w:p>
    <w:p>
      <w:pPr>
        <w:jc w:val="center"/>
        <w:spacing w:line="600" w:lineRule="exact"/>
        <w:tabs>
          <w:tab w:val="center" w:pos="5215" w:leader="none"/>
        </w:tabs>
        <w:rPr>
          <w:rFonts w:ascii="黑体" w:hAnsi="黑体" w:eastAsia="黑体"/>
          <w:b/>
          <w:color w:val="auto"/>
          <w:sz w:val="36"/>
          <w:szCs w:val="36"/>
          <w:highlight w:val="none"/>
        </w:rPr>
      </w:pPr>
      <w:r>
        <w:rPr>
          <w:rFonts w:ascii="黑体" w:hAnsi="黑体" w:eastAsia="黑体"/>
          <w:b/>
          <w:color w:val="auto"/>
          <w:sz w:val="36"/>
          <w:szCs w:val="36"/>
          <w:highlight w:val="none"/>
        </w:rPr>
      </w:r>
      <w:r/>
    </w:p>
    <w:p>
      <w:pPr>
        <w:jc w:val="center"/>
        <w:spacing w:line="600" w:lineRule="exact"/>
        <w:tabs>
          <w:tab w:val="center" w:pos="5215" w:leader="none"/>
        </w:tabs>
        <w:rPr>
          <w:rFonts w:ascii="黑体" w:hAnsi="黑体" w:eastAsia="黑体"/>
          <w:b/>
          <w:color w:val="auto"/>
          <w:sz w:val="36"/>
          <w:szCs w:val="36"/>
          <w:highlight w:val="none"/>
        </w:rPr>
        <w:sectPr>
          <w:headerReference w:type="default" r:id="rId9"/>
          <w:footerReference w:type="default" r:id="rId11"/>
          <w:footerReference w:type="even" r:id="rId12"/>
          <w:footnotePr/>
          <w:endnotePr/>
          <w:type w:val="nextPage"/>
          <w:pgSz w:w="11906" w:h="16838" w:orient="portrait"/>
          <w:pgMar w:top="1560" w:right="1418" w:bottom="1440" w:left="1797" w:header="851" w:footer="992" w:gutter="0"/>
          <w:cols w:num="1" w:sep="0" w:space="1701" w:equalWidth="1"/>
          <w:docGrid w:linePitch="360"/>
        </w:sectPr>
      </w:pPr>
      <w:r>
        <w:rPr>
          <w:rFonts w:ascii="黑体" w:hAnsi="黑体" w:eastAsia="黑体"/>
          <w:b/>
          <w:color w:val="auto"/>
          <w:sz w:val="36"/>
          <w:szCs w:val="36"/>
          <w:highlight w:val="none"/>
        </w:rPr>
      </w:r>
      <w:r/>
    </w:p>
    <w:p>
      <w:pPr>
        <w:jc w:val="center"/>
        <w:spacing w:line="520" w:lineRule="exact"/>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第一章   投标邀请</w:t>
      </w:r>
      <w:r/>
    </w:p>
    <w:p>
      <w:pPr>
        <w:ind w:left="1" w:firstLine="537"/>
        <w:spacing w:line="500" w:lineRule="exact"/>
        <w:rPr>
          <w:rFonts w:ascii="仿宋" w:hAnsi="仿宋" w:eastAsia="仿宋"/>
          <w:color w:val="auto"/>
          <w:sz w:val="28"/>
          <w:szCs w:val="28"/>
          <w:highlight w:val="none"/>
        </w:rPr>
      </w:pPr>
      <w:r>
        <w:rPr>
          <w:rFonts w:hint="eastAsia" w:ascii="仿宋" w:hAnsi="仿宋" w:eastAsia="仿宋"/>
          <w:color w:val="auto"/>
          <w:sz w:val="28"/>
          <w:highlight w:val="none"/>
        </w:rPr>
        <w:t xml:space="preserve">受</w:t>
      </w:r>
      <w:r>
        <w:rPr>
          <w:rFonts w:hint="eastAsia" w:ascii="仿宋" w:hAnsi="仿宋" w:eastAsia="仿宋"/>
          <w:color w:val="auto"/>
          <w:sz w:val="28"/>
          <w:highlight w:val="none"/>
          <w:u w:val="single"/>
          <w:lang w:eastAsia="zh-CN"/>
        </w:rPr>
        <w:t xml:space="preserve">淮安市淮阴区发展和改革委员会</w:t>
      </w:r>
      <w:r>
        <w:rPr>
          <w:rFonts w:hint="eastAsia" w:ascii="仿宋" w:hAnsi="仿宋" w:eastAsia="仿宋"/>
          <w:color w:val="auto"/>
          <w:sz w:val="28"/>
          <w:highlight w:val="none"/>
        </w:rPr>
        <w:t xml:space="preserve">的委托，</w:t>
      </w:r>
      <w:r>
        <w:rPr>
          <w:rFonts w:hint="eastAsia" w:ascii="仿宋" w:hAnsi="仿宋" w:eastAsia="仿宋"/>
          <w:color w:val="auto"/>
          <w:sz w:val="28"/>
          <w:highlight w:val="none"/>
          <w:u w:val="single"/>
        </w:rPr>
        <w:t xml:space="preserve">江苏宇城工程造价咨询有限公司</w:t>
      </w:r>
      <w:r>
        <w:rPr>
          <w:rFonts w:hint="eastAsia" w:ascii="仿宋" w:hAnsi="仿宋" w:eastAsia="仿宋"/>
          <w:color w:val="auto"/>
          <w:sz w:val="28"/>
          <w:highlight w:val="none"/>
        </w:rPr>
        <w:t xml:space="preserve">就</w:t>
      </w:r>
      <w:r>
        <w:rPr>
          <w:rFonts w:hint="eastAsia" w:ascii="仿宋" w:hAnsi="仿宋" w:eastAsia="仿宋"/>
          <w:color w:val="auto"/>
          <w:sz w:val="28"/>
          <w:highlight w:val="none"/>
          <w:u w:val="single"/>
          <w:lang w:eastAsia="zh-CN"/>
        </w:rPr>
        <w:t xml:space="preserve">淮阴区生活类应急救灾物资采购项目</w:t>
      </w:r>
      <w:r>
        <w:rPr>
          <w:rFonts w:hint="eastAsia" w:ascii="仿宋" w:hAnsi="仿宋" w:eastAsia="仿宋"/>
          <w:color w:val="auto"/>
          <w:sz w:val="28"/>
          <w:highlight w:val="none"/>
        </w:rPr>
        <w:t xml:space="preserve">政府采购项目进行公开招标采购，现邀请</w:t>
      </w:r>
      <w:r>
        <w:rPr>
          <w:rFonts w:hint="eastAsia" w:ascii="仿宋" w:hAnsi="仿宋" w:eastAsia="仿宋"/>
          <w:color w:val="auto"/>
          <w:sz w:val="28"/>
          <w:szCs w:val="28"/>
          <w:highlight w:val="none"/>
        </w:rPr>
        <w:t xml:space="preserve">符合条件的供应商参加投标</w:t>
      </w:r>
      <w:r>
        <w:rPr>
          <w:rFonts w:hint="eastAsia" w:ascii="仿宋" w:hAnsi="仿宋" w:eastAsia="仿宋"/>
          <w:color w:val="auto"/>
          <w:sz w:val="28"/>
          <w:highlight w:val="none"/>
        </w:rPr>
        <w:t xml:space="preserve">。</w:t>
      </w:r>
      <w:r/>
    </w:p>
    <w:p>
      <w:pPr>
        <w:ind w:left="1" w:firstLine="53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523865" cy="1744980"/>
                <wp:effectExtent l="4445" t="4445" r="15240" b="22225"/>
                <wp:wrapNone/>
                <wp:docPr id="4" name="矩形 1"/>
                <wp:cNvGraphicFramePr/>
                <a:graphic xmlns:a="http://schemas.openxmlformats.org/drawingml/2006/main">
                  <a:graphicData uri="http://schemas.microsoft.com/office/word/2010/wordprocessingShape">
                    <wps:wsp>
                      <wps:cNvPr id="0" name=""/>
                      <wps:cNvSpPr/>
                      <wps:spPr bwMode="auto">
                        <a:xfrm>
                          <a:off x="0" y="0"/>
                          <a:ext cx="5523865" cy="1744980"/>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淮阴区生活类应急救灾物资采购项目</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招标项目的潜在供应商应在淮安市政府采购网（http://czj.huaian.gov.cn/col/13924_326175/index.html）自行免费下载招标文件，并于2026年</w:t>
                            </w:r>
                            <w:r>
                              <w:rPr>
                                <w:rFonts w:hint="eastAsia" w:ascii="仿宋" w:hAnsi="仿宋" w:eastAsia="仿宋"/>
                                <w:sz w:val="28"/>
                                <w:szCs w:val="28"/>
                                <w:lang w:val="en-US" w:eastAsia="zh-CN"/>
                              </w:rPr>
                              <w:t xml:space="preserve">08</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17</w:t>
                            </w:r>
                            <w:r>
                              <w:rPr>
                                <w:rFonts w:hint="eastAsia" w:ascii="仿宋" w:hAnsi="仿宋" w:eastAsia="仿宋"/>
                                <w:sz w:val="28"/>
                                <w:szCs w:val="28"/>
                              </w:rPr>
                              <w:t xml:space="preserve">日</w:t>
                            </w:r>
                            <w:r>
                              <w:rPr>
                                <w:rFonts w:hint="eastAsia" w:ascii="仿宋" w:hAnsi="仿宋" w:eastAsia="仿宋"/>
                                <w:color w:val="ff0000"/>
                                <w:sz w:val="28"/>
                                <w:szCs w:val="28"/>
                              </w:rPr>
                              <w:t xml:space="preserve">下午</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p>
                          <w:p>
                            <w:r/>
                            <w:r/>
                          </w:p>
                        </w:txbxContent>
                      </wps:txbx>
                      <wps:bodyPr wrap="square" upright="1"/>
                    </wps:wsp>
                  </a:graphicData>
                </a:graphic>
              </wp:anchor>
            </w:drawing>
          </mc:Choice>
          <mc:Fallback>
            <w:pict>
              <v:shape id="shape 3" o:spid="_x0000_s3" o:spt="1" type="#_x0000_t1" style="position:absolute;z-index:251659264;o:allowoverlap:true;o:allowincell:true;mso-position-horizontal-relative:text;margin-left:-1.6pt;mso-position-horizontal:absolute;mso-position-vertical-relative:text;margin-top:9.5pt;mso-position-vertical:absolute;width:434.9pt;height:137.4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淮阴区生活类应急救灾物资采购项目</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招标项目的潜在供应商应在淮安市政府采购网（http://czj.huaian.gov.cn/col/13924_326175/index.html）自行免费下载招标文件，并于2026年</w:t>
                      </w:r>
                      <w:r>
                        <w:rPr>
                          <w:rFonts w:hint="eastAsia" w:ascii="仿宋" w:hAnsi="仿宋" w:eastAsia="仿宋"/>
                          <w:sz w:val="28"/>
                          <w:szCs w:val="28"/>
                          <w:lang w:val="en-US" w:eastAsia="zh-CN"/>
                        </w:rPr>
                        <w:t xml:space="preserve">08</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17</w:t>
                      </w:r>
                      <w:r>
                        <w:rPr>
                          <w:rFonts w:hint="eastAsia" w:ascii="仿宋" w:hAnsi="仿宋" w:eastAsia="仿宋"/>
                          <w:sz w:val="28"/>
                          <w:szCs w:val="28"/>
                        </w:rPr>
                        <w:t xml:space="preserve">日</w:t>
                      </w:r>
                      <w:r>
                        <w:rPr>
                          <w:rFonts w:hint="eastAsia" w:ascii="仿宋" w:hAnsi="仿宋" w:eastAsia="仿宋"/>
                          <w:color w:val="ff0000"/>
                          <w:sz w:val="28"/>
                          <w:szCs w:val="28"/>
                        </w:rPr>
                        <w:t xml:space="preserve">下午</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p>
                    <w:p>
                      <w:r/>
                      <w:r/>
                    </w:p>
                  </w:txbxContent>
                </v:textbox>
              </v:shape>
            </w:pict>
          </mc:Fallback>
        </mc:AlternateContent>
      </w:r>
      <w:r/>
    </w:p>
    <w:p>
      <w:pPr>
        <w:ind w:left="1" w:firstLine="537"/>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left="1" w:firstLine="537"/>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left="1" w:firstLine="537"/>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left="1" w:firstLine="537"/>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一、项目基本情况</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olor w:val="auto"/>
          <w:sz w:val="28"/>
          <w:szCs w:val="28"/>
          <w:highlight w:val="none"/>
          <w:lang w:eastAsia="zh-CN"/>
        </w:rPr>
        <w:t xml:space="preserve">项目编号：JSZC-320804-YCGS-G2026-0009</w:t>
      </w:r>
      <w:r>
        <w:rPr>
          <w:rFonts w:hint="eastAsia" w:ascii="仿宋" w:hAnsi="仿宋" w:eastAsia="仿宋"/>
          <w:color w:val="auto"/>
          <w:sz w:val="28"/>
          <w:szCs w:val="28"/>
          <w:highlight w:val="none"/>
        </w:rPr>
        <w:t xml:space="preserve"> </w:t>
      </w:r>
      <w:r/>
    </w:p>
    <w:p>
      <w:pPr>
        <w:ind w:firstLine="565"/>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（二）项目名称：</w:t>
      </w:r>
      <w:r>
        <w:rPr>
          <w:rFonts w:hint="eastAsia" w:ascii="仿宋" w:hAnsi="仿宋" w:eastAsia="仿宋"/>
          <w:bCs/>
          <w:color w:val="auto"/>
          <w:sz w:val="28"/>
          <w:highlight w:val="none"/>
        </w:rPr>
        <w:t xml:space="preserve"> </w:t>
      </w:r>
      <w:r>
        <w:rPr>
          <w:rFonts w:hint="eastAsia" w:ascii="仿宋" w:hAnsi="仿宋" w:eastAsia="仿宋"/>
          <w:bCs/>
          <w:color w:val="auto"/>
          <w:sz w:val="28"/>
          <w:highlight w:val="none"/>
          <w:lang w:eastAsia="zh-CN"/>
        </w:rPr>
        <w:t xml:space="preserve">淮阴区生活类应急救灾物资采购项目</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（三）预算金额： </w:t>
      </w:r>
      <w:r>
        <w:rPr>
          <w:rFonts w:hint="eastAsia" w:ascii="仿宋" w:hAnsi="仿宋" w:eastAsia="仿宋"/>
          <w:color w:val="auto"/>
          <w:sz w:val="28"/>
          <w:szCs w:val="28"/>
          <w:highlight w:val="none"/>
          <w:lang w:eastAsia="zh-CN"/>
        </w:rPr>
        <w:t xml:space="preserve">154.5</w:t>
      </w:r>
      <w:r>
        <w:rPr>
          <w:rFonts w:hint="eastAsia" w:ascii="仿宋" w:hAnsi="仿宋" w:eastAsia="仿宋"/>
          <w:color w:val="auto"/>
          <w:sz w:val="28"/>
          <w:szCs w:val="28"/>
          <w:highlight w:val="none"/>
        </w:rPr>
        <w:t xml:space="preserve">万元</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（四）最高限价： </w:t>
      </w:r>
      <w:r>
        <w:rPr>
          <w:rFonts w:hint="eastAsia" w:ascii="仿宋" w:hAnsi="仿宋" w:eastAsia="仿宋"/>
          <w:color w:val="auto"/>
          <w:sz w:val="28"/>
          <w:szCs w:val="28"/>
          <w:highlight w:val="none"/>
          <w:lang w:eastAsia="zh-CN"/>
        </w:rPr>
        <w:t xml:space="preserve">154.5</w:t>
      </w:r>
      <w:r>
        <w:rPr>
          <w:rFonts w:hint="eastAsia" w:ascii="仿宋" w:hAnsi="仿宋" w:eastAsia="仿宋"/>
          <w:color w:val="auto"/>
          <w:sz w:val="28"/>
          <w:szCs w:val="28"/>
          <w:highlight w:val="none"/>
        </w:rPr>
        <w:t xml:space="preserve">万元</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（五）采购需求： </w:t>
      </w:r>
      <w:r>
        <w:rPr>
          <w:rFonts w:hint="eastAsia" w:ascii="仿宋" w:hAnsi="仿宋" w:eastAsia="仿宋"/>
          <w:color w:val="auto"/>
          <w:sz w:val="28"/>
          <w:szCs w:val="28"/>
          <w:highlight w:val="none"/>
          <w:lang w:eastAsia="zh-CN"/>
        </w:rPr>
        <w:t xml:space="preserve">淮阴区生活类应急救灾物资采购项目</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包含棉被、折叠床、睡袋、应急照明灯、毛毯、床单等</w:t>
      </w:r>
      <w:r>
        <w:rPr>
          <w:rFonts w:hint="eastAsia" w:ascii="仿宋" w:hAnsi="仿宋" w:eastAsia="仿宋"/>
          <w:color w:val="auto"/>
          <w:sz w:val="28"/>
          <w:szCs w:val="28"/>
          <w:highlight w:val="none"/>
          <w:lang w:eastAsia="zh-CN"/>
        </w:rPr>
        <w:t xml:space="preserve">救灾</w:t>
      </w:r>
      <w:r>
        <w:rPr>
          <w:rFonts w:hint="eastAsia" w:ascii="仿宋" w:hAnsi="仿宋" w:eastAsia="仿宋"/>
          <w:color w:val="auto"/>
          <w:sz w:val="28"/>
          <w:szCs w:val="28"/>
          <w:highlight w:val="none"/>
          <w:lang w:val="en-US" w:eastAsia="zh-CN"/>
        </w:rPr>
        <w:t xml:space="preserve">物资采购。</w:t>
      </w:r>
      <w:r>
        <w:rPr>
          <w:rFonts w:hint="eastAsia" w:ascii="仿宋" w:hAnsi="仿宋" w:eastAsia="仿宋"/>
          <w:color w:val="auto"/>
          <w:sz w:val="28"/>
          <w:szCs w:val="28"/>
          <w:highlight w:val="none"/>
        </w:rPr>
        <w:t xml:space="preserve">具体详见招标文件 第五章“项目采购需求”。采购人保留根据实际情况进行调整的权利。</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（六）合同履行期限：</w:t>
      </w:r>
      <w:r>
        <w:rPr>
          <w:rFonts w:hint="eastAsia" w:ascii="仿宋" w:hAnsi="仿宋" w:eastAsia="仿宋"/>
          <w:color w:val="auto"/>
          <w:sz w:val="28"/>
          <w:szCs w:val="28"/>
          <w:highlight w:val="none"/>
          <w:lang w:val="en-US" w:eastAsia="zh-CN"/>
        </w:rPr>
        <w:t xml:space="preserve">合同签订后15日历天内供货至采购人指定地点。</w:t>
      </w:r>
      <w:r>
        <w:rPr>
          <w:rFonts w:hint="eastAsia" w:ascii="仿宋" w:hAnsi="仿宋" w:eastAsia="仿宋"/>
          <w:color w:val="auto"/>
          <w:sz w:val="28"/>
          <w:szCs w:val="28"/>
          <w:highlight w:val="none"/>
        </w:rPr>
        <w:t xml:space="preserve">    </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（七）本项目不接受联合体投标。</w:t>
      </w:r>
      <w:r/>
    </w:p>
    <w:p>
      <w:pPr>
        <w:ind w:firstLine="565"/>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八</w:t>
      </w:r>
      <w:r>
        <w:rPr>
          <w:rFonts w:hint="eastAsia" w:ascii="仿宋" w:hAnsi="仿宋" w:eastAsia="仿宋"/>
          <w:color w:val="auto"/>
          <w:sz w:val="28"/>
          <w:szCs w:val="28"/>
          <w:highlight w:val="none"/>
          <w:lang w:eastAsia="zh-CN"/>
        </w:rPr>
        <w:t xml:space="preserve">）本项目采购标的对应的中小企业划分标准所属行业为</w:t>
      </w:r>
      <w:r>
        <w:rPr>
          <w:rFonts w:hint="eastAsia" w:ascii="仿宋" w:hAnsi="仿宋" w:eastAsia="仿宋"/>
          <w:color w:val="auto"/>
          <w:sz w:val="28"/>
          <w:szCs w:val="28"/>
          <w:highlight w:val="none"/>
          <w:u w:val="single"/>
          <w:lang w:val="en-US" w:eastAsia="zh-CN"/>
        </w:rPr>
        <w:t xml:space="preserve">工业</w:t>
      </w:r>
      <w:r>
        <w:rPr>
          <w:rFonts w:hint="eastAsia" w:ascii="仿宋" w:hAnsi="仿宋" w:eastAsia="仿宋"/>
          <w:color w:val="auto"/>
          <w:sz w:val="28"/>
          <w:szCs w:val="28"/>
          <w:highlight w:val="none"/>
          <w:lang w:eastAsia="zh-CN"/>
        </w:rPr>
        <w:t xml:space="preserve">。</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二、申请人的资格要求：</w:t>
      </w:r>
      <w:r/>
    </w:p>
    <w:p>
      <w:pPr>
        <w:ind w:left="559"/>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left="559"/>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1</w:t>
      </w:r>
      <w:r>
        <w:rPr>
          <w:rFonts w:hint="eastAsia" w:ascii="仿宋" w:hAnsi="仿宋" w:eastAsia="仿宋"/>
          <w:color w:val="auto"/>
          <w:sz w:val="28"/>
          <w:szCs w:val="28"/>
          <w:highlight w:val="none"/>
          <w:lang w:val="zh-CN"/>
        </w:rPr>
        <w:t xml:space="preserve">种方式落实政府采购促进中小企业发展的要求：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本项目通过以下第（一）种方式预留部分采购份额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对小微企业报价给予扣除，用扣除后的价格参加评审，具体详见第二章“供应商须知”第32.1项</w:t>
      </w:r>
      <w:r>
        <w:rPr>
          <w:rFonts w:hint="eastAsia" w:ascii="仿宋" w:hAnsi="仿宋" w:eastAsia="仿宋"/>
          <w:color w:val="auto"/>
          <w:sz w:val="28"/>
          <w:szCs w:val="28"/>
          <w:highlight w:val="none"/>
          <w:lang w:val="zh-CN"/>
        </w:rPr>
        <w:t xml:space="preserve">。</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（三）本项目的特定资格要求：无</w:t>
      </w:r>
      <w:r/>
    </w:p>
    <w:p>
      <w:pPr>
        <w:ind w:firstLine="560"/>
        <w:spacing w:line="52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（四）拒绝下述条件的供应商参加本次采购活动：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w:t>
      </w:r>
      <w:r>
        <w:rPr>
          <w:rFonts w:ascii="仿宋" w:hAnsi="仿宋" w:eastAsia="仿宋"/>
          <w:color w:val="auto"/>
          <w:sz w:val="28"/>
          <w:szCs w:val="28"/>
          <w:highlight w:val="none"/>
        </w:rPr>
        <w:t xml:space="preserve">单位负责人为同一人或者存在直接控股、管理关系的不同供应商，不得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firstLine="560"/>
        <w:spacing w:line="520" w:lineRule="exact"/>
        <w:rPr>
          <w:rFonts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为采购项目提供整体设计、规范编制或者项目管理、监理、检测等服务的供应商，不得再参加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三、获取招标文件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（一）时间：自招标公告发布之日起五个工作日。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方式：供应商登录江苏省政府采购网，在网站首页点击“苏采云”→使用CA锁登录系统（新用户需进行“平台用户注册”）→“项目参与”进行登记，在“可参与项目”中选择“我要参与”，参与成功后到“已参与项目”界面中找到该项目下载文件并进行操作；或在淮安市政府采购网自行免费下载</w:t>
      </w:r>
      <w:r>
        <w:rPr>
          <w:rFonts w:hint="eastAsia" w:ascii="仿宋" w:hAnsi="仿宋" w:eastAsia="仿宋"/>
          <w:color w:val="auto"/>
          <w:sz w:val="28"/>
          <w:szCs w:val="28"/>
          <w:highlight w:val="none"/>
          <w:lang w:val="en-US" w:eastAsia="zh-CN"/>
        </w:rPr>
        <w:t xml:space="preserve">招标</w:t>
      </w:r>
      <w:r>
        <w:rPr>
          <w:rFonts w:hint="eastAsia" w:ascii="仿宋" w:hAnsi="仿宋" w:eastAsia="仿宋"/>
          <w:color w:val="auto"/>
          <w:sz w:val="28"/>
          <w:szCs w:val="28"/>
          <w:highlight w:val="none"/>
        </w:rPr>
        <w:t xml:space="preserve">文件。</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四、提交投标文件截止时间和地点</w:t>
      </w:r>
      <w:r/>
    </w:p>
    <w:p>
      <w:pPr>
        <w:ind w:firstLine="28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（一）投标文件提交截止时间：2026年</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17</w:t>
      </w:r>
      <w:r>
        <w:rPr>
          <w:rFonts w:hint="eastAsia" w:ascii="仿宋" w:hAnsi="仿宋" w:eastAsia="仿宋"/>
          <w:color w:val="auto"/>
          <w:sz w:val="28"/>
          <w:szCs w:val="28"/>
          <w:highlight w:val="none"/>
        </w:rPr>
        <w:t xml:space="preserve">日下午1</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00</w:t>
      </w:r>
      <w:r/>
    </w:p>
    <w:p>
      <w:pPr>
        <w:ind w:firstLine="28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（二）投标文件上传地址：本项目采用远程“不见面”开标方式，无需到现场提交，请供应商在截止时间前提前登入苏采云政府采购一体化平台提交响应文件。</w:t>
      </w:r>
      <w:r/>
    </w:p>
    <w:p>
      <w:pPr>
        <w:ind w:firstLine="28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五、投标文件开启时间和地点</w:t>
      </w:r>
      <w:r/>
    </w:p>
    <w:p>
      <w:pPr>
        <w:ind w:firstLine="28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（一）</w:t>
      </w:r>
      <w:r>
        <w:rPr>
          <w:rFonts w:hint="eastAsia" w:ascii="仿宋" w:hAnsi="仿宋" w:eastAsia="仿宋"/>
          <w:color w:val="auto"/>
          <w:sz w:val="28"/>
          <w:szCs w:val="28"/>
          <w:highlight w:val="none"/>
        </w:rPr>
        <w:t xml:space="preserve">投标文件</w:t>
      </w:r>
      <w:r>
        <w:rPr>
          <w:rFonts w:hint="eastAsia" w:ascii="仿宋" w:hAnsi="仿宋" w:eastAsia="仿宋"/>
          <w:color w:val="auto"/>
          <w:sz w:val="28"/>
          <w:szCs w:val="28"/>
          <w:highlight w:val="none"/>
          <w:lang w:val="en-US" w:eastAsia="zh-CN"/>
        </w:rPr>
        <w:t xml:space="preserve">开启时间：2026年08月17日</w:t>
      </w:r>
      <w:r>
        <w:rPr>
          <w:rFonts w:hint="eastAsia" w:ascii="仿宋" w:hAnsi="仿宋" w:eastAsia="仿宋"/>
          <w:color w:val="auto"/>
          <w:sz w:val="28"/>
          <w:szCs w:val="28"/>
          <w:highlight w:val="none"/>
        </w:rPr>
        <w:t xml:space="preserve">下午</w:t>
      </w:r>
      <w:r>
        <w:rPr>
          <w:rFonts w:hint="eastAsia" w:ascii="仿宋" w:hAnsi="仿宋" w:eastAsia="仿宋"/>
          <w:color w:val="auto"/>
          <w:sz w:val="28"/>
          <w:szCs w:val="28"/>
          <w:highlight w:val="none"/>
          <w:lang w:val="en-US" w:eastAsia="zh-CN"/>
        </w:rPr>
        <w:t xml:space="preserve">15:00（北京时间）</w:t>
      </w:r>
      <w:r/>
    </w:p>
    <w:p>
      <w:pPr>
        <w:ind w:firstLine="28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rPr>
        <w:t xml:space="preserve">投标文件</w:t>
      </w:r>
      <w:r>
        <w:rPr>
          <w:rFonts w:hint="eastAsia" w:ascii="仿宋" w:hAnsi="仿宋" w:eastAsia="仿宋"/>
          <w:color w:val="auto"/>
          <w:sz w:val="28"/>
          <w:szCs w:val="28"/>
          <w:highlight w:val="none"/>
          <w:lang w:val="en-US" w:eastAsia="zh-CN"/>
        </w:rPr>
        <w:t xml:space="preserve">开启地点：“苏采云”政府采购交易系统网上开标大厅</w:t>
      </w:r>
      <w:r/>
    </w:p>
    <w:p>
      <w:pPr>
        <w:ind w:firstLine="28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三</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开启方式：供应商登录“苏采云”系统在平台首页点击“开标大厅”，进入江苏省政府采购一体化不见面开标（采购）大厅，在今日项目列表，点击项目，进入不见面开标系统。本项目为不见面招标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六</w:t>
      </w:r>
      <w:r>
        <w:rPr>
          <w:rFonts w:hint="eastAsia" w:ascii="仿宋" w:hAnsi="仿宋" w:eastAsia="仿宋"/>
          <w:color w:val="auto"/>
          <w:sz w:val="28"/>
          <w:szCs w:val="28"/>
          <w:highlight w:val="none"/>
        </w:rPr>
        <w:t xml:space="preserve">、公告期限</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自本公告发布之日起五个工作日。</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、其他补充事宜</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本项目仅采购非进口产品（注：本文件所称进口产品是指通过中国海关报关验放进入中国境内且产自关境外的产品）。</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八</w:t>
      </w:r>
      <w:r>
        <w:rPr>
          <w:rFonts w:hint="eastAsia" w:ascii="仿宋" w:hAnsi="仿宋" w:eastAsia="仿宋"/>
          <w:color w:val="auto"/>
          <w:sz w:val="28"/>
          <w:szCs w:val="28"/>
          <w:highlight w:val="none"/>
        </w:rPr>
        <w:t xml:space="preserve">、对本次采购提出询问，请按以下方式联系。</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1.采购人联系方式</w:t>
      </w:r>
      <w:r/>
    </w:p>
    <w:p>
      <w:pPr>
        <w:ind w:firstLine="565"/>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名称：</w:t>
      </w:r>
      <w:r>
        <w:rPr>
          <w:rFonts w:hint="eastAsia" w:ascii="仿宋" w:hAnsi="仿宋" w:eastAsia="仿宋"/>
          <w:color w:val="auto"/>
          <w:sz w:val="28"/>
          <w:szCs w:val="28"/>
          <w:highlight w:val="none"/>
          <w:lang w:eastAsia="zh-CN"/>
        </w:rPr>
        <w:t xml:space="preserve">淮安市淮阴区发展和改革委员会</w:t>
      </w:r>
      <w:r/>
    </w:p>
    <w:p>
      <w:pPr>
        <w:ind w:firstLine="565"/>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地址：江苏省淮安市</w:t>
      </w:r>
      <w:r>
        <w:rPr>
          <w:rFonts w:hint="eastAsia" w:ascii="仿宋" w:hAnsi="仿宋" w:eastAsia="仿宋"/>
          <w:color w:val="auto"/>
          <w:sz w:val="28"/>
          <w:szCs w:val="28"/>
          <w:highlight w:val="none"/>
          <w:lang w:val="en-US" w:eastAsia="zh-CN"/>
        </w:rPr>
        <w:t xml:space="preserve">淮阴区区政府院内</w:t>
      </w:r>
      <w:r/>
    </w:p>
    <w:p>
      <w:pPr>
        <w:ind w:firstLine="565"/>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联系人：</w:t>
      </w:r>
      <w:r>
        <w:rPr>
          <w:rFonts w:hint="eastAsia" w:ascii="仿宋" w:hAnsi="仿宋" w:eastAsia="仿宋"/>
          <w:color w:val="auto"/>
          <w:sz w:val="28"/>
          <w:szCs w:val="28"/>
          <w:highlight w:val="none"/>
          <w:lang w:val="en-US" w:eastAsia="zh-CN"/>
        </w:rPr>
        <w:t xml:space="preserve">李先生 </w:t>
      </w:r>
      <w:r/>
    </w:p>
    <w:p>
      <w:pPr>
        <w:ind w:firstLine="565"/>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电话：</w:t>
      </w:r>
      <w:r>
        <w:rPr>
          <w:rFonts w:hint="eastAsia" w:ascii="仿宋" w:hAnsi="仿宋" w:eastAsia="仿宋"/>
          <w:color w:val="auto"/>
          <w:sz w:val="28"/>
          <w:szCs w:val="28"/>
          <w:highlight w:val="none"/>
          <w:lang w:val="en-US" w:eastAsia="zh-CN"/>
        </w:rPr>
        <w:t xml:space="preserve">0517-87039007 </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2.采购代理机构信息</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名称：江苏宇城工程造价咨询有限公司</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地址：淮安经济技术开发区景会路15号C幢孵化楼东侧二楼</w:t>
      </w:r>
      <w:r/>
    </w:p>
    <w:p>
      <w:pPr>
        <w:ind w:firstLine="565"/>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联系方式：王</w:t>
      </w:r>
      <w:r>
        <w:rPr>
          <w:rFonts w:hint="eastAsia" w:ascii="仿宋" w:hAnsi="仿宋" w:eastAsia="仿宋"/>
          <w:color w:val="auto"/>
          <w:sz w:val="28"/>
          <w:szCs w:val="28"/>
          <w:highlight w:val="none"/>
          <w:lang w:val="en-US" w:eastAsia="zh-CN"/>
        </w:rPr>
        <w:t xml:space="preserve">倩倩</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电话：13056000008</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九</w:t>
      </w:r>
      <w:r>
        <w:rPr>
          <w:rFonts w:hint="eastAsia" w:ascii="仿宋" w:hAnsi="仿宋" w:eastAsia="仿宋"/>
          <w:color w:val="auto"/>
          <w:sz w:val="28"/>
          <w:szCs w:val="28"/>
          <w:highlight w:val="none"/>
        </w:rPr>
        <w:t xml:space="preserve">、其他</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有关本次招标的事项若存在变动或修改，敬请及时关注招标代理机构在“淮安市政府采购网”发布的更正公告。</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本次招标不收取投标保证金。</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第二章  供应商须知</w:t>
      </w:r>
      <w:r/>
    </w:p>
    <w:p>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一、总则</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本招标文件仅适用于本次投标邀请中所述项目的采购。</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2.合格的供应商</w:t>
      </w:r>
      <w:r/>
    </w:p>
    <w:p>
      <w:pPr>
        <w:ind w:firstLine="55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2.1满足第一章投标邀请中供应商资格要求的规定。 </w:t>
      </w:r>
      <w:r/>
    </w:p>
    <w:p>
      <w:pPr>
        <w:ind w:firstLine="55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2.2满足招标文件中实质性条款的规定。</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3.1《中华人民共和国政府采购法》《中华人民共和国政府采购法实施条例》《政府采购货物和服务招标投标管理办法》等有关法律、规章和规定。</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4.投标费用</w:t>
      </w:r>
      <w:r/>
    </w:p>
    <w:p>
      <w:pPr>
        <w:ind w:firstLine="55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4.1供应商应自行承担所有与参加投标有关的费用。不论投标的结果如何，采购代理机构、采购人在任何情况下均无义务和责任承担这些费用。</w:t>
      </w:r>
      <w:r/>
    </w:p>
    <w:p>
      <w:pPr>
        <w:ind w:firstLine="55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4.2本项目代理服务收费</w:t>
      </w:r>
      <w:r>
        <w:rPr>
          <w:rFonts w:hint="eastAsia" w:ascii="仿宋" w:hAnsi="仿宋" w:eastAsia="仿宋"/>
          <w:color w:val="auto"/>
          <w:sz w:val="28"/>
          <w:szCs w:val="28"/>
          <w:highlight w:val="none"/>
          <w:lang w:val="en-US" w:eastAsia="zh-CN"/>
        </w:rPr>
        <w:t xml:space="preserve">参照苏政采协（2024）20号文80%计取</w:t>
      </w:r>
      <w:r>
        <w:rPr>
          <w:rFonts w:hint="eastAsia" w:ascii="仿宋" w:hAnsi="仿宋" w:eastAsia="仿宋"/>
          <w:color w:val="auto"/>
          <w:sz w:val="28"/>
          <w:szCs w:val="28"/>
          <w:highlight w:val="none"/>
        </w:rPr>
        <w:t xml:space="preserve">。不单独列项，供应商在报价时综合考虑，中标单位在领取成交通知书前向采购代理机构一次性付清代理服务费。</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5.招标文件的约束力</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5.1供应商一旦参加本项目采购活动，即被认为接受了本招标文件的规定和约束。</w:t>
      </w:r>
      <w:r/>
    </w:p>
    <w:p>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二、招标文件</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6.招标文件由以下部分组成：</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6.1投标邀请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6.2供应商须知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6.3评标标准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6.4合同格式及条款</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6.5项目采购需求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6.6投标文件</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7.招标文件的更正或补充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7.1在投标截止时间前，采购人可以对招标文件进行修改。</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7.2采购人和代理机构有权按照法定的要求推迟投标截止日期和开标日期。</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7.3招标文件的修改将在江苏政府采购网、淮安市政府采购网公布，补充文件将作为招标文件的组成部分，并对供应商具有约束力。</w:t>
      </w:r>
      <w:r/>
    </w:p>
    <w:p>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三、投标文件的编制</w:t>
      </w:r>
      <w:r/>
    </w:p>
    <w:p>
      <w:pPr>
        <w:spacing w:line="520" w:lineRule="exact"/>
        <w:rPr>
          <w:rFonts w:ascii="仿宋" w:hAnsi="仿宋" w:eastAsia="仿宋"/>
          <w:color w:val="auto"/>
          <w:sz w:val="28"/>
          <w:szCs w:val="28"/>
          <w:highlight w:val="none"/>
        </w:rPr>
      </w:pPr>
      <w:r/>
      <w:bookmarkStart w:id="0" w:name="_Toc462564073"/>
      <w:r/>
      <w:bookmarkStart w:id="1" w:name="_Toc513029214"/>
      <w:r/>
      <w:bookmarkStart w:id="2" w:name="_Toc16938530"/>
      <w:r/>
      <w:bookmarkStart w:id="3" w:name="_Toc20823286"/>
      <w:r>
        <w:rPr>
          <w:rFonts w:hint="eastAsia" w:ascii="仿宋" w:hAnsi="仿宋" w:eastAsia="仿宋"/>
          <w:color w:val="auto"/>
          <w:sz w:val="28"/>
          <w:szCs w:val="28"/>
          <w:highlight w:val="none"/>
        </w:rPr>
        <w:t xml:space="preserve">8.投标文件的语言及度量衡单位</w:t>
      </w:r>
      <w:bookmarkEnd w:id="0"/>
      <w:r/>
      <w:bookmarkEnd w:id="1"/>
      <w:r/>
      <w:bookmarkEnd w:id="2"/>
      <w:r/>
      <w:bookmarkEnd w:id="3"/>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8.1供应商提交的投标文件以及供应商与采购人、招标代理机构就有关投标的所有来往通知、函件和文件均应使用简体中文。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8.2除技术性能另有规定外，投标文件所使用的度量衡单位，均须采用国家法定计量单位。</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9.投标文件构成</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9.1供应商编写的投标文件应包括资格证明文件、符合性证明文件、投标分项报价表、技术要求响应及偏离表、其他证明文件、投标函、开标一览表等部分。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highlight w:val="none"/>
          <w:lang w:val="zh-CN"/>
        </w:rPr>
        <w:t xml:space="preserve">请供应商根据本招标文件的要求在指定模块中上传响应的投标材料，未按招标文件要求在指定模块上传响应的投标材料的，</w:t>
      </w:r>
      <w:r>
        <w:rPr>
          <w:rFonts w:hint="eastAsia" w:ascii="仿宋" w:hAnsi="仿宋" w:eastAsia="仿宋"/>
          <w:color w:val="auto"/>
          <w:sz w:val="28"/>
          <w:szCs w:val="28"/>
          <w:highlight w:val="none"/>
        </w:rPr>
        <w:t xml:space="preserve">视同未提交该投标材料处理。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如标书制作工具中格式和内容与“江苏政府采购网”“淮安市政府采购网”发布的招标文件不一致，请以“江苏政府采购网”“淮安市政府采购网”发布的招标文件为准。</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10.证明供应商及投标标的符合招标文件规定的文件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10.1供应商应按照招标文件要求提交证明文件，证明其及投标标的符合招标文件规定。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10.2招标文件对证明文件无明确形式要求的，证明文件可以以文字资料、图纸和数据等形式提交。</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11.投标分项报价表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11.1供应商应按照招标文件规定格式填报投标分项报价表。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11.2投标货币。投标文件中的单价和总价无特殊规定的采用人民币报价，以元为单位标注。招标文件中另有规定的按规定执行。</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12.技术要求响应及偏离表、商务要求响应及偏离表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12.1供应商需对招标文件中的技术要求与商务要求逐项作出响应或偏离，并说明原因。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12.2供应商可在投标文件中提供认为需要的其他技术文件或说明。</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13.1供应商需根据招标文件要求提供有关售后服务的管理制度，售后服务机构的分布情况，售后服务人员的数量、素质、技术水平及售后服务的反应能力等。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13.2供应商需根据招标文件要求提供培训计划。</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13.3供应商需根据招标文件要求提供所投标的的主要组成部分、功能设计、实现思路及关键技术等。</w:t>
      </w:r>
      <w:r/>
    </w:p>
    <w:p>
      <w:pPr>
        <w:spacing w:line="520" w:lineRule="exact"/>
        <w:rPr>
          <w:rFonts w:ascii="仿宋" w:hAnsi="仿宋" w:eastAsia="仿宋"/>
          <w:color w:val="auto"/>
          <w:sz w:val="28"/>
          <w:szCs w:val="28"/>
          <w:highlight w:val="none"/>
        </w:rPr>
      </w:pPr>
      <w:r/>
      <w:bookmarkStart w:id="4" w:name="_Toc49090510"/>
      <w:r/>
      <w:bookmarkStart w:id="5" w:name="_Toc14577359"/>
      <w:r>
        <w:rPr>
          <w:rFonts w:hint="eastAsia" w:ascii="仿宋" w:hAnsi="仿宋" w:eastAsia="仿宋"/>
          <w:color w:val="auto"/>
          <w:sz w:val="28"/>
          <w:szCs w:val="28"/>
          <w:highlight w:val="none"/>
        </w:rPr>
        <w:t xml:space="preserve">14.投标函和开标一览表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14.1供应商应按照招标文件中提供的格式完整、正确填写投标函、开标一览表。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14.2对于采用货币报价的项目，开标一览表中的投标总报价应与投标分项报价表中的投标总报价一致。如不一致，不作为无效投标处理，但评标时按开标一览表中的价格为准。</w:t>
      </w:r>
      <w:bookmarkEnd w:id="4"/>
      <w:bookmarkEnd w:id="5"/>
      <w:r/>
    </w:p>
    <w:p>
      <w:pPr>
        <w:spacing w:line="520" w:lineRule="exact"/>
        <w:rPr>
          <w:rFonts w:ascii="仿宋" w:hAnsi="仿宋" w:eastAsia="仿宋"/>
          <w:color w:val="auto"/>
          <w:sz w:val="28"/>
          <w:szCs w:val="28"/>
          <w:highlight w:val="none"/>
        </w:rPr>
      </w:pPr>
      <w:r/>
      <w:bookmarkStart w:id="6" w:name="_Toc49090511"/>
      <w:r/>
      <w:bookmarkStart w:id="7" w:name="_Toc14577360"/>
      <w:r>
        <w:rPr>
          <w:rFonts w:hint="eastAsia" w:ascii="仿宋" w:hAnsi="仿宋" w:eastAsia="仿宋"/>
          <w:color w:val="auto"/>
          <w:sz w:val="28"/>
          <w:szCs w:val="28"/>
          <w:highlight w:val="none"/>
        </w:rPr>
        <w:t xml:space="preserve">15.投标有效期</w:t>
      </w:r>
      <w:bookmarkEnd w:id="6"/>
      <w:r/>
      <w:bookmarkEnd w:id="7"/>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15.1投标有效期为采购人规定的开标之日后九十（90）天。投标有效期比规定短的将被视为未实质性响应招标文件而予以拒绝。</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15.2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16.投标文件的签署</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16.1投标文件仅需要在供应商进行签章的位置应进行电子签章。电子响应文件不得涂改、行间插字或删除，如果出现上述情况应重新编制。</w:t>
      </w:r>
      <w:r/>
    </w:p>
    <w:p>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四、投标文件上传</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17.投标文件的上传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17.1供应商应当按照《操作手册》规定，在投标截止时间前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并上传电子投标文件。</w:t>
      </w:r>
      <w:r/>
    </w:p>
    <w:p>
      <w:pPr>
        <w:ind w:firstLine="560"/>
        <w:spacing w:line="520" w:lineRule="exact"/>
        <w:rPr>
          <w:rFonts w:ascii="仿宋" w:hAnsi="仿宋" w:eastAsia="仿宋" w:cs="宋体"/>
          <w:bCs/>
          <w:color w:val="auto"/>
          <w:sz w:val="28"/>
          <w:szCs w:val="28"/>
          <w:highlight w:val="none"/>
          <w:lang w:val="zh-CN"/>
        </w:rPr>
      </w:pPr>
      <w:r>
        <w:rPr>
          <w:rFonts w:hint="eastAsia" w:ascii="仿宋" w:hAnsi="仿宋" w:eastAsia="仿宋"/>
          <w:color w:val="auto"/>
          <w:sz w:val="28"/>
          <w:szCs w:val="28"/>
          <w:highlight w:val="none"/>
        </w:rPr>
        <w:t xml:space="preserve">17.2供应商上传的电子投标文件内容不清楚或不清晰的（含扫描</w:t>
      </w:r>
      <w:r>
        <w:rPr>
          <w:rFonts w:hint="eastAsia" w:ascii="仿宋" w:hAnsi="仿宋" w:eastAsia="仿宋" w:cs="宋体"/>
          <w:bCs/>
          <w:color w:val="auto"/>
          <w:sz w:val="28"/>
          <w:szCs w:val="28"/>
          <w:highlight w:val="none"/>
        </w:rPr>
        <w:t xml:space="preserve">件），造成无法评审或部分影响评审的，</w:t>
      </w:r>
      <w:r>
        <w:rPr>
          <w:rFonts w:hint="eastAsia" w:ascii="仿宋" w:hAnsi="仿宋" w:eastAsia="仿宋" w:cs="宋体"/>
          <w:bCs/>
          <w:color w:val="auto"/>
          <w:sz w:val="28"/>
          <w:szCs w:val="28"/>
          <w:highlight w:val="none"/>
          <w:lang w:val="zh-CN"/>
        </w:rPr>
        <w:t xml:space="preserve">责任由</w:t>
      </w:r>
      <w:r>
        <w:rPr>
          <w:rFonts w:hint="eastAsia" w:ascii="仿宋" w:hAnsi="仿宋" w:eastAsia="仿宋" w:cs="宋体"/>
          <w:bCs/>
          <w:color w:val="auto"/>
          <w:sz w:val="28"/>
          <w:szCs w:val="28"/>
          <w:highlight w:val="none"/>
        </w:rPr>
        <w:t xml:space="preserve">供应商</w:t>
      </w:r>
      <w:r>
        <w:rPr>
          <w:rFonts w:hint="eastAsia" w:ascii="仿宋" w:hAnsi="仿宋" w:eastAsia="仿宋" w:cs="宋体"/>
          <w:bCs/>
          <w:color w:val="auto"/>
          <w:sz w:val="28"/>
          <w:szCs w:val="28"/>
          <w:highlight w:val="none"/>
          <w:lang w:val="zh-CN"/>
        </w:rPr>
        <w:t xml:space="preserve">自负。</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17.3供应商上传电子投标文件的时间不得迟于投标邀请中规定的截止时间。</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17.4招标代理机构可以按第7条规定，通过修改招标文件有权酌情延长投标文件接收截止时间。在此情况下，供应商的所有权利和义务以及供应商受制约的截止日期均应以延长后新的截止日期为准。</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18.投标文件被拒绝接收的情形</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18.1在招标文件规定的提交投标文件截止时间后上传的电子投标文件。</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19.投标文件的修改和撤回</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19.1供应商在上传电子投标文件后可以对其修改或撤回，但这种修改和撤回，必须在规定的开标时间之前，具体操作方法见《操作手册》。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19.2供应商不得在开标时间以后修改电子投标文件。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19.3供应商不得在提交电子投标文件截止时间起至投标有效期满前撤回电子投标文件。</w:t>
      </w:r>
      <w:r/>
    </w:p>
    <w:p>
      <w:pPr>
        <w:numPr>
          <w:ilvl w:val="0"/>
          <w:numId w:val="4"/>
        </w:numPr>
        <w:spacing w:line="520" w:lineRule="exact"/>
        <w:rPr>
          <w:rFonts w:ascii="仿宋" w:hAnsi="仿宋" w:eastAsia="仿宋"/>
          <w:b/>
          <w:color w:val="auto"/>
          <w:sz w:val="32"/>
          <w:szCs w:val="32"/>
          <w:highlight w:val="none"/>
        </w:rPr>
      </w:pPr>
      <w:r/>
      <w:bookmarkStart w:id="8" w:name="_Toc162083530"/>
      <w:r>
        <w:rPr>
          <w:rFonts w:hint="eastAsia" w:ascii="仿宋" w:hAnsi="仿宋" w:eastAsia="仿宋"/>
          <w:b/>
          <w:color w:val="auto"/>
          <w:sz w:val="32"/>
          <w:szCs w:val="32"/>
          <w:highlight w:val="none"/>
        </w:rPr>
        <w:t xml:space="preserve">开标及评标</w:t>
      </w:r>
      <w:bookmarkEnd w:id="8"/>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20.开标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20.1招标代理机构将在招标公告中规定的时间和地点组织开标。供应商应当按照《操作手册》规定，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20.2开标仪式由招标代理机构组织。苏采云系统将自动对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并宣布各供应商名称和投标价格。</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20.3供应商在开标过程中涉及到的投标文件解密、开标结果确认等工作，应按照《操作手册》规定执行。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20.4供应商如果对开标过程和开标记录有疑义，应当根据《操作手册》规定提出，如苏采云系统中《开标记录表》宣布后5分钟内未提出的，视同认可开标结果。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color w:val="auto"/>
          <w:sz w:val="28"/>
          <w:szCs w:val="28"/>
          <w:highlight w:val="none"/>
        </w:rPr>
      </w:pPr>
      <w:r/>
      <w:bookmarkStart w:id="9" w:name="_Toc513029231"/>
      <w:r/>
      <w:bookmarkStart w:id="10" w:name="_Toc20823303"/>
      <w:r/>
      <w:bookmarkStart w:id="11" w:name="_Toc16938547"/>
      <w:r>
        <w:rPr>
          <w:rFonts w:hint="eastAsia" w:ascii="仿宋" w:hAnsi="仿宋" w:eastAsia="仿宋"/>
          <w:color w:val="auto"/>
          <w:sz w:val="28"/>
          <w:szCs w:val="28"/>
          <w:highlight w:val="none"/>
        </w:rPr>
        <w:t xml:space="preserve">21.评标委员会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21.1开标后，招标代理机构将立即组织评标委员会（以下简称评委会）进行评标。</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21.2评委会由采购人代表和有关技术、经济等方面的专家组成，且人员构成符合政府采购有关规定。</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21.3评委会独立工作，负责评审所有投标文件并确定中标候选人。</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22.评标过程的保密与公正</w:t>
      </w:r>
      <w:bookmarkEnd w:id="9"/>
      <w:r/>
      <w:bookmarkEnd w:id="10"/>
      <w:r/>
      <w:bookmarkEnd w:id="11"/>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22.1凡是与审查、澄清、评价和比较文件的有关资料以及授标建议等，采购人、评委、采购中心均不得向供应商或与评标无关的其他人员透露。</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22.2在评标过程中，供应商不得以任何行为影响评标过程，否则其投标文件将被作为无效投标文件。</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招标代理机构和评标委员会不向未中标的供应商解释未中标原因，也不公布评标过程中的相关细节。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采用综合评分法的项目，未中标的供应商可于中标结果公告期限届满之日起通过苏采云系统查看自己的评审得分及排序情况。</w:t>
      </w:r>
      <w:r/>
    </w:p>
    <w:p>
      <w:pPr>
        <w:spacing w:line="520" w:lineRule="exact"/>
        <w:rPr>
          <w:rFonts w:ascii="仿宋" w:hAnsi="仿宋" w:eastAsia="仿宋"/>
          <w:color w:val="auto"/>
          <w:sz w:val="28"/>
          <w:szCs w:val="28"/>
          <w:highlight w:val="none"/>
        </w:rPr>
      </w:pPr>
      <w:r/>
      <w:bookmarkStart w:id="12" w:name="_Toc513029232"/>
      <w:r/>
      <w:bookmarkStart w:id="13" w:name="_Toc16938548"/>
      <w:r/>
      <w:bookmarkStart w:id="14" w:name="_Toc20823304"/>
      <w:r>
        <w:rPr>
          <w:rFonts w:hint="eastAsia" w:ascii="仿宋" w:hAnsi="仿宋" w:eastAsia="仿宋"/>
          <w:color w:val="auto"/>
          <w:sz w:val="28"/>
          <w:szCs w:val="28"/>
          <w:highlight w:val="none"/>
        </w:rPr>
        <w:t xml:space="preserve">23.投标文件的澄清</w:t>
      </w:r>
      <w:bookmarkEnd w:id="12"/>
      <w:r/>
      <w:bookmarkEnd w:id="13"/>
      <w:r/>
      <w:bookmarkEnd w:id="14"/>
      <w:r/>
      <w:r/>
    </w:p>
    <w:p>
      <w:pPr>
        <w:ind w:firstLine="560"/>
        <w:spacing w:line="520" w:lineRule="exact"/>
        <w:rPr>
          <w:rFonts w:ascii="仿宋" w:hAnsi="仿宋" w:eastAsia="仿宋"/>
          <w:color w:val="auto"/>
          <w:sz w:val="28"/>
          <w:szCs w:val="28"/>
          <w:highlight w:val="none"/>
        </w:rPr>
      </w:pPr>
      <w:r/>
      <w:bookmarkStart w:id="15" w:name="_Toc513029233"/>
      <w:r/>
      <w:bookmarkStart w:id="16" w:name="_Toc16938549"/>
      <w:r/>
      <w:bookmarkStart w:id="17" w:name="_Toc20823305"/>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w:t>
      </w:r>
      <w:r>
        <w:rPr>
          <w:rFonts w:ascii="仿宋" w:hAnsi="仿宋" w:eastAsia="仿宋"/>
          <w:color w:val="auto"/>
          <w:sz w:val="28"/>
          <w:szCs w:val="28"/>
          <w:highlight w:val="none"/>
        </w:rPr>
        <w:t xml:space="preserve">委会并非对每个</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都做澄清要求</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23.3接到评委会澄清、说明和补正要求的供应商如未按规定作出澄清、说明和补正，其风险由供应商自行承担。</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24.对投标文件的初审</w:t>
      </w:r>
      <w:bookmarkEnd w:id="15"/>
      <w:r/>
      <w:bookmarkEnd w:id="16"/>
      <w:r/>
      <w:bookmarkEnd w:id="17"/>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24.1投标文件初审分为资格审查和符合性审查。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24.1.1资格审查：依据法律法规和招标文件的规定，由采购人对投标文件中的资格证明文件进行审查。资格审查的结论，采购人向评委会进行反馈。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采购人在进行资格性审查的同时，将在“信用中国”网站（www.creditchina.gov.cn）查询供应商的信用记录，以确定供应商是否具备投标资格，查询结果留存并归档。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24.1.2符合性审查：依据招标文件的规定，由评委会从投标文件的有效性、完整性和对招标文件的响应程度进行审查，以确定是否对招标文件的实质性要求作出响应。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24.1.3未通过资格审查或符合性审查的供应商，招标代理机构将在苏采云系统中告知未通过资格审查或符合性审查的原因，评审结束后，招标代理机构将不再告知未通过资格审查或符合性审查的原因。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24.3如果投标文件实质上没有响应招标文件的要求，评委会将予以拒绝，供应商不得通过修改或撤销不符合要求的偏离或保留而使其投标成为实质性响应的投标。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24.4评委会将对确定为实质性响应的投标进行进一步审核，看其是否有计算上或累加上的算术错误，修正错误的原则如下：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（1）投标文件中开标一览表内容与投标文件中相应内容不一致的，以开标一览表为准。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（2）大写金额和小写金额不一致的，以大写金额为准。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（3）单价金额小数点或者百分比有明显错位的，以开标一览表的总价为准，并修改单价。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（4）总价金额与按单价汇总金额不一致的，以单价金额计算结果为准。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同时出现两种以上错误的，按照前款规定的顺序修正。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24.5评委会将按上述修正错误的方法调整投标文件中的投标报价，并</w:t>
      </w:r>
      <w:r>
        <w:rPr>
          <w:rFonts w:ascii="仿宋" w:hAnsi="仿宋" w:eastAsia="仿宋"/>
          <w:color w:val="auto"/>
          <w:sz w:val="28"/>
          <w:szCs w:val="28"/>
          <w:highlight w:val="none"/>
        </w:rPr>
        <w:t xml:space="preserve">通过</w:t>
      </w:r>
      <w:r>
        <w:rPr>
          <w:rFonts w:hint="eastAsia" w:ascii="仿宋" w:hAnsi="仿宋" w:eastAsia="仿宋"/>
          <w:color w:val="auto"/>
          <w:sz w:val="28"/>
          <w:szCs w:val="28"/>
          <w:highlight w:val="none"/>
        </w:rPr>
        <w:t xml:space="preserve">苏采云系统告知供应商</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调整后的价格对供应商具有约束力。如果供应商不接受修正后的价格，则其投标将被拒绝。</w:t>
      </w:r>
      <w:r/>
    </w:p>
    <w:p>
      <w:pPr>
        <w:ind w:firstLine="560"/>
        <w:spacing w:line="520" w:lineRule="exact"/>
        <w:rPr>
          <w:rFonts w:ascii="仿宋" w:hAnsi="仿宋" w:eastAsia="仿宋"/>
          <w:color w:val="auto"/>
          <w:sz w:val="28"/>
          <w:szCs w:val="28"/>
          <w:highlight w:val="none"/>
        </w:rPr>
      </w:pPr>
      <w:r/>
      <w:bookmarkStart w:id="18" w:name="_Toc20823306"/>
      <w:r/>
      <w:bookmarkStart w:id="19" w:name="_Toc513029234"/>
      <w:r/>
      <w:bookmarkStart w:id="20" w:name="_Toc16938550"/>
      <w:r>
        <w:rPr>
          <w:rFonts w:hint="eastAsia" w:ascii="仿宋" w:hAnsi="仿宋" w:eastAsia="仿宋"/>
          <w:color w:val="auto"/>
          <w:sz w:val="28"/>
          <w:szCs w:val="28"/>
          <w:highlight w:val="none"/>
        </w:rPr>
        <w:t xml:space="preserve">24.6</w:t>
      </w:r>
      <w:r>
        <w:rPr>
          <w:rFonts w:ascii="仿宋" w:hAnsi="仿宋" w:eastAsia="仿宋"/>
          <w:color w:val="auto"/>
          <w:sz w:val="28"/>
          <w:szCs w:val="28"/>
          <w:highlight w:val="none"/>
        </w:rPr>
        <w:t xml:space="preserve">采用最低评标价法的采购项目，提供相同品牌产品的不同</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，其他投标无效。</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参加同一合同项下投标的，按一家</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计算，评审后得分最高的同品牌</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不作为中标候选人。</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提供的核心产品品牌相同的，按前两款规定处理。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24.7供应商在开、评标全过程中应保持通信畅通，及时登录苏采云系统查阅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并安排专人与招标代理机构及评标委员会联系。</w:t>
      </w:r>
      <w:bookmarkEnd w:id="18"/>
      <w:bookmarkEnd w:id="19"/>
      <w:bookmarkEnd w:id="20"/>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25.无效投标条款和废标条款</w:t>
      </w:r>
      <w:r/>
    </w:p>
    <w:p>
      <w:pPr>
        <w:ind w:firstLine="560"/>
        <w:spacing w:line="520" w:lineRule="exact"/>
        <w:rPr>
          <w:rFonts w:ascii="仿宋" w:hAnsi="仿宋" w:eastAsia="仿宋"/>
          <w:color w:val="auto"/>
          <w:sz w:val="28"/>
          <w:szCs w:val="28"/>
          <w:highlight w:val="none"/>
        </w:rPr>
      </w:pPr>
      <w:r/>
      <w:bookmarkStart w:id="21" w:name="_Toc20823307"/>
      <w:r/>
      <w:bookmarkStart w:id="22" w:name="_Toc16938551"/>
      <w:r/>
      <w:bookmarkStart w:id="23" w:name="_Toc513029235"/>
      <w:r>
        <w:rPr>
          <w:rFonts w:hint="eastAsia" w:ascii="仿宋" w:hAnsi="仿宋" w:eastAsia="仿宋"/>
          <w:color w:val="auto"/>
          <w:sz w:val="28"/>
          <w:szCs w:val="28"/>
          <w:highlight w:val="none"/>
        </w:rPr>
        <w:t xml:space="preserve">25.1无效投标条款</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25.1.1供应商在苏采云系统规定的时间内未成功解密电子投标文件的。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供应商未按照招标文件要求上传电子投标文件的。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同一供应商提交两个</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含</w:t>
      </w:r>
      <w:r>
        <w:rPr>
          <w:rFonts w:ascii="仿宋" w:hAnsi="仿宋" w:eastAsia="仿宋"/>
          <w:color w:val="auto"/>
          <w:sz w:val="28"/>
          <w:szCs w:val="28"/>
          <w:highlight w:val="none"/>
        </w:rPr>
        <w:t xml:space="preserve">两个）</w:t>
      </w:r>
      <w:r>
        <w:rPr>
          <w:rFonts w:hint="eastAsia" w:ascii="仿宋" w:hAnsi="仿宋" w:eastAsia="仿宋"/>
          <w:color w:val="auto"/>
          <w:sz w:val="28"/>
          <w:szCs w:val="28"/>
          <w:highlight w:val="none"/>
        </w:rPr>
        <w:t xml:space="preserve">以上不同的</w:t>
      </w:r>
      <w:r>
        <w:rPr>
          <w:rFonts w:ascii="仿宋" w:hAnsi="仿宋" w:eastAsia="仿宋"/>
          <w:color w:val="auto"/>
          <w:sz w:val="28"/>
          <w:szCs w:val="28"/>
          <w:highlight w:val="none"/>
        </w:rPr>
        <w:t xml:space="preserve">投标报价的。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供应商不具备招标文件中规定的资格要求的。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供应商的报价超过了采购预算或最高限价的。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未通过符合性审查的。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不符合招标文件中规定的实质性要求和条件的（实质性要求和条件是指本招标文件中用带星号的商务和技术要求）。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 投标文件含有采购人不能接受的附加条件的。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25.1.10异常低价投标审查</w:t>
      </w:r>
      <w:r/>
    </w:p>
    <w:p>
      <w:pPr>
        <w:ind w:firstLine="560"/>
        <w:spacing w:line="520" w:lineRule="exact"/>
        <w:rPr>
          <w:color w:val="auto"/>
          <w:highlight w:val="none"/>
        </w:rPr>
      </w:pPr>
      <w:r>
        <w:rPr>
          <w:rFonts w:hint="eastAsia" w:ascii="仿宋" w:hAnsi="仿宋" w:eastAsia="仿宋"/>
          <w:color w:val="auto"/>
          <w:sz w:val="28"/>
          <w:szCs w:val="28"/>
          <w:highlight w:val="none"/>
        </w:rPr>
        <w:t xml:space="preserve">25.1.10.1 评标过程中出</w:t>
      </w:r>
      <w:r>
        <w:rPr>
          <w:rFonts w:ascii="仿宋" w:hAnsi="仿宋" w:eastAsia="仿宋" w:cs="仿宋"/>
          <w:color w:val="auto"/>
          <w:sz w:val="28"/>
          <w:highlight w:val="none"/>
        </w:rPr>
        <w:t xml:space="preserve">现下列情形之一的，评标委员会应当启动异常低价投标审查程序：</w:t>
      </w:r>
      <w:r/>
    </w:p>
    <w:p>
      <w:pPr>
        <w:ind w:firstLine="5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（1）投标（响应）报价低于全部通过符合性审查供应商投标（响应）报价平均值50%的，即投标（响应）报价&lt;全部通过符合性审查供应商投标（响应）报价平均值×50%；</w:t>
      </w:r>
      <w:r/>
    </w:p>
    <w:p>
      <w:pPr>
        <w:ind w:firstLine="5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（2）投标（响应）报价低于通过符合性审查的次低报价供应商投标（响应）报价50%的，即投标（响应）报价&lt;通过符合性审查的次低报价供应商投标（响应）报价×50%； </w:t>
      </w:r>
      <w:r/>
    </w:p>
    <w:p>
      <w:pPr>
        <w:ind w:firstLine="5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（3）投标（响应）报价低于采购项目最高限价45%的，即投标（响应）报价&lt;采购项目最高限价×45%； </w:t>
      </w:r>
      <w:r/>
    </w:p>
    <w:p>
      <w:pPr>
        <w:ind w:firstLine="5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（4）评审委员会基于专业判断，认为供应商报价过低，有可能影响产品质量或者不能诚信履约的其他情形。 </w:t>
      </w:r>
      <w:r/>
    </w:p>
    <w:p>
      <w:pPr>
        <w:ind w:firstLine="5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25.1.10.2 </w:t>
      </w:r>
      <w:r>
        <w:rPr>
          <w:rFonts w:ascii="仿宋" w:hAnsi="仿宋" w:eastAsia="仿宋" w:cs="仿宋"/>
          <w:color w:val="auto"/>
          <w:sz w:val="28"/>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按照第 33.4的要求本项目中具有“强制采购”产品，但未提供经国家确定的认证机构出具的、处于有效期之内该节能产品认证证书图片的；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投标文件未按照招标文件要求加盖CA电子公章的。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其他法律法规及本招标文件规定的无效投标的情形。</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25.2废标条款</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25.2.1符合专业条件的供应商或者对招标文件作实质响应的供应商不足三家的。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25.2.2出现影响采购公正的违法、违规行为的。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25.2.3因重大变故，采购任务取消的。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25.2.4评标委员会认定招标文件存在歧义、重大缺陷导致评审工作无法进行。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25.2.5因苏采云系统故障</w:t>
      </w:r>
      <w:r>
        <w:rPr>
          <w:rFonts w:ascii="仿宋" w:hAnsi="仿宋" w:eastAsia="仿宋"/>
          <w:color w:val="auto"/>
          <w:sz w:val="28"/>
          <w:szCs w:val="28"/>
          <w:highlight w:val="none"/>
        </w:rPr>
        <w:t xml:space="preserve">原因造成开标不成功</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25.3投标截止时间结束后参加投标的供应商不足三家的处理：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25.3.1如出现投标截止时间结束后参加投标的供应商或者在评标期间对招标文件做出实质响应的供应商不足三家情况，按政府采购相关规定执行。</w:t>
      </w:r>
      <w:bookmarkEnd w:id="21"/>
      <w:bookmarkEnd w:id="22"/>
      <w:bookmarkEnd w:id="23"/>
      <w:r/>
    </w:p>
    <w:p>
      <w:pPr>
        <w:numPr>
          <w:ilvl w:val="0"/>
          <w:numId w:val="4"/>
        </w:numPr>
        <w:ind w:firstLine="482"/>
        <w:spacing w:line="520" w:lineRule="exact"/>
        <w:rPr>
          <w:rFonts w:ascii="仿宋" w:hAnsi="仿宋" w:eastAsia="仿宋"/>
          <w:b/>
          <w:color w:val="auto"/>
          <w:sz w:val="32"/>
          <w:szCs w:val="32"/>
          <w:highlight w:val="none"/>
        </w:rPr>
      </w:pPr>
      <w:r/>
      <w:bookmarkStart w:id="24" w:name="_Toc120614219"/>
      <w:r>
        <w:rPr>
          <w:rFonts w:hint="eastAsia" w:ascii="仿宋" w:hAnsi="仿宋" w:eastAsia="仿宋"/>
          <w:b/>
          <w:color w:val="auto"/>
          <w:sz w:val="32"/>
          <w:szCs w:val="32"/>
          <w:highlight w:val="none"/>
        </w:rPr>
        <w:t xml:space="preserve">定标</w:t>
      </w:r>
      <w:bookmarkEnd w:id="24"/>
      <w:r/>
      <w:r/>
    </w:p>
    <w:p>
      <w:pPr>
        <w:spacing w:line="520" w:lineRule="exact"/>
        <w:rPr>
          <w:rFonts w:ascii="仿宋" w:hAnsi="仿宋" w:eastAsia="仿宋"/>
          <w:color w:val="auto"/>
          <w:sz w:val="28"/>
          <w:szCs w:val="28"/>
          <w:highlight w:val="none"/>
        </w:rPr>
      </w:pPr>
      <w:r/>
      <w:bookmarkStart w:id="25" w:name="_Toc16938554"/>
      <w:r/>
      <w:bookmarkStart w:id="26" w:name="_Toc20823310"/>
      <w:r>
        <w:rPr>
          <w:rFonts w:hint="eastAsia" w:ascii="仿宋" w:hAnsi="仿宋" w:eastAsia="仿宋"/>
          <w:color w:val="auto"/>
          <w:sz w:val="28"/>
          <w:szCs w:val="28"/>
          <w:highlight w:val="none"/>
        </w:rPr>
        <w:t xml:space="preserve">26.确定</w:t>
      </w:r>
      <w:bookmarkEnd w:id="25"/>
      <w:r/>
      <w:bookmarkEnd w:id="26"/>
      <w:r>
        <w:rPr>
          <w:rFonts w:hint="eastAsia" w:ascii="仿宋" w:hAnsi="仿宋" w:eastAsia="仿宋"/>
          <w:color w:val="auto"/>
          <w:sz w:val="28"/>
          <w:szCs w:val="28"/>
          <w:highlight w:val="none"/>
        </w:rPr>
        <w:t xml:space="preserve">中标单位</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26.1中标候选人的选取原则和数量见招标文件第三章规定。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26.2采购人应根据评委会推荐的中标候选人确定中标人。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26.3招标代理机构将在“江苏省政府采购网”“淮安市政府采购网”发布中标公告，公告期限为1个工作日。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26.4若有充分证据证明，中标人出现下列情况之一的，一经查实，将被取消中标资格：</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26.4.1提供虚假材料谋取中标的。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26.4.2向采购人、招标代理机构行贿或者提供其他不正当利益的。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26.4.3属于本文件规定的无效条件，但在评标过程中又未被评委会发现的。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26.4.4与采购人或者其他供应商恶意串通的。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26.4.5采取不正当手段诋毁、排挤其他供应商的。</w:t>
      </w:r>
      <w:r/>
    </w:p>
    <w:p>
      <w:pPr>
        <w:ind w:firstLine="560"/>
        <w:spacing w:line="520" w:lineRule="exact"/>
        <w:rPr>
          <w:rFonts w:ascii="仿宋" w:hAnsi="仿宋" w:eastAsia="仿宋"/>
          <w:color w:val="auto"/>
          <w:sz w:val="28"/>
          <w:szCs w:val="28"/>
          <w:highlight w:val="none"/>
        </w:rPr>
      </w:pPr>
      <w:r/>
      <w:bookmarkStart w:id="27" w:name="_Toc200451960"/>
      <w:r>
        <w:rPr>
          <w:rFonts w:hint="eastAsia" w:ascii="仿宋" w:hAnsi="仿宋" w:eastAsia="仿宋"/>
          <w:color w:val="auto"/>
          <w:sz w:val="28"/>
          <w:szCs w:val="28"/>
          <w:highlight w:val="none"/>
        </w:rPr>
        <w:t xml:space="preserve">26.5 </w:t>
      </w:r>
      <w:r>
        <w:rPr>
          <w:rFonts w:ascii="仿宋" w:hAnsi="仿宋" w:eastAsia="仿宋"/>
          <w:color w:val="auto"/>
          <w:sz w:val="28"/>
          <w:szCs w:val="28"/>
          <w:highlight w:val="none"/>
        </w:rPr>
        <w:t xml:space="preserve">有下列情形之一的，</w:t>
      </w:r>
      <w:r>
        <w:rPr>
          <w:rFonts w:hint="eastAsia" w:ascii="仿宋" w:hAnsi="仿宋" w:eastAsia="仿宋"/>
          <w:color w:val="auto"/>
          <w:sz w:val="28"/>
          <w:szCs w:val="28"/>
          <w:highlight w:val="none"/>
        </w:rPr>
        <w:t xml:space="preserve">视为供应商</w:t>
      </w:r>
      <w:r>
        <w:rPr>
          <w:rFonts w:ascii="仿宋" w:hAnsi="仿宋" w:eastAsia="仿宋"/>
          <w:color w:val="auto"/>
          <w:sz w:val="28"/>
          <w:szCs w:val="28"/>
          <w:highlight w:val="none"/>
        </w:rPr>
        <w:t xml:space="preserve">串通</w:t>
      </w:r>
      <w:r>
        <w:rPr>
          <w:rFonts w:hint="eastAsia" w:ascii="仿宋" w:hAnsi="仿宋" w:eastAsia="仿宋"/>
          <w:color w:val="auto"/>
          <w:sz w:val="28"/>
          <w:szCs w:val="28"/>
          <w:highlight w:val="none"/>
        </w:rPr>
        <w:t xml:space="preserve">投标，投标无效：</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26.5.1不同供应商的投标文件由同一单位或者个人编制；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26.5.2不同供应商委托同一单位或者个人办理投标事宜；</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26.5.3不同供应商的投标文件载明的项目管理成员或者联系人员为同一人；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26.5.4不同供应商的投标文件异常一致或者投标报价呈规律性差异；</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27.质疑处理</w:t>
      </w:r>
      <w:bookmarkEnd w:id="27"/>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27.1供应商认为采购文件、采购过程和中标结果使自己的权益受到损害的，可以在知道或者应知其权益受到损害之日起七个工作日内，以书面形式向采购人、代理公司提出质疑。非书面形式、七个工作日之外以及匿名的质疑将不予受理。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27.2上述应知其权益受到损害之日是指：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（1）对招标文件提出质疑的，为采购文件公告期限届满之日起计算；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（2）对采购过程提出质疑的，为各采购程序环节结束之日起计算；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（3）对中标结果提出质疑的，为中标结果公告期限届满之日起计算。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27.3质疑供应商是指直接参加本次投标活动的供应商，未参加投标活动的供应商或在投标活动中自身权益未受到损害的供应商所提出的质疑不予受理。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27.4质疑供应商在法定质疑期内应当一次性针对同一采购环节提出质疑，若质疑供应商针对同一环节提出两次及两次以上质疑，仅受理第一次提出的质疑。</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27.5质疑函应当包括以下主要内容，附上相关证明材料。否则，招标代理机构不予受理。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（1）质疑供应商的名称、地址、邮编、联系人及联系电话；</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（2）质疑项目的名称、编号；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（3）具体、明确的质疑事项和与质疑事实相关的请求；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（4）事实依据；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（5）必要的法律依据；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（6）提起质疑的日期；</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质疑函必须以参加供应商的法定代表人（签署本人姓名、加盖供应商公章）或授权代表[签署本人姓名、加盖供应商公章，应当同时提供法定代表人授权其办理质疑事项的授权书（授权中必须载明具体权限、期限和事项）]以原件送达的方式提交，未按上述要求提交的质疑函（含传真、电子邮件等）代理公司有权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27.6招标代理机构收到质疑函后，将对质疑的形式和内容进行审查，如质疑函内容、格式不符合规定，招标代理机构将告知质疑人进行补正。质疑人应当在法定质疑期限内进行补正并重新提交质疑函，拒不补正或者超过法定期限后未重新提交质疑函的，为无效质疑，招标代理机构有权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27.7对于内容、格式符合规定的质疑函，采购人将在七个工作日内以电子文件的形式作出答复，但质疑答复的内容不涉及商业秘密。如果质疑供应商还需要纸质形式回复函的，需主动与招标代理机构联系索取，或者在质疑函中明确提出该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28.中标通知书</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28.3</w:t>
      </w:r>
      <w:r>
        <w:rPr>
          <w:rFonts w:hint="eastAsia" w:ascii="仿宋" w:hAnsi="仿宋" w:eastAsia="仿宋"/>
          <w:color w:val="auto"/>
          <w:sz w:val="28"/>
          <w:szCs w:val="28"/>
          <w:highlight w:val="none"/>
        </w:rPr>
        <w:t xml:space="preserve">中标人</w:t>
      </w:r>
      <w:r>
        <w:rPr>
          <w:rFonts w:hint="eastAsia" w:ascii="仿宋" w:hAnsi="仿宋" w:eastAsia="仿宋"/>
          <w:color w:val="auto"/>
          <w:sz w:val="28"/>
          <w:szCs w:val="28"/>
          <w:highlight w:val="none"/>
          <w:lang w:val="en-US" w:eastAsia="zh-CN"/>
        </w:rPr>
        <w:t xml:space="preserve">在领取中标通知书的同时必须递交与电子投标文件一致的纸质投标文件（印章齐全）正本一份，副本四份。</w:t>
      </w:r>
      <w:r/>
    </w:p>
    <w:p>
      <w:pPr>
        <w:numPr>
          <w:ilvl w:val="0"/>
          <w:numId w:val="4"/>
        </w:numPr>
        <w:ind w:firstLine="482"/>
        <w:spacing w:line="520" w:lineRule="exact"/>
        <w:rPr>
          <w:rFonts w:ascii="仿宋" w:hAnsi="仿宋" w:eastAsia="仿宋"/>
          <w:b/>
          <w:color w:val="auto"/>
          <w:sz w:val="32"/>
          <w:szCs w:val="32"/>
          <w:highlight w:val="none"/>
        </w:rPr>
      </w:pPr>
      <w:r/>
      <w:bookmarkStart w:id="28" w:name="_Toc120614220"/>
      <w:r/>
      <w:bookmarkStart w:id="29" w:name="_Toc16938552"/>
      <w:r/>
      <w:bookmarkStart w:id="30" w:name="_Toc513029236"/>
      <w:r/>
      <w:bookmarkStart w:id="31" w:name="_Toc20823308"/>
      <w:r>
        <w:rPr>
          <w:rFonts w:hint="eastAsia" w:ascii="仿宋" w:hAnsi="仿宋" w:eastAsia="仿宋"/>
          <w:b/>
          <w:color w:val="auto"/>
          <w:sz w:val="32"/>
          <w:szCs w:val="32"/>
          <w:highlight w:val="none"/>
        </w:rPr>
        <w:t xml:space="preserve">授予合同</w:t>
      </w:r>
      <w:bookmarkEnd w:id="28"/>
      <w:r/>
      <w:bookmarkEnd w:id="29"/>
      <w:bookmarkEnd w:id="30"/>
      <w:bookmarkEnd w:id="31"/>
      <w:r/>
    </w:p>
    <w:p>
      <w:pPr>
        <w:spacing w:line="520" w:lineRule="exact"/>
        <w:rPr>
          <w:rFonts w:ascii="仿宋" w:hAnsi="仿宋" w:eastAsia="仿宋"/>
          <w:color w:val="auto"/>
          <w:sz w:val="28"/>
          <w:szCs w:val="28"/>
          <w:highlight w:val="none"/>
        </w:rPr>
      </w:pPr>
      <w:r/>
      <w:bookmarkStart w:id="32" w:name="_Toc16938553"/>
      <w:r/>
      <w:bookmarkStart w:id="33" w:name="_Toc20823309"/>
      <w:r/>
      <w:bookmarkStart w:id="34" w:name="_Toc513029237"/>
      <w:r>
        <w:rPr>
          <w:rFonts w:hint="eastAsia" w:ascii="仿宋" w:hAnsi="仿宋" w:eastAsia="仿宋"/>
          <w:color w:val="auto"/>
          <w:sz w:val="28"/>
          <w:szCs w:val="28"/>
          <w:highlight w:val="none"/>
        </w:rPr>
        <w:t xml:space="preserve">29. 签订合同</w:t>
      </w:r>
      <w:r>
        <w:rPr>
          <w:rFonts w:hint="eastAsia" w:ascii="仿宋" w:hAnsi="仿宋" w:eastAsia="仿宋"/>
          <w:color w:val="auto"/>
          <w:sz w:val="28"/>
          <w:szCs w:val="28"/>
          <w:highlight w:val="none"/>
        </w:rPr>
        <w:tab/>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29.l中标人应当在中标通知书发出之日起三十日内，按照招标文件确定的事项与采购人签订政府采购合同。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29.2招标文件、中标人的投标文件及招标过程中有关澄清、承诺文件均应作为合同附件。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29.3签订合同后，中标人不得将合同标的进行转包。未经采购人同意，中标人也不得采用分包的形式履行合同，否则采购人有权终止合同。转包或分包造成采购人损失的，中标人应承担相应赔偿责任。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30.货物（包含与货物相关的服务）的追加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2"/>
      <w:bookmarkEnd w:id="33"/>
      <w:bookmarkEnd w:id="34"/>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31.履约保证金</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本项目不收取履约保证金</w:t>
      </w:r>
      <w:r/>
    </w:p>
    <w:p>
      <w:pPr>
        <w:ind w:firstLine="560"/>
        <w:spacing w:line="520" w:lineRule="exact"/>
        <w:rPr>
          <w:rFonts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八、政府采购政策功能落实</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w:t>
      </w:r>
      <w:r>
        <w:rPr>
          <w:rFonts w:hint="eastAsia" w:ascii="仿宋" w:hAnsi="仿宋" w:eastAsia="仿宋"/>
          <w:color w:val="auto"/>
          <w:sz w:val="28"/>
          <w:szCs w:val="28"/>
          <w:highlight w:val="none"/>
          <w:lang w:val="zh-CN"/>
        </w:rPr>
        <w:t xml:space="preserve">促进中小企业发展</w:t>
      </w:r>
      <w:r>
        <w:rPr>
          <w:rFonts w:hint="eastAsia" w:ascii="仿宋" w:hAnsi="仿宋" w:eastAsia="仿宋"/>
          <w:color w:val="auto"/>
          <w:sz w:val="28"/>
          <w:szCs w:val="28"/>
          <w:highlight w:val="none"/>
        </w:rPr>
        <w:t xml:space="preserve">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32.1小微型企业价格扣除</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32.1.1</w:t>
      </w:r>
      <w:r>
        <w:rPr>
          <w:rFonts w:hint="eastAsia" w:ascii="仿宋" w:hAnsi="仿宋" w:eastAsia="仿宋"/>
          <w:color w:val="auto"/>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32.2联合体及分包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32.2.2享受扶持政策获得政府采购合同的，小微企业不得将合同分包给大中型企业，中型企业不得将合同分包给大型企业。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32.3小微型企业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（1）供应商须按照招标文件的要求提供相应的《企业声明函》，详见招标文件第六章示范格式。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32.4残疾人福利单位</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（1）残疾人福利单位需按照招标文件的要求提供《残疾人福利单位声明函》，详见招标文件第六章示范格式。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32.5监狱和戒毒企业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（1）监狱企业参加政府采购活动时，需提供由省级以上监狱管理局、戒毒管理局（含新疆生产建设兵团）出具的属于监狱企业的证明文件）（在投标文件中上传加盖出具单位公章的电子件）。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（2）监狱企业标准请参照《关于政府采购支持监狱企业发展有关问题的通知》（财库〔2014〕68号）。</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 节能、环保政策（本项目不涉及）</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33.2节能产品（本项目不涉及）</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 （采购产品）</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33.3环保产品（本项目不涉及）</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（采购产品）</w:t>
      </w:r>
      <w:r>
        <w:rPr>
          <w:rFonts w:hint="eastAsia" w:ascii="仿宋" w:hAnsi="仿宋" w:eastAsia="仿宋"/>
          <w:color w:val="auto"/>
          <w:sz w:val="28"/>
          <w:szCs w:val="28"/>
          <w:highlight w:val="none"/>
        </w:rPr>
        <w:t xml:space="preserve">被列入“环境标志产品品目清单”的，实行优先采购。</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szCs w:val="28"/>
          <w:highlight w:val="none"/>
        </w:rPr>
        <w:t xml:space="preserve">33.4本项目中实行“强制采购”的，需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34.政府绿色采购</w:t>
      </w:r>
      <w:r/>
    </w:p>
    <w:p>
      <w:pPr>
        <w:ind w:firstLine="280"/>
        <w:spacing w:line="52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34.1本项目为货物类采购项目的，所提供的产品需综合考虑节能环保、节水、循环再生、低碳、有机等因素；本项目为物业、合同能源管理等服务类采购项目的，应在服务中加强绿色低碳管理。</w:t>
      </w:r>
      <w:r/>
    </w:p>
    <w:p>
      <w:pPr>
        <w:pStyle w:val="985"/>
        <w:ind w:left="0" w:firstLine="560"/>
        <w:spacing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34.2本项目中涉及商品的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，在供货、安装过程中能做到低碳物流、环保节约、提高资源利用率；涉及设备运维参考《绿色数据中心政府采购需求标准（试行）》（财库〔2023〕7号文）执行。</w:t>
      </w:r>
      <w:r/>
    </w:p>
    <w:p>
      <w:pPr>
        <w:pStyle w:val="985"/>
        <w:ind w:left="0" w:firstLine="560"/>
        <w:spacing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34.3本项目中涉及涂料、胶黏剂、油墨、清洗剂等挥发性有机物产品的，要执行国家和江苏省VOCs含量限制标准，优先使用低挥发性原辅材料，使用低VOCs含量的涂料、胶黏剂等。</w:t>
      </w:r>
      <w:r/>
    </w:p>
    <w:p>
      <w:pPr>
        <w:pStyle w:val="985"/>
        <w:ind w:left="0" w:firstLine="560"/>
        <w:spacing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 履约资金扶持政策</w:t>
      </w:r>
      <w:r/>
    </w:p>
    <w:p>
      <w:pPr>
        <w:pStyle w:val="985"/>
        <w:ind w:left="0" w:firstLine="560"/>
        <w:spacing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85"/>
        <w:ind w:left="0"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35.2有融资贷款需求的中标人，与采购人在苏采云【合同在线签订】模块中进行合同在线签订时，【账户信息完善】的“是否融资”一栏中需选择“是”，同时完善收款账号信息和合同补充协议（融资账号）。</w:t>
      </w:r>
      <w:r/>
    </w:p>
    <w:p>
      <w:pPr>
        <w:ind w:firstLine="560"/>
        <w:spacing w:line="519"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rPr>
        <w:t xml:space="preserve">6</w:t>
      </w:r>
      <w:r>
        <w:rPr>
          <w:rFonts w:ascii="仿宋" w:hAnsi="仿宋" w:eastAsia="仿宋" w:cs="仿宋"/>
          <w:color w:val="auto"/>
          <w:sz w:val="28"/>
          <w:szCs w:val="28"/>
          <w:highlight w:val="none"/>
        </w:rPr>
        <w:t xml:space="preserve">.采购本国产品的支持政策</w:t>
      </w:r>
      <w:r/>
    </w:p>
    <w:p>
      <w:pPr>
        <w:ind w:firstLine="560"/>
        <w:spacing w:line="519"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rPr>
        <w:t xml:space="preserve">6</w:t>
      </w:r>
      <w:r>
        <w:rPr>
          <w:rFonts w:ascii="仿宋" w:hAnsi="仿宋" w:eastAsia="仿宋" w:cs="仿宋"/>
          <w:color w:val="auto"/>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560"/>
        <w:spacing w:line="519"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rPr>
        <w:t xml:space="preserve">6</w:t>
      </w:r>
      <w:r>
        <w:rPr>
          <w:rFonts w:ascii="仿宋" w:hAnsi="仿宋" w:eastAsia="仿宋" w:cs="仿宋"/>
          <w:color w:val="auto"/>
          <w:sz w:val="28"/>
          <w:szCs w:val="28"/>
          <w:highlight w:val="none"/>
        </w:rPr>
        <w:t xml:space="preserve">.2当采购项目或者采购包中含有多种产品，</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为该采购项目或者采购包提供的符合本国产品标准的产品成本之和占该</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提供的全部产品成本之和的比例达到80%以上时（</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需在“第六章 投标文件格式”的“三、投标报价明细表”中填写比例数值），依法对该</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提供的全部产品给予价格评审优惠，即对该</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提供的全部产品的总报价给予20%的价格扣除，用扣除后的价格参与评审。</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未填写比例数值，或比例数值未达到80%的，将不享受本国产品价格评审优惠。</w:t>
      </w:r>
      <w:r/>
    </w:p>
    <w:p>
      <w:pPr>
        <w:ind w:firstLine="560"/>
        <w:spacing w:line="519"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rPr>
        <w:t xml:space="preserve">6</w:t>
      </w:r>
      <w:r>
        <w:rPr>
          <w:rFonts w:ascii="仿宋" w:hAnsi="仿宋" w:eastAsia="仿宋" w:cs="仿宋"/>
          <w:color w:val="auto"/>
          <w:sz w:val="28"/>
          <w:szCs w:val="28"/>
          <w:highlight w:val="none"/>
        </w:rPr>
        <w:t xml:space="preserve">.3 </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spacing w:line="519"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rPr>
        <w:t xml:space="preserve">6</w:t>
      </w:r>
      <w:r>
        <w:rPr>
          <w:rFonts w:ascii="仿宋" w:hAnsi="仿宋" w:eastAsia="仿宋" w:cs="仿宋"/>
          <w:color w:val="auto"/>
          <w:sz w:val="28"/>
          <w:szCs w:val="28"/>
          <w:highlight w:val="none"/>
        </w:rPr>
        <w:t xml:space="preserve">.4 </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ind w:firstLine="560"/>
        <w:spacing w:line="519"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rPr>
        <w:t xml:space="preserve">6</w:t>
      </w:r>
      <w:r>
        <w:rPr>
          <w:rFonts w:ascii="仿宋" w:hAnsi="仿宋" w:eastAsia="仿宋" w:cs="仿宋"/>
          <w:color w:val="auto"/>
          <w:sz w:val="28"/>
          <w:szCs w:val="28"/>
          <w:highlight w:val="none"/>
        </w:rPr>
        <w:t xml:space="preserve">.5 评标过程中，如发现</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提供的相关产品视为不符合本国产品标准。</w:t>
      </w:r>
      <w:r/>
    </w:p>
    <w:p>
      <w:pPr>
        <w:pStyle w:val="985"/>
        <w:ind w:left="0" w:firstLine="560"/>
        <w:spacing w:line="520" w:lineRule="exact"/>
        <w:rPr>
          <w:rFonts w:ascii="仿宋" w:hAnsi="仿宋" w:eastAsia="仿宋"/>
          <w:color w:val="auto"/>
          <w:sz w:val="28"/>
          <w:szCs w:val="28"/>
          <w:highlight w:val="none"/>
        </w:rPr>
      </w:pPr>
      <w:r>
        <w:rPr>
          <w:rFonts w:ascii="仿宋" w:hAnsi="仿宋" w:eastAsia="仿宋" w:cs="仿宋"/>
          <w:color w:val="auto"/>
          <w:sz w:val="28"/>
          <w:szCs w:val="28"/>
          <w:highlight w:val="none"/>
        </w:rPr>
        <w:t xml:space="preserve">注：本项目对采购本国产品给予政策支持；适用本国产品标准的货物具体是指《政</w:t>
      </w:r>
      <w:r>
        <w:rPr>
          <w:rFonts w:ascii="仿宋" w:hAnsi="仿宋" w:eastAsia="仿宋" w:cs="仿宋"/>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5"/>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85"/>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85"/>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85"/>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85"/>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85"/>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85"/>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85"/>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85"/>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520" w:lineRule="exact"/>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第三章  评标标准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一、评委会根据招标文件中规定的评标标准对供应商进行综合评审，最终按综合评审得分由高到低的顺序推荐出3名中标候选人。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auto"/>
          <w:sz w:val="28"/>
          <w:szCs w:val="28"/>
          <w:highlight w:val="none"/>
        </w:rPr>
        <w:t xml:space="preserve"> 由评标委员会</w:t>
      </w:r>
      <w:r>
        <w:rPr>
          <w:rFonts w:hint="eastAsia" w:ascii="仿宋" w:hAnsi="仿宋" w:eastAsia="仿宋"/>
          <w:color w:val="auto"/>
          <w:sz w:val="28"/>
          <w:szCs w:val="28"/>
          <w:highlight w:val="none"/>
        </w:rPr>
        <w:t xml:space="preserve">通过随机抽取的方式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中标候选人。</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四、具体标准：</w:t>
      </w:r>
      <w:r/>
    </w:p>
    <w:p>
      <w:pPr>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1.价格：</w:t>
      </w:r>
      <w:r>
        <w:rPr>
          <w:rFonts w:hint="eastAsia" w:ascii="仿宋" w:hAnsi="仿宋" w:eastAsia="仿宋"/>
          <w:color w:val="auto"/>
          <w:sz w:val="28"/>
          <w:szCs w:val="28"/>
          <w:highlight w:val="none"/>
          <w:lang w:val="en-US" w:eastAsia="zh-CN"/>
        </w:rPr>
        <w:t xml:space="preserve">30</w:t>
      </w:r>
      <w:r>
        <w:rPr>
          <w:rFonts w:hint="eastAsia" w:ascii="仿宋" w:hAnsi="仿宋" w:eastAsia="仿宋"/>
          <w:color w:val="auto"/>
          <w:sz w:val="28"/>
          <w:szCs w:val="28"/>
          <w:highlight w:val="none"/>
        </w:rPr>
        <w:t xml:space="preserve">分</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满足招标文件要求且投标价格最低为评标基准价，其价格分为满分。其他供应商的价格分按照下列公式计算（小数点保留两位）：</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投标报价得分＝（评标基准价/投标报价）×</w:t>
      </w:r>
      <w:r>
        <w:rPr>
          <w:rFonts w:hint="eastAsia" w:ascii="仿宋" w:hAnsi="仿宋" w:eastAsia="仿宋"/>
          <w:color w:val="auto"/>
          <w:sz w:val="28"/>
          <w:highlight w:val="none"/>
          <w:lang w:val="en-US" w:eastAsia="zh-CN"/>
        </w:rPr>
        <w:t xml:space="preserve">30</w:t>
      </w:r>
      <w:r>
        <w:rPr>
          <w:rFonts w:hint="eastAsia" w:ascii="仿宋" w:hAnsi="仿宋" w:eastAsia="仿宋"/>
          <w:color w:val="auto"/>
          <w:sz w:val="28"/>
          <w:highlight w:val="none"/>
        </w:rPr>
        <w:t xml:space="preserve">分</w:t>
      </w:r>
      <w:r/>
    </w:p>
    <w:p>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技术部分:</w:t>
      </w: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rPr>
        <w:t xml:space="preserve">分</w:t>
      </w:r>
      <w:r/>
    </w:p>
    <w:p>
      <w:pPr>
        <w:ind w:firstLine="560"/>
        <w:spacing w:line="510" w:lineRule="exact"/>
        <w:rPr>
          <w:rFonts w:ascii="仿宋" w:hAnsi="仿宋" w:eastAsia="仿宋"/>
          <w:color w:val="auto"/>
          <w:sz w:val="28"/>
          <w:highlight w:val="none"/>
        </w:rPr>
      </w:pPr>
      <w:r>
        <w:rPr>
          <w:rFonts w:hint="eastAsia" w:ascii="仿宋" w:hAnsi="仿宋" w:eastAsia="仿宋"/>
          <w:color w:val="auto"/>
          <w:sz w:val="28"/>
          <w:highlight w:val="none"/>
        </w:rPr>
        <w:t xml:space="preserve">（1）供应商所投产品技术参数完全满足招标文件第五章项目采购需求中标注“★”技术参数的得</w:t>
      </w:r>
      <w:r>
        <w:rPr>
          <w:rFonts w:hint="eastAsia" w:ascii="仿宋" w:hAnsi="仿宋" w:eastAsia="仿宋"/>
          <w:color w:val="auto"/>
          <w:sz w:val="28"/>
          <w:highlight w:val="none"/>
          <w:lang w:val="en-US" w:eastAsia="zh-CN"/>
        </w:rPr>
        <w:t xml:space="preserve">20</w:t>
      </w:r>
      <w:r>
        <w:rPr>
          <w:rFonts w:hint="eastAsia" w:ascii="仿宋" w:hAnsi="仿宋" w:eastAsia="仿宋"/>
          <w:color w:val="auto"/>
          <w:sz w:val="28"/>
          <w:highlight w:val="none"/>
        </w:rPr>
        <w:t xml:space="preserve">分，未完全满足的作无效投标处理。</w:t>
      </w:r>
      <w:r/>
    </w:p>
    <w:p>
      <w:pPr>
        <w:ind w:firstLine="560"/>
        <w:spacing w:line="510" w:lineRule="exact"/>
        <w:rPr>
          <w:color w:val="auto"/>
          <w:highlight w:val="none"/>
        </w:rPr>
      </w:pPr>
      <w:r>
        <w:rPr>
          <w:rFonts w:hint="eastAsia" w:ascii="仿宋" w:hAnsi="仿宋" w:eastAsia="仿宋"/>
          <w:color w:val="auto"/>
          <w:sz w:val="28"/>
          <w:highlight w:val="none"/>
        </w:rPr>
        <w:t xml:space="preserve">（2）供应商所投产品技术参数与招标文件第五章项目采购需求中未标注“★”技术参数要求相比较，以</w:t>
      </w:r>
      <w:r>
        <w:rPr>
          <w:rFonts w:hint="eastAsia" w:ascii="仿宋" w:hAnsi="仿宋" w:eastAsia="仿宋"/>
          <w:color w:val="auto"/>
          <w:sz w:val="28"/>
          <w:highlight w:val="none"/>
          <w:lang w:val="en-US" w:eastAsia="zh-CN"/>
        </w:rPr>
        <w:t xml:space="preserve">20</w:t>
      </w:r>
      <w:r>
        <w:rPr>
          <w:rFonts w:hint="eastAsia" w:ascii="仿宋" w:hAnsi="仿宋" w:eastAsia="仿宋"/>
          <w:color w:val="auto"/>
          <w:sz w:val="28"/>
          <w:highlight w:val="none"/>
        </w:rPr>
        <w:t xml:space="preserve">分为基数，每有一项负偏离扣2分，扣完为止。</w:t>
      </w:r>
      <w:r/>
    </w:p>
    <w:p>
      <w:pPr>
        <w:numPr>
          <w:ilvl w:val="0"/>
          <w:numId w:val="5"/>
        </w:num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商务部分：</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分</w:t>
      </w:r>
      <w:r/>
    </w:p>
    <w:p>
      <w:pPr>
        <w:ind w:firstLine="560"/>
        <w:spacing w:line="51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rPr>
        <w:t xml:space="preserve">（1）</w:t>
      </w:r>
      <w:r>
        <w:rPr>
          <w:rFonts w:hint="eastAsia" w:ascii="仿宋" w:hAnsi="仿宋" w:eastAsia="仿宋" w:cs="Times New Roman"/>
          <w:color w:val="auto"/>
          <w:sz w:val="28"/>
          <w:highlight w:val="none"/>
          <w:lang w:val="en-US" w:eastAsia="zh-CN"/>
        </w:rPr>
        <w:t xml:space="preserve"> </w:t>
      </w:r>
      <w:r>
        <w:rPr>
          <w:rFonts w:hint="default" w:ascii="仿宋" w:hAnsi="仿宋" w:eastAsia="仿宋" w:cs="Times New Roman"/>
          <w:color w:val="auto"/>
          <w:sz w:val="28"/>
          <w:highlight w:val="none"/>
          <w:lang w:val="en-US" w:eastAsia="zh-CN"/>
        </w:rPr>
        <w:t xml:space="preserve">供应商</w:t>
      </w:r>
      <w:r>
        <w:rPr>
          <w:rFonts w:hint="eastAsia" w:ascii="仿宋" w:hAnsi="仿宋" w:eastAsia="仿宋" w:cs="Times New Roman"/>
          <w:color w:val="auto"/>
          <w:sz w:val="28"/>
          <w:highlight w:val="none"/>
          <w:lang w:val="en-US" w:eastAsia="zh-CN"/>
        </w:rPr>
        <w:t xml:space="preserve">自</w:t>
      </w:r>
      <w:r>
        <w:rPr>
          <w:rFonts w:hint="default" w:ascii="仿宋" w:hAnsi="仿宋" w:eastAsia="仿宋" w:cs="Times New Roman"/>
          <w:color w:val="auto"/>
          <w:sz w:val="28"/>
          <w:highlight w:val="none"/>
          <w:lang w:val="en-US" w:eastAsia="zh-CN"/>
        </w:rPr>
        <w:t xml:space="preserve">20</w:t>
      </w:r>
      <w:r>
        <w:rPr>
          <w:rFonts w:hint="eastAsia" w:ascii="仿宋" w:hAnsi="仿宋" w:eastAsia="仿宋" w:cs="Times New Roman"/>
          <w:color w:val="auto"/>
          <w:sz w:val="28"/>
          <w:highlight w:val="none"/>
          <w:lang w:val="en-US" w:eastAsia="zh-CN"/>
        </w:rPr>
        <w:t xml:space="preserve">23</w:t>
      </w:r>
      <w:r>
        <w:rPr>
          <w:rFonts w:hint="default" w:ascii="仿宋" w:hAnsi="仿宋" w:eastAsia="仿宋" w:cs="Times New Roman"/>
          <w:color w:val="auto"/>
          <w:sz w:val="28"/>
          <w:highlight w:val="none"/>
          <w:lang w:val="en-US" w:eastAsia="zh-CN"/>
        </w:rPr>
        <w:t xml:space="preserve">年</w:t>
      </w:r>
      <w:r>
        <w:rPr>
          <w:rFonts w:hint="eastAsia" w:ascii="仿宋" w:hAnsi="仿宋" w:eastAsia="仿宋" w:cs="Times New Roman"/>
          <w:color w:val="auto"/>
          <w:sz w:val="28"/>
          <w:highlight w:val="none"/>
          <w:lang w:val="en-US" w:eastAsia="zh-CN"/>
        </w:rPr>
        <w:t xml:space="preserve">7</w:t>
      </w:r>
      <w:r>
        <w:rPr>
          <w:rFonts w:hint="default" w:ascii="仿宋" w:hAnsi="仿宋" w:eastAsia="仿宋" w:cs="Times New Roman"/>
          <w:color w:val="auto"/>
          <w:sz w:val="28"/>
          <w:highlight w:val="none"/>
          <w:lang w:val="en-US" w:eastAsia="zh-CN"/>
        </w:rPr>
        <w:t xml:space="preserve">月1日</w:t>
      </w:r>
      <w:r>
        <w:rPr>
          <w:rFonts w:hint="eastAsia" w:ascii="仿宋" w:hAnsi="仿宋" w:eastAsia="仿宋" w:cs="Times New Roman"/>
          <w:color w:val="auto"/>
          <w:sz w:val="28"/>
          <w:highlight w:val="none"/>
          <w:lang w:val="en-US" w:eastAsia="zh-CN"/>
        </w:rPr>
        <w:t xml:space="preserve">（以合同签订时间为准）承接过</w:t>
      </w:r>
      <w:r>
        <w:rPr>
          <w:rFonts w:hint="default" w:ascii="仿宋" w:hAnsi="仿宋" w:eastAsia="仿宋" w:cs="Times New Roman"/>
          <w:color w:val="auto"/>
          <w:sz w:val="28"/>
          <w:highlight w:val="none"/>
          <w:lang w:val="en-US" w:eastAsia="zh-CN"/>
        </w:rPr>
        <w:t xml:space="preserve">本项目类似的供货业绩</w:t>
      </w:r>
      <w:r>
        <w:rPr>
          <w:rFonts w:hint="eastAsia" w:ascii="仿宋" w:hAnsi="仿宋" w:eastAsia="仿宋" w:cs="Times New Roman"/>
          <w:color w:val="auto"/>
          <w:sz w:val="28"/>
          <w:highlight w:val="none"/>
          <w:lang w:val="en-US" w:eastAsia="zh-CN"/>
        </w:rPr>
        <w:t xml:space="preserve">（如：货物类）</w:t>
      </w:r>
      <w:r>
        <w:rPr>
          <w:rFonts w:hint="default" w:ascii="仿宋" w:hAnsi="仿宋" w:eastAsia="仿宋" w:cs="Times New Roman"/>
          <w:color w:val="auto"/>
          <w:sz w:val="28"/>
          <w:highlight w:val="none"/>
          <w:lang w:val="en-US" w:eastAsia="zh-CN"/>
        </w:rPr>
        <w:t xml:space="preserve">,每提供一份得</w:t>
      </w:r>
      <w:r>
        <w:rPr>
          <w:rFonts w:hint="eastAsia" w:ascii="仿宋" w:hAnsi="仿宋" w:eastAsia="仿宋" w:cs="Times New Roman"/>
          <w:color w:val="auto"/>
          <w:sz w:val="28"/>
          <w:highlight w:val="none"/>
          <w:lang w:val="en-US" w:eastAsia="zh-CN"/>
        </w:rPr>
        <w:t xml:space="preserve">2</w:t>
      </w:r>
      <w:r>
        <w:rPr>
          <w:rFonts w:hint="default" w:ascii="仿宋" w:hAnsi="仿宋" w:eastAsia="仿宋" w:cs="Times New Roman"/>
          <w:color w:val="auto"/>
          <w:sz w:val="28"/>
          <w:highlight w:val="none"/>
          <w:lang w:val="en-US" w:eastAsia="zh-CN"/>
        </w:rPr>
        <w:t xml:space="preserve">分，最高得</w:t>
      </w:r>
      <w:r>
        <w:rPr>
          <w:rFonts w:hint="eastAsia" w:ascii="仿宋" w:hAnsi="仿宋" w:eastAsia="仿宋" w:cs="Times New Roman"/>
          <w:color w:val="auto"/>
          <w:sz w:val="28"/>
          <w:highlight w:val="none"/>
          <w:lang w:val="en-US" w:eastAsia="zh-CN"/>
        </w:rPr>
        <w:t xml:space="preserve">10</w:t>
      </w:r>
      <w:r>
        <w:rPr>
          <w:rFonts w:hint="default" w:ascii="仿宋" w:hAnsi="仿宋" w:eastAsia="仿宋" w:cs="Times New Roman"/>
          <w:color w:val="auto"/>
          <w:sz w:val="28"/>
          <w:highlight w:val="none"/>
          <w:lang w:val="en-US" w:eastAsia="zh-CN"/>
        </w:rPr>
        <w:t xml:space="preserve">分</w:t>
      </w:r>
      <w:r>
        <w:rPr>
          <w:rFonts w:hint="eastAsia" w:ascii="仿宋" w:hAnsi="仿宋" w:eastAsia="仿宋" w:cs="Times New Roman"/>
          <w:color w:val="auto"/>
          <w:sz w:val="28"/>
          <w:highlight w:val="none"/>
          <w:lang w:val="en-US" w:eastAsia="zh-CN"/>
        </w:rPr>
        <w:t xml:space="preserve">，</w:t>
      </w:r>
      <w:r>
        <w:rPr>
          <w:rFonts w:hint="default" w:ascii="仿宋" w:hAnsi="仿宋" w:eastAsia="仿宋" w:cs="Times New Roman"/>
          <w:color w:val="auto"/>
          <w:sz w:val="28"/>
          <w:highlight w:val="none"/>
          <w:lang w:val="en-US" w:eastAsia="zh-CN"/>
        </w:rPr>
        <w:t xml:space="preserve">不提供不得分。</w:t>
      </w:r>
      <w:r>
        <w:rPr>
          <w:rFonts w:hint="eastAsia" w:ascii="仿宋" w:hAnsi="仿宋" w:eastAsia="仿宋" w:cs="Times New Roman"/>
          <w:color w:val="auto"/>
          <w:sz w:val="28"/>
          <w:highlight w:val="none"/>
          <w:lang w:val="en-US" w:eastAsia="zh-CN"/>
        </w:rPr>
        <w:t xml:space="preserve">（提供合同复印件并加盖供应商电子签章）</w:t>
      </w:r>
      <w:r/>
    </w:p>
    <w:p>
      <w:pPr>
        <w:ind w:firstLine="560"/>
        <w:spacing w:line="510" w:lineRule="exact"/>
        <w:rPr>
          <w:rFonts w:ascii="仿宋" w:hAnsi="仿宋" w:eastAsia="仿宋" w:cs="仿宋"/>
          <w:color w:val="auto"/>
          <w:sz w:val="28"/>
          <w:szCs w:val="28"/>
          <w:highlight w:val="none"/>
        </w:rPr>
      </w:pPr>
      <w:r>
        <w:rPr>
          <w:rFonts w:hint="eastAsia" w:ascii="仿宋" w:hAnsi="仿宋" w:eastAsia="仿宋" w:cs="Times New Roman"/>
          <w:color w:val="auto"/>
          <w:sz w:val="28"/>
          <w:highlight w:val="none"/>
        </w:rPr>
        <w:t xml:space="preserve">注：供应商按上述要求如实提供相关证明材料，如未按要求提供或提供资料不全，则与之相关的评分项不予计分。供应商提供的证明材料必须清晰有效，如因材料模糊不清</w:t>
      </w:r>
      <w:r>
        <w:rPr>
          <w:rFonts w:hint="eastAsia" w:ascii="仿宋" w:hAnsi="仿宋" w:eastAsia="仿宋" w:cs="Times New Roman"/>
          <w:color w:val="auto"/>
          <w:sz w:val="28"/>
          <w:highlight w:val="none"/>
          <w:lang w:val="en-US" w:eastAsia="zh-CN"/>
        </w:rPr>
        <w:t xml:space="preserve">评标</w:t>
      </w:r>
      <w:r>
        <w:rPr>
          <w:rFonts w:hint="eastAsia" w:ascii="仿宋" w:hAnsi="仿宋" w:eastAsia="仿宋" w:cs="Times New Roman"/>
          <w:color w:val="auto"/>
          <w:sz w:val="28"/>
          <w:highlight w:val="none"/>
        </w:rPr>
        <w:t xml:space="preserve">小组无法辨认导致不得分的，其责任由供应商自行承担。</w:t>
      </w:r>
      <w:r/>
    </w:p>
    <w:p>
      <w:pPr>
        <w:pStyle w:val="964"/>
        <w:ind w:firstLine="280"/>
        <w:spacing w:line="520" w:lineRule="exact"/>
        <w:rPr>
          <w:rFonts w:ascii="仿宋" w:hAnsi="仿宋" w:eastAsia="仿宋" w:cs="仿宋"/>
          <w:color w:val="auto"/>
          <w:szCs w:val="28"/>
          <w:highlight w:val="none"/>
        </w:rPr>
      </w:pPr>
      <w:r>
        <w:rPr>
          <w:rFonts w:hint="eastAsia" w:ascii="仿宋" w:hAnsi="仿宋" w:eastAsia="仿宋" w:cs="仿宋"/>
          <w:bCs w:val="0"/>
          <w:color w:val="auto"/>
          <w:szCs w:val="28"/>
          <w:highlight w:val="none"/>
        </w:rPr>
        <w:t xml:space="preserve">4.</w:t>
      </w:r>
      <w:r>
        <w:rPr>
          <w:rFonts w:hint="eastAsia" w:ascii="仿宋" w:hAnsi="仿宋" w:eastAsia="仿宋" w:cs="仿宋"/>
          <w:color w:val="auto"/>
          <w:szCs w:val="28"/>
          <w:highlight w:val="none"/>
        </w:rPr>
        <w:t xml:space="preserve">方案部分：</w:t>
      </w:r>
      <w:r>
        <w:rPr>
          <w:rFonts w:hint="eastAsia" w:ascii="仿宋" w:hAnsi="仿宋" w:eastAsia="仿宋" w:cs="仿宋"/>
          <w:color w:val="auto"/>
          <w:szCs w:val="28"/>
          <w:highlight w:val="none"/>
          <w:lang w:val="en-US" w:eastAsia="zh-CN"/>
        </w:rPr>
        <w:t xml:space="preserve">40</w:t>
      </w:r>
      <w:r>
        <w:rPr>
          <w:rFonts w:hint="eastAsia" w:ascii="仿宋" w:hAnsi="仿宋" w:eastAsia="仿宋" w:cs="仿宋"/>
          <w:color w:val="auto"/>
          <w:szCs w:val="28"/>
          <w:highlight w:val="none"/>
        </w:rPr>
        <w:t xml:space="preserve">分</w:t>
      </w:r>
      <w:r/>
    </w:p>
    <w:p>
      <w:pPr>
        <w:pStyle w:val="1038"/>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供应商按照下列要求提供方案，评委会根据供应商提供的方案进行评分，不提供分项方案或经三分之二评委认定分项方案存在重大偏离的，该分项不得分。</w:t>
      </w:r>
      <w:r/>
    </w:p>
    <w:p>
      <w:pPr>
        <w:pStyle w:val="1038"/>
        <w:ind w:left="0"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w:t>
      </w:r>
      <w:r>
        <w:rPr>
          <w:rFonts w:hint="eastAsia" w:ascii="仿宋" w:hAnsi="仿宋" w:eastAsia="仿宋" w:cs="Times New Roman"/>
          <w:color w:val="auto"/>
          <w:sz w:val="28"/>
          <w:szCs w:val="28"/>
          <w:highlight w:val="none"/>
          <w:lang w:val="en-US" w:eastAsia="en-US"/>
        </w:rPr>
        <w:t xml:space="preserve">供货方案</w:t>
      </w:r>
      <w:r>
        <w:rPr>
          <w:rFonts w:hint="eastAsia" w:ascii="仿宋" w:hAnsi="仿宋" w:eastAsia="仿宋" w:cs="Times New Roman"/>
          <w:color w:val="auto"/>
          <w:sz w:val="28"/>
          <w:szCs w:val="28"/>
          <w:highlight w:val="none"/>
          <w:lang w:val="en-US" w:eastAsia="zh-CN"/>
        </w:rPr>
        <w:t xml:space="preserve">：(10</w:t>
      </w:r>
      <w:r>
        <w:rPr>
          <w:rFonts w:hint="eastAsia" w:ascii="仿宋" w:hAnsi="仿宋" w:eastAsia="仿宋" w:cs="Times New Roman"/>
          <w:color w:val="auto"/>
          <w:sz w:val="28"/>
          <w:szCs w:val="28"/>
          <w:highlight w:val="none"/>
          <w:lang w:val="en-US" w:eastAsia="en-US"/>
        </w:rPr>
        <w:t xml:space="preserve">分</w:t>
      </w:r>
      <w:r>
        <w:rPr>
          <w:rFonts w:hint="eastAsia" w:ascii="仿宋" w:hAnsi="仿宋" w:eastAsia="仿宋" w:cs="Times New Roman"/>
          <w:color w:val="auto"/>
          <w:sz w:val="28"/>
          <w:szCs w:val="28"/>
          <w:highlight w:val="none"/>
          <w:lang w:val="en-US" w:eastAsia="zh-CN"/>
        </w:rPr>
        <w:t xml:space="preserve">)</w:t>
      </w:r>
      <w:r/>
    </w:p>
    <w:p>
      <w:pPr>
        <w:pStyle w:val="1038"/>
        <w:ind w:left="0" w:firstLine="560"/>
        <w:spacing w:line="520" w:lineRule="exact"/>
        <w:rPr>
          <w:rFonts w:hint="default" w:ascii="仿宋" w:hAnsi="仿宋" w:eastAsia="仿宋" w:cs="Times New Roman"/>
          <w:color w:val="auto"/>
          <w:sz w:val="28"/>
          <w:szCs w:val="28"/>
          <w:highlight w:val="none"/>
          <w:lang w:val="en-US" w:eastAsia="en-US"/>
        </w:rPr>
      </w:pPr>
      <w:r>
        <w:rPr>
          <w:rFonts w:hint="eastAsia" w:ascii="仿宋" w:hAnsi="仿宋" w:eastAsia="仿宋" w:cs="Times New Roman"/>
          <w:color w:val="auto"/>
          <w:sz w:val="28"/>
          <w:szCs w:val="28"/>
          <w:highlight w:val="none"/>
          <w:lang w:val="en-US" w:eastAsia="en-US"/>
        </w:rPr>
        <w:t xml:space="preserve">根据供应商提供的供货方案进行综合比较打分，供货方案包含但不限于：保障措施</w:t>
      </w:r>
      <w:r>
        <w:rPr>
          <w:rFonts w:hint="eastAsia" w:ascii="仿宋" w:hAnsi="仿宋" w:eastAsia="仿宋" w:cs="Times New Roman"/>
          <w:color w:val="auto"/>
          <w:sz w:val="28"/>
          <w:szCs w:val="28"/>
          <w:highlight w:val="none"/>
          <w:lang w:val="en-US" w:eastAsia="zh-CN"/>
        </w:rPr>
        <w:t xml:space="preserve">方案</w:t>
      </w:r>
      <w:r>
        <w:rPr>
          <w:rFonts w:hint="eastAsia" w:ascii="仿宋" w:hAnsi="仿宋" w:eastAsia="仿宋" w:cs="Times New Roman"/>
          <w:color w:val="auto"/>
          <w:sz w:val="28"/>
          <w:szCs w:val="28"/>
          <w:highlight w:val="none"/>
          <w:lang w:val="en-US" w:eastAsia="en-US"/>
        </w:rPr>
        <w:t xml:space="preserve">、货物包装及运输方案等内容</w:t>
      </w:r>
      <w:r>
        <w:rPr>
          <w:rFonts w:hint="eastAsia" w:ascii="仿宋" w:hAnsi="仿宋" w:eastAsia="仿宋" w:cs="Times New Roman"/>
          <w:color w:val="auto"/>
          <w:sz w:val="28"/>
          <w:szCs w:val="28"/>
          <w:highlight w:val="none"/>
          <w:lang w:val="en-US" w:eastAsia="zh-CN"/>
        </w:rPr>
        <w:t xml:space="preserve">。满足采购需求且方案合理可行得10分；基本满足采购需求且方案一般可行的得8分；方案欠缺，可行性太差得5分。不提供不得分。</w:t>
      </w:r>
      <w:r/>
    </w:p>
    <w:p>
      <w:pPr>
        <w:pStyle w:val="1038"/>
        <w:ind w:left="0"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lang w:val="en-US" w:eastAsia="en-US"/>
        </w:rPr>
        <w:t xml:space="preserve">质量保证方案</w:t>
      </w:r>
      <w:r>
        <w:rPr>
          <w:rFonts w:hint="eastAsia" w:ascii="仿宋" w:hAnsi="仿宋" w:eastAsia="仿宋" w:cs="Times New Roman"/>
          <w:color w:val="auto"/>
          <w:sz w:val="28"/>
          <w:szCs w:val="28"/>
          <w:highlight w:val="none"/>
          <w:lang w:val="en-US" w:eastAsia="zh-CN"/>
        </w:rPr>
        <w:t xml:space="preserve">：</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val="en-US" w:eastAsia="zh-CN"/>
        </w:rPr>
        <w:t xml:space="preserve">10</w:t>
      </w:r>
      <w:r>
        <w:rPr>
          <w:rFonts w:hint="eastAsia" w:ascii="仿宋" w:hAnsi="仿宋" w:eastAsia="仿宋" w:cs="Times New Roman"/>
          <w:color w:val="auto"/>
          <w:sz w:val="28"/>
          <w:szCs w:val="28"/>
          <w:highlight w:val="none"/>
        </w:rPr>
        <w:t xml:space="preserve">分）</w:t>
      </w:r>
      <w:r/>
    </w:p>
    <w:p>
      <w:pPr>
        <w:pStyle w:val="1038"/>
        <w:ind w:left="0" w:firstLine="560"/>
        <w:spacing w:line="520" w:lineRule="exact"/>
        <w:rPr>
          <w:rFonts w:hint="default" w:ascii="仿宋" w:hAnsi="仿宋" w:eastAsia="仿宋" w:cs="Times New Roman"/>
          <w:color w:val="auto"/>
          <w:sz w:val="28"/>
          <w:szCs w:val="28"/>
          <w:highlight w:val="none"/>
          <w:lang w:val="en-US" w:eastAsia="en-US"/>
        </w:rPr>
      </w:pPr>
      <w:r>
        <w:rPr>
          <w:rFonts w:hint="eastAsia" w:ascii="仿宋" w:hAnsi="仿宋" w:eastAsia="仿宋" w:cs="Times New Roman"/>
          <w:color w:val="auto"/>
          <w:sz w:val="28"/>
          <w:szCs w:val="28"/>
          <w:highlight w:val="none"/>
          <w:lang w:val="en-US" w:eastAsia="en-US"/>
        </w:rPr>
        <w:t xml:space="preserve">根据供应商质量保证方案进行综合比较打分，质量保证包含但不限于：货物的质量标准</w:t>
      </w:r>
      <w:r>
        <w:rPr>
          <w:rFonts w:hint="eastAsia" w:ascii="仿宋" w:hAnsi="仿宋" w:eastAsia="仿宋" w:cs="Times New Roman"/>
          <w:color w:val="auto"/>
          <w:sz w:val="28"/>
          <w:szCs w:val="28"/>
          <w:highlight w:val="none"/>
          <w:lang w:val="en-US" w:eastAsia="zh-CN"/>
        </w:rPr>
        <w:t xml:space="preserve">、</w:t>
      </w:r>
      <w:r>
        <w:rPr>
          <w:rFonts w:hint="eastAsia" w:ascii="仿宋" w:hAnsi="仿宋" w:eastAsia="仿宋" w:cs="Times New Roman"/>
          <w:color w:val="auto"/>
          <w:sz w:val="28"/>
          <w:szCs w:val="28"/>
          <w:highlight w:val="none"/>
          <w:lang w:val="en-US" w:eastAsia="en-US"/>
        </w:rPr>
        <w:t xml:space="preserve">质量保证措施、产品安装保质保量完成措施等方案</w:t>
      </w:r>
      <w:r>
        <w:rPr>
          <w:rFonts w:hint="eastAsia" w:ascii="仿宋" w:hAnsi="仿宋" w:eastAsia="仿宋" w:cs="Times New Roman"/>
          <w:color w:val="auto"/>
          <w:sz w:val="28"/>
          <w:szCs w:val="28"/>
          <w:highlight w:val="none"/>
          <w:lang w:val="en-US" w:eastAsia="zh-CN"/>
        </w:rPr>
        <w:t xml:space="preserve">。满足采购需求且方案合理可行得10分；基本满足采购需求且方案一般可行的得8分；方案欠缺，可行性太差得5分。不提供不得分。</w:t>
      </w:r>
      <w:r/>
    </w:p>
    <w:p>
      <w:pPr>
        <w:pStyle w:val="1038"/>
        <w:ind w:left="0" w:firstLine="560"/>
        <w:spacing w:line="520" w:lineRule="exact"/>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rPr>
        <w:t xml:space="preserve">应急方案</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10分</w:t>
      </w:r>
      <w:r>
        <w:rPr>
          <w:rFonts w:hint="eastAsia" w:ascii="仿宋" w:hAnsi="仿宋" w:eastAsia="仿宋" w:cs="Times New Roman"/>
          <w:color w:val="auto"/>
          <w:sz w:val="28"/>
          <w:szCs w:val="28"/>
          <w:highlight w:val="none"/>
          <w:lang w:eastAsia="zh-CN"/>
        </w:rPr>
        <w:t xml:space="preserve">）</w:t>
      </w:r>
      <w:r/>
    </w:p>
    <w:p>
      <w:pPr>
        <w:pStyle w:val="1038"/>
        <w:ind w:left="0" w:firstLine="560"/>
        <w:spacing w:line="520" w:lineRule="exact"/>
        <w:rPr>
          <w:rFonts w:hint="default" w:ascii="仿宋" w:hAnsi="仿宋" w:eastAsia="仿宋" w:cs="Times New Roman"/>
          <w:color w:val="auto"/>
          <w:sz w:val="28"/>
          <w:szCs w:val="28"/>
          <w:highlight w:val="none"/>
          <w:lang w:val="en-US" w:eastAsia="en-US"/>
        </w:rPr>
      </w:pPr>
      <w:r>
        <w:rPr>
          <w:rFonts w:hint="eastAsia" w:ascii="仿宋" w:hAnsi="仿宋" w:eastAsia="仿宋" w:cs="Times New Roman"/>
          <w:color w:val="auto"/>
          <w:sz w:val="28"/>
          <w:szCs w:val="28"/>
          <w:highlight w:val="none"/>
          <w:lang w:val="en-US" w:eastAsia="en-US"/>
        </w:rPr>
        <w:t xml:space="preserve">根据供应商应急方案进行综合比较打分，应急</w:t>
      </w:r>
      <w:r>
        <w:rPr>
          <w:rFonts w:hint="eastAsia" w:ascii="仿宋" w:hAnsi="仿宋" w:eastAsia="仿宋" w:cs="Times New Roman"/>
          <w:color w:val="auto"/>
          <w:sz w:val="28"/>
          <w:szCs w:val="28"/>
          <w:highlight w:val="none"/>
          <w:lang w:val="en-US" w:eastAsia="zh-CN"/>
        </w:rPr>
        <w:t xml:space="preserve">保障</w:t>
      </w:r>
      <w:r>
        <w:rPr>
          <w:rFonts w:hint="eastAsia" w:ascii="仿宋" w:hAnsi="仿宋" w:eastAsia="仿宋" w:cs="Times New Roman"/>
          <w:color w:val="auto"/>
          <w:sz w:val="28"/>
          <w:szCs w:val="28"/>
          <w:highlight w:val="none"/>
          <w:lang w:val="en-US" w:eastAsia="en-US"/>
        </w:rPr>
        <w:t xml:space="preserve">方案包含但不限于：</w:t>
      </w:r>
      <w:r>
        <w:rPr>
          <w:rFonts w:hint="eastAsia" w:ascii="仿宋" w:hAnsi="仿宋" w:eastAsia="仿宋" w:cs="Times New Roman"/>
          <w:color w:val="auto"/>
          <w:sz w:val="28"/>
          <w:szCs w:val="28"/>
          <w:highlight w:val="none"/>
          <w:lang w:val="en-US" w:eastAsia="zh-CN"/>
        </w:rPr>
        <w:t xml:space="preserve">货源断货处理、应急物资储备保障、货物到货异常应急等方案。满足采购需求且方案合理可行得10分；基本满足采购需求且方案一般可行的得8分；方案欠缺，可行性太差得5分。不提供不得分。</w:t>
      </w:r>
      <w:r/>
    </w:p>
    <w:p>
      <w:pPr>
        <w:pStyle w:val="1038"/>
        <w:ind w:left="0" w:firstLine="560"/>
        <w:spacing w:line="520" w:lineRule="exact"/>
        <w:rPr>
          <w:rFonts w:hint="eastAsia" w:ascii="仿宋" w:hAnsi="仿宋" w:eastAsia="仿宋" w:cs="Times New Roman"/>
          <w:color w:val="auto"/>
          <w:sz w:val="28"/>
          <w:szCs w:val="28"/>
          <w:highlight w:val="none"/>
          <w:lang w:val="en-US" w:eastAsia="en-US"/>
        </w:rPr>
      </w:pPr>
      <w:r>
        <w:rPr>
          <w:rFonts w:hint="eastAsia" w:ascii="仿宋" w:hAnsi="仿宋" w:eastAsia="仿宋" w:cs="Times New Roman"/>
          <w:color w:val="auto"/>
          <w:sz w:val="28"/>
          <w:szCs w:val="28"/>
          <w:highlight w:val="none"/>
          <w:lang w:val="en-US" w:eastAsia="zh-CN"/>
        </w:rPr>
        <w:t xml:space="preserve">（4）</w:t>
      </w:r>
      <w:r>
        <w:rPr>
          <w:rFonts w:hint="eastAsia" w:ascii="仿宋" w:hAnsi="仿宋" w:eastAsia="仿宋" w:cs="Times New Roman"/>
          <w:color w:val="auto"/>
          <w:sz w:val="28"/>
          <w:szCs w:val="28"/>
          <w:highlight w:val="none"/>
          <w:lang w:val="en-US" w:eastAsia="en-US"/>
        </w:rPr>
        <w:t xml:space="preserve">售后服务</w:t>
      </w:r>
      <w:r>
        <w:rPr>
          <w:rFonts w:hint="eastAsia" w:ascii="仿宋" w:hAnsi="仿宋" w:eastAsia="仿宋" w:cs="Times New Roman"/>
          <w:color w:val="auto"/>
          <w:sz w:val="28"/>
          <w:szCs w:val="28"/>
          <w:highlight w:val="none"/>
          <w:lang w:val="en-US" w:eastAsia="zh-CN"/>
        </w:rPr>
        <w:t xml:space="preserve">：10</w:t>
      </w:r>
      <w:r>
        <w:rPr>
          <w:rFonts w:hint="eastAsia" w:ascii="仿宋" w:hAnsi="仿宋" w:eastAsia="仿宋" w:cs="Times New Roman"/>
          <w:color w:val="auto"/>
          <w:sz w:val="28"/>
          <w:szCs w:val="28"/>
          <w:highlight w:val="none"/>
          <w:lang w:val="en-US" w:eastAsia="en-US"/>
        </w:rPr>
        <w:t xml:space="preserve">分</w:t>
      </w:r>
      <w:r/>
    </w:p>
    <w:p>
      <w:pPr>
        <w:pStyle w:val="1038"/>
        <w:ind w:left="0"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en-US"/>
        </w:rPr>
        <w:t xml:space="preserve">售后服务方案：售后服务方案的完整性及可行性、响应服务时间、服务措施等方面</w:t>
      </w:r>
      <w:r>
        <w:rPr>
          <w:rFonts w:hint="eastAsia" w:ascii="仿宋" w:hAnsi="仿宋" w:eastAsia="仿宋" w:cs="Times New Roman"/>
          <w:color w:val="auto"/>
          <w:sz w:val="28"/>
          <w:szCs w:val="28"/>
          <w:highlight w:val="none"/>
          <w:lang w:val="en-US" w:eastAsia="zh-CN"/>
        </w:rPr>
        <w:t xml:space="preserve">。满足采购需求且方案合理可行得10分；基本满足采购需求且方案一般可行的得8分；方案欠缺，可行性太差得5分。不提供不得分。</w:t>
      </w:r>
      <w:r/>
    </w:p>
    <w:p>
      <w:pPr>
        <w:ind w:firstLine="56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color w:val="auto"/>
          <w:highlight w:val="none"/>
        </w:rPr>
      </w:pPr>
      <w:r>
        <w:rPr>
          <w:color w:val="auto"/>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tabs>
          <w:tab w:val="left" w:pos="180" w:leader="none"/>
        </w:tabs>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第四章  合同格式及条款</w:t>
      </w:r>
      <w:r/>
    </w:p>
    <w:p>
      <w:pPr>
        <w:ind w:left="46" w:right="35" w:firstLine="567"/>
        <w:spacing w:before="132" w:line="316"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注：以下为采购人提出中标后签订本项目合</w:t>
      </w:r>
      <w:r>
        <w:rPr>
          <w:rFonts w:ascii="仿宋" w:hAnsi="仿宋" w:eastAsia="仿宋" w:cs="仿宋"/>
          <w:color w:val="auto"/>
          <w:spacing w:val="2"/>
          <w:sz w:val="28"/>
          <w:szCs w:val="28"/>
          <w:highlight w:val="none"/>
        </w:rPr>
        <w:t xml:space="preserve">同的条款，</w:t>
      </w:r>
      <w:r>
        <w:rPr>
          <w:rFonts w:hint="eastAsia" w:ascii="仿宋" w:hAnsi="仿宋" w:eastAsia="仿宋" w:cs="仿宋"/>
          <w:color w:val="auto"/>
          <w:spacing w:val="2"/>
          <w:sz w:val="28"/>
          <w:szCs w:val="28"/>
          <w:highlight w:val="none"/>
        </w:rPr>
        <w:t xml:space="preserve">供应商</w:t>
      </w:r>
      <w:r>
        <w:rPr>
          <w:rFonts w:ascii="仿宋" w:hAnsi="仿宋" w:eastAsia="仿宋" w:cs="仿宋"/>
          <w:color w:val="auto"/>
          <w:spacing w:val="2"/>
          <w:sz w:val="28"/>
          <w:szCs w:val="28"/>
          <w:highlight w:val="none"/>
        </w:rPr>
        <w:t xml:space="preserve">必须实</w:t>
      </w:r>
      <w:r>
        <w:rPr>
          <w:rFonts w:ascii="仿宋" w:hAnsi="仿宋" w:eastAsia="仿宋" w:cs="仿宋"/>
          <w:color w:val="auto"/>
          <w:spacing w:val="1"/>
          <w:sz w:val="28"/>
          <w:szCs w:val="28"/>
          <w:highlight w:val="none"/>
        </w:rPr>
        <w:t xml:space="preserve">质性响应，</w:t>
      </w:r>
      <w:r>
        <w:rPr>
          <w:rFonts w:ascii="仿宋" w:hAnsi="仿宋" w:eastAsia="仿宋" w:cs="仿宋"/>
          <w:color w:val="auto"/>
          <w:spacing w:val="-80"/>
          <w:sz w:val="28"/>
          <w:szCs w:val="28"/>
          <w:highlight w:val="none"/>
        </w:rPr>
        <w:t xml:space="preserve"> </w:t>
      </w:r>
      <w:r>
        <w:rPr>
          <w:rFonts w:ascii="仿宋" w:hAnsi="仿宋" w:eastAsia="仿宋" w:cs="仿宋"/>
          <w:color w:val="auto"/>
          <w:spacing w:val="1"/>
          <w:sz w:val="28"/>
          <w:szCs w:val="28"/>
          <w:highlight w:val="none"/>
        </w:rPr>
        <w:t xml:space="preserve">中标人不得提出实质性的修改，关于专用条款将由</w:t>
      </w:r>
      <w:r>
        <w:rPr>
          <w:rFonts w:ascii="仿宋" w:hAnsi="仿宋" w:eastAsia="仿宋" w:cs="仿宋"/>
          <w:color w:val="auto"/>
          <w:sz w:val="28"/>
          <w:szCs w:val="28"/>
          <w:highlight w:val="none"/>
        </w:rPr>
        <w:t xml:space="preserve">采购人与中</w:t>
      </w:r>
      <w:r>
        <w:rPr>
          <w:rFonts w:ascii="仿宋" w:hAnsi="仿宋" w:eastAsia="仿宋" w:cs="仿宋"/>
          <w:color w:val="auto"/>
          <w:spacing w:val="-2"/>
          <w:sz w:val="28"/>
          <w:szCs w:val="28"/>
          <w:highlight w:val="none"/>
        </w:rPr>
        <w:t xml:space="preserve">标人结合本项目具体情况协商后签订。</w:t>
      </w:r>
      <w:r/>
    </w:p>
    <w:p>
      <w:pPr>
        <w:ind w:left="4027"/>
        <w:spacing w:line="218" w:lineRule="auto"/>
        <w:rPr>
          <w:rFonts w:ascii="仿宋" w:hAnsi="仿宋" w:eastAsia="仿宋" w:cs="仿宋"/>
          <w:color w:val="auto"/>
          <w:sz w:val="28"/>
          <w:szCs w:val="28"/>
          <w:highlight w:val="none"/>
        </w:rPr>
      </w:pPr>
      <w:r>
        <w:rPr>
          <w:rFonts w:ascii="仿宋" w:hAnsi="仿宋" w:eastAsia="仿宋" w:cs="仿宋"/>
          <w:b/>
          <w:bCs/>
          <w:color w:val="auto"/>
          <w:spacing w:val="-9"/>
          <w:sz w:val="28"/>
          <w:szCs w:val="28"/>
          <w:highlight w:val="none"/>
        </w:rPr>
        <w:t xml:space="preserve">合同格式</w:t>
      </w:r>
      <w:r/>
    </w:p>
    <w:p>
      <w:pPr>
        <w:ind w:left="84"/>
        <w:spacing w:before="147" w:line="219" w:lineRule="auto"/>
        <w:rPr>
          <w:rFonts w:ascii="仿宋" w:hAnsi="仿宋" w:eastAsia="仿宋" w:cs="仿宋"/>
          <w:color w:val="auto"/>
          <w:sz w:val="28"/>
          <w:szCs w:val="28"/>
          <w:highlight w:val="none"/>
        </w:rPr>
      </w:pPr>
      <w:r>
        <w:rPr>
          <w:rFonts w:ascii="仿宋" w:hAnsi="仿宋" w:eastAsia="仿宋" w:cs="仿宋"/>
          <w:b/>
          <w:bCs/>
          <w:color w:val="auto"/>
          <w:spacing w:val="-29"/>
          <w:sz w:val="28"/>
          <w:szCs w:val="28"/>
          <w:highlight w:val="none"/>
        </w:rPr>
        <w:t xml:space="preserve">甲方：</w:t>
      </w:r>
      <w:r/>
    </w:p>
    <w:p>
      <w:pPr>
        <w:ind w:left="67"/>
        <w:spacing w:before="148" w:line="221" w:lineRule="auto"/>
        <w:rPr>
          <w:rFonts w:ascii="仿宋" w:hAnsi="仿宋" w:eastAsia="仿宋" w:cs="仿宋"/>
          <w:color w:val="auto"/>
          <w:sz w:val="28"/>
          <w:szCs w:val="28"/>
          <w:highlight w:val="none"/>
        </w:rPr>
      </w:pPr>
      <w:r>
        <w:rPr>
          <w:rFonts w:ascii="仿宋" w:hAnsi="仿宋" w:eastAsia="仿宋" w:cs="仿宋"/>
          <w:b/>
          <w:bCs/>
          <w:color w:val="auto"/>
          <w:spacing w:val="-25"/>
          <w:sz w:val="28"/>
          <w:szCs w:val="28"/>
          <w:highlight w:val="none"/>
        </w:rPr>
        <w:t xml:space="preserve">乙方：</w:t>
      </w:r>
      <w:r/>
    </w:p>
    <w:p>
      <w:pPr>
        <w:ind w:left="47" w:right="27" w:firstLine="673"/>
        <w:spacing w:before="144" w:line="317" w:lineRule="auto"/>
        <w:rPr>
          <w:rFonts w:ascii="仿宋" w:hAnsi="仿宋" w:eastAsia="仿宋" w:cs="仿宋"/>
          <w:color w:val="auto"/>
          <w:sz w:val="28"/>
          <w:szCs w:val="28"/>
          <w:highlight w:val="none"/>
        </w:rPr>
      </w:pPr>
      <w:r>
        <w:rPr>
          <w:rFonts w:ascii="仿宋" w:hAnsi="仿宋" w:eastAsia="仿宋" w:cs="仿宋"/>
          <w:color w:val="auto"/>
          <w:spacing w:val="-6"/>
          <w:sz w:val="28"/>
          <w:szCs w:val="28"/>
          <w:highlight w:val="none"/>
        </w:rPr>
        <w:t xml:space="preserve">甲、乙双方根据</w:t>
      </w:r>
      <w:r>
        <w:rPr>
          <w:rFonts w:ascii="仿宋" w:hAnsi="仿宋" w:eastAsia="仿宋" w:cs="仿宋"/>
          <w:color w:val="auto"/>
          <w:spacing w:val="126"/>
          <w:sz w:val="28"/>
          <w:szCs w:val="28"/>
          <w:highlight w:val="none"/>
          <w:u w:val="single"/>
        </w:rPr>
        <w:t xml:space="preserve"> </w:t>
      </w:r>
      <w:r>
        <w:rPr>
          <w:rFonts w:ascii="仿宋" w:hAnsi="仿宋" w:eastAsia="仿宋" w:cs="仿宋"/>
          <w:color w:val="auto"/>
          <w:spacing w:val="-6"/>
          <w:sz w:val="28"/>
          <w:szCs w:val="28"/>
          <w:highlight w:val="none"/>
          <w:u w:val="single"/>
        </w:rPr>
        <w:t xml:space="preserve">（项目编号）</w:t>
      </w:r>
      <w:r>
        <w:rPr>
          <w:rFonts w:ascii="仿宋" w:hAnsi="仿宋" w:eastAsia="仿宋" w:cs="仿宋"/>
          <w:color w:val="auto"/>
          <w:spacing w:val="29"/>
          <w:sz w:val="28"/>
          <w:szCs w:val="28"/>
          <w:highlight w:val="none"/>
          <w:u w:val="single"/>
        </w:rPr>
        <w:t xml:space="preserve">    </w:t>
      </w:r>
      <w:r>
        <w:rPr>
          <w:rFonts w:ascii="仿宋" w:hAnsi="仿宋" w:eastAsia="仿宋" w:cs="仿宋"/>
          <w:color w:val="auto"/>
          <w:spacing w:val="-102"/>
          <w:sz w:val="28"/>
          <w:szCs w:val="28"/>
          <w:highlight w:val="none"/>
        </w:rPr>
        <w:t xml:space="preserve"> </w:t>
      </w:r>
      <w:r>
        <w:rPr>
          <w:rFonts w:ascii="仿宋" w:hAnsi="仿宋" w:eastAsia="仿宋" w:cs="仿宋"/>
          <w:color w:val="auto"/>
          <w:spacing w:val="-6"/>
          <w:sz w:val="28"/>
          <w:szCs w:val="28"/>
          <w:highlight w:val="none"/>
        </w:rPr>
        <w:t xml:space="preserve">的</w:t>
      </w:r>
      <w:r>
        <w:rPr>
          <w:rFonts w:ascii="仿宋" w:hAnsi="仿宋" w:eastAsia="仿宋" w:cs="仿宋"/>
          <w:color w:val="auto"/>
          <w:spacing w:val="120"/>
          <w:sz w:val="28"/>
          <w:szCs w:val="28"/>
          <w:highlight w:val="none"/>
          <w:u w:val="single"/>
        </w:rPr>
        <w:t xml:space="preserve"> </w:t>
      </w:r>
      <w:r>
        <w:rPr>
          <w:rFonts w:ascii="仿宋" w:hAnsi="仿宋" w:eastAsia="仿宋" w:cs="仿宋"/>
          <w:color w:val="auto"/>
          <w:spacing w:val="-6"/>
          <w:sz w:val="28"/>
          <w:szCs w:val="28"/>
          <w:highlight w:val="none"/>
          <w:u w:val="single"/>
        </w:rPr>
        <w:t xml:space="preserve">（项目名称）  </w:t>
      </w:r>
      <w:r>
        <w:rPr>
          <w:rFonts w:ascii="仿宋" w:hAnsi="仿宋" w:eastAsia="仿宋" w:cs="仿宋"/>
          <w:color w:val="auto"/>
          <w:spacing w:val="-116"/>
          <w:sz w:val="28"/>
          <w:szCs w:val="28"/>
          <w:highlight w:val="none"/>
        </w:rPr>
        <w:t xml:space="preserve"> </w:t>
      </w:r>
      <w:r>
        <w:rPr>
          <w:rFonts w:ascii="仿宋" w:hAnsi="仿宋" w:eastAsia="仿宋" w:cs="仿宋"/>
          <w:color w:val="auto"/>
          <w:spacing w:val="-6"/>
          <w:sz w:val="28"/>
          <w:szCs w:val="28"/>
          <w:highlight w:val="none"/>
        </w:rPr>
        <w:t xml:space="preserve">公开招标采</w:t>
      </w:r>
      <w:r>
        <w:rPr>
          <w:rFonts w:ascii="仿宋" w:hAnsi="仿宋" w:eastAsia="仿宋" w:cs="仿宋"/>
          <w:color w:val="auto"/>
          <w:spacing w:val="-1"/>
          <w:sz w:val="28"/>
          <w:szCs w:val="28"/>
          <w:highlight w:val="none"/>
        </w:rPr>
        <w:t xml:space="preserve">购结果及招标文件的要求,经协商一致,达成如下采购合同：</w:t>
      </w:r>
      <w:r/>
    </w:p>
    <w:p>
      <w:pPr>
        <w:ind w:left="613"/>
        <w:spacing w:before="1" w:line="218" w:lineRule="auto"/>
        <w:rPr>
          <w:rFonts w:ascii="仿宋" w:hAnsi="仿宋" w:eastAsia="仿宋" w:cs="仿宋"/>
          <w:color w:val="auto"/>
          <w:sz w:val="28"/>
          <w:szCs w:val="28"/>
          <w:highlight w:val="none"/>
        </w:rPr>
        <w:outlineLvl w:val="1"/>
      </w:pPr>
      <w:r>
        <w:rPr>
          <w:rFonts w:ascii="仿宋" w:hAnsi="仿宋" w:eastAsia="仿宋" w:cs="仿宋"/>
          <w:b/>
          <w:bCs/>
          <w:color w:val="auto"/>
          <w:spacing w:val="-10"/>
          <w:sz w:val="28"/>
          <w:szCs w:val="28"/>
          <w:highlight w:val="none"/>
        </w:rPr>
        <w:t xml:space="preserve">一、合同标的</w:t>
      </w:r>
      <w:r/>
    </w:p>
    <w:p>
      <w:pPr>
        <w:ind w:left="550"/>
        <w:spacing w:before="177" w:line="217"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详见“项目采购需求”及本合同附件。</w:t>
      </w:r>
      <w:r/>
    </w:p>
    <w:p>
      <w:pPr>
        <w:ind w:left="617"/>
        <w:spacing w:before="267" w:line="219" w:lineRule="auto"/>
        <w:rPr>
          <w:rFonts w:ascii="仿宋" w:hAnsi="仿宋" w:eastAsia="仿宋" w:cs="仿宋"/>
          <w:color w:val="auto"/>
          <w:sz w:val="28"/>
          <w:szCs w:val="28"/>
          <w:highlight w:val="none"/>
        </w:rPr>
        <w:outlineLvl w:val="1"/>
      </w:pPr>
      <w:r>
        <w:rPr>
          <w:rFonts w:ascii="仿宋" w:hAnsi="仿宋" w:eastAsia="仿宋" w:cs="仿宋"/>
          <w:b/>
          <w:bCs/>
          <w:color w:val="auto"/>
          <w:spacing w:val="-7"/>
          <w:sz w:val="28"/>
          <w:szCs w:val="28"/>
          <w:highlight w:val="none"/>
        </w:rPr>
        <w:t xml:space="preserve">二、合同金额</w:t>
      </w:r>
      <w:r/>
    </w:p>
    <w:p>
      <w:pPr>
        <w:ind w:left="54" w:right="27" w:firstLine="553"/>
        <w:spacing w:before="148" w:line="316" w:lineRule="auto"/>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 xml:space="preserve">本合同的总金额(大写)为___________元人民币，</w:t>
      </w:r>
      <w:r>
        <w:rPr>
          <w:rFonts w:ascii="仿宋" w:hAnsi="仿宋" w:eastAsia="仿宋" w:cs="仿宋"/>
          <w:color w:val="auto"/>
          <w:spacing w:val="-2"/>
          <w:sz w:val="28"/>
          <w:szCs w:val="28"/>
          <w:highlight w:val="none"/>
        </w:rPr>
        <w:t xml:space="preserve">分项价格详见乙方提</w:t>
      </w:r>
      <w:r>
        <w:rPr>
          <w:rFonts w:ascii="仿宋" w:hAnsi="仿宋" w:eastAsia="仿宋" w:cs="仿宋"/>
          <w:color w:val="auto"/>
          <w:spacing w:val="-5"/>
          <w:sz w:val="28"/>
          <w:szCs w:val="28"/>
          <w:highlight w:val="none"/>
        </w:rPr>
        <w:t xml:space="preserve">交的投标报价明细表。本合同价已包含为完成本项目功能的所有费用。</w:t>
      </w:r>
      <w:r/>
    </w:p>
    <w:p>
      <w:pPr>
        <w:ind w:left="616"/>
        <w:spacing w:before="1" w:line="219" w:lineRule="auto"/>
        <w:rPr>
          <w:rFonts w:ascii="仿宋" w:hAnsi="仿宋" w:eastAsia="仿宋" w:cs="仿宋"/>
          <w:color w:val="auto"/>
          <w:sz w:val="28"/>
          <w:szCs w:val="28"/>
          <w:highlight w:val="none"/>
        </w:rPr>
        <w:outlineLvl w:val="1"/>
      </w:pPr>
      <w:r>
        <w:rPr>
          <w:rFonts w:ascii="仿宋" w:hAnsi="仿宋" w:eastAsia="仿宋" w:cs="仿宋"/>
          <w:b/>
          <w:bCs/>
          <w:color w:val="auto"/>
          <w:spacing w:val="-5"/>
          <w:sz w:val="28"/>
          <w:szCs w:val="28"/>
          <w:highlight w:val="none"/>
        </w:rPr>
        <w:t xml:space="preserve">三、交付时间和地点</w:t>
      </w:r>
      <w:r/>
    </w:p>
    <w:p>
      <w:pPr>
        <w:ind w:left="47" w:right="29" w:firstLine="567"/>
        <w:spacing w:before="149" w:line="317" w:lineRule="auto"/>
        <w:rPr>
          <w:rFonts w:hint="eastAsia"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 xml:space="preserve">交付时间：</w:t>
      </w:r>
      <w:r>
        <w:rPr>
          <w:rFonts w:hint="eastAsia" w:ascii="仿宋" w:hAnsi="仿宋" w:eastAsia="仿宋" w:cs="仿宋"/>
          <w:color w:val="auto"/>
          <w:spacing w:val="-4"/>
          <w:sz w:val="28"/>
          <w:szCs w:val="28"/>
          <w:highlight w:val="none"/>
          <w:lang w:val="en-US" w:eastAsia="zh-CN"/>
        </w:rPr>
        <w:t xml:space="preserve">合同签订后15日历天内供货至采购人指定地点。</w:t>
      </w:r>
      <w:r/>
    </w:p>
    <w:p>
      <w:pPr>
        <w:ind w:left="613"/>
        <w:spacing w:before="148" w:line="219" w:lineRule="auto"/>
        <w:rPr>
          <w:rFonts w:ascii="仿宋" w:hAnsi="仿宋" w:eastAsia="仿宋" w:cs="仿宋"/>
          <w:color w:val="auto"/>
          <w:sz w:val="28"/>
          <w:szCs w:val="28"/>
          <w:highlight w:val="none"/>
        </w:rPr>
      </w:pPr>
      <w:r>
        <w:rPr>
          <w:rFonts w:ascii="仿宋" w:hAnsi="仿宋" w:eastAsia="仿宋" w:cs="仿宋"/>
          <w:color w:val="auto"/>
          <w:spacing w:val="-5"/>
          <w:sz w:val="28"/>
          <w:szCs w:val="28"/>
          <w:highlight w:val="none"/>
        </w:rPr>
        <w:t xml:space="preserve">交付地点：由采购人指定。</w:t>
      </w:r>
      <w:r/>
    </w:p>
    <w:p>
      <w:pPr>
        <w:ind w:left="642"/>
        <w:spacing w:before="148" w:line="220" w:lineRule="auto"/>
        <w:rPr>
          <w:rFonts w:ascii="仿宋" w:hAnsi="仿宋" w:eastAsia="仿宋" w:cs="仿宋"/>
          <w:color w:val="auto"/>
          <w:sz w:val="28"/>
          <w:szCs w:val="28"/>
          <w:highlight w:val="none"/>
        </w:rPr>
        <w:outlineLvl w:val="1"/>
      </w:pPr>
      <w:r>
        <w:rPr>
          <w:rFonts w:ascii="仿宋" w:hAnsi="仿宋" w:eastAsia="仿宋" w:cs="仿宋"/>
          <w:b/>
          <w:bCs/>
          <w:color w:val="auto"/>
          <w:spacing w:val="-13"/>
          <w:sz w:val="28"/>
          <w:szCs w:val="28"/>
          <w:highlight w:val="none"/>
        </w:rPr>
        <w:t xml:space="preserve">四、支付</w:t>
      </w:r>
      <w:r/>
    </w:p>
    <w:p>
      <w:pPr>
        <w:ind w:left="47" w:right="29" w:firstLine="567"/>
        <w:spacing w:before="149" w:line="317" w:lineRule="auto"/>
        <w:rPr>
          <w:rFonts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lang w:val="en-US" w:eastAsia="zh-CN"/>
        </w:rPr>
        <w:t xml:space="preserve">4.1合同签订后预付合同价款40%，货至现场采购人验收合格后一次性付清余款</w:t>
      </w:r>
      <w:r>
        <w:rPr>
          <w:rFonts w:hint="eastAsia" w:ascii="仿宋" w:hAnsi="仿宋" w:eastAsia="仿宋" w:cs="仿宋"/>
          <w:color w:val="auto"/>
          <w:spacing w:val="-3"/>
          <w:sz w:val="28"/>
          <w:szCs w:val="28"/>
          <w:highlight w:val="none"/>
        </w:rPr>
        <w:t xml:space="preserve">。</w:t>
      </w:r>
      <w:r>
        <w:rPr>
          <w:rFonts w:ascii="仿宋" w:hAnsi="仿宋" w:eastAsia="仿宋" w:cs="仿宋"/>
          <w:color w:val="auto"/>
          <w:spacing w:val="-3"/>
          <w:sz w:val="28"/>
          <w:szCs w:val="28"/>
          <w:highlight w:val="none"/>
        </w:rPr>
        <w:t xml:space="preserve">付款前，中标人须提供正规发票。</w:t>
      </w:r>
      <w:r/>
    </w:p>
    <w:p>
      <w:pPr>
        <w:ind w:left="47" w:right="29" w:firstLine="567"/>
        <w:spacing w:before="149" w:line="317"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lang w:val="en-US" w:eastAsia="zh-CN"/>
        </w:rPr>
        <w:t xml:space="preserve">4.2</w:t>
      </w:r>
      <w:r>
        <w:rPr>
          <w:rFonts w:hint="eastAsia" w:ascii="仿宋" w:hAnsi="仿宋" w:eastAsia="仿宋" w:cs="仿宋"/>
          <w:color w:val="auto"/>
          <w:spacing w:val="-3"/>
          <w:sz w:val="28"/>
          <w:szCs w:val="28"/>
          <w:highlight w:val="none"/>
        </w:rPr>
        <w:t xml:space="preserve">支付方式：银行转账等。 </w:t>
      </w:r>
      <w:r/>
    </w:p>
    <w:p>
      <w:pPr>
        <w:ind w:left="47" w:right="29" w:firstLine="567"/>
        <w:spacing w:before="149" w:line="317"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lang w:val="en-US" w:eastAsia="zh-CN"/>
        </w:rPr>
        <w:t xml:space="preserve">4.3</w:t>
      </w:r>
      <w:r>
        <w:rPr>
          <w:rFonts w:hint="eastAsia" w:ascii="仿宋" w:hAnsi="仿宋" w:eastAsia="仿宋" w:cs="仿宋"/>
          <w:color w:val="auto"/>
          <w:spacing w:val="-3"/>
          <w:sz w:val="28"/>
          <w:szCs w:val="28"/>
          <w:highlight w:val="none"/>
        </w:rPr>
        <w:t xml:space="preserve">乙方须执行淮阴区财政支付流程及管理办法，并在甲方付款时须提供足额有效的</w:t>
      </w:r>
      <w:r>
        <w:rPr>
          <w:rFonts w:hint="eastAsia" w:ascii="仿宋" w:hAnsi="仿宋" w:eastAsia="仿宋" w:cs="仿宋"/>
          <w:color w:val="auto"/>
          <w:spacing w:val="-3"/>
          <w:sz w:val="28"/>
          <w:szCs w:val="28"/>
          <w:highlight w:val="none"/>
          <w:lang w:val="en-US" w:eastAsia="zh-CN"/>
        </w:rPr>
        <w:t xml:space="preserve">增值税</w:t>
      </w:r>
      <w:r>
        <w:rPr>
          <w:rFonts w:hint="eastAsia" w:ascii="仿宋" w:hAnsi="仿宋" w:eastAsia="仿宋" w:cs="仿宋"/>
          <w:color w:val="auto"/>
          <w:spacing w:val="-3"/>
          <w:sz w:val="28"/>
          <w:szCs w:val="28"/>
          <w:highlight w:val="none"/>
        </w:rPr>
        <w:t xml:space="preserve">发票，因乙方票据提供不及时，以及不符合税务机关相关要求，而导致合同款不能支付的责任由乙方承担。</w:t>
      </w:r>
      <w:r/>
    </w:p>
    <w:p>
      <w:pPr>
        <w:ind w:left="47" w:right="29" w:firstLine="567"/>
        <w:spacing w:before="149" w:line="317"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lang w:val="en-US" w:eastAsia="zh-CN"/>
        </w:rPr>
        <w:t xml:space="preserve">4.4</w:t>
      </w:r>
      <w:r>
        <w:rPr>
          <w:rFonts w:hint="eastAsia" w:ascii="仿宋" w:hAnsi="仿宋" w:eastAsia="仿宋" w:cs="仿宋"/>
          <w:color w:val="auto"/>
          <w:spacing w:val="-3"/>
          <w:sz w:val="28"/>
          <w:szCs w:val="28"/>
          <w:highlight w:val="none"/>
        </w:rPr>
        <w:t xml:space="preserve">若甲方因特殊原因未能及时结算货款的，供应商不得单方面停止供货，应先向相关职能部门投诉解决。若甲方无正当理由故意预期付款，应按照预期付款金额的银行同期活期利率支付预期违约金，但违约金总额不超过应付款金额的5%。</w:t>
      </w:r>
      <w:r/>
    </w:p>
    <w:p>
      <w:pPr>
        <w:ind w:left="626"/>
        <w:spacing w:before="1" w:line="217" w:lineRule="auto"/>
        <w:rPr>
          <w:rFonts w:ascii="仿宋" w:hAnsi="仿宋" w:eastAsia="仿宋" w:cs="仿宋"/>
          <w:color w:val="auto"/>
          <w:sz w:val="28"/>
          <w:szCs w:val="28"/>
          <w:highlight w:val="none"/>
        </w:rPr>
      </w:pPr>
      <w:r>
        <w:rPr>
          <w:rFonts w:hint="eastAsia" w:ascii="仿宋" w:hAnsi="仿宋" w:eastAsia="仿宋" w:cs="仿宋"/>
          <w:color w:val="auto"/>
          <w:spacing w:val="-5"/>
          <w:sz w:val="28"/>
          <w:szCs w:val="28"/>
          <w:highlight w:val="none"/>
          <w:lang w:val="en-US" w:eastAsia="zh-CN"/>
        </w:rPr>
        <w:t xml:space="preserve">4.5</w:t>
      </w:r>
      <w:r>
        <w:rPr>
          <w:rFonts w:ascii="仿宋" w:hAnsi="仿宋" w:eastAsia="仿宋" w:cs="仿宋"/>
          <w:color w:val="auto"/>
          <w:spacing w:val="-5"/>
          <w:sz w:val="28"/>
          <w:szCs w:val="28"/>
          <w:highlight w:val="none"/>
        </w:rPr>
        <w:t xml:space="preserve">乙方账户信息如下：</w:t>
      </w:r>
      <w:r/>
    </w:p>
    <w:p>
      <w:pPr>
        <w:ind w:left="606" w:firstLine="576"/>
        <w:spacing w:before="150" w:line="217" w:lineRule="auto"/>
        <w:rPr>
          <w:rFonts w:ascii="仿宋" w:hAnsi="仿宋" w:eastAsia="仿宋" w:cs="仿宋"/>
          <w:color w:val="auto"/>
          <w:sz w:val="28"/>
          <w:szCs w:val="28"/>
          <w:highlight w:val="none"/>
        </w:rPr>
      </w:pPr>
      <w:r>
        <w:rPr>
          <w:rFonts w:ascii="仿宋" w:hAnsi="仿宋" w:eastAsia="仿宋" w:cs="仿宋"/>
          <w:color w:val="auto"/>
          <w:spacing w:val="4"/>
          <w:sz w:val="28"/>
          <w:szCs w:val="28"/>
          <w:highlight w:val="none"/>
        </w:rPr>
        <w:t xml:space="preserve">开户名称:</w:t>
      </w:r>
      <w:r/>
    </w:p>
    <w:p>
      <w:pPr>
        <w:ind w:left="612" w:firstLine="548"/>
        <w:spacing w:before="91" w:line="218"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统一社会信用代码（税号</w:t>
      </w:r>
      <w:r>
        <w:rPr>
          <w:rFonts w:ascii="仿宋" w:hAnsi="仿宋" w:eastAsia="仿宋" w:cs="仿宋"/>
          <w:color w:val="auto"/>
          <w:spacing w:val="4"/>
          <w:sz w:val="28"/>
          <w:szCs w:val="28"/>
          <w:highlight w:val="none"/>
        </w:rPr>
        <w:t xml:space="preserve">）：</w:t>
      </w:r>
      <w:r/>
    </w:p>
    <w:p>
      <w:pPr>
        <w:ind w:left="606" w:firstLine="580"/>
        <w:spacing w:before="149" w:line="217" w:lineRule="auto"/>
        <w:rPr>
          <w:rFonts w:ascii="仿宋" w:hAnsi="仿宋" w:eastAsia="仿宋" w:cs="仿宋"/>
          <w:color w:val="auto"/>
          <w:sz w:val="28"/>
          <w:szCs w:val="28"/>
          <w:highlight w:val="none"/>
        </w:rPr>
      </w:pPr>
      <w:r>
        <w:rPr>
          <w:rFonts w:ascii="仿宋" w:hAnsi="仿宋" w:eastAsia="仿宋" w:cs="仿宋"/>
          <w:color w:val="auto"/>
          <w:spacing w:val="5"/>
          <w:sz w:val="28"/>
          <w:szCs w:val="28"/>
          <w:highlight w:val="none"/>
        </w:rPr>
        <w:t xml:space="preserve">开户行:</w:t>
      </w:r>
      <w:r/>
    </w:p>
    <w:p>
      <w:pPr>
        <w:ind w:left="618" w:firstLine="572"/>
        <w:spacing w:before="150" w:line="220"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帐号:</w:t>
      </w:r>
      <w:r/>
    </w:p>
    <w:p>
      <w:pPr>
        <w:ind w:left="47" w:right="71" w:firstLine="556"/>
        <w:spacing w:before="153" w:line="283" w:lineRule="auto"/>
        <w:rPr>
          <w:rFonts w:hint="eastAsia" w:ascii="仿宋" w:hAnsi="仿宋" w:eastAsia="仿宋" w:cs="仿宋"/>
          <w:b/>
          <w:bCs/>
          <w:color w:val="auto"/>
          <w:spacing w:val="-5"/>
          <w:sz w:val="28"/>
          <w:szCs w:val="28"/>
          <w:highlight w:val="none"/>
        </w:rPr>
      </w:pPr>
      <w:r>
        <w:rPr>
          <w:rFonts w:ascii="仿宋" w:hAnsi="仿宋" w:eastAsia="仿宋" w:cs="仿宋"/>
          <w:b/>
          <w:bCs/>
          <w:color w:val="auto"/>
          <w:spacing w:val="-5"/>
          <w:sz w:val="28"/>
          <w:szCs w:val="28"/>
          <w:highlight w:val="none"/>
        </w:rPr>
        <w:t xml:space="preserve">五、</w:t>
      </w:r>
      <w:r>
        <w:rPr>
          <w:rFonts w:hint="eastAsia" w:ascii="仿宋" w:hAnsi="仿宋" w:eastAsia="仿宋" w:cs="仿宋"/>
          <w:b/>
          <w:bCs/>
          <w:color w:val="auto"/>
          <w:spacing w:val="-5"/>
          <w:sz w:val="28"/>
          <w:szCs w:val="28"/>
          <w:highlight w:val="none"/>
        </w:rPr>
        <w:t xml:space="preserve">验收</w:t>
      </w:r>
      <w:r/>
    </w:p>
    <w:p>
      <w:pPr>
        <w:ind w:left="47" w:right="71" w:firstLine="556"/>
        <w:spacing w:before="153" w:line="283" w:lineRule="auto"/>
        <w:rPr>
          <w:rFonts w:hint="eastAsia" w:ascii="仿宋" w:hAnsi="仿宋" w:eastAsia="仿宋" w:cs="仿宋"/>
          <w:b/>
          <w:bCs/>
          <w:color w:val="auto"/>
          <w:spacing w:val="-5"/>
          <w:sz w:val="28"/>
          <w:szCs w:val="28"/>
          <w:highlight w:val="none"/>
        </w:rPr>
      </w:pPr>
      <w:r>
        <w:rPr>
          <w:rFonts w:hint="eastAsia" w:ascii="仿宋" w:hAnsi="仿宋" w:eastAsia="仿宋" w:cs="仿宋"/>
          <w:b w:val="0"/>
          <w:bCs w:val="0"/>
          <w:color w:val="auto"/>
          <w:spacing w:val="-5"/>
          <w:sz w:val="28"/>
          <w:szCs w:val="28"/>
          <w:highlight w:val="none"/>
        </w:rPr>
        <w:t xml:space="preserve">甲方按</w:t>
      </w:r>
      <w:r>
        <w:rPr>
          <w:rFonts w:hint="eastAsia" w:ascii="仿宋" w:hAnsi="仿宋" w:eastAsia="仿宋" w:cs="仿宋"/>
          <w:b w:val="0"/>
          <w:bCs w:val="0"/>
          <w:color w:val="auto"/>
          <w:spacing w:val="-5"/>
          <w:sz w:val="28"/>
          <w:szCs w:val="28"/>
          <w:highlight w:val="none"/>
          <w:lang w:val="en-US" w:eastAsia="zh-CN"/>
        </w:rPr>
        <w:t xml:space="preserve">招标</w:t>
      </w:r>
      <w:r>
        <w:rPr>
          <w:rFonts w:hint="eastAsia" w:ascii="仿宋" w:hAnsi="仿宋" w:eastAsia="仿宋" w:cs="仿宋"/>
          <w:b w:val="0"/>
          <w:bCs w:val="0"/>
          <w:color w:val="auto"/>
          <w:spacing w:val="-5"/>
          <w:sz w:val="28"/>
          <w:szCs w:val="28"/>
          <w:highlight w:val="none"/>
        </w:rPr>
        <w:t xml:space="preserve">文件相关要求进行。如需委托第三方验收，第三方是指：</w:t>
      </w:r>
      <w:r>
        <w:rPr>
          <w:rFonts w:hint="eastAsia" w:ascii="仿宋" w:hAnsi="仿宋" w:eastAsia="仿宋" w:cs="仿宋"/>
          <w:b w:val="0"/>
          <w:bCs w:val="0"/>
          <w:color w:val="auto"/>
          <w:spacing w:val="-5"/>
          <w:sz w:val="28"/>
          <w:szCs w:val="28"/>
          <w:highlight w:val="none"/>
          <w:lang w:val="en-US" w:eastAsia="zh-CN"/>
        </w:rPr>
        <w:t xml:space="preserve">  </w:t>
      </w:r>
      <w:r>
        <w:rPr>
          <w:rFonts w:hint="eastAsia" w:ascii="仿宋" w:hAnsi="仿宋" w:eastAsia="仿宋" w:cs="仿宋"/>
          <w:b w:val="0"/>
          <w:bCs w:val="0"/>
          <w:color w:val="auto"/>
          <w:spacing w:val="-5"/>
          <w:sz w:val="28"/>
          <w:szCs w:val="28"/>
          <w:highlight w:val="none"/>
          <w:u w:val="single"/>
          <w:lang w:val="en-US" w:eastAsia="zh-CN"/>
        </w:rPr>
        <w:t xml:space="preserve">/   </w:t>
      </w:r>
      <w:r>
        <w:rPr>
          <w:rFonts w:hint="eastAsia" w:ascii="仿宋" w:hAnsi="仿宋" w:eastAsia="仿宋" w:cs="仿宋"/>
          <w:b w:val="0"/>
          <w:bCs w:val="0"/>
          <w:color w:val="auto"/>
          <w:spacing w:val="-5"/>
          <w:sz w:val="28"/>
          <w:szCs w:val="28"/>
          <w:highlight w:val="none"/>
        </w:rPr>
        <w:t xml:space="preserve">，验收费用由甲方承担。因乙方交付的货物不符合标准导致甲方重复支出的验收费用，由乙方承担。</w:t>
      </w:r>
      <w:r>
        <w:rPr>
          <w:rFonts w:hint="eastAsia" w:ascii="仿宋" w:hAnsi="仿宋" w:eastAsia="仿宋" w:cs="仿宋"/>
          <w:b/>
          <w:bCs/>
          <w:color w:val="auto"/>
          <w:spacing w:val="-5"/>
          <w:sz w:val="28"/>
          <w:szCs w:val="28"/>
          <w:highlight w:val="none"/>
        </w:rPr>
        <w:t xml:space="preserve"> </w:t>
      </w:r>
      <w:r/>
    </w:p>
    <w:p>
      <w:pPr>
        <w:ind w:left="47" w:right="29" w:firstLine="567"/>
        <w:spacing w:before="149" w:line="317" w:lineRule="auto"/>
        <w:rPr>
          <w:rFonts w:hint="eastAsia" w:ascii="仿宋" w:hAnsi="仿宋" w:eastAsia="仿宋" w:cs="仿宋"/>
          <w:b/>
          <w:bCs/>
          <w:color w:val="auto"/>
          <w:spacing w:val="-3"/>
          <w:sz w:val="28"/>
          <w:szCs w:val="28"/>
          <w:highlight w:val="none"/>
          <w:lang w:val="en-US" w:eastAsia="zh-CN"/>
        </w:rPr>
      </w:pPr>
      <w:r>
        <w:rPr>
          <w:rFonts w:hint="eastAsia" w:ascii="仿宋" w:hAnsi="仿宋" w:eastAsia="仿宋" w:cs="仿宋"/>
          <w:b/>
          <w:bCs/>
          <w:color w:val="auto"/>
          <w:spacing w:val="-3"/>
          <w:sz w:val="28"/>
          <w:szCs w:val="28"/>
          <w:highlight w:val="none"/>
          <w:lang w:val="en-US" w:eastAsia="zh-CN"/>
        </w:rPr>
        <w:t xml:space="preserve">六、履约保证金</w:t>
      </w:r>
      <w:r/>
    </w:p>
    <w:p>
      <w:pPr>
        <w:ind w:left="47" w:right="29" w:firstLine="567"/>
        <w:spacing w:before="149" w:line="317" w:lineRule="auto"/>
        <w:rPr>
          <w:rFonts w:hint="eastAsia" w:ascii="仿宋" w:hAnsi="仿宋" w:eastAsia="仿宋" w:cs="仿宋"/>
          <w:color w:val="auto"/>
          <w:spacing w:val="-3"/>
          <w:sz w:val="28"/>
          <w:szCs w:val="28"/>
          <w:highlight w:val="none"/>
          <w:lang w:val="en-US" w:eastAsia="zh-CN"/>
        </w:rPr>
      </w:pPr>
      <w:r>
        <w:rPr>
          <w:rFonts w:hint="eastAsia" w:ascii="仿宋" w:hAnsi="仿宋" w:eastAsia="仿宋" w:cs="仿宋"/>
          <w:color w:val="auto"/>
          <w:spacing w:val="-3"/>
          <w:sz w:val="28"/>
          <w:szCs w:val="28"/>
          <w:highlight w:val="none"/>
          <w:lang w:val="en-US" w:eastAsia="zh-CN"/>
        </w:rPr>
        <w:t xml:space="preserve">本项目不涉及履约保证金。</w:t>
      </w:r>
      <w:r/>
    </w:p>
    <w:p>
      <w:pPr>
        <w:ind w:left="47" w:right="29" w:firstLine="567"/>
        <w:spacing w:before="149" w:line="317" w:lineRule="auto"/>
        <w:rPr>
          <w:rFonts w:hint="eastAsia" w:ascii="仿宋" w:hAnsi="仿宋" w:eastAsia="仿宋" w:cs="仿宋"/>
          <w:b/>
          <w:bCs/>
          <w:color w:val="auto"/>
          <w:spacing w:val="-3"/>
          <w:sz w:val="28"/>
          <w:szCs w:val="28"/>
          <w:highlight w:val="none"/>
          <w:lang w:val="en-US" w:eastAsia="zh-CN"/>
        </w:rPr>
      </w:pPr>
      <w:r>
        <w:rPr>
          <w:rFonts w:hint="eastAsia" w:ascii="仿宋" w:hAnsi="仿宋" w:eastAsia="仿宋" w:cs="仿宋"/>
          <w:b/>
          <w:bCs/>
          <w:color w:val="auto"/>
          <w:spacing w:val="-3"/>
          <w:sz w:val="28"/>
          <w:szCs w:val="28"/>
          <w:highlight w:val="none"/>
          <w:lang w:val="en-US" w:eastAsia="zh-CN"/>
        </w:rPr>
        <w:t xml:space="preserve">七、合同纠纷处理</w:t>
      </w:r>
      <w:r/>
    </w:p>
    <w:p>
      <w:pPr>
        <w:ind w:left="47" w:right="29" w:firstLine="567"/>
        <w:spacing w:before="149" w:line="317" w:lineRule="auto"/>
        <w:rPr>
          <w:rFonts w:hint="eastAsia" w:ascii="仿宋" w:hAnsi="仿宋" w:eastAsia="仿宋" w:cs="仿宋"/>
          <w:color w:val="auto"/>
          <w:spacing w:val="-3"/>
          <w:sz w:val="28"/>
          <w:szCs w:val="28"/>
          <w:highlight w:val="none"/>
          <w:lang w:val="en-US" w:eastAsia="zh-CN"/>
        </w:rPr>
      </w:pPr>
      <w:r>
        <w:rPr>
          <w:rFonts w:hint="eastAsia" w:ascii="仿宋" w:hAnsi="仿宋" w:eastAsia="仿宋" w:cs="仿宋"/>
          <w:color w:val="auto"/>
          <w:spacing w:val="-3"/>
          <w:sz w:val="28"/>
          <w:szCs w:val="28"/>
          <w:highlight w:val="none"/>
          <w:lang w:val="en-US" w:eastAsia="zh-CN"/>
        </w:rPr>
        <w:t xml:space="preserve">本合同执行过程中发生纠纷，由甲乙双方协商解决，若协商不成，作如下 2 处理： </w:t>
      </w:r>
      <w:r/>
    </w:p>
    <w:p>
      <w:pPr>
        <w:ind w:left="47" w:right="29" w:firstLine="567"/>
        <w:spacing w:before="149" w:line="317" w:lineRule="auto"/>
        <w:rPr>
          <w:rFonts w:hint="eastAsia" w:ascii="仿宋" w:hAnsi="仿宋" w:eastAsia="仿宋" w:cs="仿宋"/>
          <w:color w:val="auto"/>
          <w:spacing w:val="-3"/>
          <w:sz w:val="28"/>
          <w:szCs w:val="28"/>
          <w:highlight w:val="none"/>
          <w:lang w:val="en-US" w:eastAsia="zh-CN"/>
        </w:rPr>
      </w:pPr>
      <w:r>
        <w:rPr>
          <w:rFonts w:hint="eastAsia" w:ascii="仿宋" w:hAnsi="仿宋" w:eastAsia="仿宋" w:cs="仿宋"/>
          <w:color w:val="auto"/>
          <w:spacing w:val="-3"/>
          <w:sz w:val="28"/>
          <w:szCs w:val="28"/>
          <w:highlight w:val="none"/>
          <w:lang w:val="en-US" w:eastAsia="zh-CN"/>
        </w:rPr>
        <w:t xml:space="preserve">1、申请仲裁。选定仲裁机构为淮安市仲裁委员会。</w:t>
      </w:r>
      <w:r/>
    </w:p>
    <w:p>
      <w:pPr>
        <w:ind w:left="47" w:right="29" w:firstLine="567"/>
        <w:spacing w:before="149" w:line="317" w:lineRule="auto"/>
        <w:rPr>
          <w:rFonts w:hint="eastAsia" w:ascii="仿宋" w:hAnsi="仿宋" w:eastAsia="仿宋" w:cs="仿宋"/>
          <w:color w:val="auto"/>
          <w:spacing w:val="-3"/>
          <w:sz w:val="28"/>
          <w:szCs w:val="28"/>
          <w:highlight w:val="none"/>
          <w:lang w:val="en-US" w:eastAsia="zh-CN"/>
        </w:rPr>
      </w:pPr>
      <w:r>
        <w:rPr>
          <w:rFonts w:hint="eastAsia" w:ascii="仿宋" w:hAnsi="仿宋" w:eastAsia="仿宋" w:cs="仿宋"/>
          <w:color w:val="auto"/>
          <w:spacing w:val="-3"/>
          <w:sz w:val="28"/>
          <w:szCs w:val="28"/>
          <w:highlight w:val="none"/>
          <w:lang w:val="en-US" w:eastAsia="zh-CN"/>
        </w:rPr>
        <w:t xml:space="preserve">2、提起诉讼。约定由采购人所在地法院管辖。 </w:t>
      </w:r>
      <w:r/>
    </w:p>
    <w:p>
      <w:pPr>
        <w:ind w:left="616"/>
        <w:spacing w:before="148" w:line="218" w:lineRule="auto"/>
        <w:rPr>
          <w:rFonts w:ascii="仿宋" w:hAnsi="仿宋" w:eastAsia="仿宋" w:cs="仿宋"/>
          <w:color w:val="auto"/>
          <w:sz w:val="28"/>
          <w:szCs w:val="28"/>
          <w:highlight w:val="none"/>
        </w:rPr>
        <w:outlineLvl w:val="1"/>
      </w:pPr>
      <w:r>
        <w:rPr>
          <w:rFonts w:hint="eastAsia" w:ascii="仿宋" w:hAnsi="仿宋" w:eastAsia="仿宋" w:cs="仿宋"/>
          <w:b/>
          <w:bCs/>
          <w:color w:val="auto"/>
          <w:spacing w:val="-3"/>
          <w:sz w:val="28"/>
          <w:szCs w:val="28"/>
          <w:highlight w:val="none"/>
          <w:lang w:val="en-US" w:eastAsia="zh-CN"/>
        </w:rPr>
        <w:t xml:space="preserve">八、</w:t>
      </w:r>
      <w:r>
        <w:rPr>
          <w:rFonts w:ascii="仿宋" w:hAnsi="仿宋" w:eastAsia="仿宋" w:cs="仿宋"/>
          <w:b/>
          <w:bCs/>
          <w:color w:val="auto"/>
          <w:spacing w:val="-5"/>
          <w:sz w:val="28"/>
          <w:szCs w:val="28"/>
          <w:highlight w:val="none"/>
        </w:rPr>
        <w:t xml:space="preserve">合同生效及其他</w:t>
      </w:r>
      <w:r/>
    </w:p>
    <w:p>
      <w:pPr>
        <w:ind w:left="80" w:right="355" w:firstLine="538"/>
        <w:spacing w:before="149" w:line="268" w:lineRule="auto"/>
        <w:rPr>
          <w:rFonts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lang w:val="en-US" w:eastAsia="zh-CN"/>
        </w:rPr>
        <w:t xml:space="preserve">8</w:t>
      </w:r>
      <w:r>
        <w:rPr>
          <w:rFonts w:ascii="仿宋" w:hAnsi="仿宋" w:eastAsia="仿宋" w:cs="仿宋"/>
          <w:color w:val="auto"/>
          <w:spacing w:val="-1"/>
          <w:sz w:val="28"/>
          <w:szCs w:val="28"/>
          <w:highlight w:val="none"/>
        </w:rPr>
        <w:t xml:space="preserve">.1 本合同自双方法定代表人或授权代表签字并加盖单位公章或合</w:t>
      </w:r>
      <w:r>
        <w:rPr>
          <w:rFonts w:ascii="仿宋" w:hAnsi="仿宋" w:eastAsia="仿宋" w:cs="仿宋"/>
          <w:color w:val="auto"/>
          <w:spacing w:val="-7"/>
          <w:sz w:val="28"/>
          <w:szCs w:val="28"/>
          <w:highlight w:val="none"/>
        </w:rPr>
        <w:t xml:space="preserve">同专用章之日起生效。</w:t>
      </w:r>
      <w:r/>
    </w:p>
    <w:p>
      <w:pPr>
        <w:ind w:left="50" w:right="357" w:firstLine="567"/>
        <w:spacing w:before="150" w:line="266" w:lineRule="auto"/>
        <w:rPr>
          <w:rFonts w:ascii="仿宋" w:hAnsi="仿宋" w:eastAsia="仿宋" w:cs="仿宋"/>
          <w:color w:val="auto"/>
          <w:spacing w:val="-2"/>
          <w:sz w:val="28"/>
          <w:szCs w:val="28"/>
          <w:highlight w:val="none"/>
        </w:rPr>
      </w:pPr>
      <w:r>
        <w:rPr>
          <w:rFonts w:hint="eastAsia" w:ascii="仿宋" w:hAnsi="仿宋" w:eastAsia="仿宋" w:cs="仿宋"/>
          <w:color w:val="auto"/>
          <w:spacing w:val="-1"/>
          <w:sz w:val="28"/>
          <w:szCs w:val="28"/>
          <w:highlight w:val="none"/>
          <w:lang w:val="en-US" w:eastAsia="zh-CN"/>
        </w:rPr>
        <w:t xml:space="preserve">8</w:t>
      </w:r>
      <w:r>
        <w:rPr>
          <w:rFonts w:ascii="仿宋" w:hAnsi="仿宋" w:eastAsia="仿宋" w:cs="仿宋"/>
          <w:color w:val="auto"/>
          <w:spacing w:val="-1"/>
          <w:sz w:val="28"/>
          <w:szCs w:val="28"/>
          <w:highlight w:val="none"/>
        </w:rPr>
        <w:t xml:space="preserve">.2 本合同将保持其有效直至双方已完全履行协议项下的所有义务</w:t>
      </w:r>
      <w:r>
        <w:rPr>
          <w:rFonts w:ascii="仿宋" w:hAnsi="仿宋" w:eastAsia="仿宋" w:cs="仿宋"/>
          <w:color w:val="auto"/>
          <w:spacing w:val="-2"/>
          <w:sz w:val="28"/>
          <w:szCs w:val="28"/>
          <w:highlight w:val="none"/>
        </w:rPr>
        <w:t xml:space="preserve">并双方之间的所有付款和索赔已结清。</w:t>
      </w:r>
      <w:r/>
    </w:p>
    <w:p>
      <w:pPr>
        <w:ind w:left="50" w:right="357" w:firstLine="567"/>
        <w:spacing w:before="150" w:line="266" w:lineRule="auto"/>
        <w:rPr>
          <w:rFonts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lang w:val="en-US" w:eastAsia="zh-CN"/>
        </w:rPr>
        <w:t xml:space="preserve">8</w:t>
      </w:r>
      <w:r>
        <w:rPr>
          <w:rFonts w:ascii="仿宋" w:hAnsi="仿宋" w:eastAsia="仿宋" w:cs="仿宋"/>
          <w:color w:val="auto"/>
          <w:spacing w:val="-7"/>
          <w:sz w:val="28"/>
          <w:szCs w:val="28"/>
          <w:highlight w:val="none"/>
        </w:rPr>
        <w:t xml:space="preserve">.3 本合同一式陆份，甲方持肆份，乙方持贰份，具有同等法律效力。</w:t>
      </w:r>
      <w:r/>
    </w:p>
    <w:p>
      <w:pPr>
        <w:ind w:left="56" w:right="102" w:firstLine="562"/>
        <w:spacing w:before="149" w:line="268" w:lineRule="auto"/>
        <w:rPr>
          <w:rFonts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lang w:val="en-US" w:eastAsia="zh-CN"/>
        </w:rPr>
        <w:t xml:space="preserve">8</w:t>
      </w:r>
      <w:r>
        <w:rPr>
          <w:rFonts w:ascii="仿宋" w:hAnsi="仿宋" w:eastAsia="仿宋" w:cs="仿宋"/>
          <w:color w:val="auto"/>
          <w:spacing w:val="-2"/>
          <w:sz w:val="28"/>
          <w:szCs w:val="28"/>
          <w:highlight w:val="none"/>
        </w:rPr>
        <w:t xml:space="preserve">.4 对合同内容做出的任何修改和补充应为书面形式形式，并由双方</w:t>
      </w:r>
      <w:r>
        <w:rPr>
          <w:rFonts w:ascii="仿宋" w:hAnsi="仿宋" w:eastAsia="仿宋" w:cs="仿宋"/>
          <w:color w:val="auto"/>
          <w:spacing w:val="-1"/>
          <w:sz w:val="28"/>
          <w:szCs w:val="28"/>
          <w:highlight w:val="none"/>
        </w:rPr>
        <w:t xml:space="preserve">法定代表人或授权代表签字及加盖公章后，成为本合同不可分割的部分。</w:t>
      </w:r>
      <w:r/>
    </w:p>
    <w:p>
      <w:pPr>
        <w:ind w:left="48" w:right="101" w:firstLine="570"/>
        <w:spacing w:before="147" w:line="268" w:lineRule="auto"/>
        <w:rPr>
          <w:rFonts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lang w:val="en-US" w:eastAsia="zh-CN"/>
        </w:rPr>
        <w:t xml:space="preserve">8</w:t>
      </w:r>
      <w:r>
        <w:rPr>
          <w:rFonts w:ascii="仿宋" w:hAnsi="仿宋" w:eastAsia="仿宋" w:cs="仿宋"/>
          <w:color w:val="auto"/>
          <w:spacing w:val="-2"/>
          <w:sz w:val="28"/>
          <w:szCs w:val="28"/>
          <w:highlight w:val="none"/>
        </w:rPr>
        <w:t xml:space="preserve">.</w:t>
      </w:r>
      <w:r>
        <w:rPr>
          <w:rFonts w:hint="eastAsia" w:ascii="仿宋" w:hAnsi="仿宋" w:eastAsia="仿宋" w:cs="仿宋"/>
          <w:color w:val="auto"/>
          <w:spacing w:val="-2"/>
          <w:sz w:val="28"/>
          <w:szCs w:val="28"/>
          <w:highlight w:val="none"/>
          <w:lang w:val="en-US" w:eastAsia="zh-CN"/>
        </w:rPr>
        <w:t xml:space="preserve">5</w:t>
      </w:r>
      <w:r>
        <w:rPr>
          <w:rFonts w:ascii="仿宋" w:hAnsi="仿宋" w:eastAsia="仿宋" w:cs="仿宋"/>
          <w:color w:val="auto"/>
          <w:spacing w:val="-2"/>
          <w:sz w:val="28"/>
          <w:szCs w:val="28"/>
          <w:highlight w:val="none"/>
        </w:rPr>
        <w:t xml:space="preserve"> 任何与本合同相关但未在合同中明确约定的事项，应由双方友好</w:t>
      </w:r>
      <w:r>
        <w:rPr>
          <w:rFonts w:ascii="仿宋" w:hAnsi="仿宋" w:eastAsia="仿宋" w:cs="仿宋"/>
          <w:color w:val="auto"/>
          <w:spacing w:val="-6"/>
          <w:sz w:val="28"/>
          <w:szCs w:val="28"/>
          <w:highlight w:val="none"/>
        </w:rPr>
        <w:t xml:space="preserve">协商予以解决。</w:t>
      </w:r>
      <w:r/>
    </w:p>
    <w:p>
      <w:pPr>
        <w:ind w:left="618"/>
        <w:spacing w:before="150" w:line="217" w:lineRule="auto"/>
        <w:rPr>
          <w:rFonts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lang w:val="en-US" w:eastAsia="zh-CN"/>
        </w:rPr>
        <w:t xml:space="preserve">8.6</w:t>
      </w:r>
      <w:r>
        <w:rPr>
          <w:rFonts w:ascii="仿宋" w:hAnsi="仿宋" w:eastAsia="仿宋" w:cs="仿宋"/>
          <w:color w:val="auto"/>
          <w:spacing w:val="-2"/>
          <w:sz w:val="28"/>
          <w:szCs w:val="28"/>
          <w:highlight w:val="none"/>
        </w:rPr>
        <w:t xml:space="preserve"> 本合同中的相关义务，包括保密条款，如合同双方有特别约定，</w:t>
      </w:r>
      <w:r/>
    </w:p>
    <w:p>
      <w:pPr>
        <w:spacing w:before="91" w:line="216" w:lineRule="auto"/>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 xml:space="preserve">则在本合同解除或终止之后，仍对合同各方具有约束力。</w:t>
      </w:r>
      <w:r/>
    </w:p>
    <w:p>
      <w:pPr>
        <w:pStyle w:val="774"/>
        <w:spacing w:line="266" w:lineRule="auto"/>
        <w:rPr>
          <w:color w:val="auto"/>
          <w:highlight w:val="none"/>
          <w:lang w:eastAsia="zh-CN"/>
        </w:rPr>
      </w:pPr>
      <w:r>
        <w:rPr>
          <w:color w:val="auto"/>
          <w:highlight w:val="none"/>
          <w:lang w:eastAsia="zh-CN"/>
        </w:rPr>
      </w:r>
      <w:r/>
    </w:p>
    <w:p>
      <w:pPr>
        <w:ind w:left="618"/>
        <w:spacing w:before="92" w:line="219"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附件：项目价格明细表</w:t>
      </w:r>
      <w:r/>
    </w:p>
    <w:p>
      <w:pPr>
        <w:pStyle w:val="774"/>
        <w:spacing w:line="252" w:lineRule="auto"/>
        <w:rPr>
          <w:color w:val="auto"/>
          <w:highlight w:val="none"/>
          <w:lang w:eastAsia="zh-CN"/>
        </w:rPr>
      </w:pPr>
      <w:r>
        <w:rPr>
          <w:color w:val="auto"/>
          <w:highlight w:val="none"/>
          <w:lang w:eastAsia="zh-CN"/>
        </w:rPr>
      </w:r>
      <w:r/>
    </w:p>
    <w:p>
      <w:pPr>
        <w:pStyle w:val="774"/>
        <w:spacing w:line="253" w:lineRule="auto"/>
        <w:rPr>
          <w:color w:val="auto"/>
          <w:highlight w:val="none"/>
          <w:lang w:eastAsia="zh-CN"/>
        </w:rPr>
      </w:pPr>
      <w:r>
        <w:rPr>
          <w:color w:val="auto"/>
          <w:highlight w:val="none"/>
          <w:lang w:eastAsia="zh-CN"/>
        </w:rPr>
      </w:r>
      <w:r/>
    </w:p>
    <w:p>
      <w:pPr>
        <w:pStyle w:val="774"/>
        <w:spacing w:line="253" w:lineRule="auto"/>
        <w:rPr>
          <w:color w:val="auto"/>
          <w:highlight w:val="none"/>
          <w:lang w:eastAsia="zh-CN"/>
        </w:rPr>
      </w:pPr>
      <w:r>
        <w:rPr>
          <w:color w:val="auto"/>
          <w:highlight w:val="none"/>
          <w:lang w:eastAsia="zh-CN"/>
        </w:rPr>
      </w:r>
      <w:r/>
    </w:p>
    <w:p>
      <w:pPr>
        <w:pStyle w:val="774"/>
        <w:spacing w:line="253" w:lineRule="auto"/>
        <w:rPr>
          <w:color w:val="auto"/>
          <w:highlight w:val="none"/>
          <w:lang w:eastAsia="zh-CN"/>
        </w:rPr>
      </w:pPr>
      <w:r>
        <w:rPr>
          <w:color w:val="auto"/>
          <w:highlight w:val="none"/>
          <w:lang w:eastAsia="zh-CN"/>
        </w:rPr>
      </w:r>
      <w:r/>
    </w:p>
    <w:p>
      <w:pPr>
        <w:ind w:left="643"/>
        <w:spacing w:before="91" w:line="219" w:lineRule="auto"/>
        <w:rPr>
          <w:rFonts w:ascii="仿宋" w:hAnsi="仿宋" w:eastAsia="仿宋" w:cs="仿宋"/>
          <w:color w:val="auto"/>
          <w:sz w:val="28"/>
          <w:szCs w:val="28"/>
          <w:highlight w:val="none"/>
        </w:rPr>
      </w:pPr>
      <w:r>
        <w:rPr>
          <w:rFonts w:ascii="仿宋" w:hAnsi="仿宋" w:eastAsia="仿宋" w:cs="仿宋"/>
          <w:color w:val="auto"/>
          <w:spacing w:val="-15"/>
          <w:sz w:val="28"/>
          <w:szCs w:val="28"/>
          <w:highlight w:val="none"/>
        </w:rPr>
        <w:t xml:space="preserve">甲方（盖章</w:t>
      </w:r>
      <w:r>
        <w:rPr>
          <w:rFonts w:ascii="仿宋" w:hAnsi="仿宋" w:eastAsia="仿宋" w:cs="仿宋"/>
          <w:color w:val="auto"/>
          <w:spacing w:val="-11"/>
          <w:sz w:val="28"/>
          <w:szCs w:val="28"/>
          <w:highlight w:val="none"/>
        </w:rPr>
        <w:t xml:space="preserve">）：</w:t>
      </w:r>
      <w:r/>
    </w:p>
    <w:p>
      <w:pPr>
        <w:ind w:left="615"/>
        <w:spacing w:before="148" w:line="219" w:lineRule="auto"/>
        <w:rPr>
          <w:rFonts w:ascii="仿宋" w:hAnsi="仿宋" w:eastAsia="仿宋" w:cs="仿宋"/>
          <w:color w:val="auto"/>
          <w:sz w:val="28"/>
          <w:szCs w:val="28"/>
          <w:highlight w:val="none"/>
        </w:rPr>
      </w:pPr>
      <w:r>
        <w:rPr>
          <w:rFonts w:ascii="仿宋" w:hAnsi="仿宋" w:eastAsia="仿宋" w:cs="仿宋"/>
          <w:color w:val="auto"/>
          <w:spacing w:val="-7"/>
          <w:sz w:val="28"/>
          <w:szCs w:val="28"/>
          <w:highlight w:val="none"/>
        </w:rPr>
        <w:t xml:space="preserve">法定代表人或授权代表：</w:t>
      </w:r>
      <w:r/>
    </w:p>
    <w:p>
      <w:pPr>
        <w:ind w:left="613"/>
        <w:spacing w:before="148" w:line="219" w:lineRule="auto"/>
        <w:rPr>
          <w:rFonts w:ascii="仿宋" w:hAnsi="仿宋" w:eastAsia="仿宋" w:cs="仿宋"/>
          <w:color w:val="auto"/>
          <w:sz w:val="28"/>
          <w:szCs w:val="28"/>
          <w:highlight w:val="none"/>
        </w:rPr>
      </w:pPr>
      <w:r>
        <w:rPr>
          <w:rFonts w:ascii="仿宋" w:hAnsi="仿宋" w:eastAsia="仿宋" w:cs="仿宋"/>
          <w:color w:val="auto"/>
          <w:spacing w:val="-10"/>
          <w:sz w:val="28"/>
          <w:szCs w:val="28"/>
          <w:highlight w:val="none"/>
        </w:rPr>
        <w:t xml:space="preserve">签订日期：</w:t>
      </w:r>
      <w:r>
        <w:rPr>
          <w:rFonts w:ascii="仿宋" w:hAnsi="仿宋" w:eastAsia="仿宋" w:cs="仿宋"/>
          <w:color w:val="auto"/>
          <w:spacing w:val="5"/>
          <w:sz w:val="28"/>
          <w:szCs w:val="28"/>
          <w:highlight w:val="none"/>
        </w:rPr>
        <w:t xml:space="preserve">     </w:t>
      </w:r>
      <w:r>
        <w:rPr>
          <w:rFonts w:ascii="仿宋" w:hAnsi="仿宋" w:eastAsia="仿宋" w:cs="仿宋"/>
          <w:color w:val="auto"/>
          <w:spacing w:val="-10"/>
          <w:sz w:val="28"/>
          <w:szCs w:val="28"/>
          <w:highlight w:val="none"/>
        </w:rPr>
        <w:t xml:space="preserve">年</w:t>
      </w:r>
      <w:r>
        <w:rPr>
          <w:rFonts w:ascii="仿宋" w:hAnsi="仿宋" w:eastAsia="仿宋" w:cs="仿宋"/>
          <w:color w:val="auto"/>
          <w:spacing w:val="6"/>
          <w:sz w:val="28"/>
          <w:szCs w:val="28"/>
          <w:highlight w:val="none"/>
        </w:rPr>
        <w:t xml:space="preserve">     </w:t>
      </w:r>
      <w:r>
        <w:rPr>
          <w:rFonts w:ascii="仿宋" w:hAnsi="仿宋" w:eastAsia="仿宋" w:cs="仿宋"/>
          <w:color w:val="auto"/>
          <w:spacing w:val="-10"/>
          <w:sz w:val="28"/>
          <w:szCs w:val="28"/>
          <w:highlight w:val="none"/>
        </w:rPr>
        <w:t xml:space="preserve">月</w:t>
      </w:r>
      <w:r>
        <w:rPr>
          <w:rFonts w:ascii="仿宋" w:hAnsi="仿宋" w:eastAsia="仿宋" w:cs="仿宋"/>
          <w:color w:val="auto"/>
          <w:spacing w:val="16"/>
          <w:sz w:val="28"/>
          <w:szCs w:val="28"/>
          <w:highlight w:val="none"/>
        </w:rPr>
        <w:t xml:space="preserve">     </w:t>
      </w:r>
      <w:r>
        <w:rPr>
          <w:rFonts w:ascii="仿宋" w:hAnsi="仿宋" w:eastAsia="仿宋" w:cs="仿宋"/>
          <w:color w:val="auto"/>
          <w:spacing w:val="-10"/>
          <w:sz w:val="28"/>
          <w:szCs w:val="28"/>
          <w:highlight w:val="none"/>
        </w:rPr>
        <w:t xml:space="preserve">日</w:t>
      </w:r>
      <w:r/>
    </w:p>
    <w:p>
      <w:pPr>
        <w:pStyle w:val="774"/>
        <w:spacing w:line="252" w:lineRule="auto"/>
        <w:rPr>
          <w:color w:val="auto"/>
          <w:highlight w:val="none"/>
          <w:lang w:eastAsia="zh-CN"/>
        </w:rPr>
      </w:pPr>
      <w:r>
        <w:rPr>
          <w:color w:val="auto"/>
          <w:highlight w:val="none"/>
          <w:lang w:eastAsia="zh-CN"/>
        </w:rPr>
      </w:r>
      <w:r/>
    </w:p>
    <w:p>
      <w:pPr>
        <w:pStyle w:val="774"/>
        <w:spacing w:line="252" w:lineRule="auto"/>
        <w:rPr>
          <w:color w:val="auto"/>
          <w:highlight w:val="none"/>
          <w:lang w:eastAsia="zh-CN"/>
        </w:rPr>
      </w:pPr>
      <w:r>
        <w:rPr>
          <w:color w:val="auto"/>
          <w:highlight w:val="none"/>
          <w:lang w:eastAsia="zh-CN"/>
        </w:rPr>
      </w:r>
      <w:r/>
    </w:p>
    <w:p>
      <w:pPr>
        <w:pStyle w:val="774"/>
        <w:spacing w:line="253" w:lineRule="auto"/>
        <w:rPr>
          <w:color w:val="auto"/>
          <w:highlight w:val="none"/>
          <w:lang w:eastAsia="zh-CN"/>
        </w:rPr>
      </w:pPr>
      <w:r>
        <w:rPr>
          <w:color w:val="auto"/>
          <w:highlight w:val="none"/>
          <w:lang w:eastAsia="zh-CN"/>
        </w:rPr>
      </w:r>
      <w:r/>
    </w:p>
    <w:p>
      <w:pPr>
        <w:pStyle w:val="774"/>
        <w:spacing w:line="253" w:lineRule="auto"/>
        <w:rPr>
          <w:color w:val="auto"/>
          <w:highlight w:val="none"/>
          <w:lang w:eastAsia="zh-CN"/>
        </w:rPr>
      </w:pPr>
      <w:r>
        <w:rPr>
          <w:color w:val="auto"/>
          <w:highlight w:val="none"/>
          <w:lang w:eastAsia="zh-CN"/>
        </w:rPr>
      </w:r>
      <w:r/>
    </w:p>
    <w:p>
      <w:pPr>
        <w:ind w:left="626"/>
        <w:spacing w:before="91" w:line="219" w:lineRule="auto"/>
        <w:rPr>
          <w:rFonts w:ascii="仿宋" w:hAnsi="仿宋" w:eastAsia="仿宋" w:cs="仿宋"/>
          <w:color w:val="auto"/>
          <w:sz w:val="28"/>
          <w:szCs w:val="28"/>
          <w:highlight w:val="none"/>
        </w:rPr>
      </w:pPr>
      <w:r>
        <w:rPr>
          <w:rFonts w:ascii="仿宋" w:hAnsi="仿宋" w:eastAsia="仿宋" w:cs="仿宋"/>
          <w:color w:val="auto"/>
          <w:spacing w:val="-12"/>
          <w:sz w:val="28"/>
          <w:szCs w:val="28"/>
          <w:highlight w:val="none"/>
        </w:rPr>
        <w:t xml:space="preserve">乙方（盖章</w:t>
      </w:r>
      <w:r>
        <w:rPr>
          <w:rFonts w:ascii="仿宋" w:hAnsi="仿宋" w:eastAsia="仿宋" w:cs="仿宋"/>
          <w:color w:val="auto"/>
          <w:spacing w:val="-10"/>
          <w:sz w:val="28"/>
          <w:szCs w:val="28"/>
          <w:highlight w:val="none"/>
        </w:rPr>
        <w:t xml:space="preserve">）：</w:t>
      </w:r>
      <w:r/>
    </w:p>
    <w:p>
      <w:pPr>
        <w:ind w:left="615"/>
        <w:spacing w:before="148" w:line="219" w:lineRule="auto"/>
        <w:rPr>
          <w:rFonts w:ascii="仿宋" w:hAnsi="仿宋" w:eastAsia="仿宋" w:cs="仿宋"/>
          <w:color w:val="auto"/>
          <w:sz w:val="28"/>
          <w:szCs w:val="28"/>
          <w:highlight w:val="none"/>
        </w:rPr>
      </w:pPr>
      <w:r>
        <w:rPr>
          <w:rFonts w:ascii="仿宋" w:hAnsi="仿宋" w:eastAsia="仿宋" w:cs="仿宋"/>
          <w:color w:val="auto"/>
          <w:spacing w:val="-7"/>
          <w:sz w:val="28"/>
          <w:szCs w:val="28"/>
          <w:highlight w:val="none"/>
        </w:rPr>
        <w:t xml:space="preserve">法定代表人或授权代表：</w:t>
      </w:r>
      <w:r/>
    </w:p>
    <w:p>
      <w:pPr>
        <w:ind w:left="613"/>
        <w:spacing w:before="148" w:line="219" w:lineRule="auto"/>
        <w:rPr>
          <w:rFonts w:ascii="仿宋" w:hAnsi="仿宋" w:eastAsia="仿宋" w:cs="仿宋"/>
          <w:color w:val="auto"/>
          <w:sz w:val="28"/>
          <w:szCs w:val="28"/>
          <w:highlight w:val="none"/>
        </w:rPr>
      </w:pPr>
      <w:r>
        <w:rPr>
          <w:rFonts w:ascii="仿宋" w:hAnsi="仿宋" w:eastAsia="仿宋" w:cs="仿宋"/>
          <w:color w:val="auto"/>
          <w:spacing w:val="-10"/>
          <w:sz w:val="28"/>
          <w:szCs w:val="28"/>
          <w:highlight w:val="none"/>
        </w:rPr>
        <w:t xml:space="preserve">签订日期：</w:t>
      </w:r>
      <w:r>
        <w:rPr>
          <w:rFonts w:ascii="仿宋" w:hAnsi="仿宋" w:eastAsia="仿宋" w:cs="仿宋"/>
          <w:color w:val="auto"/>
          <w:spacing w:val="5"/>
          <w:sz w:val="28"/>
          <w:szCs w:val="28"/>
          <w:highlight w:val="none"/>
        </w:rPr>
        <w:t xml:space="preserve">     </w:t>
      </w:r>
      <w:r>
        <w:rPr>
          <w:rFonts w:ascii="仿宋" w:hAnsi="仿宋" w:eastAsia="仿宋" w:cs="仿宋"/>
          <w:color w:val="auto"/>
          <w:spacing w:val="-10"/>
          <w:sz w:val="28"/>
          <w:szCs w:val="28"/>
          <w:highlight w:val="none"/>
        </w:rPr>
        <w:t xml:space="preserve">年</w:t>
      </w:r>
      <w:r>
        <w:rPr>
          <w:rFonts w:ascii="仿宋" w:hAnsi="仿宋" w:eastAsia="仿宋" w:cs="仿宋"/>
          <w:color w:val="auto"/>
          <w:spacing w:val="6"/>
          <w:sz w:val="28"/>
          <w:szCs w:val="28"/>
          <w:highlight w:val="none"/>
        </w:rPr>
        <w:t xml:space="preserve">     </w:t>
      </w:r>
      <w:r>
        <w:rPr>
          <w:rFonts w:ascii="仿宋" w:hAnsi="仿宋" w:eastAsia="仿宋" w:cs="仿宋"/>
          <w:color w:val="auto"/>
          <w:spacing w:val="-10"/>
          <w:sz w:val="28"/>
          <w:szCs w:val="28"/>
          <w:highlight w:val="none"/>
        </w:rPr>
        <w:t xml:space="preserve">月</w:t>
      </w:r>
      <w:r>
        <w:rPr>
          <w:rFonts w:ascii="仿宋" w:hAnsi="仿宋" w:eastAsia="仿宋" w:cs="仿宋"/>
          <w:color w:val="auto"/>
          <w:spacing w:val="16"/>
          <w:sz w:val="28"/>
          <w:szCs w:val="28"/>
          <w:highlight w:val="none"/>
        </w:rPr>
        <w:t xml:space="preserve">     </w:t>
      </w:r>
      <w:r>
        <w:rPr>
          <w:rFonts w:ascii="仿宋" w:hAnsi="仿宋" w:eastAsia="仿宋" w:cs="仿宋"/>
          <w:color w:val="auto"/>
          <w:spacing w:val="-10"/>
          <w:sz w:val="28"/>
          <w:szCs w:val="28"/>
          <w:highlight w:val="none"/>
        </w:rPr>
        <w:t xml:space="preserve">日</w:t>
      </w:r>
      <w:r/>
    </w:p>
    <w:p>
      <w:pPr>
        <w:jc w:val="center"/>
        <w:spacing w:line="520" w:lineRule="exact"/>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bCs/>
          <w:color w:val="auto"/>
          <w:sz w:val="28"/>
          <w:szCs w:val="28"/>
          <w:highlight w:val="none"/>
        </w:rPr>
        <w:t xml:space="preserve">二、合同通用条款</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1.定义</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本合同中下列术语应解释为:</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（1）“合同”系指甲方和乙方（以下简称合同双方）签署的、合同格式中列明的合同双方所达成的协议，包括所有的附件、附录和构成合同的所有文件。</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（2）“合同价”系指根据合同规定，乙方在完全履行合同义务后甲方应支付给乙方的价格。</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（3）“货物（含相关服务）”系指乙方按合同要求，须向甲方提供的一切设备、机械、仪表、备件、工具、技术及手册等有关材料。</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（4）“服务”系指根据合同规定乙方承担与供货有关的所有辅助服务，如运输、保险以及</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的服务，如安装、调试、提供技术援助、培训和其他类似的义务。</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（5）“甲方”系指购买货物（含相关服务）的单位。</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（6）“乙方”系指根据合同规定提供货物（含相关服务）和服务的</w:t>
      </w:r>
      <w:r>
        <w:rPr>
          <w:rFonts w:hint="eastAsia" w:ascii="仿宋" w:hAnsi="仿宋" w:eastAsia="仿宋" w:cs="仿宋"/>
          <w:color w:val="auto"/>
          <w:sz w:val="28"/>
          <w:szCs w:val="28"/>
          <w:highlight w:val="none"/>
          <w:lang w:val="en-US" w:eastAsia="zh-CN"/>
        </w:rPr>
        <w:t xml:space="preserve">中标</w:t>
      </w:r>
      <w:r>
        <w:rPr>
          <w:rFonts w:hint="eastAsia" w:ascii="仿宋" w:hAnsi="仿宋" w:eastAsia="仿宋" w:cs="仿宋"/>
          <w:color w:val="auto"/>
          <w:sz w:val="28"/>
          <w:szCs w:val="28"/>
          <w:highlight w:val="none"/>
          <w:lang w:eastAsia="zh-CN"/>
        </w:rPr>
        <w:t xml:space="preserve">人</w:t>
      </w:r>
      <w:r>
        <w:rPr>
          <w:rFonts w:hint="eastAsia" w:ascii="仿宋" w:hAnsi="仿宋" w:eastAsia="仿宋" w:cs="仿宋"/>
          <w:color w:val="auto"/>
          <w:sz w:val="28"/>
          <w:szCs w:val="28"/>
          <w:highlight w:val="none"/>
        </w:rPr>
        <w:t xml:space="preserve">。</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2.技术规范</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提交货物（含相关服务）的技术规范应与招标文件的技术规范和技术规范附件（如果有的话）及投标文件的规格响应表（如果被甲方接受的话）相一致。若技术规范中无相应说明，则以国家有关部门最新颁布的相应标准及规范为准。</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3.专利权</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乙方须保障甲方在使用该货物（含相关服务）或其任何一部分时不受到第三方关于侵犯专利权、商标权、版权、专有技术等权利的指控。如果任何第三方提出侵权指控，乙方须与第三方交涉并承担可能发生的一切损失和费用。</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4.包装要求</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4.1除合同另有规定外，乙方提供的全部货物（含相关服务），均应按相应的标准保护措施进行包装，使包装适应于远距离运输、防潮、防震、防锈和防粗暴装卸，确保货物（含相关服务）安全无损</w:t>
      </w:r>
      <w:r>
        <w:rPr>
          <w:rFonts w:hint="eastAsia" w:ascii="仿宋" w:hAnsi="仿宋" w:eastAsia="仿宋" w:cs="仿宋"/>
          <w:color w:val="auto"/>
          <w:sz w:val="28"/>
          <w:szCs w:val="28"/>
          <w:highlight w:val="none"/>
          <w:lang w:eastAsia="zh-CN"/>
        </w:rPr>
        <w:t xml:space="preserve">运抵</w:t>
      </w:r>
      <w:r>
        <w:rPr>
          <w:rFonts w:hint="eastAsia" w:ascii="仿宋" w:hAnsi="仿宋" w:eastAsia="仿宋" w:cs="仿宋"/>
          <w:color w:val="auto"/>
          <w:sz w:val="28"/>
          <w:szCs w:val="28"/>
          <w:highlight w:val="none"/>
        </w:rPr>
        <w:t xml:space="preserve">现场。由于包装不善所引起的货物（含相关服务）锈蚀、损坏和损失均由乙方承担。</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4.2每件包装箱内应附一份详细装箱单和质量合格证。</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5.装运标志</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5.1乙方应在每一包装箱邻接的四侧用不褪色的油漆以醒目的中文字样做出下列标记:</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（1）收货人</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（2）合同号</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（3）装运标志</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（4）收货人代号</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（5）目的地</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（6）货物（含相关服务）名称、品目号和箱号</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（7）毛重／净重</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（8）尺寸（长X宽X高，以厘米计）</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如果货物（含相关服务）单件重量在两吨或两吨以上，乙方应在每件包装箱的两侧用中文和适当的运输标志标明“重心”和“吊装点”，以便装卸和搬运。根据货物（含相关服务）的特点和运输的不同要求，乙方应在包装箱上清楚地标有‘小心轻放”、“勿倒置”、“防潮”等字样和其他适当的标记。</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5.3因缺少装运标志或者装运标志不明确导致货物在运输、装卸过程中产生的损失，乙方应承担相应的过错责任。</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6.付款方式</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6.1本合同以人民币付款。</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6.2乙方应按照与甲方签订的合同规定交货。交货后乙方向甲方提供下列单据，甲方按合同规定审核后付款:</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（1）发票；</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（2）制造厂家出具的质量检验证书等；</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（3）装箱单；</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（4）验收合格证；</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（5）使用方加盖公章证明货物交付使用合格的验收表。</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6.3甲方将按招标文件中规定的付款方式安排付款。</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7.伴随服务</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7.1乙方应按照国家有关规定和合同中所附的服务承诺提供服务。</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7.2除第7.1条规定外，乙方还应提供下列服务:</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（1）货物的现场安装和启动监督；</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（2）提供货物组装和维修所需的工具；</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（3）在合同中乙方承诺的期限内对所提供货物实施运行监督、维修，但前提条件是该服务并不能免除乙方在质量保证期内应承担的义务；</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（4）在项目交货现场就货物的安装、启动、运行、维护对甲方人员进行培训。</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7.3伴随服务的费用应含在合同价中，不单独进行支付。</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8.质量保证</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乙方应保证货物（含相关服务）是全新的，未使用过的，是用一流的工艺和最佳材料制造而成的，并完全符合合同规定的质量、规格和性能要求。乙方应保证所提供的货物（含相关服务）经正确安装、正常运转和保养在其使用寿命期内应具有满意的性能。在货物（含相关服务）质量保证期内，乙方应对由于设计、工艺或材料的缺陷而造成的任何不足或故障负责。</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根据甲方按检验标准自己检验的结果或当地商检部门检验结果，或者在质量保证期内，如果货物（含相关服务）的数量、质量或规格与合同不符，或证实货物（含相关服务）是有缺陷的，包括潜在缺陷或使用不符合要求的材料等，甲方应在一个月内以书面形式通知乙方，提出索赔。</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8.3乙方在收到通知后三十天内应免费维修或更换有缺陷的货物（含相关服务）或部件。</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8.4如果乙方在收到通知后三十天内没有弥补缺陷，甲方可采取必要的补救措施，但风险和费用将由乙方承担。</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8.5除合同专用条款规定外，合同项下货物（含相关服务）的质量保证期为自货物（含相关服务）通过最终验收起12个月。</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9.检验及安装</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在交货前，制造商应对货物（含相关服务）的质量、规格、性能、数量和重量等进行详细而全面的检验，并出具一份证明货物（含相关服务）符合合同规定的证书。该证书将作为申请付款单据的一部分，但有关质量、规格、性能、数量或重量的检验不应视为最终检验。制造商检验的结果和细节应在证书中加以说明。</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货物（含相关服务）运抵现场后，甲方将对货物（含相关服务）的质量、规格、数量和重量进行检验，并出具检验证书。如发现货物（含相关服务）的规格或数量或两者都与合同不符，甲方有权在货物（含相关服务）运抵现场后90天内，根据甲方按检验标准自己检验的结果或当地商检部门出具的检验证书向乙方提出索赔，除责任由保险公司或运输部门承担的</w:t>
      </w:r>
      <w:r>
        <w:rPr>
          <w:rFonts w:hint="eastAsia" w:ascii="仿宋" w:hAnsi="仿宋" w:eastAsia="仿宋" w:cs="仿宋"/>
          <w:color w:val="auto"/>
          <w:sz w:val="28"/>
          <w:szCs w:val="28"/>
          <w:highlight w:val="none"/>
          <w:lang w:eastAsia="zh-CN"/>
        </w:rPr>
        <w:t xml:space="preserve">情况之外</w:t>
      </w:r>
      <w:r>
        <w:rPr>
          <w:rFonts w:hint="eastAsia" w:ascii="仿宋" w:hAnsi="仿宋" w:eastAsia="仿宋" w:cs="仿宋"/>
          <w:color w:val="auto"/>
          <w:sz w:val="28"/>
          <w:szCs w:val="28"/>
          <w:highlight w:val="none"/>
        </w:rPr>
        <w:t xml:space="preserve">。</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9.3如果货物（含相关服务）的质量和规格与合同不符，或在第11条规定的质量保证期内证实货物（含相关服务）是有缺陷的，包括潜在的缺陷或使用不符合要求的材料，甲方将有权向乙方提出索赔。</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9.4甲方有权提出在货物（含相关服务）制造过程中派人到制造厂进行监造，乙方有义务为甲方监造人员提供方便。</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9.5制造厂对所供货物（含相关服务）进行机械运转试验和性能试验时，必须提前通知甲方。</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9.6货物（含相关服务）的安装按招标文件要求进行。</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10.索赔</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10.1除责任应由保险公司或运输部门承担的之外，甲方有权根据甲方按检验标准自己检验的结果或当地商检部门出具的商检证书向乙方提出索赔。</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10.2在第8条和第9条规定的检验期和质量保证期内，如果乙方对甲方提出的索赔和差异负有责任，乙方应按照甲方同意的下列一种或多种方式解决索赔事宜:</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同意退货，并按合同规定的同种货币将货款退还给甲方，并承担由此发生的一切损失和费用，包括利息、银行手续费、运费、保险费、检验费、仓储费、装卸费以及为保护退回货物（含相关服务）所需的</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必要费用。</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（2）根据货物（含相关服务）的低劣程度、损坏程度以及甲方遭受损失的数额，经买卖双方商定降低货物（含相关服务）的价格。</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用符合规格、质量和性能要求的新零件、部件或货物（含相关服务）来更换有缺陷的部分或修补缺陷部分，乙方应承担一切费用和风险并负担甲方所发生的一切直接费用。同时，乙方应按合同第8条规定，相应延长修补或被更换部件或货物（含相关服务）的质量保证期。 </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10.3如果在甲方发出索赔通知后30天内，乙方未能答复，</w:t>
      </w:r>
      <w:r>
        <w:rPr>
          <w:rFonts w:hint="eastAsia" w:ascii="仿宋" w:hAnsi="仿宋" w:eastAsia="仿宋" w:cs="仿宋"/>
          <w:color w:val="auto"/>
          <w:sz w:val="28"/>
          <w:szCs w:val="28"/>
          <w:highlight w:val="none"/>
          <w:lang w:eastAsia="zh-CN"/>
        </w:rPr>
        <w:t xml:space="preserve">上述</w:t>
      </w:r>
      <w:r>
        <w:rPr>
          <w:rFonts w:hint="eastAsia" w:ascii="仿宋" w:hAnsi="仿宋" w:eastAsia="仿宋" w:cs="仿宋"/>
          <w:color w:val="auto"/>
          <w:sz w:val="28"/>
          <w:szCs w:val="28"/>
          <w:highlight w:val="none"/>
        </w:rPr>
        <w:t xml:space="preserve">索赔应视为已被乙方接受。若乙方未能在甲方提出索赔通知后30天内或甲方同意的更长时间内，按照第10.2条规定的任何一种方法解决索赔事宜，甲方将从已付款中扣回索赔</w:t>
      </w:r>
      <w:r>
        <w:rPr>
          <w:rFonts w:hint="eastAsia" w:ascii="仿宋" w:hAnsi="仿宋" w:eastAsia="仿宋" w:cs="仿宋"/>
          <w:color w:val="auto"/>
          <w:sz w:val="28"/>
          <w:szCs w:val="28"/>
          <w:highlight w:val="none"/>
          <w:lang w:eastAsia="zh-CN"/>
        </w:rPr>
        <w:t xml:space="preserve">金额</w:t>
      </w:r>
      <w:r>
        <w:rPr>
          <w:rFonts w:hint="eastAsia" w:ascii="仿宋" w:hAnsi="仿宋" w:eastAsia="仿宋" w:cs="仿宋"/>
          <w:color w:val="auto"/>
          <w:sz w:val="28"/>
          <w:szCs w:val="28"/>
          <w:highlight w:val="none"/>
        </w:rPr>
        <w:t xml:space="preserve">。如果这些金额不足以补偿索赔金额，甲方有权向乙方提出不足部分的补偿。</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11.拖延交货</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11.1乙方应按照合同专用条款中规定的交货期交货和提供服务。</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11.2如果乙方毫无理由地拖延交货，将受到以下制裁:加收违约损失赔偿和／或终止合同。</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12.误期赔偿</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13.不可抗力</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13.1如果双方中任何一方由于战争、严重火灾、水灾、台风和地震以及其它经双方同意属于不可抗力的事故，致使合同履行受阻时，履行合同的期限应予以延长，延长的期限应相当于事故所影响的时间。 </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14.税费</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14.1中国政府根据现行税法规定对甲方征收的与本合同有关的一切税费，均由甲方负担。</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14.2中国政府根据现行税法规定对乙方征收的与本合同有关的一切税费均由乙方负担。</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15.仲裁</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15.1买卖双方应通过友好协商，解决在执行本合同中所发生的或与本合同有关的一切争端，如果协商仍得不到解决，任何一方均可</w:t>
      </w:r>
      <w:r>
        <w:rPr>
          <w:rFonts w:hint="eastAsia" w:ascii="仿宋" w:hAnsi="仿宋" w:eastAsia="仿宋" w:cs="仿宋"/>
          <w:color w:val="auto"/>
          <w:sz w:val="28"/>
          <w:szCs w:val="28"/>
          <w:highlight w:val="none"/>
          <w:lang w:eastAsia="zh-CN"/>
        </w:rPr>
        <w:t xml:space="preserve">按照《中华人民共和国合同法》</w:t>
      </w:r>
      <w:r>
        <w:rPr>
          <w:rFonts w:hint="eastAsia" w:ascii="仿宋" w:hAnsi="仿宋" w:eastAsia="仿宋" w:cs="仿宋"/>
          <w:color w:val="auto"/>
          <w:sz w:val="28"/>
          <w:szCs w:val="28"/>
          <w:highlight w:val="none"/>
        </w:rPr>
        <w:t xml:space="preserve">规定提交调解和仲裁。</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15.2仲裁裁决应为终局裁决，对双方均具有约束力。</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15.3仲裁费除仲裁机构另有裁决外应由败诉方负担。</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15.4在仲裁期间，除正在进行仲裁的部分外，合同</w:t>
      </w:r>
      <w:r>
        <w:rPr>
          <w:rFonts w:hint="eastAsia" w:ascii="仿宋" w:hAnsi="仿宋" w:eastAsia="仿宋" w:cs="仿宋"/>
          <w:color w:val="auto"/>
          <w:sz w:val="28"/>
          <w:szCs w:val="28"/>
          <w:highlight w:val="none"/>
          <w:lang w:eastAsia="zh-CN"/>
        </w:rPr>
        <w:t xml:space="preserve">其他部分</w:t>
      </w:r>
      <w:r>
        <w:rPr>
          <w:rFonts w:hint="eastAsia" w:ascii="仿宋" w:hAnsi="仿宋" w:eastAsia="仿宋" w:cs="仿宋"/>
          <w:color w:val="auto"/>
          <w:sz w:val="28"/>
          <w:szCs w:val="28"/>
          <w:highlight w:val="none"/>
        </w:rPr>
        <w:t xml:space="preserve">继续执行。</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16.违约终止合同</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乙方有下列违约情况之一，并在收到甲方违约通知后的合理时间内，或经甲方书面认可延长的时间内未能纠正其过失，甲方可向乙方发出书面通知，终止部分或全部合同。在这种情况下，并不影响甲方向乙方提出索赔。</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（1）如果乙方未能在合同规定的期限或甲方同意延期的限期内提供全部或部分货物（含相关服务）；</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（2）如果乙方未能履行合同规定的其它义务。</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16.2在甲方根据第17.1条规定，终止了全部或部分合同，甲方可以依其认为适当的条件和方式购买与未交货物（含相关服务）类似的货物（含相关服务），乙方应对购买类似货物（含相关服务）所超出的费用负责。而且乙方还应继续执行合同中未终止的部分。</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17.破产中止合同</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17.1如果乙方破产或无清偿能力，甲方可在任何时候以书面形式通知乙方</w:t>
      </w:r>
      <w:r>
        <w:rPr>
          <w:rFonts w:hint="eastAsia" w:ascii="仿宋" w:hAnsi="仿宋" w:eastAsia="仿宋" w:cs="仿宋"/>
          <w:color w:val="auto"/>
          <w:sz w:val="28"/>
          <w:szCs w:val="28"/>
          <w:highlight w:val="none"/>
          <w:lang w:eastAsia="zh-CN"/>
        </w:rPr>
        <w:t xml:space="preserve">终止合同</w:t>
      </w:r>
      <w:r>
        <w:rPr>
          <w:rFonts w:hint="eastAsia" w:ascii="仿宋" w:hAnsi="仿宋" w:eastAsia="仿宋" w:cs="仿宋"/>
          <w:color w:val="auto"/>
          <w:sz w:val="28"/>
          <w:szCs w:val="28"/>
          <w:highlight w:val="none"/>
        </w:rPr>
        <w:t xml:space="preserve">而不给乙方补偿。该中止合同将不损害或影响甲方和使用方已经采取或将要采取的任何行动或补救措施的权力。</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18.转让</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18.1除甲方事先书面同意外，乙方不得部分转让或全部转让其应履行的合同义务。</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19.合同生效及其它</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19.1本次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19.2乙方必须无条件接受财政、水利、审计单位和本单位对本项目实际成本的延伸审计或资金使用情况检查。</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19.3本合同应在甲、乙双方签字盖章后生效。</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19.4本合同一式肆份，以中文书就，甲、乙双方各执贰份。</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19.5合同货物交付使用后所发生的合同纠纷，甲方与乙方进行处理。</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19.6如需修改或补充合同内容，应经甲、乙双方协商，签署书面修改或补充协议。该协议将作为本合同不可分割的一部分。</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19.7本合同应按照中华人民共和国的现行法律进行解释。</w:t>
      </w:r>
      <w:r/>
    </w:p>
    <w:p>
      <w:pPr>
        <w:ind w:firstLine="560"/>
        <w:jc w:val="left"/>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968"/>
        <w:ind w:firstLine="2150"/>
        <w:spacing w:line="440" w:lineRule="exact"/>
        <w:rPr>
          <w:rFonts w:hAnsi="宋体"/>
          <w:b/>
          <w:bCs/>
          <w:color w:val="auto"/>
          <w:sz w:val="36"/>
          <w:szCs w:val="36"/>
          <w:highlight w:val="none"/>
        </w:rPr>
      </w:pPr>
      <w:r>
        <w:rPr>
          <w:rFonts w:hAnsi="宋体"/>
          <w:b/>
          <w:bCs/>
          <w:color w:val="auto"/>
          <w:sz w:val="36"/>
          <w:szCs w:val="36"/>
          <w:highlight w:val="none"/>
        </w:rPr>
      </w:r>
      <w:r/>
    </w:p>
    <w:p>
      <w:pPr>
        <w:pStyle w:val="968"/>
        <w:ind w:firstLine="2150"/>
        <w:spacing w:line="440" w:lineRule="exact"/>
        <w:rPr>
          <w:rFonts w:hAnsi="宋体"/>
          <w:b/>
          <w:bCs/>
          <w:color w:val="auto"/>
          <w:sz w:val="36"/>
          <w:szCs w:val="36"/>
          <w:highlight w:val="none"/>
        </w:rPr>
        <w:sectPr>
          <w:footerReference w:type="default" r:id="rId13"/>
          <w:footnotePr/>
          <w:endnotePr/>
          <w:type w:val="nextPage"/>
          <w:pgSz w:w="11906" w:h="16838" w:orient="portrait"/>
          <w:pgMar w:top="1560" w:right="1418" w:bottom="1440" w:left="1797" w:header="851" w:footer="992" w:gutter="0"/>
          <w:pgNumType w:start="1"/>
          <w:cols w:num="1" w:sep="0" w:space="1701" w:equalWidth="1"/>
          <w:docGrid w:linePitch="360"/>
        </w:sectPr>
      </w:pPr>
      <w:r>
        <w:rPr>
          <w:rFonts w:hAnsi="宋体"/>
          <w:b/>
          <w:bCs/>
          <w:color w:val="auto"/>
          <w:sz w:val="36"/>
          <w:szCs w:val="36"/>
          <w:highlight w:val="none"/>
        </w:rPr>
      </w:r>
      <w:r/>
    </w:p>
    <w:p>
      <w:pPr>
        <w:pStyle w:val="968"/>
        <w:jc w:val="center"/>
        <w:spacing w:line="520" w:lineRule="exact"/>
        <w:rPr>
          <w:rFonts w:ascii="仿宋" w:hAnsi="仿宋" w:eastAsia="仿宋"/>
          <w:b/>
          <w:bCs/>
          <w:color w:val="auto"/>
          <w:sz w:val="36"/>
          <w:szCs w:val="36"/>
          <w:highlight w:val="none"/>
          <w:lang w:val="zh-CN"/>
        </w:rPr>
      </w:pPr>
      <w:r>
        <w:rPr>
          <w:rFonts w:hint="eastAsia" w:ascii="仿宋" w:hAnsi="仿宋" w:eastAsia="仿宋"/>
          <w:b/>
          <w:bCs/>
          <w:color w:val="auto"/>
          <w:sz w:val="36"/>
          <w:szCs w:val="36"/>
          <w:highlight w:val="none"/>
        </w:rPr>
        <w:t xml:space="preserve">第五章  项目采购需求</w:t>
      </w:r>
      <w:r/>
    </w:p>
    <w:p>
      <w:pPr>
        <w:ind w:firstLine="560"/>
        <w:jc w:val="left"/>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一、项目概况</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淮阴区生活类应急救灾物资采购项目</w:t>
      </w:r>
      <w:r>
        <w:rPr>
          <w:rFonts w:hint="eastAsia" w:ascii="仿宋" w:hAnsi="仿宋" w:eastAsia="仿宋" w:cs="仿宋"/>
          <w:color w:val="auto"/>
          <w:sz w:val="28"/>
          <w:szCs w:val="28"/>
          <w:highlight w:val="none"/>
        </w:rPr>
        <w:t xml:space="preserve">，具体详见采购清单。</w:t>
      </w:r>
      <w:r/>
    </w:p>
    <w:p>
      <w:pPr>
        <w:numPr>
          <w:ilvl w:val="0"/>
          <w:numId w:val="6"/>
        </w:numPr>
        <w:ind w:firstLine="560"/>
        <w:jc w:val="left"/>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采购清单及技术参数</w:t>
      </w:r>
      <w:r/>
    </w:p>
    <w:p>
      <w:pPr>
        <w:numPr>
          <w:ilvl w:val="0"/>
          <w:numId w:val="0"/>
        </w:numPr>
        <w:jc w:val="center"/>
        <w:spacing w:line="520" w:lineRule="exact"/>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采购清单</w:t>
      </w:r>
      <w:r/>
    </w:p>
    <w:tbl>
      <w:tblPr>
        <w:tblStyle w:val="795"/>
        <w:tblW w:w="8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776"/>
        <w:gridCol w:w="1011"/>
        <w:gridCol w:w="1377"/>
        <w:gridCol w:w="1129"/>
        <w:gridCol w:w="1335"/>
        <w:gridCol w:w="1335"/>
      </w:tblGrid>
      <w:tr>
        <w:trPr>
          <w:trHeight w:val="623"/>
        </w:trPr>
        <w:tc>
          <w:tcPr>
            <w:tcW w:w="892"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序号</w:t>
            </w:r>
            <w:r/>
          </w:p>
        </w:tc>
        <w:tc>
          <w:tcPr>
            <w:tcW w:w="1776"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项目名称</w:t>
            </w:r>
            <w:r/>
          </w:p>
        </w:tc>
        <w:tc>
          <w:tcPr>
            <w:tcW w:w="1011"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单位</w:t>
            </w:r>
            <w:r/>
          </w:p>
        </w:tc>
        <w:tc>
          <w:tcPr>
            <w:tcW w:w="1377"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数量</w:t>
            </w:r>
            <w:r/>
          </w:p>
        </w:tc>
        <w:tc>
          <w:tcPr>
            <w:tcW w:w="1129"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vertAlign w:val="baseline"/>
                <w:lang w:val="en-US" w:eastAsia="zh-CN"/>
              </w:rPr>
              <w:t xml:space="preserve">单价</w:t>
            </w:r>
            <w:r/>
          </w:p>
        </w:tc>
        <w:tc>
          <w:tcPr>
            <w:tcW w:w="1335" w:type="dxa"/>
            <w:textDirection w:val="lrTb"/>
            <w:noWrap w:val="false"/>
          </w:tcPr>
          <w:p>
            <w:pPr>
              <w:jc w:val="center"/>
              <w:spacing w:line="440" w:lineRule="exact"/>
              <w:rPr>
                <w:rFonts w:hint="default"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总价</w:t>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备注</w:t>
            </w:r>
            <w:r/>
          </w:p>
        </w:tc>
      </w:tr>
      <w:tr>
        <w:trPr>
          <w:trHeight w:val="623"/>
        </w:trPr>
        <w:tc>
          <w:tcPr>
            <w:tcW w:w="892"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1</w:t>
            </w:r>
            <w:r/>
          </w:p>
        </w:tc>
        <w:tc>
          <w:tcPr>
            <w:tcW w:w="1776"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单帐篷</w:t>
            </w:r>
            <w:r/>
          </w:p>
        </w:tc>
        <w:tc>
          <w:tcPr>
            <w:tcW w:w="1011"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顶</w:t>
            </w:r>
            <w:r/>
          </w:p>
        </w:tc>
        <w:tc>
          <w:tcPr>
            <w:tcW w:w="1377"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400</w:t>
            </w:r>
            <w:r/>
          </w:p>
        </w:tc>
        <w:tc>
          <w:tcPr>
            <w:tcW w:w="1129"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r>
      <w:tr>
        <w:trPr>
          <w:trHeight w:val="623"/>
        </w:trPr>
        <w:tc>
          <w:tcPr>
            <w:tcW w:w="892"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2</w:t>
            </w:r>
            <w:r/>
          </w:p>
        </w:tc>
        <w:tc>
          <w:tcPr>
            <w:tcW w:w="1776"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棉被</w:t>
            </w:r>
            <w:r/>
          </w:p>
        </w:tc>
        <w:tc>
          <w:tcPr>
            <w:tcW w:w="1011"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床</w:t>
            </w:r>
            <w:r/>
          </w:p>
        </w:tc>
        <w:tc>
          <w:tcPr>
            <w:tcW w:w="1377"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1000</w:t>
            </w:r>
            <w:r/>
          </w:p>
        </w:tc>
        <w:tc>
          <w:tcPr>
            <w:tcW w:w="1129"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r>
      <w:tr>
        <w:trPr>
          <w:trHeight w:val="673"/>
        </w:trPr>
        <w:tc>
          <w:tcPr>
            <w:tcW w:w="892"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3</w:t>
            </w:r>
            <w:r/>
          </w:p>
        </w:tc>
        <w:tc>
          <w:tcPr>
            <w:tcW w:w="1776"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折叠床</w:t>
            </w:r>
            <w:r/>
          </w:p>
        </w:tc>
        <w:tc>
          <w:tcPr>
            <w:tcW w:w="1011"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张</w:t>
            </w:r>
            <w:r/>
          </w:p>
        </w:tc>
        <w:tc>
          <w:tcPr>
            <w:tcW w:w="1377"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1000</w:t>
            </w:r>
            <w:r/>
          </w:p>
        </w:tc>
        <w:tc>
          <w:tcPr>
            <w:tcW w:w="1129"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r>
      <w:tr>
        <w:trPr>
          <w:trHeight w:val="677"/>
        </w:trPr>
        <w:tc>
          <w:tcPr>
            <w:tcW w:w="892"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4</w:t>
            </w:r>
            <w:r/>
          </w:p>
        </w:tc>
        <w:tc>
          <w:tcPr>
            <w:tcW w:w="1776"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折叠桌凳</w:t>
            </w:r>
            <w:r/>
          </w:p>
        </w:tc>
        <w:tc>
          <w:tcPr>
            <w:tcW w:w="1011"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套</w:t>
            </w:r>
            <w:r/>
          </w:p>
        </w:tc>
        <w:tc>
          <w:tcPr>
            <w:tcW w:w="1377"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500</w:t>
            </w:r>
            <w:r/>
          </w:p>
        </w:tc>
        <w:tc>
          <w:tcPr>
            <w:tcW w:w="1129"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r>
      <w:tr>
        <w:trPr>
          <w:trHeight w:val="623"/>
        </w:trPr>
        <w:tc>
          <w:tcPr>
            <w:tcW w:w="892"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5</w:t>
            </w:r>
            <w:r/>
          </w:p>
        </w:tc>
        <w:tc>
          <w:tcPr>
            <w:tcW w:w="1776"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睡袋</w:t>
            </w:r>
            <w:r/>
          </w:p>
        </w:tc>
        <w:tc>
          <w:tcPr>
            <w:tcW w:w="1011"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lang w:val="en-US" w:eastAsia="zh-CN"/>
              </w:rPr>
              <w:t xml:space="preserve">个</w:t>
            </w:r>
            <w:r/>
          </w:p>
        </w:tc>
        <w:tc>
          <w:tcPr>
            <w:tcW w:w="1377"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1000</w:t>
            </w:r>
            <w:r/>
          </w:p>
        </w:tc>
        <w:tc>
          <w:tcPr>
            <w:tcW w:w="1129"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r>
      <w:tr>
        <w:trPr>
          <w:trHeight w:val="637"/>
        </w:trPr>
        <w:tc>
          <w:tcPr>
            <w:tcW w:w="892"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6</w:t>
            </w:r>
            <w:r/>
          </w:p>
        </w:tc>
        <w:tc>
          <w:tcPr>
            <w:tcW w:w="1776"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应急照明灯</w:t>
            </w:r>
            <w:r/>
          </w:p>
        </w:tc>
        <w:tc>
          <w:tcPr>
            <w:tcW w:w="1011"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只</w:t>
            </w:r>
            <w:r/>
          </w:p>
        </w:tc>
        <w:tc>
          <w:tcPr>
            <w:tcW w:w="1377"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500</w:t>
            </w:r>
            <w:r/>
          </w:p>
        </w:tc>
        <w:tc>
          <w:tcPr>
            <w:tcW w:w="1129"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r>
      <w:tr>
        <w:trPr>
          <w:trHeight w:val="661"/>
        </w:trPr>
        <w:tc>
          <w:tcPr>
            <w:tcW w:w="892"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7</w:t>
            </w:r>
            <w:r/>
          </w:p>
        </w:tc>
        <w:tc>
          <w:tcPr>
            <w:tcW w:w="1776"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场地照明灯</w:t>
            </w:r>
            <w:r/>
          </w:p>
        </w:tc>
        <w:tc>
          <w:tcPr>
            <w:tcW w:w="1011"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套</w:t>
            </w:r>
            <w:r/>
          </w:p>
        </w:tc>
        <w:tc>
          <w:tcPr>
            <w:tcW w:w="1377"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10</w:t>
            </w:r>
            <w:r/>
          </w:p>
        </w:tc>
        <w:tc>
          <w:tcPr>
            <w:tcW w:w="1129"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r>
      <w:tr>
        <w:trPr>
          <w:trHeight w:val="623"/>
        </w:trPr>
        <w:tc>
          <w:tcPr>
            <w:tcW w:w="892" w:type="dxa"/>
            <w:textDirection w:val="lrTb"/>
            <w:noWrap w:val="false"/>
          </w:tcPr>
          <w:p>
            <w:pPr>
              <w:jc w:val="center"/>
              <w:spacing w:line="440" w:lineRule="exact"/>
              <w:rPr>
                <w:rFonts w:hint="default"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8</w:t>
            </w:r>
            <w:r/>
          </w:p>
        </w:tc>
        <w:tc>
          <w:tcPr>
            <w:tcW w:w="1776"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毛毯</w:t>
            </w:r>
            <w:r/>
          </w:p>
        </w:tc>
        <w:tc>
          <w:tcPr>
            <w:tcW w:w="1011"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床</w:t>
            </w:r>
            <w:r/>
          </w:p>
        </w:tc>
        <w:tc>
          <w:tcPr>
            <w:tcW w:w="1377"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1000</w:t>
            </w:r>
            <w:r/>
          </w:p>
        </w:tc>
        <w:tc>
          <w:tcPr>
            <w:tcW w:w="1129"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r>
      <w:tr>
        <w:trPr>
          <w:trHeight w:val="623"/>
        </w:trPr>
        <w:tc>
          <w:tcPr>
            <w:tcW w:w="892" w:type="dxa"/>
            <w:textDirection w:val="lrTb"/>
            <w:noWrap w:val="false"/>
          </w:tcPr>
          <w:p>
            <w:pPr>
              <w:jc w:val="center"/>
              <w:spacing w:line="440" w:lineRule="exact"/>
              <w:rPr>
                <w:rFonts w:hint="default"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9</w:t>
            </w:r>
            <w:r/>
          </w:p>
        </w:tc>
        <w:tc>
          <w:tcPr>
            <w:tcW w:w="1776"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床单</w:t>
            </w:r>
            <w:r/>
          </w:p>
        </w:tc>
        <w:tc>
          <w:tcPr>
            <w:tcW w:w="1011"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lang w:val="en-US" w:eastAsia="zh-CN"/>
              </w:rPr>
              <w:t xml:space="preserve">床</w:t>
            </w:r>
            <w:r/>
          </w:p>
        </w:tc>
        <w:tc>
          <w:tcPr>
            <w:tcW w:w="1377"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1000</w:t>
            </w:r>
            <w:r/>
          </w:p>
        </w:tc>
        <w:tc>
          <w:tcPr>
            <w:tcW w:w="1129"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r>
      <w:tr>
        <w:trPr>
          <w:trHeight w:val="623"/>
        </w:trPr>
        <w:tc>
          <w:tcPr>
            <w:tcW w:w="892" w:type="dxa"/>
            <w:textDirection w:val="lrTb"/>
            <w:noWrap w:val="false"/>
          </w:tcPr>
          <w:p>
            <w:pPr>
              <w:jc w:val="center"/>
              <w:spacing w:line="440" w:lineRule="exact"/>
              <w:rPr>
                <w:rFonts w:hint="default"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10</w:t>
            </w:r>
            <w:r/>
          </w:p>
        </w:tc>
        <w:tc>
          <w:tcPr>
            <w:tcW w:w="1776"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lang w:val="en-US" w:eastAsia="zh-CN"/>
              </w:rPr>
              <w:t xml:space="preserve">货物托盘</w:t>
            </w:r>
            <w:r/>
          </w:p>
        </w:tc>
        <w:tc>
          <w:tcPr>
            <w:tcW w:w="1011" w:type="dxa"/>
            <w:textDirection w:val="lrTb"/>
            <w:noWrap w:val="false"/>
          </w:tcPr>
          <w:p>
            <w:pPr>
              <w:jc w:val="center"/>
              <w:spacing w:line="44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个</w:t>
            </w:r>
            <w:r/>
          </w:p>
        </w:tc>
        <w:tc>
          <w:tcPr>
            <w:tcW w:w="1377" w:type="dxa"/>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100</w:t>
            </w:r>
            <w:r/>
          </w:p>
        </w:tc>
        <w:tc>
          <w:tcPr>
            <w:tcW w:w="1129"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r>
      <w:tr>
        <w:trPr>
          <w:trHeight w:val="633"/>
        </w:trPr>
        <w:tc>
          <w:tcPr>
            <w:tcW w:w="892" w:type="dxa"/>
            <w:textDirection w:val="lrTb"/>
            <w:noWrap w:val="false"/>
          </w:tcPr>
          <w:p>
            <w:pPr>
              <w:jc w:val="center"/>
              <w:spacing w:line="440" w:lineRule="exact"/>
              <w:rPr>
                <w:rFonts w:hint="default"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11</w:t>
            </w:r>
            <w:r/>
          </w:p>
        </w:tc>
        <w:tc>
          <w:tcPr>
            <w:tcW w:w="1776" w:type="dxa"/>
            <w:textDirection w:val="lrTb"/>
            <w:noWrap w:val="false"/>
          </w:tcPr>
          <w:p>
            <w:pPr>
              <w:jc w:val="center"/>
              <w:spacing w:line="440" w:lineRule="exact"/>
              <w:rPr>
                <w:rFonts w:hint="default"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vertAlign w:val="baseline"/>
                <w:lang w:val="en-US" w:eastAsia="zh-CN"/>
              </w:rPr>
              <w:t xml:space="preserve">合计</w:t>
            </w:r>
            <w:r/>
          </w:p>
        </w:tc>
        <w:tc>
          <w:tcPr>
            <w:gridSpan w:val="3"/>
            <w:tcW w:w="3517"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c>
          <w:tcPr>
            <w:tcW w:w="1335" w:type="dxa"/>
            <w:textDirection w:val="lrTb"/>
            <w:noWrap w:val="false"/>
          </w:tcPr>
          <w:p>
            <w:pPr>
              <w:jc w:val="center"/>
              <w:spacing w:line="440" w:lineRule="exact"/>
              <w:rPr>
                <w:rFonts w:hint="eastAsia" w:ascii="宋体" w:hAnsi="宋体" w:cs="宋体"/>
                <w:bCs/>
                <w:color w:val="auto"/>
                <w:sz w:val="24"/>
                <w:szCs w:val="24"/>
                <w:highlight w:val="none"/>
                <w:vertAlign w:val="baseline"/>
              </w:rPr>
            </w:pPr>
            <w:r>
              <w:rPr>
                <w:rFonts w:hint="eastAsia" w:ascii="宋体" w:hAnsi="宋体" w:cs="宋体"/>
                <w:bCs/>
                <w:color w:val="auto"/>
                <w:sz w:val="24"/>
                <w:szCs w:val="24"/>
                <w:highlight w:val="none"/>
                <w:vertAlign w:val="baseline"/>
              </w:rPr>
            </w:r>
            <w:r/>
          </w:p>
        </w:tc>
      </w:tr>
    </w:tbl>
    <w:p>
      <w:pPr>
        <w:ind w:firstLine="480"/>
        <w:spacing w:line="44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本项目作综合单价报价，报价应包含提供供货的全部要求，后期单价采购人不作任何调整，供应商应综合考虑报价。</w:t>
      </w:r>
      <w:r/>
    </w:p>
    <w:p>
      <w:pPr>
        <w:jc w:val="center"/>
        <w:spacing w:before="111" w:line="218" w:lineRule="auto"/>
        <w:rPr>
          <w:rFonts w:hint="eastAsia" w:ascii="仿宋" w:hAnsi="仿宋" w:eastAsia="仿宋" w:cs="仿宋"/>
          <w:b/>
          <w:bCs/>
          <w:color w:val="auto"/>
          <w:spacing w:val="-7"/>
          <w:sz w:val="28"/>
          <w:szCs w:val="28"/>
          <w:highlight w:val="none"/>
          <w:lang w:val="en-US" w:eastAsia="zh-CN"/>
        </w:rPr>
        <w:outlineLvl w:val="1"/>
      </w:pPr>
      <w:r>
        <w:rPr>
          <w:rFonts w:hint="eastAsia" w:ascii="仿宋" w:hAnsi="仿宋" w:eastAsia="仿宋" w:cs="仿宋"/>
          <w:b/>
          <w:bCs/>
          <w:color w:val="auto"/>
          <w:spacing w:val="-7"/>
          <w:sz w:val="28"/>
          <w:szCs w:val="28"/>
          <w:highlight w:val="none"/>
          <w:lang w:val="en-US" w:eastAsia="zh-CN"/>
        </w:rPr>
        <w:t xml:space="preserve">技术参数</w:t>
      </w:r>
      <w:r/>
    </w:p>
    <w:tbl>
      <w:tblPr>
        <w:tblStyle w:val="7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500"/>
        <w:gridCol w:w="6503"/>
      </w:tblGrid>
      <w:tr>
        <w:trPr/>
        <w:tc>
          <w:tcPr>
            <w:tcW w:w="904" w:type="dxa"/>
            <w:textDirection w:val="lrTb"/>
            <w:noWrap w:val="false"/>
          </w:tcPr>
          <w:p>
            <w:pPr>
              <w:jc w:val="center"/>
              <w:spacing w:before="111" w:line="218" w:lineRule="auto"/>
              <w:rPr>
                <w:rFonts w:hint="default" w:ascii="仿宋" w:hAnsi="仿宋" w:eastAsia="仿宋" w:cs="仿宋"/>
                <w:b w:val="0"/>
                <w:bCs w:val="0"/>
                <w:color w:val="auto"/>
                <w:spacing w:val="-7"/>
                <w:sz w:val="28"/>
                <w:szCs w:val="28"/>
                <w:highlight w:val="none"/>
                <w:vertAlign w:val="baseline"/>
                <w:lang w:val="en-US" w:eastAsia="zh-CN"/>
              </w:rPr>
              <w:outlineLvl w:val="1"/>
            </w:pPr>
            <w:r>
              <w:rPr>
                <w:rFonts w:hint="eastAsia" w:ascii="仿宋" w:hAnsi="仿宋" w:eastAsia="仿宋" w:cs="仿宋"/>
                <w:b w:val="0"/>
                <w:bCs w:val="0"/>
                <w:color w:val="auto"/>
                <w:spacing w:val="-7"/>
                <w:sz w:val="28"/>
                <w:szCs w:val="28"/>
                <w:highlight w:val="none"/>
                <w:vertAlign w:val="baseline"/>
                <w:lang w:val="en-US" w:eastAsia="zh-CN"/>
              </w:rPr>
              <w:t xml:space="preserve">序号</w:t>
            </w:r>
            <w:r/>
          </w:p>
        </w:tc>
        <w:tc>
          <w:tcPr>
            <w:tcW w:w="1500" w:type="dxa"/>
            <w:textDirection w:val="lrTb"/>
            <w:noWrap w:val="false"/>
          </w:tcPr>
          <w:p>
            <w:pPr>
              <w:jc w:val="center"/>
              <w:spacing w:before="111" w:line="218" w:lineRule="auto"/>
              <w:rPr>
                <w:rFonts w:hint="default" w:ascii="仿宋" w:hAnsi="仿宋" w:eastAsia="仿宋" w:cs="仿宋"/>
                <w:b w:val="0"/>
                <w:bCs w:val="0"/>
                <w:color w:val="auto"/>
                <w:spacing w:val="-7"/>
                <w:sz w:val="28"/>
                <w:szCs w:val="28"/>
                <w:highlight w:val="none"/>
                <w:vertAlign w:val="baseline"/>
                <w:lang w:val="en-US" w:eastAsia="zh-CN"/>
              </w:rPr>
              <w:outlineLvl w:val="1"/>
            </w:pPr>
            <w:r>
              <w:rPr>
                <w:rFonts w:hint="eastAsia" w:ascii="仿宋" w:hAnsi="仿宋" w:eastAsia="仿宋" w:cs="仿宋"/>
                <w:b w:val="0"/>
                <w:bCs w:val="0"/>
                <w:color w:val="auto"/>
                <w:spacing w:val="-7"/>
                <w:sz w:val="28"/>
                <w:szCs w:val="28"/>
                <w:highlight w:val="none"/>
                <w:vertAlign w:val="baseline"/>
                <w:lang w:val="en-US" w:eastAsia="zh-CN"/>
              </w:rPr>
              <w:t xml:space="preserve">项目名称</w:t>
            </w:r>
            <w:r/>
          </w:p>
        </w:tc>
        <w:tc>
          <w:tcPr>
            <w:tcW w:w="6503" w:type="dxa"/>
            <w:textDirection w:val="lrTb"/>
            <w:noWrap w:val="false"/>
          </w:tcPr>
          <w:p>
            <w:pPr>
              <w:jc w:val="center"/>
              <w:spacing w:before="111" w:line="218" w:lineRule="auto"/>
              <w:rPr>
                <w:rFonts w:hint="default" w:ascii="仿宋" w:hAnsi="仿宋" w:eastAsia="仿宋" w:cs="仿宋"/>
                <w:b w:val="0"/>
                <w:bCs w:val="0"/>
                <w:color w:val="auto"/>
                <w:spacing w:val="-7"/>
                <w:sz w:val="28"/>
                <w:szCs w:val="28"/>
                <w:highlight w:val="none"/>
                <w:vertAlign w:val="baseline"/>
                <w:lang w:val="en-US" w:eastAsia="zh-CN"/>
              </w:rPr>
              <w:outlineLvl w:val="1"/>
            </w:pPr>
            <w:r>
              <w:rPr>
                <w:rFonts w:hint="eastAsia" w:ascii="仿宋" w:hAnsi="仿宋" w:eastAsia="仿宋" w:cs="仿宋"/>
                <w:b w:val="0"/>
                <w:bCs w:val="0"/>
                <w:color w:val="auto"/>
                <w:spacing w:val="-7"/>
                <w:sz w:val="28"/>
                <w:szCs w:val="28"/>
                <w:highlight w:val="none"/>
                <w:vertAlign w:val="baseline"/>
                <w:lang w:val="en-US" w:eastAsia="zh-CN"/>
              </w:rPr>
              <w:t xml:space="preserve">技术参数</w:t>
            </w:r>
            <w:r/>
          </w:p>
        </w:tc>
      </w:tr>
      <w:tr>
        <w:trPr/>
        <w:tc>
          <w:tcPr>
            <w:tcW w:w="904" w:type="dxa"/>
            <w:textDirection w:val="lrTb"/>
            <w:noWrap w:val="false"/>
          </w:tcPr>
          <w:p>
            <w:pPr>
              <w:jc w:val="center"/>
              <w:spacing w:before="111" w:line="218" w:lineRule="auto"/>
              <w:rPr>
                <w:rFonts w:hint="default" w:ascii="仿宋" w:hAnsi="仿宋" w:eastAsia="仿宋" w:cs="仿宋"/>
                <w:b w:val="0"/>
                <w:bCs w:val="0"/>
                <w:color w:val="auto"/>
                <w:spacing w:val="-7"/>
                <w:sz w:val="28"/>
                <w:szCs w:val="28"/>
                <w:highlight w:val="none"/>
                <w:vertAlign w:val="baseline"/>
                <w:lang w:val="en-US" w:eastAsia="zh-CN"/>
              </w:rPr>
              <w:outlineLvl w:val="1"/>
            </w:pPr>
            <w:r>
              <w:rPr>
                <w:rFonts w:hint="eastAsia" w:ascii="仿宋" w:hAnsi="仿宋" w:eastAsia="仿宋" w:cs="仿宋"/>
                <w:b w:val="0"/>
                <w:bCs w:val="0"/>
                <w:color w:val="auto"/>
                <w:spacing w:val="-7"/>
                <w:sz w:val="28"/>
                <w:szCs w:val="28"/>
                <w:highlight w:val="none"/>
                <w:vertAlign w:val="baseline"/>
                <w:lang w:val="en-US" w:eastAsia="zh-CN"/>
              </w:rPr>
              <w:t xml:space="preserve">1</w:t>
            </w: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bidi="ar-SA"/>
              </w:rPr>
            </w:pPr>
            <w:r>
              <w:rPr>
                <w:rFonts w:hint="eastAsia" w:ascii="宋体" w:hAnsi="宋体" w:cs="宋体"/>
                <w:bCs/>
                <w:color w:val="auto"/>
                <w:sz w:val="24"/>
                <w:szCs w:val="24"/>
                <w:highlight w:val="none"/>
                <w:vertAlign w:val="baseline"/>
                <w:lang w:val="en-US" w:eastAsia="zh-CN"/>
              </w:rPr>
              <w:t xml:space="preserve">单帐篷</w:t>
            </w:r>
            <w:r/>
          </w:p>
        </w:tc>
        <w:tc>
          <w:tcPr>
            <w:tcW w:w="6503" w:type="dxa"/>
            <w:textDirection w:val="lrTb"/>
            <w:noWrap w:val="false"/>
          </w:tcPr>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1.执行标准：中华人民共和国国家标准GB/T 44010-2024。</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2.规格：</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(1) 救灾12 m</w:t>
            </w:r>
            <w:r>
              <w:rPr>
                <w:rFonts w:eastAsia="仿宋_GB2312"/>
                <w:color w:val="auto"/>
                <w:sz w:val="24"/>
                <w:szCs w:val="24"/>
                <w:highlight w:val="none"/>
                <w:vertAlign w:val="superscript"/>
              </w:rPr>
              <w:t xml:space="preserve">2</w:t>
            </w:r>
            <w:r>
              <w:rPr>
                <w:rFonts w:eastAsia="仿宋_GB2312"/>
                <w:color w:val="auto"/>
                <w:sz w:val="24"/>
                <w:szCs w:val="24"/>
                <w:highlight w:val="none"/>
              </w:rPr>
              <w:t xml:space="preserve">单帐篷，长方体双坡面直墙建筑样式；</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(2) 框架插接式帐篷由篷体（带拉绳）、框架及零配件（地桩、钩桩等）三部分组成。</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(3) 尺寸：篷体长 3700 mm、篷体宽 3200 mm、侧墙高1750 mm、脊顶高 2670 mm。</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3.技术参数：</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(1) 帐篷结构：框架式（含地梁杆）一门五窗，门内空尺寸：600 mm×1700 mm，窗内空尺寸：600 mm×800 mm，门帘窗户帘用 40 mm 宽魔术扣，顶篷的针锋连接处过热压胶，提升防水效果，窗户上面配备窗纱，防蚊防虫，配有地钉拉绳，提升帐篷稳定性。</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(2) 框架由通用杆、立杆、山墙地杆、阳篷杆和端架三通、中架四通、地杆四通及钢丝拉绳组成，通用杆、地杆、立杆采用Q215 Φ25 mm×1.2 mm焊接钢管，三通、四通等连接管件采用Q215 Φ28 mm×1.0 mm焊接钢管。</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(3) 面料：666dtex×666dtex涤纶天蓝色PVC阻燃涂层布；经纬向续燃时间和经纬向阴燃时间≤15 s，不得引起脱脂棉燃烧或阴燃；面料断裂强度：经向≥1600 N，纬向≥1300 N；撕破力：经向≥40 N，纬向≥35 N。</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(4) 静水压≥50 kPa。</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(5) 抗风等级≥8级。</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4.包装：篷体、配件内包装用同样的篷布料缝制包装袋，并在篷体包装内放检验单包装：每包内需放置检验单和帐篷使用说明书；篷杆单独包装。</w:t>
            </w:r>
            <w:r/>
          </w:p>
          <w:p>
            <w:pPr>
              <w:jc w:val="left"/>
              <w:spacing w:before="111" w:line="218" w:lineRule="auto"/>
              <w:rPr>
                <w:rFonts w:hint="default" w:ascii="仿宋" w:hAnsi="仿宋" w:eastAsia="仿宋" w:cs="仿宋"/>
                <w:b w:val="0"/>
                <w:bCs w:val="0"/>
                <w:color w:val="auto"/>
                <w:spacing w:val="-7"/>
                <w:sz w:val="28"/>
                <w:szCs w:val="28"/>
                <w:highlight w:val="none"/>
                <w:vertAlign w:val="baseline"/>
                <w:lang w:val="en-US" w:eastAsia="zh-CN"/>
              </w:rPr>
              <w:outlineLvl w:val="1"/>
            </w:pPr>
            <w:r>
              <w:rPr>
                <w:rFonts w:eastAsia="仿宋_GB2312"/>
                <w:color w:val="auto"/>
                <w:sz w:val="24"/>
                <w:szCs w:val="24"/>
                <w:highlight w:val="none"/>
              </w:rPr>
              <w:t xml:space="preserve">★需明确具体的品牌、型号，并出具202</w:t>
            </w:r>
            <w:r>
              <w:rPr>
                <w:rFonts w:hint="eastAsia" w:eastAsia="仿宋_GB2312"/>
                <w:color w:val="auto"/>
                <w:sz w:val="24"/>
                <w:szCs w:val="24"/>
                <w:highlight w:val="none"/>
                <w:lang w:val="en-US" w:eastAsia="zh-CN"/>
              </w:rPr>
              <w:t xml:space="preserve">5</w:t>
            </w:r>
            <w:r>
              <w:rPr>
                <w:rFonts w:eastAsia="仿宋_GB2312"/>
                <w:color w:val="auto"/>
                <w:sz w:val="24"/>
                <w:szCs w:val="24"/>
                <w:highlight w:val="none"/>
              </w:rPr>
              <w:t xml:space="preserve">年以来有CMA资质的第三方检验报告。</w:t>
            </w:r>
            <w:r/>
          </w:p>
        </w:tc>
      </w:tr>
      <w:tr>
        <w:trPr/>
        <w:tc>
          <w:tcPr>
            <w:tcW w:w="904" w:type="dxa"/>
            <w:textDirection w:val="lrTb"/>
            <w:noWrap w:val="false"/>
          </w:tcPr>
          <w:p>
            <w:pPr>
              <w:jc w:val="center"/>
              <w:spacing w:before="111" w:line="218" w:lineRule="auto"/>
              <w:rPr>
                <w:rFonts w:hint="default" w:ascii="仿宋" w:hAnsi="仿宋" w:eastAsia="仿宋" w:cs="仿宋"/>
                <w:b w:val="0"/>
                <w:bCs w:val="0"/>
                <w:color w:val="auto"/>
                <w:spacing w:val="-7"/>
                <w:sz w:val="28"/>
                <w:szCs w:val="28"/>
                <w:highlight w:val="none"/>
                <w:vertAlign w:val="baseline"/>
                <w:lang w:val="en-US" w:eastAsia="zh-CN"/>
              </w:rPr>
              <w:outlineLvl w:val="1"/>
            </w:pPr>
            <w:r>
              <w:rPr>
                <w:rFonts w:hint="eastAsia" w:ascii="仿宋" w:hAnsi="仿宋" w:eastAsia="仿宋" w:cs="仿宋"/>
                <w:b w:val="0"/>
                <w:bCs w:val="0"/>
                <w:color w:val="auto"/>
                <w:spacing w:val="-7"/>
                <w:sz w:val="28"/>
                <w:szCs w:val="28"/>
                <w:highlight w:val="none"/>
                <w:vertAlign w:val="baseline"/>
                <w:lang w:val="en-US" w:eastAsia="zh-CN"/>
              </w:rPr>
              <w:t xml:space="preserve">2</w:t>
            </w: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bidi="ar-SA"/>
              </w:rPr>
            </w:pPr>
            <w:r>
              <w:rPr>
                <w:rFonts w:hint="eastAsia" w:ascii="宋体" w:hAnsi="宋体" w:cs="宋体"/>
                <w:bCs/>
                <w:color w:val="auto"/>
                <w:sz w:val="24"/>
                <w:szCs w:val="24"/>
                <w:highlight w:val="none"/>
                <w:vertAlign w:val="baseline"/>
                <w:lang w:val="en-US" w:eastAsia="zh-CN"/>
              </w:rPr>
              <w:t xml:space="preserve">棉被</w:t>
            </w:r>
            <w:r/>
          </w:p>
        </w:tc>
        <w:tc>
          <w:tcPr>
            <w:tcW w:w="6503" w:type="dxa"/>
            <w:textDirection w:val="lrTb"/>
            <w:noWrap w:val="false"/>
          </w:tcPr>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1.执行标准：</w:t>
            </w:r>
            <w:r>
              <w:rPr>
                <w:rFonts w:hint="eastAsia" w:eastAsia="仿宋_GB2312"/>
                <w:color w:val="auto"/>
                <w:sz w:val="24"/>
                <w:szCs w:val="24"/>
                <w:highlight w:val="none"/>
                <w:lang w:val="en-US" w:eastAsia="zh-CN"/>
              </w:rPr>
              <w:t xml:space="preserve">YJ/T 10.1-2010</w:t>
            </w:r>
            <w:r>
              <w:rPr>
                <w:rFonts w:eastAsia="仿宋_GB2312"/>
                <w:color w:val="auto"/>
                <w:sz w:val="24"/>
                <w:szCs w:val="24"/>
                <w:highlight w:val="none"/>
              </w:rPr>
              <w:t xml:space="preserve">。</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2.规格参数：</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(1) 尺寸：棉被215×150 cm，絮料：207×147 cm，允许偏差不超过2.5 cm。</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(2) 被面、里料：军绿色纯棉平布。</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(3) 被胎：棉花4级符合GB1103-2007质量标准，被胎重量3800克，允许负偏离不超过200克。</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3.包装：每包内需放置检验单，包含数量、生产日期、检验人员等信息；外层包装材料用聚丙烯编织布，内衬牛皮纸，牛皮纸质量应符合QB/T3516-1999的规定。</w:t>
            </w:r>
            <w:r/>
          </w:p>
          <w:p>
            <w:pPr>
              <w:jc w:val="left"/>
              <w:spacing w:before="111" w:line="218" w:lineRule="auto"/>
              <w:rPr>
                <w:rFonts w:hint="default" w:ascii="仿宋" w:hAnsi="仿宋" w:eastAsia="仿宋" w:cs="仿宋"/>
                <w:b w:val="0"/>
                <w:bCs w:val="0"/>
                <w:color w:val="auto"/>
                <w:spacing w:val="-7"/>
                <w:sz w:val="28"/>
                <w:szCs w:val="28"/>
                <w:highlight w:val="none"/>
                <w:vertAlign w:val="baseline"/>
                <w:lang w:val="en-US" w:eastAsia="zh-CN"/>
              </w:rPr>
              <w:outlineLvl w:val="1"/>
            </w:pPr>
            <w:r>
              <w:rPr>
                <w:rFonts w:eastAsia="仿宋_GB2312"/>
                <w:color w:val="auto"/>
                <w:sz w:val="24"/>
                <w:szCs w:val="24"/>
                <w:highlight w:val="none"/>
              </w:rPr>
              <w:t xml:space="preserve">★需明确具体的品牌、型号，并出具202</w:t>
            </w:r>
            <w:r>
              <w:rPr>
                <w:rFonts w:hint="eastAsia" w:eastAsia="仿宋_GB2312"/>
                <w:color w:val="auto"/>
                <w:sz w:val="24"/>
                <w:szCs w:val="24"/>
                <w:highlight w:val="none"/>
                <w:lang w:val="en-US" w:eastAsia="zh-CN"/>
              </w:rPr>
              <w:t xml:space="preserve">5</w:t>
            </w:r>
            <w:r>
              <w:rPr>
                <w:rFonts w:eastAsia="仿宋_GB2312"/>
                <w:color w:val="auto"/>
                <w:sz w:val="24"/>
                <w:szCs w:val="24"/>
                <w:highlight w:val="none"/>
              </w:rPr>
              <w:t xml:space="preserve">年以来有CMA资质的第三方检验报告。</w:t>
            </w:r>
            <w:r/>
          </w:p>
        </w:tc>
      </w:tr>
      <w:tr>
        <w:trPr/>
        <w:tc>
          <w:tcPr>
            <w:tcW w:w="904" w:type="dxa"/>
            <w:textDirection w:val="lrTb"/>
            <w:noWrap w:val="false"/>
          </w:tcPr>
          <w:p>
            <w:pPr>
              <w:jc w:val="center"/>
              <w:spacing w:before="111" w:line="218" w:lineRule="auto"/>
              <w:rPr>
                <w:rFonts w:hint="default" w:ascii="仿宋" w:hAnsi="仿宋" w:eastAsia="仿宋" w:cs="仿宋"/>
                <w:b w:val="0"/>
                <w:bCs w:val="0"/>
                <w:color w:val="auto"/>
                <w:spacing w:val="-7"/>
                <w:sz w:val="28"/>
                <w:szCs w:val="28"/>
                <w:highlight w:val="none"/>
                <w:vertAlign w:val="baseline"/>
                <w:lang w:val="en-US" w:eastAsia="zh-CN"/>
              </w:rPr>
              <w:outlineLvl w:val="1"/>
            </w:pPr>
            <w:r>
              <w:rPr>
                <w:rFonts w:hint="eastAsia" w:ascii="仿宋" w:hAnsi="仿宋" w:eastAsia="仿宋" w:cs="仿宋"/>
                <w:b w:val="0"/>
                <w:bCs w:val="0"/>
                <w:color w:val="auto"/>
                <w:spacing w:val="-7"/>
                <w:sz w:val="28"/>
                <w:szCs w:val="28"/>
                <w:highlight w:val="none"/>
                <w:vertAlign w:val="baseline"/>
                <w:lang w:val="en-US" w:eastAsia="zh-CN"/>
              </w:rPr>
              <w:t xml:space="preserve">3</w:t>
            </w: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bidi="ar-SA"/>
              </w:rPr>
            </w:pPr>
            <w:r>
              <w:rPr>
                <w:rFonts w:hint="eastAsia" w:ascii="宋体" w:hAnsi="宋体" w:cs="宋体"/>
                <w:bCs/>
                <w:color w:val="auto"/>
                <w:sz w:val="24"/>
                <w:szCs w:val="24"/>
                <w:highlight w:val="none"/>
                <w:vertAlign w:val="baseline"/>
                <w:lang w:val="en-US" w:eastAsia="zh-CN"/>
              </w:rPr>
              <w:t xml:space="preserve">折叠床</w:t>
            </w:r>
            <w:r/>
          </w:p>
        </w:tc>
        <w:tc>
          <w:tcPr>
            <w:tcW w:w="6503" w:type="dxa"/>
            <w:textDirection w:val="lrTb"/>
            <w:noWrap w:val="false"/>
          </w:tcPr>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1.执行标准：</w:t>
            </w:r>
            <w:r>
              <w:rPr>
                <w:rFonts w:hint="eastAsia" w:eastAsia="仿宋_GB2312"/>
                <w:color w:val="auto"/>
                <w:sz w:val="24"/>
                <w:szCs w:val="24"/>
                <w:highlight w:val="none"/>
                <w:lang w:val="en-US" w:eastAsia="zh-CN"/>
              </w:rPr>
              <w:t xml:space="preserve">YJ/T 11.1-2010</w:t>
            </w:r>
            <w:r>
              <w:rPr>
                <w:rFonts w:eastAsia="仿宋_GB2312"/>
                <w:color w:val="auto"/>
                <w:sz w:val="24"/>
                <w:szCs w:val="24"/>
                <w:highlight w:val="none"/>
              </w:rPr>
              <w:t xml:space="preserve">。</w:t>
            </w:r>
            <w:r/>
          </w:p>
          <w:p>
            <w:pPr>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2.规格：折叠式钢管床架，由床面和床架两部分组成，床头附带一个可搭扣的枕头，床面的上半部位加垫塑料板一块，塑料板在使用时向床尾方向推，折叠时向床头方向推。床背面配置可调节束紧带两条。长宽高：185×70×35 cm，可承重200 kg及以上。</w:t>
            </w:r>
            <w:r/>
          </w:p>
          <w:p>
            <w:pPr>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3.包装：包装分内外两种，内包装用透明塑料袋，外包装用纸箱；每个纸箱内需放置检验单，包含数量、生产日期、检验人员等信息。</w:t>
            </w:r>
            <w:r/>
          </w:p>
          <w:p>
            <w:pPr>
              <w:jc w:val="left"/>
              <w:spacing w:before="111" w:line="218" w:lineRule="auto"/>
              <w:rPr>
                <w:rFonts w:hint="default" w:ascii="仿宋" w:hAnsi="仿宋" w:eastAsia="仿宋" w:cs="仿宋"/>
                <w:b w:val="0"/>
                <w:bCs w:val="0"/>
                <w:color w:val="auto"/>
                <w:spacing w:val="-7"/>
                <w:sz w:val="28"/>
                <w:szCs w:val="28"/>
                <w:highlight w:val="none"/>
                <w:vertAlign w:val="baseline"/>
                <w:lang w:val="en-US" w:eastAsia="zh-CN"/>
              </w:rPr>
              <w:outlineLvl w:val="1"/>
            </w:pPr>
            <w:r>
              <w:rPr>
                <w:rFonts w:eastAsia="仿宋_GB2312"/>
                <w:color w:val="auto"/>
                <w:sz w:val="24"/>
                <w:szCs w:val="24"/>
                <w:highlight w:val="none"/>
              </w:rPr>
              <w:t xml:space="preserve">★需明确具体的品牌、型号，并出具202</w:t>
            </w:r>
            <w:r>
              <w:rPr>
                <w:rFonts w:hint="eastAsia" w:eastAsia="仿宋_GB2312"/>
                <w:color w:val="auto"/>
                <w:sz w:val="24"/>
                <w:szCs w:val="24"/>
                <w:highlight w:val="none"/>
                <w:lang w:val="en-US" w:eastAsia="zh-CN"/>
              </w:rPr>
              <w:t xml:space="preserve">5</w:t>
            </w:r>
            <w:r>
              <w:rPr>
                <w:rFonts w:eastAsia="仿宋_GB2312"/>
                <w:color w:val="auto"/>
                <w:sz w:val="24"/>
                <w:szCs w:val="24"/>
                <w:highlight w:val="none"/>
              </w:rPr>
              <w:t xml:space="preserve">年以来有CMA资质的第三方检验报告。</w:t>
            </w:r>
            <w:r/>
          </w:p>
        </w:tc>
      </w:tr>
      <w:tr>
        <w:trPr/>
        <w:tc>
          <w:tcPr>
            <w:tcW w:w="904" w:type="dxa"/>
            <w:textDirection w:val="lrTb"/>
            <w:noWrap w:val="false"/>
          </w:tcPr>
          <w:p>
            <w:pPr>
              <w:jc w:val="center"/>
              <w:spacing w:before="111" w:line="218" w:lineRule="auto"/>
              <w:rPr>
                <w:rFonts w:hint="default" w:ascii="仿宋" w:hAnsi="仿宋" w:eastAsia="仿宋" w:cs="仿宋"/>
                <w:b w:val="0"/>
                <w:bCs w:val="0"/>
                <w:color w:val="auto"/>
                <w:spacing w:val="-7"/>
                <w:sz w:val="28"/>
                <w:szCs w:val="28"/>
                <w:highlight w:val="none"/>
                <w:vertAlign w:val="baseline"/>
                <w:lang w:val="en-US" w:eastAsia="zh-CN"/>
              </w:rPr>
              <w:outlineLvl w:val="1"/>
            </w:pPr>
            <w:r>
              <w:rPr>
                <w:rFonts w:hint="eastAsia" w:ascii="仿宋" w:hAnsi="仿宋" w:eastAsia="仿宋" w:cs="仿宋"/>
                <w:b w:val="0"/>
                <w:bCs w:val="0"/>
                <w:color w:val="auto"/>
                <w:spacing w:val="-7"/>
                <w:sz w:val="28"/>
                <w:szCs w:val="28"/>
                <w:highlight w:val="none"/>
                <w:vertAlign w:val="baseline"/>
                <w:lang w:val="en-US" w:eastAsia="zh-CN"/>
              </w:rPr>
              <w:t xml:space="preserve">4</w:t>
            </w: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bidi="ar-SA"/>
              </w:rPr>
            </w:pPr>
            <w:r>
              <w:rPr>
                <w:rFonts w:hint="eastAsia" w:ascii="宋体" w:hAnsi="宋体" w:cs="宋体"/>
                <w:bCs/>
                <w:color w:val="auto"/>
                <w:sz w:val="24"/>
                <w:szCs w:val="24"/>
                <w:highlight w:val="none"/>
                <w:vertAlign w:val="baseline"/>
                <w:lang w:val="en-US" w:eastAsia="zh-CN"/>
              </w:rPr>
              <w:t xml:space="preserve">折叠桌凳</w:t>
            </w:r>
            <w:r/>
          </w:p>
        </w:tc>
        <w:tc>
          <w:tcPr>
            <w:tcW w:w="6503" w:type="dxa"/>
            <w:textDirection w:val="lrTb"/>
            <w:noWrap w:val="false"/>
          </w:tcPr>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1.执行标准：</w:t>
            </w:r>
            <w:r>
              <w:rPr>
                <w:rFonts w:hint="eastAsia" w:eastAsia="仿宋_GB2312"/>
                <w:color w:val="auto"/>
                <w:sz w:val="24"/>
                <w:szCs w:val="24"/>
                <w:highlight w:val="none"/>
                <w:lang w:val="en-US" w:eastAsia="zh-CN"/>
              </w:rPr>
              <w:t xml:space="preserve">YJ/T 11.2-2010</w:t>
            </w:r>
            <w:r>
              <w:rPr>
                <w:rFonts w:eastAsia="仿宋_GB2312"/>
                <w:color w:val="auto"/>
                <w:sz w:val="24"/>
                <w:szCs w:val="24"/>
                <w:highlight w:val="none"/>
              </w:rPr>
              <w:t xml:space="preserve">。</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2.规格：</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(1) 折叠桌凳由一张桌子和四把凳子组成；</w:t>
            </w:r>
            <w:r/>
          </w:p>
          <w:p>
            <w:pPr>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(2) 折叠桌长705 mm、宽675 mm、高度650 mm，折叠凳长300 mm、宽220 mm、高380 mm；</w:t>
            </w:r>
            <w:r/>
          </w:p>
          <w:p>
            <w:pPr>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(3) 外形尺寸偏差：折叠桌，长、宽、高：±5 mm；折叠凳，长、宽、高：±10 mm。</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3.技术参数：</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(1) 冷轧钢板：Q195 t0.8 mm（桌面），Q195 t2.0 mm（支撑座）；PVC涂层布：666dtex×666dtex涤纶；焊接钢管：Q195 Φ16 mm×1.1 mm；铝合金管：2A12 30 mm×15 mm×1.0 mm；</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(2) 颜色及文字要求：桌面及支撑座颜色为火焰蓝，明显位置标注</w:t>
            </w:r>
            <w:r>
              <w:rPr>
                <w:rFonts w:hint="eastAsia" w:ascii="方正仿宋_GBK" w:eastAsia="方正仿宋_GBK"/>
                <w:color w:val="auto"/>
                <w:sz w:val="24"/>
                <w:szCs w:val="24"/>
                <w:highlight w:val="none"/>
              </w:rPr>
              <w:t xml:space="preserve">“</w:t>
            </w:r>
            <w:r>
              <w:rPr>
                <w:rFonts w:hint="eastAsia" w:ascii="方正仿宋_GBK" w:eastAsia="方正仿宋_GBK"/>
                <w:color w:val="auto"/>
                <w:sz w:val="24"/>
                <w:szCs w:val="24"/>
                <w:highlight w:val="none"/>
                <w:lang w:eastAsia="zh-CN"/>
              </w:rPr>
              <w:t xml:space="preserve">应急救灾</w:t>
            </w:r>
            <w:r>
              <w:rPr>
                <w:rFonts w:hint="eastAsia" w:ascii="方正仿宋_GBK" w:eastAsia="方正仿宋_GBK"/>
                <w:color w:val="auto"/>
                <w:sz w:val="24"/>
                <w:szCs w:val="24"/>
                <w:highlight w:val="none"/>
              </w:rPr>
              <w:t xml:space="preserve">”</w:t>
            </w:r>
            <w:r>
              <w:rPr>
                <w:rFonts w:eastAsia="仿宋_GB2312"/>
                <w:color w:val="auto"/>
                <w:sz w:val="24"/>
                <w:szCs w:val="24"/>
                <w:highlight w:val="none"/>
              </w:rPr>
              <w:t xml:space="preserve">，字体颜色白色；</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(3) 金属件外观要求：</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管材：管材应无裂缝、叠缝；外露管口端面应封闭；</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焊接件：焊接处应无脱焊、虚焊、焊穿、错位；焊接处应无夹渣、气孔、焊瘤、焊丝头、咬边、飞溅；</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喷涂层：涂层应无漏喷、锈蚀；涂层应光滑均匀，色泽一致，无流挂、疙瘩、皱皮、飞漆等缺陷。</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(4) 软、硬包件外观要求：包覆的面料无破损、划痕、色污、油污；缝纫线迹间距均匀、无明显浮线、跳针或外露线头、脱线、开缝、脱胶。在接触人体或收藏物品的部位应无毛刺、刃口、棱角；固定部位的结合应牢固无松动、无少件、漏钉、透钉（预留孔、选择孔除外）。</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(5) 其他要求：折叠产品应折叠灵便，无自行折叠现象。</w:t>
            </w:r>
            <w:r/>
          </w:p>
          <w:p>
            <w:pPr>
              <w:ind w:firstLine="0"/>
              <w:jc w:val="left"/>
              <w:spacing w:line="320" w:lineRule="exact"/>
              <w:rPr>
                <w:rFonts w:eastAsia="仿宋_GB2312"/>
                <w:color w:val="auto"/>
                <w:sz w:val="24"/>
                <w:szCs w:val="24"/>
                <w:highlight w:val="none"/>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4.包装：包装分内外两种，内包装用透明塑料袋，外包装用纸箱。每个纸箱内需放置检验单，包含数量、生产日期、检验人员等信息。</w:t>
            </w:r>
            <w:r/>
          </w:p>
          <w:p>
            <w:pPr>
              <w:jc w:val="left"/>
              <w:spacing w:before="111" w:line="218" w:lineRule="auto"/>
              <w:rPr>
                <w:rFonts w:hint="default" w:ascii="仿宋" w:hAnsi="仿宋" w:eastAsia="仿宋" w:cs="仿宋"/>
                <w:b w:val="0"/>
                <w:bCs w:val="0"/>
                <w:color w:val="auto"/>
                <w:spacing w:val="-7"/>
                <w:sz w:val="28"/>
                <w:szCs w:val="28"/>
                <w:highlight w:val="none"/>
                <w:vertAlign w:val="baseline"/>
                <w:lang w:val="en-US" w:eastAsia="zh-CN"/>
              </w:rPr>
              <w:outlineLvl w:val="1"/>
            </w:pPr>
            <w:r>
              <w:rPr>
                <w:rFonts w:hint="eastAsia" w:eastAsia="仿宋_GB2312"/>
                <w:color w:val="auto"/>
                <w:sz w:val="24"/>
                <w:szCs w:val="24"/>
                <w:highlight w:val="none"/>
                <w:lang w:val="en-US" w:eastAsia="zh-CN"/>
              </w:rPr>
              <w:t xml:space="preserve">3.</w:t>
            </w:r>
            <w:r>
              <w:rPr>
                <w:rFonts w:eastAsia="仿宋_GB2312"/>
                <w:color w:val="auto"/>
                <w:sz w:val="24"/>
                <w:szCs w:val="24"/>
                <w:highlight w:val="none"/>
              </w:rPr>
              <w:t xml:space="preserve">★需明确具体的品牌、型号，并出具202</w:t>
            </w:r>
            <w:r>
              <w:rPr>
                <w:rFonts w:hint="eastAsia" w:eastAsia="仿宋_GB2312"/>
                <w:color w:val="auto"/>
                <w:sz w:val="24"/>
                <w:szCs w:val="24"/>
                <w:highlight w:val="none"/>
                <w:lang w:val="en-US" w:eastAsia="zh-CN"/>
              </w:rPr>
              <w:t xml:space="preserve">5</w:t>
            </w:r>
            <w:r>
              <w:rPr>
                <w:rFonts w:eastAsia="仿宋_GB2312"/>
                <w:color w:val="auto"/>
                <w:sz w:val="24"/>
                <w:szCs w:val="24"/>
                <w:highlight w:val="none"/>
              </w:rPr>
              <w:t xml:space="preserve">年以来有CMA资质的第三方检验报告。</w:t>
            </w:r>
            <w:r/>
          </w:p>
        </w:tc>
      </w:tr>
      <w:tr>
        <w:trPr/>
        <w:tc>
          <w:tcPr>
            <w:tcW w:w="904" w:type="dxa"/>
            <w:textDirection w:val="lrTb"/>
            <w:noWrap w:val="false"/>
          </w:tcPr>
          <w:p>
            <w:pPr>
              <w:jc w:val="center"/>
              <w:spacing w:before="111" w:line="218" w:lineRule="auto"/>
              <w:rPr>
                <w:rFonts w:hint="default" w:ascii="仿宋" w:hAnsi="仿宋" w:eastAsia="仿宋" w:cs="仿宋"/>
                <w:b w:val="0"/>
                <w:bCs w:val="0"/>
                <w:color w:val="auto"/>
                <w:spacing w:val="-7"/>
                <w:sz w:val="28"/>
                <w:szCs w:val="28"/>
                <w:highlight w:val="none"/>
                <w:vertAlign w:val="baseline"/>
                <w:lang w:val="en-US" w:eastAsia="zh-CN"/>
              </w:rPr>
              <w:outlineLvl w:val="1"/>
            </w:pPr>
            <w:r>
              <w:rPr>
                <w:rFonts w:hint="eastAsia" w:ascii="仿宋" w:hAnsi="仿宋" w:eastAsia="仿宋" w:cs="仿宋"/>
                <w:b w:val="0"/>
                <w:bCs w:val="0"/>
                <w:color w:val="auto"/>
                <w:spacing w:val="-7"/>
                <w:sz w:val="28"/>
                <w:szCs w:val="28"/>
                <w:highlight w:val="none"/>
                <w:vertAlign w:val="baseline"/>
                <w:lang w:val="en-US" w:eastAsia="zh-CN"/>
              </w:rPr>
              <w:t xml:space="preserve">5</w:t>
            </w: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bidi="ar-SA"/>
              </w:rPr>
            </w:pPr>
            <w:r>
              <w:rPr>
                <w:rFonts w:hint="eastAsia" w:ascii="宋体" w:hAnsi="宋体" w:cs="宋体"/>
                <w:bCs/>
                <w:color w:val="auto"/>
                <w:sz w:val="24"/>
                <w:szCs w:val="24"/>
                <w:highlight w:val="none"/>
                <w:vertAlign w:val="baseline"/>
                <w:lang w:val="en-US" w:eastAsia="zh-CN"/>
              </w:rPr>
              <w:t xml:space="preserve">睡袋</w:t>
            </w:r>
            <w:r/>
          </w:p>
        </w:tc>
        <w:tc>
          <w:tcPr>
            <w:tcW w:w="6503" w:type="dxa"/>
            <w:textDirection w:val="lrTb"/>
            <w:noWrap w:val="false"/>
          </w:tcPr>
          <w:p>
            <w:pPr>
              <w:numPr>
                <w:ilvl w:val="0"/>
                <w:numId w:val="7"/>
              </w:numPr>
              <w:ind w:firstLine="0"/>
              <w:jc w:val="left"/>
              <w:spacing w:line="320" w:lineRule="exact"/>
              <w:rPr>
                <w:rFonts w:hint="eastAsia"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auto"/>
                <w:sz w:val="24"/>
                <w:szCs w:val="24"/>
                <w:highlight w:val="none"/>
                <w:lang w:val="en-US" w:eastAsia="zh-CN"/>
              </w:rPr>
              <w:t xml:space="preserve">执行标准：</w:t>
            </w:r>
            <w:r>
              <w:rPr>
                <w:rFonts w:hint="eastAsia" w:eastAsia="仿宋_GB2312"/>
                <w:color w:val="auto"/>
                <w:sz w:val="24"/>
                <w:szCs w:val="24"/>
                <w:highlight w:val="none"/>
                <w:lang w:val="en-US" w:eastAsia="zh-CN"/>
              </w:rPr>
              <w:t xml:space="preserve">YJ/T 10.4-2010</w:t>
            </w:r>
            <w:r/>
          </w:p>
          <w:p>
            <w:pPr>
              <w:numPr>
                <w:ilvl w:val="0"/>
                <w:numId w:val="7"/>
              </w:numPr>
              <w:ind w:firstLine="0"/>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auto"/>
                <w:sz w:val="24"/>
                <w:szCs w:val="24"/>
                <w:highlight w:val="none"/>
                <w:lang w:val="en-US" w:eastAsia="zh-CN"/>
              </w:rPr>
              <w:t xml:space="preserve">规格：身长180cm（允许偏差</w:t>
            </w:r>
            <w:r>
              <w:rPr>
                <w:rFonts w:hint="eastAsia" w:ascii="仿宋" w:hAnsi="仿宋" w:eastAsia="仿宋" w:cs="仿宋"/>
                <w:color w:val="auto"/>
                <w:sz w:val="24"/>
                <w:szCs w:val="24"/>
                <w:highlight w:val="none"/>
                <w:lang w:val="en-US" w:eastAsia="zh-CN" w:bidi="ar"/>
              </w:rPr>
              <w:t xml:space="preserve">≤3cm</w:t>
            </w:r>
            <w:r>
              <w:rPr>
                <w:rFonts w:hint="eastAsia" w:ascii="Times New Roman" w:hAnsi="Times New Roman" w:eastAsia="仿宋_GB2312" w:cs="Times New Roman"/>
                <w:color w:val="auto"/>
                <w:sz w:val="24"/>
                <w:szCs w:val="24"/>
                <w:highlight w:val="none"/>
                <w:lang w:val="en-US" w:eastAsia="zh-CN"/>
              </w:rPr>
              <w:t xml:space="preserve">），上身115cm（允许偏差</w:t>
            </w:r>
            <w:r>
              <w:rPr>
                <w:rFonts w:hint="eastAsia" w:ascii="仿宋" w:hAnsi="仿宋" w:eastAsia="仿宋" w:cs="仿宋"/>
                <w:color w:val="auto"/>
                <w:sz w:val="24"/>
                <w:szCs w:val="24"/>
                <w:highlight w:val="none"/>
                <w:lang w:val="en-US" w:eastAsia="zh-CN" w:bidi="ar"/>
              </w:rPr>
              <w:t xml:space="preserve">≤2cm</w:t>
            </w:r>
            <w:r>
              <w:rPr>
                <w:rFonts w:hint="eastAsia" w:ascii="Times New Roman" w:hAnsi="Times New Roman" w:eastAsia="仿宋_GB2312" w:cs="Times New Roman"/>
                <w:color w:val="auto"/>
                <w:sz w:val="24"/>
                <w:szCs w:val="24"/>
                <w:highlight w:val="none"/>
                <w:lang w:val="en-US" w:eastAsia="zh-CN"/>
              </w:rPr>
              <w:t xml:space="preserve">），胸宽75cm（允许偏差</w:t>
            </w:r>
            <w:r>
              <w:rPr>
                <w:rFonts w:hint="eastAsia" w:ascii="仿宋" w:hAnsi="仿宋" w:eastAsia="仿宋" w:cs="仿宋"/>
                <w:color w:val="auto"/>
                <w:sz w:val="24"/>
                <w:szCs w:val="24"/>
                <w:highlight w:val="none"/>
                <w:lang w:val="en-US" w:eastAsia="zh-CN" w:bidi="ar"/>
              </w:rPr>
              <w:t xml:space="preserve">≤1cm</w:t>
            </w:r>
            <w:r>
              <w:rPr>
                <w:rFonts w:hint="eastAsia" w:ascii="Times New Roman" w:hAnsi="Times New Roman" w:eastAsia="仿宋_GB2312" w:cs="Times New Roman"/>
                <w:color w:val="auto"/>
                <w:sz w:val="24"/>
                <w:szCs w:val="24"/>
                <w:highlight w:val="none"/>
                <w:lang w:val="en-US" w:eastAsia="zh-CN"/>
              </w:rPr>
              <w:t xml:space="preserve">），肩宽80cm（允许偏差</w:t>
            </w:r>
            <w:r>
              <w:rPr>
                <w:rFonts w:hint="eastAsia" w:ascii="仿宋" w:hAnsi="仿宋" w:eastAsia="仿宋" w:cs="仿宋"/>
                <w:color w:val="auto"/>
                <w:sz w:val="24"/>
                <w:szCs w:val="24"/>
                <w:highlight w:val="none"/>
                <w:lang w:val="en-US" w:eastAsia="zh-CN" w:bidi="ar"/>
              </w:rPr>
              <w:t xml:space="preserve">≤1cm</w:t>
            </w:r>
            <w:r>
              <w:rPr>
                <w:rFonts w:hint="eastAsia" w:ascii="Times New Roman" w:hAnsi="Times New Roman" w:eastAsia="仿宋_GB2312" w:cs="Times New Roman"/>
                <w:color w:val="auto"/>
                <w:sz w:val="24"/>
                <w:szCs w:val="24"/>
                <w:highlight w:val="none"/>
                <w:lang w:val="en-US" w:eastAsia="zh-CN"/>
              </w:rPr>
              <w:t xml:space="preserve">），袖长72cm（允许偏差</w:t>
            </w:r>
            <w:r>
              <w:rPr>
                <w:rFonts w:hint="eastAsia" w:ascii="仿宋" w:hAnsi="仿宋" w:eastAsia="仿宋" w:cs="仿宋"/>
                <w:color w:val="auto"/>
                <w:sz w:val="24"/>
                <w:szCs w:val="24"/>
                <w:highlight w:val="none"/>
                <w:lang w:val="en-US" w:eastAsia="zh-CN" w:bidi="ar"/>
              </w:rPr>
              <w:t xml:space="preserve">≤1cm</w:t>
            </w:r>
            <w:r>
              <w:rPr>
                <w:rFonts w:hint="eastAsia" w:ascii="Times New Roman" w:hAnsi="Times New Roman" w:eastAsia="仿宋_GB2312" w:cs="Times New Roman"/>
                <w:color w:val="auto"/>
                <w:sz w:val="24"/>
                <w:szCs w:val="24"/>
                <w:highlight w:val="none"/>
                <w:lang w:val="en-US" w:eastAsia="zh-CN"/>
              </w:rPr>
              <w:t xml:space="preserve">）；</w:t>
            </w:r>
            <w:r/>
          </w:p>
          <w:p>
            <w:pPr>
              <w:numPr>
                <w:ilvl w:val="0"/>
                <w:numId w:val="7"/>
              </w:numPr>
              <w:ind w:firstLine="0"/>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auto"/>
                <w:sz w:val="24"/>
                <w:szCs w:val="24"/>
                <w:highlight w:val="none"/>
                <w:lang w:val="en-US" w:eastAsia="zh-CN"/>
              </w:rPr>
              <w:t xml:space="preserve">颜色：3.1面料为天蓝涤纶长丝防水牛津布，里料为浅天蓝纯棉布，颜色应符合主管部门批准的标样；3.2</w:t>
            </w:r>
            <w:r>
              <w:rPr>
                <w:rFonts w:hint="default" w:ascii="Times New Roman" w:hAnsi="Times New Roman" w:eastAsia="仿宋_GB2312" w:cs="Times New Roman"/>
                <w:color w:val="auto"/>
                <w:sz w:val="24"/>
                <w:szCs w:val="24"/>
                <w:highlight w:val="none"/>
                <w:lang w:val="en-US" w:eastAsia="zh-CN"/>
              </w:rPr>
              <w:t xml:space="preserve">缝纫线、锦丝搭扣带、涤纶绳、注塑拉链、塑料调节扣和塑料绳头卡扣的颜色与面料相匹配。反光条颜色为银白色</w:t>
            </w:r>
            <w:r>
              <w:rPr>
                <w:rFonts w:hint="eastAsia" w:ascii="Times New Roman" w:hAnsi="Times New Roman" w:eastAsia="仿宋_GB2312" w:cs="Times New Roman"/>
                <w:color w:val="auto"/>
                <w:sz w:val="24"/>
                <w:szCs w:val="24"/>
                <w:highlight w:val="none"/>
                <w:lang w:val="en-US" w:eastAsia="zh-CN"/>
              </w:rPr>
              <w:t xml:space="preserve">；3.3</w:t>
            </w:r>
            <w:r>
              <w:rPr>
                <w:rFonts w:hint="default" w:ascii="Times New Roman" w:hAnsi="Times New Roman" w:eastAsia="仿宋_GB2312" w:cs="Times New Roman"/>
                <w:color w:val="auto"/>
                <w:sz w:val="24"/>
                <w:szCs w:val="24"/>
                <w:highlight w:val="none"/>
                <w:lang w:val="en-US" w:eastAsia="zh-CN"/>
              </w:rPr>
              <w:t xml:space="preserve">絮料为单孔涤纶中空棉絮片</w:t>
            </w:r>
            <w:r>
              <w:rPr>
                <w:rFonts w:hint="eastAsia" w:ascii="Times New Roman" w:hAnsi="Times New Roman" w:eastAsia="仿宋_GB2312" w:cs="Times New Roman"/>
                <w:color w:val="auto"/>
                <w:sz w:val="24"/>
                <w:szCs w:val="24"/>
                <w:highlight w:val="none"/>
                <w:lang w:val="en-US" w:eastAsia="zh-CN"/>
              </w:rPr>
              <w:t xml:space="preserve">；3.4</w:t>
            </w:r>
            <w:r>
              <w:rPr>
                <w:rFonts w:hint="default" w:ascii="Times New Roman" w:hAnsi="Times New Roman" w:eastAsia="仿宋_GB2312" w:cs="Times New Roman"/>
                <w:color w:val="auto"/>
                <w:sz w:val="24"/>
                <w:szCs w:val="24"/>
                <w:highlight w:val="none"/>
                <w:lang w:val="en-US" w:eastAsia="zh-CN"/>
              </w:rPr>
              <w:t xml:space="preserve">色泽偏差范围</w:t>
            </w:r>
            <w:r>
              <w:rPr>
                <w:rFonts w:hint="eastAsia" w:ascii="Times New Roman" w:hAnsi="Times New Roman" w:eastAsia="仿宋_GB2312" w:cs="Times New Roman"/>
                <w:color w:val="auto"/>
                <w:sz w:val="24"/>
                <w:szCs w:val="24"/>
                <w:highlight w:val="none"/>
                <w:lang w:val="en-US" w:eastAsia="zh-CN"/>
              </w:rPr>
              <w:t xml:space="preserve">：</w:t>
            </w:r>
            <w:r>
              <w:rPr>
                <w:rFonts w:hint="default" w:ascii="Times New Roman" w:hAnsi="Times New Roman" w:eastAsia="仿宋_GB2312" w:cs="Times New Roman"/>
                <w:color w:val="auto"/>
                <w:sz w:val="24"/>
                <w:szCs w:val="24"/>
                <w:highlight w:val="none"/>
                <w:lang w:val="en-US" w:eastAsia="zh-CN"/>
              </w:rPr>
              <w:t xml:space="preserve">成品表面色差不低于4级，非表面部位色差不低于3级，评定级别按GB/T 250-2008规定。</w:t>
            </w:r>
            <w:r/>
          </w:p>
          <w:p>
            <w:pPr>
              <w:numPr>
                <w:ilvl w:val="0"/>
                <w:numId w:val="7"/>
              </w:numPr>
              <w:ind w:firstLine="0"/>
              <w:jc w:val="left"/>
              <w:spacing w:line="320" w:lineRule="exact"/>
              <w:rPr>
                <w:rFonts w:hint="default" w:eastAsia="仿宋_GB2312"/>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eastAsia="仿宋_GB2312"/>
                <w:color w:val="auto"/>
                <w:sz w:val="24"/>
                <w:szCs w:val="24"/>
                <w:highlight w:val="none"/>
                <w:lang w:val="en-US" w:eastAsia="zh-CN"/>
              </w:rPr>
              <w:t xml:space="preserve">规格：4.1面料为涤纶牛津布120g/㎡；4.2里料为纯棉95g/㎡；4.3帽子、前后身、袖子、底筒、掩门、下摆、筒身结合布为中空涤纶短纤维絮片150g/㎡。</w:t>
            </w:r>
            <w:r/>
          </w:p>
          <w:p>
            <w:pPr>
              <w:numPr>
                <w:ilvl w:val="0"/>
                <w:numId w:val="7"/>
              </w:numPr>
              <w:ind w:firstLine="0"/>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eastAsia="仿宋_GB2312"/>
                <w:color w:val="auto"/>
                <w:sz w:val="24"/>
                <w:szCs w:val="24"/>
                <w:highlight w:val="none"/>
              </w:rPr>
              <w:t xml:space="preserve">★需明确具体的品牌、型号，并出具202</w:t>
            </w:r>
            <w:r>
              <w:rPr>
                <w:rFonts w:hint="eastAsia" w:eastAsia="仿宋_GB2312"/>
                <w:color w:val="auto"/>
                <w:sz w:val="24"/>
                <w:szCs w:val="24"/>
                <w:highlight w:val="none"/>
                <w:lang w:val="en-US" w:eastAsia="zh-CN"/>
              </w:rPr>
              <w:t xml:space="preserve">5</w:t>
            </w:r>
            <w:r>
              <w:rPr>
                <w:rFonts w:eastAsia="仿宋_GB2312"/>
                <w:color w:val="auto"/>
                <w:sz w:val="24"/>
                <w:szCs w:val="24"/>
                <w:highlight w:val="none"/>
              </w:rPr>
              <w:t xml:space="preserve">年以来有CMA资质的第三方检验报告。</w:t>
            </w:r>
            <w:r/>
          </w:p>
        </w:tc>
      </w:tr>
      <w:tr>
        <w:trPr/>
        <w:tc>
          <w:tcPr>
            <w:tcW w:w="904" w:type="dxa"/>
            <w:textDirection w:val="lrTb"/>
            <w:noWrap w:val="false"/>
          </w:tcPr>
          <w:p>
            <w:pPr>
              <w:jc w:val="center"/>
              <w:spacing w:before="111" w:line="218" w:lineRule="auto"/>
              <w:rPr>
                <w:rFonts w:hint="default" w:ascii="仿宋" w:hAnsi="仿宋" w:eastAsia="仿宋" w:cs="仿宋"/>
                <w:b w:val="0"/>
                <w:bCs w:val="0"/>
                <w:color w:val="auto"/>
                <w:spacing w:val="-7"/>
                <w:sz w:val="28"/>
                <w:szCs w:val="28"/>
                <w:highlight w:val="none"/>
                <w:vertAlign w:val="baseline"/>
                <w:lang w:val="en-US" w:eastAsia="zh-CN"/>
              </w:rPr>
              <w:outlineLvl w:val="1"/>
            </w:pPr>
            <w:r>
              <w:rPr>
                <w:rFonts w:hint="eastAsia" w:ascii="仿宋" w:hAnsi="仿宋" w:eastAsia="仿宋" w:cs="仿宋"/>
                <w:b w:val="0"/>
                <w:bCs w:val="0"/>
                <w:color w:val="auto"/>
                <w:spacing w:val="-7"/>
                <w:sz w:val="28"/>
                <w:szCs w:val="28"/>
                <w:highlight w:val="none"/>
                <w:vertAlign w:val="baseline"/>
                <w:lang w:val="en-US" w:eastAsia="zh-CN"/>
              </w:rPr>
              <w:t xml:space="preserve">6</w:t>
            </w: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bidi="ar-SA"/>
              </w:rPr>
            </w:pPr>
            <w:r>
              <w:rPr>
                <w:rFonts w:hint="eastAsia" w:ascii="宋体" w:hAnsi="宋体" w:cs="宋体"/>
                <w:bCs/>
                <w:color w:val="auto"/>
                <w:sz w:val="24"/>
                <w:szCs w:val="24"/>
                <w:highlight w:val="none"/>
                <w:vertAlign w:val="baseline"/>
                <w:lang w:val="en-US" w:eastAsia="zh-CN"/>
              </w:rPr>
              <w:t xml:space="preserve">应急照明灯</w:t>
            </w:r>
            <w:r/>
          </w:p>
        </w:tc>
        <w:tc>
          <w:tcPr>
            <w:tcW w:w="6503" w:type="dxa"/>
            <w:textDirection w:val="lrTb"/>
            <w:noWrap w:val="false"/>
          </w:tcPr>
          <w:p>
            <w:pPr>
              <w:numPr>
                <w:ilvl w:val="0"/>
                <w:numId w:val="8"/>
              </w:numPr>
              <w:ind w:firstLine="0"/>
              <w:jc w:val="left"/>
              <w:spacing w:line="320" w:lineRule="exact"/>
              <w:rPr>
                <w:rFonts w:hint="eastAsia"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auto"/>
                <w:sz w:val="24"/>
                <w:szCs w:val="24"/>
                <w:highlight w:val="none"/>
                <w:lang w:val="en-US" w:eastAsia="zh-CN"/>
              </w:rPr>
              <w:t xml:space="preserve">执行标准：GB/T7000.222-2023。</w:t>
            </w:r>
            <w:r/>
          </w:p>
          <w:p>
            <w:pPr>
              <w:numPr>
                <w:ilvl w:val="0"/>
                <w:numId w:val="8"/>
              </w:numPr>
              <w:ind w:firstLine="0"/>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auto"/>
                <w:sz w:val="24"/>
                <w:szCs w:val="24"/>
                <w:highlight w:val="none"/>
                <w:lang w:val="en-US" w:eastAsia="zh-CN"/>
              </w:rPr>
              <w:t xml:space="preserve">规格：适用于直接安装在普通可燃材料表面；</w:t>
            </w:r>
            <w:r/>
          </w:p>
          <w:p>
            <w:pPr>
              <w:numPr>
                <w:ilvl w:val="0"/>
                <w:numId w:val="8"/>
              </w:numPr>
              <w:ind w:firstLine="0"/>
              <w:jc w:val="left"/>
              <w:spacing w:line="320" w:lineRule="exact"/>
              <w:rPr>
                <w:rFonts w:hint="eastAsia"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default" w:ascii="Times New Roman" w:hAnsi="Times New Roman" w:eastAsia="仿宋_GB2312" w:cs="Times New Roman"/>
                <w:color w:val="auto"/>
                <w:sz w:val="24"/>
                <w:szCs w:val="24"/>
                <w:highlight w:val="none"/>
                <w:lang w:val="en-US" w:eastAsia="zh-CN"/>
              </w:rPr>
              <w:t xml:space="preserve">电源电压不超过1000 V</w:t>
            </w:r>
            <w:r>
              <w:rPr>
                <w:rFonts w:hint="eastAsia" w:ascii="Times New Roman" w:hAnsi="Times New Roman" w:eastAsia="仿宋_GB2312" w:cs="Times New Roman"/>
                <w:color w:val="auto"/>
                <w:sz w:val="24"/>
                <w:szCs w:val="24"/>
                <w:highlight w:val="none"/>
                <w:lang w:val="en-US" w:eastAsia="zh-CN"/>
              </w:rPr>
              <w:t xml:space="preserve">；</w:t>
            </w:r>
            <w:r/>
          </w:p>
          <w:p>
            <w:pPr>
              <w:numPr>
                <w:ilvl w:val="0"/>
                <w:numId w:val="8"/>
              </w:numPr>
              <w:ind w:firstLine="0"/>
              <w:jc w:val="left"/>
              <w:spacing w:line="320" w:lineRule="exact"/>
              <w:rPr>
                <w:rFonts w:hint="eastAsia"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auto"/>
                <w:sz w:val="24"/>
                <w:szCs w:val="24"/>
                <w:highlight w:val="none"/>
                <w:lang w:val="en-US" w:eastAsia="zh-CN"/>
              </w:rPr>
              <w:t xml:space="preserve">灯泡为LED/钨丝</w:t>
            </w:r>
            <w:r>
              <w:rPr>
                <w:rFonts w:hint="eastAsia" w:ascii="Times New Roman" w:hAnsi="Times New Roman" w:eastAsia="仿宋_GB2312" w:cs="Times New Roman"/>
                <w:color w:val="auto"/>
                <w:sz w:val="24"/>
                <w:szCs w:val="24"/>
                <w:highlight w:val="none"/>
                <w:lang w:val="en-US" w:eastAsia="zh-CN"/>
              </w:rPr>
              <w:t xml:space="preserve">，支持ESSS充电；</w:t>
            </w:r>
            <w:r/>
          </w:p>
          <w:p>
            <w:pPr>
              <w:numPr>
                <w:ilvl w:val="0"/>
                <w:numId w:val="8"/>
              </w:numPr>
              <w:ind w:firstLine="0"/>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default" w:ascii="Times New Roman" w:hAnsi="Times New Roman" w:eastAsia="仿宋_GB2312" w:cs="Times New Roman"/>
                <w:color w:val="auto"/>
                <w:sz w:val="24"/>
                <w:szCs w:val="24"/>
                <w:highlight w:val="none"/>
                <w:lang w:val="en-US" w:eastAsia="zh-CN"/>
              </w:rPr>
              <w:t xml:space="preserve">使用电光源作为指示器时，它应符合IEC 60073颜色的要求，为绿色。</w:t>
            </w:r>
            <w:r/>
          </w:p>
          <w:p>
            <w:pPr>
              <w:numPr>
                <w:ilvl w:val="0"/>
                <w:numId w:val="8"/>
              </w:numPr>
              <w:ind w:firstLine="0"/>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4"/>
                <w:highlight w:val="none"/>
                <w:lang w:val="en-US" w:eastAsia="zh-CN" w:bidi="ar"/>
              </w:rPr>
              <w:t xml:space="preserve">★</w:t>
            </w:r>
            <w:bookmarkStart w:id="39" w:name="_GoBack"/>
            <w:r/>
            <w:bookmarkEnd w:id="39"/>
            <w:r>
              <w:rPr>
                <w:rFonts w:hint="eastAsia" w:ascii="仿宋" w:hAnsi="仿宋" w:eastAsia="仿宋" w:cs="仿宋"/>
                <w:color w:val="auto"/>
                <w:sz w:val="24"/>
                <w:szCs w:val="24"/>
                <w:highlight w:val="none"/>
                <w:lang w:val="en-US" w:eastAsia="zh-CN" w:bidi="ar"/>
              </w:rPr>
              <w:t xml:space="preserve">需出具 2025年以来有 CMA 或 CNAS 资质的第三方检验报告。</w:t>
            </w:r>
            <w:r/>
          </w:p>
        </w:tc>
      </w:tr>
      <w:tr>
        <w:trPr/>
        <w:tc>
          <w:tcPr>
            <w:tcW w:w="904" w:type="dxa"/>
            <w:textDirection w:val="lrTb"/>
            <w:noWrap w:val="false"/>
          </w:tcPr>
          <w:p>
            <w:pPr>
              <w:jc w:val="center"/>
              <w:spacing w:before="111" w:line="218" w:lineRule="auto"/>
              <w:rPr>
                <w:rFonts w:hint="default" w:ascii="仿宋" w:hAnsi="仿宋" w:eastAsia="仿宋" w:cs="仿宋"/>
                <w:b w:val="0"/>
                <w:bCs w:val="0"/>
                <w:color w:val="auto"/>
                <w:spacing w:val="-7"/>
                <w:sz w:val="28"/>
                <w:szCs w:val="28"/>
                <w:highlight w:val="none"/>
                <w:vertAlign w:val="baseline"/>
                <w:lang w:val="en-US" w:eastAsia="zh-CN"/>
              </w:rPr>
              <w:outlineLvl w:val="1"/>
            </w:pPr>
            <w:r>
              <w:rPr>
                <w:rFonts w:hint="eastAsia" w:ascii="仿宋" w:hAnsi="仿宋" w:eastAsia="仿宋" w:cs="仿宋"/>
                <w:b w:val="0"/>
                <w:bCs w:val="0"/>
                <w:color w:val="auto"/>
                <w:spacing w:val="-7"/>
                <w:sz w:val="28"/>
                <w:szCs w:val="28"/>
                <w:highlight w:val="none"/>
                <w:vertAlign w:val="baseline"/>
                <w:lang w:val="en-US" w:eastAsia="zh-CN"/>
              </w:rPr>
              <w:t xml:space="preserve">7</w:t>
            </w: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bidi="ar-SA"/>
              </w:rPr>
            </w:pPr>
            <w:r>
              <w:rPr>
                <w:rFonts w:hint="eastAsia" w:ascii="宋体" w:hAnsi="宋体" w:cs="宋体"/>
                <w:bCs/>
                <w:color w:val="auto"/>
                <w:sz w:val="24"/>
                <w:szCs w:val="24"/>
                <w:highlight w:val="none"/>
                <w:vertAlign w:val="baseline"/>
                <w:lang w:val="en-US" w:eastAsia="zh-CN"/>
              </w:rPr>
              <w:t xml:space="preserve">场地照明灯</w:t>
            </w:r>
            <w:r/>
          </w:p>
        </w:tc>
        <w:tc>
          <w:tcPr>
            <w:tcW w:w="6503" w:type="dxa"/>
            <w:textDirection w:val="lrTb"/>
            <w:noWrap w:val="false"/>
          </w:tcPr>
          <w:p>
            <w:pPr>
              <w:numPr>
                <w:ilvl w:val="0"/>
                <w:numId w:val="9"/>
              </w:numPr>
              <w:jc w:val="left"/>
              <w:spacing w:line="320" w:lineRule="exact"/>
              <w:rPr>
                <w:rFonts w:hint="eastAsia"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auto"/>
                <w:sz w:val="24"/>
                <w:szCs w:val="24"/>
                <w:highlight w:val="none"/>
                <w:lang w:val="en-US" w:eastAsia="zh-CN"/>
              </w:rPr>
              <w:t xml:space="preserve">可移动升降功能带发电机组</w:t>
            </w:r>
            <w:r/>
          </w:p>
          <w:p>
            <w:pPr>
              <w:numPr>
                <w:ilvl w:val="0"/>
                <w:numId w:val="9"/>
              </w:numPr>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auto"/>
                <w:sz w:val="24"/>
                <w:szCs w:val="24"/>
                <w:highlight w:val="none"/>
                <w:lang w:val="en-US" w:eastAsia="zh-CN"/>
              </w:rPr>
              <w:t xml:space="preserve">光源类型：LED/钨丝，寿命（5W-10W小时）</w:t>
            </w:r>
            <w:r/>
          </w:p>
          <w:p>
            <w:pPr>
              <w:numPr>
                <w:ilvl w:val="0"/>
                <w:numId w:val="9"/>
              </w:numPr>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auto"/>
                <w:sz w:val="24"/>
                <w:szCs w:val="24"/>
                <w:highlight w:val="none"/>
                <w:lang w:val="en-US" w:eastAsia="zh-CN"/>
              </w:rPr>
              <w:t xml:space="preserve">功率：</w:t>
            </w:r>
            <w:r>
              <w:rPr>
                <w:rFonts w:eastAsia="仿宋_GB2312"/>
                <w:color w:val="auto"/>
                <w:sz w:val="24"/>
                <w:szCs w:val="24"/>
                <w:highlight w:val="none"/>
              </w:rPr>
              <w:t xml:space="preserve">≥</w:t>
            </w:r>
            <w:r>
              <w:rPr>
                <w:rFonts w:hint="eastAsia" w:ascii="仿宋" w:hAnsi="仿宋" w:eastAsia="仿宋" w:cs="仿宋"/>
                <w:color w:val="auto"/>
                <w:sz w:val="24"/>
                <w:szCs w:val="24"/>
                <w:highlight w:val="none"/>
                <w:lang w:val="en-US" w:eastAsia="zh-CN" w:bidi="ar"/>
              </w:rPr>
              <w:t xml:space="preserve">500W（灯头4个）,覆盖照明范围</w:t>
            </w:r>
            <w:r>
              <w:rPr>
                <w:rFonts w:eastAsia="仿宋_GB2312"/>
                <w:color w:val="auto"/>
                <w:sz w:val="24"/>
                <w:szCs w:val="24"/>
                <w:highlight w:val="none"/>
              </w:rPr>
              <w:t xml:space="preserve">≥</w:t>
            </w:r>
            <w:r>
              <w:rPr>
                <w:rFonts w:hint="eastAsia" w:ascii="仿宋" w:hAnsi="仿宋" w:eastAsia="仿宋" w:cs="仿宋"/>
                <w:color w:val="auto"/>
                <w:sz w:val="24"/>
                <w:szCs w:val="24"/>
                <w:highlight w:val="none"/>
                <w:lang w:val="en-US" w:eastAsia="zh-CN" w:bidi="ar"/>
              </w:rPr>
              <w:t xml:space="preserve">500</w:t>
            </w:r>
            <w:r>
              <w:rPr>
                <w:rFonts w:hint="eastAsia" w:ascii="宋体" w:hAnsi="宋体" w:eastAsia="宋体" w:cs="宋体"/>
                <w:color w:val="auto"/>
                <w:sz w:val="24"/>
                <w:szCs w:val="24"/>
                <w:highlight w:val="none"/>
                <w:lang w:val="en-US" w:eastAsia="zh-CN" w:bidi="ar"/>
              </w:rPr>
              <w:t xml:space="preserve">㎡</w:t>
            </w:r>
            <w:r/>
          </w:p>
          <w:p>
            <w:pPr>
              <w:numPr>
                <w:ilvl w:val="0"/>
                <w:numId w:val="9"/>
              </w:numPr>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4"/>
                <w:highlight w:val="none"/>
                <w:lang w:val="en-US" w:eastAsia="zh-CN" w:bidi="ar"/>
              </w:rPr>
              <w:t xml:space="preserve">升降高度：</w:t>
            </w:r>
            <w:r>
              <w:rPr>
                <w:rFonts w:eastAsia="仿宋_GB2312"/>
                <w:color w:val="auto"/>
                <w:sz w:val="24"/>
                <w:szCs w:val="24"/>
                <w:highlight w:val="none"/>
              </w:rPr>
              <w:t xml:space="preserve">≥</w:t>
            </w:r>
            <w:r>
              <w:rPr>
                <w:rFonts w:hint="eastAsia" w:eastAsia="仿宋_GB2312"/>
                <w:color w:val="auto"/>
                <w:sz w:val="24"/>
                <w:szCs w:val="24"/>
                <w:highlight w:val="none"/>
                <w:lang w:val="en-US" w:eastAsia="zh-CN"/>
              </w:rPr>
              <w:t xml:space="preserve">4</w:t>
            </w:r>
            <w:r>
              <w:rPr>
                <w:rFonts w:hint="eastAsia" w:ascii="仿宋" w:hAnsi="仿宋" w:eastAsia="仿宋" w:cs="仿宋"/>
                <w:color w:val="auto"/>
                <w:sz w:val="24"/>
                <w:szCs w:val="24"/>
                <w:highlight w:val="none"/>
                <w:lang w:val="en-US" w:eastAsia="zh-CN" w:bidi="ar"/>
              </w:rPr>
              <w:t xml:space="preserve">米</w:t>
            </w:r>
            <w:r/>
          </w:p>
          <w:p>
            <w:pPr>
              <w:numPr>
                <w:ilvl w:val="0"/>
                <w:numId w:val="9"/>
              </w:numPr>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4"/>
                <w:highlight w:val="none"/>
                <w:lang w:val="en-US" w:eastAsia="zh-CN" w:bidi="ar"/>
              </w:rPr>
              <w:t xml:space="preserve">电源：适用于户外</w:t>
            </w:r>
            <w:r/>
          </w:p>
          <w:p>
            <w:pPr>
              <w:numPr>
                <w:ilvl w:val="0"/>
                <w:numId w:val="9"/>
              </w:numPr>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4"/>
                <w:highlight w:val="none"/>
                <w:lang w:val="en-US" w:eastAsia="zh-CN" w:bidi="ar"/>
              </w:rPr>
              <w:t xml:space="preserve">防护功能：防水防尘等级IP65-IP67，适应暴雨、粉尘环境。</w:t>
            </w:r>
            <w:r/>
          </w:p>
          <w:p>
            <w:pPr>
              <w:numPr>
                <w:ilvl w:val="0"/>
                <w:numId w:val="9"/>
              </w:numPr>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4"/>
                <w:highlight w:val="none"/>
                <w:lang w:val="en-US" w:eastAsia="zh-CN" w:bidi="ar"/>
              </w:rPr>
              <w:t xml:space="preserve">抗震抗摔：金属材质机身，可承受1-2米跌落冲击。</w:t>
            </w:r>
            <w:r/>
          </w:p>
          <w:p>
            <w:pPr>
              <w:numPr>
                <w:ilvl w:val="0"/>
                <w:numId w:val="9"/>
              </w:numPr>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4"/>
                <w:highlight w:val="none"/>
                <w:lang w:val="en-US" w:eastAsia="zh-CN" w:bidi="ar"/>
              </w:rPr>
              <w:t xml:space="preserve">★需出具 2025年以来第三方检验报告。</w:t>
            </w:r>
            <w:r/>
          </w:p>
        </w:tc>
      </w:tr>
      <w:tr>
        <w:trPr/>
        <w:tc>
          <w:tcPr>
            <w:tcW w:w="904" w:type="dxa"/>
            <w:textDirection w:val="lrTb"/>
            <w:noWrap w:val="false"/>
          </w:tcPr>
          <w:p>
            <w:pPr>
              <w:jc w:val="center"/>
              <w:spacing w:before="111" w:line="218" w:lineRule="auto"/>
              <w:rPr>
                <w:rFonts w:hint="default" w:ascii="仿宋" w:hAnsi="仿宋" w:eastAsia="仿宋" w:cs="仿宋"/>
                <w:b w:val="0"/>
                <w:bCs w:val="0"/>
                <w:color w:val="auto"/>
                <w:spacing w:val="-7"/>
                <w:sz w:val="28"/>
                <w:szCs w:val="28"/>
                <w:highlight w:val="none"/>
                <w:vertAlign w:val="baseline"/>
                <w:lang w:val="en-US" w:eastAsia="zh-CN"/>
              </w:rPr>
              <w:outlineLvl w:val="1"/>
            </w:pPr>
            <w:r>
              <w:rPr>
                <w:rFonts w:hint="eastAsia" w:ascii="仿宋" w:hAnsi="仿宋" w:eastAsia="仿宋" w:cs="仿宋"/>
                <w:b w:val="0"/>
                <w:bCs w:val="0"/>
                <w:color w:val="auto"/>
                <w:spacing w:val="-7"/>
                <w:sz w:val="28"/>
                <w:szCs w:val="28"/>
                <w:highlight w:val="none"/>
                <w:vertAlign w:val="baseline"/>
                <w:lang w:val="en-US" w:eastAsia="zh-CN"/>
              </w:rPr>
              <w:t xml:space="preserve">8</w:t>
            </w: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bidi="ar-SA"/>
              </w:rPr>
            </w:pPr>
            <w:r>
              <w:rPr>
                <w:rFonts w:hint="eastAsia" w:ascii="宋体" w:hAnsi="宋体" w:cs="宋体"/>
                <w:bCs/>
                <w:color w:val="auto"/>
                <w:sz w:val="24"/>
                <w:szCs w:val="24"/>
                <w:highlight w:val="none"/>
                <w:vertAlign w:val="baseline"/>
                <w:lang w:val="en-US" w:eastAsia="zh-CN"/>
              </w:rPr>
              <w:t xml:space="preserve">毛毯</w:t>
            </w:r>
            <w:r/>
          </w:p>
        </w:tc>
        <w:tc>
          <w:tcPr>
            <w:tcW w:w="6503" w:type="dxa"/>
            <w:textDirection w:val="lrTb"/>
            <w:noWrap w:val="false"/>
          </w:tcPr>
          <w:p>
            <w:pPr>
              <w:jc w:val="left"/>
              <w:keepLines w:val="0"/>
              <w:keepNext w:val="0"/>
              <w:widowControl/>
              <w:rPr>
                <w:color w:val="auto"/>
                <w:highlight w:val="none"/>
              </w:rPr>
              <w:suppressLineNumbers w:val="0"/>
            </w:pPr>
            <w:r>
              <w:rPr>
                <w:rFonts w:ascii="仿宋" w:hAnsi="仿宋" w:eastAsia="仿宋" w:cs="仿宋"/>
                <w:color w:val="auto"/>
                <w:sz w:val="24"/>
                <w:szCs w:val="24"/>
                <w:highlight w:val="none"/>
                <w:lang w:val="en-US" w:eastAsia="zh-CN" w:bidi="ar"/>
              </w:rPr>
              <w:t xml:space="preserve">1</w:t>
            </w:r>
            <w:r>
              <w:rPr>
                <w:rFonts w:hint="eastAsia" w:ascii="仿宋" w:hAnsi="仿宋" w:eastAsia="仿宋" w:cs="仿宋"/>
                <w:color w:val="auto"/>
                <w:sz w:val="24"/>
                <w:szCs w:val="24"/>
                <w:highlight w:val="none"/>
                <w:lang w:val="en-US" w:eastAsia="zh-CN" w:bidi="ar"/>
              </w:rPr>
              <w:t xml:space="preserve">.</w:t>
            </w:r>
            <w:r>
              <w:rPr>
                <w:rFonts w:ascii="仿宋" w:hAnsi="仿宋" w:eastAsia="仿宋" w:cs="仿宋"/>
                <w:color w:val="auto"/>
                <w:sz w:val="24"/>
                <w:szCs w:val="24"/>
                <w:highlight w:val="none"/>
                <w:lang w:val="en-US" w:eastAsia="zh-CN" w:bidi="ar"/>
              </w:rPr>
              <w:t xml:space="preserve">规格尺寸：长方形，双面毛圈结构，150cm×200cm。 </w:t>
            </w:r>
            <w:r/>
          </w:p>
          <w:p>
            <w:pPr>
              <w:jc w:val="left"/>
              <w:keepLines w:val="0"/>
              <w:keepNext w:val="0"/>
              <w:widowControl/>
              <w:rPr>
                <w:color w:val="auto"/>
                <w:highlight w:val="none"/>
              </w:rPr>
              <w:suppressLineNumbers w:val="0"/>
            </w:pPr>
            <w:r>
              <w:rPr>
                <w:rFonts w:hint="eastAsia" w:ascii="仿宋" w:hAnsi="仿宋" w:eastAsia="仿宋" w:cs="仿宋"/>
                <w:color w:val="auto"/>
                <w:sz w:val="24"/>
                <w:szCs w:val="24"/>
                <w:highlight w:val="none"/>
                <w:lang w:val="en-US" w:eastAsia="zh-CN" w:bidi="ar"/>
              </w:rPr>
              <w:t xml:space="preserve">2.材质：100%棉。 </w:t>
            </w:r>
            <w:r/>
          </w:p>
          <w:p>
            <w:pPr>
              <w:jc w:val="left"/>
              <w:keepLines w:val="0"/>
              <w:keepNext w:val="0"/>
              <w:widowControl/>
              <w:rPr>
                <w:color w:val="auto"/>
                <w:highlight w:val="none"/>
              </w:rPr>
              <w:suppressLineNumbers w:val="0"/>
            </w:pPr>
            <w:r>
              <w:rPr>
                <w:rFonts w:hint="eastAsia" w:ascii="仿宋" w:hAnsi="仿宋" w:eastAsia="仿宋" w:cs="仿宋"/>
                <w:color w:val="auto"/>
                <w:sz w:val="24"/>
                <w:szCs w:val="24"/>
                <w:highlight w:val="none"/>
                <w:lang w:val="en-US" w:eastAsia="zh-CN" w:bidi="ar"/>
              </w:rPr>
              <w:t xml:space="preserve">3.标准重量：≥1kg。 </w:t>
            </w:r>
            <w:r/>
          </w:p>
          <w:p>
            <w:pPr>
              <w:jc w:val="left"/>
              <w:keepLines w:val="0"/>
              <w:keepNext w:val="0"/>
              <w:widowControl/>
              <w:rPr>
                <w:color w:val="auto"/>
                <w:highlight w:val="none"/>
              </w:rPr>
              <w:suppressLineNumbers w:val="0"/>
            </w:pPr>
            <w:r>
              <w:rPr>
                <w:rFonts w:hint="eastAsia" w:ascii="仿宋" w:hAnsi="仿宋" w:eastAsia="仿宋" w:cs="仿宋"/>
                <w:color w:val="auto"/>
                <w:sz w:val="24"/>
                <w:szCs w:val="24"/>
                <w:highlight w:val="none"/>
                <w:lang w:val="en-US" w:eastAsia="zh-CN" w:bidi="ar"/>
              </w:rPr>
              <w:t xml:space="preserve">4.耐洗色牢度≥3，甲醛≤75mg/kg，PH 值 4.0～8.5，可 </w:t>
            </w:r>
            <w:r/>
          </w:p>
          <w:p>
            <w:pPr>
              <w:jc w:val="left"/>
              <w:keepLines w:val="0"/>
              <w:keepNext w:val="0"/>
              <w:widowControl/>
              <w:rPr>
                <w:color w:val="auto"/>
                <w:highlight w:val="none"/>
              </w:rPr>
              <w:suppressLineNumbers w:val="0"/>
            </w:pPr>
            <w:r>
              <w:rPr>
                <w:rFonts w:hint="eastAsia" w:ascii="仿宋" w:hAnsi="仿宋" w:eastAsia="仿宋" w:cs="仿宋"/>
                <w:color w:val="auto"/>
                <w:sz w:val="24"/>
                <w:szCs w:val="24"/>
                <w:highlight w:val="none"/>
                <w:lang w:val="en-US" w:eastAsia="zh-CN" w:bidi="ar"/>
              </w:rPr>
              <w:t xml:space="preserve">分解芳香胺：禁用，符合国家最新标准。 </w:t>
            </w:r>
            <w:r/>
          </w:p>
          <w:p>
            <w:pPr>
              <w:jc w:val="left"/>
              <w:keepLines w:val="0"/>
              <w:keepNext w:val="0"/>
              <w:widowControl/>
              <w:rPr>
                <w:rFonts w:hint="default" w:ascii="Times New Roman" w:hAnsi="Times New Roman" w:eastAsia="仿宋_GB2312" w:cs="Times New Roman"/>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5.★需出具 2025年以来有 CMA 或 CNAS 资质的第三方检验报告。 </w:t>
            </w:r>
            <w:r/>
          </w:p>
        </w:tc>
      </w:tr>
      <w:tr>
        <w:trPr/>
        <w:tc>
          <w:tcPr>
            <w:tcW w:w="904" w:type="dxa"/>
            <w:textDirection w:val="lrTb"/>
            <w:noWrap w:val="false"/>
          </w:tcPr>
          <w:p>
            <w:pPr>
              <w:jc w:val="center"/>
              <w:spacing w:before="111" w:line="218" w:lineRule="auto"/>
              <w:rPr>
                <w:rFonts w:hint="default" w:ascii="仿宋" w:hAnsi="仿宋" w:eastAsia="仿宋" w:cs="仿宋"/>
                <w:b w:val="0"/>
                <w:bCs w:val="0"/>
                <w:color w:val="auto"/>
                <w:spacing w:val="-7"/>
                <w:sz w:val="28"/>
                <w:szCs w:val="28"/>
                <w:highlight w:val="none"/>
                <w:vertAlign w:val="baseline"/>
                <w:lang w:val="en-US" w:eastAsia="zh-CN"/>
              </w:rPr>
              <w:outlineLvl w:val="1"/>
            </w:pPr>
            <w:r>
              <w:rPr>
                <w:rFonts w:hint="eastAsia" w:ascii="仿宋" w:hAnsi="仿宋" w:eastAsia="仿宋" w:cs="仿宋"/>
                <w:b w:val="0"/>
                <w:bCs w:val="0"/>
                <w:color w:val="auto"/>
                <w:spacing w:val="-7"/>
                <w:sz w:val="28"/>
                <w:szCs w:val="28"/>
                <w:highlight w:val="none"/>
                <w:vertAlign w:val="baseline"/>
                <w:lang w:val="en-US" w:eastAsia="zh-CN"/>
              </w:rPr>
              <w:t xml:space="preserve">9</w:t>
            </w: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bidi="ar-SA"/>
              </w:rPr>
            </w:pPr>
            <w:r>
              <w:rPr>
                <w:rFonts w:hint="eastAsia" w:ascii="宋体" w:hAnsi="宋体" w:cs="宋体"/>
                <w:bCs/>
                <w:color w:val="auto"/>
                <w:sz w:val="24"/>
                <w:szCs w:val="24"/>
                <w:highlight w:val="none"/>
                <w:vertAlign w:val="baseline"/>
                <w:lang w:val="en-US" w:eastAsia="zh-CN"/>
              </w:rPr>
              <w:t xml:space="preserve">床单</w:t>
            </w:r>
            <w:r/>
          </w:p>
        </w:tc>
        <w:tc>
          <w:tcPr>
            <w:tcW w:w="6503" w:type="dxa"/>
            <w:textDirection w:val="lrTb"/>
            <w:noWrap w:val="false"/>
          </w:tcPr>
          <w:p>
            <w:pPr>
              <w:jc w:val="left"/>
              <w:keepLines w:val="0"/>
              <w:keepNext w:val="0"/>
              <w:widowControl/>
              <w:rPr>
                <w:rFonts w:hint="default"/>
                <w:color w:val="auto"/>
                <w:highlight w:val="none"/>
                <w:lang w:val="en-US"/>
              </w:rPr>
              <w:suppressLineNumbers w:val="0"/>
            </w:pPr>
            <w:r>
              <w:rPr>
                <w:rFonts w:ascii="仿宋" w:hAnsi="仿宋" w:eastAsia="仿宋" w:cs="仿宋"/>
                <w:color w:val="auto"/>
                <w:sz w:val="24"/>
                <w:szCs w:val="24"/>
                <w:highlight w:val="none"/>
                <w:lang w:val="en-US" w:eastAsia="zh-CN" w:bidi="ar"/>
              </w:rPr>
              <w:t xml:space="preserve">1</w:t>
            </w:r>
            <w:r>
              <w:rPr>
                <w:rFonts w:hint="eastAsia" w:ascii="仿宋" w:hAnsi="仿宋" w:eastAsia="仿宋" w:cs="仿宋"/>
                <w:color w:val="auto"/>
                <w:sz w:val="24"/>
                <w:szCs w:val="24"/>
                <w:highlight w:val="none"/>
                <w:lang w:val="en-US" w:eastAsia="zh-CN" w:bidi="ar"/>
              </w:rPr>
              <w:t xml:space="preserve">.</w:t>
            </w:r>
            <w:r>
              <w:rPr>
                <w:rFonts w:ascii="仿宋" w:hAnsi="仿宋" w:eastAsia="仿宋" w:cs="仿宋"/>
                <w:color w:val="auto"/>
                <w:sz w:val="24"/>
                <w:szCs w:val="24"/>
                <w:highlight w:val="none"/>
                <w:lang w:val="en-US" w:eastAsia="zh-CN" w:bidi="ar"/>
              </w:rPr>
              <w:t xml:space="preserve">规格尺寸：长方形，</w:t>
            </w:r>
            <w:r>
              <w:rPr>
                <w:rFonts w:hint="eastAsia" w:ascii="仿宋" w:hAnsi="仿宋" w:eastAsia="仿宋" w:cs="仿宋"/>
                <w:color w:val="auto"/>
                <w:sz w:val="24"/>
                <w:szCs w:val="24"/>
                <w:highlight w:val="none"/>
                <w:lang w:val="en-US" w:eastAsia="zh-CN" w:bidi="ar"/>
              </w:rPr>
              <w:t xml:space="preserve">180</w:t>
            </w:r>
            <w:r>
              <w:rPr>
                <w:rFonts w:ascii="仿宋" w:hAnsi="仿宋" w:eastAsia="仿宋" w:cs="仿宋"/>
                <w:color w:val="auto"/>
                <w:sz w:val="24"/>
                <w:szCs w:val="24"/>
                <w:highlight w:val="none"/>
                <w:lang w:val="en-US" w:eastAsia="zh-CN" w:bidi="ar"/>
              </w:rPr>
              <w:t xml:space="preserve">cm</w:t>
            </w:r>
            <w:r>
              <w:rPr>
                <w:rFonts w:hint="eastAsia" w:ascii="仿宋" w:hAnsi="仿宋" w:eastAsia="仿宋" w:cs="仿宋"/>
                <w:color w:val="auto"/>
                <w:sz w:val="24"/>
                <w:szCs w:val="24"/>
                <w:highlight w:val="none"/>
                <w:lang w:val="en-US" w:eastAsia="zh-CN" w:bidi="ar"/>
              </w:rPr>
              <w:t xml:space="preserve">*220cm</w:t>
            </w:r>
            <w:r>
              <w:rPr>
                <w:rFonts w:ascii="仿宋" w:hAnsi="仿宋" w:eastAsia="仿宋" w:cs="仿宋"/>
                <w:color w:val="auto"/>
                <w:sz w:val="24"/>
                <w:szCs w:val="24"/>
                <w:highlight w:val="none"/>
                <w:lang w:val="en-US" w:eastAsia="zh-CN" w:bidi="ar"/>
              </w:rPr>
              <w:t xml:space="preserve">。 </w:t>
            </w:r>
            <w:r>
              <w:rPr>
                <w:rFonts w:hint="eastAsia" w:ascii="仿宋" w:hAnsi="仿宋" w:eastAsia="仿宋" w:cs="仿宋"/>
                <w:color w:val="auto"/>
                <w:sz w:val="24"/>
                <w:szCs w:val="24"/>
                <w:highlight w:val="none"/>
                <w:lang w:val="en-US" w:eastAsia="zh-CN" w:bidi="ar"/>
              </w:rPr>
              <w:t xml:space="preserve">允许偏差≤±2%。</w:t>
            </w:r>
            <w:r/>
          </w:p>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2.材质：100%棉。</w:t>
            </w:r>
            <w:r/>
          </w:p>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3.外观颜色：军绿色或者蓝格</w:t>
            </w:r>
            <w:r/>
          </w:p>
          <w:p>
            <w:pPr>
              <w:jc w:val="left"/>
              <w:keepLines w:val="0"/>
              <w:keepNext w:val="0"/>
              <w:widowControl/>
              <w:rPr>
                <w:color w:val="auto"/>
                <w:highlight w:val="none"/>
              </w:rPr>
              <w:suppressLineNumbers w:val="0"/>
            </w:pPr>
            <w:r>
              <w:rPr>
                <w:rFonts w:hint="eastAsia" w:ascii="仿宋" w:hAnsi="仿宋" w:eastAsia="仿宋" w:cs="仿宋"/>
                <w:color w:val="auto"/>
                <w:sz w:val="24"/>
                <w:szCs w:val="24"/>
                <w:highlight w:val="none"/>
                <w:lang w:val="en-US" w:eastAsia="zh-CN" w:bidi="ar"/>
              </w:rPr>
              <w:t xml:space="preserve">4.质量标准：参照GB/T 22796-2021执行 </w:t>
            </w:r>
            <w:r/>
          </w:p>
          <w:p>
            <w:pPr>
              <w:jc w:val="left"/>
              <w:keepLines w:val="0"/>
              <w:keepNext w:val="0"/>
              <w:widowControl/>
              <w:rPr>
                <w:rFonts w:hint="default" w:ascii="Times New Roman" w:hAnsi="Times New Roman" w:eastAsia="仿宋_GB2312" w:cs="Times New Roman"/>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5.★需出具 2025年以来有 CMA 或 CNAS 资质的第三方检验报告。  </w:t>
            </w:r>
            <w:r/>
          </w:p>
        </w:tc>
      </w:tr>
      <w:tr>
        <w:trPr/>
        <w:tc>
          <w:tcPr>
            <w:tcW w:w="904" w:type="dxa"/>
            <w:textDirection w:val="lrTb"/>
            <w:noWrap w:val="false"/>
          </w:tcPr>
          <w:p>
            <w:pPr>
              <w:jc w:val="center"/>
              <w:spacing w:before="111" w:line="218" w:lineRule="auto"/>
              <w:rPr>
                <w:rFonts w:hint="default" w:ascii="仿宋" w:hAnsi="仿宋" w:eastAsia="仿宋" w:cs="仿宋"/>
                <w:b w:val="0"/>
                <w:bCs w:val="0"/>
                <w:color w:val="auto"/>
                <w:spacing w:val="-7"/>
                <w:sz w:val="28"/>
                <w:szCs w:val="28"/>
                <w:highlight w:val="none"/>
                <w:vertAlign w:val="baseline"/>
                <w:lang w:val="en-US" w:eastAsia="zh-CN"/>
              </w:rPr>
              <w:outlineLvl w:val="1"/>
            </w:pPr>
            <w:r>
              <w:rPr>
                <w:rFonts w:hint="eastAsia" w:ascii="仿宋" w:hAnsi="仿宋" w:eastAsia="仿宋" w:cs="仿宋"/>
                <w:b w:val="0"/>
                <w:bCs w:val="0"/>
                <w:color w:val="auto"/>
                <w:spacing w:val="-7"/>
                <w:sz w:val="28"/>
                <w:szCs w:val="28"/>
                <w:highlight w:val="none"/>
                <w:vertAlign w:val="baseline"/>
                <w:lang w:val="en-US" w:eastAsia="zh-CN"/>
              </w:rPr>
              <w:t xml:space="preserve">10</w:t>
            </w:r>
            <w:r/>
          </w:p>
        </w:tc>
        <w:tc>
          <w:tcPr>
            <w:shd w:val="clear" w:color="auto" w:fill="auto"/>
            <w:tcW w:w="1500" w:type="dxa"/>
            <w:vAlign w:val="top"/>
            <w:textDirection w:val="lrTb"/>
            <w:noWrap w:val="false"/>
          </w:tcPr>
          <w:p>
            <w:pPr>
              <w:jc w:val="center"/>
              <w:spacing w:line="440" w:lineRule="exact"/>
              <w:rPr>
                <w:rFonts w:hint="default" w:ascii="宋体" w:hAnsi="宋体" w:eastAsia="宋体" w:cs="宋体"/>
                <w:bCs/>
                <w:color w:val="auto"/>
                <w:sz w:val="24"/>
                <w:szCs w:val="24"/>
                <w:highlight w:val="none"/>
                <w:vertAlign w:val="baseline"/>
                <w:lang w:val="en-US" w:eastAsia="zh-CN" w:bidi="ar-SA"/>
              </w:rPr>
            </w:pPr>
            <w:r>
              <w:rPr>
                <w:rFonts w:hint="eastAsia" w:ascii="宋体" w:hAnsi="宋体" w:cs="宋体"/>
                <w:bCs/>
                <w:color w:val="auto"/>
                <w:sz w:val="24"/>
                <w:szCs w:val="24"/>
                <w:highlight w:val="none"/>
                <w:vertAlign w:val="baseline"/>
                <w:lang w:val="en-US" w:eastAsia="zh-CN"/>
              </w:rPr>
              <w:t xml:space="preserve">货物托盘</w:t>
            </w:r>
            <w:r/>
          </w:p>
        </w:tc>
        <w:tc>
          <w:tcPr>
            <w:tcW w:w="6503" w:type="dxa"/>
            <w:textDirection w:val="lrTb"/>
            <w:noWrap w:val="false"/>
          </w:tcPr>
          <w:p>
            <w:pPr>
              <w:numPr>
                <w:ilvl w:val="0"/>
                <w:numId w:val="10"/>
              </w:numPr>
              <w:ind w:firstLine="0"/>
              <w:jc w:val="left"/>
              <w:spacing w:line="320" w:lineRule="exact"/>
              <w:rPr>
                <w:rFonts w:hint="eastAsia"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auto"/>
                <w:sz w:val="24"/>
                <w:szCs w:val="24"/>
                <w:highlight w:val="none"/>
                <w:lang w:val="en-US" w:eastAsia="zh-CN"/>
              </w:rPr>
              <w:t xml:space="preserve">执行标准GB/T 15234-2025</w:t>
            </w:r>
            <w:r/>
          </w:p>
          <w:p>
            <w:pPr>
              <w:numPr>
                <w:ilvl w:val="0"/>
                <w:numId w:val="10"/>
              </w:numPr>
              <w:ind w:firstLine="0"/>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auto"/>
                <w:sz w:val="24"/>
                <w:szCs w:val="24"/>
                <w:highlight w:val="none"/>
                <w:lang w:val="en-US" w:eastAsia="zh-CN"/>
              </w:rPr>
              <w:t xml:space="preserve">尺寸：1200mm*1000mm</w:t>
            </w:r>
            <w:r/>
          </w:p>
          <w:p>
            <w:pPr>
              <w:numPr>
                <w:ilvl w:val="0"/>
                <w:numId w:val="10"/>
              </w:numPr>
              <w:ind w:firstLine="0"/>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auto"/>
                <w:sz w:val="24"/>
                <w:szCs w:val="24"/>
                <w:highlight w:val="none"/>
                <w:lang w:val="en-US" w:eastAsia="zh-CN"/>
              </w:rPr>
              <w:t xml:space="preserve">承载力：</w:t>
            </w:r>
            <w:r>
              <w:rPr>
                <w:rFonts w:hint="eastAsia" w:ascii="仿宋" w:hAnsi="仿宋" w:eastAsia="仿宋" w:cs="仿宋"/>
                <w:color w:val="auto"/>
                <w:sz w:val="24"/>
                <w:szCs w:val="24"/>
                <w:highlight w:val="none"/>
                <w:lang w:val="en-US" w:eastAsia="zh-CN" w:bidi="ar"/>
              </w:rPr>
              <w:t xml:space="preserve">≥</w:t>
            </w:r>
            <w:r>
              <w:rPr>
                <w:rFonts w:hint="eastAsia" w:ascii="Times New Roman" w:hAnsi="Times New Roman" w:eastAsia="仿宋_GB2312" w:cs="Times New Roman"/>
                <w:color w:val="auto"/>
                <w:sz w:val="24"/>
                <w:szCs w:val="24"/>
                <w:highlight w:val="none"/>
                <w:lang w:val="en-US" w:eastAsia="zh-CN"/>
              </w:rPr>
              <w:t xml:space="preserve">1000kg</w:t>
            </w:r>
            <w:r/>
          </w:p>
          <w:p>
            <w:pPr>
              <w:numPr>
                <w:ilvl w:val="0"/>
                <w:numId w:val="10"/>
              </w:numPr>
              <w:ind w:firstLine="0"/>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auto"/>
                <w:sz w:val="24"/>
                <w:szCs w:val="24"/>
                <w:highlight w:val="none"/>
                <w:lang w:val="en-US" w:eastAsia="zh-CN"/>
              </w:rPr>
              <w:t xml:space="preserve">厚度：</w:t>
            </w:r>
            <w:r>
              <w:rPr>
                <w:rFonts w:hint="eastAsia" w:ascii="仿宋" w:hAnsi="仿宋" w:eastAsia="仿宋" w:cs="仿宋"/>
                <w:color w:val="auto"/>
                <w:sz w:val="24"/>
                <w:szCs w:val="24"/>
                <w:highlight w:val="none"/>
                <w:lang w:val="en-US" w:eastAsia="zh-CN" w:bidi="ar"/>
              </w:rPr>
              <w:t xml:space="preserve">≥</w:t>
            </w:r>
            <w:r>
              <w:rPr>
                <w:rFonts w:hint="eastAsia" w:ascii="Times New Roman" w:hAnsi="Times New Roman" w:eastAsia="仿宋_GB2312" w:cs="Times New Roman"/>
                <w:color w:val="auto"/>
                <w:sz w:val="24"/>
                <w:szCs w:val="24"/>
                <w:highlight w:val="none"/>
                <w:lang w:val="en-US" w:eastAsia="zh-CN"/>
              </w:rPr>
              <w:t xml:space="preserve">15mm</w:t>
            </w:r>
            <w:r/>
          </w:p>
          <w:p>
            <w:pPr>
              <w:numPr>
                <w:ilvl w:val="0"/>
                <w:numId w:val="10"/>
              </w:numPr>
              <w:ind w:firstLine="0"/>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仿宋_GB2312" w:cs="Times New Roman"/>
                <w:color w:val="auto"/>
                <w:sz w:val="24"/>
                <w:szCs w:val="24"/>
                <w:highlight w:val="none"/>
                <w:lang w:val="en-US" w:eastAsia="zh-CN"/>
              </w:rPr>
              <w:t xml:space="preserve">材质：HDPE/PP，无有毒有害物质</w:t>
            </w:r>
            <w:r/>
          </w:p>
          <w:p>
            <w:pPr>
              <w:numPr>
                <w:ilvl w:val="0"/>
                <w:numId w:val="10"/>
              </w:numPr>
              <w:ind w:firstLine="0"/>
              <w:jc w:val="left"/>
              <w:spacing w:line="320" w:lineRule="exact"/>
              <w:rPr>
                <w:rFonts w:hint="default" w:ascii="Times New Roman" w:hAnsi="Times New Roman" w:eastAsia="仿宋_GB2312"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4"/>
                <w:highlight w:val="none"/>
                <w:lang w:val="en-US" w:eastAsia="zh-CN" w:bidi="ar"/>
              </w:rPr>
              <w:t xml:space="preserve">★需出具 2025年以来第三方检验报告。(报告中含外观、尺寸偏差正负2mm、载荷测试)</w:t>
            </w:r>
            <w:r/>
          </w:p>
        </w:tc>
      </w:tr>
    </w:tbl>
    <w:p>
      <w:pPr>
        <w:jc w:val="left"/>
        <w:spacing w:before="111" w:line="218" w:lineRule="auto"/>
        <w:rPr>
          <w:rFonts w:hint="default" w:ascii="仿宋" w:hAnsi="仿宋" w:eastAsia="仿宋" w:cs="仿宋"/>
          <w:b/>
          <w:bCs/>
          <w:color w:val="auto"/>
          <w:spacing w:val="-7"/>
          <w:sz w:val="28"/>
          <w:szCs w:val="28"/>
          <w:highlight w:val="none"/>
          <w:lang w:val="en-US" w:eastAsia="zh-CN"/>
        </w:rPr>
        <w:outlineLvl w:val="1"/>
      </w:pPr>
      <w:r>
        <w:rPr>
          <w:rFonts w:hint="default" w:ascii="仿宋" w:hAnsi="仿宋" w:eastAsia="仿宋" w:cs="仿宋"/>
          <w:b/>
          <w:bCs/>
          <w:color w:val="auto"/>
          <w:spacing w:val="-7"/>
          <w:sz w:val="28"/>
          <w:szCs w:val="28"/>
          <w:highlight w:val="none"/>
          <w:lang w:val="en-US" w:eastAsia="zh-CN"/>
        </w:rPr>
        <w:t xml:space="preserve">备注：物资外包装需标注物品品牌、生产厂家、生产日期、物品数量等必要信息，并在产品和外包装上的合适位置印制“</w:t>
      </w:r>
      <w:r>
        <w:rPr>
          <w:rFonts w:hint="eastAsia" w:ascii="仿宋" w:hAnsi="仿宋" w:eastAsia="仿宋" w:cs="仿宋"/>
          <w:b/>
          <w:bCs/>
          <w:color w:val="auto"/>
          <w:spacing w:val="-7"/>
          <w:sz w:val="28"/>
          <w:szCs w:val="28"/>
          <w:highlight w:val="none"/>
          <w:lang w:val="en-US" w:eastAsia="zh-CN"/>
        </w:rPr>
        <w:t xml:space="preserve">应急救灾</w:t>
      </w:r>
      <w:r>
        <w:rPr>
          <w:rFonts w:hint="default" w:ascii="仿宋" w:hAnsi="仿宋" w:eastAsia="仿宋" w:cs="仿宋"/>
          <w:b/>
          <w:bCs/>
          <w:color w:val="auto"/>
          <w:spacing w:val="-7"/>
          <w:sz w:val="28"/>
          <w:szCs w:val="28"/>
          <w:highlight w:val="none"/>
          <w:lang w:val="en-US" w:eastAsia="zh-CN"/>
        </w:rPr>
        <w:t xml:space="preserve">”字样。</w:t>
      </w:r>
      <w:r/>
    </w:p>
    <w:p>
      <w:pPr>
        <w:ind w:left="616"/>
        <w:spacing w:before="111" w:line="218" w:lineRule="auto"/>
        <w:rPr>
          <w:rFonts w:ascii="仿宋" w:hAnsi="仿宋" w:eastAsia="仿宋" w:cs="仿宋"/>
          <w:color w:val="auto"/>
          <w:sz w:val="28"/>
          <w:szCs w:val="28"/>
          <w:highlight w:val="none"/>
        </w:rPr>
        <w:outlineLvl w:val="1"/>
      </w:pPr>
      <w:r>
        <w:rPr>
          <w:rFonts w:hint="eastAsia" w:ascii="仿宋" w:hAnsi="仿宋" w:eastAsia="仿宋" w:cs="仿宋"/>
          <w:b/>
          <w:bCs/>
          <w:color w:val="auto"/>
          <w:spacing w:val="-7"/>
          <w:sz w:val="28"/>
          <w:szCs w:val="28"/>
          <w:highlight w:val="none"/>
          <w:lang w:val="en-US" w:eastAsia="zh-CN"/>
        </w:rPr>
        <w:t xml:space="preserve">三</w:t>
      </w:r>
      <w:r>
        <w:rPr>
          <w:rFonts w:hint="eastAsia" w:ascii="仿宋" w:hAnsi="仿宋" w:eastAsia="仿宋" w:cs="仿宋"/>
          <w:b/>
          <w:bCs/>
          <w:color w:val="auto"/>
          <w:spacing w:val="-7"/>
          <w:sz w:val="28"/>
          <w:szCs w:val="28"/>
          <w:highlight w:val="none"/>
        </w:rPr>
        <w:t xml:space="preserve">、其他要求</w:t>
      </w:r>
      <w:r/>
    </w:p>
    <w:p>
      <w:pPr>
        <w:ind w:firstLine="560"/>
        <w:jc w:val="left"/>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1、中标人须负责其所提供的所有产品的供货、运输、安装调试以及与之相关的一切必要配套工作。此费用由供应商自行考虑并包含在投标报价中，采购人不再另行支付。</w:t>
      </w:r>
      <w:r/>
    </w:p>
    <w:p>
      <w:pPr>
        <w:ind w:firstLine="560"/>
        <w:jc w:val="left"/>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2、所有产品应有原厂正式包装，不接受改配，杜绝水货，</w:t>
      </w:r>
      <w:r>
        <w:rPr>
          <w:rFonts w:hint="eastAsia" w:ascii="仿宋" w:hAnsi="仿宋" w:eastAsia="仿宋" w:cs="仿宋"/>
          <w:color w:val="auto"/>
          <w:sz w:val="28"/>
          <w:szCs w:val="28"/>
          <w:highlight w:val="none"/>
          <w:lang w:val="en-US" w:eastAsia="zh-CN"/>
        </w:rPr>
        <w:t xml:space="preserve">所有货物应为2026年1月及之后生产的全新产品</w:t>
      </w:r>
      <w:r>
        <w:rPr>
          <w:rFonts w:hint="eastAsia" w:ascii="仿宋" w:hAnsi="仿宋" w:eastAsia="仿宋" w:cs="仿宋"/>
          <w:color w:val="auto"/>
          <w:sz w:val="28"/>
          <w:szCs w:val="28"/>
          <w:highlight w:val="none"/>
          <w:lang w:eastAsia="zh-CN"/>
        </w:rPr>
        <w:t xml:space="preserve">。 </w:t>
      </w:r>
      <w:r/>
    </w:p>
    <w:p>
      <w:pPr>
        <w:ind w:firstLine="560"/>
        <w:jc w:val="left"/>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3、中标人必须</w:t>
      </w:r>
      <w:r>
        <w:rPr>
          <w:rFonts w:hint="eastAsia" w:ascii="仿宋" w:hAnsi="仿宋" w:eastAsia="仿宋" w:cs="仿宋"/>
          <w:color w:val="auto"/>
          <w:sz w:val="28"/>
          <w:szCs w:val="28"/>
          <w:highlight w:val="none"/>
          <w:lang w:val="en-US" w:eastAsia="zh-CN"/>
        </w:rPr>
        <w:t xml:space="preserve">供货至</w:t>
      </w:r>
      <w:r>
        <w:rPr>
          <w:rFonts w:hint="eastAsia" w:ascii="仿宋" w:hAnsi="仿宋" w:eastAsia="仿宋" w:cs="仿宋"/>
          <w:color w:val="auto"/>
          <w:sz w:val="28"/>
          <w:szCs w:val="28"/>
          <w:highlight w:val="none"/>
          <w:lang w:eastAsia="zh-CN"/>
        </w:rPr>
        <w:t xml:space="preserve">到采购人指定地点。</w:t>
      </w:r>
      <w:r/>
    </w:p>
    <w:p>
      <w:pPr>
        <w:ind w:firstLine="560"/>
        <w:jc w:val="left"/>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4、供应商所供应的产品必须是符合国家技术规范和质量标准的出厂原装合格产品，符合采购人的采购要求，因产品质量问题引起的安全事故全部由供应商承担。</w:t>
      </w:r>
      <w:r/>
    </w:p>
    <w:p>
      <w:pPr>
        <w:ind w:firstLine="560"/>
        <w:jc w:val="left"/>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5、质保期：整体质保一年（自交货验收合格之日起计）。</w:t>
      </w:r>
      <w:r/>
    </w:p>
    <w:p>
      <w:pPr>
        <w:ind w:firstLine="560"/>
        <w:jc w:val="left"/>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6、售后服务要求：</w:t>
      </w:r>
      <w:r/>
    </w:p>
    <w:p>
      <w:pPr>
        <w:ind w:firstLine="560"/>
        <w:jc w:val="left"/>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（1）由生产厂家按照产品“三包”规定提供售后服务。</w:t>
      </w:r>
      <w:r/>
    </w:p>
    <w:p>
      <w:pPr>
        <w:ind w:firstLine="560"/>
        <w:jc w:val="left"/>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（2）维修人员自接到用户报修4小时内到达现场，包括休息日。</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0"/>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807"/>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807"/>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807"/>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jc w:val="center"/>
        <w:spacing w:line="400" w:lineRule="exact"/>
        <w:rPr>
          <w:rFonts w:ascii="黑体" w:hAnsi="黑体" w:eastAsia="黑体"/>
          <w:b/>
          <w:bCs/>
          <w:color w:val="auto"/>
          <w:sz w:val="36"/>
          <w:highlight w:val="none"/>
        </w:rPr>
      </w:pPr>
      <w:r>
        <w:rPr>
          <w:rFonts w:hint="eastAsia" w:ascii="黑体" w:hAnsi="黑体" w:eastAsia="黑体"/>
          <w:b/>
          <w:bCs/>
          <w:color w:val="auto"/>
          <w:sz w:val="36"/>
          <w:highlight w:val="none"/>
        </w:rPr>
        <w:t xml:space="preserve">第六章   投  标  文  件</w:t>
      </w:r>
      <w:r/>
    </w:p>
    <w:p>
      <w:pPr>
        <w:pStyle w:val="968"/>
        <w:rPr>
          <w:rFonts w:ascii="黑体" w:hAnsi="黑体" w:eastAsia="黑体"/>
          <w:color w:val="auto"/>
          <w:sz w:val="44"/>
          <w:szCs w:val="44"/>
          <w:highlight w:val="none"/>
        </w:rPr>
      </w:pPr>
      <w:r>
        <w:rPr>
          <w:rFonts w:ascii="黑体" w:hAnsi="黑体" w:eastAsia="黑体"/>
          <w:color w:val="auto"/>
          <w:sz w:val="44"/>
          <w:szCs w:val="44"/>
          <w:highlight w:val="none"/>
        </w:rPr>
      </w:r>
      <w:r/>
    </w:p>
    <w:p>
      <w:pPr>
        <w:pStyle w:val="968"/>
        <w:rPr>
          <w:rFonts w:ascii="黑体" w:hAnsi="黑体" w:eastAsia="黑体"/>
          <w:color w:val="auto"/>
          <w:sz w:val="32"/>
          <w:highlight w:val="none"/>
        </w:rPr>
      </w:pPr>
      <w:r>
        <w:rPr>
          <w:rFonts w:ascii="黑体" w:hAnsi="黑体" w:eastAsia="黑体"/>
          <w:color w:val="auto"/>
          <w:sz w:val="32"/>
          <w:highlight w:val="none"/>
        </w:rPr>
      </w:r>
      <w:r/>
    </w:p>
    <w:p>
      <w:pPr>
        <w:pStyle w:val="968"/>
        <w:rPr>
          <w:rFonts w:ascii="黑体" w:hAnsi="黑体" w:eastAsia="黑体"/>
          <w:color w:val="auto"/>
          <w:sz w:val="32"/>
          <w:highlight w:val="none"/>
        </w:rPr>
      </w:pPr>
      <w:r>
        <w:rPr>
          <w:rFonts w:ascii="黑体" w:hAnsi="黑体" w:eastAsia="黑体"/>
          <w:color w:val="auto"/>
          <w:sz w:val="32"/>
          <w:highlight w:val="none"/>
        </w:rPr>
      </w:r>
      <w:r/>
    </w:p>
    <w:p>
      <w:pPr>
        <w:pStyle w:val="968"/>
        <w:rPr>
          <w:rFonts w:ascii="黑体" w:hAnsi="黑体" w:eastAsia="黑体"/>
          <w:color w:val="auto"/>
          <w:sz w:val="32"/>
          <w:highlight w:val="none"/>
        </w:rPr>
      </w:pPr>
      <w:r>
        <w:rPr>
          <w:rFonts w:ascii="黑体" w:hAnsi="黑体" w:eastAsia="黑体"/>
          <w:color w:val="auto"/>
          <w:sz w:val="32"/>
          <w:highlight w:val="none"/>
        </w:rPr>
      </w:r>
      <w:r/>
    </w:p>
    <w:p>
      <w:pPr>
        <w:pStyle w:val="968"/>
        <w:rPr>
          <w:rFonts w:ascii="黑体" w:hAnsi="黑体" w:eastAsia="黑体"/>
          <w:color w:val="auto"/>
          <w:sz w:val="32"/>
          <w:highlight w:val="none"/>
        </w:rPr>
      </w:pPr>
      <w:r>
        <w:rPr>
          <w:rFonts w:ascii="黑体" w:hAnsi="黑体" w:eastAsia="黑体"/>
          <w:color w:val="auto"/>
          <w:sz w:val="32"/>
          <w:highlight w:val="none"/>
        </w:rPr>
      </w:r>
      <w:r/>
    </w:p>
    <w:p>
      <w:pPr>
        <w:ind w:firstLine="1084"/>
        <w:spacing w:line="400" w:lineRule="exact"/>
        <w:rPr>
          <w:rFonts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p>
    <w:p>
      <w:pPr>
        <w:pStyle w:val="968"/>
        <w:rPr>
          <w:rFonts w:ascii="黑体" w:hAnsi="黑体" w:eastAsia="黑体"/>
          <w:color w:val="auto"/>
          <w:sz w:val="32"/>
          <w:highlight w:val="none"/>
        </w:rPr>
      </w:pPr>
      <w:r>
        <w:rPr>
          <w:rFonts w:ascii="黑体" w:hAnsi="黑体" w:eastAsia="黑体"/>
          <w:color w:val="auto"/>
          <w:sz w:val="32"/>
          <w:highlight w:val="none"/>
        </w:rPr>
      </w:r>
      <w:r/>
    </w:p>
    <w:p>
      <w:pPr>
        <w:pStyle w:val="968"/>
        <w:ind w:firstLine="1066"/>
        <w:rPr>
          <w:rFonts w:ascii="黑体" w:hAnsi="黑体" w:eastAsia="黑体"/>
          <w:b/>
          <w:color w:val="auto"/>
          <w:sz w:val="36"/>
          <w:szCs w:val="24"/>
          <w:highlight w:val="none"/>
        </w:rPr>
      </w:pPr>
      <w:r>
        <w:rPr>
          <w:rFonts w:ascii="黑体" w:hAnsi="黑体" w:eastAsia="黑体"/>
          <w:b/>
          <w:color w:val="auto"/>
          <w:sz w:val="36"/>
          <w:szCs w:val="24"/>
          <w:highlight w:val="none"/>
        </w:rPr>
      </w:r>
      <w:r/>
    </w:p>
    <w:p>
      <w:pPr>
        <w:pStyle w:val="968"/>
        <w:ind w:firstLine="1066"/>
        <w:rPr>
          <w:rFonts w:ascii="黑体" w:hAnsi="黑体" w:eastAsia="黑体"/>
          <w:b/>
          <w:color w:val="auto"/>
          <w:sz w:val="36"/>
          <w:szCs w:val="24"/>
          <w:highlight w:val="none"/>
        </w:rPr>
      </w:pPr>
      <w:r>
        <w:rPr>
          <w:rFonts w:ascii="黑体" w:hAnsi="黑体" w:eastAsia="黑体"/>
          <w:b/>
          <w:color w:val="auto"/>
          <w:sz w:val="36"/>
          <w:szCs w:val="24"/>
          <w:highlight w:val="none"/>
        </w:rPr>
      </w:r>
      <w:r/>
    </w:p>
    <w:p>
      <w:pPr>
        <w:pStyle w:val="968"/>
        <w:ind w:firstLine="1066"/>
        <w:rPr>
          <w:rFonts w:ascii="黑体" w:hAnsi="黑体" w:eastAsia="黑体"/>
          <w:b/>
          <w:color w:val="auto"/>
          <w:sz w:val="36"/>
          <w:szCs w:val="24"/>
          <w:highlight w:val="none"/>
        </w:rPr>
      </w:pPr>
      <w:r>
        <w:rPr>
          <w:rFonts w:ascii="黑体" w:hAnsi="黑体" w:eastAsia="黑体"/>
          <w:b/>
          <w:color w:val="auto"/>
          <w:sz w:val="36"/>
          <w:szCs w:val="24"/>
          <w:highlight w:val="none"/>
        </w:rPr>
      </w:r>
      <w:r/>
    </w:p>
    <w:p>
      <w:pPr>
        <w:pStyle w:val="968"/>
        <w:ind w:firstLine="1066"/>
        <w:rPr>
          <w:rFonts w:ascii="黑体" w:hAnsi="黑体" w:eastAsia="黑体"/>
          <w:b/>
          <w:color w:val="auto"/>
          <w:sz w:val="36"/>
          <w:szCs w:val="24"/>
          <w:highlight w:val="none"/>
        </w:rPr>
      </w:pPr>
      <w:r>
        <w:rPr>
          <w:rFonts w:ascii="黑体" w:hAnsi="黑体" w:eastAsia="黑体"/>
          <w:b/>
          <w:color w:val="auto"/>
          <w:sz w:val="36"/>
          <w:szCs w:val="24"/>
          <w:highlight w:val="none"/>
        </w:rPr>
      </w:r>
      <w:r/>
    </w:p>
    <w:p>
      <w:pPr>
        <w:pStyle w:val="968"/>
        <w:ind w:firstLine="1066"/>
        <w:rPr>
          <w:rFonts w:hint="eastAsia" w:ascii="黑体" w:hAnsi="黑体" w:eastAsia="黑体"/>
          <w:b/>
          <w:color w:val="auto"/>
          <w:sz w:val="36"/>
          <w:szCs w:val="24"/>
          <w:highlight w:val="none"/>
          <w:lang w:eastAsia="zh-CN"/>
        </w:rPr>
      </w:pPr>
      <w:r>
        <w:rPr>
          <w:rFonts w:hint="eastAsia" w:ascii="黑体" w:hAnsi="黑体" w:eastAsia="黑体"/>
          <w:b/>
          <w:color w:val="auto"/>
          <w:sz w:val="36"/>
          <w:szCs w:val="24"/>
          <w:highlight w:val="none"/>
          <w:lang w:eastAsia="zh-CN"/>
        </w:rPr>
        <w:t xml:space="preserve">项目编号：JSZC-320804-YCGS-G2026-0009</w:t>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ind w:firstLine="1066"/>
        <w:spacing w:line="400" w:lineRule="exact"/>
        <w:rPr>
          <w:rFonts w:ascii="黑体" w:hAnsi="黑体" w:eastAsia="黑体"/>
          <w:b/>
          <w:bCs/>
          <w:color w:val="auto"/>
          <w:sz w:val="32"/>
          <w:highlight w:val="none"/>
        </w:rPr>
      </w:pPr>
      <w:r>
        <w:rPr>
          <w:rFonts w:hint="eastAsia" w:ascii="黑体" w:hAnsi="黑体" w:eastAsia="黑体"/>
          <w:b/>
          <w:bCs/>
          <w:color w:val="auto"/>
          <w:sz w:val="36"/>
          <w:highlight w:val="none"/>
        </w:rPr>
        <w:t xml:space="preserve">投 标 人：</w:t>
      </w:r>
      <w:r>
        <w:rPr>
          <w:rFonts w:ascii="黑体" w:hAnsi="黑体" w:eastAsia="黑体" w:cs="黑体"/>
          <w:b/>
          <w:color w:val="auto"/>
          <w:sz w:val="36"/>
          <w:highlight w:val="none"/>
        </w:rPr>
        <w:t xml:space="preserve">（加盖CA电子公章）</w:t>
      </w:r>
      <w:r/>
    </w:p>
    <w:p>
      <w:pPr>
        <w:pStyle w:val="968"/>
        <w:ind w:firstLine="1904"/>
        <w:rPr>
          <w:rFonts w:ascii="黑体" w:hAnsi="黑体" w:eastAsia="黑体"/>
          <w:color w:val="auto"/>
          <w:sz w:val="32"/>
          <w:highlight w:val="none"/>
        </w:rPr>
      </w:pPr>
      <w:r>
        <w:rPr>
          <w:rFonts w:ascii="黑体" w:hAnsi="黑体" w:eastAsia="黑体"/>
          <w:color w:val="auto"/>
          <w:sz w:val="32"/>
          <w:highlight w:val="none"/>
        </w:rPr>
      </w:r>
      <w:r/>
    </w:p>
    <w:p>
      <w:pPr>
        <w:pStyle w:val="968"/>
        <w:ind w:firstLine="1904"/>
        <w:rPr>
          <w:rFonts w:ascii="黑体" w:hAnsi="黑体" w:eastAsia="黑体"/>
          <w:color w:val="auto"/>
          <w:sz w:val="32"/>
          <w:highlight w:val="none"/>
        </w:rPr>
      </w:pPr>
      <w:r>
        <w:rPr>
          <w:rFonts w:ascii="黑体" w:hAnsi="黑体" w:eastAsia="黑体"/>
          <w:color w:val="auto"/>
          <w:sz w:val="32"/>
          <w:highlight w:val="none"/>
        </w:rPr>
      </w:r>
      <w:r/>
    </w:p>
    <w:p>
      <w:pPr>
        <w:pStyle w:val="968"/>
        <w:ind w:firstLine="1904"/>
        <w:rPr>
          <w:rFonts w:ascii="黑体" w:hAnsi="黑体" w:eastAsia="黑体"/>
          <w:color w:val="auto"/>
          <w:sz w:val="32"/>
          <w:highlight w:val="none"/>
        </w:rPr>
      </w:pPr>
      <w:r>
        <w:rPr>
          <w:rFonts w:ascii="黑体" w:hAnsi="黑体" w:eastAsia="黑体"/>
          <w:color w:val="auto"/>
          <w:sz w:val="32"/>
          <w:highlight w:val="none"/>
        </w:rPr>
      </w:r>
      <w:r/>
    </w:p>
    <w:p>
      <w:pPr>
        <w:pStyle w:val="968"/>
        <w:ind w:firstLine="1904"/>
        <w:rPr>
          <w:rFonts w:ascii="黑体" w:hAnsi="黑体" w:eastAsia="黑体"/>
          <w:color w:val="auto"/>
          <w:sz w:val="32"/>
          <w:highlight w:val="none"/>
        </w:rPr>
      </w:pPr>
      <w:r>
        <w:rPr>
          <w:rFonts w:ascii="黑体" w:hAnsi="黑体" w:eastAsia="黑体"/>
          <w:color w:val="auto"/>
          <w:sz w:val="32"/>
          <w:highlight w:val="none"/>
        </w:rPr>
      </w:r>
      <w:r/>
    </w:p>
    <w:p>
      <w:pPr>
        <w:pStyle w:val="968"/>
        <w:ind w:firstLine="1904"/>
        <w:rPr>
          <w:rFonts w:ascii="黑体" w:hAnsi="黑体" w:eastAsia="黑体"/>
          <w:color w:val="auto"/>
          <w:sz w:val="32"/>
          <w:highlight w:val="none"/>
        </w:rPr>
      </w:pPr>
      <w:r>
        <w:rPr>
          <w:rFonts w:ascii="黑体" w:hAnsi="黑体" w:eastAsia="黑体"/>
          <w:color w:val="auto"/>
          <w:sz w:val="32"/>
          <w:highlight w:val="none"/>
        </w:rPr>
      </w:r>
      <w:r/>
    </w:p>
    <w:p>
      <w:pPr>
        <w:pStyle w:val="968"/>
        <w:ind w:firstLine="1904"/>
        <w:rPr>
          <w:rFonts w:ascii="黑体" w:hAnsi="黑体" w:eastAsia="黑体"/>
          <w:color w:val="auto"/>
          <w:sz w:val="32"/>
          <w:highlight w:val="none"/>
        </w:rPr>
      </w:pPr>
      <w:r>
        <w:rPr>
          <w:rFonts w:ascii="黑体" w:hAnsi="黑体" w:eastAsia="黑体"/>
          <w:color w:val="auto"/>
          <w:sz w:val="32"/>
          <w:highlight w:val="none"/>
        </w:rPr>
      </w:r>
      <w:r/>
    </w:p>
    <w:p>
      <w:pPr>
        <w:pStyle w:val="968"/>
        <w:ind w:firstLine="1904"/>
        <w:rPr>
          <w:rFonts w:ascii="黑体" w:hAnsi="黑体" w:eastAsia="黑体"/>
          <w:color w:val="auto"/>
          <w:sz w:val="32"/>
          <w:highlight w:val="none"/>
        </w:rPr>
      </w:pPr>
      <w:r>
        <w:rPr>
          <w:rFonts w:ascii="黑体" w:hAnsi="黑体" w:eastAsia="黑体"/>
          <w:color w:val="auto"/>
          <w:sz w:val="32"/>
          <w:highlight w:val="none"/>
        </w:rPr>
      </w:r>
      <w:r/>
    </w:p>
    <w:p>
      <w:pPr>
        <w:pStyle w:val="968"/>
        <w:ind w:firstLine="2103"/>
        <w:rPr>
          <w:rFonts w:ascii="黑体" w:hAnsi="黑体" w:eastAsia="黑体"/>
          <w:b/>
          <w:color w:val="auto"/>
          <w:sz w:val="32"/>
          <w:highlight w:val="none"/>
        </w:rPr>
      </w:pPr>
      <w:r>
        <w:rPr>
          <w:rFonts w:hint="eastAsia" w:ascii="黑体" w:hAnsi="黑体" w:eastAsia="黑体"/>
          <w:b/>
          <w:color w:val="auto"/>
          <w:sz w:val="36"/>
          <w:szCs w:val="24"/>
          <w:highlight w:val="none"/>
        </w:rPr>
        <w:t xml:space="preserve">二〇二六年    月    日</w:t>
      </w:r>
      <w:r/>
    </w:p>
    <w:p>
      <w:pPr>
        <w:jc w:val="center"/>
        <w:spacing w:line="60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一、投标函</w:t>
      </w:r>
      <w:r/>
    </w:p>
    <w:p>
      <w:pPr>
        <w:pStyle w:val="968"/>
        <w:spacing w:line="640" w:lineRule="exact"/>
        <w:rPr>
          <w:rFonts w:ascii="仿宋" w:hAnsi="仿宋" w:eastAsia="仿宋"/>
          <w:color w:val="auto"/>
          <w:sz w:val="28"/>
          <w:szCs w:val="24"/>
          <w:highlight w:val="none"/>
        </w:rPr>
      </w:pPr>
      <w:r>
        <w:rPr>
          <w:rFonts w:hint="eastAsia" w:ascii="仿宋" w:hAnsi="仿宋" w:eastAsia="仿宋"/>
          <w:color w:val="auto"/>
          <w:sz w:val="28"/>
          <w:szCs w:val="24"/>
          <w:highlight w:val="none"/>
          <w:lang w:eastAsia="zh-CN"/>
        </w:rPr>
        <w:t xml:space="preserve">淮安市淮阴区发展和改革委员会</w:t>
      </w:r>
      <w:r>
        <w:rPr>
          <w:rFonts w:hint="eastAsia" w:ascii="仿宋" w:hAnsi="仿宋" w:eastAsia="仿宋"/>
          <w:color w:val="auto"/>
          <w:sz w:val="28"/>
          <w:szCs w:val="24"/>
          <w:highlight w:val="none"/>
        </w:rPr>
        <w:t xml:space="preserve">：</w:t>
      </w:r>
      <w:r/>
    </w:p>
    <w:p>
      <w:pPr>
        <w:pStyle w:val="1027"/>
        <w:ind w:firstLine="70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关于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w:t>
      </w:r>
      <w:r>
        <w:rPr>
          <w:rFonts w:hint="eastAsia" w:ascii="仿宋" w:hAnsi="仿宋" w:eastAsia="仿宋"/>
          <w:color w:val="auto"/>
          <w:sz w:val="28"/>
          <w:szCs w:val="28"/>
          <w:highlight w:val="none"/>
          <w:lang w:eastAsia="zh-CN"/>
        </w:rPr>
        <w:t xml:space="preserve">项目编号：JSZC-320804-YCGS-G2026-0009</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（供应商单位名称），全权处理本次项目投标的有关事宜。</w:t>
      </w:r>
      <w:r/>
    </w:p>
    <w:p>
      <w:pPr>
        <w:ind w:firstLine="560"/>
        <w:spacing w:line="640" w:lineRule="exact"/>
        <w:rPr>
          <w:rFonts w:ascii="仿宋" w:hAnsi="仿宋" w:eastAsia="仿宋"/>
          <w:color w:val="auto"/>
          <w:sz w:val="28"/>
          <w:szCs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ascii="仿宋" w:hAnsi="仿宋" w:eastAsia="仿宋"/>
          <w:color w:val="auto"/>
          <w:sz w:val="28"/>
          <w:highlight w:val="none"/>
        </w:rPr>
      </w:pPr>
      <w:r>
        <w:rPr>
          <w:rFonts w:hint="eastAsia" w:ascii="仿宋" w:hAnsi="仿宋" w:eastAsia="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1027"/>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3.我们接受招标文件的所有条款和规定。</w:t>
      </w:r>
      <w:r/>
    </w:p>
    <w:p>
      <w:pPr>
        <w:pStyle w:val="1027"/>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p>
    <w:p>
      <w:pPr>
        <w:pStyle w:val="1027"/>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5.我们理解，你们无义务必须接受投标价最低的投标。同时也理解你们不承担我们本次投标的费用。</w:t>
      </w:r>
      <w:r/>
    </w:p>
    <w:p>
      <w:pPr>
        <w:pStyle w:val="1027"/>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highlight w:val="none"/>
        </w:rPr>
        <w:t xml:space="preserve">6.我们同意向贵方提供贵方可能要求的与投标有关的任何证据或资料，并保证所提供的都是真实的、准确的。</w:t>
      </w:r>
      <w:r/>
    </w:p>
    <w:p>
      <w:pPr>
        <w:pStyle w:val="1027"/>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7.一旦我方中标，我方将根据招标文件的规定，严格履行合同的责任和义务，并保证在招标文件中规定的时间内供货，并完成项目的施工、调试、交付买方验收、使用。</w:t>
      </w:r>
      <w:r/>
    </w:p>
    <w:p>
      <w:pPr>
        <w:pStyle w:val="1027"/>
        <w:ind w:right="560" w:firstLine="2940"/>
        <w:spacing w:before="0" w:after="0" w:line="640" w:lineRule="exact"/>
        <w:rPr>
          <w:rFonts w:ascii="仿宋" w:hAnsi="仿宋" w:eastAsia="仿宋"/>
          <w:color w:val="auto"/>
          <w:sz w:val="28"/>
          <w:highlight w:val="none"/>
        </w:rPr>
      </w:pPr>
      <w:r>
        <w:rPr>
          <w:rFonts w:ascii="仿宋" w:hAnsi="仿宋" w:eastAsia="仿宋"/>
          <w:color w:val="auto"/>
          <w:sz w:val="28"/>
          <w:highlight w:val="none"/>
        </w:rPr>
      </w:r>
      <w:r/>
    </w:p>
    <w:p>
      <w:pPr>
        <w:pStyle w:val="1027"/>
        <w:ind w:right="560" w:firstLine="2940"/>
        <w:spacing w:before="0" w:after="0" w:line="640" w:lineRule="exact"/>
        <w:rPr>
          <w:rFonts w:ascii="仿宋" w:hAnsi="仿宋" w:eastAsia="仿宋"/>
          <w:color w:val="auto"/>
          <w:sz w:val="28"/>
          <w:highlight w:val="none"/>
          <w:u w:val="single"/>
        </w:rPr>
      </w:pPr>
      <w:r>
        <w:rPr>
          <w:rFonts w:hint="eastAsia" w:ascii="仿宋" w:hAnsi="仿宋" w:eastAsia="仿宋"/>
          <w:color w:val="auto"/>
          <w:sz w:val="28"/>
          <w:highlight w:val="none"/>
        </w:rPr>
        <w:t xml:space="preserve">供应商名称（电子签章）：</w:t>
      </w:r>
      <w:r>
        <w:rPr>
          <w:rFonts w:hint="eastAsia" w:ascii="仿宋" w:hAnsi="仿宋" w:eastAsia="仿宋"/>
          <w:color w:val="auto"/>
          <w:sz w:val="28"/>
          <w:highlight w:val="none"/>
          <w:u w:val="single"/>
        </w:rPr>
        <w:t xml:space="preserve">             </w:t>
      </w:r>
      <w:r/>
    </w:p>
    <w:p>
      <w:pPr>
        <w:pStyle w:val="1027"/>
        <w:ind w:right="560" w:firstLine="294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0" w:firstLine="420"/>
        <w:jc w:val="center"/>
        <w:spacing w:line="64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968"/>
        <w:ind w:right="560" w:firstLine="420"/>
        <w:jc w:val="center"/>
        <w:spacing w:line="64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ind w:firstLine="3036"/>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968"/>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before="19" w:line="440" w:lineRule="exact"/>
        <w:widowControl/>
        <w:rPr>
          <w:rFonts w:ascii="仿宋" w:hAnsi="仿宋" w:eastAsia="仿宋"/>
          <w:bCs/>
          <w:color w:val="auto"/>
          <w:sz w:val="32"/>
          <w:szCs w:val="32"/>
          <w:highlight w:val="none"/>
        </w:rPr>
      </w:pPr>
      <w:r>
        <w:rPr>
          <w:rFonts w:ascii="仿宋" w:hAnsi="仿宋" w:eastAsia="仿宋"/>
          <w:bCs/>
          <w:color w:val="auto"/>
          <w:sz w:val="32"/>
          <w:szCs w:val="32"/>
          <w:highlight w:val="none"/>
        </w:rPr>
      </w:r>
      <w:r/>
    </w:p>
    <w:p>
      <w:pPr>
        <w:jc w:val="center"/>
        <w:spacing w:before="19" w:line="440" w:lineRule="exact"/>
        <w:widowControl/>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二、开标一览表（以系统中生成为准）</w:t>
      </w:r>
      <w:r/>
    </w:p>
    <w:p>
      <w:pPr>
        <w:ind w:firstLine="3036"/>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tbl>
      <w:tblPr>
        <w:tblStyle w:val="770"/>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tc>
        <w:tc>
          <w:tcPr>
            <w:tcW w:w="6759" w:type="dxa"/>
            <w:vAlign w:val="center"/>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trHeight w:val="2261"/>
        </w:trPr>
        <w:tc>
          <w:tcPr>
            <w:tcW w:w="1701" w:type="dxa"/>
            <w:vAlign w:val="center"/>
            <w:textDirection w:val="lrTb"/>
            <w:noWrap w:val="false"/>
          </w:tcPr>
          <w:p>
            <w:pPr>
              <w:jc w:val="center"/>
              <w:spacing w:line="7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w:t>
            </w:r>
            <w:r/>
          </w:p>
          <w:p>
            <w:pPr>
              <w:jc w:val="center"/>
              <w:spacing w:line="7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总计</w:t>
            </w:r>
            <w:r/>
          </w:p>
        </w:tc>
        <w:tc>
          <w:tcPr>
            <w:tcW w:w="6759" w:type="dxa"/>
            <w:vAlign w:val="center"/>
            <w:textDirection w:val="lrTb"/>
            <w:noWrap w:val="false"/>
          </w:tcPr>
          <w:p>
            <w:pPr>
              <w:spacing w:line="7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（小写）</w:t>
            </w:r>
            <w:r>
              <w:rPr>
                <w:rFonts w:hint="eastAsia" w:ascii="宋体" w:hAnsi="宋体"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spacing w:line="7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bl>
    <w:p>
      <w:pPr>
        <w:ind w:firstLine="411"/>
        <w:spacing w:line="440" w:lineRule="exact"/>
        <w:rPr>
          <w:rFonts w:ascii="仿宋" w:hAnsi="仿宋" w:eastAsia="仿宋"/>
          <w:color w:val="auto"/>
          <w:sz w:val="28"/>
          <w:szCs w:val="28"/>
          <w:highlight w:val="none"/>
        </w:rPr>
      </w:pPr>
      <w:r/>
      <w:bookmarkStart w:id="35" w:name="_Toc157775459"/>
      <w:r/>
      <w:bookmarkStart w:id="36" w:name="_Toc136924766"/>
      <w:r/>
      <w:r/>
    </w:p>
    <w:p>
      <w:pPr>
        <w:ind w:firstLine="411"/>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bookmarkEnd w:id="35"/>
      <w:bookmarkEnd w:id="36"/>
      <w:r/>
    </w:p>
    <w:p>
      <w:pPr>
        <w:pStyle w:val="968"/>
        <w:ind w:firstLine="2875"/>
        <w:rPr>
          <w:rFonts w:hAnsi="宋体"/>
          <w:b/>
          <w:color w:val="auto"/>
          <w:sz w:val="32"/>
          <w:szCs w:val="32"/>
          <w:highlight w:val="none"/>
        </w:rPr>
      </w:pPr>
      <w:r/>
      <w:bookmarkStart w:id="37" w:name="_Toc157775468"/>
      <w:r/>
      <w:r/>
    </w:p>
    <w:p>
      <w:pPr>
        <w:pStyle w:val="968"/>
        <w:ind w:firstLine="2875"/>
        <w:rPr>
          <w:rFonts w:hAnsi="宋体"/>
          <w:b/>
          <w:color w:val="auto"/>
          <w:sz w:val="32"/>
          <w:szCs w:val="32"/>
          <w:highlight w:val="none"/>
        </w:rPr>
      </w:pPr>
      <w:r>
        <w:rPr>
          <w:rFonts w:hAnsi="宋体"/>
          <w:b/>
          <w:color w:val="auto"/>
          <w:sz w:val="32"/>
          <w:szCs w:val="32"/>
          <w:highlight w:val="none"/>
        </w:rPr>
      </w:r>
      <w:r/>
    </w:p>
    <w:p>
      <w:pPr>
        <w:pStyle w:val="968"/>
        <w:ind w:firstLine="2875"/>
        <w:rPr>
          <w:rFonts w:hAnsi="宋体"/>
          <w:b/>
          <w:color w:val="auto"/>
          <w:sz w:val="32"/>
          <w:szCs w:val="32"/>
          <w:highlight w:val="none"/>
        </w:rPr>
      </w:pPr>
      <w:r>
        <w:rPr>
          <w:rFonts w:hAnsi="宋体"/>
          <w:b/>
          <w:color w:val="auto"/>
          <w:sz w:val="32"/>
          <w:szCs w:val="32"/>
          <w:highlight w:val="none"/>
        </w:rPr>
      </w:r>
      <w:r/>
    </w:p>
    <w:p>
      <w:pPr>
        <w:pStyle w:val="968"/>
        <w:ind w:firstLine="2875"/>
        <w:rPr>
          <w:rFonts w:hAnsi="宋体"/>
          <w:b/>
          <w:color w:val="auto"/>
          <w:sz w:val="32"/>
          <w:szCs w:val="32"/>
          <w:highlight w:val="none"/>
        </w:rPr>
      </w:pPr>
      <w:r>
        <w:rPr>
          <w:rFonts w:hAnsi="宋体"/>
          <w:b/>
          <w:color w:val="auto"/>
          <w:sz w:val="32"/>
          <w:szCs w:val="32"/>
          <w:highlight w:val="none"/>
        </w:rPr>
      </w:r>
      <w:r/>
    </w:p>
    <w:p>
      <w:pPr>
        <w:pStyle w:val="968"/>
        <w:ind w:firstLine="2875"/>
        <w:rPr>
          <w:rFonts w:hAnsi="宋体"/>
          <w:b/>
          <w:color w:val="auto"/>
          <w:sz w:val="32"/>
          <w:szCs w:val="32"/>
          <w:highlight w:val="none"/>
        </w:rPr>
      </w:pPr>
      <w:r>
        <w:rPr>
          <w:rFonts w:hAnsi="宋体"/>
          <w:b/>
          <w:color w:val="auto"/>
          <w:sz w:val="32"/>
          <w:szCs w:val="32"/>
          <w:highlight w:val="none"/>
        </w:rPr>
      </w:r>
      <w:r/>
    </w:p>
    <w:p>
      <w:pPr>
        <w:pStyle w:val="968"/>
        <w:ind w:firstLine="2875"/>
        <w:rPr>
          <w:rFonts w:hAnsi="宋体"/>
          <w:b/>
          <w:color w:val="auto"/>
          <w:sz w:val="32"/>
          <w:szCs w:val="32"/>
          <w:highlight w:val="none"/>
        </w:rPr>
      </w:pPr>
      <w:r>
        <w:rPr>
          <w:rFonts w:hAnsi="宋体"/>
          <w:b/>
          <w:color w:val="auto"/>
          <w:sz w:val="32"/>
          <w:szCs w:val="32"/>
          <w:highlight w:val="none"/>
        </w:rPr>
      </w:r>
      <w:r/>
    </w:p>
    <w:p>
      <w:pPr>
        <w:pStyle w:val="968"/>
        <w:ind w:firstLine="2875"/>
        <w:rPr>
          <w:rFonts w:hAnsi="宋体"/>
          <w:b/>
          <w:color w:val="auto"/>
          <w:sz w:val="32"/>
          <w:szCs w:val="32"/>
          <w:highlight w:val="none"/>
        </w:rPr>
      </w:pPr>
      <w:r>
        <w:rPr>
          <w:rFonts w:hAnsi="宋体"/>
          <w:b/>
          <w:color w:val="auto"/>
          <w:sz w:val="32"/>
          <w:szCs w:val="32"/>
          <w:highlight w:val="none"/>
        </w:rPr>
      </w:r>
      <w:r/>
    </w:p>
    <w:p>
      <w:pPr>
        <w:pStyle w:val="968"/>
        <w:ind w:firstLine="2875"/>
        <w:rPr>
          <w:rFonts w:hAnsi="宋体"/>
          <w:b/>
          <w:color w:val="auto"/>
          <w:sz w:val="32"/>
          <w:szCs w:val="32"/>
          <w:highlight w:val="none"/>
        </w:rPr>
      </w:pPr>
      <w:r>
        <w:rPr>
          <w:rFonts w:hAnsi="宋体"/>
          <w:b/>
          <w:color w:val="auto"/>
          <w:sz w:val="32"/>
          <w:szCs w:val="32"/>
          <w:highlight w:val="none"/>
        </w:rPr>
      </w:r>
      <w:r/>
    </w:p>
    <w:p>
      <w:pPr>
        <w:pStyle w:val="968"/>
        <w:ind w:firstLine="2875"/>
        <w:rPr>
          <w:rFonts w:hAnsi="宋体"/>
          <w:b/>
          <w:color w:val="auto"/>
          <w:sz w:val="32"/>
          <w:szCs w:val="32"/>
          <w:highlight w:val="none"/>
        </w:rPr>
      </w:pPr>
      <w:r>
        <w:rPr>
          <w:rFonts w:hAnsi="宋体"/>
          <w:b/>
          <w:color w:val="auto"/>
          <w:sz w:val="32"/>
          <w:szCs w:val="32"/>
          <w:highlight w:val="none"/>
        </w:rPr>
      </w:r>
      <w:r/>
    </w:p>
    <w:p>
      <w:pPr>
        <w:pStyle w:val="968"/>
        <w:ind w:firstLine="2875"/>
        <w:rPr>
          <w:rFonts w:hAnsi="宋体"/>
          <w:b/>
          <w:color w:val="auto"/>
          <w:sz w:val="32"/>
          <w:szCs w:val="32"/>
          <w:highlight w:val="none"/>
        </w:rPr>
      </w:pPr>
      <w:r>
        <w:rPr>
          <w:rFonts w:hAnsi="宋体"/>
          <w:b/>
          <w:color w:val="auto"/>
          <w:sz w:val="32"/>
          <w:szCs w:val="32"/>
          <w:highlight w:val="none"/>
        </w:rPr>
      </w:r>
      <w:r/>
    </w:p>
    <w:p>
      <w:pPr>
        <w:pStyle w:val="968"/>
        <w:ind w:firstLine="2875"/>
        <w:rPr>
          <w:rFonts w:hAnsi="宋体"/>
          <w:b/>
          <w:color w:val="auto"/>
          <w:sz w:val="32"/>
          <w:szCs w:val="32"/>
          <w:highlight w:val="none"/>
        </w:rPr>
      </w:pPr>
      <w:r>
        <w:rPr>
          <w:rFonts w:hAnsi="宋体"/>
          <w:b/>
          <w:color w:val="auto"/>
          <w:sz w:val="32"/>
          <w:szCs w:val="32"/>
          <w:highlight w:val="none"/>
        </w:rPr>
      </w:r>
      <w:r/>
    </w:p>
    <w:p>
      <w:pPr>
        <w:pStyle w:val="968"/>
        <w:ind w:firstLine="2875"/>
        <w:rPr>
          <w:rFonts w:hAnsi="宋体"/>
          <w:b/>
          <w:color w:val="auto"/>
          <w:sz w:val="32"/>
          <w:szCs w:val="32"/>
          <w:highlight w:val="none"/>
        </w:rPr>
      </w:pPr>
      <w:r>
        <w:rPr>
          <w:rFonts w:hAnsi="宋体"/>
          <w:b/>
          <w:color w:val="auto"/>
          <w:sz w:val="32"/>
          <w:szCs w:val="32"/>
          <w:highlight w:val="none"/>
        </w:rPr>
      </w:r>
      <w:r/>
    </w:p>
    <w:p>
      <w:pPr>
        <w:pStyle w:val="968"/>
        <w:ind w:firstLine="2875"/>
        <w:rPr>
          <w:rFonts w:hAnsi="宋体"/>
          <w:b/>
          <w:color w:val="auto"/>
          <w:sz w:val="32"/>
          <w:szCs w:val="32"/>
          <w:highlight w:val="none"/>
        </w:rPr>
      </w:pPr>
      <w:r>
        <w:rPr>
          <w:rFonts w:hAnsi="宋体"/>
          <w:b/>
          <w:color w:val="auto"/>
          <w:sz w:val="32"/>
          <w:szCs w:val="32"/>
          <w:highlight w:val="none"/>
        </w:rPr>
      </w:r>
      <w:r/>
    </w:p>
    <w:p>
      <w:pPr>
        <w:pStyle w:val="968"/>
        <w:ind w:firstLine="2875"/>
        <w:rPr>
          <w:rFonts w:hAnsi="宋体"/>
          <w:b/>
          <w:color w:val="auto"/>
          <w:sz w:val="32"/>
          <w:szCs w:val="32"/>
          <w:highlight w:val="none"/>
        </w:rPr>
      </w:pPr>
      <w:r>
        <w:rPr>
          <w:rFonts w:hAnsi="宋体"/>
          <w:b/>
          <w:color w:val="auto"/>
          <w:sz w:val="32"/>
          <w:szCs w:val="32"/>
          <w:highlight w:val="none"/>
        </w:rPr>
      </w:r>
      <w:r/>
    </w:p>
    <w:p>
      <w:pPr>
        <w:pStyle w:val="968"/>
        <w:ind w:firstLine="2875"/>
        <w:rPr>
          <w:rFonts w:hAnsi="宋体"/>
          <w:b/>
          <w:color w:val="auto"/>
          <w:sz w:val="32"/>
          <w:szCs w:val="32"/>
          <w:highlight w:val="none"/>
        </w:rPr>
      </w:pPr>
      <w:r>
        <w:rPr>
          <w:rFonts w:hAnsi="宋体"/>
          <w:b/>
          <w:color w:val="auto"/>
          <w:sz w:val="32"/>
          <w:szCs w:val="32"/>
          <w:highlight w:val="none"/>
        </w:rPr>
      </w:r>
      <w:r/>
    </w:p>
    <w:p>
      <w:pPr>
        <w:pStyle w:val="968"/>
        <w:ind w:firstLine="2875"/>
        <w:rPr>
          <w:rFonts w:hAnsi="宋体"/>
          <w:b/>
          <w:color w:val="auto"/>
          <w:sz w:val="32"/>
          <w:szCs w:val="32"/>
          <w:highlight w:val="none"/>
        </w:rPr>
      </w:pPr>
      <w:r>
        <w:rPr>
          <w:rFonts w:hAnsi="宋体"/>
          <w:b/>
          <w:color w:val="auto"/>
          <w:sz w:val="32"/>
          <w:szCs w:val="32"/>
          <w:highlight w:val="none"/>
        </w:rPr>
      </w:r>
      <w:r/>
    </w:p>
    <w:p>
      <w:pPr>
        <w:pStyle w:val="968"/>
        <w:ind w:firstLine="2875"/>
        <w:rPr>
          <w:rFonts w:hAnsi="宋体"/>
          <w:b/>
          <w:color w:val="auto"/>
          <w:sz w:val="32"/>
          <w:szCs w:val="32"/>
          <w:highlight w:val="none"/>
        </w:rPr>
      </w:pPr>
      <w:r>
        <w:rPr>
          <w:rFonts w:hAnsi="宋体"/>
          <w:b/>
          <w:color w:val="auto"/>
          <w:sz w:val="32"/>
          <w:szCs w:val="32"/>
          <w:highlight w:val="none"/>
        </w:rPr>
      </w:r>
      <w:r/>
    </w:p>
    <w:p>
      <w:pPr>
        <w:pStyle w:val="968"/>
        <w:jc w:val="center"/>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968"/>
        <w:jc w:val="center"/>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968"/>
        <w:jc w:val="center"/>
        <w:rPr>
          <w:rFonts w:ascii="仿宋" w:hAnsi="仿宋" w:eastAsia="仿宋"/>
          <w:b/>
          <w:color w:val="auto"/>
          <w:sz w:val="32"/>
          <w:szCs w:val="32"/>
          <w:highlight w:val="none"/>
        </w:rPr>
      </w:pPr>
      <w:r>
        <w:rPr>
          <w:rFonts w:ascii="仿宋" w:hAnsi="仿宋" w:eastAsia="仿宋"/>
          <w:b/>
          <w:color w:val="auto"/>
          <w:sz w:val="32"/>
          <w:szCs w:val="32"/>
          <w:highlight w:val="none"/>
        </w:rPr>
      </w:r>
      <w:r/>
    </w:p>
    <w:p>
      <w:pPr>
        <w:ind w:left="2857"/>
        <w:spacing w:before="100" w:line="224" w:lineRule="auto"/>
        <w:rPr>
          <w:rFonts w:ascii="仿宋" w:hAnsi="仿宋" w:eastAsia="仿宋" w:cs="仿宋"/>
          <w:color w:val="auto"/>
          <w:sz w:val="31"/>
          <w:szCs w:val="31"/>
          <w:highlight w:val="none"/>
        </w:rPr>
        <w:outlineLvl w:val="1"/>
      </w:pPr>
      <w:r>
        <w:rPr>
          <w:rFonts w:hint="eastAsia" w:ascii="仿宋" w:hAnsi="仿宋" w:eastAsia="仿宋"/>
          <w:b/>
          <w:color w:val="auto"/>
          <w:sz w:val="32"/>
          <w:szCs w:val="32"/>
          <w:highlight w:val="none"/>
        </w:rPr>
        <w:t xml:space="preserve">三、</w:t>
      </w:r>
      <w:r>
        <w:rPr>
          <w:rFonts w:ascii="仿宋" w:hAnsi="仿宋" w:eastAsia="仿宋" w:cs="仿宋"/>
          <w:b/>
          <w:bCs/>
          <w:color w:val="auto"/>
          <w:spacing w:val="4"/>
          <w:sz w:val="31"/>
          <w:szCs w:val="31"/>
          <w:highlight w:val="none"/>
        </w:rPr>
        <w:t xml:space="preserve">投标报价明细表</w:t>
      </w:r>
      <w:r/>
    </w:p>
    <w:p>
      <w:pPr>
        <w:spacing w:line="95" w:lineRule="exact"/>
        <w:rPr>
          <w:color w:val="auto"/>
          <w:highlight w:val="none"/>
        </w:rPr>
      </w:pPr>
      <w:r>
        <w:rPr>
          <w:color w:val="auto"/>
          <w:highlight w:val="none"/>
        </w:rPr>
      </w:r>
      <w:r/>
    </w:p>
    <w:tbl>
      <w:tblPr>
        <w:tblStyle w:val="1045"/>
        <w:tblW w:w="88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2"/>
        <w:gridCol w:w="1177"/>
        <w:gridCol w:w="612"/>
        <w:gridCol w:w="856"/>
        <w:gridCol w:w="801"/>
        <w:gridCol w:w="594"/>
        <w:gridCol w:w="594"/>
        <w:gridCol w:w="829"/>
        <w:gridCol w:w="714"/>
        <w:gridCol w:w="594"/>
        <w:gridCol w:w="829"/>
        <w:gridCol w:w="764"/>
      </w:tblGrid>
      <w:tr>
        <w:trPr>
          <w:trHeight w:val="721"/>
        </w:trPr>
        <w:tc>
          <w:tcPr>
            <w:tcW w:w="472" w:type="dxa"/>
            <w:textDirection w:val="tbRlV"/>
            <w:noWrap w:val="false"/>
          </w:tcPr>
          <w:p>
            <w:pPr>
              <w:pStyle w:val="1044"/>
              <w:ind w:left="72"/>
              <w:spacing w:before="142" w:line="202" w:lineRule="auto"/>
              <w:rPr>
                <w:rFonts w:hint="default"/>
                <w:color w:val="auto"/>
                <w:sz w:val="24"/>
                <w:szCs w:val="24"/>
                <w:highlight w:val="none"/>
              </w:rPr>
            </w:pPr>
            <w:r>
              <w:rPr>
                <w:color w:val="auto"/>
                <w:sz w:val="24"/>
                <w:szCs w:val="24"/>
                <w:highlight w:val="none"/>
              </w:rPr>
              <w:t xml:space="preserve">序</w:t>
            </w:r>
            <w:r>
              <w:rPr>
                <w:color w:val="auto"/>
                <w:spacing w:val="-20"/>
                <w:sz w:val="24"/>
                <w:szCs w:val="24"/>
                <w:highlight w:val="none"/>
              </w:rPr>
              <w:t xml:space="preserve"> </w:t>
            </w:r>
            <w:r>
              <w:rPr>
                <w:color w:val="auto"/>
                <w:sz w:val="24"/>
                <w:szCs w:val="24"/>
                <w:highlight w:val="none"/>
              </w:rPr>
              <w:t xml:space="preserve">号</w:t>
            </w:r>
            <w:r/>
          </w:p>
        </w:tc>
        <w:tc>
          <w:tcPr>
            <w:tcW w:w="1177" w:type="dxa"/>
            <w:textDirection w:val="lrTb"/>
            <w:noWrap w:val="false"/>
          </w:tcPr>
          <w:p>
            <w:pPr>
              <w:pStyle w:val="1044"/>
              <w:ind w:left="155"/>
              <w:spacing w:before="241" w:line="217" w:lineRule="auto"/>
              <w:rPr>
                <w:rFonts w:hint="default"/>
                <w:color w:val="auto"/>
                <w:sz w:val="24"/>
                <w:szCs w:val="24"/>
                <w:highlight w:val="none"/>
              </w:rPr>
            </w:pPr>
            <w:r>
              <w:rPr>
                <w:color w:val="auto"/>
                <w:spacing w:val="-4"/>
                <w:sz w:val="24"/>
                <w:szCs w:val="24"/>
                <w:highlight w:val="none"/>
              </w:rPr>
              <w:t xml:space="preserve">货物名称</w:t>
            </w:r>
            <w:r/>
          </w:p>
        </w:tc>
        <w:tc>
          <w:tcPr>
            <w:tcW w:w="612" w:type="dxa"/>
            <w:textDirection w:val="tbRlV"/>
            <w:noWrap w:val="false"/>
          </w:tcPr>
          <w:p>
            <w:pPr>
              <w:pStyle w:val="1044"/>
              <w:ind w:left="72"/>
              <w:spacing w:before="199" w:line="202" w:lineRule="auto"/>
              <w:rPr>
                <w:rFonts w:hint="default"/>
                <w:color w:val="auto"/>
                <w:sz w:val="24"/>
                <w:szCs w:val="24"/>
                <w:highlight w:val="none"/>
              </w:rPr>
            </w:pPr>
            <w:r>
              <w:rPr>
                <w:color w:val="auto"/>
                <w:sz w:val="24"/>
                <w:szCs w:val="24"/>
                <w:highlight w:val="none"/>
              </w:rPr>
              <w:t xml:space="preserve">品</w:t>
            </w:r>
            <w:r>
              <w:rPr>
                <w:color w:val="auto"/>
                <w:spacing w:val="-20"/>
                <w:sz w:val="24"/>
                <w:szCs w:val="24"/>
                <w:highlight w:val="none"/>
              </w:rPr>
              <w:t xml:space="preserve"> </w:t>
            </w:r>
            <w:r>
              <w:rPr>
                <w:color w:val="auto"/>
                <w:sz w:val="24"/>
                <w:szCs w:val="24"/>
                <w:highlight w:val="none"/>
              </w:rPr>
              <w:t xml:space="preserve">牌</w:t>
            </w:r>
            <w:r/>
          </w:p>
        </w:tc>
        <w:tc>
          <w:tcPr>
            <w:tcW w:w="856" w:type="dxa"/>
            <w:textDirection w:val="lrTb"/>
            <w:noWrap w:val="false"/>
          </w:tcPr>
          <w:p>
            <w:pPr>
              <w:pStyle w:val="1044"/>
              <w:ind w:left="223"/>
              <w:spacing w:before="72" w:line="218" w:lineRule="auto"/>
              <w:rPr>
                <w:rFonts w:hint="default"/>
                <w:color w:val="auto"/>
                <w:sz w:val="24"/>
                <w:szCs w:val="24"/>
                <w:highlight w:val="none"/>
              </w:rPr>
            </w:pPr>
            <w:r>
              <w:rPr>
                <w:color w:val="auto"/>
                <w:spacing w:val="-4"/>
                <w:sz w:val="24"/>
                <w:szCs w:val="24"/>
                <w:highlight w:val="none"/>
              </w:rPr>
              <w:t xml:space="preserve">规格</w:t>
            </w:r>
            <w:r/>
          </w:p>
          <w:p>
            <w:pPr>
              <w:pStyle w:val="1044"/>
              <w:ind w:left="235"/>
              <w:spacing w:before="56" w:line="206" w:lineRule="auto"/>
              <w:rPr>
                <w:rFonts w:hint="default"/>
                <w:color w:val="auto"/>
                <w:sz w:val="24"/>
                <w:szCs w:val="24"/>
                <w:highlight w:val="none"/>
              </w:rPr>
            </w:pPr>
            <w:r>
              <w:rPr>
                <w:color w:val="auto"/>
                <w:spacing w:val="-7"/>
                <w:sz w:val="24"/>
                <w:szCs w:val="24"/>
                <w:highlight w:val="none"/>
              </w:rPr>
              <w:t xml:space="preserve">型号</w:t>
            </w:r>
            <w:r/>
          </w:p>
        </w:tc>
        <w:tc>
          <w:tcPr>
            <w:tcW w:w="801" w:type="dxa"/>
            <w:textDirection w:val="lrTb"/>
            <w:noWrap w:val="false"/>
          </w:tcPr>
          <w:p>
            <w:pPr>
              <w:pStyle w:val="1044"/>
              <w:ind w:left="123"/>
              <w:spacing w:before="242" w:line="219" w:lineRule="auto"/>
              <w:rPr>
                <w:rFonts w:hint="default"/>
                <w:color w:val="auto"/>
                <w:sz w:val="24"/>
                <w:szCs w:val="24"/>
                <w:highlight w:val="none"/>
              </w:rPr>
            </w:pPr>
            <w:r>
              <w:rPr>
                <w:color w:val="auto"/>
                <w:spacing w:val="-4"/>
                <w:sz w:val="24"/>
                <w:szCs w:val="24"/>
                <w:highlight w:val="none"/>
              </w:rPr>
              <w:t xml:space="preserve">数量</w:t>
            </w:r>
            <w:r/>
          </w:p>
        </w:tc>
        <w:tc>
          <w:tcPr>
            <w:tcW w:w="594" w:type="dxa"/>
            <w:textDirection w:val="tbRlV"/>
            <w:noWrap w:val="false"/>
          </w:tcPr>
          <w:p>
            <w:pPr>
              <w:pStyle w:val="1044"/>
              <w:ind w:left="72"/>
              <w:spacing w:before="273" w:line="199" w:lineRule="auto"/>
              <w:rPr>
                <w:rFonts w:hint="default"/>
                <w:color w:val="auto"/>
                <w:sz w:val="24"/>
                <w:szCs w:val="24"/>
                <w:highlight w:val="none"/>
              </w:rPr>
            </w:pPr>
            <w:r>
              <w:rPr>
                <w:color w:val="auto"/>
                <w:sz w:val="24"/>
                <w:szCs w:val="24"/>
                <w:highlight w:val="none"/>
              </w:rPr>
              <w:t xml:space="preserve">单</w:t>
            </w:r>
            <w:r>
              <w:rPr>
                <w:color w:val="auto"/>
                <w:spacing w:val="-20"/>
                <w:sz w:val="24"/>
                <w:szCs w:val="24"/>
                <w:highlight w:val="none"/>
              </w:rPr>
              <w:t xml:space="preserve"> </w:t>
            </w:r>
            <w:r>
              <w:rPr>
                <w:color w:val="auto"/>
                <w:sz w:val="24"/>
                <w:szCs w:val="24"/>
                <w:highlight w:val="none"/>
              </w:rPr>
              <w:t xml:space="preserve">位</w:t>
            </w:r>
            <w:r/>
          </w:p>
        </w:tc>
        <w:tc>
          <w:tcPr>
            <w:tcW w:w="594" w:type="dxa"/>
            <w:textDirection w:val="tbRlV"/>
            <w:noWrap w:val="false"/>
          </w:tcPr>
          <w:p>
            <w:pPr>
              <w:pStyle w:val="1044"/>
              <w:ind w:left="72"/>
              <w:spacing w:before="189" w:line="199" w:lineRule="auto"/>
              <w:rPr>
                <w:rFonts w:hint="default"/>
                <w:color w:val="auto"/>
                <w:sz w:val="24"/>
                <w:szCs w:val="24"/>
                <w:highlight w:val="none"/>
              </w:rPr>
            </w:pPr>
            <w:r>
              <w:rPr>
                <w:color w:val="auto"/>
                <w:sz w:val="24"/>
                <w:szCs w:val="24"/>
                <w:highlight w:val="none"/>
              </w:rPr>
              <w:t xml:space="preserve">单</w:t>
            </w:r>
            <w:r>
              <w:rPr>
                <w:color w:val="auto"/>
                <w:spacing w:val="-20"/>
                <w:sz w:val="24"/>
                <w:szCs w:val="24"/>
                <w:highlight w:val="none"/>
              </w:rPr>
              <w:t xml:space="preserve"> </w:t>
            </w:r>
            <w:r>
              <w:rPr>
                <w:color w:val="auto"/>
                <w:sz w:val="24"/>
                <w:szCs w:val="24"/>
                <w:highlight w:val="none"/>
              </w:rPr>
              <w:t xml:space="preserve">价</w:t>
            </w:r>
            <w:r/>
          </w:p>
        </w:tc>
        <w:tc>
          <w:tcPr>
            <w:tcW w:w="829" w:type="dxa"/>
            <w:textDirection w:val="lrTb"/>
            <w:noWrap w:val="false"/>
          </w:tcPr>
          <w:p>
            <w:pPr>
              <w:pStyle w:val="1044"/>
              <w:ind w:left="219"/>
              <w:spacing w:before="242" w:line="218" w:lineRule="auto"/>
              <w:rPr>
                <w:rFonts w:hint="default"/>
                <w:color w:val="auto"/>
                <w:sz w:val="24"/>
                <w:szCs w:val="24"/>
                <w:highlight w:val="none"/>
              </w:rPr>
            </w:pPr>
            <w:r>
              <w:rPr>
                <w:color w:val="auto"/>
                <w:spacing w:val="-7"/>
                <w:sz w:val="24"/>
                <w:szCs w:val="24"/>
                <w:highlight w:val="none"/>
              </w:rPr>
              <w:t xml:space="preserve">总价</w:t>
            </w:r>
            <w:r/>
          </w:p>
        </w:tc>
        <w:tc>
          <w:tcPr>
            <w:tcW w:w="714" w:type="dxa"/>
            <w:textDirection w:val="lrTb"/>
            <w:noWrap w:val="false"/>
          </w:tcPr>
          <w:p>
            <w:pPr>
              <w:pStyle w:val="1044"/>
              <w:ind w:left="163"/>
              <w:spacing w:before="71" w:line="220" w:lineRule="auto"/>
              <w:rPr>
                <w:rFonts w:hint="default"/>
                <w:color w:val="auto"/>
                <w:sz w:val="24"/>
                <w:szCs w:val="24"/>
                <w:highlight w:val="none"/>
              </w:rPr>
            </w:pPr>
            <w:r>
              <w:rPr>
                <w:color w:val="auto"/>
                <w:spacing w:val="-8"/>
                <w:sz w:val="24"/>
                <w:szCs w:val="24"/>
                <w:highlight w:val="none"/>
              </w:rPr>
              <w:t xml:space="preserve">生产</w:t>
            </w:r>
            <w:r/>
          </w:p>
          <w:p>
            <w:pPr>
              <w:pStyle w:val="1044"/>
              <w:ind w:left="148"/>
              <w:spacing w:before="54" w:line="206" w:lineRule="auto"/>
              <w:rPr>
                <w:rFonts w:hint="default"/>
                <w:color w:val="auto"/>
                <w:sz w:val="24"/>
                <w:szCs w:val="24"/>
                <w:highlight w:val="none"/>
              </w:rPr>
            </w:pPr>
            <w:r>
              <w:rPr>
                <w:color w:val="auto"/>
                <w:spacing w:val="-4"/>
                <w:sz w:val="24"/>
                <w:szCs w:val="24"/>
                <w:highlight w:val="none"/>
              </w:rPr>
              <w:t xml:space="preserve">厂商</w:t>
            </w:r>
            <w:r/>
          </w:p>
        </w:tc>
        <w:tc>
          <w:tcPr>
            <w:tcW w:w="594" w:type="dxa"/>
            <w:textDirection w:val="tbRlV"/>
            <w:noWrap w:val="false"/>
          </w:tcPr>
          <w:p>
            <w:pPr>
              <w:pStyle w:val="1044"/>
              <w:ind w:left="72"/>
              <w:spacing w:before="188" w:line="202" w:lineRule="auto"/>
              <w:rPr>
                <w:rFonts w:hint="default"/>
                <w:color w:val="auto"/>
                <w:sz w:val="24"/>
                <w:szCs w:val="24"/>
                <w:highlight w:val="none"/>
              </w:rPr>
            </w:pPr>
            <w:r>
              <w:rPr>
                <w:color w:val="auto"/>
                <w:sz w:val="24"/>
                <w:szCs w:val="24"/>
                <w:highlight w:val="none"/>
              </w:rPr>
              <w:t xml:space="preserve">产</w:t>
            </w:r>
            <w:r>
              <w:rPr>
                <w:color w:val="auto"/>
                <w:spacing w:val="-20"/>
                <w:sz w:val="24"/>
                <w:szCs w:val="24"/>
                <w:highlight w:val="none"/>
              </w:rPr>
              <w:t xml:space="preserve"> </w:t>
            </w:r>
            <w:r>
              <w:rPr>
                <w:color w:val="auto"/>
                <w:sz w:val="24"/>
                <w:szCs w:val="24"/>
                <w:highlight w:val="none"/>
              </w:rPr>
              <w:t xml:space="preserve">地</w:t>
            </w:r>
            <w:r/>
          </w:p>
        </w:tc>
        <w:tc>
          <w:tcPr>
            <w:tcW w:w="829" w:type="dxa"/>
            <w:textDirection w:val="lrTb"/>
            <w:noWrap w:val="false"/>
          </w:tcPr>
          <w:p>
            <w:pPr>
              <w:pStyle w:val="1044"/>
              <w:ind w:left="414" w:right="192" w:firstLine="98"/>
              <w:spacing w:before="71" w:line="234" w:lineRule="auto"/>
              <w:rPr>
                <w:rFonts w:hint="default"/>
                <w:color w:val="auto"/>
                <w:sz w:val="24"/>
                <w:szCs w:val="24"/>
                <w:highlight w:val="none"/>
              </w:rPr>
            </w:pPr>
            <w:r>
              <w:rPr>
                <w:color w:val="auto"/>
                <w:spacing w:val="-11"/>
                <w:sz w:val="24"/>
                <w:szCs w:val="24"/>
                <w:highlight w:val="none"/>
              </w:rPr>
              <w:t xml:space="preserve">质保</w:t>
            </w:r>
            <w:r>
              <w:rPr>
                <w:color w:val="auto"/>
                <w:sz w:val="24"/>
                <w:szCs w:val="24"/>
                <w:highlight w:val="none"/>
              </w:rPr>
              <w:t xml:space="preserve">期</w:t>
            </w:r>
            <w:r/>
          </w:p>
        </w:tc>
        <w:tc>
          <w:tcPr>
            <w:tcW w:w="764" w:type="dxa"/>
            <w:textDirection w:val="lrTb"/>
            <w:noWrap w:val="false"/>
          </w:tcPr>
          <w:p>
            <w:pPr>
              <w:pStyle w:val="1044"/>
              <w:ind w:left="176"/>
              <w:spacing w:before="225" w:line="220" w:lineRule="auto"/>
              <w:rPr>
                <w:rFonts w:hint="default"/>
                <w:color w:val="auto"/>
                <w:sz w:val="24"/>
                <w:szCs w:val="24"/>
                <w:highlight w:val="none"/>
              </w:rPr>
            </w:pPr>
            <w:r>
              <w:rPr>
                <w:color w:val="auto"/>
                <w:spacing w:val="-5"/>
                <w:sz w:val="24"/>
                <w:szCs w:val="24"/>
                <w:highlight w:val="none"/>
              </w:rPr>
              <w:t xml:space="preserve">备注</w:t>
            </w:r>
            <w:r/>
          </w:p>
        </w:tc>
      </w:tr>
      <w:tr>
        <w:trPr>
          <w:trHeight w:val="713"/>
        </w:trPr>
        <w:tc>
          <w:tcPr>
            <w:tcW w:w="472" w:type="dxa"/>
            <w:textDirection w:val="lrTb"/>
            <w:noWrap w:val="false"/>
          </w:tcPr>
          <w:p>
            <w:pPr>
              <w:pStyle w:val="1044"/>
              <w:ind w:left="205"/>
              <w:spacing w:before="203" w:line="239" w:lineRule="auto"/>
              <w:rPr>
                <w:rFonts w:hint="default"/>
                <w:color w:val="auto"/>
                <w:highlight w:val="none"/>
              </w:rPr>
            </w:pPr>
            <w:r>
              <w:rPr>
                <w:color w:val="auto"/>
                <w:highlight w:val="none"/>
              </w:rPr>
              <w:t xml:space="preserve">1</w:t>
            </w:r>
            <w:r/>
          </w:p>
        </w:tc>
        <w:tc>
          <w:tcPr>
            <w:tcW w:w="1177" w:type="dxa"/>
            <w:textDirection w:val="lrTb"/>
            <w:noWrap w:val="false"/>
          </w:tcPr>
          <w:p>
            <w:pPr>
              <w:rPr>
                <w:rFonts w:ascii="Arial"/>
                <w:color w:val="auto"/>
                <w:highlight w:val="none"/>
              </w:rPr>
            </w:pPr>
            <w:r>
              <w:rPr>
                <w:rFonts w:ascii="Arial"/>
                <w:color w:val="auto"/>
                <w:highlight w:val="none"/>
              </w:rPr>
            </w:r>
            <w:r/>
          </w:p>
        </w:tc>
        <w:tc>
          <w:tcPr>
            <w:tcW w:w="612" w:type="dxa"/>
            <w:textDirection w:val="lrTb"/>
            <w:noWrap w:val="false"/>
          </w:tcPr>
          <w:p>
            <w:pPr>
              <w:rPr>
                <w:rFonts w:ascii="Arial"/>
                <w:color w:val="auto"/>
                <w:highlight w:val="none"/>
              </w:rPr>
            </w:pPr>
            <w:r>
              <w:rPr>
                <w:rFonts w:ascii="Arial"/>
                <w:color w:val="auto"/>
                <w:highlight w:val="none"/>
              </w:rPr>
            </w:r>
            <w:r/>
          </w:p>
        </w:tc>
        <w:tc>
          <w:tcPr>
            <w:tcW w:w="856" w:type="dxa"/>
            <w:textDirection w:val="lrTb"/>
            <w:noWrap w:val="false"/>
          </w:tcPr>
          <w:p>
            <w:pPr>
              <w:rPr>
                <w:rFonts w:ascii="Arial"/>
                <w:color w:val="auto"/>
                <w:highlight w:val="none"/>
              </w:rPr>
            </w:pPr>
            <w:r>
              <w:rPr>
                <w:rFonts w:ascii="Arial"/>
                <w:color w:val="auto"/>
                <w:highlight w:val="none"/>
              </w:rPr>
            </w:r>
            <w:r/>
          </w:p>
        </w:tc>
        <w:tc>
          <w:tcPr>
            <w:tcW w:w="801" w:type="dxa"/>
            <w:textDirection w:val="lrTb"/>
            <w:noWrap w:val="false"/>
          </w:tcPr>
          <w:p>
            <w:pPr>
              <w:rPr>
                <w:rFonts w:ascii="Arial"/>
                <w:color w:val="auto"/>
                <w:highlight w:val="none"/>
              </w:rPr>
            </w:pPr>
            <w:r>
              <w:rPr>
                <w:rFonts w:ascii="Arial"/>
                <w:color w:val="auto"/>
                <w:highlight w:val="none"/>
              </w:rPr>
            </w:r>
            <w:r/>
          </w:p>
        </w:tc>
        <w:tc>
          <w:tcPr>
            <w:tcW w:w="594" w:type="dxa"/>
            <w:textDirection w:val="lrTb"/>
            <w:noWrap w:val="false"/>
          </w:tcPr>
          <w:p>
            <w:pPr>
              <w:rPr>
                <w:rFonts w:ascii="Arial"/>
                <w:color w:val="auto"/>
                <w:highlight w:val="none"/>
              </w:rPr>
            </w:pPr>
            <w:r>
              <w:rPr>
                <w:rFonts w:ascii="Arial"/>
                <w:color w:val="auto"/>
                <w:highlight w:val="none"/>
              </w:rPr>
            </w:r>
            <w:r/>
          </w:p>
        </w:tc>
        <w:tc>
          <w:tcPr>
            <w:tcW w:w="594" w:type="dxa"/>
            <w:textDirection w:val="lrTb"/>
            <w:noWrap w:val="false"/>
          </w:tcPr>
          <w:p>
            <w:pPr>
              <w:rPr>
                <w:rFonts w:ascii="Arial"/>
                <w:color w:val="auto"/>
                <w:highlight w:val="none"/>
              </w:rPr>
            </w:pPr>
            <w:r>
              <w:rPr>
                <w:rFonts w:ascii="Arial"/>
                <w:color w:val="auto"/>
                <w:highlight w:val="none"/>
              </w:rPr>
            </w:r>
            <w:r/>
          </w:p>
        </w:tc>
        <w:tc>
          <w:tcPr>
            <w:tcW w:w="829" w:type="dxa"/>
            <w:textDirection w:val="lrTb"/>
            <w:noWrap w:val="false"/>
          </w:tcPr>
          <w:p>
            <w:pPr>
              <w:rPr>
                <w:rFonts w:ascii="Arial"/>
                <w:color w:val="auto"/>
                <w:highlight w:val="none"/>
              </w:rPr>
            </w:pPr>
            <w:r>
              <w:rPr>
                <w:rFonts w:ascii="Arial"/>
                <w:color w:val="auto"/>
                <w:highlight w:val="none"/>
              </w:rPr>
            </w:r>
            <w:r/>
          </w:p>
        </w:tc>
        <w:tc>
          <w:tcPr>
            <w:tcW w:w="714" w:type="dxa"/>
            <w:textDirection w:val="lrTb"/>
            <w:noWrap w:val="false"/>
          </w:tcPr>
          <w:p>
            <w:pPr>
              <w:rPr>
                <w:rFonts w:ascii="Arial"/>
                <w:color w:val="auto"/>
                <w:highlight w:val="none"/>
              </w:rPr>
            </w:pPr>
            <w:r>
              <w:rPr>
                <w:rFonts w:ascii="Arial"/>
                <w:color w:val="auto"/>
                <w:highlight w:val="none"/>
              </w:rPr>
            </w:r>
            <w:r/>
          </w:p>
        </w:tc>
        <w:tc>
          <w:tcPr>
            <w:tcW w:w="594" w:type="dxa"/>
            <w:textDirection w:val="lrTb"/>
            <w:noWrap w:val="false"/>
          </w:tcPr>
          <w:p>
            <w:pPr>
              <w:rPr>
                <w:rFonts w:ascii="Arial"/>
                <w:color w:val="auto"/>
                <w:highlight w:val="none"/>
              </w:rPr>
            </w:pPr>
            <w:r>
              <w:rPr>
                <w:rFonts w:ascii="Arial"/>
                <w:color w:val="auto"/>
                <w:highlight w:val="none"/>
              </w:rPr>
            </w:r>
            <w:r/>
          </w:p>
        </w:tc>
        <w:tc>
          <w:tcPr>
            <w:tcW w:w="829" w:type="dxa"/>
            <w:textDirection w:val="lrTb"/>
            <w:noWrap w:val="false"/>
          </w:tcPr>
          <w:p>
            <w:pPr>
              <w:rPr>
                <w:rFonts w:ascii="Arial"/>
                <w:color w:val="auto"/>
                <w:highlight w:val="none"/>
              </w:rPr>
            </w:pPr>
            <w:r>
              <w:rPr>
                <w:rFonts w:ascii="Arial"/>
                <w:color w:val="auto"/>
                <w:highlight w:val="none"/>
              </w:rPr>
            </w:r>
            <w:r/>
          </w:p>
        </w:tc>
        <w:tc>
          <w:tcPr>
            <w:tcW w:w="764" w:type="dxa"/>
            <w:textDirection w:val="lrTb"/>
            <w:noWrap w:val="false"/>
          </w:tcPr>
          <w:p>
            <w:pPr>
              <w:rPr>
                <w:rFonts w:ascii="Arial"/>
                <w:color w:val="auto"/>
                <w:highlight w:val="none"/>
              </w:rPr>
            </w:pPr>
            <w:r>
              <w:rPr>
                <w:rFonts w:ascii="Arial"/>
                <w:color w:val="auto"/>
                <w:highlight w:val="none"/>
              </w:rPr>
            </w:r>
            <w:r/>
          </w:p>
        </w:tc>
      </w:tr>
      <w:tr>
        <w:trPr>
          <w:trHeight w:val="716"/>
        </w:trPr>
        <w:tc>
          <w:tcPr>
            <w:tcW w:w="472" w:type="dxa"/>
            <w:textDirection w:val="lrTb"/>
            <w:noWrap w:val="false"/>
          </w:tcPr>
          <w:p>
            <w:pPr>
              <w:pStyle w:val="1044"/>
              <w:ind w:left="188"/>
              <w:spacing w:before="205" w:line="239" w:lineRule="auto"/>
              <w:rPr>
                <w:rFonts w:hint="default"/>
                <w:color w:val="auto"/>
                <w:highlight w:val="none"/>
              </w:rPr>
            </w:pPr>
            <w:r>
              <w:rPr>
                <w:color w:val="auto"/>
                <w:highlight w:val="none"/>
              </w:rPr>
              <w:t xml:space="preserve">2</w:t>
            </w:r>
            <w:r/>
          </w:p>
        </w:tc>
        <w:tc>
          <w:tcPr>
            <w:tcW w:w="1177" w:type="dxa"/>
            <w:textDirection w:val="lrTb"/>
            <w:noWrap w:val="false"/>
          </w:tcPr>
          <w:p>
            <w:pPr>
              <w:rPr>
                <w:rFonts w:ascii="Arial"/>
                <w:color w:val="auto"/>
                <w:highlight w:val="none"/>
              </w:rPr>
            </w:pPr>
            <w:r>
              <w:rPr>
                <w:rFonts w:ascii="Arial"/>
                <w:color w:val="auto"/>
                <w:highlight w:val="none"/>
              </w:rPr>
            </w:r>
            <w:r/>
          </w:p>
        </w:tc>
        <w:tc>
          <w:tcPr>
            <w:tcW w:w="612" w:type="dxa"/>
            <w:textDirection w:val="lrTb"/>
            <w:noWrap w:val="false"/>
          </w:tcPr>
          <w:p>
            <w:pPr>
              <w:rPr>
                <w:rFonts w:ascii="Arial"/>
                <w:color w:val="auto"/>
                <w:highlight w:val="none"/>
              </w:rPr>
            </w:pPr>
            <w:r>
              <w:rPr>
                <w:rFonts w:ascii="Arial"/>
                <w:color w:val="auto"/>
                <w:highlight w:val="none"/>
              </w:rPr>
            </w:r>
            <w:r/>
          </w:p>
        </w:tc>
        <w:tc>
          <w:tcPr>
            <w:tcW w:w="856" w:type="dxa"/>
            <w:textDirection w:val="lrTb"/>
            <w:noWrap w:val="false"/>
          </w:tcPr>
          <w:p>
            <w:pPr>
              <w:rPr>
                <w:rFonts w:ascii="Arial"/>
                <w:color w:val="auto"/>
                <w:highlight w:val="none"/>
              </w:rPr>
            </w:pPr>
            <w:r>
              <w:rPr>
                <w:rFonts w:ascii="Arial"/>
                <w:color w:val="auto"/>
                <w:highlight w:val="none"/>
              </w:rPr>
            </w:r>
            <w:r/>
          </w:p>
        </w:tc>
        <w:tc>
          <w:tcPr>
            <w:tcW w:w="801" w:type="dxa"/>
            <w:textDirection w:val="lrTb"/>
            <w:noWrap w:val="false"/>
          </w:tcPr>
          <w:p>
            <w:pPr>
              <w:rPr>
                <w:rFonts w:ascii="Arial"/>
                <w:color w:val="auto"/>
                <w:highlight w:val="none"/>
              </w:rPr>
            </w:pPr>
            <w:r>
              <w:rPr>
                <w:rFonts w:ascii="Arial"/>
                <w:color w:val="auto"/>
                <w:highlight w:val="none"/>
              </w:rPr>
            </w:r>
            <w:r/>
          </w:p>
        </w:tc>
        <w:tc>
          <w:tcPr>
            <w:tcW w:w="594" w:type="dxa"/>
            <w:textDirection w:val="lrTb"/>
            <w:noWrap w:val="false"/>
          </w:tcPr>
          <w:p>
            <w:pPr>
              <w:rPr>
                <w:rFonts w:ascii="Arial"/>
                <w:color w:val="auto"/>
                <w:highlight w:val="none"/>
              </w:rPr>
            </w:pPr>
            <w:r>
              <w:rPr>
                <w:rFonts w:ascii="Arial"/>
                <w:color w:val="auto"/>
                <w:highlight w:val="none"/>
              </w:rPr>
            </w:r>
            <w:r/>
          </w:p>
        </w:tc>
        <w:tc>
          <w:tcPr>
            <w:tcW w:w="594" w:type="dxa"/>
            <w:textDirection w:val="lrTb"/>
            <w:noWrap w:val="false"/>
          </w:tcPr>
          <w:p>
            <w:pPr>
              <w:rPr>
                <w:rFonts w:ascii="Arial"/>
                <w:color w:val="auto"/>
                <w:highlight w:val="none"/>
              </w:rPr>
            </w:pPr>
            <w:r>
              <w:rPr>
                <w:rFonts w:ascii="Arial"/>
                <w:color w:val="auto"/>
                <w:highlight w:val="none"/>
              </w:rPr>
            </w:r>
            <w:r/>
          </w:p>
        </w:tc>
        <w:tc>
          <w:tcPr>
            <w:tcW w:w="829" w:type="dxa"/>
            <w:textDirection w:val="lrTb"/>
            <w:noWrap w:val="false"/>
          </w:tcPr>
          <w:p>
            <w:pPr>
              <w:rPr>
                <w:rFonts w:ascii="Arial"/>
                <w:color w:val="auto"/>
                <w:highlight w:val="none"/>
              </w:rPr>
            </w:pPr>
            <w:r>
              <w:rPr>
                <w:rFonts w:ascii="Arial"/>
                <w:color w:val="auto"/>
                <w:highlight w:val="none"/>
              </w:rPr>
            </w:r>
            <w:r/>
          </w:p>
        </w:tc>
        <w:tc>
          <w:tcPr>
            <w:tcW w:w="714" w:type="dxa"/>
            <w:textDirection w:val="lrTb"/>
            <w:noWrap w:val="false"/>
          </w:tcPr>
          <w:p>
            <w:pPr>
              <w:rPr>
                <w:rFonts w:ascii="Arial"/>
                <w:color w:val="auto"/>
                <w:highlight w:val="none"/>
              </w:rPr>
            </w:pPr>
            <w:r>
              <w:rPr>
                <w:rFonts w:ascii="Arial"/>
                <w:color w:val="auto"/>
                <w:highlight w:val="none"/>
              </w:rPr>
            </w:r>
            <w:r/>
          </w:p>
        </w:tc>
        <w:tc>
          <w:tcPr>
            <w:tcW w:w="594" w:type="dxa"/>
            <w:textDirection w:val="lrTb"/>
            <w:noWrap w:val="false"/>
          </w:tcPr>
          <w:p>
            <w:pPr>
              <w:rPr>
                <w:rFonts w:ascii="Arial"/>
                <w:color w:val="auto"/>
                <w:highlight w:val="none"/>
              </w:rPr>
            </w:pPr>
            <w:r>
              <w:rPr>
                <w:rFonts w:ascii="Arial"/>
                <w:color w:val="auto"/>
                <w:highlight w:val="none"/>
              </w:rPr>
            </w:r>
            <w:r/>
          </w:p>
        </w:tc>
        <w:tc>
          <w:tcPr>
            <w:tcW w:w="829" w:type="dxa"/>
            <w:textDirection w:val="lrTb"/>
            <w:noWrap w:val="false"/>
          </w:tcPr>
          <w:p>
            <w:pPr>
              <w:rPr>
                <w:rFonts w:ascii="Arial"/>
                <w:color w:val="auto"/>
                <w:highlight w:val="none"/>
              </w:rPr>
            </w:pPr>
            <w:r>
              <w:rPr>
                <w:rFonts w:ascii="Arial"/>
                <w:color w:val="auto"/>
                <w:highlight w:val="none"/>
              </w:rPr>
            </w:r>
            <w:r/>
          </w:p>
        </w:tc>
        <w:tc>
          <w:tcPr>
            <w:tcW w:w="764" w:type="dxa"/>
            <w:textDirection w:val="lrTb"/>
            <w:noWrap w:val="false"/>
          </w:tcPr>
          <w:p>
            <w:pPr>
              <w:rPr>
                <w:rFonts w:ascii="Arial"/>
                <w:color w:val="auto"/>
                <w:highlight w:val="none"/>
              </w:rPr>
            </w:pPr>
            <w:r>
              <w:rPr>
                <w:rFonts w:ascii="Arial"/>
                <w:color w:val="auto"/>
                <w:highlight w:val="none"/>
              </w:rPr>
            </w:r>
            <w:r/>
          </w:p>
        </w:tc>
      </w:tr>
      <w:tr>
        <w:trPr>
          <w:trHeight w:val="726"/>
        </w:trPr>
        <w:tc>
          <w:tcPr>
            <w:gridSpan w:val="12"/>
            <w:tcW w:w="8836" w:type="dxa"/>
            <w:textDirection w:val="lrTb"/>
            <w:noWrap w:val="false"/>
          </w:tcPr>
          <w:p>
            <w:pPr>
              <w:pStyle w:val="1044"/>
              <w:ind w:left="125"/>
              <w:spacing w:before="203" w:line="219" w:lineRule="auto"/>
              <w:rPr>
                <w:rFonts w:hint="default"/>
                <w:color w:val="auto"/>
                <w:highlight w:val="none"/>
              </w:rPr>
            </w:pPr>
            <w:r>
              <w:rPr>
                <w:color w:val="auto"/>
                <w:spacing w:val="-2"/>
                <w:highlight w:val="none"/>
              </w:rPr>
              <w:t xml:space="preserve">投标总报价（人民币大写</w:t>
            </w:r>
            <w:r>
              <w:rPr>
                <w:color w:val="auto"/>
                <w:spacing w:val="3"/>
                <w:highlight w:val="none"/>
              </w:rPr>
              <w:t xml:space="preserve">）：</w:t>
            </w:r>
            <w:r>
              <w:rPr>
                <w:color w:val="auto"/>
                <w:highlight w:val="none"/>
                <w:u w:val="single"/>
              </w:rPr>
              <w:t xml:space="preserve">                    </w:t>
            </w:r>
            <w:r>
              <w:rPr>
                <w:color w:val="auto"/>
                <w:spacing w:val="-116"/>
                <w:highlight w:val="none"/>
              </w:rPr>
              <w:t xml:space="preserve"> </w:t>
            </w:r>
            <w:r>
              <w:rPr>
                <w:color w:val="auto"/>
                <w:spacing w:val="-2"/>
                <w:highlight w:val="none"/>
              </w:rPr>
              <w:t xml:space="preserve">元</w:t>
            </w:r>
            <w:r/>
          </w:p>
        </w:tc>
      </w:tr>
      <w:tr>
        <w:trPr>
          <w:trHeight w:val="726"/>
        </w:trPr>
        <w:tc>
          <w:tcPr>
            <w:gridSpan w:val="12"/>
            <w:tcW w:w="8836" w:type="dxa"/>
            <w:textDirection w:val="lrTb"/>
            <w:noWrap w:val="false"/>
          </w:tcPr>
          <w:p>
            <w:pPr>
              <w:pStyle w:val="1044"/>
              <w:ind w:left="125"/>
              <w:spacing w:before="203" w:line="219" w:lineRule="auto"/>
              <w:rPr>
                <w:rFonts w:hint="default"/>
                <w:color w:val="auto"/>
                <w:spacing w:val="-2"/>
                <w:highlight w:val="none"/>
              </w:rPr>
            </w:pPr>
            <w:r>
              <w:rPr>
                <w:b/>
                <w:bCs/>
                <w:color w:val="auto"/>
                <w:spacing w:val="-2"/>
                <w:highlight w:val="none"/>
              </w:rPr>
              <w:t xml:space="preserve">本采购包中提供的符合本国产品标准的产品成本之和占该采购包提供的全部产品成本之和的比例为</w:t>
            </w:r>
            <w:r>
              <w:rPr>
                <w:b/>
                <w:bCs/>
                <w:color w:val="auto"/>
                <w:spacing w:val="-2"/>
                <w:highlight w:val="none"/>
                <w:u w:val="single"/>
              </w:rPr>
              <w:t xml:space="preserve">      </w:t>
            </w:r>
            <w:r>
              <w:rPr>
                <w:b/>
                <w:bCs/>
                <w:color w:val="auto"/>
                <w:spacing w:val="-2"/>
                <w:highlight w:val="none"/>
              </w:rPr>
              <w:t xml:space="preserve">%。</w:t>
            </w:r>
            <w:r/>
          </w:p>
        </w:tc>
      </w:tr>
    </w:tbl>
    <w:p>
      <w:pPr>
        <w:pStyle w:val="968"/>
        <w:rPr>
          <w:rFonts w:ascii="仿宋" w:hAnsi="仿宋" w:eastAsia="仿宋"/>
          <w:b/>
          <w:color w:val="auto"/>
          <w:sz w:val="24"/>
          <w:szCs w:val="24"/>
          <w:highlight w:val="none"/>
        </w:rPr>
      </w:pPr>
      <w:r>
        <w:rPr>
          <w:rFonts w:ascii="仿宋" w:hAnsi="仿宋" w:eastAsia="仿宋"/>
          <w:b/>
          <w:color w:val="auto"/>
          <w:sz w:val="24"/>
          <w:szCs w:val="24"/>
          <w:highlight w:val="none"/>
        </w:rPr>
      </w:r>
      <w:r/>
    </w:p>
    <w:p>
      <w:pPr>
        <w:ind w:left="404"/>
        <w:spacing w:before="91" w:line="219" w:lineRule="auto"/>
        <w:rPr>
          <w:rFonts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供应商</w:t>
      </w:r>
      <w:r>
        <w:rPr>
          <w:rFonts w:ascii="仿宋" w:hAnsi="仿宋" w:eastAsia="仿宋" w:cs="仿宋"/>
          <w:color w:val="auto"/>
          <w:spacing w:val="-21"/>
          <w:sz w:val="28"/>
          <w:szCs w:val="28"/>
          <w:highlight w:val="none"/>
        </w:rPr>
        <w:t xml:space="preserve">：</w:t>
      </w:r>
      <w:r>
        <w:rPr>
          <w:rFonts w:ascii="仿宋" w:hAnsi="仿宋" w:eastAsia="仿宋" w:cs="仿宋"/>
          <w:color w:val="auto"/>
          <w:spacing w:val="-2"/>
          <w:sz w:val="28"/>
          <w:szCs w:val="28"/>
          <w:highlight w:val="none"/>
        </w:rPr>
        <w:t xml:space="preserve"> </w:t>
      </w:r>
      <w:r>
        <w:rPr>
          <w:rFonts w:ascii="仿宋" w:hAnsi="仿宋" w:eastAsia="仿宋" w:cs="仿宋"/>
          <w:color w:val="auto"/>
          <w:sz w:val="28"/>
          <w:szCs w:val="28"/>
          <w:highlight w:val="none"/>
          <w:u w:val="single"/>
        </w:rPr>
        <w:t xml:space="preserve">     </w:t>
      </w:r>
      <w:r>
        <w:rPr>
          <w:rFonts w:ascii="仿宋" w:hAnsi="仿宋" w:eastAsia="仿宋" w:cs="仿宋"/>
          <w:color w:val="auto"/>
          <w:spacing w:val="-21"/>
          <w:sz w:val="28"/>
          <w:szCs w:val="28"/>
          <w:highlight w:val="none"/>
          <w:u w:val="single"/>
        </w:rPr>
        <w:t xml:space="preserve">（</w:t>
      </w:r>
      <w:r>
        <w:rPr>
          <w:rFonts w:ascii="仿宋" w:hAnsi="仿宋" w:eastAsia="仿宋" w:cs="仿宋"/>
          <w:color w:val="auto"/>
          <w:spacing w:val="3"/>
          <w:sz w:val="28"/>
          <w:szCs w:val="28"/>
          <w:highlight w:val="none"/>
          <w:u w:val="single"/>
        </w:rPr>
        <w:t xml:space="preserve">加盖公章）</w:t>
      </w:r>
      <w:r>
        <w:rPr>
          <w:rFonts w:ascii="仿宋" w:hAnsi="仿宋" w:eastAsia="仿宋" w:cs="仿宋"/>
          <w:color w:val="auto"/>
          <w:sz w:val="28"/>
          <w:szCs w:val="28"/>
          <w:highlight w:val="none"/>
          <w:u w:val="single"/>
        </w:rPr>
        <w:t xml:space="preserve">      </w:t>
      </w:r>
      <w:r/>
    </w:p>
    <w:p>
      <w:pPr>
        <w:ind w:left="413"/>
        <w:spacing w:before="187" w:line="219" w:lineRule="auto"/>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rPr>
        <w:t xml:space="preserve">法定代表人或其委托受托人签字： </w:t>
      </w:r>
      <w:r>
        <w:rPr>
          <w:rFonts w:ascii="仿宋" w:hAnsi="仿宋" w:eastAsia="仿宋" w:cs="仿宋"/>
          <w:color w:val="auto"/>
          <w:sz w:val="28"/>
          <w:szCs w:val="28"/>
          <w:highlight w:val="none"/>
          <w:u w:val="single"/>
        </w:rPr>
        <w:t xml:space="preserve">                      </w:t>
      </w:r>
      <w:r/>
    </w:p>
    <w:p>
      <w:pPr>
        <w:ind w:left="98"/>
        <w:spacing w:before="122" w:line="227" w:lineRule="auto"/>
        <w:rPr>
          <w:rFonts w:ascii="仿宋" w:hAnsi="仿宋" w:eastAsia="仿宋" w:cs="仿宋"/>
          <w:color w:val="auto"/>
          <w:sz w:val="28"/>
          <w:szCs w:val="28"/>
          <w:highlight w:val="none"/>
        </w:rPr>
      </w:pPr>
      <w:r>
        <w:rPr>
          <w:rFonts w:ascii="仿宋" w:hAnsi="仿宋" w:eastAsia="仿宋" w:cs="仿宋"/>
          <w:color w:val="auto"/>
          <w:spacing w:val="-13"/>
          <w:sz w:val="28"/>
          <w:szCs w:val="28"/>
          <w:highlight w:val="none"/>
        </w:rPr>
        <w:t xml:space="preserve">注：</w:t>
      </w:r>
      <w:r/>
    </w:p>
    <w:p>
      <w:pPr>
        <w:ind w:left="366"/>
        <w:spacing w:before="98" w:line="216" w:lineRule="auto"/>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rPr>
        <w:t xml:space="preserve">（1）此表为表样，行数可自行添加，但表式不变。</w:t>
      </w:r>
      <w:r/>
    </w:p>
    <w:p>
      <w:pPr>
        <w:ind w:left="366"/>
        <w:spacing w:before="112" w:line="217"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（2）如果单价和总价不符时，以单价为准。</w:t>
      </w:r>
      <w:r/>
    </w:p>
    <w:p>
      <w:pPr>
        <w:pStyle w:val="968"/>
        <w:ind w:firstLine="352"/>
        <w:spacing w:line="440" w:lineRule="exact"/>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 xml:space="preserve">（3）价格应按照招标文件第二章第</w:t>
      </w:r>
      <w:r>
        <w:rPr>
          <w:rFonts w:ascii="仿宋" w:hAnsi="仿宋" w:eastAsia="仿宋" w:cs="仿宋"/>
          <w:color w:val="auto"/>
          <w:spacing w:val="-31"/>
          <w:sz w:val="28"/>
          <w:szCs w:val="28"/>
          <w:highlight w:val="none"/>
        </w:rPr>
        <w:t xml:space="preserve"> </w:t>
      </w:r>
      <w:r>
        <w:rPr>
          <w:rFonts w:ascii="仿宋" w:hAnsi="仿宋" w:eastAsia="仿宋" w:cs="仿宋"/>
          <w:color w:val="auto"/>
          <w:spacing w:val="-4"/>
          <w:sz w:val="28"/>
          <w:szCs w:val="28"/>
          <w:highlight w:val="none"/>
        </w:rPr>
        <w:t xml:space="preserve">11</w:t>
      </w:r>
      <w:r>
        <w:rPr>
          <w:rFonts w:ascii="仿宋" w:hAnsi="仿宋" w:eastAsia="仿宋" w:cs="仿宋"/>
          <w:color w:val="auto"/>
          <w:spacing w:val="-49"/>
          <w:sz w:val="28"/>
          <w:szCs w:val="28"/>
          <w:highlight w:val="none"/>
        </w:rPr>
        <w:t xml:space="preserve"> </w:t>
      </w:r>
      <w:r>
        <w:rPr>
          <w:rFonts w:ascii="仿宋" w:hAnsi="仿宋" w:eastAsia="仿宋" w:cs="仿宋"/>
          <w:color w:val="auto"/>
          <w:spacing w:val="-4"/>
          <w:sz w:val="28"/>
          <w:szCs w:val="28"/>
          <w:highlight w:val="none"/>
        </w:rPr>
        <w:t xml:space="preserve">条的要求报价。</w:t>
      </w:r>
      <w:r/>
    </w:p>
    <w:p>
      <w:pPr>
        <w:pStyle w:val="968"/>
        <w:ind w:firstLine="352"/>
        <w:spacing w:line="440" w:lineRule="exact"/>
        <w:rPr>
          <w:rFonts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（4）</w:t>
      </w:r>
      <w:r>
        <w:rPr>
          <w:rFonts w:ascii="仿宋" w:hAnsi="仿宋" w:eastAsia="仿宋" w:cs="仿宋"/>
          <w:color w:val="auto"/>
          <w:spacing w:val="-4"/>
          <w:sz w:val="28"/>
          <w:szCs w:val="28"/>
          <w:highlight w:val="none"/>
        </w:rPr>
        <w:t xml:space="preserve">本采购包中含有多种产品时，</w:t>
      </w:r>
      <w:r>
        <w:rPr>
          <w:rFonts w:hint="eastAsia" w:ascii="仿宋" w:hAnsi="仿宋" w:eastAsia="仿宋" w:cs="仿宋"/>
          <w:color w:val="auto"/>
          <w:spacing w:val="-4"/>
          <w:sz w:val="28"/>
          <w:szCs w:val="28"/>
          <w:highlight w:val="none"/>
        </w:rPr>
        <w:t xml:space="preserve">供应商</w:t>
      </w:r>
      <w:r>
        <w:rPr>
          <w:rFonts w:ascii="仿宋" w:hAnsi="仿宋" w:eastAsia="仿宋" w:cs="仿宋"/>
          <w:color w:val="auto"/>
          <w:spacing w:val="-4"/>
          <w:sz w:val="28"/>
          <w:szCs w:val="28"/>
          <w:highlight w:val="none"/>
        </w:rPr>
        <w:t xml:space="preserve">未填写本采购包中提供的符合本国产品标准的产品成本之和占该采购包提供的全部产品成本之和的比例数值的，或比例数值未达到80%的，将不享受本国产品价格评审优惠。</w:t>
      </w:r>
      <w:r/>
    </w:p>
    <w:p>
      <w:pPr>
        <w:pStyle w:val="968"/>
        <w:ind w:firstLine="352"/>
        <w:spacing w:line="440" w:lineRule="exact"/>
        <w:rPr>
          <w:rFonts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（5）供应商</w:t>
      </w:r>
      <w:r>
        <w:rPr>
          <w:rFonts w:ascii="仿宋" w:hAnsi="仿宋" w:eastAsia="仿宋" w:cs="仿宋"/>
          <w:color w:val="auto"/>
          <w:spacing w:val="-4"/>
          <w:sz w:val="28"/>
          <w:szCs w:val="28"/>
          <w:highlight w:val="none"/>
        </w:rPr>
        <w:t xml:space="preserve">需认真填写本报价表，尤其注意规格型号的准确填写。</w:t>
      </w:r>
      <w:r/>
    </w:p>
    <w:p>
      <w:pPr>
        <w:pStyle w:val="968"/>
        <w:ind w:firstLine="352"/>
        <w:spacing w:line="440" w:lineRule="exact"/>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r>
      <w:r/>
    </w:p>
    <w:p>
      <w:pPr>
        <w:pStyle w:val="968"/>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68"/>
        <w:jc w:val="center"/>
        <w:spacing w:line="440" w:lineRule="exact"/>
        <w:rPr>
          <w:rFonts w:ascii="仿宋" w:hAnsi="仿宋" w:eastAsia="仿宋"/>
          <w:b/>
          <w:bCs/>
          <w:color w:val="auto"/>
          <w:sz w:val="32"/>
          <w:szCs w:val="32"/>
          <w:highlight w:val="none"/>
        </w:rPr>
      </w:pPr>
      <w:r>
        <w:rPr>
          <w:rFonts w:hint="eastAsia" w:ascii="仿宋" w:hAnsi="仿宋" w:eastAsia="仿宋"/>
          <w:b/>
          <w:color w:val="auto"/>
          <w:sz w:val="32"/>
          <w:highlight w:val="none"/>
        </w:rPr>
        <w:t xml:space="preserve">四、技术要求</w:t>
      </w:r>
      <w:r>
        <w:rPr>
          <w:rFonts w:hint="eastAsia" w:ascii="仿宋" w:hAnsi="仿宋" w:eastAsia="仿宋"/>
          <w:b/>
          <w:color w:val="auto"/>
          <w:sz w:val="32"/>
          <w:szCs w:val="32"/>
          <w:highlight w:val="none"/>
        </w:rPr>
        <w:t xml:space="preserve">响应</w:t>
      </w:r>
      <w:r>
        <w:rPr>
          <w:rFonts w:hint="eastAsia" w:ascii="仿宋" w:hAnsi="仿宋" w:eastAsia="仿宋"/>
          <w:b/>
          <w:color w:val="auto"/>
          <w:sz w:val="32"/>
          <w:highlight w:val="none"/>
        </w:rPr>
        <w:t xml:space="preserve">偏离表</w:t>
      </w:r>
      <w:r/>
    </w:p>
    <w:tbl>
      <w:tblPr>
        <w:tblStyle w:val="770"/>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pStyle w:val="1044"/>
              <w:ind w:left="332"/>
              <w:spacing w:before="273" w:line="218" w:lineRule="auto"/>
              <w:rPr>
                <w:rFonts w:hint="default" w:ascii="仿宋" w:hAnsi="仿宋" w:eastAsia="仿宋" w:cs="Arial"/>
                <w:color w:val="auto"/>
                <w:sz w:val="24"/>
                <w:highlight w:val="none"/>
              </w:rPr>
            </w:pPr>
            <w:r>
              <w:rPr>
                <w:color w:val="auto"/>
                <w:spacing w:val="-4"/>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pStyle w:val="1044"/>
              <w:ind w:left="360"/>
              <w:spacing w:before="115" w:line="218" w:lineRule="auto"/>
              <w:rPr>
                <w:rFonts w:hint="default"/>
                <w:color w:val="auto"/>
                <w:sz w:val="24"/>
                <w:szCs w:val="24"/>
                <w:highlight w:val="none"/>
              </w:rPr>
            </w:pPr>
            <w:r>
              <w:rPr>
                <w:color w:val="auto"/>
                <w:spacing w:val="-2"/>
                <w:sz w:val="24"/>
                <w:szCs w:val="24"/>
                <w:highlight w:val="none"/>
              </w:rPr>
              <w:t xml:space="preserve">项目采购需求中主要技术</w:t>
            </w:r>
            <w:r/>
          </w:p>
          <w:p>
            <w:pPr>
              <w:pStyle w:val="1044"/>
              <w:ind w:left="1202"/>
              <w:spacing w:before="28" w:line="219" w:lineRule="auto"/>
              <w:rPr>
                <w:rFonts w:hint="default" w:ascii="仿宋" w:hAnsi="仿宋" w:eastAsia="仿宋" w:cs="Arial"/>
                <w:color w:val="auto"/>
                <w:sz w:val="24"/>
                <w:highlight w:val="none"/>
              </w:rPr>
            </w:pPr>
            <w:r>
              <w:rPr>
                <w:color w:val="auto"/>
                <w:spacing w:val="-4"/>
                <w:sz w:val="24"/>
                <w:szCs w:val="24"/>
                <w:highlight w:val="none"/>
              </w:rPr>
              <w:t xml:space="preserve">条款描述</w:t>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pStyle w:val="1044"/>
              <w:ind w:left="261" w:right="3" w:hanging="240"/>
              <w:spacing w:before="115" w:line="241" w:lineRule="auto"/>
              <w:rPr>
                <w:rFonts w:hint="default" w:ascii="仿宋" w:hAnsi="仿宋" w:eastAsia="仿宋" w:cs="Arial"/>
                <w:color w:val="auto"/>
                <w:sz w:val="24"/>
                <w:highlight w:val="none"/>
              </w:rPr>
            </w:pPr>
            <w:r>
              <w:rPr>
                <w:color w:val="auto"/>
                <w:spacing w:val="-2"/>
                <w:sz w:val="24"/>
                <w:szCs w:val="24"/>
                <w:highlight w:val="none"/>
              </w:rPr>
              <w:t xml:space="preserve">所投产品规格、型号相应技术参数描述</w:t>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pStyle w:val="1044"/>
              <w:ind w:left="263"/>
              <w:spacing w:before="115" w:line="218" w:lineRule="auto"/>
              <w:rPr>
                <w:rFonts w:hint="default"/>
                <w:color w:val="auto"/>
                <w:sz w:val="24"/>
                <w:szCs w:val="24"/>
                <w:highlight w:val="none"/>
              </w:rPr>
            </w:pPr>
            <w:r>
              <w:rPr>
                <w:color w:val="auto"/>
                <w:spacing w:val="-5"/>
                <w:sz w:val="24"/>
                <w:szCs w:val="24"/>
                <w:highlight w:val="none"/>
              </w:rPr>
              <w:t xml:space="preserve">偏离</w:t>
            </w:r>
            <w:r/>
          </w:p>
          <w:p>
            <w:pPr>
              <w:pStyle w:val="1044"/>
              <w:ind w:left="268"/>
              <w:spacing w:before="28" w:line="218" w:lineRule="auto"/>
              <w:rPr>
                <w:rFonts w:hint="default" w:ascii="仿宋" w:hAnsi="仿宋" w:eastAsia="仿宋" w:cs="Arial"/>
                <w:color w:val="auto"/>
                <w:sz w:val="24"/>
                <w:highlight w:val="none"/>
              </w:rPr>
            </w:pPr>
            <w:r>
              <w:rPr>
                <w:color w:val="auto"/>
                <w:spacing w:val="-6"/>
                <w:sz w:val="24"/>
                <w:szCs w:val="24"/>
                <w:highlight w:val="none"/>
              </w:rPr>
              <w:t xml:space="preserve">情况</w:t>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pStyle w:val="1044"/>
              <w:ind w:left="332"/>
              <w:spacing w:before="273" w:line="220" w:lineRule="auto"/>
              <w:rPr>
                <w:rFonts w:hint="default" w:ascii="仿宋" w:hAnsi="仿宋" w:eastAsia="仿宋" w:cs="Arial"/>
                <w:color w:val="auto"/>
                <w:sz w:val="24"/>
                <w:highlight w:val="none"/>
              </w:rPr>
            </w:pPr>
            <w:r>
              <w:rPr>
                <w:color w:val="auto"/>
                <w:spacing w:val="-5"/>
                <w:sz w:val="24"/>
                <w:szCs w:val="24"/>
                <w:highlight w:val="none"/>
              </w:rPr>
              <w:t xml:space="preserve">备注</w:t>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r>
    </w:tbl>
    <w:p>
      <w:pPr>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）是否偏离用符号</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分别表示正偏离、完全响应、负偏离。</w:t>
      </w:r>
      <w:r>
        <w:rPr>
          <w:rFonts w:ascii="仿宋" w:hAnsi="仿宋" w:eastAsia="仿宋"/>
          <w:color w:val="auto"/>
          <w:sz w:val="28"/>
          <w:szCs w:val="28"/>
          <w:highlight w:val="none"/>
        </w:rPr>
        <w:t xml:space="preserve"> </w:t>
      </w:r>
      <w:r/>
    </w:p>
    <w:p>
      <w:pPr>
        <w:ind w:firstLine="420"/>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供应商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ascii="宋体" w:hAnsi="宋体"/>
          <w:bCs/>
          <w:color w:val="auto"/>
          <w:sz w:val="32"/>
          <w:highlight w:val="none"/>
        </w:rPr>
      </w:pPr>
      <w:r>
        <w:rPr>
          <w:rFonts w:ascii="宋体" w:hAnsi="宋体"/>
          <w:bCs/>
          <w:color w:val="auto"/>
          <w:sz w:val="32"/>
          <w:highlight w:val="none"/>
        </w:rPr>
      </w:r>
      <w:r/>
    </w:p>
    <w:p>
      <w:pPr>
        <w:pStyle w:val="966"/>
        <w:ind w:left="0" w:right="34" w:firstLine="2715"/>
        <w:spacing w:before="120" w:line="520" w:lineRule="exact"/>
        <w:rPr>
          <w:rFonts w:ascii="宋体" w:hAnsi="宋体"/>
          <w:b/>
          <w:color w:val="auto"/>
          <w:sz w:val="32"/>
          <w:szCs w:val="32"/>
          <w:highlight w:val="none"/>
        </w:rPr>
      </w:pPr>
      <w:r>
        <w:rPr>
          <w:rFonts w:ascii="宋体" w:hAnsi="宋体"/>
          <w:b/>
          <w:color w:val="auto"/>
          <w:sz w:val="32"/>
          <w:szCs w:val="32"/>
          <w:highlight w:val="none"/>
        </w:rPr>
      </w:r>
      <w:r/>
    </w:p>
    <w:p>
      <w:pPr>
        <w:pStyle w:val="966"/>
        <w:ind w:left="0" w:right="34" w:firstLine="2715"/>
        <w:spacing w:before="120" w:line="520" w:lineRule="exact"/>
        <w:rPr>
          <w:rFonts w:ascii="宋体" w:hAnsi="宋体"/>
          <w:b/>
          <w:color w:val="auto"/>
          <w:sz w:val="32"/>
          <w:szCs w:val="32"/>
          <w:highlight w:val="none"/>
        </w:rPr>
      </w:pPr>
      <w:r>
        <w:rPr>
          <w:rFonts w:ascii="宋体" w:hAnsi="宋体"/>
          <w:b/>
          <w:color w:val="auto"/>
          <w:sz w:val="32"/>
          <w:szCs w:val="32"/>
          <w:highlight w:val="none"/>
        </w:rPr>
      </w:r>
      <w:r/>
    </w:p>
    <w:p>
      <w:pPr>
        <w:pStyle w:val="966"/>
        <w:ind w:left="0" w:right="34" w:firstLine="2715"/>
        <w:spacing w:before="120" w:line="520" w:lineRule="exact"/>
        <w:rPr>
          <w:rFonts w:ascii="宋体" w:hAnsi="宋体"/>
          <w:b/>
          <w:color w:val="auto"/>
          <w:sz w:val="32"/>
          <w:szCs w:val="32"/>
          <w:highlight w:val="none"/>
        </w:rPr>
      </w:pPr>
      <w:r>
        <w:rPr>
          <w:rFonts w:ascii="宋体" w:hAnsi="宋体"/>
          <w:b/>
          <w:color w:val="auto"/>
          <w:sz w:val="32"/>
          <w:szCs w:val="32"/>
          <w:highlight w:val="none"/>
        </w:rPr>
      </w:r>
      <w:r/>
    </w:p>
    <w:p>
      <w:pPr>
        <w:pStyle w:val="966"/>
        <w:ind w:left="0" w:right="34" w:firstLine="2715"/>
        <w:spacing w:before="120" w:line="520" w:lineRule="exact"/>
        <w:rPr>
          <w:rFonts w:ascii="宋体" w:hAnsi="宋体"/>
          <w:b/>
          <w:color w:val="auto"/>
          <w:sz w:val="32"/>
          <w:szCs w:val="32"/>
          <w:highlight w:val="none"/>
        </w:rPr>
      </w:pPr>
      <w:r>
        <w:rPr>
          <w:rFonts w:ascii="宋体" w:hAnsi="宋体"/>
          <w:b/>
          <w:color w:val="auto"/>
          <w:sz w:val="32"/>
          <w:szCs w:val="32"/>
          <w:highlight w:val="none"/>
        </w:rPr>
      </w:r>
      <w:bookmarkEnd w:id="37"/>
      <w:r/>
    </w:p>
    <w:p>
      <w:pPr>
        <w:pStyle w:val="968"/>
        <w:ind w:firstLine="948"/>
        <w:spacing w:line="520" w:lineRule="exact"/>
        <w:rPr>
          <w:rFonts w:ascii="仿宋" w:hAnsi="仿宋" w:eastAsia="仿宋"/>
          <w:b/>
          <w:bCs/>
          <w:color w:val="auto"/>
          <w:sz w:val="32"/>
          <w:highlight w:val="none"/>
        </w:rPr>
      </w:pPr>
      <w:r>
        <w:rPr>
          <w:rFonts w:ascii="仿宋" w:hAnsi="仿宋" w:eastAsia="仿宋"/>
          <w:b/>
          <w:bCs/>
          <w:color w:val="auto"/>
          <w:sz w:val="32"/>
          <w:highlight w:val="none"/>
        </w:rPr>
      </w:r>
      <w:r/>
    </w:p>
    <w:p>
      <w:pPr>
        <w:pStyle w:val="968"/>
        <w:ind w:firstLine="948"/>
        <w:spacing w:line="520" w:lineRule="exact"/>
        <w:rPr>
          <w:rFonts w:ascii="仿宋" w:hAnsi="仿宋" w:eastAsia="仿宋"/>
          <w:b/>
          <w:bCs/>
          <w:color w:val="auto"/>
          <w:sz w:val="32"/>
          <w:szCs w:val="32"/>
          <w:highlight w:val="none"/>
        </w:rPr>
      </w:pPr>
      <w:r>
        <w:rPr>
          <w:rFonts w:hint="eastAsia" w:ascii="仿宋" w:hAnsi="仿宋" w:eastAsia="仿宋"/>
          <w:b/>
          <w:bCs/>
          <w:color w:val="auto"/>
          <w:sz w:val="32"/>
          <w:highlight w:val="none"/>
        </w:rPr>
        <w:t xml:space="preserve">五、</w:t>
      </w:r>
      <w:r>
        <w:rPr>
          <w:rFonts w:hint="eastAsia" w:ascii="仿宋" w:hAnsi="仿宋" w:eastAsia="仿宋"/>
          <w:b/>
          <w:color w:val="auto"/>
          <w:sz w:val="32"/>
          <w:szCs w:val="32"/>
          <w:highlight w:val="none"/>
        </w:rPr>
        <w:t xml:space="preserve">资质审查时</w:t>
      </w:r>
      <w:r>
        <w:rPr>
          <w:rFonts w:hint="eastAsia" w:ascii="仿宋" w:hAnsi="仿宋" w:eastAsia="仿宋"/>
          <w:b/>
          <w:bCs/>
          <w:color w:val="auto"/>
          <w:sz w:val="32"/>
          <w:szCs w:val="32"/>
          <w:highlight w:val="none"/>
        </w:rPr>
        <w:t xml:space="preserve">供应商必须提供的资格证明文件</w:t>
      </w:r>
      <w:r/>
    </w:p>
    <w:p>
      <w:pPr>
        <w:pStyle w:val="968"/>
        <w:ind w:firstLine="551"/>
        <w:spacing w:line="520" w:lineRule="exact"/>
        <w:rPr>
          <w:rFonts w:ascii="仿宋" w:hAnsi="仿宋" w:eastAsia="仿宋"/>
          <w:b/>
          <w:bCs/>
          <w:color w:val="auto"/>
          <w:sz w:val="32"/>
          <w:szCs w:val="32"/>
          <w:highlight w:val="none"/>
        </w:rPr>
      </w:pPr>
      <w:r>
        <w:rPr>
          <w:rFonts w:hint="eastAsia" w:ascii="仿宋" w:hAnsi="仿宋" w:eastAsia="仿宋"/>
          <w:color w:val="auto"/>
          <w:sz w:val="28"/>
          <w:szCs w:val="28"/>
          <w:highlight w:val="none"/>
        </w:rPr>
        <w:t xml:space="preserve">1.提供下列材料之一：</w:t>
      </w:r>
      <w:r/>
    </w:p>
    <w:p>
      <w:pPr>
        <w:ind w:firstLine="42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（1）供应商</w:t>
      </w:r>
      <w:r>
        <w:rPr>
          <w:rFonts w:hint="eastAsia" w:ascii="仿宋" w:hAnsi="仿宋" w:eastAsia="仿宋"/>
          <w:color w:val="auto"/>
          <w:sz w:val="28"/>
          <w:szCs w:val="28"/>
          <w:highlight w:val="none"/>
        </w:rPr>
        <w:t xml:space="preserve">提供</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（格式详见示范格式一）和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（2）供应商提供授权委托书（格式详见示范格式二）和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700"/>
        <w:spacing w:line="520" w:lineRule="exact"/>
        <w:rPr>
          <w:rFonts w:ascii="仿宋" w:hAnsi="仿宋" w:eastAsia="仿宋"/>
          <w:color w:val="auto"/>
          <w:sz w:val="28"/>
          <w:highlight w:val="none"/>
          <w:lang w:val="zh-CN"/>
        </w:rPr>
      </w:pPr>
      <w:r>
        <w:rPr>
          <w:rFonts w:hint="eastAsia" w:ascii="仿宋" w:hAnsi="仿宋" w:eastAsia="仿宋"/>
          <w:color w:val="auto"/>
          <w:sz w:val="28"/>
          <w:highlight w:val="none"/>
        </w:rPr>
        <w:t xml:space="preserve">2.供应商符合《中华人民共和国政府采购法》第二十二条规定条件的承诺函</w:t>
      </w:r>
      <w:r>
        <w:rPr>
          <w:rFonts w:hint="eastAsia" w:ascii="仿宋" w:hAnsi="仿宋" w:eastAsia="仿宋"/>
          <w:color w:val="auto"/>
          <w:sz w:val="28"/>
          <w:highlight w:val="none"/>
          <w:lang w:val="zh-CN"/>
        </w:rPr>
        <w:t xml:space="preserve">（</w:t>
      </w:r>
      <w:r>
        <w:rPr>
          <w:rFonts w:hint="eastAsia" w:ascii="仿宋" w:hAnsi="仿宋" w:eastAsia="仿宋"/>
          <w:color w:val="auto"/>
          <w:sz w:val="28"/>
          <w:highlight w:val="none"/>
        </w:rPr>
        <w:t xml:space="preserve">格式详见示范格式三</w:t>
      </w:r>
      <w:r>
        <w:rPr>
          <w:rFonts w:hint="eastAsia" w:ascii="仿宋" w:hAnsi="仿宋" w:eastAsia="仿宋"/>
          <w:color w:val="auto"/>
          <w:sz w:val="28"/>
          <w:highlight w:val="none"/>
          <w:lang w:val="zh-CN"/>
        </w:rPr>
        <w:t xml:space="preserve">）；</w:t>
      </w:r>
      <w:r/>
    </w:p>
    <w:p>
      <w:pPr>
        <w:ind w:firstLine="70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3.拒绝下述条件的供应商参加本次采购活动：</w:t>
      </w:r>
      <w:r/>
    </w:p>
    <w:p>
      <w:pPr>
        <w:ind w:firstLine="70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（1）投标单位负责人为同一人或者存在直接控股、管理关系的不同供应商，不得同时参加同一合同项下的政府采购活动。（详见承诺书格式，加盖CA电子签章）</w:t>
      </w:r>
      <w:r/>
    </w:p>
    <w:p>
      <w:pPr>
        <w:ind w:firstLine="70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（2）凡为采购项目提供整体设计、规范编制或者项目管理、监理、检测等服务的供应商，不得再参加本项目的采购活动。（详见承诺书格式，加盖CA电子签章）</w:t>
      </w:r>
      <w:r/>
    </w:p>
    <w:p>
      <w:pPr>
        <w:ind w:firstLine="70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3）供应商被“信用中国”网站、“中国政府采购网”列入失信被执行人、重大税收违法案件当事人名单、政府采购严重违法失信行为记录名单。（详见承诺书格式，提供承诺书和开标时间前网页截图证明加盖CA电子签章）</w:t>
      </w:r>
      <w:r/>
    </w:p>
    <w:p>
      <w:pPr>
        <w:ind w:firstLine="70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4.</w:t>
      </w:r>
      <w:r>
        <w:rPr>
          <w:rFonts w:hint="eastAsia" w:ascii="仿宋" w:hAnsi="仿宋" w:eastAsia="仿宋" w:cs="仿宋"/>
          <w:color w:val="auto"/>
          <w:spacing w:val="-1"/>
          <w:sz w:val="28"/>
          <w:szCs w:val="28"/>
          <w:highlight w:val="none"/>
        </w:rPr>
        <w:t xml:space="preserve">供应商</w:t>
      </w:r>
      <w:r>
        <w:rPr>
          <w:rFonts w:ascii="仿宋" w:hAnsi="仿宋" w:eastAsia="仿宋" w:cs="仿宋"/>
          <w:color w:val="auto"/>
          <w:spacing w:val="-1"/>
          <w:sz w:val="28"/>
          <w:szCs w:val="28"/>
          <w:highlight w:val="none"/>
        </w:rPr>
        <w:t xml:space="preserve">如实提供承诺书（格式详见示范格式</w:t>
      </w:r>
      <w:r>
        <w:rPr>
          <w:rFonts w:hint="eastAsia" w:ascii="仿宋" w:hAnsi="仿宋" w:eastAsia="仿宋" w:cs="仿宋"/>
          <w:color w:val="auto"/>
          <w:spacing w:val="-1"/>
          <w:sz w:val="28"/>
          <w:szCs w:val="28"/>
          <w:highlight w:val="none"/>
          <w:lang w:val="en-US" w:eastAsia="zh-CN"/>
        </w:rPr>
        <w:t xml:space="preserve">四、</w:t>
      </w:r>
      <w:r>
        <w:rPr>
          <w:rFonts w:ascii="仿宋" w:hAnsi="仿宋" w:eastAsia="仿宋" w:cs="仿宋"/>
          <w:color w:val="auto"/>
          <w:spacing w:val="-1"/>
          <w:sz w:val="28"/>
          <w:szCs w:val="28"/>
          <w:highlight w:val="none"/>
        </w:rPr>
        <w:t xml:space="preserve">示范格式</w:t>
      </w:r>
      <w:r>
        <w:rPr>
          <w:rFonts w:hint="eastAsia" w:ascii="仿宋" w:hAnsi="仿宋" w:eastAsia="仿宋" w:cs="仿宋"/>
          <w:color w:val="auto"/>
          <w:spacing w:val="-1"/>
          <w:sz w:val="28"/>
          <w:szCs w:val="28"/>
          <w:highlight w:val="none"/>
        </w:rPr>
        <w:t xml:space="preserve">五</w:t>
      </w:r>
      <w:r>
        <w:rPr>
          <w:rFonts w:ascii="仿宋" w:hAnsi="仿宋" w:eastAsia="仿宋" w:cs="仿宋"/>
          <w:color w:val="auto"/>
          <w:spacing w:val="-1"/>
          <w:sz w:val="28"/>
          <w:szCs w:val="28"/>
          <w:highlight w:val="none"/>
        </w:rPr>
        <w:t xml:space="preserve">，必须提供）。</w:t>
      </w:r>
      <w:r/>
    </w:p>
    <w:p>
      <w:pPr>
        <w:ind w:firstLine="70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lang w:val="en-US" w:eastAsia="zh-CN"/>
        </w:rPr>
        <w:t xml:space="preserve">5.</w:t>
      </w:r>
      <w:r>
        <w:rPr>
          <w:rFonts w:hint="eastAsia" w:ascii="仿宋" w:hAnsi="仿宋" w:eastAsia="仿宋"/>
          <w:color w:val="auto"/>
          <w:sz w:val="28"/>
          <w:highlight w:val="none"/>
        </w:rPr>
        <w:t xml:space="preserve">落实政府采购政策需满足的资格要求（提供下列任一项材料即可，非专门面向中小企业或者预留份额的采购项目，本项无需提供） :</w:t>
      </w:r>
      <w:r/>
    </w:p>
    <w:p>
      <w:pPr>
        <w:ind w:firstLine="70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（1）企业声明函（详见示范格式</w:t>
      </w:r>
      <w:r>
        <w:rPr>
          <w:rFonts w:hint="eastAsia" w:ascii="仿宋" w:hAnsi="仿宋" w:eastAsia="仿宋"/>
          <w:color w:val="auto"/>
          <w:sz w:val="28"/>
          <w:highlight w:val="none"/>
          <w:lang w:val="en-US" w:eastAsia="zh-CN"/>
        </w:rPr>
        <w:t xml:space="preserve">六</w:t>
      </w:r>
      <w:r>
        <w:rPr>
          <w:rFonts w:hint="eastAsia" w:ascii="仿宋" w:hAnsi="仿宋" w:eastAsia="仿宋"/>
          <w:color w:val="auto"/>
          <w:sz w:val="28"/>
          <w:highlight w:val="none"/>
        </w:rPr>
        <w:t xml:space="preserve">）；</w:t>
      </w:r>
      <w:r/>
    </w:p>
    <w:p>
      <w:pPr>
        <w:ind w:firstLine="70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（2）《残疾人福利性单位声明函》（详见示范格式</w:t>
      </w:r>
      <w:r>
        <w:rPr>
          <w:rFonts w:hint="eastAsia" w:ascii="仿宋" w:hAnsi="仿宋" w:eastAsia="仿宋"/>
          <w:color w:val="auto"/>
          <w:sz w:val="28"/>
          <w:highlight w:val="none"/>
          <w:lang w:val="en-US" w:eastAsia="zh-CN"/>
        </w:rPr>
        <w:t xml:space="preserve">七</w:t>
      </w:r>
      <w:r>
        <w:rPr>
          <w:rFonts w:hint="eastAsia" w:ascii="仿宋" w:hAnsi="仿宋" w:eastAsia="仿宋"/>
          <w:color w:val="auto"/>
          <w:sz w:val="28"/>
          <w:highlight w:val="none"/>
        </w:rPr>
        <w:t xml:space="preserve">）；</w:t>
      </w:r>
      <w:r/>
    </w:p>
    <w:p>
      <w:pPr>
        <w:ind w:firstLine="70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（3）由省级以上监狱管理局、戒毒管理局（含新疆生产建设兵团） 出具的属于监狱企业的证明文件）（加盖出具单位公章的电子件）。</w:t>
      </w:r>
      <w:r/>
    </w:p>
    <w:p>
      <w:pPr>
        <w:ind w:firstLine="157"/>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left"/>
        <w:widowControl/>
        <w:rPr>
          <w:rFonts w:ascii="宋体" w:hAnsi="宋体" w:cs="Arial"/>
          <w:b/>
          <w:bCs/>
          <w:color w:val="auto"/>
          <w:sz w:val="32"/>
          <w:highlight w:val="none"/>
        </w:rPr>
      </w:pPr>
      <w:r>
        <w:rPr>
          <w:rFonts w:ascii="宋体" w:hAnsi="宋体" w:cs="Arial"/>
          <w:b/>
          <w:bCs/>
          <w:color w:val="auto"/>
          <w:sz w:val="32"/>
          <w:highlight w:val="none"/>
        </w:rPr>
      </w:r>
      <w:r/>
    </w:p>
    <w:p>
      <w:pPr>
        <w:ind w:firstLine="1428"/>
        <w:jc w:val="left"/>
        <w:spacing w:line="520" w:lineRule="exact"/>
        <w:widowControl/>
        <w:rPr>
          <w:rFonts w:ascii="仿宋" w:hAnsi="仿宋" w:eastAsia="仿宋" w:cs="Arial"/>
          <w:b/>
          <w:bCs/>
          <w:color w:val="auto"/>
          <w:sz w:val="32"/>
          <w:highlight w:val="none"/>
        </w:rPr>
      </w:pPr>
      <w:r>
        <w:rPr>
          <w:rFonts w:ascii="宋体" w:hAnsi="宋体"/>
          <w:b/>
          <w:color w:val="auto"/>
          <w:sz w:val="36"/>
          <w:highlight w:val="none"/>
        </w:rPr>
        <w:br w:type="page" w:clear="all"/>
      </w:r>
      <w:bookmarkStart w:id="38" w:name="_Toc157775454"/>
      <w:r>
        <w:rPr>
          <w:rFonts w:hint="eastAsia" w:ascii="仿宋" w:hAnsi="仿宋" w:eastAsia="仿宋" w:cs="Arial"/>
          <w:b/>
          <w:bCs/>
          <w:color w:val="auto"/>
          <w:sz w:val="32"/>
          <w:highlight w:val="none"/>
        </w:rPr>
        <w:t xml:space="preserve">六、综合评分时供应商需提供的证明文件</w:t>
      </w:r>
      <w:r/>
    </w:p>
    <w:p>
      <w:pPr>
        <w:ind w:firstLine="840"/>
        <w:spacing w:line="52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（供应商根据第三章评标标准的要求提供相关材料）</w:t>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1269"/>
        <w:jc w:val="left"/>
        <w:spacing w:line="520" w:lineRule="exact"/>
        <w:widowControl/>
        <w:rPr>
          <w:rFonts w:ascii="仿宋" w:hAnsi="仿宋" w:eastAsia="仿宋" w:cs="Arial"/>
          <w:b/>
          <w:bCs/>
          <w:color w:val="auto"/>
          <w:sz w:val="32"/>
          <w:highlight w:val="none"/>
        </w:rPr>
      </w:pPr>
      <w:r>
        <w:rPr>
          <w:rFonts w:hint="eastAsia" w:ascii="仿宋" w:hAnsi="仿宋" w:eastAsia="仿宋" w:cs="Arial"/>
          <w:b/>
          <w:bCs/>
          <w:color w:val="auto"/>
          <w:sz w:val="32"/>
          <w:highlight w:val="none"/>
        </w:rPr>
        <w:t xml:space="preserve">七、供应商认为有必要提供并说明的其他资料</w:t>
      </w:r>
      <w:r/>
    </w:p>
    <w:p>
      <w:pPr>
        <w:ind w:firstLine="1400"/>
        <w:spacing w:line="52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（格式由供应商自定、加盖供应商电子签章。）</w:t>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jc w:val="center"/>
        <w:spacing w:line="44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八、示范格式</w:t>
      </w:r>
      <w:r/>
    </w:p>
    <w:p>
      <w:pPr>
        <w:spacing w:line="44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r/>
    </w:p>
    <w:p>
      <w:pPr>
        <w:ind w:firstLine="2570"/>
        <w:spacing w:line="440" w:lineRule="exact"/>
        <w:rPr>
          <w:rFonts w:ascii="仿宋" w:hAnsi="仿宋" w:eastAsia="仿宋" w:cs="Arial"/>
          <w:b/>
          <w:bCs/>
          <w:color w:val="auto"/>
          <w:sz w:val="32"/>
          <w:highlight w:val="none"/>
        </w:rPr>
      </w:pPr>
      <w:r>
        <w:rPr>
          <w:rFonts w:ascii="仿宋" w:hAnsi="仿宋" w:eastAsia="仿宋" w:cs="Arial"/>
          <w:b/>
          <w:bCs/>
          <w:color w:val="auto"/>
          <w:sz w:val="32"/>
          <w:highlight w:val="none"/>
        </w:rPr>
      </w:r>
      <w:bookmarkEnd w:id="38"/>
      <w:r/>
    </w:p>
    <w:p>
      <w:pPr>
        <w:ind w:firstLine="2891"/>
        <w:spacing w:line="640" w:lineRule="exact"/>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（供应商单位名称）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r>
      <w:r/>
    </w:p>
    <w:p>
      <w:pPr>
        <w:ind w:firstLine="280"/>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1027"/>
        <w:ind w:left="4760" w:right="560" w:hanging="1820"/>
        <w:spacing w:before="0" w:after="0" w:line="52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ascii="仿宋" w:hAnsi="仿宋" w:eastAsia="仿宋"/>
          <w:bCs/>
          <w:color w:val="auto"/>
          <w:sz w:val="28"/>
          <w:szCs w:val="28"/>
          <w:highlight w:val="none"/>
        </w:rPr>
      </w:pPr>
      <w:r>
        <w:rPr>
          <w:rFonts w:hint="eastAsia" w:ascii="仿宋" w:hAnsi="仿宋" w:eastAsia="仿宋"/>
          <w:bCs/>
          <w:color w:val="auto"/>
          <w:sz w:val="28"/>
          <w:highlight w:val="none"/>
        </w:rPr>
        <w:t xml:space="preserve">注：供应商法定代表人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身份证扫描件加盖供应商电子签章。</w:t>
      </w:r>
      <w:r>
        <w:rPr>
          <w:rFonts w:hint="eastAsia" w:ascii="仿宋" w:hAnsi="仿宋" w:eastAsia="仿宋"/>
          <w:color w:val="auto"/>
          <w:sz w:val="28"/>
          <w:szCs w:val="28"/>
          <w:highlight w:val="none"/>
        </w:rPr>
        <w:t xml:space="preserve">法定代表人授权其他人参加投标的，仅需填写“授权委托书”。</w:t>
      </w:r>
      <w:r/>
    </w:p>
    <w:p>
      <w:pPr>
        <w:ind w:left="-359" w:firstLine="357"/>
        <w:spacing w:line="640" w:lineRule="exact"/>
        <w:rPr>
          <w:rFonts w:ascii="仿宋" w:hAnsi="仿宋" w:eastAsia="仿宋"/>
          <w:b/>
          <w:color w:val="auto"/>
          <w:sz w:val="32"/>
          <w:highlight w:val="none"/>
        </w:rPr>
      </w:pPr>
      <w:r>
        <w:rPr>
          <w:rFonts w:ascii="仿宋" w:hAnsi="仿宋" w:eastAsia="仿宋"/>
          <w:b/>
          <w:color w:val="auto"/>
          <w:sz w:val="32"/>
          <w:highlight w:val="none"/>
        </w:rPr>
      </w:r>
      <w:r/>
    </w:p>
    <w:p>
      <w:pPr>
        <w:ind w:left="-359" w:firstLine="357"/>
        <w:spacing w:line="640" w:lineRule="exact"/>
        <w:rPr>
          <w:rFonts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213"/>
        <w:spacing w:line="520" w:lineRule="exact"/>
        <w:rPr>
          <w:rFonts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spacing w:line="520" w:lineRule="exact"/>
        <w:rPr>
          <w:rFonts w:ascii="仿宋" w:hAnsi="仿宋" w:eastAsia="仿宋"/>
          <w:bCs/>
          <w:color w:val="auto"/>
          <w:sz w:val="30"/>
          <w:szCs w:val="28"/>
          <w:highlight w:val="none"/>
        </w:rPr>
      </w:pPr>
      <w:r>
        <w:rPr>
          <w:rFonts w:hint="eastAsia" w:ascii="仿宋" w:hAnsi="仿宋" w:eastAsia="仿宋"/>
          <w:bCs/>
          <w:color w:val="auto"/>
          <w:sz w:val="30"/>
          <w:szCs w:val="28"/>
          <w:highlight w:val="none"/>
        </w:rPr>
        <w:t xml:space="preserve">致</w:t>
      </w:r>
      <w:r>
        <w:rPr>
          <w:rFonts w:hint="eastAsia" w:ascii="仿宋" w:hAnsi="仿宋" w:eastAsia="仿宋"/>
          <w:bCs/>
          <w:color w:val="auto"/>
          <w:sz w:val="30"/>
          <w:szCs w:val="28"/>
          <w:highlight w:val="none"/>
          <w:lang w:eastAsia="zh-CN"/>
        </w:rPr>
        <w:t xml:space="preserve">淮安市淮阴区发展和改革委员会</w:t>
      </w:r>
      <w:r>
        <w:rPr>
          <w:rFonts w:hint="eastAsia" w:ascii="仿宋" w:hAnsi="仿宋" w:eastAsia="仿宋"/>
          <w:bCs/>
          <w:color w:val="auto"/>
          <w:sz w:val="30"/>
          <w:szCs w:val="28"/>
          <w:highlight w:val="none"/>
        </w:rPr>
        <w:t xml:space="preserve">：</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淮安市淮阴区发展和改革委员会</w:t>
      </w:r>
      <w:r>
        <w:rPr>
          <w:rFonts w:hint="eastAsia" w:ascii="仿宋" w:hAnsi="仿宋" w:eastAsia="仿宋"/>
          <w:color w:val="auto"/>
          <w:sz w:val="28"/>
          <w:szCs w:val="28"/>
          <w:highlight w:val="none"/>
        </w:rPr>
        <w:t xml:space="preserve">组织的（</w:t>
      </w:r>
      <w:r>
        <w:rPr>
          <w:rFonts w:hint="eastAsia" w:ascii="仿宋" w:hAnsi="仿宋" w:eastAsia="仿宋"/>
          <w:color w:val="auto"/>
          <w:sz w:val="28"/>
          <w:szCs w:val="28"/>
          <w:highlight w:val="none"/>
          <w:lang w:eastAsia="zh-CN"/>
        </w:rPr>
        <w:t xml:space="preserve">项目编号：JSZC-320804-YCGS-G2026-0009</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spacing w:line="520" w:lineRule="exact"/>
        <w:rPr>
          <w:rFonts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spacing w:line="520" w:lineRule="exact"/>
        <w:rPr>
          <w:rFonts w:ascii="仿宋" w:hAnsi="仿宋" w:eastAsia="仿宋"/>
          <w:b/>
          <w:color w:val="auto"/>
          <w:sz w:val="28"/>
          <w:szCs w:val="28"/>
          <w:highlight w:val="none"/>
        </w:rPr>
      </w:pPr>
      <w:r>
        <w:rPr>
          <w:rFonts w:ascii="仿宋" w:hAnsi="仿宋" w:eastAsia="仿宋"/>
          <w:b/>
          <w:color w:val="auto"/>
          <w:sz w:val="28"/>
          <w:szCs w:val="28"/>
          <w:highlight w:val="none"/>
        </w:rPr>
      </w:r>
      <w:r/>
    </w:p>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rPr>
          <w:rFonts w:ascii="仿宋" w:hAnsi="仿宋" w:eastAsia="仿宋"/>
          <w:bCs/>
          <w:color w:val="auto"/>
          <w:sz w:val="28"/>
          <w:highlight w:val="none"/>
        </w:rPr>
      </w:pPr>
      <w:r>
        <w:rPr>
          <w:rFonts w:ascii="仿宋" w:hAnsi="仿宋" w:eastAsia="仿宋"/>
          <w:bCs/>
          <w:color w:val="auto"/>
          <w:sz w:val="28"/>
          <w:highlight w:val="none"/>
        </w:rPr>
      </w:r>
      <w:r/>
    </w:p>
    <w:p>
      <w:pPr>
        <w:ind w:firstLine="560"/>
        <w:spacing w:line="520" w:lineRule="exact"/>
        <w:rPr>
          <w:rFonts w:ascii="仿宋" w:hAnsi="仿宋" w:eastAsia="仿宋"/>
          <w:color w:val="auto"/>
          <w:sz w:val="28"/>
          <w:szCs w:val="28"/>
          <w:highlight w:val="none"/>
        </w:rPr>
      </w:pPr>
      <w:r>
        <w:rPr>
          <w:rFonts w:hint="eastAsia" w:ascii="仿宋" w:hAnsi="仿宋" w:eastAsia="仿宋"/>
          <w:bCs/>
          <w:color w:val="auto"/>
          <w:sz w:val="28"/>
          <w:highlight w:val="none"/>
        </w:rPr>
        <w:t xml:space="preserve">注：供应商委托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件加盖供应商电子签章。</w:t>
      </w:r>
      <w:r>
        <w:rPr>
          <w:rFonts w:hint="eastAsia" w:ascii="仿宋" w:hAnsi="仿宋" w:eastAsia="仿宋"/>
          <w:color w:val="auto"/>
          <w:sz w:val="28"/>
          <w:szCs w:val="28"/>
          <w:highlight w:val="none"/>
        </w:rPr>
        <w:t xml:space="preserve">法定代表人直接参加投标的，仅需填写“法定代表人资格证明”。</w:t>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jc w:val="center"/>
        <w:spacing w:line="520" w:lineRule="exact"/>
        <w:rPr>
          <w:rFonts w:ascii="仿宋" w:hAnsi="仿宋" w:eastAsia="仿宋"/>
          <w:b/>
          <w:bCs/>
          <w:color w:val="auto"/>
          <w:sz w:val="32"/>
          <w:highlight w:val="none"/>
        </w:rPr>
      </w:pPr>
      <w:r>
        <w:rPr>
          <w:rFonts w:hint="eastAsia" w:ascii="仿宋" w:hAnsi="仿宋" w:eastAsia="仿宋"/>
          <w:b/>
          <w:bCs/>
          <w:color w:val="auto"/>
          <w:sz w:val="32"/>
          <w:highlight w:val="none"/>
        </w:rPr>
        <w:t xml:space="preserve">符合《中华人民共和国政府采购法》第二十二条规定条件的声明函</w:t>
      </w:r>
      <w:r/>
    </w:p>
    <w:p>
      <w:pPr>
        <w:pStyle w:val="957"/>
        <w:ind w:firstLine="0"/>
        <w:spacing w:line="7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淮安市淮阴区发展和改革委员会</w:t>
      </w:r>
      <w:r>
        <w:rPr>
          <w:rFonts w:hint="eastAsia" w:ascii="仿宋" w:hAnsi="仿宋" w:eastAsia="仿宋"/>
          <w:bCs/>
          <w:color w:val="auto"/>
          <w:sz w:val="28"/>
          <w:szCs w:val="28"/>
          <w:highlight w:val="none"/>
        </w:rPr>
        <w:t xml:space="preserve">：</w:t>
      </w:r>
      <w:r/>
    </w:p>
    <w:p>
      <w:pPr>
        <w:ind w:firstLine="84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我公司参加贵中心组织实施的（</w:t>
      </w:r>
      <w:r>
        <w:rPr>
          <w:rFonts w:hint="eastAsia" w:ascii="仿宋" w:hAnsi="仿宋" w:eastAsia="仿宋"/>
          <w:color w:val="auto"/>
          <w:sz w:val="28"/>
          <w:szCs w:val="28"/>
          <w:highlight w:val="none"/>
          <w:lang w:eastAsia="zh-CN"/>
        </w:rPr>
        <w:t xml:space="preserve">项目编号：JSZC-320804-YCGS-G2026-0009</w:t>
      </w:r>
      <w:r>
        <w:rPr>
          <w:rFonts w:hint="eastAsia" w:ascii="仿宋" w:hAnsi="仿宋" w:eastAsia="仿宋"/>
          <w:color w:val="auto"/>
          <w:sz w:val="28"/>
          <w:szCs w:val="28"/>
          <w:highlight w:val="none"/>
        </w:rPr>
        <w:t xml:space="preserve"> ）</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1.我单位具有独立承担民事责任的能力。</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2.我单位具有良好的商业信誉和健全的财务会计制度。</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3.我单位具有履行合同所必需的设备和专业技术能力。</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6.我单位满足法律、行政法规规定的其他条件。</w:t>
      </w:r>
      <w:r/>
    </w:p>
    <w:p>
      <w:pPr>
        <w:spacing w:line="52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2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jc w:val="right"/>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olor w:val="auto"/>
          <w:sz w:val="28"/>
          <w:szCs w:val="28"/>
          <w:highlight w:val="none"/>
        </w:rPr>
        <w:t xml:space="preserve">承诺人：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ascii="仿宋" w:hAnsi="仿宋" w:eastAsia="仿宋" w:cs="楷体_GB2312"/>
          <w:color w:val="auto"/>
          <w:sz w:val="28"/>
          <w:szCs w:val="28"/>
          <w:highlight w:val="none"/>
          <w:lang w:val="en-US"/>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hint="eastAsia" w:ascii="仿宋" w:hAnsi="仿宋" w:eastAsia="仿宋" w:cs="楷体_GB2312"/>
          <w:color w:val="auto"/>
          <w:sz w:val="28"/>
          <w:szCs w:val="28"/>
          <w:highlight w:val="none"/>
          <w:lang w:val="en-US"/>
        </w:rPr>
        <w:t xml:space="preserve">：</w:t>
      </w:r>
      <w:r>
        <w:rPr>
          <w:rFonts w:ascii="仿宋" w:hAnsi="仿宋" w:eastAsia="仿宋" w:cs="楷体_GB2312"/>
          <w:color w:val="auto"/>
          <w:sz w:val="28"/>
          <w:szCs w:val="28"/>
          <w:highlight w:val="none"/>
          <w:u w:val="single"/>
          <w:lang w:val="en-US"/>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en-US"/>
        </w:rPr>
        <w:t xml:space="preserve"> </w:t>
      </w:r>
      <w:r>
        <w:rPr>
          <w:rFonts w:ascii="仿宋" w:hAnsi="仿宋" w:eastAsia="仿宋" w:cs="楷体_GB2312"/>
          <w:color w:val="auto"/>
          <w:sz w:val="28"/>
          <w:szCs w:val="28"/>
          <w:highlight w:val="none"/>
          <w:u w:val="single"/>
          <w:lang w:val="en-US"/>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en-US"/>
        </w:rPr>
        <w:t xml:space="preserve">   </w:t>
      </w:r>
      <w:r>
        <w:rPr>
          <w:rFonts w:hint="eastAsia" w:ascii="仿宋" w:hAnsi="仿宋" w:eastAsia="仿宋" w:cs="楷体_GB2312"/>
          <w:color w:val="auto"/>
          <w:sz w:val="28"/>
          <w:szCs w:val="28"/>
          <w:highlight w:val="none"/>
          <w:u w:val="single"/>
          <w:lang w:val="en-US"/>
        </w:rPr>
        <w:t xml:space="preserve">  </w:t>
      </w:r>
      <w:r>
        <w:rPr>
          <w:rFonts w:ascii="仿宋" w:hAnsi="仿宋" w:eastAsia="仿宋" w:cs="楷体_GB2312"/>
          <w:color w:val="auto"/>
          <w:sz w:val="28"/>
          <w:szCs w:val="28"/>
          <w:highlight w:val="none"/>
          <w:u w:val="single"/>
          <w:lang w:val="en-US"/>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tabs>
          <w:tab w:val="left" w:pos="2248" w:leader="none"/>
        </w:tabs>
        <w:rPr>
          <w:rFonts w:ascii="仿宋" w:hAnsi="仿宋" w:eastAsia="仿宋"/>
          <w:b/>
          <w:color w:val="auto"/>
          <w:sz w:val="32"/>
          <w:szCs w:val="32"/>
          <w:highlight w:val="none"/>
        </w:rPr>
      </w:pPr>
      <w:r>
        <w:rPr>
          <w:rFonts w:hint="eastAsia" w:ascii="仿宋" w:hAnsi="仿宋" w:eastAsia="仿宋"/>
          <w:b/>
          <w:color w:val="auto"/>
          <w:sz w:val="32"/>
          <w:szCs w:val="32"/>
          <w:highlight w:val="none"/>
        </w:rPr>
        <w:tab/>
      </w:r>
      <w:r>
        <w:rPr>
          <w:rFonts w:hint="eastAsia" w:ascii="仿宋" w:hAnsi="仿宋" w:eastAsia="仿宋"/>
          <w:b/>
          <w:color w:val="auto"/>
          <w:sz w:val="32"/>
          <w:szCs w:val="32"/>
          <w:highlight w:val="none"/>
        </w:rPr>
        <w:tab/>
      </w:r>
      <w:r/>
    </w:p>
    <w:p>
      <w:pPr>
        <w:jc w:val="lef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示范格式四</w:t>
      </w:r>
      <w:r/>
    </w:p>
    <w:p>
      <w:pPr>
        <w:ind w:hanging="6"/>
        <w:jc w:val="center"/>
        <w:spacing w:line="64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承诺书（格式）</w:t>
      </w:r>
      <w:r/>
    </w:p>
    <w:p>
      <w:pPr>
        <w:ind w:hanging="6"/>
        <w:spacing w:line="520" w:lineRule="atLeast"/>
        <w:rPr>
          <w:rFonts w:ascii="仿宋" w:hAnsi="仿宋" w:eastAsia="仿宋" w:cs="仿宋"/>
          <w:b/>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color w:val="auto"/>
          <w:sz w:val="28"/>
          <w:szCs w:val="28"/>
          <w:highlight w:val="none"/>
          <w:u w:val="single"/>
        </w:rPr>
        <w:t xml:space="preserve">（采购人）</w:t>
      </w:r>
      <w:r/>
    </w:p>
    <w:p>
      <w:pPr>
        <w:ind w:hanging="6"/>
        <w:spacing w:line="520" w:lineRule="atLeas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我方在</w:t>
      </w:r>
      <w:r>
        <w:rPr>
          <w:rFonts w:hint="eastAsia" w:ascii="仿宋" w:hAnsi="仿宋" w:eastAsia="仿宋" w:cs="仿宋"/>
          <w:bCs/>
          <w:color w:val="auto"/>
          <w:sz w:val="28"/>
          <w:szCs w:val="28"/>
          <w:highlight w:val="none"/>
          <w:u w:val="single"/>
        </w:rPr>
        <w:t xml:space="preserve">   （项目名称及项目编号）   </w:t>
      </w:r>
      <w:r>
        <w:rPr>
          <w:rFonts w:hint="eastAsia" w:ascii="仿宋" w:hAnsi="仿宋" w:eastAsia="仿宋" w:cs="仿宋"/>
          <w:bCs/>
          <w:color w:val="auto"/>
          <w:sz w:val="28"/>
          <w:szCs w:val="28"/>
          <w:highlight w:val="none"/>
        </w:rPr>
        <w:t xml:space="preserve">的投标过程中，做如下承诺：</w:t>
      </w:r>
      <w:r/>
    </w:p>
    <w:p>
      <w:pPr>
        <w:ind w:left="-6" w:firstLine="567"/>
        <w:jc w:val="left"/>
        <w:spacing w:line="520" w:lineRule="atLeas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一、我单位负责人与其他参与本项目投标的单位负责人不为同一人、不存在直接控股、管理关系。</w:t>
      </w:r>
      <w:r/>
    </w:p>
    <w:p>
      <w:pPr>
        <w:ind w:left="-6" w:firstLine="567"/>
        <w:jc w:val="left"/>
        <w:spacing w:line="520" w:lineRule="atLeas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二、我单位没有为本次采购项目提供整体设计、规范编制或者项目管理、监理、检测等服务。</w:t>
      </w:r>
      <w:r/>
    </w:p>
    <w:p>
      <w:pPr>
        <w:ind w:left="-6" w:firstLine="567"/>
        <w:jc w:val="left"/>
        <w:spacing w:line="520" w:lineRule="atLeas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我单位没有被“信用中国”网站（www.creditchina.gov.cn）、“中国政府采购网”（www.ccgp.gov.cn）列入失信被执行人、重大税收违法案件当事人名单、政府采购严重违法失信行为记录名单。（附上相关网页证明截图）</w:t>
      </w:r>
      <w:r/>
    </w:p>
    <w:p>
      <w:pPr>
        <w:ind w:left="-6" w:firstLine="567"/>
        <w:jc w:val="left"/>
        <w:spacing w:line="520" w:lineRule="atLeas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我方保证上述信息的真实和准确，并愿意承担因我方就此弄虚作假所引起的一切法律后果，并自愿接受相关监管部门作出的任何处罚。</w:t>
      </w:r>
      <w:r/>
    </w:p>
    <w:p>
      <w:pPr>
        <w:ind w:firstLine="700"/>
        <w:jc w:val="left"/>
        <w:spacing w:line="520" w:lineRule="atLeast"/>
        <w:rPr>
          <w:rFonts w:ascii="仿宋" w:hAnsi="仿宋" w:eastAsia="仿宋" w:cs="仿宋"/>
          <w:color w:val="auto"/>
          <w:sz w:val="28"/>
          <w:szCs w:val="28"/>
          <w:highlight w:val="none"/>
          <w:lang w:val="zh-CN"/>
        </w:rPr>
      </w:pPr>
      <w:r>
        <w:rPr>
          <w:rFonts w:hint="eastAsia" w:ascii="仿宋" w:hAnsi="仿宋" w:eastAsia="仿宋" w:cs="仿宋"/>
          <w:bCs/>
          <w:color w:val="auto"/>
          <w:sz w:val="28"/>
          <w:szCs w:val="28"/>
          <w:highlight w:val="none"/>
        </w:rPr>
        <w:t xml:space="preserve">特此承诺！            </w:t>
      </w:r>
      <w:r>
        <w:rPr>
          <w:rFonts w:hint="eastAsia" w:ascii="仿宋" w:hAnsi="仿宋" w:eastAsia="仿宋" w:cs="仿宋"/>
          <w:color w:val="auto"/>
          <w:sz w:val="28"/>
          <w:szCs w:val="28"/>
          <w:highlight w:val="none"/>
          <w:lang w:val="zh-CN"/>
        </w:rPr>
        <w:t xml:space="preserve">           </w:t>
      </w:r>
      <w:r/>
    </w:p>
    <w:p>
      <w:pPr>
        <w:ind w:firstLine="700"/>
        <w:jc w:val="left"/>
        <w:spacing w:line="520" w:lineRule="atLeast"/>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pStyle w:val="964"/>
        <w:rPr>
          <w:color w:val="auto"/>
          <w:highlight w:val="none"/>
          <w:lang w:val="zh-CN"/>
        </w:rPr>
      </w:pPr>
      <w:r>
        <w:rPr>
          <w:color w:val="auto"/>
          <w:highlight w:val="none"/>
          <w:lang w:val="zh-CN"/>
        </w:rPr>
      </w:r>
      <w:r/>
    </w:p>
    <w:p>
      <w:pPr>
        <w:ind w:firstLine="700"/>
        <w:jc w:val="left"/>
        <w:spacing w:line="520" w:lineRule="atLeast"/>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ind w:left="-6" w:firstLine="567"/>
        <w:jc w:val="left"/>
        <w:spacing w:line="520" w:lineRule="atLeast"/>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bCs/>
          <w:color w:val="auto"/>
          <w:sz w:val="28"/>
          <w:szCs w:val="28"/>
          <w:highlight w:val="none"/>
        </w:rPr>
        <w:t xml:space="preserve">     供应商：</w:t>
      </w:r>
      <w:r>
        <w:rPr>
          <w:rFonts w:hint="eastAsia" w:ascii="仿宋" w:hAnsi="仿宋" w:eastAsia="仿宋" w:cs="仿宋"/>
          <w:bCs/>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电子签章）</w:t>
      </w:r>
      <w:r>
        <w:rPr>
          <w:rFonts w:hint="eastAsia" w:ascii="仿宋" w:hAnsi="仿宋" w:eastAsia="仿宋" w:cs="仿宋"/>
          <w:bCs/>
          <w:color w:val="auto"/>
          <w:sz w:val="28"/>
          <w:szCs w:val="28"/>
          <w:highlight w:val="none"/>
        </w:rPr>
        <w:t xml:space="preserve">   </w:t>
      </w:r>
      <w:r/>
    </w:p>
    <w:p>
      <w:pPr>
        <w:ind w:left="-6" w:firstLine="4390"/>
        <w:jc w:val="left"/>
        <w:spacing w:line="520" w:lineRule="atLeas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ind w:left="-6" w:firstLine="4390"/>
        <w:jc w:val="left"/>
        <w:spacing w:line="520" w:lineRule="atLeas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日期：</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月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w:t>
      </w:r>
      <w:r/>
    </w:p>
    <w:p>
      <w:pPr>
        <w:ind w:left="-6" w:firstLine="4390"/>
        <w:jc w:val="left"/>
        <w:spacing w:line="520" w:lineRule="atLeas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ind w:left="-6" w:firstLine="4390"/>
        <w:jc w:val="left"/>
        <w:spacing w:line="520" w:lineRule="atLeas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ind w:left="-6" w:firstLine="4390"/>
        <w:jc w:val="left"/>
        <w:spacing w:line="520" w:lineRule="atLeas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1042"/>
        <w:rPr>
          <w:rFonts w:ascii="仿宋" w:hAnsi="仿宋" w:eastAsia="仿宋" w:cs="仿宋"/>
          <w:color w:val="auto"/>
          <w:sz w:val="28"/>
          <w:szCs w:val="28"/>
          <w:highlight w:val="none"/>
        </w:rPr>
      </w:pPr>
      <w:r>
        <w:rPr>
          <w:rFonts w:hint="eastAsia" w:ascii="仿宋" w:hAnsi="仿宋" w:eastAsia="仿宋" w:cs="仿宋"/>
          <w:color w:val="auto"/>
          <w:highlight w:val="none"/>
        </w:rPr>
        <w:t xml:space="preserve">示范格式五</w:t>
      </w:r>
      <w:r/>
    </w:p>
    <w:p>
      <w:pPr>
        <w:jc w:val="center"/>
        <w:spacing w:line="54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承  诺  书</w:t>
      </w:r>
      <w:r/>
    </w:p>
    <w:p>
      <w:pPr>
        <w:ind w:firstLine="560"/>
        <w:jc w:val="left"/>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lang w:eastAsia="zh-CN"/>
        </w:rPr>
        <w:t xml:space="preserve">淮安市淮阴区发展和改革委员会</w:t>
      </w:r>
      <w:r>
        <w:rPr>
          <w:rFonts w:hint="eastAsia" w:ascii="仿宋" w:hAnsi="仿宋" w:eastAsia="仿宋" w:cs="仿宋"/>
          <w:color w:val="auto"/>
          <w:sz w:val="28"/>
          <w:szCs w:val="28"/>
          <w:highlight w:val="none"/>
        </w:rPr>
        <w:t xml:space="preserve">我方在（项目名称）（</w:t>
      </w:r>
      <w:r>
        <w:rPr>
          <w:rFonts w:hint="eastAsia" w:ascii="仿宋" w:hAnsi="仿宋" w:eastAsia="仿宋" w:cs="仿宋"/>
          <w:color w:val="auto"/>
          <w:sz w:val="28"/>
          <w:szCs w:val="28"/>
          <w:highlight w:val="none"/>
          <w:lang w:eastAsia="zh-CN"/>
        </w:rPr>
        <w:t xml:space="preserve">项目编号：JSZC-320804-YCGS-G2026-0009</w:t>
      </w:r>
      <w:r>
        <w:rPr>
          <w:rFonts w:hint="eastAsia" w:ascii="仿宋" w:hAnsi="仿宋" w:eastAsia="仿宋" w:cs="仿宋"/>
          <w:color w:val="auto"/>
          <w:sz w:val="28"/>
          <w:szCs w:val="28"/>
          <w:highlight w:val="none"/>
        </w:rPr>
        <w:t xml:space="preserve">    ）的政府采购活动  过程中，做如下承诺：</w:t>
      </w:r>
      <w:r/>
    </w:p>
    <w:p>
      <w:pPr>
        <w:ind w:firstLine="560"/>
        <w:jc w:val="left"/>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1.我方承诺本项目整体免费质保期</w:t>
      </w:r>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rPr>
        <w:t xml:space="preserve">年。</w:t>
      </w:r>
      <w:r/>
    </w:p>
    <w:p>
      <w:pPr>
        <w:ind w:firstLine="560"/>
        <w:jc w:val="left"/>
        <w:spacing w:line="5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.我方承诺</w:t>
      </w:r>
      <w:r>
        <w:rPr>
          <w:rFonts w:hint="eastAsia" w:ascii="仿宋" w:hAnsi="仿宋" w:eastAsia="仿宋" w:cs="仿宋"/>
          <w:color w:val="auto"/>
          <w:sz w:val="28"/>
          <w:szCs w:val="28"/>
          <w:highlight w:val="none"/>
          <w:lang w:eastAsia="zh-CN"/>
        </w:rPr>
        <w:t xml:space="preserve">所供应的产品必须是符合国家技术规范和质量标准的出厂原装合格产品，符合采购人的采购要求，因产品质量问题引起的安全事故全部由</w:t>
      </w:r>
      <w:r>
        <w:rPr>
          <w:rFonts w:hint="eastAsia" w:ascii="仿宋" w:hAnsi="仿宋" w:eastAsia="仿宋" w:cs="仿宋"/>
          <w:color w:val="auto"/>
          <w:sz w:val="28"/>
          <w:szCs w:val="28"/>
          <w:highlight w:val="none"/>
        </w:rPr>
        <w:t xml:space="preserve">我方</w:t>
      </w:r>
      <w:r>
        <w:rPr>
          <w:rFonts w:hint="eastAsia" w:ascii="仿宋" w:hAnsi="仿宋" w:eastAsia="仿宋" w:cs="仿宋"/>
          <w:color w:val="auto"/>
          <w:sz w:val="28"/>
          <w:szCs w:val="28"/>
          <w:highlight w:val="none"/>
          <w:lang w:eastAsia="zh-CN"/>
        </w:rPr>
        <w:t xml:space="preserve">承担。</w:t>
      </w:r>
      <w:r/>
    </w:p>
    <w:p>
      <w:pPr>
        <w:ind w:firstLine="560"/>
        <w:jc w:val="left"/>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我方承诺所提供的</w:t>
      </w:r>
      <w:r>
        <w:rPr>
          <w:rFonts w:hint="eastAsia" w:ascii="仿宋" w:hAnsi="仿宋" w:eastAsia="仿宋" w:cs="仿宋"/>
          <w:color w:val="auto"/>
          <w:sz w:val="28"/>
          <w:szCs w:val="28"/>
          <w:highlight w:val="none"/>
          <w:lang w:eastAsia="zh-CN"/>
        </w:rPr>
        <w:t xml:space="preserve">所有产品</w:t>
      </w:r>
      <w:r>
        <w:rPr>
          <w:rFonts w:hint="eastAsia" w:ascii="仿宋" w:hAnsi="仿宋" w:eastAsia="仿宋" w:cs="仿宋"/>
          <w:color w:val="auto"/>
          <w:sz w:val="28"/>
          <w:szCs w:val="28"/>
          <w:highlight w:val="none"/>
          <w:lang w:val="en-US" w:eastAsia="zh-CN"/>
        </w:rPr>
        <w:t xml:space="preserve">为</w:t>
      </w:r>
      <w:r>
        <w:rPr>
          <w:rFonts w:hint="eastAsia" w:ascii="仿宋" w:hAnsi="仿宋" w:eastAsia="仿宋" w:cs="仿宋"/>
          <w:color w:val="auto"/>
          <w:sz w:val="28"/>
          <w:szCs w:val="28"/>
          <w:highlight w:val="none"/>
          <w:lang w:eastAsia="zh-CN"/>
        </w:rPr>
        <w:t xml:space="preserve">原厂正式包装，不接受改配，杜绝水货，</w:t>
      </w:r>
      <w:r>
        <w:rPr>
          <w:rFonts w:hint="eastAsia" w:ascii="仿宋" w:hAnsi="仿宋" w:eastAsia="仿宋" w:cs="仿宋"/>
          <w:color w:val="auto"/>
          <w:sz w:val="28"/>
          <w:szCs w:val="28"/>
          <w:highlight w:val="none"/>
          <w:lang w:val="en-US" w:eastAsia="zh-CN"/>
        </w:rPr>
        <w:t xml:space="preserve">所有货物应为2026年1月及之后生产的全新产品</w:t>
      </w:r>
      <w:r>
        <w:rPr>
          <w:rFonts w:hint="eastAsia" w:ascii="仿宋" w:hAnsi="仿宋" w:eastAsia="仿宋" w:cs="仿宋"/>
          <w:color w:val="auto"/>
          <w:sz w:val="28"/>
          <w:szCs w:val="28"/>
          <w:highlight w:val="none"/>
          <w:lang w:eastAsia="zh-CN"/>
        </w:rPr>
        <w:t xml:space="preserve">。</w:t>
      </w:r>
      <w:r/>
    </w:p>
    <w:p>
      <w:pPr>
        <w:ind w:firstLine="560"/>
        <w:jc w:val="left"/>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1043"/>
        <w:ind w:firstLine="480"/>
        <w:spacing w:line="460" w:lineRule="exact"/>
        <w:rPr>
          <w:rFonts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p>
    <w:p>
      <w:pPr>
        <w:ind w:firstLine="480"/>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27"/>
        <w:ind w:firstLine="4832"/>
        <w:spacing w:before="0" w:after="0" w:line="72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供应商名称：</w:t>
      </w:r>
      <w:r>
        <w:rPr>
          <w:rFonts w:hint="eastAsia" w:ascii="仿宋" w:hAnsi="仿宋" w:eastAsia="仿宋" w:cs="仿宋"/>
          <w:color w:val="auto"/>
          <w:sz w:val="28"/>
          <w:szCs w:val="28"/>
          <w:highlight w:val="none"/>
          <w:u w:val="single"/>
        </w:rPr>
        <w:t xml:space="preserve">      （公章）   </w:t>
      </w:r>
      <w:r/>
    </w:p>
    <w:p>
      <w:pPr>
        <w:pStyle w:val="1027"/>
        <w:ind w:firstLine="4832"/>
        <w:spacing w:before="0" w:after="0" w:line="72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u w:val="single"/>
        </w:rPr>
        <w:t xml:space="preserve">（签章或签字）   </w:t>
      </w:r>
      <w:r/>
    </w:p>
    <w:p>
      <w:pPr>
        <w:pStyle w:val="1027"/>
        <w:ind w:firstLine="4832"/>
        <w:spacing w:before="0" w:after="0" w:line="720" w:lineRule="exact"/>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lang w:val="en-US"/>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年</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w:t>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示范格式六</w:t>
      </w:r>
      <w:r>
        <w:rPr>
          <w:rFonts w:hint="eastAsia" w:ascii="仿宋" w:hAnsi="仿宋" w:eastAsia="仿宋"/>
          <w:color w:val="auto"/>
          <w:sz w:val="28"/>
          <w:szCs w:val="28"/>
          <w:highlight w:val="none"/>
        </w:rPr>
        <w:t xml:space="preserve">                                           </w:t>
      </w:r>
      <w:r/>
    </w:p>
    <w:p>
      <w:pPr>
        <w:jc w:val="center"/>
        <w:rPr>
          <w:rFonts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企业声明函（货物类）</w:t>
      </w:r>
      <w:r/>
    </w:p>
    <w:p>
      <w:pPr>
        <w:pStyle w:val="957"/>
        <w:ind w:firstLine="0"/>
        <w:spacing w:line="6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淮安市淮阴区发展和改革委员会</w:t>
      </w:r>
      <w:r>
        <w:rPr>
          <w:rFonts w:hint="eastAsia" w:ascii="仿宋" w:hAnsi="仿宋" w:eastAsia="仿宋"/>
          <w:bCs/>
          <w:color w:val="auto"/>
          <w:sz w:val="28"/>
          <w:szCs w:val="28"/>
          <w:highlight w:val="none"/>
        </w:rPr>
        <w:t xml:space="preserve">：</w:t>
      </w:r>
      <w:r/>
    </w:p>
    <w:p>
      <w:pPr>
        <w:pStyle w:val="957"/>
        <w:ind w:firstLine="560"/>
        <w:spacing w:line="6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采购活动，提供的货物全部由符合政策要求的中小企业制造。相关企业的具体情况如下： </w:t>
      </w:r>
      <w:r/>
    </w:p>
    <w:p>
      <w:pPr>
        <w:pStyle w:val="957"/>
        <w:ind w:firstLine="560"/>
        <w:spacing w:line="6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w:t>
      </w:r>
      <w:r>
        <w:rPr>
          <w:rFonts w:hint="eastAsia" w:ascii="仿宋" w:hAnsi="仿宋" w:eastAsia="仿宋"/>
          <w:bCs/>
          <w:color w:val="auto"/>
          <w:sz w:val="28"/>
          <w:szCs w:val="28"/>
          <w:highlight w:val="none"/>
          <w:u w:val="single"/>
        </w:rPr>
        <w:t xml:space="preserve">（标的名称）</w:t>
      </w:r>
      <w:r>
        <w:rPr>
          <w:rFonts w:hint="eastAsia" w:ascii="仿宋" w:hAnsi="仿宋" w:eastAsia="仿宋"/>
          <w:bCs/>
          <w:color w:val="auto"/>
          <w:sz w:val="28"/>
          <w:szCs w:val="28"/>
          <w:highlight w:val="none"/>
        </w:rPr>
        <w:t xml:space="preserve"> ，属于</w:t>
      </w:r>
      <w:r>
        <w:rPr>
          <w:rFonts w:hint="eastAsia" w:ascii="仿宋" w:hAnsi="仿宋" w:eastAsia="仿宋"/>
          <w:bCs/>
          <w:color w:val="auto"/>
          <w:sz w:val="28"/>
          <w:szCs w:val="28"/>
          <w:highlight w:val="none"/>
          <w:u w:val="single"/>
        </w:rPr>
        <w:t xml:space="preserve">（采购文件中明确的所属行业）</w:t>
      </w:r>
      <w:r>
        <w:rPr>
          <w:rFonts w:hint="eastAsia" w:ascii="仿宋" w:hAnsi="仿宋" w:eastAsia="仿宋"/>
          <w:bCs/>
          <w:color w:val="auto"/>
          <w:sz w:val="28"/>
          <w:szCs w:val="28"/>
          <w:highlight w:val="none"/>
        </w:rPr>
        <w:t xml:space="preserve">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957"/>
        <w:ind w:firstLine="560"/>
        <w:spacing w:line="6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 （标的名称）</w:t>
      </w:r>
      <w:r>
        <w:rPr>
          <w:rFonts w:hint="eastAsia" w:ascii="仿宋" w:hAnsi="仿宋" w:eastAsia="仿宋"/>
          <w:bCs/>
          <w:color w:val="auto"/>
          <w:sz w:val="28"/>
          <w:szCs w:val="28"/>
          <w:highlight w:val="none"/>
        </w:rPr>
        <w:t xml:space="preserve"> ，属于（采购文件中明确的所属行业）行业；制造商为（企业名称），从业人员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957"/>
        <w:ind w:firstLine="560"/>
        <w:spacing w:line="6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957"/>
        <w:ind w:firstLine="560"/>
        <w:spacing w:line="6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rPr>
          <w:rFonts w:hint="eastAsia" w:ascii="仿宋" w:hAnsi="仿宋" w:eastAsia="仿宋"/>
          <w:bCs/>
          <w:color w:val="auto"/>
          <w:sz w:val="28"/>
          <w:szCs w:val="28"/>
          <w:highlight w:val="none"/>
          <w:lang w:val="zh-CN"/>
        </w:rPr>
        <w:t xml:space="preserve">              </w:t>
      </w: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bCs/>
          <w:color w:val="auto"/>
          <w:sz w:val="28"/>
          <w:szCs w:val="28"/>
          <w:highlight w:val="none"/>
        </w:rPr>
        <w:t xml:space="preserve">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57"/>
        <w:ind w:firstLine="0"/>
        <w:spacing w:line="6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注：从业人员、营业收入、资产总额填报上一年度数据，无上一年度数据的新成立企业可不填报。</w:t>
      </w:r>
      <w:r/>
    </w:p>
    <w:p>
      <w:pPr>
        <w:pStyle w:val="957"/>
        <w:ind w:firstLine="0"/>
        <w:jc w:val="left"/>
        <w:spacing w:line="520" w:lineRule="exact"/>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957"/>
        <w:ind w:firstLine="0"/>
        <w:jc w:val="left"/>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示范格式七</w:t>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957"/>
        <w:ind w:firstLine="0"/>
        <w:spacing w:line="64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淮安市淮阴区发展和改革委员会</w:t>
      </w:r>
      <w:r>
        <w:rPr>
          <w:rFonts w:hint="eastAsia" w:ascii="仿宋" w:hAnsi="仿宋" w:eastAsia="仿宋"/>
          <w:bCs/>
          <w:color w:val="auto"/>
          <w:sz w:val="28"/>
          <w:szCs w:val="28"/>
          <w:highlight w:val="none"/>
        </w:rPr>
        <w:t xml:space="preserve">：</w:t>
      </w:r>
      <w:r/>
    </w:p>
    <w:p>
      <w:pPr>
        <w:pStyle w:val="957"/>
        <w:ind w:firstLine="560"/>
        <w:spacing w:line="64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57"/>
        <w:ind w:firstLine="560"/>
        <w:spacing w:line="64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1.根据《财政部 民政部 中国残疾人联合会关于促进残疾人就业政府采购政策的通知》（财库〔2017〕141 号）规定的划分标准，本公司为残疾人福利性企业。</w:t>
      </w:r>
      <w:r/>
    </w:p>
    <w:p>
      <w:pPr>
        <w:pStyle w:val="957"/>
        <w:ind w:firstLine="560"/>
        <w:spacing w:line="64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957"/>
        <w:ind w:firstLine="560"/>
        <w:spacing w:line="640" w:lineRule="exact"/>
        <w:rPr>
          <w:rFonts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jc w:val="left"/>
        <w:spacing w:line="640" w:lineRule="exact"/>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ind w:firstLine="565"/>
        <w:jc w:val="left"/>
        <w:spacing w:line="6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jc w:val="left"/>
        <w:spacing w:line="6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57"/>
        <w:ind w:firstLine="0"/>
        <w:jc w:val="left"/>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示范格式八</w:t>
      </w:r>
      <w:r/>
    </w:p>
    <w:p>
      <w:pPr>
        <w:ind w:firstLine="560"/>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关于符合本国产品标准的声明函（采购包号：**）</w:t>
      </w:r>
      <w:r/>
    </w:p>
    <w:p>
      <w:pPr>
        <w:spacing w:line="60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rPr>
        <w:t xml:space="preserve"> </w:t>
      </w:r>
      <w:r>
        <w:rPr>
          <w:rFonts w:ascii="仿宋" w:hAnsi="仿宋" w:eastAsia="仿宋" w:cs="仿宋"/>
          <w:color w:val="auto"/>
          <w:sz w:val="28"/>
          <w:szCs w:val="28"/>
          <w:highlight w:val="none"/>
        </w:rPr>
        <w:t xml:space="preserve">:</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1.</w:t>
      </w:r>
      <w:r>
        <w:rPr>
          <w:rFonts w:ascii="仿宋" w:hAnsi="仿宋" w:eastAsia="仿宋" w:cs="仿宋"/>
          <w:color w:val="auto"/>
          <w:sz w:val="28"/>
          <w:szCs w:val="28"/>
          <w:highlight w:val="none"/>
          <w:u w:val="single"/>
        </w:rPr>
        <w:t xml:space="preserve">（产品名称1）</w:t>
      </w:r>
      <w:r>
        <w:rPr>
          <w:rFonts w:ascii="仿宋" w:hAnsi="仿宋" w:eastAsia="仿宋" w:cs="仿宋"/>
          <w:color w:val="auto"/>
          <w:sz w:val="28"/>
          <w:szCs w:val="28"/>
          <w:highlight w:val="none"/>
          <w:u w:val="single"/>
          <w:vertAlign w:val="superscript"/>
        </w:rPr>
        <w:t xml:space="preserve">1</w:t>
      </w:r>
      <w:r>
        <w:rPr>
          <w:rFonts w:ascii="仿宋" w:hAnsi="仿宋" w:eastAsia="仿宋" w:cs="仿宋"/>
          <w:color w:val="auto"/>
          <w:sz w:val="28"/>
          <w:szCs w:val="28"/>
          <w:highlight w:val="none"/>
        </w:rPr>
        <w:t xml:space="preserve">，生产厂为</w:t>
      </w:r>
      <w:r>
        <w:rPr>
          <w:rFonts w:ascii="仿宋" w:hAnsi="仿宋" w:eastAsia="仿宋" w:cs="仿宋"/>
          <w:color w:val="auto"/>
          <w:sz w:val="28"/>
          <w:szCs w:val="28"/>
          <w:highlight w:val="none"/>
          <w:u w:val="single"/>
        </w:rPr>
        <w:t xml:space="preserve">（厂名）</w:t>
      </w:r>
      <w:r>
        <w:rPr>
          <w:rFonts w:ascii="仿宋" w:hAnsi="仿宋" w:eastAsia="仿宋" w:cs="仿宋"/>
          <w:color w:val="auto"/>
          <w:sz w:val="28"/>
          <w:szCs w:val="28"/>
          <w:highlight w:val="none"/>
          <w:vertAlign w:val="superscript"/>
        </w:rPr>
        <w:t xml:space="preserve">2</w:t>
      </w:r>
      <w:r>
        <w:rPr>
          <w:rFonts w:ascii="仿宋" w:hAnsi="仿宋" w:eastAsia="仿宋" w:cs="仿宋"/>
          <w:color w:val="auto"/>
          <w:sz w:val="28"/>
          <w:szCs w:val="28"/>
          <w:highlight w:val="none"/>
        </w:rPr>
        <w:t xml:space="preserve">，厂址为</w:t>
      </w:r>
      <w:r>
        <w:rPr>
          <w:rFonts w:ascii="仿宋" w:hAnsi="仿宋" w:eastAsia="仿宋" w:cs="仿宋"/>
          <w:color w:val="auto"/>
          <w:sz w:val="28"/>
          <w:szCs w:val="28"/>
          <w:highlight w:val="none"/>
          <w:u w:val="single"/>
        </w:rPr>
        <w:t xml:space="preserve">（生产厂址）</w:t>
      </w:r>
      <w:r>
        <w:rPr>
          <w:rFonts w:ascii="仿宋" w:hAnsi="仿宋" w:eastAsia="仿宋" w:cs="仿宋"/>
          <w:color w:val="auto"/>
          <w:sz w:val="28"/>
          <w:szCs w:val="28"/>
          <w:highlight w:val="none"/>
        </w:rPr>
        <w:t xml:space="preserve">。</w:t>
      </w:r>
      <w:r>
        <w:rPr>
          <w:rFonts w:ascii="仿宋" w:hAnsi="仿宋" w:eastAsia="仿宋" w:cs="仿宋"/>
          <w:color w:val="auto"/>
          <w:sz w:val="28"/>
          <w:szCs w:val="28"/>
          <w:highlight w:val="none"/>
          <w:u w:val="single"/>
        </w:rPr>
        <w:t xml:space="preserve">（产品名称1）</w:t>
      </w:r>
      <w:r>
        <w:rPr>
          <w:rFonts w:ascii="仿宋" w:hAnsi="仿宋" w:eastAsia="仿宋" w:cs="仿宋"/>
          <w:color w:val="auto"/>
          <w:sz w:val="28"/>
          <w:szCs w:val="28"/>
          <w:highlight w:val="none"/>
        </w:rPr>
        <w:t xml:space="preserve"> 的中国境内生产的组件成本占比≥</w:t>
      </w:r>
      <w:r>
        <w:rPr>
          <w:rFonts w:ascii="仿宋" w:hAnsi="仿宋" w:eastAsia="仿宋" w:cs="仿宋"/>
          <w:color w:val="auto"/>
          <w:sz w:val="28"/>
          <w:szCs w:val="28"/>
          <w:highlight w:val="none"/>
          <w:u w:val="single"/>
        </w:rPr>
        <w:t xml:space="preserve">（规定比例）</w:t>
      </w:r>
      <w:r>
        <w:rPr>
          <w:rFonts w:ascii="仿宋" w:hAnsi="仿宋" w:eastAsia="仿宋" w:cs="仿宋"/>
          <w:color w:val="auto"/>
          <w:sz w:val="28"/>
          <w:szCs w:val="28"/>
          <w:highlight w:val="none"/>
          <w:vertAlign w:val="superscript"/>
        </w:rPr>
        <w:t xml:space="preserve">3</w:t>
      </w:r>
      <w:r>
        <w:rPr>
          <w:rFonts w:ascii="仿宋" w:hAnsi="仿宋" w:eastAsia="仿宋" w:cs="仿宋"/>
          <w:color w:val="auto"/>
          <w:sz w:val="28"/>
          <w:szCs w:val="28"/>
          <w:highlight w:val="none"/>
        </w:rPr>
        <w:t xml:space="preserve">。</w:t>
      </w:r>
      <w:r>
        <w:rPr>
          <w:rFonts w:ascii="仿宋" w:hAnsi="仿宋" w:eastAsia="仿宋" w:cs="仿宋"/>
          <w:color w:val="auto"/>
          <w:sz w:val="28"/>
          <w:szCs w:val="28"/>
          <w:highlight w:val="none"/>
          <w:u w:val="single"/>
        </w:rPr>
        <w:t xml:space="preserve">（产品名称1）</w:t>
      </w:r>
      <w:r>
        <w:rPr>
          <w:rFonts w:ascii="仿宋" w:hAnsi="仿宋" w:eastAsia="仿宋" w:cs="仿宋"/>
          <w:color w:val="auto"/>
          <w:sz w:val="28"/>
          <w:szCs w:val="28"/>
          <w:highlight w:val="none"/>
        </w:rPr>
        <w:t xml:space="preserve">的</w:t>
      </w:r>
      <w:r>
        <w:rPr>
          <w:rFonts w:ascii="仿宋" w:hAnsi="仿宋" w:eastAsia="仿宋" w:cs="仿宋"/>
          <w:color w:val="auto"/>
          <w:sz w:val="28"/>
          <w:szCs w:val="28"/>
          <w:highlight w:val="none"/>
          <w:u w:val="single"/>
        </w:rPr>
        <w:t xml:space="preserve">（关键组件）</w:t>
      </w:r>
      <w:r>
        <w:rPr>
          <w:rFonts w:ascii="仿宋" w:hAnsi="仿宋" w:eastAsia="仿宋" w:cs="仿宋"/>
          <w:color w:val="auto"/>
          <w:sz w:val="28"/>
          <w:szCs w:val="28"/>
          <w:highlight w:val="none"/>
          <w:vertAlign w:val="superscript"/>
        </w:rPr>
        <w:t xml:space="preserve">4</w:t>
      </w:r>
      <w:r>
        <w:rPr>
          <w:rFonts w:ascii="仿宋" w:hAnsi="仿宋" w:eastAsia="仿宋" w:cs="仿宋"/>
          <w:color w:val="auto"/>
          <w:sz w:val="28"/>
          <w:szCs w:val="28"/>
          <w:highlight w:val="none"/>
        </w:rPr>
        <w:t xml:space="preserve">在中国境内生产。</w:t>
      </w:r>
      <w:r>
        <w:rPr>
          <w:rFonts w:ascii="仿宋" w:hAnsi="仿宋" w:eastAsia="仿宋" w:cs="仿宋"/>
          <w:color w:val="auto"/>
          <w:sz w:val="28"/>
          <w:szCs w:val="28"/>
          <w:highlight w:val="none"/>
          <w:u w:val="single"/>
        </w:rPr>
        <w:t xml:space="preserve">（产品名称1）</w:t>
      </w:r>
      <w:r>
        <w:rPr>
          <w:rFonts w:ascii="仿宋" w:hAnsi="仿宋" w:eastAsia="仿宋" w:cs="仿宋"/>
          <w:color w:val="auto"/>
          <w:sz w:val="28"/>
          <w:szCs w:val="28"/>
          <w:highlight w:val="none"/>
        </w:rPr>
        <w:t xml:space="preserve">的</w:t>
      </w:r>
      <w:r>
        <w:rPr>
          <w:rFonts w:ascii="仿宋" w:hAnsi="仿宋" w:eastAsia="仿宋" w:cs="仿宋"/>
          <w:color w:val="auto"/>
          <w:sz w:val="28"/>
          <w:szCs w:val="28"/>
          <w:highlight w:val="none"/>
          <w:u w:val="single"/>
        </w:rPr>
        <w:t xml:space="preserve">（关键工序）</w:t>
      </w:r>
      <w:r>
        <w:rPr>
          <w:rFonts w:ascii="仿宋" w:hAnsi="仿宋" w:eastAsia="仿宋" w:cs="仿宋"/>
          <w:color w:val="auto"/>
          <w:sz w:val="28"/>
          <w:szCs w:val="28"/>
          <w:highlight w:val="none"/>
          <w:vertAlign w:val="superscript"/>
        </w:rPr>
        <w:t xml:space="preserve">5</w:t>
      </w:r>
      <w:r>
        <w:rPr>
          <w:rFonts w:ascii="仿宋" w:hAnsi="仿宋" w:eastAsia="仿宋" w:cs="仿宋"/>
          <w:color w:val="auto"/>
          <w:sz w:val="28"/>
          <w:szCs w:val="28"/>
          <w:highlight w:val="none"/>
        </w:rPr>
        <w:t xml:space="preserve">在中国境内完成。</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2.</w:t>
      </w:r>
      <w:r>
        <w:rPr>
          <w:rFonts w:ascii="仿宋" w:hAnsi="仿宋" w:eastAsia="仿宋" w:cs="仿宋"/>
          <w:color w:val="auto"/>
          <w:sz w:val="28"/>
          <w:szCs w:val="28"/>
          <w:highlight w:val="none"/>
          <w:u w:val="single"/>
        </w:rPr>
        <w:t xml:space="preserve">（产品名称2）</w:t>
      </w:r>
      <w:r>
        <w:rPr>
          <w:rFonts w:ascii="仿宋" w:hAnsi="仿宋" w:eastAsia="仿宋" w:cs="仿宋"/>
          <w:color w:val="auto"/>
          <w:sz w:val="28"/>
          <w:szCs w:val="28"/>
          <w:highlight w:val="none"/>
        </w:rPr>
        <w:t xml:space="preserve">，生产厂为</w:t>
      </w:r>
      <w:r>
        <w:rPr>
          <w:rFonts w:ascii="仿宋" w:hAnsi="仿宋" w:eastAsia="仿宋" w:cs="仿宋"/>
          <w:color w:val="auto"/>
          <w:sz w:val="28"/>
          <w:szCs w:val="28"/>
          <w:highlight w:val="none"/>
          <w:u w:val="single"/>
        </w:rPr>
        <w:t xml:space="preserve">（厂名）</w:t>
      </w:r>
      <w:r>
        <w:rPr>
          <w:rFonts w:ascii="仿宋" w:hAnsi="仿宋" w:eastAsia="仿宋" w:cs="仿宋"/>
          <w:color w:val="auto"/>
          <w:sz w:val="28"/>
          <w:szCs w:val="28"/>
          <w:highlight w:val="none"/>
        </w:rPr>
        <w:t xml:space="preserve">，厂址为</w:t>
      </w:r>
      <w:r>
        <w:rPr>
          <w:rFonts w:ascii="仿宋" w:hAnsi="仿宋" w:eastAsia="仿宋" w:cs="仿宋"/>
          <w:color w:val="auto"/>
          <w:sz w:val="28"/>
          <w:szCs w:val="28"/>
          <w:highlight w:val="none"/>
          <w:u w:val="single"/>
        </w:rPr>
        <w:t xml:space="preserve">（生产厂址）</w:t>
      </w:r>
      <w:r>
        <w:rPr>
          <w:rFonts w:ascii="仿宋" w:hAnsi="仿宋" w:eastAsia="仿宋" w:cs="仿宋"/>
          <w:color w:val="auto"/>
          <w:sz w:val="28"/>
          <w:szCs w:val="28"/>
          <w:highlight w:val="none"/>
        </w:rPr>
        <w:t xml:space="preserve">。</w:t>
      </w:r>
      <w:r>
        <w:rPr>
          <w:rFonts w:ascii="仿宋" w:hAnsi="仿宋" w:eastAsia="仿宋" w:cs="仿宋"/>
          <w:color w:val="auto"/>
          <w:sz w:val="28"/>
          <w:szCs w:val="28"/>
          <w:highlight w:val="none"/>
          <w:u w:val="single"/>
        </w:rPr>
        <w:t xml:space="preserve">（产品名称2）</w:t>
      </w:r>
      <w:r>
        <w:rPr>
          <w:rFonts w:ascii="仿宋" w:hAnsi="仿宋" w:eastAsia="仿宋" w:cs="仿宋"/>
          <w:color w:val="auto"/>
          <w:sz w:val="28"/>
          <w:szCs w:val="28"/>
          <w:highlight w:val="none"/>
        </w:rPr>
        <w:t xml:space="preserve">的中国境内生产的组件成本占比≥</w:t>
      </w:r>
      <w:r>
        <w:rPr>
          <w:rFonts w:ascii="仿宋" w:hAnsi="仿宋" w:eastAsia="仿宋" w:cs="仿宋"/>
          <w:color w:val="auto"/>
          <w:sz w:val="28"/>
          <w:szCs w:val="28"/>
          <w:highlight w:val="none"/>
          <w:u w:val="single"/>
        </w:rPr>
        <w:t xml:space="preserve">（规定比例）</w:t>
      </w:r>
      <w:r>
        <w:rPr>
          <w:rFonts w:ascii="仿宋" w:hAnsi="仿宋" w:eastAsia="仿宋" w:cs="仿宋"/>
          <w:color w:val="auto"/>
          <w:sz w:val="28"/>
          <w:szCs w:val="28"/>
          <w:highlight w:val="none"/>
        </w:rPr>
        <w:t xml:space="preserve">。（</w:t>
      </w:r>
      <w:r>
        <w:rPr>
          <w:rFonts w:ascii="仿宋" w:hAnsi="仿宋" w:eastAsia="仿宋" w:cs="仿宋"/>
          <w:color w:val="auto"/>
          <w:sz w:val="28"/>
          <w:szCs w:val="28"/>
          <w:highlight w:val="none"/>
          <w:u w:val="single"/>
        </w:rPr>
        <w:t xml:space="preserve">产品名称2）</w:t>
      </w:r>
      <w:r>
        <w:rPr>
          <w:rFonts w:ascii="仿宋" w:hAnsi="仿宋" w:eastAsia="仿宋" w:cs="仿宋"/>
          <w:color w:val="auto"/>
          <w:sz w:val="28"/>
          <w:szCs w:val="28"/>
          <w:highlight w:val="none"/>
        </w:rPr>
        <w:t xml:space="preserve">的</w:t>
      </w:r>
      <w:r>
        <w:rPr>
          <w:rFonts w:ascii="仿宋" w:hAnsi="仿宋" w:eastAsia="仿宋" w:cs="仿宋"/>
          <w:color w:val="auto"/>
          <w:sz w:val="28"/>
          <w:szCs w:val="28"/>
          <w:highlight w:val="none"/>
          <w:u w:val="single"/>
        </w:rPr>
        <w:t xml:space="preserve">（关键组件）</w:t>
      </w:r>
      <w:r>
        <w:rPr>
          <w:rFonts w:ascii="仿宋" w:hAnsi="仿宋" w:eastAsia="仿宋" w:cs="仿宋"/>
          <w:color w:val="auto"/>
          <w:sz w:val="28"/>
          <w:szCs w:val="28"/>
          <w:highlight w:val="none"/>
        </w:rPr>
        <w:t xml:space="preserve">在中国境内生产。</w:t>
      </w:r>
      <w:r>
        <w:rPr>
          <w:rFonts w:ascii="仿宋" w:hAnsi="仿宋" w:eastAsia="仿宋" w:cs="仿宋"/>
          <w:color w:val="auto"/>
          <w:sz w:val="28"/>
          <w:szCs w:val="28"/>
          <w:highlight w:val="none"/>
          <w:u w:val="single"/>
        </w:rPr>
        <w:t xml:space="preserve">（产品名称1）</w:t>
      </w:r>
      <w:r>
        <w:rPr>
          <w:rFonts w:ascii="仿宋" w:hAnsi="仿宋" w:eastAsia="仿宋" w:cs="仿宋"/>
          <w:color w:val="auto"/>
          <w:sz w:val="28"/>
          <w:szCs w:val="28"/>
          <w:highlight w:val="none"/>
        </w:rPr>
        <w:t xml:space="preserve">的</w:t>
      </w:r>
      <w:r>
        <w:rPr>
          <w:rFonts w:ascii="仿宋" w:hAnsi="仿宋" w:eastAsia="仿宋" w:cs="仿宋"/>
          <w:color w:val="auto"/>
          <w:sz w:val="28"/>
          <w:szCs w:val="28"/>
          <w:highlight w:val="none"/>
          <w:u w:val="single"/>
        </w:rPr>
        <w:t xml:space="preserve">（关键工序）</w:t>
      </w:r>
      <w:r>
        <w:rPr>
          <w:rFonts w:ascii="仿宋" w:hAnsi="仿宋" w:eastAsia="仿宋" w:cs="仿宋"/>
          <w:color w:val="auto"/>
          <w:sz w:val="28"/>
          <w:szCs w:val="28"/>
          <w:highlight w:val="none"/>
        </w:rPr>
        <w:t xml:space="preserve">在中国境内完成。</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本公司（单位）对上述声明内容的真实性负责。如有虚假，愿承担相应法律责任。</w:t>
      </w:r>
      <w:r/>
    </w:p>
    <w:p>
      <w:pPr>
        <w:ind w:firstLine="4933"/>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公司（单位）名称（盖章）：　</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                                日期：　   年　  月　  日         </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注：1.产品如有型号，请在“产品名称”栏一并填写。</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2.生产厂名与厂址应与生产厂营业执照载明的相关信息保持一致。</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3.该产品的中国境内生产的组件成本占比相关要求实施前，“规定比例”栏可不填，下同。</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4.该产品的关键组件要求实施前，“关键组件”栏可不填，下同。</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5.该产品的关键工序要求实施前，“关键工序”栏可不填，下同。</w:t>
      </w:r>
      <w:r/>
    </w:p>
    <w:p>
      <w:pPr>
        <w:pStyle w:val="957"/>
        <w:ind w:firstLine="0"/>
        <w:jc w:val="left"/>
        <w:spacing w:line="520" w:lineRule="exact"/>
        <w:rPr>
          <w:rFonts w:ascii="仿宋" w:hAnsi="仿宋" w:eastAsia="仿宋"/>
          <w:b/>
          <w:color w:val="auto"/>
          <w:sz w:val="32"/>
          <w:szCs w:val="32"/>
          <w:highlight w:val="none"/>
        </w:rPr>
      </w:pPr>
      <w:r>
        <w:rPr>
          <w:rFonts w:ascii="仿宋" w:hAnsi="仿宋" w:eastAsia="仿宋"/>
          <w:b/>
          <w:color w:val="auto"/>
          <w:sz w:val="32"/>
          <w:szCs w:val="32"/>
          <w:highlight w:val="none"/>
        </w:rPr>
      </w:r>
      <w:r/>
    </w:p>
    <w:p>
      <w:pPr>
        <w:ind w:firstLine="565"/>
        <w:jc w:val="left"/>
        <w:spacing w:line="640" w:lineRule="exact"/>
        <w:rPr>
          <w:rFonts w:ascii="仿宋" w:hAnsi="仿宋" w:eastAsia="仿宋"/>
          <w:color w:val="auto"/>
          <w:sz w:val="28"/>
          <w:szCs w:val="28"/>
          <w:highlight w:val="none"/>
        </w:rPr>
      </w:pPr>
      <w:r>
        <w:rPr>
          <w:rFonts w:ascii="仿宋" w:hAnsi="仿宋" w:eastAsia="仿宋"/>
          <w:color w:val="auto"/>
          <w:sz w:val="28"/>
          <w:szCs w:val="28"/>
          <w:highlight w:val="none"/>
        </w:rPr>
      </w:r>
      <w:r/>
    </w:p>
    <w:sectPr>
      <w:headerReference w:type="default" r:id="rId10"/>
      <w:footerReference w:type="default" r:id="rId14"/>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Constantia">
    <w:panose1 w:val="02030602050306030303"/>
  </w:font>
  <w:font w:name="仿宋">
    <w:panose1 w:val="02010609060101010101"/>
  </w:font>
  <w:font w:name="等线">
    <w:panose1 w:val="02010600030101010101"/>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88"/>
      </w:rPr>
      <w:framePr w:wrap="around" w:vAnchor="text" w:hAnchor="margin" w:xAlign="center" w:y="1"/>
    </w:pPr>
    <w:r>
      <w:fldChar w:fldCharType="begin"/>
    </w:r>
    <w:r>
      <w:rPr>
        <w:rStyle w:val="988"/>
      </w:rPr>
      <w:instrText xml:space="preserve">PAGE  </w:instrText>
    </w:r>
    <w:r>
      <w:fldChar w:fldCharType="end"/>
    </w:r>
    <w:r/>
  </w:p>
  <w:p>
    <w:pPr>
      <w:pStyle w:val="9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7"/>
      <w:spacing w:line="220"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280"/>
      <w:rPr>
        <w:rFonts w:ascii="华文行楷" w:hAnsi="黑体" w:eastAsia="华文行楷"/>
        <w:sz w:val="28"/>
        <w:szCs w:val="28"/>
      </w:rPr>
      <w:pBdr>
        <w:bottom w:val="none" w:color="000000" w:sz="0" w:space="1"/>
      </w:pBdr>
    </w:pPr>
    <w:r>
      <w:rPr>
        <w:rFonts w:ascii="华文行楷" w:hAnsi="黑体" w:eastAsia="华文行楷"/>
        <w:sz w:val="28"/>
        <w:szCs w:val="2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1"/>
      <w:spacing w:before="48" w:line="218" w:lineRule="auto"/>
      <w:rPr>
        <w:rFonts w:ascii="仿宋" w:hAnsi="仿宋" w:eastAsia="仿宋" w:cs="仿宋"/>
        <w:sz w:val="18"/>
        <w:szCs w:val="18"/>
      </w:rPr>
      <w:pBdr>
        <w:bottom w:val="none" w:color="auto" w:sz="0" w:space="0"/>
      </w:pBdr>
    </w:pPr>
    <w:r>
      <w:rPr>
        <w:rFonts w:ascii="仿宋" w:hAnsi="仿宋" w:eastAsia="仿宋" w:cs="仿宋"/>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017"/>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Thousand"/>
      <w:pStyle w:val="1019"/>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1031"/>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8"/>
  </w:num>
  <w:num w:numId="4">
    <w:abstractNumId w:val="1"/>
  </w:num>
  <w:num w:numId="5">
    <w:abstractNumId w:val="4"/>
  </w:num>
  <w:num w:numId="6">
    <w:abstractNumId w:val="0"/>
  </w:num>
  <w:num w:numId="7">
    <w:abstractNumId w:val="2"/>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9"/>
    <w:link w:val="760"/>
    <w:uiPriority w:val="9"/>
    <w:rPr>
      <w:rFonts w:ascii="Arial" w:hAnsi="Arial" w:eastAsia="Arial" w:cs="Arial"/>
      <w:sz w:val="40"/>
      <w:szCs w:val="40"/>
    </w:rPr>
  </w:style>
  <w:style w:type="character" w:styleId="15">
    <w:name w:val="Heading 2 Char"/>
    <w:basedOn w:val="769"/>
    <w:link w:val="761"/>
    <w:uiPriority w:val="9"/>
    <w:rPr>
      <w:rFonts w:ascii="Arial" w:hAnsi="Arial" w:eastAsia="Arial" w:cs="Arial"/>
      <w:sz w:val="34"/>
    </w:rPr>
  </w:style>
  <w:style w:type="character" w:styleId="17">
    <w:name w:val="Heading 3 Char"/>
    <w:basedOn w:val="769"/>
    <w:link w:val="762"/>
    <w:uiPriority w:val="9"/>
    <w:rPr>
      <w:rFonts w:ascii="Arial" w:hAnsi="Arial" w:eastAsia="Arial" w:cs="Arial"/>
      <w:sz w:val="30"/>
      <w:szCs w:val="30"/>
    </w:rPr>
  </w:style>
  <w:style w:type="character" w:styleId="19">
    <w:name w:val="Heading 4 Char"/>
    <w:basedOn w:val="769"/>
    <w:link w:val="763"/>
    <w:uiPriority w:val="9"/>
    <w:rPr>
      <w:rFonts w:ascii="Arial" w:hAnsi="Arial" w:eastAsia="Arial" w:cs="Arial"/>
      <w:b/>
      <w:bCs/>
      <w:sz w:val="26"/>
      <w:szCs w:val="26"/>
    </w:rPr>
  </w:style>
  <w:style w:type="character" w:styleId="21">
    <w:name w:val="Heading 5 Char"/>
    <w:basedOn w:val="769"/>
    <w:link w:val="764"/>
    <w:uiPriority w:val="9"/>
    <w:rPr>
      <w:rFonts w:ascii="Arial" w:hAnsi="Arial" w:eastAsia="Arial" w:cs="Arial"/>
      <w:b/>
      <w:bCs/>
      <w:sz w:val="24"/>
      <w:szCs w:val="24"/>
    </w:rPr>
  </w:style>
  <w:style w:type="character" w:styleId="23">
    <w:name w:val="Heading 6 Char"/>
    <w:basedOn w:val="769"/>
    <w:link w:val="765"/>
    <w:uiPriority w:val="9"/>
    <w:rPr>
      <w:rFonts w:ascii="Arial" w:hAnsi="Arial" w:eastAsia="Arial" w:cs="Arial"/>
      <w:b/>
      <w:bCs/>
      <w:sz w:val="22"/>
      <w:szCs w:val="22"/>
    </w:rPr>
  </w:style>
  <w:style w:type="character" w:styleId="25">
    <w:name w:val="Heading 7 Char"/>
    <w:basedOn w:val="769"/>
    <w:link w:val="766"/>
    <w:uiPriority w:val="9"/>
    <w:rPr>
      <w:rFonts w:ascii="Arial" w:hAnsi="Arial" w:eastAsia="Arial" w:cs="Arial"/>
      <w:b/>
      <w:bCs/>
      <w:i/>
      <w:iCs/>
      <w:sz w:val="22"/>
      <w:szCs w:val="22"/>
    </w:rPr>
  </w:style>
  <w:style w:type="character" w:styleId="27">
    <w:name w:val="Heading 8 Char"/>
    <w:basedOn w:val="769"/>
    <w:link w:val="767"/>
    <w:uiPriority w:val="9"/>
    <w:rPr>
      <w:rFonts w:ascii="Arial" w:hAnsi="Arial" w:eastAsia="Arial" w:cs="Arial"/>
      <w:i/>
      <w:iCs/>
      <w:sz w:val="22"/>
      <w:szCs w:val="22"/>
    </w:rPr>
  </w:style>
  <w:style w:type="character" w:styleId="29">
    <w:name w:val="Heading 9 Char"/>
    <w:basedOn w:val="769"/>
    <w:link w:val="768"/>
    <w:uiPriority w:val="9"/>
    <w:rPr>
      <w:rFonts w:ascii="Arial" w:hAnsi="Arial" w:eastAsia="Arial" w:cs="Arial"/>
      <w:i/>
      <w:iCs/>
      <w:sz w:val="21"/>
      <w:szCs w:val="21"/>
    </w:rPr>
  </w:style>
  <w:style w:type="character" w:styleId="34">
    <w:name w:val="Title Char"/>
    <w:basedOn w:val="769"/>
    <w:link w:val="793"/>
    <w:uiPriority w:val="10"/>
    <w:rPr>
      <w:sz w:val="48"/>
      <w:szCs w:val="48"/>
    </w:rPr>
  </w:style>
  <w:style w:type="character" w:styleId="36">
    <w:name w:val="Subtitle Char"/>
    <w:basedOn w:val="769"/>
    <w:link w:val="786"/>
    <w:uiPriority w:val="11"/>
    <w:rPr>
      <w:sz w:val="24"/>
      <w:szCs w:val="24"/>
    </w:rPr>
  </w:style>
  <w:style w:type="character" w:styleId="38">
    <w:name w:val="Quote Char"/>
    <w:link w:val="813"/>
    <w:uiPriority w:val="29"/>
    <w:rPr>
      <w:i/>
    </w:rPr>
  </w:style>
  <w:style w:type="character" w:styleId="40">
    <w:name w:val="Intense Quote Char"/>
    <w:link w:val="815"/>
    <w:uiPriority w:val="30"/>
    <w:rPr>
      <w:i/>
    </w:rPr>
  </w:style>
  <w:style w:type="character" w:styleId="42">
    <w:name w:val="Header Char"/>
    <w:basedOn w:val="769"/>
    <w:link w:val="783"/>
    <w:uiPriority w:val="99"/>
  </w:style>
  <w:style w:type="character" w:styleId="46">
    <w:name w:val="Caption Char"/>
    <w:basedOn w:val="772"/>
    <w:link w:val="782"/>
    <w:uiPriority w:val="99"/>
  </w:style>
  <w:style w:type="character" w:styleId="175">
    <w:name w:val="Footnote Text Char"/>
    <w:link w:val="787"/>
    <w:uiPriority w:val="99"/>
    <w:rPr>
      <w:sz w:val="18"/>
    </w:rPr>
  </w:style>
  <w:style w:type="character" w:styleId="178">
    <w:name w:val="Endnote Text Char"/>
    <w:link w:val="780"/>
    <w:uiPriority w:val="99"/>
    <w:rPr>
      <w:sz w:val="20"/>
    </w:rPr>
  </w:style>
  <w:style w:type="paragraph" w:styleId="189">
    <w:name w:val="TOC Heading"/>
    <w:uiPriority w:val="39"/>
    <w:unhideWhenUsed/>
  </w:style>
  <w:style w:type="paragraph" w:styleId="75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0">
    <w:name w:val="Heading 1"/>
    <w:basedOn w:val="759"/>
    <w:next w:val="759"/>
    <w:link w:val="800"/>
    <w:uiPriority w:val="9"/>
    <w:qFormat/>
    <w:pPr>
      <w:keepLines/>
      <w:keepNext/>
      <w:spacing w:before="480" w:after="200"/>
      <w:outlineLvl w:val="0"/>
    </w:pPr>
    <w:rPr>
      <w:rFonts w:ascii="Arial" w:hAnsi="Arial" w:eastAsia="Arial" w:cs="Arial"/>
      <w:sz w:val="40"/>
      <w:szCs w:val="40"/>
    </w:rPr>
  </w:style>
  <w:style w:type="paragraph" w:styleId="761">
    <w:name w:val="Heading 2"/>
    <w:basedOn w:val="759"/>
    <w:next w:val="759"/>
    <w:link w:val="801"/>
    <w:uiPriority w:val="9"/>
    <w:unhideWhenUsed/>
    <w:qFormat/>
    <w:pPr>
      <w:keepLines/>
      <w:keepNext/>
      <w:spacing w:before="360" w:after="200"/>
      <w:outlineLvl w:val="1"/>
    </w:pPr>
    <w:rPr>
      <w:rFonts w:ascii="Arial" w:hAnsi="Arial" w:eastAsia="Arial" w:cs="Arial"/>
      <w:sz w:val="34"/>
    </w:rPr>
  </w:style>
  <w:style w:type="paragraph" w:styleId="762">
    <w:name w:val="Heading 3"/>
    <w:basedOn w:val="759"/>
    <w:next w:val="759"/>
    <w:link w:val="802"/>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link w:val="803"/>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804"/>
    <w:uiPriority w:val="9"/>
    <w:unhideWhenUsed/>
    <w:qFormat/>
    <w:pPr>
      <w:keepLines/>
      <w:keepNext/>
      <w:spacing w:before="320" w:after="200"/>
      <w:outlineLvl w:val="4"/>
    </w:pPr>
    <w:rPr>
      <w:rFonts w:ascii="Arial" w:hAnsi="Arial" w:eastAsia="Arial" w:cs="Arial"/>
      <w:b/>
      <w:bCs/>
      <w:sz w:val="24"/>
    </w:rPr>
  </w:style>
  <w:style w:type="paragraph" w:styleId="765">
    <w:name w:val="Heading 6"/>
    <w:basedOn w:val="759"/>
    <w:next w:val="759"/>
    <w:link w:val="805"/>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9"/>
    <w:next w:val="759"/>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9"/>
    <w:next w:val="759"/>
    <w:link w:val="807"/>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9"/>
    <w:next w:val="759"/>
    <w:link w:val="808"/>
    <w:uiPriority w:val="9"/>
    <w:unhideWhenUsed/>
    <w:qFormat/>
    <w:pPr>
      <w:keepLines/>
      <w:keepNext/>
      <w:spacing w:before="320" w:after="200"/>
      <w:outlineLvl w:val="8"/>
    </w:pPr>
    <w:rPr>
      <w:rFonts w:ascii="Arial" w:hAnsi="Arial" w:eastAsia="Arial" w:cs="Arial"/>
      <w:i/>
      <w:iCs/>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toc 7"/>
    <w:basedOn w:val="759"/>
    <w:next w:val="759"/>
    <w:uiPriority w:val="39"/>
    <w:unhideWhenUsed/>
    <w:qFormat/>
    <w:pPr>
      <w:ind w:left="1701"/>
      <w:spacing w:after="57"/>
    </w:pPr>
  </w:style>
  <w:style w:type="paragraph" w:styleId="772">
    <w:name w:val="Caption"/>
    <w:basedOn w:val="759"/>
    <w:next w:val="7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annotation text"/>
    <w:basedOn w:val="759"/>
    <w:uiPriority w:val="99"/>
    <w:semiHidden/>
    <w:unhideWhenUsed/>
    <w:qFormat/>
    <w:pPr>
      <w:jc w:val="left"/>
    </w:pPr>
  </w:style>
  <w:style w:type="paragraph" w:styleId="774">
    <w:name w:val="Body Text"/>
    <w:basedOn w:val="759"/>
    <w:next w:val="759"/>
    <w:uiPriority w:val="0"/>
    <w:semiHidden/>
    <w:qFormat/>
    <w:rPr>
      <w:rFonts w:ascii="Arial" w:hAnsi="Arial" w:eastAsia="Arial" w:cs="Arial"/>
      <w:szCs w:val="21"/>
      <w:lang w:eastAsia="en-US"/>
    </w:rPr>
  </w:style>
  <w:style w:type="paragraph" w:styleId="775">
    <w:name w:val="Body Text Indent"/>
    <w:basedOn w:val="759"/>
    <w:next w:val="776"/>
    <w:uiPriority w:val="0"/>
    <w:qFormat/>
    <w:pPr>
      <w:ind w:left="420"/>
      <w:spacing w:after="120"/>
    </w:pPr>
    <w:rPr>
      <w:lang w:eastAsia="en-US"/>
    </w:rPr>
  </w:style>
  <w:style w:type="paragraph" w:styleId="776">
    <w:name w:val="envelope return"/>
    <w:basedOn w:val="759"/>
    <w:uiPriority w:val="0"/>
    <w:qFormat/>
    <w:rPr>
      <w:rFonts w:ascii="Arial" w:hAnsi="Arial"/>
    </w:rPr>
  </w:style>
  <w:style w:type="paragraph" w:styleId="777">
    <w:name w:val="toc 5"/>
    <w:basedOn w:val="759"/>
    <w:next w:val="759"/>
    <w:uiPriority w:val="39"/>
    <w:unhideWhenUsed/>
    <w:qFormat/>
    <w:pPr>
      <w:ind w:left="1134"/>
      <w:spacing w:after="57"/>
    </w:pPr>
  </w:style>
  <w:style w:type="paragraph" w:styleId="778">
    <w:name w:val="toc 3"/>
    <w:basedOn w:val="759"/>
    <w:next w:val="759"/>
    <w:uiPriority w:val="39"/>
    <w:unhideWhenUsed/>
    <w:qFormat/>
    <w:pPr>
      <w:ind w:left="567"/>
      <w:spacing w:after="57"/>
    </w:pPr>
  </w:style>
  <w:style w:type="paragraph" w:styleId="779">
    <w:name w:val="toc 8"/>
    <w:basedOn w:val="759"/>
    <w:next w:val="759"/>
    <w:uiPriority w:val="39"/>
    <w:unhideWhenUsed/>
    <w:qFormat/>
    <w:pPr>
      <w:ind w:left="1984"/>
      <w:spacing w:after="57"/>
    </w:pPr>
  </w:style>
  <w:style w:type="paragraph" w:styleId="780">
    <w:name w:val="endnote text"/>
    <w:basedOn w:val="759"/>
    <w:link w:val="946"/>
    <w:uiPriority w:val="99"/>
    <w:semiHidden/>
    <w:unhideWhenUsed/>
    <w:qFormat/>
    <w:rPr>
      <w:sz w:val="20"/>
    </w:rPr>
  </w:style>
  <w:style w:type="paragraph" w:styleId="781">
    <w:name w:val="Balloon Text"/>
    <w:basedOn w:val="759"/>
    <w:link w:val="1048"/>
    <w:uiPriority w:val="99"/>
    <w:semiHidden/>
    <w:unhideWhenUsed/>
    <w:qFormat/>
    <w:rPr>
      <w:sz w:val="18"/>
      <w:szCs w:val="18"/>
    </w:rPr>
  </w:style>
  <w:style w:type="paragraph" w:styleId="782">
    <w:name w:val="Footer"/>
    <w:basedOn w:val="759"/>
    <w:link w:val="819"/>
    <w:uiPriority w:val="99"/>
    <w:unhideWhenUsed/>
    <w:qFormat/>
    <w:pPr>
      <w:tabs>
        <w:tab w:val="center" w:pos="7143" w:leader="none"/>
        <w:tab w:val="right" w:pos="14287" w:leader="none"/>
      </w:tabs>
    </w:pPr>
  </w:style>
  <w:style w:type="paragraph" w:styleId="783">
    <w:name w:val="Header"/>
    <w:basedOn w:val="759"/>
    <w:link w:val="817"/>
    <w:uiPriority w:val="99"/>
    <w:unhideWhenUsed/>
    <w:qFormat/>
    <w:pPr>
      <w:tabs>
        <w:tab w:val="center" w:pos="7143" w:leader="none"/>
        <w:tab w:val="right" w:pos="14287" w:leader="none"/>
      </w:tabs>
    </w:pPr>
  </w:style>
  <w:style w:type="paragraph" w:styleId="784">
    <w:name w:val="toc 1"/>
    <w:basedOn w:val="759"/>
    <w:next w:val="759"/>
    <w:uiPriority w:val="39"/>
    <w:unhideWhenUsed/>
    <w:qFormat/>
    <w:pPr>
      <w:spacing w:after="57"/>
    </w:pPr>
  </w:style>
  <w:style w:type="paragraph" w:styleId="785">
    <w:name w:val="toc 4"/>
    <w:basedOn w:val="759"/>
    <w:next w:val="759"/>
    <w:uiPriority w:val="39"/>
    <w:unhideWhenUsed/>
    <w:qFormat/>
    <w:pPr>
      <w:ind w:left="850"/>
      <w:spacing w:after="57"/>
    </w:pPr>
  </w:style>
  <w:style w:type="paragraph" w:styleId="786">
    <w:name w:val="Subtitle"/>
    <w:basedOn w:val="759"/>
    <w:next w:val="759"/>
    <w:link w:val="812"/>
    <w:uiPriority w:val="11"/>
    <w:qFormat/>
    <w:pPr>
      <w:spacing w:before="200" w:after="200"/>
    </w:pPr>
    <w:rPr>
      <w:sz w:val="24"/>
    </w:rPr>
  </w:style>
  <w:style w:type="paragraph" w:styleId="787">
    <w:name w:val="footnote text"/>
    <w:basedOn w:val="759"/>
    <w:link w:val="945"/>
    <w:uiPriority w:val="99"/>
    <w:semiHidden/>
    <w:unhideWhenUsed/>
    <w:qFormat/>
    <w:pPr>
      <w:spacing w:after="40"/>
    </w:pPr>
    <w:rPr>
      <w:sz w:val="18"/>
    </w:rPr>
  </w:style>
  <w:style w:type="paragraph" w:styleId="788">
    <w:name w:val="toc 6"/>
    <w:basedOn w:val="759"/>
    <w:next w:val="759"/>
    <w:uiPriority w:val="39"/>
    <w:unhideWhenUsed/>
    <w:qFormat/>
    <w:pPr>
      <w:ind w:left="1417"/>
      <w:spacing w:after="57"/>
    </w:pPr>
  </w:style>
  <w:style w:type="paragraph" w:styleId="789">
    <w:name w:val="table of figures"/>
    <w:basedOn w:val="759"/>
    <w:next w:val="759"/>
    <w:uiPriority w:val="99"/>
    <w:unhideWhenUsed/>
    <w:qFormat/>
  </w:style>
  <w:style w:type="paragraph" w:styleId="790">
    <w:name w:val="toc 2"/>
    <w:basedOn w:val="759"/>
    <w:next w:val="759"/>
    <w:uiPriority w:val="39"/>
    <w:unhideWhenUsed/>
    <w:qFormat/>
    <w:pPr>
      <w:ind w:left="283"/>
      <w:spacing w:after="57"/>
    </w:pPr>
  </w:style>
  <w:style w:type="paragraph" w:styleId="791">
    <w:name w:val="toc 9"/>
    <w:basedOn w:val="759"/>
    <w:next w:val="759"/>
    <w:uiPriority w:val="39"/>
    <w:unhideWhenUsed/>
    <w:qFormat/>
    <w:pPr>
      <w:ind w:left="2268"/>
      <w:spacing w:after="57"/>
    </w:pPr>
  </w:style>
  <w:style w:type="paragraph" w:styleId="792">
    <w:name w:val="Message Header"/>
    <w:basedOn w:val="759"/>
    <w:next w:val="759"/>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cs="Arial"/>
    </w:rPr>
  </w:style>
  <w:style w:type="paragraph" w:styleId="793">
    <w:name w:val="Title"/>
    <w:basedOn w:val="759"/>
    <w:next w:val="759"/>
    <w:link w:val="811"/>
    <w:uiPriority w:val="10"/>
    <w:qFormat/>
    <w:pPr>
      <w:contextualSpacing/>
      <w:spacing w:before="300" w:after="200"/>
    </w:pPr>
    <w:rPr>
      <w:sz w:val="48"/>
      <w:szCs w:val="48"/>
    </w:rPr>
  </w:style>
  <w:style w:type="paragraph" w:styleId="794">
    <w:name w:val="Body Text First Indent 2"/>
    <w:basedOn w:val="775"/>
    <w:uiPriority w:val="0"/>
    <w:qFormat/>
    <w:pPr>
      <w:ind w:firstLine="420"/>
      <w:widowControl/>
    </w:pPr>
    <w:rPr>
      <w:rFonts w:ascii="仿宋_GB2312" w:eastAsia="仿宋_GB2312"/>
      <w:color w:val="ff6600"/>
    </w:r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endnote reference"/>
    <w:uiPriority w:val="99"/>
    <w:semiHidden/>
    <w:unhideWhenUsed/>
    <w:qFormat/>
    <w:rPr>
      <w:vertAlign w:val="superscript"/>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annotation reference"/>
    <w:basedOn w:val="769"/>
    <w:uiPriority w:val="99"/>
    <w:semiHidden/>
    <w:unhideWhenUsed/>
    <w:qFormat/>
    <w:rPr>
      <w:sz w:val="21"/>
      <w:szCs w:val="21"/>
    </w:rPr>
  </w:style>
  <w:style w:type="character" w:styleId="799">
    <w:name w:val="footnote reference"/>
    <w:uiPriority w:val="99"/>
    <w:unhideWhenUsed/>
    <w:qFormat/>
    <w:rPr>
      <w:vertAlign w:val="superscript"/>
    </w:rPr>
  </w:style>
  <w:style w:type="character" w:styleId="800" w:customStyle="1">
    <w:name w:val="标题 1 Char"/>
    <w:link w:val="760"/>
    <w:uiPriority w:val="9"/>
    <w:qFormat/>
    <w:rPr>
      <w:rFonts w:ascii="Arial" w:hAnsi="Arial" w:eastAsia="Arial" w:cs="Arial"/>
      <w:sz w:val="40"/>
      <w:szCs w:val="40"/>
    </w:rPr>
  </w:style>
  <w:style w:type="character" w:styleId="801" w:customStyle="1">
    <w:name w:val="标题 2 Char1"/>
    <w:link w:val="761"/>
    <w:uiPriority w:val="9"/>
    <w:qFormat/>
    <w:rPr>
      <w:rFonts w:ascii="Arial" w:hAnsi="Arial" w:eastAsia="Arial" w:cs="Arial"/>
      <w:sz w:val="34"/>
    </w:rPr>
  </w:style>
  <w:style w:type="character" w:styleId="802" w:customStyle="1">
    <w:name w:val="标题 3 Char"/>
    <w:link w:val="762"/>
    <w:uiPriority w:val="9"/>
    <w:qFormat/>
    <w:rPr>
      <w:rFonts w:ascii="Arial" w:hAnsi="Arial" w:eastAsia="Arial" w:cs="Arial"/>
      <w:sz w:val="30"/>
      <w:szCs w:val="30"/>
    </w:rPr>
  </w:style>
  <w:style w:type="character" w:styleId="803" w:customStyle="1">
    <w:name w:val="标题 4 Char1"/>
    <w:link w:val="763"/>
    <w:uiPriority w:val="9"/>
    <w:qFormat/>
    <w:rPr>
      <w:rFonts w:ascii="Arial" w:hAnsi="Arial" w:eastAsia="Arial" w:cs="Arial"/>
      <w:b/>
      <w:bCs/>
      <w:sz w:val="26"/>
      <w:szCs w:val="26"/>
    </w:rPr>
  </w:style>
  <w:style w:type="character" w:styleId="804" w:customStyle="1">
    <w:name w:val="标题 5 Char1"/>
    <w:link w:val="764"/>
    <w:uiPriority w:val="9"/>
    <w:qFormat/>
    <w:rPr>
      <w:rFonts w:ascii="Arial" w:hAnsi="Arial" w:eastAsia="Arial" w:cs="Arial"/>
      <w:b/>
      <w:bCs/>
      <w:sz w:val="24"/>
      <w:szCs w:val="24"/>
    </w:rPr>
  </w:style>
  <w:style w:type="character" w:styleId="805" w:customStyle="1">
    <w:name w:val="标题 6 Char"/>
    <w:link w:val="765"/>
    <w:uiPriority w:val="9"/>
    <w:qFormat/>
    <w:rPr>
      <w:rFonts w:ascii="Arial" w:hAnsi="Arial" w:eastAsia="Arial" w:cs="Arial"/>
      <w:b/>
      <w:bCs/>
      <w:sz w:val="22"/>
      <w:szCs w:val="22"/>
    </w:rPr>
  </w:style>
  <w:style w:type="character" w:styleId="806" w:customStyle="1">
    <w:name w:val="标题 7 Char"/>
    <w:link w:val="766"/>
    <w:uiPriority w:val="9"/>
    <w:qFormat/>
    <w:rPr>
      <w:rFonts w:ascii="Arial" w:hAnsi="Arial" w:eastAsia="Arial" w:cs="Arial"/>
      <w:b/>
      <w:bCs/>
      <w:i/>
      <w:iCs/>
      <w:sz w:val="22"/>
      <w:szCs w:val="22"/>
    </w:rPr>
  </w:style>
  <w:style w:type="character" w:styleId="807" w:customStyle="1">
    <w:name w:val="标题 8 Char"/>
    <w:link w:val="767"/>
    <w:uiPriority w:val="9"/>
    <w:qFormat/>
    <w:rPr>
      <w:rFonts w:ascii="Arial" w:hAnsi="Arial" w:eastAsia="Arial" w:cs="Arial"/>
      <w:i/>
      <w:iCs/>
      <w:sz w:val="22"/>
      <w:szCs w:val="22"/>
    </w:rPr>
  </w:style>
  <w:style w:type="character" w:styleId="808" w:customStyle="1">
    <w:name w:val="标题 9 Char"/>
    <w:link w:val="768"/>
    <w:uiPriority w:val="9"/>
    <w:qFormat/>
    <w:rPr>
      <w:rFonts w:ascii="Arial" w:hAnsi="Arial" w:eastAsia="Arial" w:cs="Arial"/>
      <w:i/>
      <w:iCs/>
      <w:sz w:val="21"/>
      <w:szCs w:val="21"/>
    </w:rPr>
  </w:style>
  <w:style w:type="paragraph" w:styleId="809">
    <w:name w:val="List Paragraph"/>
    <w:basedOn w:val="759"/>
    <w:uiPriority w:val="34"/>
    <w:qFormat/>
    <w:pPr>
      <w:contextualSpacing/>
      <w:ind w:left="720"/>
    </w:pPr>
  </w:style>
  <w:style w:type="paragraph" w:styleId="810">
    <w:name w:val="No Spacing"/>
    <w:uiPriority w:val="1"/>
    <w:qFormat/>
    <w:rPr>
      <w:rFonts w:ascii="Times New Roman" w:hAnsi="Times New Roman" w:eastAsia="宋体" w:cs="Times New Roman"/>
      <w:lang w:val="en-US" w:eastAsia="zh-CN" w:bidi="ar-SA"/>
    </w:rPr>
  </w:style>
  <w:style w:type="character" w:styleId="811" w:customStyle="1">
    <w:name w:val="标题 Char"/>
    <w:link w:val="793"/>
    <w:uiPriority w:val="10"/>
    <w:qFormat/>
    <w:rPr>
      <w:sz w:val="48"/>
      <w:szCs w:val="48"/>
    </w:rPr>
  </w:style>
  <w:style w:type="character" w:styleId="812" w:customStyle="1">
    <w:name w:val="副标题 Char"/>
    <w:link w:val="786"/>
    <w:uiPriority w:val="11"/>
    <w:qFormat/>
    <w:rPr>
      <w:sz w:val="24"/>
      <w:szCs w:val="24"/>
    </w:rPr>
  </w:style>
  <w:style w:type="paragraph" w:styleId="813">
    <w:name w:val="Quote"/>
    <w:basedOn w:val="759"/>
    <w:next w:val="759"/>
    <w:link w:val="814"/>
    <w:uiPriority w:val="29"/>
    <w:qFormat/>
    <w:pPr>
      <w:ind w:left="720" w:right="720"/>
    </w:pPr>
    <w:rPr>
      <w:i/>
    </w:rPr>
  </w:style>
  <w:style w:type="character" w:styleId="814" w:customStyle="1">
    <w:name w:val="引用 Char"/>
    <w:link w:val="813"/>
    <w:uiPriority w:val="29"/>
    <w:qFormat/>
    <w:rPr>
      <w:i/>
    </w:rPr>
  </w:style>
  <w:style w:type="paragraph" w:styleId="815">
    <w:name w:val="Intense Quote"/>
    <w:basedOn w:val="759"/>
    <w:next w:val="759"/>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Char"/>
    <w:link w:val="815"/>
    <w:uiPriority w:val="30"/>
    <w:qFormat/>
    <w:rPr>
      <w:i/>
    </w:rPr>
  </w:style>
  <w:style w:type="character" w:styleId="817" w:customStyle="1">
    <w:name w:val="页眉 Char1"/>
    <w:link w:val="783"/>
    <w:uiPriority w:val="99"/>
    <w:qFormat/>
  </w:style>
  <w:style w:type="character" w:styleId="818" w:customStyle="1">
    <w:name w:val="Footer Char"/>
    <w:uiPriority w:val="99"/>
    <w:qFormat/>
  </w:style>
  <w:style w:type="character" w:styleId="819" w:customStyle="1">
    <w:name w:val="页脚 Char1"/>
    <w:link w:val="782"/>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Char"/>
    <w:link w:val="787"/>
    <w:uiPriority w:val="99"/>
    <w:qFormat/>
    <w:rPr>
      <w:sz w:val="18"/>
    </w:rPr>
  </w:style>
  <w:style w:type="character" w:styleId="946" w:customStyle="1">
    <w:name w:val="尾注文本 Char"/>
    <w:link w:val="780"/>
    <w:uiPriority w:val="99"/>
    <w:qFormat/>
    <w:rPr>
      <w:sz w:val="20"/>
    </w:rPr>
  </w:style>
  <w:style w:type="paragraph" w:styleId="947" w:customStyle="1">
    <w:name w:val="TOC 标题1"/>
    <w:uiPriority w:val="39"/>
    <w:unhideWhenUsed/>
    <w:qFormat/>
    <w:rPr>
      <w:rFonts w:ascii="Times New Roman" w:hAnsi="Times New Roman" w:eastAsia="宋体" w:cs="Times New Roman"/>
      <w:lang w:val="en-US" w:eastAsia="zh-CN" w:bidi="ar-SA"/>
    </w:rPr>
  </w:style>
  <w:style w:type="paragraph" w:styleId="948" w:customStyle="1">
    <w:name w:val="标题 11"/>
    <w:basedOn w:val="759"/>
    <w:next w:val="759"/>
    <w:uiPriority w:val="9"/>
    <w:qFormat/>
    <w:pPr>
      <w:keepLines/>
      <w:keepNext/>
      <w:spacing w:before="340" w:after="330" w:line="578" w:lineRule="auto"/>
      <w:outlineLvl w:val="0"/>
    </w:pPr>
    <w:rPr>
      <w:b/>
      <w:bCs/>
      <w:sz w:val="44"/>
      <w:szCs w:val="44"/>
    </w:rPr>
  </w:style>
  <w:style w:type="paragraph" w:styleId="949" w:customStyle="1">
    <w:name w:val="标题 211"/>
    <w:basedOn w:val="759"/>
    <w:next w:val="759"/>
    <w:uiPriority w:val="9"/>
    <w:qFormat/>
    <w:pPr>
      <w:keepLines/>
      <w:keepNext/>
      <w:spacing w:before="260" w:after="260" w:line="413" w:lineRule="auto"/>
      <w:outlineLvl w:val="1"/>
    </w:pPr>
    <w:rPr>
      <w:rFonts w:ascii="Arial" w:hAnsi="Arial" w:eastAsia="黑体"/>
      <w:b/>
      <w:sz w:val="32"/>
      <w:szCs w:val="20"/>
    </w:rPr>
  </w:style>
  <w:style w:type="paragraph" w:styleId="950" w:customStyle="1">
    <w:name w:val="标题 31"/>
    <w:basedOn w:val="759"/>
    <w:next w:val="759"/>
    <w:uiPriority w:val="9"/>
    <w:qFormat/>
    <w:pPr>
      <w:keepLines/>
      <w:keepNext/>
      <w:spacing w:before="260" w:after="260" w:line="413" w:lineRule="auto"/>
      <w:outlineLvl w:val="2"/>
    </w:pPr>
    <w:rPr>
      <w:rFonts w:ascii="Arial" w:hAnsi="Arial"/>
      <w:b/>
      <w:sz w:val="32"/>
      <w:szCs w:val="20"/>
    </w:rPr>
  </w:style>
  <w:style w:type="paragraph" w:styleId="951" w:customStyle="1">
    <w:name w:val="标题 41"/>
    <w:basedOn w:val="759"/>
    <w:next w:val="759"/>
    <w:link w:val="955"/>
    <w:uiPriority w:val="9"/>
    <w:qFormat/>
    <w:pPr>
      <w:keepLines/>
      <w:keepNext/>
      <w:spacing w:before="280" w:after="290" w:line="376" w:lineRule="auto"/>
      <w:outlineLvl w:val="3"/>
    </w:pPr>
    <w:rPr>
      <w:rFonts w:ascii="Cambria" w:hAnsi="Cambria"/>
      <w:b/>
      <w:bCs/>
      <w:sz w:val="28"/>
      <w:szCs w:val="28"/>
    </w:rPr>
  </w:style>
  <w:style w:type="paragraph" w:styleId="952" w:customStyle="1">
    <w:name w:val="标题 51"/>
    <w:basedOn w:val="759"/>
    <w:next w:val="759"/>
    <w:link w:val="956"/>
    <w:uiPriority w:val="9"/>
    <w:qFormat/>
    <w:pPr>
      <w:keepLines/>
      <w:keepNext/>
      <w:spacing w:before="280" w:after="290" w:line="376" w:lineRule="auto"/>
      <w:outlineLvl w:val="4"/>
    </w:pPr>
    <w:rPr>
      <w:b/>
      <w:bCs/>
      <w:sz w:val="28"/>
      <w:szCs w:val="28"/>
    </w:rPr>
  </w:style>
  <w:style w:type="character" w:styleId="953" w:customStyle="1">
    <w:name w:val="默认段落字体1"/>
    <w:uiPriority w:val="0"/>
    <w:semiHidden/>
    <w:qFormat/>
  </w:style>
  <w:style w:type="table" w:styleId="954"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955" w:customStyle="1">
    <w:name w:val="标题 4 Char"/>
    <w:link w:val="951"/>
    <w:uiPriority w:val="9"/>
    <w:qFormat/>
    <w:rPr>
      <w:rFonts w:ascii="Cambria" w:hAnsi="Cambria"/>
      <w:b/>
      <w:bCs/>
      <w:sz w:val="28"/>
      <w:szCs w:val="28"/>
    </w:rPr>
  </w:style>
  <w:style w:type="character" w:styleId="956" w:customStyle="1">
    <w:name w:val="标题 5 Char"/>
    <w:link w:val="952"/>
    <w:uiPriority w:val="9"/>
    <w:qFormat/>
    <w:rPr>
      <w:b/>
      <w:bCs/>
      <w:sz w:val="28"/>
      <w:szCs w:val="28"/>
    </w:rPr>
  </w:style>
  <w:style w:type="paragraph" w:styleId="957" w:customStyle="1">
    <w:name w:val="正文缩进1"/>
    <w:basedOn w:val="759"/>
    <w:link w:val="958"/>
    <w:uiPriority w:val="0"/>
    <w:qFormat/>
    <w:pPr>
      <w:ind w:firstLine="420"/>
    </w:pPr>
    <w:rPr>
      <w:szCs w:val="20"/>
    </w:rPr>
  </w:style>
  <w:style w:type="character" w:styleId="958" w:customStyle="1">
    <w:name w:val="正文缩进 Char"/>
    <w:link w:val="957"/>
    <w:uiPriority w:val="0"/>
    <w:qFormat/>
    <w:rPr>
      <w:sz w:val="21"/>
    </w:rPr>
  </w:style>
  <w:style w:type="paragraph" w:styleId="959" w:customStyle="1">
    <w:name w:val="题注1"/>
    <w:basedOn w:val="759"/>
    <w:next w:val="759"/>
    <w:uiPriority w:val="35"/>
    <w:qFormat/>
    <w:pPr>
      <w:jc w:val="center"/>
      <w:spacing w:before="156" w:after="156" w:line="360" w:lineRule="auto"/>
    </w:pPr>
    <w:rPr>
      <w:rFonts w:ascii="Arial" w:hAnsi="Arial" w:cs="Arial"/>
      <w:sz w:val="24"/>
      <w:szCs w:val="20"/>
    </w:rPr>
  </w:style>
  <w:style w:type="paragraph" w:styleId="960" w:customStyle="1">
    <w:name w:val="文档结构图1"/>
    <w:basedOn w:val="759"/>
    <w:uiPriority w:val="0"/>
    <w:semiHidden/>
    <w:qFormat/>
    <w:pPr>
      <w:shd w:val="clear" w:color="auto" w:fill="000080"/>
    </w:pPr>
  </w:style>
  <w:style w:type="paragraph" w:styleId="961" w:customStyle="1">
    <w:name w:val="批注文字1"/>
    <w:basedOn w:val="759"/>
    <w:link w:val="962"/>
    <w:uiPriority w:val="99"/>
    <w:unhideWhenUsed/>
    <w:qFormat/>
    <w:pPr>
      <w:jc w:val="left"/>
    </w:pPr>
  </w:style>
  <w:style w:type="character" w:styleId="962" w:customStyle="1">
    <w:name w:val="批注文字 Char"/>
    <w:link w:val="961"/>
    <w:uiPriority w:val="99"/>
    <w:qFormat/>
    <w:rPr>
      <w:sz w:val="21"/>
      <w:szCs w:val="24"/>
    </w:rPr>
  </w:style>
  <w:style w:type="paragraph" w:styleId="963" w:customStyle="1">
    <w:name w:val="正文文本 31"/>
    <w:basedOn w:val="759"/>
    <w:uiPriority w:val="0"/>
    <w:qFormat/>
    <w:rPr>
      <w:rFonts w:ascii="楷体_GB2312" w:hAnsi="Arial" w:eastAsia="楷体_GB2312" w:cs="Arial"/>
      <w:b/>
      <w:bCs/>
      <w:color w:val="000000"/>
      <w:sz w:val="24"/>
    </w:rPr>
  </w:style>
  <w:style w:type="paragraph" w:styleId="964" w:customStyle="1">
    <w:name w:val="正文文本1"/>
    <w:basedOn w:val="75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65" w:customStyle="1">
    <w:name w:val="正文文本缩进11"/>
    <w:basedOn w:val="759"/>
    <w:uiPriority w:val="0"/>
    <w:qFormat/>
    <w:pPr>
      <w:ind w:firstLine="630"/>
    </w:pPr>
    <w:rPr>
      <w:rFonts w:ascii="楷体_GB2312" w:eastAsia="楷体_GB2312"/>
      <w:sz w:val="32"/>
      <w:szCs w:val="20"/>
    </w:rPr>
  </w:style>
  <w:style w:type="paragraph" w:styleId="966" w:customStyle="1">
    <w:name w:val="文本块1"/>
    <w:basedOn w:val="759"/>
    <w:uiPriority w:val="0"/>
    <w:qFormat/>
    <w:pPr>
      <w:ind w:left="420" w:right="33"/>
      <w:jc w:val="left"/>
    </w:pPr>
    <w:rPr>
      <w:sz w:val="24"/>
      <w:szCs w:val="20"/>
    </w:rPr>
  </w:style>
  <w:style w:type="paragraph" w:styleId="967" w:customStyle="1">
    <w:name w:val="目录 31"/>
    <w:basedOn w:val="759"/>
    <w:next w:val="759"/>
    <w:uiPriority w:val="0"/>
    <w:semiHidden/>
    <w:qFormat/>
    <w:pPr>
      <w:ind w:left="840"/>
      <w:spacing w:line="300" w:lineRule="auto"/>
      <w:tabs>
        <w:tab w:val="right" w:pos="9344" w:leader="dot"/>
      </w:tabs>
    </w:pPr>
    <w:rPr>
      <w:rFonts w:ascii="Arial" w:hAnsi="Arial" w:cs="Arial"/>
      <w:szCs w:val="21"/>
    </w:rPr>
  </w:style>
  <w:style w:type="paragraph" w:styleId="968" w:customStyle="1">
    <w:name w:val="纯文本11"/>
    <w:basedOn w:val="759"/>
    <w:link w:val="969"/>
    <w:uiPriority w:val="0"/>
    <w:qFormat/>
    <w:rPr>
      <w:rFonts w:ascii="宋体" w:hAnsi="Courier New"/>
      <w:szCs w:val="20"/>
    </w:rPr>
  </w:style>
  <w:style w:type="character" w:styleId="969" w:customStyle="1">
    <w:name w:val="纯文本 Char"/>
    <w:link w:val="968"/>
    <w:uiPriority w:val="0"/>
    <w:qFormat/>
    <w:rPr>
      <w:rFonts w:ascii="宋体" w:hAnsi="Courier New" w:eastAsia="宋体"/>
      <w:sz w:val="21"/>
      <w:lang w:val="en-US" w:eastAsia="zh-CN" w:bidi="ar-SA"/>
    </w:rPr>
  </w:style>
  <w:style w:type="paragraph" w:styleId="970" w:customStyle="1">
    <w:name w:val="正文文本缩进 21"/>
    <w:basedOn w:val="759"/>
    <w:uiPriority w:val="0"/>
    <w:qFormat/>
    <w:pPr>
      <w:ind w:left="420"/>
      <w:spacing w:after="120" w:line="480" w:lineRule="auto"/>
    </w:pPr>
  </w:style>
  <w:style w:type="paragraph" w:styleId="971" w:customStyle="1">
    <w:name w:val="批注框文本1"/>
    <w:basedOn w:val="759"/>
    <w:link w:val="972"/>
    <w:uiPriority w:val="0"/>
    <w:qFormat/>
    <w:rPr>
      <w:sz w:val="18"/>
      <w:szCs w:val="18"/>
    </w:rPr>
  </w:style>
  <w:style w:type="character" w:styleId="972" w:customStyle="1">
    <w:name w:val="批注框文本 Char"/>
    <w:link w:val="971"/>
    <w:uiPriority w:val="0"/>
    <w:qFormat/>
    <w:rPr>
      <w:sz w:val="18"/>
      <w:szCs w:val="18"/>
    </w:rPr>
  </w:style>
  <w:style w:type="paragraph" w:styleId="973" w:customStyle="1">
    <w:name w:val="页脚1"/>
    <w:basedOn w:val="759"/>
    <w:link w:val="974"/>
    <w:uiPriority w:val="0"/>
    <w:qFormat/>
    <w:pPr>
      <w:jc w:val="left"/>
      <w:tabs>
        <w:tab w:val="center" w:pos="4153" w:leader="none"/>
        <w:tab w:val="right" w:pos="8306" w:leader="none"/>
      </w:tabs>
    </w:pPr>
    <w:rPr>
      <w:sz w:val="18"/>
      <w:szCs w:val="18"/>
    </w:rPr>
  </w:style>
  <w:style w:type="character" w:styleId="974" w:customStyle="1">
    <w:name w:val="页脚 Char"/>
    <w:link w:val="973"/>
    <w:uiPriority w:val="0"/>
    <w:qFormat/>
    <w:rPr>
      <w:sz w:val="18"/>
      <w:szCs w:val="18"/>
    </w:rPr>
  </w:style>
  <w:style w:type="paragraph" w:styleId="975" w:customStyle="1">
    <w:name w:val="页眉1"/>
    <w:basedOn w:val="759"/>
    <w:link w:val="976"/>
    <w:uiPriority w:val="0"/>
    <w:qFormat/>
    <w:pPr>
      <w:jc w:val="center"/>
      <w:tabs>
        <w:tab w:val="center" w:pos="4153" w:leader="none"/>
        <w:tab w:val="right" w:pos="8306" w:leader="none"/>
      </w:tabs>
      <w:pBdr>
        <w:bottom w:val="single" w:color="000000" w:sz="6" w:space="1"/>
      </w:pBdr>
    </w:pPr>
    <w:rPr>
      <w:sz w:val="18"/>
      <w:szCs w:val="18"/>
    </w:rPr>
  </w:style>
  <w:style w:type="character" w:styleId="976" w:customStyle="1">
    <w:name w:val="页眉 Char"/>
    <w:link w:val="975"/>
    <w:uiPriority w:val="0"/>
    <w:qFormat/>
    <w:rPr>
      <w:sz w:val="18"/>
      <w:szCs w:val="18"/>
    </w:rPr>
  </w:style>
  <w:style w:type="paragraph" w:styleId="977" w:customStyle="1">
    <w:name w:val="目录 11"/>
    <w:basedOn w:val="759"/>
    <w:next w:val="759"/>
    <w:uiPriority w:val="0"/>
    <w:semiHidden/>
    <w:qFormat/>
  </w:style>
  <w:style w:type="paragraph" w:styleId="978" w:customStyle="1">
    <w:name w:val="正文文本缩进 31"/>
    <w:basedOn w:val="759"/>
    <w:uiPriority w:val="99"/>
    <w:qFormat/>
    <w:pPr>
      <w:ind w:firstLine="420"/>
    </w:pPr>
    <w:rPr>
      <w:rFonts w:eastAsia="楷体_GB2312"/>
    </w:rPr>
  </w:style>
  <w:style w:type="paragraph" w:styleId="979" w:customStyle="1">
    <w:name w:val="目录 21"/>
    <w:basedOn w:val="759"/>
    <w:next w:val="759"/>
    <w:uiPriority w:val="0"/>
    <w:semiHidden/>
    <w:qFormat/>
    <w:pPr>
      <w:ind w:left="420"/>
    </w:pPr>
    <w:rPr>
      <w:szCs w:val="20"/>
    </w:rPr>
  </w:style>
  <w:style w:type="paragraph" w:styleId="980" w:customStyle="1">
    <w:name w:val="正文文本 21"/>
    <w:basedOn w:val="759"/>
    <w:link w:val="981"/>
    <w:uiPriority w:val="0"/>
    <w:qFormat/>
    <w:pPr>
      <w:spacing w:line="440" w:lineRule="exact"/>
    </w:pPr>
    <w:rPr>
      <w:rFonts w:ascii="楷体_GB2312" w:eastAsia="楷体_GB2312"/>
      <w:sz w:val="28"/>
    </w:rPr>
  </w:style>
  <w:style w:type="character" w:styleId="981" w:customStyle="1">
    <w:name w:val="正文文本 2 Char"/>
    <w:link w:val="980"/>
    <w:uiPriority w:val="0"/>
    <w:qFormat/>
    <w:rPr>
      <w:rFonts w:ascii="楷体_GB2312" w:eastAsia="楷体_GB2312"/>
      <w:sz w:val="28"/>
      <w:szCs w:val="24"/>
    </w:rPr>
  </w:style>
  <w:style w:type="paragraph" w:styleId="982" w:customStyle="1">
    <w:name w:val="普通(网站)1"/>
    <w:basedOn w:val="759"/>
    <w:uiPriority w:val="0"/>
    <w:qFormat/>
    <w:pPr>
      <w:jc w:val="left"/>
      <w:spacing w:before="100" w:beforeAutospacing="1" w:after="100" w:afterAutospacing="1"/>
    </w:pPr>
    <w:rPr>
      <w:sz w:val="24"/>
    </w:rPr>
  </w:style>
  <w:style w:type="paragraph" w:styleId="983" w:customStyle="1">
    <w:name w:val="批注主题1"/>
    <w:basedOn w:val="961"/>
    <w:next w:val="961"/>
    <w:link w:val="984"/>
    <w:uiPriority w:val="0"/>
    <w:qFormat/>
    <w:rPr>
      <w:b/>
      <w:bCs/>
    </w:rPr>
  </w:style>
  <w:style w:type="character" w:styleId="984" w:customStyle="1">
    <w:name w:val="批注主题 Char"/>
    <w:link w:val="983"/>
    <w:uiPriority w:val="0"/>
    <w:qFormat/>
    <w:rPr>
      <w:b/>
      <w:bCs/>
      <w:sz w:val="21"/>
      <w:szCs w:val="24"/>
    </w:rPr>
  </w:style>
  <w:style w:type="paragraph" w:styleId="985" w:customStyle="1">
    <w:name w:val="正文首行缩进 211"/>
    <w:basedOn w:val="965"/>
    <w:uiPriority w:val="0"/>
    <w:qFormat/>
    <w:pPr>
      <w:ind w:left="420" w:firstLine="420"/>
      <w:spacing w:after="120"/>
      <w:widowControl/>
    </w:pPr>
    <w:rPr>
      <w:rFonts w:ascii="仿宋_GB2312" w:eastAsia="仿宋_GB2312"/>
      <w:color w:val="ff6600"/>
      <w:sz w:val="21"/>
    </w:rPr>
  </w:style>
  <w:style w:type="table" w:styleId="986" w:customStyle="1">
    <w:name w:val="网格型1"/>
    <w:basedOn w:val="954"/>
    <w:uiPriority w:val="0"/>
    <w:qFormat/>
    <w:tblPr>
      <w:tblCellMar>
        <w:left w:w="0" w:type="dxa"/>
        <w:top w:w="0" w:type="dxa"/>
        <w:right w:w="0" w:type="dxa"/>
        <w:bottom w:w="0" w:type="dxa"/>
      </w:tblCellMar>
    </w:tblPr>
  </w:style>
  <w:style w:type="character" w:styleId="987" w:customStyle="1">
    <w:name w:val="要点1"/>
    <w:uiPriority w:val="0"/>
    <w:qFormat/>
  </w:style>
  <w:style w:type="character" w:styleId="988" w:customStyle="1">
    <w:name w:val="页码1"/>
    <w:uiPriority w:val="0"/>
    <w:qFormat/>
  </w:style>
  <w:style w:type="character" w:styleId="989" w:customStyle="1">
    <w:name w:val="已访问的超链接1"/>
    <w:uiPriority w:val="0"/>
    <w:qFormat/>
    <w:rPr>
      <w:color w:val="800080"/>
      <w:u w:val="none"/>
    </w:rPr>
  </w:style>
  <w:style w:type="character" w:styleId="990" w:customStyle="1">
    <w:name w:val="强调1"/>
    <w:uiPriority w:val="0"/>
    <w:qFormat/>
  </w:style>
  <w:style w:type="character" w:styleId="991" w:customStyle="1">
    <w:name w:val="HTML 定义1"/>
    <w:uiPriority w:val="0"/>
    <w:qFormat/>
  </w:style>
  <w:style w:type="character" w:styleId="992" w:customStyle="1">
    <w:name w:val="HTML 打字机1"/>
    <w:uiPriority w:val="0"/>
    <w:qFormat/>
    <w:rPr>
      <w:rFonts w:ascii="monospace" w:hAnsi="monospace" w:eastAsia="monospace" w:cs="monospace"/>
      <w:sz w:val="20"/>
    </w:rPr>
  </w:style>
  <w:style w:type="character" w:styleId="993" w:customStyle="1">
    <w:name w:val="HTML 缩写1"/>
    <w:uiPriority w:val="0"/>
    <w:qFormat/>
  </w:style>
  <w:style w:type="character" w:styleId="994" w:customStyle="1">
    <w:name w:val="HTML 变量1"/>
    <w:uiPriority w:val="0"/>
    <w:qFormat/>
  </w:style>
  <w:style w:type="character" w:styleId="995" w:customStyle="1">
    <w:name w:val="超链接1"/>
    <w:uiPriority w:val="0"/>
    <w:qFormat/>
    <w:rPr>
      <w:color w:val="0000ff"/>
      <w:u w:val="none"/>
    </w:rPr>
  </w:style>
  <w:style w:type="character" w:styleId="996" w:customStyle="1">
    <w:name w:val="HTML 代码1"/>
    <w:uiPriority w:val="0"/>
    <w:qFormat/>
    <w:rPr>
      <w:rFonts w:ascii="monospace" w:hAnsi="monospace" w:eastAsia="monospace" w:cs="monospace"/>
      <w:sz w:val="20"/>
    </w:rPr>
  </w:style>
  <w:style w:type="character" w:styleId="997" w:customStyle="1">
    <w:name w:val="批注引用1"/>
    <w:uiPriority w:val="0"/>
    <w:qFormat/>
    <w:rPr>
      <w:sz w:val="21"/>
      <w:szCs w:val="21"/>
    </w:rPr>
  </w:style>
  <w:style w:type="character" w:styleId="998" w:customStyle="1">
    <w:name w:val="HTML 引文1"/>
    <w:uiPriority w:val="0"/>
    <w:qFormat/>
  </w:style>
  <w:style w:type="character" w:styleId="999" w:customStyle="1">
    <w:name w:val="HTML 键盘1"/>
    <w:uiPriority w:val="0"/>
    <w:qFormat/>
    <w:rPr>
      <w:rFonts w:ascii="monospace" w:hAnsi="monospace" w:eastAsia="monospace" w:cs="monospace"/>
      <w:sz w:val="20"/>
    </w:rPr>
  </w:style>
  <w:style w:type="character" w:styleId="1000" w:customStyle="1">
    <w:name w:val="HTML 样本1"/>
    <w:uiPriority w:val="0"/>
    <w:qFormat/>
    <w:rPr>
      <w:rFonts w:ascii="monospace" w:hAnsi="monospace" w:eastAsia="monospace" w:cs="monospace"/>
    </w:rPr>
  </w:style>
  <w:style w:type="paragraph" w:styleId="1001"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1002" w:customStyle="1">
    <w:name w:val="hour_pm"/>
    <w:uiPriority w:val="0"/>
    <w:qFormat/>
  </w:style>
  <w:style w:type="character" w:styleId="1003" w:customStyle="1">
    <w:name w:val="Font Style37"/>
    <w:uiPriority w:val="0"/>
    <w:qFormat/>
    <w:rPr>
      <w:rFonts w:ascii="Arial" w:hAnsi="Arial" w:cs="Arial"/>
      <w:sz w:val="16"/>
      <w:szCs w:val="16"/>
    </w:rPr>
  </w:style>
  <w:style w:type="character" w:styleId="1004" w:customStyle="1">
    <w:name w:val="Plain Text Char"/>
    <w:uiPriority w:val="0"/>
    <w:qFormat/>
    <w:rPr>
      <w:rFonts w:ascii="宋体" w:hAnsi="Courier New" w:eastAsia="宋体"/>
      <w:sz w:val="21"/>
      <w:lang w:val="en-US" w:eastAsia="zh-CN" w:bidi="ar-SA"/>
    </w:rPr>
  </w:style>
  <w:style w:type="character" w:styleId="1005" w:customStyle="1">
    <w:name w:val="hour_am"/>
    <w:uiPriority w:val="0"/>
    <w:qFormat/>
  </w:style>
  <w:style w:type="character" w:styleId="1006" w:customStyle="1">
    <w:name w:val="old"/>
    <w:uiPriority w:val="0"/>
    <w:qFormat/>
    <w:rPr>
      <w:color w:val="999999"/>
    </w:rPr>
  </w:style>
  <w:style w:type="character" w:styleId="1007" w:customStyle="1">
    <w:name w:val="glyphicon"/>
    <w:uiPriority w:val="0"/>
    <w:qFormat/>
  </w:style>
  <w:style w:type="character" w:styleId="1008" w:customStyle="1">
    <w:name w:val="Font Style29"/>
    <w:uiPriority w:val="0"/>
    <w:qFormat/>
    <w:rPr>
      <w:rFonts w:ascii="Arial" w:hAnsi="Arial" w:cs="Arial"/>
      <w:sz w:val="14"/>
      <w:szCs w:val="14"/>
    </w:rPr>
  </w:style>
  <w:style w:type="character" w:styleId="1009" w:customStyle="1">
    <w:name w:val="标题 2 Char"/>
    <w:uiPriority w:val="0"/>
    <w:qFormat/>
    <w:rPr>
      <w:rFonts w:ascii="Arial" w:hAnsi="Arial" w:eastAsia="黑体"/>
      <w:b/>
      <w:sz w:val="32"/>
      <w:lang w:val="en-US" w:eastAsia="zh-CN"/>
    </w:rPr>
  </w:style>
  <w:style w:type="character" w:styleId="1010" w:customStyle="1">
    <w:name w:val="Font Style30"/>
    <w:uiPriority w:val="0"/>
    <w:qFormat/>
    <w:rPr>
      <w:rFonts w:ascii="宋体" w:eastAsia="宋体" w:cs="宋体"/>
      <w:sz w:val="14"/>
      <w:szCs w:val="14"/>
    </w:rPr>
  </w:style>
  <w:style w:type="character" w:styleId="1011" w:customStyle="1">
    <w:name w:val="hover"/>
    <w:uiPriority w:val="0"/>
    <w:qFormat/>
    <w:rPr>
      <w:shd w:val="clear" w:color="auto" w:fill="eeeeee"/>
    </w:rPr>
  </w:style>
  <w:style w:type="character" w:styleId="1012" w:customStyle="1">
    <w:name w:val="Font Style36"/>
    <w:uiPriority w:val="0"/>
    <w:qFormat/>
    <w:rPr>
      <w:rFonts w:ascii="宋体" w:eastAsia="宋体" w:cs="宋体"/>
      <w:sz w:val="16"/>
      <w:szCs w:val="16"/>
    </w:rPr>
  </w:style>
  <w:style w:type="character" w:styleId="1013" w:customStyle="1">
    <w:name w:val="Font Style28"/>
    <w:uiPriority w:val="0"/>
    <w:qFormat/>
    <w:rPr>
      <w:rFonts w:ascii="Constantia" w:hAnsi="Constantia" w:cs="Constantia"/>
      <w:sz w:val="28"/>
      <w:szCs w:val="28"/>
    </w:rPr>
  </w:style>
  <w:style w:type="paragraph" w:styleId="1014" w:customStyle="1">
    <w:name w:val="正文（无缩进）"/>
    <w:basedOn w:val="759"/>
    <w:uiPriority w:val="0"/>
    <w:qFormat/>
    <w:pPr>
      <w:spacing w:line="360" w:lineRule="auto"/>
    </w:pPr>
    <w:rPr>
      <w:rFonts w:ascii="Calibri" w:hAnsi="Calibri"/>
      <w:sz w:val="24"/>
      <w:szCs w:val="21"/>
    </w:rPr>
  </w:style>
  <w:style w:type="paragraph" w:styleId="1015" w:customStyle="1">
    <w:name w:val="标题1"/>
    <w:basedOn w:val="948"/>
    <w:next w:val="759"/>
    <w:uiPriority w:val="0"/>
    <w:qFormat/>
    <w:pPr>
      <w:ind w:left="432" w:firstLine="288"/>
      <w:jc w:val="left"/>
      <w:spacing w:line="578" w:lineRule="atLeast"/>
    </w:pPr>
  </w:style>
  <w:style w:type="paragraph" w:styleId="1016" w:customStyle="1">
    <w:name w:val="Char Char Char Char Char Char Char Char Char Char Char Char Char"/>
    <w:basedOn w:val="759"/>
    <w:uiPriority w:val="0"/>
    <w:qFormat/>
    <w:pPr>
      <w:jc w:val="left"/>
      <w:spacing w:after="160" w:line="240" w:lineRule="exact"/>
      <w:widowControl/>
    </w:pPr>
    <w:rPr>
      <w:rFonts w:ascii="Verdana" w:hAnsi="Verdana"/>
      <w:sz w:val="20"/>
      <w:szCs w:val="20"/>
      <w:lang w:eastAsia="en-US"/>
    </w:rPr>
  </w:style>
  <w:style w:type="paragraph" w:styleId="1017" w:customStyle="1">
    <w:name w:val="我的样式"/>
    <w:basedOn w:val="948"/>
    <w:next w:val="759"/>
    <w:uiPriority w:val="0"/>
    <w:qFormat/>
    <w:pPr>
      <w:numPr>
        <w:ilvl w:val="0"/>
        <w:numId w:val="1"/>
      </w:numPr>
      <w:spacing w:line="360" w:lineRule="auto"/>
    </w:pPr>
    <w:rPr>
      <w:rFonts w:ascii="仿宋_GB2312" w:eastAsia="仿宋_GB2312"/>
      <w:sz w:val="32"/>
      <w:szCs w:val="30"/>
    </w:rPr>
  </w:style>
  <w:style w:type="paragraph" w:styleId="1018" w:customStyle="1">
    <w:name w:val="默认段落字体 Para Char Char Char Char Char Char Char Char Char1 Char Char Char Char Char Char Char"/>
    <w:basedOn w:val="960"/>
    <w:uiPriority w:val="0"/>
    <w:qFormat/>
    <w:rPr>
      <w:rFonts w:ascii="Tahoma" w:hAnsi="Tahoma"/>
      <w:sz w:val="24"/>
    </w:rPr>
  </w:style>
  <w:style w:type="paragraph" w:styleId="1019" w:customStyle="1">
    <w:name w:val="样式1"/>
    <w:basedOn w:val="759"/>
    <w:uiPriority w:val="0"/>
    <w:qFormat/>
    <w:pPr>
      <w:numPr>
        <w:ilvl w:val="0"/>
        <w:numId w:val="2"/>
      </w:numPr>
      <w:tabs>
        <w:tab w:val="left" w:pos="1110" w:leader="none"/>
      </w:tabs>
    </w:pPr>
    <w:rPr>
      <w:rFonts w:ascii="宋体" w:hAnsi="宋体"/>
      <w:szCs w:val="21"/>
    </w:rPr>
  </w:style>
  <w:style w:type="paragraph" w:styleId="1020" w:customStyle="1">
    <w:name w:val="Char Char Char1 Char Char Char Char"/>
    <w:basedOn w:val="759"/>
    <w:uiPriority w:val="0"/>
    <w:qFormat/>
    <w:pPr>
      <w:jc w:val="left"/>
      <w:spacing w:after="160" w:line="240" w:lineRule="exact"/>
      <w:widowControl/>
    </w:pPr>
    <w:rPr>
      <w:rFonts w:ascii="宋体" w:hAnsi="宋体"/>
      <w:b/>
      <w:sz w:val="28"/>
      <w:szCs w:val="28"/>
    </w:rPr>
  </w:style>
  <w:style w:type="paragraph" w:styleId="1021" w:customStyle="1">
    <w:name w:val="Style9"/>
    <w:basedOn w:val="759"/>
    <w:uiPriority w:val="0"/>
    <w:qFormat/>
    <w:pPr>
      <w:jc w:val="left"/>
    </w:pPr>
    <w:rPr>
      <w:rFonts w:ascii="宋体"/>
      <w:sz w:val="24"/>
    </w:rPr>
  </w:style>
  <w:style w:type="paragraph" w:styleId="1022" w:customStyle="1">
    <w:name w:val="Char Char1 Char Char Char Char Char Char"/>
    <w:basedOn w:val="759"/>
    <w:uiPriority w:val="0"/>
    <w:qFormat/>
    <w:pPr>
      <w:jc w:val="center"/>
      <w:widowControl/>
    </w:pPr>
    <w:rPr>
      <w:rFonts w:ascii="宋体" w:hAnsi="宋体"/>
      <w:b/>
      <w:sz w:val="24"/>
      <w:lang w:eastAsia="en-US"/>
    </w:rPr>
  </w:style>
  <w:style w:type="paragraph" w:styleId="1023" w:customStyle="1">
    <w:name w:val="_Style 56"/>
    <w:basedOn w:val="960"/>
    <w:uiPriority w:val="0"/>
    <w:qFormat/>
    <w:pPr>
      <w:spacing w:line="436" w:lineRule="exact"/>
    </w:pPr>
    <w:rPr>
      <w:szCs w:val="20"/>
    </w:rPr>
  </w:style>
  <w:style w:type="paragraph" w:styleId="1024" w:customStyle="1">
    <w:name w:val="Style10"/>
    <w:basedOn w:val="759"/>
    <w:uiPriority w:val="0"/>
    <w:qFormat/>
    <w:pPr>
      <w:jc w:val="left"/>
    </w:pPr>
    <w:rPr>
      <w:rFonts w:ascii="宋体"/>
      <w:sz w:val="24"/>
    </w:rPr>
  </w:style>
  <w:style w:type="paragraph" w:styleId="1025" w:customStyle="1">
    <w:name w:val="Char Char Char Char"/>
    <w:basedOn w:val="960"/>
    <w:uiPriority w:val="0"/>
    <w:qFormat/>
    <w:pPr>
      <w:spacing w:line="360" w:lineRule="auto"/>
    </w:pPr>
    <w:rPr>
      <w:rFonts w:ascii="Tahoma" w:hAnsi="Tahoma"/>
      <w:sz w:val="24"/>
    </w:rPr>
  </w:style>
  <w:style w:type="paragraph" w:styleId="1026" w:customStyle="1">
    <w:name w:val="正文（缩进） Char1"/>
    <w:basedOn w:val="759"/>
    <w:uiPriority w:val="0"/>
    <w:qFormat/>
    <w:pPr>
      <w:ind w:firstLine="480"/>
      <w:spacing w:before="156" w:after="156" w:line="360" w:lineRule="auto"/>
    </w:pPr>
    <w:rPr>
      <w:sz w:val="24"/>
    </w:rPr>
  </w:style>
  <w:style w:type="paragraph" w:styleId="1027" w:customStyle="1">
    <w:name w:val="普通正文"/>
    <w:basedOn w:val="759"/>
    <w:uiPriority w:val="0"/>
    <w:qFormat/>
    <w:pPr>
      <w:ind w:firstLine="480"/>
      <w:jc w:val="left"/>
      <w:spacing w:before="120" w:after="120" w:line="360" w:lineRule="auto"/>
    </w:pPr>
    <w:rPr>
      <w:rFonts w:ascii="Arial" w:hAnsi="Arial"/>
      <w:sz w:val="24"/>
    </w:rPr>
  </w:style>
  <w:style w:type="paragraph" w:styleId="1028" w:customStyle="1">
    <w:name w:val="修订1"/>
    <w:uiPriority w:val="99"/>
    <w:semiHidden/>
    <w:qFormat/>
    <w:rPr>
      <w:rFonts w:ascii="Times New Roman" w:hAnsi="Times New Roman" w:eastAsia="宋体" w:cs="Times New Roman"/>
      <w:sz w:val="21"/>
      <w:szCs w:val="24"/>
      <w:lang w:val="en-US" w:eastAsia="zh-CN" w:bidi="ar-SA"/>
    </w:rPr>
  </w:style>
  <w:style w:type="paragraph" w:styleId="1029" w:customStyle="1">
    <w:name w:val="Char"/>
    <w:basedOn w:val="759"/>
    <w:uiPriority w:val="0"/>
    <w:qFormat/>
    <w:pPr>
      <w:ind w:left="420" w:hanging="420"/>
      <w:jc w:val="left"/>
      <w:tabs>
        <w:tab w:val="left" w:pos="420" w:leader="none"/>
      </w:tabs>
    </w:pPr>
    <w:rPr>
      <w:szCs w:val="20"/>
    </w:rPr>
  </w:style>
  <w:style w:type="paragraph" w:styleId="1030" w:customStyle="1">
    <w:name w:val="文档正文"/>
    <w:basedOn w:val="759"/>
    <w:uiPriority w:val="0"/>
    <w:qFormat/>
    <w:pPr>
      <w:ind w:firstLine="567"/>
      <w:spacing w:line="480" w:lineRule="atLeast"/>
    </w:pPr>
    <w:rPr>
      <w:rFonts w:ascii="仿宋_GB2312"/>
      <w:szCs w:val="20"/>
    </w:rPr>
  </w:style>
  <w:style w:type="paragraph" w:styleId="1031" w:customStyle="1">
    <w:name w:val="要点标题"/>
    <w:basedOn w:val="759"/>
    <w:uiPriority w:val="0"/>
    <w:qFormat/>
    <w:pPr>
      <w:numPr>
        <w:ilvl w:val="0"/>
        <w:numId w:val="3"/>
      </w:numPr>
      <w:jc w:val="left"/>
    </w:pPr>
    <w:rPr>
      <w:rFonts w:ascii="宋体" w:hAnsi="宋体"/>
      <w:b/>
      <w:sz w:val="24"/>
    </w:rPr>
  </w:style>
  <w:style w:type="paragraph" w:styleId="1032" w:customStyle="1">
    <w:name w:val="Style11"/>
    <w:basedOn w:val="759"/>
    <w:uiPriority w:val="0"/>
    <w:qFormat/>
    <w:pPr>
      <w:jc w:val="left"/>
      <w:spacing w:line="446" w:lineRule="exact"/>
    </w:pPr>
    <w:rPr>
      <w:rFonts w:ascii="宋体"/>
      <w:sz w:val="24"/>
    </w:rPr>
  </w:style>
  <w:style w:type="paragraph" w:styleId="1033" w:customStyle="1">
    <w:name w:val="Char1"/>
    <w:basedOn w:val="759"/>
    <w:uiPriority w:val="0"/>
    <w:qFormat/>
    <w:pPr>
      <w:ind w:left="840" w:hanging="420"/>
      <w:tabs>
        <w:tab w:val="left" w:pos="840" w:leader="none"/>
      </w:tabs>
    </w:pPr>
    <w:rPr>
      <w:sz w:val="24"/>
    </w:rPr>
  </w:style>
  <w:style w:type="paragraph" w:styleId="1034" w:customStyle="1">
    <w:name w:val="Char2"/>
    <w:basedOn w:val="759"/>
    <w:uiPriority w:val="0"/>
    <w:qFormat/>
    <w:pPr>
      <w:tabs>
        <w:tab w:val="left" w:pos="360" w:leader="none"/>
      </w:tabs>
    </w:pPr>
    <w:rPr>
      <w:sz w:val="24"/>
    </w:rPr>
  </w:style>
  <w:style w:type="paragraph" w:styleId="1035" w:customStyle="1">
    <w:name w:val="Style12"/>
    <w:basedOn w:val="759"/>
    <w:uiPriority w:val="0"/>
    <w:qFormat/>
    <w:pPr>
      <w:jc w:val="left"/>
    </w:pPr>
    <w:rPr>
      <w:rFonts w:ascii="宋体"/>
      <w:sz w:val="24"/>
    </w:rPr>
  </w:style>
  <w:style w:type="paragraph" w:styleId="1036"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1037" w:customStyle="1">
    <w:name w:val="首行缩进"/>
    <w:basedOn w:val="759"/>
    <w:uiPriority w:val="0"/>
    <w:qFormat/>
    <w:pPr>
      <w:ind w:firstLine="420"/>
      <w:spacing w:line="360" w:lineRule="auto"/>
    </w:pPr>
    <w:rPr>
      <w:sz w:val="20"/>
    </w:rPr>
  </w:style>
  <w:style w:type="paragraph" w:styleId="1038" w:customStyle="1">
    <w:name w:val="正文首行缩进 21"/>
    <w:basedOn w:val="1039"/>
    <w:uiPriority w:val="0"/>
    <w:qFormat/>
    <w:pPr>
      <w:ind w:firstLine="420"/>
    </w:pPr>
  </w:style>
  <w:style w:type="paragraph" w:styleId="1039" w:customStyle="1">
    <w:name w:val="正文文本缩进1"/>
    <w:basedOn w:val="759"/>
    <w:uiPriority w:val="0"/>
    <w:qFormat/>
    <w:pPr>
      <w:ind w:left="420"/>
      <w:spacing w:after="120"/>
    </w:pPr>
  </w:style>
  <w:style w:type="character" w:styleId="1040" w:customStyle="1">
    <w:name w:val="font11"/>
    <w:basedOn w:val="953"/>
    <w:uiPriority w:val="0"/>
    <w:qFormat/>
    <w:rPr>
      <w:rFonts w:hint="eastAsia" w:ascii="等线" w:hAnsi="等线" w:eastAsia="等线" w:cs="等线"/>
      <w:color w:val="000000"/>
      <w:sz w:val="22"/>
      <w:szCs w:val="22"/>
      <w:u w:val="none"/>
    </w:rPr>
  </w:style>
  <w:style w:type="character" w:styleId="1041" w:customStyle="1">
    <w:name w:val="NormalCharacter1"/>
    <w:uiPriority w:val="0"/>
    <w:semiHidden/>
    <w:qFormat/>
  </w:style>
  <w:style w:type="paragraph" w:styleId="1042" w:customStyle="1">
    <w:name w:val="标题 21"/>
    <w:basedOn w:val="759"/>
    <w:next w:val="759"/>
    <w:uiPriority w:val="0"/>
    <w:qFormat/>
    <w:pPr>
      <w:keepLines/>
      <w:keepNext/>
      <w:spacing w:before="260" w:after="260" w:line="415" w:lineRule="auto"/>
      <w:outlineLvl w:val="1"/>
    </w:pPr>
    <w:rPr>
      <w:rFonts w:ascii="Arial" w:hAnsi="Arial" w:eastAsia="黑体" w:cs="Arial"/>
      <w:b/>
      <w:bCs/>
      <w:sz w:val="32"/>
      <w:szCs w:val="32"/>
    </w:rPr>
  </w:style>
  <w:style w:type="paragraph" w:styleId="1043" w:customStyle="1">
    <w:name w:val="纯文本1"/>
    <w:basedOn w:val="759"/>
    <w:next w:val="1016"/>
    <w:uiPriority w:val="0"/>
    <w:qFormat/>
    <w:rPr>
      <w:rFonts w:ascii="宋体" w:hAnsi="Courier New"/>
      <w:szCs w:val="20"/>
    </w:rPr>
  </w:style>
  <w:style w:type="paragraph" w:styleId="1044" w:customStyle="1">
    <w:name w:val="Table Text"/>
    <w:basedOn w:val="759"/>
    <w:uiPriority w:val="0"/>
    <w:qFormat/>
    <w:pPr>
      <w:jc w:val="left"/>
    </w:pPr>
    <w:rPr>
      <w:rFonts w:hint="eastAsia" w:ascii="宋体" w:hAnsi="宋体" w:cs="宋体"/>
      <w:color w:val="000000"/>
      <w:sz w:val="25"/>
      <w:szCs w:val="25"/>
    </w:rPr>
  </w:style>
  <w:style w:type="table" w:styleId="1045" w:customStyle="1">
    <w:name w:val="Table Normal"/>
    <w:uiPriority w:val="0"/>
    <w:semiHidden/>
    <w:unhideWhenUsed/>
    <w:qFormat/>
    <w:tblPr>
      <w:tblCellMar>
        <w:left w:w="0" w:type="dxa"/>
        <w:top w:w="0" w:type="dxa"/>
        <w:right w:w="0" w:type="dxa"/>
        <w:bottom w:w="0" w:type="dxa"/>
      </w:tblCellMar>
    </w:tblPr>
  </w:style>
  <w:style w:type="paragraph" w:styleId="1046" w:customStyle="1">
    <w:name w:val="索引 41"/>
    <w:basedOn w:val="759"/>
    <w:next w:val="759"/>
    <w:uiPriority w:val="99"/>
    <w:qFormat/>
    <w:pPr>
      <w:ind w:left="600"/>
    </w:pPr>
  </w:style>
  <w:style w:type="paragraph" w:styleId="1047" w:customStyle="1">
    <w:name w:val="正文文本11"/>
    <w:basedOn w:val="759"/>
    <w:next w:val="75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1048" w:customStyle="1">
    <w:name w:val="批注框文本 Char1"/>
    <w:basedOn w:val="769"/>
    <w:link w:val="781"/>
    <w:uiPriority w:val="99"/>
    <w:semiHidden/>
    <w:qFormat/>
    <w:rPr>
      <w:sz w:val="18"/>
      <w:szCs w:val="18"/>
    </w:rPr>
  </w:style>
  <w:style w:type="numbering" w:styleId="7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王倩倩</cp:lastModifiedBy>
  <cp:revision>14</cp:revision>
  <dcterms:created xsi:type="dcterms:W3CDTF">2024-01-08T16:47:00Z</dcterms:created>
  <dcterms:modified xsi:type="dcterms:W3CDTF">2026-07-31T08:46:10Z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eyJoZGlkIjoiNDg2NTcwYWJhNGE0MGZjMjIxOThmNGYzNzNmNTU0MTAiLCJ1c2VySWQiOiIyNjExNTEwMDYifQ==</vt:lpwstr>
  </property>
  <property fmtid="{D5CDD505-2E9C-101B-9397-08002B2CF9AE}" pid="3" name="KSOProductBuildVer">
    <vt:lpwstr>2052-12.1.0.26895</vt:lpwstr>
  </property>
  <property fmtid="{D5CDD505-2E9C-101B-9397-08002B2CF9AE}" pid="4" name="ICV">
    <vt:lpwstr>6EAB11AB39A043839671897CDB0CC4FC_13</vt:lpwstr>
  </property>
</Properties>
</file>