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7DC28">
      <w:pPr>
        <w:pStyle w:val="7"/>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仿宋_GBK" w:hAnsi="方正仿宋_GBK" w:eastAsia="方正仿宋_GBK" w:cs="方正仿宋_GBK"/>
          <w:b/>
          <w:bCs/>
          <w:spacing w:val="5"/>
          <w:sz w:val="43"/>
          <w:szCs w:val="43"/>
        </w:rPr>
      </w:pPr>
      <w:r>
        <w:rPr>
          <w:rFonts w:hint="eastAsia" w:ascii="方正仿宋_GBK" w:hAnsi="方正仿宋_GBK" w:eastAsia="方正仿宋_GBK" w:cs="方正仿宋_GBK"/>
          <w:b/>
          <w:bCs/>
          <w:spacing w:val="5"/>
          <w:sz w:val="43"/>
          <w:szCs w:val="43"/>
        </w:rPr>
        <w:t>物业管理服务合同</w:t>
      </w:r>
    </w:p>
    <w:p w14:paraId="7755F153">
      <w:pPr>
        <w:pStyle w:val="10"/>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合同编号：JSZC-321300-JZCG-G2026-0052</w:t>
      </w:r>
    </w:p>
    <w:p w14:paraId="3717F4AA">
      <w:pPr>
        <w:pStyle w:val="10"/>
        <w:keepNext w:val="0"/>
        <w:keepLines w:val="0"/>
        <w:pageBreakBefore w:val="0"/>
        <w:widowControl/>
        <w:tabs>
          <w:tab w:val="left" w:pos="4004"/>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甲方：宿迁市数字化城市管理监督指挥中心（以下简称甲方）</w:t>
      </w:r>
    </w:p>
    <w:p w14:paraId="2D11ECCF">
      <w:pPr>
        <w:pStyle w:val="10"/>
        <w:keepNext w:val="0"/>
        <w:keepLines w:val="0"/>
        <w:pageBreakBefore w:val="0"/>
        <w:widowControl/>
        <w:tabs>
          <w:tab w:val="left" w:pos="4004"/>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乙方：江苏安民智慧物业管理集团有限公司（以下简称乙方）</w:t>
      </w:r>
    </w:p>
    <w:p w14:paraId="23B68CE1">
      <w:pPr>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依照《中华人民共和国民法典》及其他有关法律、行政法规，遵循平等、自愿、公平和诚实信用的原则，双方就</w:t>
      </w:r>
      <w:r>
        <w:rPr>
          <w:rFonts w:hint="eastAsia" w:ascii="方正仿宋_GBK" w:hAnsi="方正仿宋_GBK" w:eastAsia="方正仿宋_GBK" w:cs="方正仿宋_GBK"/>
          <w:sz w:val="24"/>
          <w:szCs w:val="24"/>
          <w:u w:val="single"/>
        </w:rPr>
        <w:t>JSZC-321300-JZCG-G2026-0052</w:t>
      </w:r>
      <w:r>
        <w:rPr>
          <w:rFonts w:hint="eastAsia" w:ascii="方正仿宋_GBK" w:hAnsi="方正仿宋_GBK" w:eastAsia="方正仿宋_GBK" w:cs="方正仿宋_GBK"/>
          <w:sz w:val="24"/>
          <w:szCs w:val="24"/>
        </w:rPr>
        <w:t>号</w:t>
      </w:r>
      <w:r>
        <w:rPr>
          <w:rFonts w:hint="eastAsia" w:ascii="方正仿宋_GBK" w:hAnsi="方正仿宋_GBK" w:eastAsia="方正仿宋_GBK" w:cs="方正仿宋_GBK"/>
          <w:sz w:val="24"/>
          <w:szCs w:val="24"/>
          <w:u w:val="single"/>
        </w:rPr>
        <w:t>宿迁智慧城市科技馆物业服务采购项目</w:t>
      </w:r>
      <w:r>
        <w:rPr>
          <w:rFonts w:hint="eastAsia" w:ascii="方正仿宋_GBK" w:hAnsi="方正仿宋_GBK" w:eastAsia="方正仿宋_GBK" w:cs="方正仿宋_GBK"/>
          <w:sz w:val="24"/>
          <w:szCs w:val="24"/>
        </w:rPr>
        <w:t>相关事项协商一致，达成如下合同条款。</w:t>
      </w:r>
    </w:p>
    <w:p w14:paraId="2D4758C0">
      <w:pPr>
        <w:keepNext w:val="0"/>
        <w:keepLines w:val="0"/>
        <w:pageBreakBefore w:val="0"/>
        <w:numPr>
          <w:ilvl w:val="0"/>
          <w:numId w:val="1"/>
        </w:numPr>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合同内容：</w:t>
      </w:r>
    </w:p>
    <w:p w14:paraId="25247C64">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提供服务及管理时间自</w:t>
      </w:r>
      <w:r>
        <w:rPr>
          <w:rFonts w:hint="eastAsia" w:ascii="方正仿宋_GBK" w:hAnsi="方正仿宋_GBK" w:eastAsia="方正仿宋_GBK" w:cs="方正仿宋_GBK"/>
          <w:bCs/>
          <w:sz w:val="24"/>
          <w:u w:val="single"/>
          <w:lang w:val="en-US" w:eastAsia="zh-CN"/>
        </w:rPr>
        <w:t>2026</w:t>
      </w:r>
      <w:r>
        <w:rPr>
          <w:rFonts w:hint="eastAsia" w:ascii="方正仿宋_GBK" w:hAnsi="方正仿宋_GBK" w:eastAsia="方正仿宋_GBK" w:cs="方正仿宋_GBK"/>
          <w:bCs/>
          <w:sz w:val="24"/>
        </w:rPr>
        <w:t>年</w:t>
      </w:r>
      <w:r>
        <w:rPr>
          <w:rFonts w:hint="eastAsia" w:ascii="方正仿宋_GBK" w:hAnsi="方正仿宋_GBK" w:eastAsia="方正仿宋_GBK" w:cs="方正仿宋_GBK"/>
          <w:bCs/>
          <w:sz w:val="24"/>
          <w:u w:val="single"/>
          <w:lang w:val="en-US" w:eastAsia="zh-CN"/>
        </w:rPr>
        <w:t>8</w:t>
      </w:r>
      <w:r>
        <w:rPr>
          <w:rFonts w:hint="eastAsia" w:ascii="方正仿宋_GBK" w:hAnsi="方正仿宋_GBK" w:eastAsia="方正仿宋_GBK" w:cs="方正仿宋_GBK"/>
          <w:bCs/>
          <w:sz w:val="24"/>
        </w:rPr>
        <w:t>月</w:t>
      </w:r>
      <w:r>
        <w:rPr>
          <w:rFonts w:hint="eastAsia" w:ascii="方正仿宋_GBK" w:hAnsi="方正仿宋_GBK" w:eastAsia="方正仿宋_GBK" w:cs="方正仿宋_GBK"/>
          <w:bCs/>
          <w:sz w:val="24"/>
          <w:u w:val="single"/>
          <w:lang w:val="en-US" w:eastAsia="zh-CN"/>
        </w:rPr>
        <w:t>20</w:t>
      </w:r>
      <w:r>
        <w:rPr>
          <w:rFonts w:hint="eastAsia" w:ascii="方正仿宋_GBK" w:hAnsi="方正仿宋_GBK" w:eastAsia="方正仿宋_GBK" w:cs="方正仿宋_GBK"/>
          <w:bCs/>
          <w:sz w:val="24"/>
        </w:rPr>
        <w:t>日至</w:t>
      </w:r>
      <w:r>
        <w:rPr>
          <w:rFonts w:hint="eastAsia" w:ascii="方正仿宋_GBK" w:hAnsi="方正仿宋_GBK" w:eastAsia="方正仿宋_GBK" w:cs="方正仿宋_GBK"/>
          <w:bCs/>
          <w:sz w:val="24"/>
          <w:u w:val="single"/>
          <w:lang w:val="en-US" w:eastAsia="zh-CN"/>
        </w:rPr>
        <w:t>2027</w:t>
      </w:r>
      <w:r>
        <w:rPr>
          <w:rFonts w:hint="eastAsia" w:ascii="方正仿宋_GBK" w:hAnsi="方正仿宋_GBK" w:eastAsia="方正仿宋_GBK" w:cs="方正仿宋_GBK"/>
          <w:bCs/>
          <w:sz w:val="24"/>
        </w:rPr>
        <w:t>年</w:t>
      </w:r>
      <w:r>
        <w:rPr>
          <w:rFonts w:hint="eastAsia" w:ascii="方正仿宋_GBK" w:hAnsi="方正仿宋_GBK" w:eastAsia="方正仿宋_GBK" w:cs="方正仿宋_GBK"/>
          <w:bCs/>
          <w:sz w:val="24"/>
          <w:u w:val="single"/>
          <w:lang w:val="en-US" w:eastAsia="zh-CN"/>
        </w:rPr>
        <w:t>8</w:t>
      </w:r>
      <w:r>
        <w:rPr>
          <w:rFonts w:hint="eastAsia" w:ascii="方正仿宋_GBK" w:hAnsi="方正仿宋_GBK" w:eastAsia="方正仿宋_GBK" w:cs="方正仿宋_GBK"/>
          <w:bCs/>
          <w:sz w:val="24"/>
        </w:rPr>
        <w:t>月</w:t>
      </w:r>
      <w:r>
        <w:rPr>
          <w:rFonts w:hint="eastAsia" w:ascii="方正仿宋_GBK" w:hAnsi="方正仿宋_GBK" w:eastAsia="方正仿宋_GBK" w:cs="方正仿宋_GBK"/>
          <w:bCs/>
          <w:sz w:val="24"/>
          <w:u w:val="single"/>
          <w:lang w:val="en-US" w:eastAsia="zh-CN"/>
        </w:rPr>
        <w:t>19</w:t>
      </w:r>
      <w:r>
        <w:rPr>
          <w:rFonts w:hint="eastAsia" w:ascii="方正仿宋_GBK" w:hAnsi="方正仿宋_GBK" w:eastAsia="方正仿宋_GBK" w:cs="方正仿宋_GBK"/>
          <w:bCs/>
          <w:sz w:val="24"/>
        </w:rPr>
        <w:t>日在合同有效期内一方不得擅自变更或终止此项合同，如未经双方同意，擅自变更或终止此项的一方要负违约责任。此项合同需终止或续签，应在合同期内提前两个月通知对方。</w:t>
      </w:r>
    </w:p>
    <w:p w14:paraId="03C4DC7A">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1、下列文件为本合同不可分割部分：</w:t>
      </w:r>
    </w:p>
    <w:p w14:paraId="324AE71F">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① 中标通知书；</w:t>
      </w:r>
    </w:p>
    <w:p w14:paraId="7E916FF1">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② 乙方的投标文件；</w:t>
      </w:r>
    </w:p>
    <w:p w14:paraId="2C806F08">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③ 乙方在投标过程中所作的其它承诺、声明、书面澄清等；</w:t>
      </w:r>
    </w:p>
    <w:p w14:paraId="563050C2">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④ 采购文件及其附件；</w:t>
      </w:r>
    </w:p>
    <w:p w14:paraId="16970DED">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⑤ 合同附件。</w:t>
      </w:r>
    </w:p>
    <w:p w14:paraId="3BFE02B5">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以上与本合同具有同等法律效力</w:t>
      </w:r>
    </w:p>
    <w:p w14:paraId="1ABAA9C8">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2、乙方聘用的人员。</w:t>
      </w:r>
    </w:p>
    <w:p w14:paraId="18BB89F5">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3、服务内容：乙方根据本合同及采购文件要求，为本项目配备项目经理、保洁人员、安保人员及水电工等岗位人员，并按照约定标准提供环境卫生保洁、安全秩序维护、设施设备日常巡查及零星维修等物业管理服务。</w:t>
      </w:r>
    </w:p>
    <w:p w14:paraId="061010D6">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Cs/>
          <w:sz w:val="24"/>
          <w:szCs w:val="24"/>
          <w:lang w:val="en-US" w:eastAsia="zh-CN"/>
        </w:rPr>
        <w:t>4</w:t>
      </w:r>
      <w:r>
        <w:rPr>
          <w:rFonts w:hint="eastAsia" w:ascii="方正仿宋_GBK" w:hAnsi="方正仿宋_GBK" w:eastAsia="方正仿宋_GBK" w:cs="方正仿宋_GBK"/>
          <w:bCs/>
          <w:sz w:val="24"/>
          <w:szCs w:val="24"/>
        </w:rPr>
        <w:t>、履行方式：乙方按甲方采购要求及合同约定提供服务，服务过程中的各种风险由乙方承担；实施方式由乙方视情况自定，费用自负。</w:t>
      </w:r>
    </w:p>
    <w:p w14:paraId="3162978B">
      <w:pPr>
        <w:pStyle w:val="7"/>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二、甲、乙双方的责任</w:t>
      </w:r>
    </w:p>
    <w:p w14:paraId="2E5C7302">
      <w:pPr>
        <w:pStyle w:val="7"/>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1.甲方的权利和义务：</w:t>
      </w:r>
    </w:p>
    <w:p w14:paraId="2BB4E074">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1.1、甲方有权要求乙方提供并审查物业管理服务之详细工作计划及管理方案、专项业务操作规程、本项目管理架构、工作及培训计划、工作现场的质量记录及工作人员相关资料，并有权对乙方的工作进行监督管理、品质检查和质量评估，并提出相关整改意见。</w:t>
      </w:r>
    </w:p>
    <w:p w14:paraId="55139BFB">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1.2、甲方有权审核乙方的物业服务费用。甲方必须严格按照双方签订的合同约定审核乙方提交的结算单据并支付相关物业服务费用，不得拖欠。</w:t>
      </w:r>
    </w:p>
    <w:p w14:paraId="6C53BDDA">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1.3、甲方应为乙方清洁施工提供方便。甲方须为乙方提供清洁中正常的供水、供电及照明等。保洁的用水、用电费用由甲方承担。但乙方须从节约角度合理地使用水、电，并接受甲方的现场监管。若因供水、供电及不可抗拒的原因造成乙方保洁难以达到质量标准，其责任不由乙方负责。</w:t>
      </w:r>
    </w:p>
    <w:p w14:paraId="63A753F2">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1.4、甲方应为乙方提供机械设备、材料堆放的场地及车辆运输、停放的便利。</w:t>
      </w:r>
    </w:p>
    <w:p w14:paraId="254C5F94">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1.5、甲方有权依据本合同的约定及招标文件要求，对乙方的服务提供建议并进行日常监管，督促乙方落实或完善其制定的各项规章制度。如在实际工作中发现影响安全及服务质量而合同未涉及的事项，甲方有权要求乙方提出书面解决办法，并要求其执行。</w:t>
      </w:r>
    </w:p>
    <w:p w14:paraId="7DFB837C">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1.6、每月审核乙方递交的各项工作报告其内容包括但不仅限于（当月工作报告、下月工作计划、当月保洁物料出入库汇总、当月保洁服务质量自查报告、当月员工考勤汇总、当月员工培训总结、当月工作记录等），以此为依据结合现场检查结果给乙方进行考核打分，结算每月物业管理服务费用时以考核分数为必要依据。</w:t>
      </w:r>
    </w:p>
    <w:p w14:paraId="34F01A44">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1.7、非因乙方原因导致</w:t>
      </w:r>
      <w:r>
        <w:rPr>
          <w:rFonts w:hint="eastAsia" w:ascii="方正仿宋_GBK" w:hAnsi="方正仿宋_GBK" w:eastAsia="方正仿宋_GBK" w:cs="方正仿宋_GBK"/>
          <w:sz w:val="24"/>
          <w:szCs w:val="24"/>
        </w:rPr>
        <w:t>甲方逾期支付资金，承担相关违约责任。</w:t>
      </w:r>
    </w:p>
    <w:p w14:paraId="7A2C8408">
      <w:pPr>
        <w:pStyle w:val="12"/>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Cs/>
          <w:sz w:val="24"/>
          <w:szCs w:val="24"/>
        </w:rPr>
        <w:t>1.8</w:t>
      </w:r>
      <w:r>
        <w:rPr>
          <w:rFonts w:hint="eastAsia" w:ascii="方正仿宋_GBK" w:hAnsi="方正仿宋_GBK" w:eastAsia="方正仿宋_GBK" w:cs="方正仿宋_GBK"/>
          <w:sz w:val="24"/>
          <w:szCs w:val="24"/>
        </w:rPr>
        <w:t>、法规、政策规定由甲方承担的其他责任。</w:t>
      </w:r>
    </w:p>
    <w:p w14:paraId="18D2253D">
      <w:pPr>
        <w:pStyle w:val="7"/>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2.乙方的权利和义务：</w:t>
      </w:r>
    </w:p>
    <w:p w14:paraId="50EB523A">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2.1、在本合同期内，乙方应做好现场员工的管理工作，如发生问题，乙方应当积极妥善解决，由此成的一切后果均由乙方承担。</w:t>
      </w:r>
    </w:p>
    <w:p w14:paraId="6EBE5655">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2.2、乙方保洁人员需完成必要的培训后方可上岗，其培训内容包括但不仅限于下列内容：</w:t>
      </w:r>
    </w:p>
    <w:p w14:paraId="1702DDDD">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（1）员工礼仪礼貌培训。</w:t>
      </w:r>
    </w:p>
    <w:p w14:paraId="640618D0">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（2）岗位工作技能培训。</w:t>
      </w:r>
    </w:p>
    <w:p w14:paraId="58F2BFDF">
      <w:pPr>
        <w:pStyle w:val="15"/>
        <w:keepNext w:val="0"/>
        <w:keepLines w:val="0"/>
        <w:pageBreakBefore w:val="0"/>
        <w:widowControl/>
        <w:tabs>
          <w:tab w:val="left" w:pos="167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（3）保洁服务过程中常见化学药剂的使用及注意事项。</w:t>
      </w:r>
    </w:p>
    <w:p w14:paraId="73B7C5D2">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（4）员工工服更衣柜使用规定。</w:t>
      </w:r>
    </w:p>
    <w:p w14:paraId="6C2CF422">
      <w:pPr>
        <w:pStyle w:val="15"/>
        <w:keepNext w:val="0"/>
        <w:keepLines w:val="0"/>
        <w:pageBreakBefore w:val="0"/>
        <w:widowControl/>
        <w:tabs>
          <w:tab w:val="left" w:pos="167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（5）工作职责和工作流程。</w:t>
      </w:r>
    </w:p>
    <w:p w14:paraId="139EBD75">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（6）各种涉及本岗位的工具设备的正确使用。</w:t>
      </w:r>
    </w:p>
    <w:p w14:paraId="4BD6E3C8">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（7）服务区域中所应遵守的各项劳动纪律。</w:t>
      </w:r>
    </w:p>
    <w:p w14:paraId="0DED44EE">
      <w:pPr>
        <w:pStyle w:val="15"/>
        <w:keepNext w:val="0"/>
        <w:keepLines w:val="0"/>
        <w:pageBreakBefore w:val="0"/>
        <w:widowControl/>
        <w:tabs>
          <w:tab w:val="left" w:pos="1551"/>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2.3、乙方必须严格服从甲方现场监督和管理。</w:t>
      </w:r>
    </w:p>
    <w:p w14:paraId="627A06B2">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2.4、如遇紧急事故或突发事件等需要紧急处理，甲方有权调用在场的乙方所有员工进行突击抢险和处理紧急任务。</w:t>
      </w:r>
    </w:p>
    <w:p w14:paraId="7E5FC941">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2.5、乙方应随时配合甲方每日对保洁工作进行检查，乙方将定期清洁作业计划情况书面告知甲方，每月将清洁及安保作业计划实施情况以书面形式报告。</w:t>
      </w:r>
    </w:p>
    <w:p w14:paraId="3BB8C6B6">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2.6、乙方应保持派驻本项目的人员，如有变动，应提前及时书面告知甲方，并将变动情况报甲方备档。</w:t>
      </w:r>
    </w:p>
    <w:p w14:paraId="3AAC16F3">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2.7、乙方在保洁服务过程中，不得使用有损物体表面的化学药剂。所有的清洗剂必须经甲方督查人员验证后方可使用。在服务过程中不得损坏各种设备设施。如果乙方操作不当，造成设施设备的损坏、变形、变色或失去色泽，由此产生的经济损失由乙方赔偿。</w:t>
      </w:r>
    </w:p>
    <w:p w14:paraId="76F93227">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2.8、在服务过程中乙方必须对所属员工的人身及财产安全负责。乙方应按约定为其在甲方服务区域中的工作人员购买员工意外伤害保险，乙方工作人员在甲方服务区域中造成的自身及他人人身伤亡或财产损失均由乙方投保的保险公司和乙方负责，与甲方无涉。</w:t>
      </w:r>
    </w:p>
    <w:p w14:paraId="5106061E">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2.9、乙方在服务中，应维护甲方信誉和保证甲方的设施设备的安全。因乙方工作质量或员工行为不良，造成甲方信誉和财物损失的，甲方有权根据损失金额要求乙方提供等值赔偿。出现乙方工作人员或乙方相关人员盗窃该项目内财物的，甲方有权按失窃物品价值的五倍要求乙方提供赔偿，并且甲方有权解除本合同的权利。（上述相关扣款将直接从乙方每月物业服务费用中给予扣除，不足弥补甲方损失的仍需赔偿）。</w:t>
      </w:r>
    </w:p>
    <w:p w14:paraId="6F2581CA">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2.10、乙方工作人员与乙方发生劳资纠纷系乙方内部问题，与甲方无关，乙方应积极予以解决，不得给甲方造成任何影响。</w:t>
      </w:r>
    </w:p>
    <w:p w14:paraId="0CF11ADF">
      <w:pPr>
        <w:pStyle w:val="18"/>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3.检查考核办法</w:t>
      </w:r>
    </w:p>
    <w:p w14:paraId="18A0937D">
      <w:pPr>
        <w:pStyle w:val="19"/>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sz w:val="24"/>
          <w:szCs w:val="24"/>
        </w:rPr>
        <w:t>详见招标文件第四部分、采购需求中“五、考核标准”，按照要求实施考核。</w:t>
      </w:r>
    </w:p>
    <w:p w14:paraId="6346D7E8">
      <w:pPr>
        <w:pStyle w:val="7"/>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三、费用及结算方式</w:t>
      </w:r>
    </w:p>
    <w:p w14:paraId="2FD5D3A5">
      <w:pPr>
        <w:pStyle w:val="7"/>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rPr>
      </w:pPr>
      <w:r>
        <w:rPr>
          <w:rFonts w:hint="eastAsia" w:ascii="方正仿宋_GBK" w:hAnsi="方正仿宋_GBK" w:eastAsia="方正仿宋_GBK" w:cs="方正仿宋_GBK"/>
          <w:bCs/>
          <w:sz w:val="24"/>
        </w:rPr>
        <w:t>合同金额为：人民币</w:t>
      </w:r>
      <w:r>
        <w:rPr>
          <w:rFonts w:hint="eastAsia" w:ascii="方正仿宋_GBK" w:hAnsi="方正仿宋_GBK" w:eastAsia="方正仿宋_GBK" w:cs="方正仿宋_GBK"/>
          <w:bCs/>
          <w:sz w:val="24"/>
          <w:u w:val="single"/>
          <w:lang w:val="en-US" w:eastAsia="zh-CN"/>
        </w:rPr>
        <w:t>肆拾肆万玖仟零伍拾玖元零玖分</w:t>
      </w:r>
      <w:r>
        <w:rPr>
          <w:rFonts w:hint="eastAsia" w:ascii="方正仿宋_GBK" w:hAnsi="方正仿宋_GBK" w:eastAsia="方正仿宋_GBK" w:cs="方正仿宋_GBK"/>
          <w:bCs/>
          <w:sz w:val="24"/>
        </w:rPr>
        <w:t>￥：</w:t>
      </w:r>
      <w:r>
        <w:rPr>
          <w:rFonts w:hint="eastAsia" w:ascii="方正仿宋_GBK" w:hAnsi="方正仿宋_GBK" w:eastAsia="方正仿宋_GBK" w:cs="方正仿宋_GBK"/>
          <w:bCs/>
          <w:sz w:val="24"/>
          <w:u w:val="single"/>
        </w:rPr>
        <w:t>小写449059.09元</w:t>
      </w:r>
      <w:r>
        <w:rPr>
          <w:rFonts w:hint="eastAsia" w:ascii="方正仿宋_GBK" w:hAnsi="方正仿宋_GBK" w:eastAsia="方正仿宋_GBK" w:cs="方正仿宋_GBK"/>
          <w:bCs/>
          <w:sz w:val="24"/>
        </w:rPr>
        <w:t>，</w:t>
      </w:r>
      <w:r>
        <w:rPr>
          <w:rFonts w:hint="eastAsia" w:ascii="方正仿宋_GBK" w:hAnsi="方正仿宋_GBK" w:eastAsia="方正仿宋_GBK" w:cs="方正仿宋_GBK"/>
          <w:bCs/>
          <w:sz w:val="24"/>
          <w:u w:val="single"/>
        </w:rPr>
        <w:t>该价款包含税金及乙方为履行本合同约定义务所需的全部费用。</w:t>
      </w:r>
    </w:p>
    <w:p w14:paraId="39253E27">
      <w:pPr>
        <w:pStyle w:val="20"/>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rPr>
        <w:t>1、付款方式：合同签订后，</w:t>
      </w:r>
      <w:r>
        <w:rPr>
          <w:rFonts w:hint="eastAsia" w:ascii="方正仿宋_GBK" w:hAnsi="方正仿宋_GBK" w:eastAsia="方正仿宋_GBK" w:cs="方正仿宋_GBK"/>
          <w:sz w:val="24"/>
          <w:szCs w:val="24"/>
        </w:rPr>
        <w:t>甲方</w:t>
      </w:r>
      <w:r>
        <w:rPr>
          <w:rFonts w:hint="eastAsia" w:ascii="方正仿宋_GBK" w:hAnsi="方正仿宋_GBK" w:eastAsia="方正仿宋_GBK" w:cs="方正仿宋_GBK"/>
          <w:sz w:val="24"/>
        </w:rPr>
        <w:t>在收到乙方发票10日内，支付合同金额的10%作为预付款。</w:t>
      </w:r>
    </w:p>
    <w:p w14:paraId="64CE3682">
      <w:pPr>
        <w:pStyle w:val="21"/>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服务费用由甲方按季度支付。乙方按每季度根据实际发生的所有物业服务（考核后的）费用开具合法票据，甲方在接到乙方票据10个工作日内将上一季度实际发生的所有物业服务（考核后的）费用支付给乙方。</w:t>
      </w:r>
    </w:p>
    <w:p w14:paraId="560DF8FC">
      <w:pPr>
        <w:pStyle w:val="21"/>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lang w:bidi="zh-CN"/>
        </w:rPr>
      </w:pPr>
      <w:r>
        <w:rPr>
          <w:rFonts w:hint="eastAsia" w:ascii="方正仿宋_GBK" w:hAnsi="方正仿宋_GBK" w:eastAsia="方正仿宋_GBK" w:cs="方正仿宋_GBK"/>
          <w:bCs/>
          <w:lang w:bidi="zh-CN"/>
        </w:rPr>
        <w:t>注：在签订合同时，乙方明确表示无需预付款或者主动要求降低预付款比例的金额，</w:t>
      </w:r>
      <w:r>
        <w:rPr>
          <w:rFonts w:hint="eastAsia" w:ascii="方正仿宋_GBK" w:hAnsi="方正仿宋_GBK" w:eastAsia="方正仿宋_GBK" w:cs="方正仿宋_GBK"/>
        </w:rPr>
        <w:t>甲方</w:t>
      </w:r>
      <w:r>
        <w:rPr>
          <w:rFonts w:hint="eastAsia" w:ascii="方正仿宋_GBK" w:hAnsi="方正仿宋_GBK" w:eastAsia="方正仿宋_GBK" w:cs="方正仿宋_GBK"/>
          <w:bCs/>
          <w:lang w:bidi="zh-CN"/>
        </w:rPr>
        <w:t>可不适用前述规定。</w:t>
      </w:r>
    </w:p>
    <w:p w14:paraId="7115BAA1">
      <w:pPr>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lang w:bidi="zh-CN"/>
        </w:rPr>
      </w:pPr>
      <w:r>
        <w:rPr>
          <w:rFonts w:hint="eastAsia" w:ascii="方正仿宋_GBK" w:hAnsi="方正仿宋_GBK" w:eastAsia="方正仿宋_GBK" w:cs="方正仿宋_GBK"/>
          <w:sz w:val="24"/>
          <w:szCs w:val="24"/>
        </w:rPr>
        <w:t>甲方根据考核标准每季度进行考核评价，到期按考核结果据实支付，考核分数在90（含）分以上的，支付当期全部费用；考核分数在70（含）-90（不含）分的，支付当期应支付金额的90%；考核分数在60（含）-70（不含）分的，支付当期应支付金额的80%；考核分数在60以下分的，支付当期应支付的金额的60%。</w:t>
      </w:r>
    </w:p>
    <w:p w14:paraId="69A59F95">
      <w:pPr>
        <w:pStyle w:val="22"/>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lang w:bidi="zh-CN"/>
        </w:rPr>
      </w:pPr>
      <w:r>
        <w:rPr>
          <w:rFonts w:hint="eastAsia" w:ascii="方正仿宋_GBK" w:hAnsi="方正仿宋_GBK" w:eastAsia="方正仿宋_GBK" w:cs="方正仿宋_GBK"/>
          <w:bCs/>
          <w:sz w:val="24"/>
          <w:lang w:bidi="zh-CN"/>
        </w:rPr>
        <w:t>甲方按照乙方实际投入人员数量及各单项人均费用并经考核完成后据实结算</w:t>
      </w: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bCs/>
          <w:sz w:val="24"/>
          <w:lang w:bidi="zh-CN"/>
        </w:rPr>
        <w:t>合同期间，如增减服务范围，按实际增减的人员和单项人均单价调整服务价款。乙方未按要求向采购人提供发票的，采购人有权不予付款，直至发票按要求提供正确为止。采购人有权从应付款项中直接扣除应由乙方承担的违约金及其他相关款项。</w:t>
      </w:r>
    </w:p>
    <w:p w14:paraId="11E802F4">
      <w:pPr>
        <w:pStyle w:val="23"/>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0"/>
          <w:lang w:bidi="zh-CN"/>
        </w:rPr>
      </w:pPr>
      <w:r>
        <w:rPr>
          <w:rFonts w:hint="eastAsia" w:ascii="方正仿宋_GBK" w:hAnsi="方正仿宋_GBK" w:eastAsia="方正仿宋_GBK" w:cs="方正仿宋_GBK"/>
          <w:b/>
          <w:sz w:val="24"/>
          <w:szCs w:val="20"/>
          <w:lang w:bidi="zh-CN"/>
        </w:rPr>
        <w:t>乙方向采购人提交发票时，中标人向采购人提交发票时，应提供人员工资支付资料。如有违反《劳动法》、《劳动合同法》等相关规定的，报相关主管部门处理。符合付款条件的，甲方在付款完成后将款项支付相关材料（发票、员工工资支付证明及付款回执等）存档，随时接受监管部门检查。</w:t>
      </w:r>
    </w:p>
    <w:p w14:paraId="0CC60CBB">
      <w:pPr>
        <w:pStyle w:val="24"/>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bCs/>
          <w:sz w:val="24"/>
          <w:szCs w:val="21"/>
        </w:rPr>
      </w:pPr>
      <w:r>
        <w:rPr>
          <w:rFonts w:hint="eastAsia" w:ascii="方正仿宋_GBK" w:hAnsi="方正仿宋_GBK" w:eastAsia="方正仿宋_GBK" w:cs="方正仿宋_GBK"/>
          <w:b/>
          <w:bCs/>
          <w:sz w:val="24"/>
          <w:szCs w:val="21"/>
        </w:rPr>
        <w:t>2、发票开具方式：与合同主体一致的增值税专用或普通发票。</w:t>
      </w:r>
    </w:p>
    <w:p w14:paraId="24E31D5B">
      <w:pPr>
        <w:pStyle w:val="16"/>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3、服务要求</w:t>
      </w:r>
    </w:p>
    <w:p w14:paraId="37E9E11C">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
          <w:bCs/>
          <w:sz w:val="24"/>
          <w:szCs w:val="21"/>
        </w:rPr>
      </w:pPr>
      <w:r>
        <w:rPr>
          <w:rFonts w:hint="eastAsia" w:ascii="方正仿宋_GBK" w:hAnsi="方正仿宋_GBK" w:eastAsia="方正仿宋_GBK" w:cs="方正仿宋_GBK"/>
          <w:sz w:val="24"/>
          <w:szCs w:val="24"/>
        </w:rPr>
        <w:t>按招标文件采购需求服务标准进行服务。</w:t>
      </w:r>
    </w:p>
    <w:p w14:paraId="226DB9BA">
      <w:pPr>
        <w:pStyle w:val="19"/>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zh-CN"/>
        </w:rPr>
        <w:t>四、</w:t>
      </w:r>
      <w:r>
        <w:rPr>
          <w:rFonts w:hint="eastAsia" w:ascii="方正仿宋_GBK" w:hAnsi="方正仿宋_GBK" w:eastAsia="方正仿宋_GBK" w:cs="方正仿宋_GBK"/>
          <w:b/>
          <w:sz w:val="24"/>
          <w:szCs w:val="24"/>
        </w:rPr>
        <w:t>违约责任</w:t>
      </w:r>
    </w:p>
    <w:p w14:paraId="667AE424">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1、 乙方未按约定期限提供服务的，每逾期一日，应以合同总价为基数，按一年期贷款市场报价利率（LPR）四倍标准向甲方支付违约金，逾期 15 天以上的，甲方有权解除本合同，解除合同的通知自送达乙方时生效。甲方选择解除合同的，乙方须返还已付款项，并按合同总价30%支付违约金。</w:t>
      </w:r>
    </w:p>
    <w:p w14:paraId="138F3589">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2、 本项目不得转让、分包，如有发生，甲方有权解除合同，有权要求乙方退还甲方已付款项，并由乙方向甲方支付合同总价30%违约金。</w:t>
      </w:r>
    </w:p>
    <w:p w14:paraId="7805974B">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3、 除另有约定外，非因甲方原因，乙方未全面不履行本合同其他约定或其他义务的，甲方有权要求其继续履行或解除合同。甲方要求继续履行的，乙方应支付合同总价 10%违约金；甲方选择解除本合同的或乙方仍未全面履行的，甲方均有权解除本合同，解除合同的通知自送达乙方时生效。甲方选择解除合同的，乙方须返还已付款项，并按合同总价 30%支付违约金。不足弥补甲方损失的，仍需赔偿。</w:t>
      </w:r>
    </w:p>
    <w:p w14:paraId="0989FFE0">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4、 非因乙方原因，甲方未按约定期限付款的，应就逾期部分向乙方支付按全国银行间同业拆借中心公布的一年期贷款市场报价利率计算的逾期付款违约金。</w:t>
      </w:r>
    </w:p>
    <w:p w14:paraId="0E29EFF2">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5、合同签订后，乙方单方终止或解除合同或因乙方原因导致合同解除的，除应退还甲方已付款项外，还应支付合同总价30%违约金。</w:t>
      </w:r>
    </w:p>
    <w:p w14:paraId="79E6D9E6">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6、 违约方应承担守约方主张权益产生的包括但不限于交通费、误工费、律师费、鉴定费、保全费、保全保险费、诉讼费等相关费用。</w:t>
      </w:r>
    </w:p>
    <w:p w14:paraId="2842353B">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7、 在合同履行期间，因非可归于甲方的原因造成的乙方自身或者他人人身损害及财产损失，均由乙方自行承担。</w:t>
      </w:r>
    </w:p>
    <w:p w14:paraId="0F00E8D6">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8、如果出现政府采购监督管理部门在处理投诉事项期间，书面通知甲方暂停采购活动的情形，或者询问或质疑事项可能影响中标结果的，导致甲方终止履行合同的情形，均不视为甲方违约。</w:t>
      </w:r>
    </w:p>
    <w:p w14:paraId="30F10966">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9、除不可抗力外，乙方未按合同规定的质量要求提供服务，不能完成合同时，甲方有权终止合同，重新组织招标，由此造成乙方的直接损失和间接损失甲方不给予补偿和赔偿，造成甲方损失时，甲方有权要求乙方赔偿，可从余款中扣除并可提出索赔要求。</w:t>
      </w:r>
    </w:p>
    <w:p w14:paraId="2A02559D">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10、乙方长期（连续两个月内）有人员不到位，影响物业管理质量的，经甲方要求及时改正，乙方仍拒不改正的，甲方有权解除合同，有权要求乙方退还甲方已付款项，并由乙方向甲方支付合同</w:t>
      </w:r>
      <w:bookmarkStart w:id="0" w:name="_GoBack"/>
      <w:bookmarkEnd w:id="0"/>
      <w:r>
        <w:rPr>
          <w:rFonts w:hint="eastAsia" w:ascii="方正仿宋_GBK" w:hAnsi="方正仿宋_GBK" w:eastAsia="方正仿宋_GBK" w:cs="方正仿宋_GBK"/>
          <w:bCs/>
          <w:sz w:val="24"/>
          <w:szCs w:val="24"/>
          <w:lang w:val="zh-CN"/>
        </w:rPr>
        <w:t>总价30%违约金。</w:t>
      </w:r>
    </w:p>
    <w:p w14:paraId="369B2D6B">
      <w:pPr>
        <w:pStyle w:val="16"/>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11、因乙方管理不善，导致甲方出现生命财产安全重大事故的（如有人员伤</w:t>
      </w:r>
      <w:r>
        <w:rPr>
          <w:rFonts w:hint="eastAsia" w:ascii="方正仿宋_GBK" w:hAnsi="方正仿宋_GBK" w:eastAsia="方正仿宋_GBK" w:cs="方正仿宋_GBK"/>
          <w:bCs/>
          <w:sz w:val="24"/>
          <w:szCs w:val="24"/>
          <w:highlight w:val="none"/>
          <w:lang w:val="zh-CN"/>
        </w:rPr>
        <w:t>亡医药费在</w:t>
      </w:r>
      <w:r>
        <w:rPr>
          <w:rFonts w:hint="eastAsia" w:ascii="方正仿宋_GBK" w:hAnsi="方正仿宋_GBK" w:eastAsia="方正仿宋_GBK" w:cs="方正仿宋_GBK"/>
          <w:bCs/>
          <w:sz w:val="24"/>
          <w:szCs w:val="24"/>
          <w:highlight w:val="none"/>
          <w:lang w:val="en-US" w:eastAsia="zh-CN"/>
        </w:rPr>
        <w:t>2</w:t>
      </w:r>
      <w:r>
        <w:rPr>
          <w:rFonts w:hint="eastAsia" w:ascii="方正仿宋_GBK" w:hAnsi="方正仿宋_GBK" w:eastAsia="方正仿宋_GBK" w:cs="方正仿宋_GBK"/>
          <w:bCs/>
          <w:sz w:val="24"/>
          <w:szCs w:val="24"/>
          <w:highlight w:val="none"/>
          <w:lang w:val="zh-CN"/>
        </w:rPr>
        <w:t>万元以上的或有财产损失</w:t>
      </w:r>
      <w:r>
        <w:rPr>
          <w:rFonts w:hint="eastAsia" w:ascii="方正仿宋_GBK" w:hAnsi="方正仿宋_GBK" w:eastAsia="方正仿宋_GBK" w:cs="方正仿宋_GBK"/>
          <w:bCs/>
          <w:sz w:val="24"/>
          <w:szCs w:val="24"/>
          <w:highlight w:val="none"/>
          <w:lang w:val="en-US" w:eastAsia="zh-CN"/>
        </w:rPr>
        <w:t>2</w:t>
      </w:r>
      <w:r>
        <w:rPr>
          <w:rFonts w:hint="eastAsia" w:ascii="方正仿宋_GBK" w:hAnsi="方正仿宋_GBK" w:eastAsia="方正仿宋_GBK" w:cs="方正仿宋_GBK"/>
          <w:bCs/>
          <w:sz w:val="24"/>
          <w:szCs w:val="24"/>
          <w:highlight w:val="none"/>
          <w:lang w:val="zh-CN"/>
        </w:rPr>
        <w:t>万元以上的），甲方有权解</w:t>
      </w:r>
      <w:r>
        <w:rPr>
          <w:rFonts w:hint="eastAsia" w:ascii="方正仿宋_GBK" w:hAnsi="方正仿宋_GBK" w:eastAsia="方正仿宋_GBK" w:cs="方正仿宋_GBK"/>
          <w:bCs/>
          <w:sz w:val="24"/>
          <w:szCs w:val="24"/>
          <w:lang w:val="zh-CN"/>
        </w:rPr>
        <w:t>除合同，有权要求乙方退还甲方已付款项，并由乙方向甲方支付合同总价30%违约金，不足弥补甲方损失的仍需赔偿。</w:t>
      </w:r>
    </w:p>
    <w:p w14:paraId="7A2A4359">
      <w:pPr>
        <w:pStyle w:val="19"/>
        <w:keepNext w:val="0"/>
        <w:keepLines w:val="0"/>
        <w:pageBreakBefore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4"/>
          <w:lang w:val="zh-CN"/>
        </w:rPr>
      </w:pPr>
      <w:r>
        <w:rPr>
          <w:rFonts w:hint="eastAsia" w:ascii="方正仿宋_GBK" w:hAnsi="方正仿宋_GBK" w:eastAsia="方正仿宋_GBK" w:cs="方正仿宋_GBK"/>
          <w:b/>
          <w:sz w:val="24"/>
          <w:szCs w:val="24"/>
          <w:lang w:val="zh-CN"/>
        </w:rPr>
        <w:t>五、供应商合法权益补偿机制</w:t>
      </w:r>
    </w:p>
    <w:p w14:paraId="4266B999">
      <w:pPr>
        <w:pStyle w:val="25"/>
        <w:keepNext w:val="0"/>
        <w:keepLines w:val="0"/>
        <w:pageBreakBefore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lang w:val="zh-CN"/>
        </w:rPr>
      </w:pPr>
      <w:r>
        <w:rPr>
          <w:rFonts w:hint="eastAsia" w:ascii="方正仿宋_GBK" w:hAnsi="方正仿宋_GBK" w:eastAsia="方正仿宋_GBK" w:cs="方正仿宋_GBK"/>
          <w:bCs/>
          <w:sz w:val="24"/>
          <w:szCs w:val="24"/>
          <w:lang w:val="zh-CN"/>
        </w:rPr>
        <w:t>供应商合法权益补偿救济机制。在履约过程因政策变化、规划调整而无法履行合同约定，造成企业合法权益受损的，采购人依据实际情况对供应商进行补偿救济。</w:t>
      </w:r>
    </w:p>
    <w:p w14:paraId="79EAFD9E">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六、争议的解决</w:t>
      </w:r>
    </w:p>
    <w:p w14:paraId="47108AD6">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1、因履行本合同引起的或与本合同有关的争议，甲乙双方应首先友好协商解决，如果协商不能解决争议，则向甲方所在地有管辖权的人民法院提起诉讼。</w:t>
      </w:r>
    </w:p>
    <w:p w14:paraId="60AB1812">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2、在审理期间，本合同应继续履行。</w:t>
      </w:r>
    </w:p>
    <w:p w14:paraId="1EC74CB3">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3、甲乙双方签订本合同时登记的地址、联系方式作为通知及法律文书（含诉讼文书、传票等）送达地址、联系方式，如有变更，甲乙双方须提前以书面形式通知对方。否则，如出现无法通知、文书被退回、拒收等情形视为对方已收，由此产生的法律后果均由该方承担。</w:t>
      </w:r>
    </w:p>
    <w:p w14:paraId="5ED6208E">
      <w:pPr>
        <w:pStyle w:val="11"/>
        <w:keepNext w:val="0"/>
        <w:keepLines w:val="0"/>
        <w:pageBreakBefore w:val="0"/>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4、任何一方由于不可抗力原因致使本合同无法继续履行或完全履行的，应在不可抗力事件发生后3日内向对方通报，并尽最大努力予以补救，减轻可能给对方造成的损失，在取得有关机构的不可抗力书面证明后，允许延期履行、部分履行或者不履行合同，并根据情况可部分或全部免予承担违约责任</w:t>
      </w:r>
      <w:r>
        <w:rPr>
          <w:rFonts w:hint="eastAsia" w:ascii="方正仿宋_GBK" w:hAnsi="方正仿宋_GBK" w:eastAsia="方正仿宋_GBK" w:cs="方正仿宋_GBK"/>
          <w:bCs/>
          <w:sz w:val="24"/>
          <w:szCs w:val="24"/>
          <w:lang w:val="zh-CN"/>
        </w:rPr>
        <w:t>。</w:t>
      </w:r>
    </w:p>
    <w:p w14:paraId="57ABC3E5">
      <w:pPr>
        <w:pStyle w:val="12"/>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七、附则</w:t>
      </w:r>
    </w:p>
    <w:p w14:paraId="73872000">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1、双方可对本合同的条款进行补充，以书面形式签订补充协议，补充协议与本合同具有同等效力。</w:t>
      </w:r>
    </w:p>
    <w:p w14:paraId="21E38ADA">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2、本合同之附件均为合同有效组成部分。本合同及其附件和补充协议中未规定的事宜，遵照中华人民共和国有关法律、法规和规章执行。</w:t>
      </w:r>
    </w:p>
    <w:p w14:paraId="31528192">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3、本合同一式四份，以中文书写，甲方、乙方各执贰份。</w:t>
      </w:r>
    </w:p>
    <w:p w14:paraId="4541969B">
      <w:pPr>
        <w:pStyle w:val="11"/>
        <w:keepNext w:val="0"/>
        <w:keepLines w:val="0"/>
        <w:pageBreakBefore w:val="0"/>
        <w:widowControl/>
        <w:tabs>
          <w:tab w:val="left" w:pos="6890"/>
          <w:tab w:val="left" w:pos="8105"/>
        </w:tabs>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4、本合同一切未尽事宜，按《中华人民共和国民法典》有关规定执行，无相关规定的，由甲乙双方协商解决。</w:t>
      </w:r>
    </w:p>
    <w:p w14:paraId="003B869D">
      <w:pPr>
        <w:pStyle w:val="11"/>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八、合同的生效</w:t>
      </w:r>
    </w:p>
    <w:p w14:paraId="35E9B833">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本合同经甲方、乙方签字盖章后生效。</w:t>
      </w:r>
    </w:p>
    <w:p w14:paraId="2DD7CF12">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p>
    <w:p w14:paraId="472928E3">
      <w:pPr>
        <w:pStyle w:val="1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方正仿宋_GBK" w:hAnsi="方正仿宋_GBK" w:eastAsia="方正仿宋_GBK" w:cs="方正仿宋_GBK"/>
          <w:bCs/>
          <w:sz w:val="24"/>
          <w:szCs w:val="24"/>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3"/>
        <w:gridCol w:w="490"/>
        <w:gridCol w:w="1095"/>
        <w:gridCol w:w="1867"/>
        <w:gridCol w:w="906"/>
        <w:gridCol w:w="442"/>
        <w:gridCol w:w="1137"/>
        <w:gridCol w:w="1742"/>
      </w:tblGrid>
      <w:tr w14:paraId="40DA8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43" w:type="dxa"/>
            <w:vAlign w:val="bottom"/>
          </w:tcPr>
          <w:p w14:paraId="3EFC664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甲方：</w:t>
            </w:r>
          </w:p>
        </w:tc>
        <w:tc>
          <w:tcPr>
            <w:tcW w:w="3452" w:type="dxa"/>
            <w:gridSpan w:val="3"/>
            <w:vAlign w:val="bottom"/>
          </w:tcPr>
          <w:p w14:paraId="71A782FA">
            <w:pPr>
              <w:keepNext w:val="0"/>
              <w:keepLines w:val="0"/>
              <w:pageBreakBefore w:val="0"/>
              <w:widowControl w:val="0"/>
              <w:kinsoku/>
              <w:wordWrap/>
              <w:overflowPunct/>
              <w:topLinePunct w:val="0"/>
              <w:autoSpaceDE/>
              <w:autoSpaceDN/>
              <w:bidi w:val="0"/>
              <w:adjustRightInd w:val="0"/>
              <w:snapToGrid w:val="0"/>
              <w:ind w:left="-105" w:leftChars="-50" w:right="-105" w:rightChars="-50"/>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6"/>
                <w:w w:val="90"/>
                <w:sz w:val="24"/>
                <w:szCs w:val="24"/>
              </w:rPr>
              <w:t>宿迁市数字化城市管理监督指挥中心</w:t>
            </w:r>
          </w:p>
        </w:tc>
        <w:tc>
          <w:tcPr>
            <w:tcW w:w="906" w:type="dxa"/>
            <w:vAlign w:val="bottom"/>
          </w:tcPr>
          <w:p w14:paraId="60C2D72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乙方：</w:t>
            </w:r>
          </w:p>
        </w:tc>
        <w:tc>
          <w:tcPr>
            <w:tcW w:w="3321" w:type="dxa"/>
            <w:gridSpan w:val="3"/>
            <w:vAlign w:val="bottom"/>
          </w:tcPr>
          <w:p w14:paraId="79D6CBB1">
            <w:pPr>
              <w:keepNext w:val="0"/>
              <w:keepLines w:val="0"/>
              <w:pageBreakBefore w:val="0"/>
              <w:widowControl w:val="0"/>
              <w:kinsoku/>
              <w:wordWrap/>
              <w:overflowPunct/>
              <w:topLinePunct w:val="0"/>
              <w:autoSpaceDE/>
              <w:autoSpaceDN/>
              <w:bidi w:val="0"/>
              <w:adjustRightInd w:val="0"/>
              <w:snapToGrid w:val="0"/>
              <w:ind w:left="-105" w:leftChars="-50" w:right="-105" w:rightChars="-50"/>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6"/>
                <w:w w:val="90"/>
                <w:sz w:val="24"/>
                <w:szCs w:val="24"/>
              </w:rPr>
              <w:t>江苏安民智慧物业管理集团有限公司</w:t>
            </w:r>
          </w:p>
        </w:tc>
      </w:tr>
      <w:tr w14:paraId="6CBD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43" w:type="dxa"/>
            <w:vAlign w:val="bottom"/>
          </w:tcPr>
          <w:p w14:paraId="073322F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3452" w:type="dxa"/>
            <w:gridSpan w:val="3"/>
            <w:vAlign w:val="bottom"/>
          </w:tcPr>
          <w:p w14:paraId="41FF9851">
            <w:pPr>
              <w:keepNext w:val="0"/>
              <w:keepLines w:val="0"/>
              <w:pageBreakBefore w:val="0"/>
              <w:widowControl w:val="0"/>
              <w:kinsoku/>
              <w:wordWrap/>
              <w:overflowPunct/>
              <w:topLinePunct w:val="0"/>
              <w:autoSpaceDE/>
              <w:autoSpaceDN/>
              <w:bidi w:val="0"/>
              <w:adjustRightInd w:val="0"/>
              <w:snapToGrid w:val="0"/>
              <w:ind w:firstLine="240" w:firstLineChars="10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（盖章）</w:t>
            </w:r>
          </w:p>
        </w:tc>
        <w:tc>
          <w:tcPr>
            <w:tcW w:w="906" w:type="dxa"/>
            <w:vAlign w:val="bottom"/>
          </w:tcPr>
          <w:p w14:paraId="2A910FC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3321" w:type="dxa"/>
            <w:gridSpan w:val="3"/>
            <w:vAlign w:val="bottom"/>
          </w:tcPr>
          <w:p w14:paraId="07B482A6">
            <w:pPr>
              <w:keepNext w:val="0"/>
              <w:keepLines w:val="0"/>
              <w:pageBreakBefore w:val="0"/>
              <w:widowControl w:val="0"/>
              <w:kinsoku/>
              <w:wordWrap/>
              <w:overflowPunct/>
              <w:topLinePunct w:val="0"/>
              <w:autoSpaceDE/>
              <w:autoSpaceDN/>
              <w:bidi w:val="0"/>
              <w:adjustRightInd w:val="0"/>
              <w:snapToGrid w:val="0"/>
              <w:ind w:left="-105" w:leftChars="-50" w:right="-283" w:firstLine="240" w:firstLineChars="10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（盖章）</w:t>
            </w:r>
          </w:p>
        </w:tc>
      </w:tr>
      <w:tr w14:paraId="3917C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43" w:type="dxa"/>
            <w:vAlign w:val="bottom"/>
          </w:tcPr>
          <w:p w14:paraId="4766009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地址：</w:t>
            </w:r>
          </w:p>
        </w:tc>
        <w:tc>
          <w:tcPr>
            <w:tcW w:w="3452" w:type="dxa"/>
            <w:gridSpan w:val="3"/>
            <w:vAlign w:val="bottom"/>
          </w:tcPr>
          <w:p w14:paraId="52D36C7C">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宿迁市湖滨新区发展大道东侧</w:t>
            </w:r>
          </w:p>
        </w:tc>
        <w:tc>
          <w:tcPr>
            <w:tcW w:w="906" w:type="dxa"/>
            <w:vAlign w:val="bottom"/>
          </w:tcPr>
          <w:p w14:paraId="4B51BBE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地址：</w:t>
            </w:r>
          </w:p>
        </w:tc>
        <w:tc>
          <w:tcPr>
            <w:tcW w:w="3321" w:type="dxa"/>
            <w:gridSpan w:val="3"/>
            <w:vAlign w:val="bottom"/>
          </w:tcPr>
          <w:p w14:paraId="4A54445E">
            <w:pPr>
              <w:keepNext w:val="0"/>
              <w:keepLines w:val="0"/>
              <w:pageBreakBefore w:val="0"/>
              <w:widowControl w:val="0"/>
              <w:kinsoku/>
              <w:wordWrap/>
              <w:overflowPunct/>
              <w:topLinePunct w:val="0"/>
              <w:autoSpaceDE/>
              <w:autoSpaceDN/>
              <w:bidi w:val="0"/>
              <w:adjustRightInd w:val="0"/>
              <w:snapToGrid w:val="0"/>
              <w:ind w:left="-105" w:leftChars="-50" w:right="-283"/>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江苏省宿迁市湖滨新区软件园</w:t>
            </w:r>
          </w:p>
        </w:tc>
      </w:tr>
      <w:tr w14:paraId="22E7E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43" w:type="dxa"/>
            <w:vAlign w:val="bottom"/>
          </w:tcPr>
          <w:p w14:paraId="1E4E0B2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3452" w:type="dxa"/>
            <w:gridSpan w:val="3"/>
            <w:vAlign w:val="bottom"/>
          </w:tcPr>
          <w:p w14:paraId="62C4755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906" w:type="dxa"/>
            <w:vAlign w:val="bottom"/>
          </w:tcPr>
          <w:p w14:paraId="097BCFD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3321" w:type="dxa"/>
            <w:gridSpan w:val="3"/>
            <w:vAlign w:val="bottom"/>
          </w:tcPr>
          <w:p w14:paraId="5419DFE9">
            <w:pPr>
              <w:keepNext w:val="0"/>
              <w:keepLines w:val="0"/>
              <w:pageBreakBefore w:val="0"/>
              <w:widowControl w:val="0"/>
              <w:kinsoku/>
              <w:wordWrap/>
              <w:overflowPunct/>
              <w:topLinePunct w:val="0"/>
              <w:autoSpaceDE/>
              <w:autoSpaceDN/>
              <w:bidi w:val="0"/>
              <w:adjustRightInd w:val="0"/>
              <w:snapToGrid w:val="0"/>
              <w:ind w:left="-105" w:leftChars="-50" w:right="-283"/>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（保险小镇）C4栋424室</w:t>
            </w:r>
          </w:p>
        </w:tc>
      </w:tr>
      <w:tr w14:paraId="4ECCC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428" w:type="dxa"/>
            <w:gridSpan w:val="3"/>
            <w:vAlign w:val="bottom"/>
          </w:tcPr>
          <w:p w14:paraId="3126B53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法定（授权）代表人：</w:t>
            </w:r>
          </w:p>
        </w:tc>
        <w:tc>
          <w:tcPr>
            <w:tcW w:w="1867" w:type="dxa"/>
            <w:vAlign w:val="bottom"/>
          </w:tcPr>
          <w:p w14:paraId="3A3A99B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2485" w:type="dxa"/>
            <w:gridSpan w:val="3"/>
            <w:vAlign w:val="bottom"/>
          </w:tcPr>
          <w:p w14:paraId="7A16C542">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法定（授权）代表人：</w:t>
            </w:r>
          </w:p>
        </w:tc>
        <w:tc>
          <w:tcPr>
            <w:tcW w:w="1742" w:type="dxa"/>
            <w:vAlign w:val="bottom"/>
          </w:tcPr>
          <w:p w14:paraId="0A61230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lang w:val="en-US" w:eastAsia="zh-CN"/>
              </w:rPr>
            </w:pPr>
          </w:p>
        </w:tc>
      </w:tr>
      <w:tr w14:paraId="19CC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333" w:type="dxa"/>
            <w:gridSpan w:val="2"/>
            <w:vAlign w:val="bottom"/>
          </w:tcPr>
          <w:p w14:paraId="521176F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系</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人：</w:t>
            </w:r>
          </w:p>
        </w:tc>
        <w:tc>
          <w:tcPr>
            <w:tcW w:w="2962" w:type="dxa"/>
            <w:gridSpan w:val="2"/>
            <w:vAlign w:val="bottom"/>
          </w:tcPr>
          <w:p w14:paraId="0EEC771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1348" w:type="dxa"/>
            <w:gridSpan w:val="2"/>
            <w:shd w:val="clear" w:color="auto" w:fill="auto"/>
            <w:vAlign w:val="bottom"/>
          </w:tcPr>
          <w:p w14:paraId="5AB6144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lang w:val="en-US" w:eastAsia="zh-CN" w:bidi="ar-SA"/>
              </w:rPr>
            </w:pPr>
            <w:r>
              <w:rPr>
                <w:rFonts w:hint="eastAsia" w:ascii="方正仿宋_GBK" w:hAnsi="方正仿宋_GBK" w:eastAsia="方正仿宋_GBK" w:cs="方正仿宋_GBK"/>
                <w:sz w:val="24"/>
                <w:szCs w:val="24"/>
              </w:rPr>
              <w:t>联</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系</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人：</w:t>
            </w:r>
          </w:p>
        </w:tc>
        <w:tc>
          <w:tcPr>
            <w:tcW w:w="2879" w:type="dxa"/>
            <w:gridSpan w:val="2"/>
            <w:vAlign w:val="bottom"/>
          </w:tcPr>
          <w:p w14:paraId="3F89A42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lang w:val="en-US" w:eastAsia="zh-CN"/>
              </w:rPr>
            </w:pPr>
          </w:p>
        </w:tc>
      </w:tr>
      <w:tr w14:paraId="10EA8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333" w:type="dxa"/>
            <w:gridSpan w:val="2"/>
            <w:vAlign w:val="bottom"/>
          </w:tcPr>
          <w:p w14:paraId="3156BB3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联系电话：</w:t>
            </w:r>
          </w:p>
        </w:tc>
        <w:tc>
          <w:tcPr>
            <w:tcW w:w="2962" w:type="dxa"/>
            <w:gridSpan w:val="2"/>
            <w:vAlign w:val="bottom"/>
          </w:tcPr>
          <w:p w14:paraId="622ECA0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rPr>
            </w:pPr>
          </w:p>
        </w:tc>
        <w:tc>
          <w:tcPr>
            <w:tcW w:w="1348" w:type="dxa"/>
            <w:gridSpan w:val="2"/>
            <w:shd w:val="clear" w:color="auto" w:fill="auto"/>
            <w:vAlign w:val="bottom"/>
          </w:tcPr>
          <w:p w14:paraId="0A27E62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lang w:val="en-US" w:eastAsia="zh-CN" w:bidi="ar-SA"/>
              </w:rPr>
            </w:pPr>
            <w:r>
              <w:rPr>
                <w:rFonts w:hint="eastAsia" w:ascii="方正仿宋_GBK" w:hAnsi="方正仿宋_GBK" w:eastAsia="方正仿宋_GBK" w:cs="方正仿宋_GBK"/>
                <w:sz w:val="24"/>
                <w:szCs w:val="24"/>
              </w:rPr>
              <w:t>联系电话：</w:t>
            </w:r>
          </w:p>
        </w:tc>
        <w:tc>
          <w:tcPr>
            <w:tcW w:w="2879" w:type="dxa"/>
            <w:gridSpan w:val="2"/>
            <w:vAlign w:val="bottom"/>
          </w:tcPr>
          <w:p w14:paraId="621B1CE9">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方正仿宋_GBK" w:hAnsi="方正仿宋_GBK" w:eastAsia="方正仿宋_GBK" w:cs="方正仿宋_GBK"/>
                <w:sz w:val="24"/>
                <w:szCs w:val="24"/>
                <w:lang w:val="en-US" w:eastAsia="zh-CN"/>
              </w:rPr>
            </w:pPr>
          </w:p>
        </w:tc>
      </w:tr>
      <w:tr w14:paraId="51632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95" w:type="dxa"/>
            <w:gridSpan w:val="4"/>
            <w:vAlign w:val="bottom"/>
          </w:tcPr>
          <w:p w14:paraId="76B4F423">
            <w:pPr>
              <w:keepNext w:val="0"/>
              <w:keepLines w:val="0"/>
              <w:pageBreakBefore w:val="0"/>
              <w:widowControl w:val="0"/>
              <w:kinsoku/>
              <w:wordWrap/>
              <w:overflowPunct/>
              <w:topLinePunct w:val="0"/>
              <w:autoSpaceDE/>
              <w:autoSpaceDN/>
              <w:bidi w:val="0"/>
              <w:adjustRightInd w:val="0"/>
              <w:snapToGrid w:val="0"/>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2026</w:t>
            </w:r>
            <w:r>
              <w:rPr>
                <w:rFonts w:hint="eastAsia" w:ascii="方正仿宋_GBK" w:hAnsi="方正仿宋_GBK" w:eastAsia="方正仿宋_GBK" w:cs="方正仿宋_GBK"/>
                <w:sz w:val="24"/>
                <w:szCs w:val="24"/>
              </w:rPr>
              <w:t>年</w:t>
            </w:r>
            <w:r>
              <w:rPr>
                <w:rFonts w:hint="eastAsia" w:ascii="方正仿宋_GBK" w:hAnsi="方正仿宋_GBK" w:eastAsia="方正仿宋_GBK" w:cs="方正仿宋_GBK"/>
                <w:sz w:val="24"/>
                <w:szCs w:val="24"/>
                <w:lang w:val="en-US" w:eastAsia="zh-CN"/>
              </w:rPr>
              <w:t>8</w:t>
            </w:r>
            <w:r>
              <w:rPr>
                <w:rFonts w:hint="eastAsia" w:ascii="方正仿宋_GBK" w:hAnsi="方正仿宋_GBK" w:eastAsia="方正仿宋_GBK" w:cs="方正仿宋_GBK"/>
                <w:sz w:val="24"/>
                <w:szCs w:val="24"/>
              </w:rPr>
              <w:t>月   日</w:t>
            </w:r>
          </w:p>
        </w:tc>
        <w:tc>
          <w:tcPr>
            <w:tcW w:w="4227" w:type="dxa"/>
            <w:gridSpan w:val="4"/>
            <w:shd w:val="clear" w:color="auto" w:fill="auto"/>
            <w:vAlign w:val="bottom"/>
          </w:tcPr>
          <w:p w14:paraId="6B309257">
            <w:pPr>
              <w:keepNext w:val="0"/>
              <w:keepLines w:val="0"/>
              <w:pageBreakBefore w:val="0"/>
              <w:widowControl w:val="0"/>
              <w:kinsoku/>
              <w:wordWrap/>
              <w:overflowPunct/>
              <w:topLinePunct w:val="0"/>
              <w:autoSpaceDE/>
              <w:autoSpaceDN/>
              <w:bidi w:val="0"/>
              <w:adjustRightInd w:val="0"/>
              <w:snapToGrid w:val="0"/>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2026</w:t>
            </w:r>
            <w:r>
              <w:rPr>
                <w:rFonts w:hint="eastAsia" w:ascii="方正仿宋_GBK" w:hAnsi="方正仿宋_GBK" w:eastAsia="方正仿宋_GBK" w:cs="方正仿宋_GBK"/>
                <w:sz w:val="24"/>
                <w:szCs w:val="24"/>
              </w:rPr>
              <w:t>年</w:t>
            </w:r>
            <w:r>
              <w:rPr>
                <w:rFonts w:hint="eastAsia" w:ascii="方正仿宋_GBK" w:hAnsi="方正仿宋_GBK" w:eastAsia="方正仿宋_GBK" w:cs="方正仿宋_GBK"/>
                <w:sz w:val="24"/>
                <w:szCs w:val="24"/>
                <w:lang w:val="en-US" w:eastAsia="zh-CN"/>
              </w:rPr>
              <w:t>8</w:t>
            </w:r>
            <w:r>
              <w:rPr>
                <w:rFonts w:hint="eastAsia" w:ascii="方正仿宋_GBK" w:hAnsi="方正仿宋_GBK" w:eastAsia="方正仿宋_GBK" w:cs="方正仿宋_GBK"/>
                <w:sz w:val="24"/>
                <w:szCs w:val="24"/>
              </w:rPr>
              <w:t>月   日</w:t>
            </w:r>
          </w:p>
        </w:tc>
      </w:tr>
    </w:tbl>
    <w:p w14:paraId="6F30A29A">
      <w:pPr>
        <w:rPr>
          <w:rFonts w:hint="eastAsia" w:ascii="方正仿宋_GBK" w:hAnsi="方正仿宋_GBK" w:eastAsia="方正仿宋_GBK" w:cs="方正仿宋_GBK"/>
        </w:rPr>
      </w:pPr>
    </w:p>
    <w:sectPr>
      <w:footerReference r:id="rId3" w:type="default"/>
      <w:type w:val="continuous"/>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F440EBA-763F-4343-B4DD-446C5367B70E}"/>
  </w:font>
  <w:font w:name="Arial">
    <w:panose1 w:val="020B0604020202020204"/>
    <w:charset w:val="01"/>
    <w:family w:val="swiss"/>
    <w:pitch w:val="default"/>
    <w:sig w:usb0="E0002EFF" w:usb1="C000785B" w:usb2="00000009" w:usb3="00000000" w:csb0="400001FF" w:csb1="FFFF0000"/>
    <w:embedRegular r:id="rId2" w:fontKey="{24D92A78-75DF-4399-95F8-F06F258F3DC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38888542-599D-4482-BED4-1326BB0D5D65}"/>
  </w:font>
  <w:font w:name="Symbol">
    <w:panose1 w:val="05050102010706020507"/>
    <w:charset w:val="02"/>
    <w:family w:val="roman"/>
    <w:pitch w:val="default"/>
    <w:sig w:usb0="00000000" w:usb1="00000000" w:usb2="00000000" w:usb3="00000000" w:csb0="80000000" w:csb1="00000000"/>
    <w:embedRegular r:id="rId4" w:fontKey="{1F5E166B-6769-4C6D-A636-99E4EDF77CC4}"/>
  </w:font>
  <w:font w:name="Calibri">
    <w:panose1 w:val="020F0502020204030204"/>
    <w:charset w:val="00"/>
    <w:family w:val="swiss"/>
    <w:pitch w:val="default"/>
    <w:sig w:usb0="E4002EFF" w:usb1="C200247B" w:usb2="00000009" w:usb3="00000000" w:csb0="200001FF" w:csb1="00000000"/>
    <w:embedRegular r:id="rId5" w:fontKey="{5ADD530A-84AA-4171-A19D-2BA7B8445ACD}"/>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embedRegular r:id="rId6" w:fontKey="{3E52547D-C222-45F8-A61F-6B8A25C69184}"/>
  </w:font>
  <w:font w:name="微软雅黑">
    <w:panose1 w:val="020B0503020204020204"/>
    <w:charset w:val="86"/>
    <w:family w:val="swiss"/>
    <w:pitch w:val="default"/>
    <w:sig w:usb0="80000287" w:usb1="2ACF3C50" w:usb2="00000016" w:usb3="00000000" w:csb0="0004001F" w:csb1="00000000"/>
  </w:font>
  <w:font w:name="方正仿宋_GBK">
    <w:panose1 w:val="02000000000000000000"/>
    <w:charset w:val="86"/>
    <w:family w:val="auto"/>
    <w:pitch w:val="default"/>
    <w:sig w:usb0="00000001" w:usb1="080E0000" w:usb2="00000000" w:usb3="00000000" w:csb0="00040000" w:csb1="00000000"/>
    <w:embedRegular r:id="rId7" w:fontKey="{66BCEB94-6A97-4BA8-A05F-FA56239EFF5C}"/>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607F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318C6">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5318C6">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EB70E2"/>
    <w:rsid w:val="020F7CC7"/>
    <w:rsid w:val="0A3F4EF6"/>
    <w:rsid w:val="0C0249EB"/>
    <w:rsid w:val="0D6F318F"/>
    <w:rsid w:val="12004C9E"/>
    <w:rsid w:val="14144769"/>
    <w:rsid w:val="17EB70E2"/>
    <w:rsid w:val="1C375E0E"/>
    <w:rsid w:val="1CC30E5F"/>
    <w:rsid w:val="202276E4"/>
    <w:rsid w:val="20475340"/>
    <w:rsid w:val="220B18C2"/>
    <w:rsid w:val="24C569B9"/>
    <w:rsid w:val="254611BB"/>
    <w:rsid w:val="28AD76BD"/>
    <w:rsid w:val="2BEF63BF"/>
    <w:rsid w:val="2D94330E"/>
    <w:rsid w:val="30452492"/>
    <w:rsid w:val="305A0118"/>
    <w:rsid w:val="31F4599A"/>
    <w:rsid w:val="32035603"/>
    <w:rsid w:val="34712B8B"/>
    <w:rsid w:val="3B4E4AF4"/>
    <w:rsid w:val="3C1A1CED"/>
    <w:rsid w:val="3C766BD4"/>
    <w:rsid w:val="3D1A072D"/>
    <w:rsid w:val="3FCB4E2E"/>
    <w:rsid w:val="40ED2413"/>
    <w:rsid w:val="42052F5A"/>
    <w:rsid w:val="429A06C1"/>
    <w:rsid w:val="444C011B"/>
    <w:rsid w:val="47004D6A"/>
    <w:rsid w:val="47AA4D1B"/>
    <w:rsid w:val="494328D7"/>
    <w:rsid w:val="4AF817C6"/>
    <w:rsid w:val="4EA85250"/>
    <w:rsid w:val="51CE4399"/>
    <w:rsid w:val="56465FB4"/>
    <w:rsid w:val="56692CEC"/>
    <w:rsid w:val="58056F74"/>
    <w:rsid w:val="5C3057D5"/>
    <w:rsid w:val="5C594440"/>
    <w:rsid w:val="5C9C754D"/>
    <w:rsid w:val="5DD11E4D"/>
    <w:rsid w:val="5FAE2D25"/>
    <w:rsid w:val="6081274F"/>
    <w:rsid w:val="63D610DA"/>
    <w:rsid w:val="66FC615E"/>
    <w:rsid w:val="68141AB7"/>
    <w:rsid w:val="68944A78"/>
    <w:rsid w:val="6AB05757"/>
    <w:rsid w:val="6C7D4B2E"/>
    <w:rsid w:val="6E05302D"/>
    <w:rsid w:val="704217FE"/>
    <w:rsid w:val="71490B1C"/>
    <w:rsid w:val="72EE705F"/>
    <w:rsid w:val="77410D4A"/>
    <w:rsid w:val="79D030E6"/>
    <w:rsid w:val="7F3B0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文本1"/>
    <w:qFormat/>
    <w:uiPriority w:val="0"/>
    <w:pPr>
      <w:widowControl w:val="0"/>
      <w:spacing w:line="60" w:lineRule="auto"/>
      <w:jc w:val="both"/>
    </w:pPr>
    <w:rPr>
      <w:rFonts w:ascii="仿宋_GB2312" w:hAnsi="Times New Roman" w:eastAsia="仿宋_GB2312" w:cs="Times New Roman"/>
      <w:sz w:val="32"/>
      <w:szCs w:val="24"/>
      <w:lang w:val="en-US" w:eastAsia="zh-CN" w:bidi="ar-SA"/>
    </w:rPr>
  </w:style>
  <w:style w:type="paragraph" w:customStyle="1" w:styleId="8">
    <w:name w:val="Normal_21"/>
    <w:next w:val="9"/>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9">
    <w:name w:val="正文_16"/>
    <w:qFormat/>
    <w:uiPriority w:val="0"/>
    <w:pPr>
      <w:widowControl w:val="0"/>
      <w:jc w:val="both"/>
    </w:pPr>
    <w:rPr>
      <w:rFonts w:ascii="Calibri" w:hAnsi="Calibri" w:eastAsia="宋体" w:cs="Times New Roman"/>
      <w:sz w:val="21"/>
      <w:szCs w:val="22"/>
      <w:lang w:val="en-US" w:eastAsia="zh-CN" w:bidi="ar-SA"/>
    </w:rPr>
  </w:style>
  <w:style w:type="paragraph" w:customStyle="1" w:styleId="10">
    <w:name w:val="正文文本2"/>
    <w:qFormat/>
    <w:uiPriority w:val="0"/>
    <w:pPr>
      <w:widowControl w:val="0"/>
      <w:spacing w:line="60" w:lineRule="auto"/>
      <w:jc w:val="both"/>
    </w:pPr>
    <w:rPr>
      <w:rFonts w:ascii="仿宋_GB2312" w:hAnsi="Times New Roman" w:eastAsia="仿宋_GB2312" w:cs="Times New Roman"/>
      <w:sz w:val="32"/>
      <w:szCs w:val="22"/>
      <w:lang w:val="en-US" w:eastAsia="zh-CN" w:bidi="ar-SA"/>
    </w:rPr>
  </w:style>
  <w:style w:type="paragraph" w:customStyle="1" w:styleId="11">
    <w:name w:val="正文文本4"/>
    <w:qFormat/>
    <w:uiPriority w:val="0"/>
    <w:pPr>
      <w:widowControl w:val="0"/>
      <w:spacing w:line="60" w:lineRule="auto"/>
      <w:jc w:val="both"/>
    </w:pPr>
    <w:rPr>
      <w:rFonts w:ascii="仿宋_GB2312" w:hAnsi="Times New Roman" w:eastAsia="仿宋_GB2312" w:cs="Times New Roman"/>
      <w:sz w:val="32"/>
      <w:szCs w:val="22"/>
      <w:lang w:val="en-US" w:eastAsia="zh-CN" w:bidi="ar-SA"/>
    </w:rPr>
  </w:style>
  <w:style w:type="paragraph" w:customStyle="1" w:styleId="12">
    <w:name w:val="正文_11_0"/>
    <w:qFormat/>
    <w:uiPriority w:val="0"/>
    <w:pPr>
      <w:widowControl w:val="0"/>
      <w:jc w:val="both"/>
    </w:pPr>
    <w:rPr>
      <w:rFonts w:ascii="Calibri" w:hAnsi="Calibri" w:eastAsia="宋体" w:cs="Times New Roman"/>
      <w:sz w:val="21"/>
      <w:szCs w:val="20"/>
      <w:lang w:val="en-US" w:eastAsia="zh-CN" w:bidi="ar-SA"/>
    </w:rPr>
  </w:style>
  <w:style w:type="paragraph" w:customStyle="1" w:styleId="13">
    <w:name w:val="正文_17"/>
    <w:next w:val="14"/>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4">
    <w:name w:val="标题 4_1"/>
    <w:next w:val="13"/>
    <w:qFormat/>
    <w:uiPriority w:val="0"/>
    <w:pPr>
      <w:keepNext/>
      <w:keepLines/>
      <w:widowControl w:val="0"/>
      <w:tabs>
        <w:tab w:val="left" w:pos="1134"/>
        <w:tab w:val="right" w:pos="7371"/>
      </w:tabs>
      <w:spacing w:line="360" w:lineRule="auto"/>
      <w:jc w:val="both"/>
      <w:outlineLvl w:val="3"/>
    </w:pPr>
    <w:rPr>
      <w:rFonts w:ascii="宋体" w:hAnsi="Times New Roman" w:eastAsia="宋体" w:cs="Times New Roman"/>
      <w:color w:val="800000"/>
      <w:sz w:val="28"/>
      <w:szCs w:val="20"/>
      <w:lang w:val="en-US" w:eastAsia="zh-CN" w:bidi="ar-SA"/>
    </w:rPr>
  </w:style>
  <w:style w:type="paragraph" w:customStyle="1" w:styleId="15">
    <w:name w:val="List Paragraph_0"/>
    <w:qFormat/>
    <w:uiPriority w:val="0"/>
    <w:pPr>
      <w:widowControl w:val="0"/>
      <w:ind w:firstLine="420"/>
      <w:jc w:val="both"/>
    </w:pPr>
    <w:rPr>
      <w:rFonts w:ascii="Calibri" w:hAnsi="Calibri" w:eastAsia="宋体" w:cs="Times New Roman"/>
      <w:sz w:val="21"/>
      <w:szCs w:val="22"/>
      <w:lang w:val="en-US" w:eastAsia="zh-CN" w:bidi="ar-SA"/>
    </w:rPr>
  </w:style>
  <w:style w:type="paragraph" w:customStyle="1" w:styleId="16">
    <w:name w:val="正文_2"/>
    <w:next w:val="17"/>
    <w:qFormat/>
    <w:uiPriority w:val="0"/>
    <w:pPr>
      <w:widowControl w:val="0"/>
      <w:jc w:val="both"/>
    </w:pPr>
    <w:rPr>
      <w:rFonts w:ascii="Calibri" w:hAnsi="Calibri" w:eastAsia="宋体" w:cs="Times New Roman"/>
      <w:sz w:val="21"/>
      <w:szCs w:val="22"/>
      <w:lang w:val="en-US" w:eastAsia="zh-CN" w:bidi="ar-SA"/>
    </w:rPr>
  </w:style>
  <w:style w:type="paragraph" w:customStyle="1" w:styleId="17">
    <w:name w:val="正文文本缩进_0"/>
    <w:qFormat/>
    <w:uiPriority w:val="0"/>
    <w:pPr>
      <w:widowControl w:val="0"/>
      <w:ind w:firstLine="225"/>
      <w:jc w:val="both"/>
    </w:pPr>
    <w:rPr>
      <w:rFonts w:ascii="仿宋_GB2312" w:hAnsi="Calibri" w:eastAsia="仿宋_GB2312" w:cs="Times New Roman"/>
      <w:sz w:val="32"/>
      <w:szCs w:val="22"/>
      <w:lang w:val="en-US" w:eastAsia="zh-CN" w:bidi="ar-SA"/>
    </w:rPr>
  </w:style>
  <w:style w:type="paragraph" w:customStyle="1" w:styleId="18">
    <w:name w:val="Normal_19_0_1"/>
    <w:qFormat/>
    <w:uiPriority w:val="0"/>
    <w:rPr>
      <w:rFonts w:ascii="Tahoma" w:hAnsi="Tahoma" w:eastAsia="微软雅黑" w:cs="Times New Roman"/>
      <w:lang w:val="en-US" w:eastAsia="zh-CN" w:bidi="ar-SA"/>
    </w:rPr>
  </w:style>
  <w:style w:type="paragraph" w:customStyle="1" w:styleId="19">
    <w:name w:val="正文_17_0"/>
    <w:qFormat/>
    <w:uiPriority w:val="0"/>
    <w:pPr>
      <w:widowControl w:val="0"/>
      <w:jc w:val="both"/>
    </w:pPr>
    <w:rPr>
      <w:rFonts w:ascii="Calibri" w:hAnsi="Calibri" w:eastAsia="宋体" w:cs="Times New Roman"/>
      <w:sz w:val="21"/>
      <w:szCs w:val="22"/>
      <w:lang w:val="en-US" w:eastAsia="zh-CN" w:bidi="ar-SA"/>
    </w:rPr>
  </w:style>
  <w:style w:type="paragraph" w:customStyle="1" w:styleId="20">
    <w:name w:val="正文_10_0_0_0_0"/>
    <w:qFormat/>
    <w:uiPriority w:val="0"/>
    <w:pPr>
      <w:widowControl w:val="0"/>
      <w:jc w:val="both"/>
    </w:pPr>
    <w:rPr>
      <w:rFonts w:ascii="Times New Roman" w:hAnsi="Times New Roman" w:eastAsia="Times New Roman" w:cs="Times New Roman"/>
      <w:sz w:val="20"/>
      <w:szCs w:val="21"/>
      <w:lang w:val="en-US" w:eastAsia="zh-CN" w:bidi="ar-SA"/>
    </w:rPr>
  </w:style>
  <w:style w:type="paragraph" w:customStyle="1" w:styleId="21">
    <w:name w:val="Normal_19_0_0_1"/>
    <w:qFormat/>
    <w:uiPriority w:val="0"/>
    <w:pPr>
      <w:widowControl w:val="0"/>
      <w:jc w:val="both"/>
    </w:pPr>
    <w:rPr>
      <w:rFonts w:ascii="Times New Roman" w:hAnsi="Times New Roman" w:eastAsia="Times New Roman" w:cs="Times New Roman"/>
      <w:sz w:val="24"/>
      <w:szCs w:val="24"/>
      <w:lang w:val="en-US" w:eastAsia="zh-CN" w:bidi="ar-SA"/>
    </w:rPr>
  </w:style>
  <w:style w:type="paragraph" w:customStyle="1" w:styleId="22">
    <w:name w:val="正文_10_0_0_1"/>
    <w:qFormat/>
    <w:uiPriority w:val="0"/>
    <w:pPr>
      <w:widowControl w:val="0"/>
      <w:jc w:val="both"/>
    </w:pPr>
    <w:rPr>
      <w:rFonts w:ascii="Calibri" w:hAnsi="Calibri" w:eastAsia="宋体" w:cs="Times New Roman"/>
      <w:lang w:val="en-US" w:eastAsia="zh-CN" w:bidi="ar-SA"/>
    </w:rPr>
  </w:style>
  <w:style w:type="paragraph" w:customStyle="1" w:styleId="23">
    <w:name w:val="正文_10_0_0_0_1"/>
    <w:qFormat/>
    <w:uiPriority w:val="0"/>
    <w:pPr>
      <w:widowControl w:val="0"/>
      <w:jc w:val="both"/>
    </w:pPr>
    <w:rPr>
      <w:rFonts w:ascii="Times New Roman" w:hAnsi="Times New Roman" w:eastAsia="Times New Roman" w:cs="Times New Roman"/>
      <w:sz w:val="21"/>
      <w:szCs w:val="21"/>
      <w:lang w:val="en-US" w:eastAsia="zh-CN" w:bidi="ar-SA"/>
    </w:rPr>
  </w:style>
  <w:style w:type="paragraph" w:customStyle="1" w:styleId="24">
    <w:name w:val="Normal_19_0_0_2_0"/>
    <w:qFormat/>
    <w:uiPriority w:val="0"/>
    <w:pPr>
      <w:widowControl w:val="0"/>
      <w:jc w:val="both"/>
    </w:pPr>
    <w:rPr>
      <w:rFonts w:ascii="Times New Roman" w:hAnsi="Times New Roman" w:eastAsia="Times New Roman" w:cs="Times New Roman"/>
      <w:sz w:val="21"/>
      <w:szCs w:val="24"/>
      <w:lang w:val="en-US" w:eastAsia="zh-CN" w:bidi="ar-SA"/>
    </w:rPr>
  </w:style>
  <w:style w:type="paragraph" w:customStyle="1" w:styleId="25">
    <w:name w:val="正文_16_0_0"/>
    <w:next w:val="13"/>
    <w:qFormat/>
    <w:uiPriority w:val="0"/>
    <w:pPr>
      <w:widowControl w:val="0"/>
      <w:jc w:val="both"/>
    </w:pPr>
    <w:rPr>
      <w:rFonts w:ascii="Calibri" w:hAnsi="Calibri" w:eastAsia="宋体" w:cs="Times New Roman"/>
      <w:sz w:val="21"/>
      <w:szCs w:val="22"/>
      <w:lang w:val="en-US" w:eastAsia="zh-CN" w:bidi="ar-SA"/>
    </w:rPr>
  </w:style>
  <w:style w:type="paragraph" w:customStyle="1" w:styleId="26">
    <w:name w:val="纯文本_1"/>
    <w:qFormat/>
    <w:uiPriority w:val="0"/>
    <w:pPr>
      <w:widowControl w:val="0"/>
      <w:jc w:val="both"/>
    </w:pPr>
    <w:rPr>
      <w:rFonts w:ascii="宋体" w:hAnsi="Times New Roman" w:eastAsia="宋体" w:cs="Times New Roman"/>
      <w:sz w:val="20"/>
      <w:szCs w:val="21"/>
      <w:lang w:val="en-US" w:eastAsia="zh-CN" w:bidi="ar-SA"/>
    </w:rPr>
  </w:style>
  <w:style w:type="paragraph" w:customStyle="1" w:styleId="27">
    <w:name w:val="正文_2_0"/>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4567</Words>
  <Characters>4721</Characters>
  <Lines>0</Lines>
  <Paragraphs>0</Paragraphs>
  <TotalTime>11</TotalTime>
  <ScaleCrop>false</ScaleCrop>
  <LinksUpToDate>false</LinksUpToDate>
  <CharactersWithSpaces>4746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2026-08-25T03:07:00Z</dcterms:created>
  <dc:creator>刘家明</dc:creator>
  <cp:lastModifiedBy>刘家明</cp:lastModifiedBy>
  <dcterms:modified xsi:type="dcterms:W3CDTF">2026-08-26T01:14:03Z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2F2EF61C7DDA4415ABC87B453436A9C4_11</vt:lpwstr>
  </property>
  <property fmtid="{D5CDD505-2E9C-101B-9397-08002B2CF9AE}" pid="4" name="KSOTemplateDocerSaveRecord">
    <vt:lpwstr>eyJoZGlkIjoiZjI4YjllZjg2Yzc2NTZmODU2ZDRmZGQ2OTMyYTdlY2UiLCJ1c2VySWQiOiIxNjQ2OTk1OTQwIn0=</vt:lpwstr>
  </property>
</Properties>
</file>