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rPr>
          <w:rFonts w:hint="eastAsia"/>
        </w:rPr>
      </w:pPr>
      <w:r>
        <w:rPr>
          <w:rFonts w:hint="eastAsia"/>
        </w:rPr>
        <w:t xml:space="preserve"> </w:t>
      </w:r>
      <w:r>
        <w:rPr>
          <w:rFonts w:hint="eastAsia"/>
        </w:rPr>
      </w:r>
      <w:r/>
    </w:p>
    <w:p>
      <w:pPr>
        <w:pStyle w:val="1092"/>
        <w:ind w:left="1260"/>
        <w:rPr>
          <w:rFonts w:hint="eastAsia"/>
        </w:rPr>
      </w:pPr>
      <w:r>
        <w:rPr>
          <w:rFonts w:hint="eastAsia"/>
        </w:rPr>
      </w:r>
      <w:r/>
    </w:p>
    <w:p>
      <w:pPr>
        <w:pStyle w:val="1092"/>
        <w:ind w:left="0"/>
        <w:rPr>
          <w:rFonts w:hint="eastAsia"/>
        </w:rPr>
      </w:pPr>
      <w:r>
        <w:rPr>
          <w:rFonts w:hint="eastAsia"/>
        </w:rPr>
      </w:r>
      <w:r/>
    </w:p>
    <w:p>
      <w:pPr>
        <w:jc w:val="left"/>
        <w:spacing w:line="240" w:lineRule="auto"/>
        <w:rPr>
          <w:rFonts w:hint="eastAsia" w:ascii="微软雅黑" w:hAnsi="微软雅黑" w:cs="微软雅黑"/>
          <w:sz w:val="84"/>
          <w:szCs w:val="84"/>
          <w:highlight w:val="none"/>
        </w:rPr>
      </w:pPr>
      <w:r>
        <w:rPr>
          <w:rFonts w:hint="eastAsia" w:ascii="微软雅黑" w:hAnsi="微软雅黑" w:cs="微软雅黑"/>
          <w:sz w:val="84"/>
          <w:szCs w:val="84"/>
          <w:highlight w:val="none"/>
        </w:rPr>
      </w:r>
      <w:r>
        <w:rPr>
          <w:rFonts w:hint="eastAsia" w:ascii="微软雅黑" w:hAnsi="微软雅黑" w:cs="微软雅黑"/>
          <w:sz w:val="84"/>
          <w:szCs w:val="84"/>
          <w:highlight w:val="none"/>
        </w:rPr>
      </w:r>
      <w:r/>
    </w:p>
    <w:p>
      <w:pPr>
        <w:pStyle w:val="1063"/>
        <w:jc w:val="center"/>
        <w:spacing w:line="240" w:lineRule="auto"/>
        <w:rPr>
          <w:rFonts w:hint="eastAsia" w:ascii="微软雅黑" w:hAnsi="微软雅黑" w:cs="微软雅黑"/>
          <w:sz w:val="84"/>
          <w:szCs w:val="84"/>
          <w:highlight w:val="none"/>
        </w:rPr>
      </w:pPr>
      <w:r/>
      <w:bookmarkStart w:id="0" w:name="_Toc19040"/>
      <w:r/>
      <w:bookmarkStart w:id="1" w:name="_ 第一章 公开招标公告"/>
      <w:r/>
      <w:bookmarkStart w:id="2" w:name="_Toc452384169"/>
      <w:r>
        <w:rPr>
          <w:rFonts w:hint="eastAsia" w:ascii="微软雅黑" w:hAnsi="微软雅黑" w:cs="微软雅黑"/>
          <w:sz w:val="84"/>
          <w:szCs w:val="84"/>
        </w:rPr>
        <w:t xml:space="preserve">采 购 文 件</w:t>
      </w:r>
      <w:r>
        <w:rPr>
          <w:rFonts w:ascii="微软雅黑" w:hAnsi="微软雅黑" w:cs="微软雅黑"/>
          <w:b/>
          <w:bCs/>
          <w:color w:val="000000"/>
          <w:sz w:val="84"/>
          <w:szCs w:val="84"/>
        </w:rPr>
      </w:r>
      <w:r/>
    </w:p>
    <w:p>
      <w:pPr>
        <w:pStyle w:val="1063"/>
        <w:jc w:val="center"/>
        <w:rPr>
          <w:rFonts w:ascii="微软雅黑" w:hAnsi="微软雅黑" w:cs="微软雅黑"/>
          <w:color w:val="000000"/>
          <w:sz w:val="52"/>
          <w:szCs w:val="52"/>
        </w:rPr>
      </w:pPr>
      <w:r>
        <w:rPr>
          <w:rFonts w:hint="eastAsia" w:ascii="微软雅黑" w:hAnsi="微软雅黑" w:cs="微软雅黑"/>
          <w:color w:val="000000"/>
          <w:sz w:val="52"/>
          <w:szCs w:val="52"/>
        </w:rPr>
        <w:t xml:space="preserve">（公开招标）</w:t>
      </w:r>
      <w:r>
        <w:rPr>
          <w:rFonts w:ascii="微软雅黑" w:hAnsi="微软雅黑" w:cs="微软雅黑"/>
          <w:color w:val="000000"/>
          <w:sz w:val="52"/>
          <w:szCs w:val="52"/>
        </w:rPr>
      </w:r>
      <w:r/>
    </w:p>
    <w:p>
      <w:pPr>
        <w:pStyle w:val="1063"/>
        <w:rPr>
          <w:rStyle w:val="1143"/>
          <w:rFonts w:ascii="微软雅黑" w:hAnsi="微软雅黑" w:cs="微软雅黑"/>
        </w:rPr>
      </w:pPr>
      <w:r>
        <w:rPr>
          <w:rStyle w:val="1143"/>
          <w:rFonts w:ascii="微软雅黑" w:hAnsi="微软雅黑" w:cs="微软雅黑"/>
        </w:rPr>
      </w:r>
      <w:r/>
    </w:p>
    <w:p>
      <w:pPr>
        <w:pStyle w:val="1063"/>
        <w:jc w:val="left"/>
        <w:rPr>
          <w:rFonts w:ascii="微软雅黑" w:hAnsi="微软雅黑" w:cs="微软雅黑"/>
          <w:color w:val="000000"/>
          <w:sz w:val="36"/>
        </w:rPr>
      </w:pPr>
      <w:r>
        <w:rPr>
          <w:rFonts w:hint="eastAsia" w:ascii="微软雅黑" w:hAnsi="微软雅黑" w:cs="微软雅黑"/>
          <w:color w:val="000000"/>
          <w:sz w:val="36"/>
        </w:rPr>
        <w:t xml:space="preserve">           </w:t>
      </w:r>
      <w:r>
        <w:rPr>
          <w:rFonts w:ascii="微软雅黑" w:hAnsi="微软雅黑" w:cs="微软雅黑"/>
          <w:color w:val="000000"/>
          <w:sz w:val="36"/>
        </w:rPr>
      </w:r>
      <w:r/>
    </w:p>
    <w:p>
      <w:pPr>
        <w:pStyle w:val="1063"/>
        <w:jc w:val="left"/>
        <w:rPr>
          <w:rFonts w:ascii="微软雅黑" w:hAnsi="微软雅黑" w:cs="微软雅黑"/>
          <w:color w:val="000000"/>
          <w:sz w:val="36"/>
        </w:rPr>
      </w:pPr>
      <w:r>
        <w:rPr>
          <w:rFonts w:ascii="微软雅黑" w:hAnsi="微软雅黑" w:cs="微软雅黑"/>
          <w:color w:val="000000"/>
          <w:sz w:val="36"/>
        </w:rPr>
      </w:r>
      <w:r/>
    </w:p>
    <w:p>
      <w:pPr>
        <w:pStyle w:val="1063"/>
        <w:jc w:val="left"/>
        <w:rPr>
          <w:rFonts w:ascii="微软雅黑" w:hAnsi="微软雅黑" w:cs="微软雅黑"/>
          <w:color w:val="000000"/>
          <w:sz w:val="36"/>
        </w:rPr>
      </w:pPr>
      <w:r>
        <w:rPr>
          <w:rFonts w:ascii="微软雅黑" w:hAnsi="微软雅黑" w:cs="微软雅黑"/>
          <w:color w:val="000000"/>
          <w:sz w:val="36"/>
        </w:rPr>
      </w:r>
      <w:r/>
    </w:p>
    <w:p>
      <w:pPr>
        <w:pStyle w:val="1092"/>
        <w:ind w:left="1260"/>
      </w:pPr>
      <w:r/>
      <w:r/>
    </w:p>
    <w:p>
      <w:pPr>
        <w:pStyle w:val="1063"/>
        <w:ind w:firstLine="1200"/>
        <w:spacing w:line="360" w:lineRule="auto"/>
        <w:rPr>
          <w:rFonts w:hint="eastAsia" w:ascii="微软雅黑" w:hAnsi="微软雅黑" w:cs="微软雅黑"/>
          <w:color w:val="000000"/>
          <w:sz w:val="30"/>
          <w:szCs w:val="30"/>
        </w:rPr>
      </w:pPr>
      <w:r>
        <w:rPr>
          <w:rFonts w:hint="eastAsia" w:ascii="微软雅黑" w:hAnsi="微软雅黑" w:cs="微软雅黑"/>
          <w:color w:val="000000"/>
          <w:sz w:val="30"/>
          <w:szCs w:val="30"/>
        </w:rPr>
        <w:t xml:space="preserve">项目编号：JSZC-320000-JSHC-G2026-0023</w:t>
      </w:r>
      <w:r>
        <w:rPr>
          <w:rFonts w:hint="eastAsia" w:ascii="微软雅黑" w:hAnsi="微软雅黑" w:cs="微软雅黑"/>
          <w:color w:val="000000"/>
          <w:sz w:val="30"/>
          <w:szCs w:val="30"/>
        </w:rPr>
      </w:r>
      <w:r/>
    </w:p>
    <w:p>
      <w:pPr>
        <w:pStyle w:val="1063"/>
        <w:ind w:firstLine="1200"/>
        <w:spacing w:line="360" w:lineRule="auto"/>
        <w:rPr>
          <w:rFonts w:hint="eastAsia" w:ascii="微软雅黑" w:hAnsi="微软雅黑" w:cs="微软雅黑"/>
          <w:color w:val="000000"/>
          <w:sz w:val="30"/>
          <w:szCs w:val="30"/>
        </w:rPr>
      </w:pPr>
      <w:r>
        <w:rPr>
          <w:rFonts w:hint="eastAsia" w:ascii="微软雅黑" w:hAnsi="微软雅黑" w:cs="微软雅黑"/>
          <w:color w:val="000000"/>
          <w:sz w:val="30"/>
          <w:szCs w:val="30"/>
          <w:lang w:val="en-US" w:eastAsia="zh-CN"/>
        </w:rPr>
        <w:t xml:space="preserve">代理机构内部编号：</w:t>
      </w:r>
      <w:r>
        <w:rPr>
          <w:rFonts w:hint="eastAsia" w:ascii="微软雅黑" w:hAnsi="微软雅黑" w:cs="微软雅黑"/>
          <w:color w:val="000000"/>
          <w:sz w:val="30"/>
          <w:szCs w:val="30"/>
        </w:rPr>
        <w:t xml:space="preserve">JSHC-2026040262B5</w:t>
      </w:r>
      <w:r>
        <w:rPr>
          <w:rFonts w:hint="eastAsia" w:ascii="微软雅黑" w:hAnsi="微软雅黑" w:cs="微软雅黑"/>
          <w:color w:val="000000"/>
          <w:sz w:val="30"/>
          <w:szCs w:val="30"/>
        </w:rPr>
      </w:r>
      <w:r/>
    </w:p>
    <w:p>
      <w:pPr>
        <w:pStyle w:val="1063"/>
        <w:ind w:left="2401" w:hanging="1200"/>
        <w:jc w:val="left"/>
        <w:spacing w:line="360" w:lineRule="auto"/>
        <w:rPr>
          <w:rFonts w:hint="eastAsia" w:ascii="微软雅黑" w:hAnsi="微软雅黑" w:cs="微软雅黑"/>
          <w:color w:val="000000"/>
          <w:sz w:val="30"/>
          <w:szCs w:val="30"/>
        </w:rPr>
      </w:pPr>
      <w:r>
        <w:rPr>
          <w:rFonts w:hint="eastAsia" w:ascii="微软雅黑" w:hAnsi="微软雅黑" w:cs="微软雅黑"/>
          <w:color w:val="000000"/>
          <w:sz w:val="30"/>
          <w:szCs w:val="30"/>
        </w:rPr>
        <w:t xml:space="preserve">项目名称</w:t>
      </w:r>
      <w:r>
        <w:rPr>
          <w:rFonts w:hint="eastAsia" w:ascii="微软雅黑" w:hAnsi="微软雅黑" w:cs="微软雅黑"/>
          <w:sz w:val="30"/>
          <w:szCs w:val="30"/>
        </w:rPr>
        <w:t xml:space="preserve">：</w:t>
      </w:r>
      <w:r>
        <w:rPr>
          <w:rFonts w:hint="eastAsia" w:ascii="微软雅黑" w:hAnsi="微软雅黑" w:cs="微软雅黑"/>
          <w:color w:val="000000"/>
          <w:sz w:val="30"/>
          <w:szCs w:val="30"/>
        </w:rPr>
        <w:t xml:space="preserve">南京林业大学淮安校区医务室托管项目</w:t>
      </w:r>
      <w:r>
        <w:rPr>
          <w:rFonts w:hint="eastAsia" w:ascii="微软雅黑" w:hAnsi="微软雅黑" w:cs="微软雅黑"/>
          <w:color w:val="000000"/>
          <w:sz w:val="30"/>
          <w:szCs w:val="30"/>
        </w:rPr>
      </w:r>
      <w:r/>
    </w:p>
    <w:p>
      <w:pPr>
        <w:pStyle w:val="1063"/>
        <w:ind w:left="2401" w:hanging="1200"/>
        <w:jc w:val="left"/>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采 购 人：南京林业大学</w:t>
      </w:r>
      <w:r>
        <w:rPr>
          <w:rFonts w:hint="eastAsia" w:ascii="微软雅黑" w:hAnsi="微软雅黑" w:cs="微软雅黑"/>
          <w:sz w:val="30"/>
          <w:szCs w:val="30"/>
        </w:rPr>
      </w:r>
      <w:r/>
    </w:p>
    <w:p>
      <w:pPr>
        <w:pStyle w:val="1063"/>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092"/>
        <w:ind w:left="0"/>
      </w:pPr>
      <w:r/>
      <w:r/>
    </w:p>
    <w:p>
      <w:pPr>
        <w:pStyle w:val="1092"/>
        <w:ind w:left="1260"/>
      </w:pPr>
      <w:r/>
      <w:r/>
    </w:p>
    <w:p>
      <w:pPr>
        <w:pStyle w:val="1092"/>
        <w:ind w:left="0"/>
      </w:pPr>
      <w:r/>
      <w:r/>
    </w:p>
    <w:p>
      <w:pPr>
        <w:pStyle w:val="1063"/>
        <w:jc w:val="center"/>
        <w:rPr>
          <w:rFonts w:ascii="微软雅黑" w:hAnsi="微软雅黑" w:cs="微软雅黑"/>
          <w:color w:val="000000"/>
          <w:sz w:val="30"/>
          <w:szCs w:val="30"/>
        </w:rPr>
        <w:sectPr>
          <w:headerReference w:type="default" r:id="rId9"/>
          <w:headerReference w:type="first" r:id="rId10"/>
          <w:footerReference w:type="default" r:id="rId13"/>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000000"/>
          <w:spacing w:val="30"/>
          <w:sz w:val="32"/>
          <w:szCs w:val="32"/>
        </w:rPr>
        <w:t xml:space="preserve">2026年0</w:t>
      </w:r>
      <w:r>
        <w:rPr>
          <w:rFonts w:hint="eastAsia" w:ascii="微软雅黑" w:hAnsi="微软雅黑" w:cs="微软雅黑"/>
          <w:color w:val="000000"/>
          <w:spacing w:val="30"/>
          <w:sz w:val="32"/>
          <w:szCs w:val="32"/>
          <w:lang w:val="en-US" w:eastAsia="zh-CN"/>
        </w:rPr>
        <w:t xml:space="preserve">7</w:t>
      </w:r>
      <w:r>
        <w:rPr>
          <w:rFonts w:hint="eastAsia" w:ascii="微软雅黑" w:hAnsi="微软雅黑" w:cs="微软雅黑"/>
          <w:color w:val="000000"/>
          <w:spacing w:val="30"/>
          <w:sz w:val="32"/>
          <w:szCs w:val="32"/>
        </w:rPr>
        <w:t xml:space="preserve">月</w:t>
      </w:r>
      <w:r>
        <w:rPr>
          <w:rFonts w:ascii="微软雅黑" w:hAnsi="微软雅黑" w:cs="微软雅黑"/>
          <w:color w:val="000000"/>
          <w:sz w:val="30"/>
          <w:szCs w:val="30"/>
        </w:rPr>
      </w:r>
      <w:r/>
    </w:p>
    <w:p>
      <w:pPr>
        <w:pStyle w:val="1063"/>
        <w:jc w:val="center"/>
        <w:rPr>
          <w:rFonts w:hint="eastAsia" w:ascii="微软雅黑" w:hAnsi="微软雅黑" w:cs="微软雅黑"/>
          <w:b/>
          <w:bCs/>
          <w:sz w:val="30"/>
          <w:szCs w:val="30"/>
        </w:rPr>
      </w:pPr>
      <w:r>
        <w:rPr>
          <w:rFonts w:hint="eastAsia" w:ascii="微软雅黑" w:hAnsi="微软雅黑" w:cs="微软雅黑"/>
          <w:b/>
          <w:bCs/>
          <w:sz w:val="30"/>
          <w:szCs w:val="30"/>
        </w:rPr>
        <w:t xml:space="preserve">目  录</w:t>
      </w:r>
      <w:r>
        <w:rPr>
          <w:rFonts w:hint="eastAsia" w:ascii="微软雅黑" w:hAnsi="微软雅黑" w:cs="微软雅黑"/>
          <w:b/>
          <w:bCs/>
          <w:sz w:val="30"/>
          <w:szCs w:val="30"/>
        </w:rPr>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rPr>
          <w:rFonts w:hint="eastAsia" w:ascii="微软雅黑" w:hAnsi="微软雅黑" w:cs="微软雅黑"/>
        </w:rPr>
        <w:fldChar w:fldCharType="begin"/>
      </w:r>
      <w:r>
        <w:rPr>
          <w:rFonts w:hint="eastAsia" w:ascii="微软雅黑" w:hAnsi="微软雅黑" w:cs="微软雅黑"/>
        </w:rPr>
        <w:instrText xml:space="preserve"> HYPERLINK \l _Toc26655 </w:instrText>
      </w:r>
      <w:r>
        <w:rPr>
          <w:rFonts w:hint="eastAsia" w:ascii="微软雅黑" w:hAnsi="微软雅黑" w:cs="微软雅黑"/>
        </w:rPr>
        <w:fldChar w:fldCharType="separate"/>
      </w:r>
      <w:r>
        <w:rPr>
          <w:rFonts w:hint="eastAsia" w:ascii="微软雅黑" w:hAnsi="微软雅黑" w:cs="微软雅黑"/>
          <w:szCs w:val="32"/>
        </w:rPr>
        <w:t xml:space="preserve">第一章 投标邀请（采购公告）</w:t>
      </w:r>
      <w:r>
        <w:tab/>
      </w:r>
      <w:r>
        <w:fldChar w:fldCharType="begin"/>
      </w:r>
      <w:r>
        <w:instrText xml:space="preserve"> PAGEREF _Toc26655 \h </w:instrText>
      </w:r>
      <w:r>
        <w:fldChar w:fldCharType="separate"/>
      </w:r>
      <w:r>
        <w:t xml:space="preserve">4</w:t>
      </w:r>
      <w:r>
        <w:fldChar w:fldCharType="end"/>
      </w:r>
      <w:r>
        <w:rPr>
          <w:rFonts w:hint="eastAsia" w:ascii="微软雅黑" w:hAnsi="微软雅黑" w:cs="微软雅黑"/>
        </w:rPr>
        <w:fldChar w:fldCharType="end"/>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_Toc13239 </w:instrText>
      </w:r>
      <w:r>
        <w:rPr>
          <w:rFonts w:hint="eastAsia" w:ascii="微软雅黑" w:hAnsi="微软雅黑" w:cs="微软雅黑"/>
        </w:rPr>
        <w:fldChar w:fldCharType="separate"/>
      </w:r>
      <w:r>
        <w:rPr>
          <w:rFonts w:hint="eastAsia" w:ascii="微软雅黑" w:hAnsi="微软雅黑" w:cs="微软雅黑"/>
          <w:szCs w:val="32"/>
        </w:rPr>
        <w:t xml:space="preserve">第二章 </w:t>
      </w:r>
      <w:r>
        <w:rPr>
          <w:rFonts w:hint="eastAsia" w:ascii="微软雅黑" w:hAnsi="微软雅黑" w:cs="微软雅黑"/>
        </w:rPr>
        <w:t xml:space="preserve">供应商须知</w:t>
      </w:r>
      <w:r>
        <w:tab/>
      </w:r>
      <w:r>
        <w:fldChar w:fldCharType="begin"/>
      </w:r>
      <w:r>
        <w:instrText xml:space="preserve"> PAGEREF _Toc13239 \h </w:instrText>
      </w:r>
      <w:r>
        <w:fldChar w:fldCharType="separate"/>
      </w:r>
      <w:r>
        <w:t xml:space="preserve">8</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_Toc1225 </w:instrText>
      </w:r>
      <w:r>
        <w:rPr>
          <w:rFonts w:hint="eastAsia" w:ascii="微软雅黑" w:hAnsi="微软雅黑" w:cs="微软雅黑"/>
        </w:rPr>
        <w:fldChar w:fldCharType="separate"/>
      </w:r>
      <w:r>
        <w:rPr>
          <w:rFonts w:hint="eastAsia" w:ascii="微软雅黑" w:hAnsi="微软雅黑" w:cs="微软雅黑"/>
        </w:rPr>
        <w:t xml:space="preserve">一、总则</w:t>
      </w:r>
      <w:r>
        <w:tab/>
      </w:r>
      <w:r>
        <w:fldChar w:fldCharType="begin"/>
      </w:r>
      <w:r>
        <w:instrText xml:space="preserve"> PAGEREF _Toc1225 \h </w:instrText>
      </w:r>
      <w:r>
        <w:fldChar w:fldCharType="separate"/>
      </w:r>
      <w:r>
        <w:t xml:space="preserve">11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_Toc19382 </w:instrText>
      </w:r>
      <w:r>
        <w:rPr>
          <w:rFonts w:hint="eastAsia" w:ascii="微软雅黑" w:hAnsi="微软雅黑" w:cs="微软雅黑"/>
        </w:rPr>
        <w:fldChar w:fldCharType="separate"/>
      </w:r>
      <w:r>
        <w:rPr>
          <w:rFonts w:hint="eastAsia" w:ascii="微软雅黑" w:hAnsi="微软雅黑" w:cs="微软雅黑"/>
          <w:szCs w:val="24"/>
        </w:rPr>
        <w:t xml:space="preserve">1.1适用范围</w:t>
      </w:r>
      <w:r>
        <w:tab/>
      </w:r>
      <w:r>
        <w:fldChar w:fldCharType="begin"/>
      </w:r>
      <w:r>
        <w:instrText xml:space="preserve"> PAGEREF _Toc19382 \h </w:instrText>
      </w:r>
      <w:r>
        <w:fldChar w:fldCharType="separate"/>
      </w:r>
      <w:r>
        <w:t xml:space="preserve">11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_Toc1909 </w:instrText>
      </w:r>
      <w:r>
        <w:rPr>
          <w:rFonts w:hint="eastAsia" w:ascii="微软雅黑" w:hAnsi="微软雅黑" w:cs="微软雅黑"/>
        </w:rPr>
        <w:fldChar w:fldCharType="separate"/>
      </w:r>
      <w:r>
        <w:rPr>
          <w:rFonts w:hint="eastAsia" w:ascii="微软雅黑" w:hAnsi="微软雅黑" w:cs="微软雅黑"/>
          <w:szCs w:val="24"/>
        </w:rPr>
        <w:t xml:space="preserve">1.2合格的供应商</w:t>
      </w:r>
      <w:r>
        <w:tab/>
      </w:r>
      <w:r>
        <w:fldChar w:fldCharType="begin"/>
      </w:r>
      <w:r>
        <w:instrText xml:space="preserve"> PAGEREF _Toc1909 \h </w:instrText>
      </w:r>
      <w:r>
        <w:fldChar w:fldCharType="separate"/>
      </w:r>
      <w:r>
        <w:t xml:space="preserve">11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_Toc9684 </w:instrText>
      </w:r>
      <w:r>
        <w:rPr>
          <w:rFonts w:hint="eastAsia" w:ascii="微软雅黑" w:hAnsi="微软雅黑" w:cs="微软雅黑"/>
        </w:rPr>
        <w:fldChar w:fldCharType="separate"/>
      </w:r>
      <w:r>
        <w:rPr>
          <w:rFonts w:hint="eastAsia" w:ascii="微软雅黑" w:hAnsi="微软雅黑" w:cs="微软雅黑"/>
          <w:szCs w:val="24"/>
        </w:rPr>
        <w:t xml:space="preserve">1.3参加采购活动费用</w:t>
      </w:r>
      <w:r>
        <w:tab/>
      </w:r>
      <w:r>
        <w:fldChar w:fldCharType="begin"/>
      </w:r>
      <w:r>
        <w:instrText xml:space="preserve"> PAGEREF _Toc9684 \h </w:instrText>
      </w:r>
      <w:r>
        <w:fldChar w:fldCharType="separate"/>
      </w:r>
      <w:r>
        <w:t xml:space="preserve">11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_Toc3158 </w:instrText>
      </w:r>
      <w:r>
        <w:rPr>
          <w:rFonts w:hint="eastAsia" w:ascii="微软雅黑" w:hAnsi="微软雅黑" w:cs="微软雅黑"/>
        </w:rPr>
        <w:fldChar w:fldCharType="separate"/>
      </w:r>
      <w:r>
        <w:rPr>
          <w:rFonts w:hint="eastAsia" w:ascii="微软雅黑" w:hAnsi="微软雅黑" w:cs="微软雅黑"/>
          <w:szCs w:val="24"/>
        </w:rPr>
        <w:t xml:space="preserve">1.4法律适用</w:t>
      </w:r>
      <w:r>
        <w:tab/>
      </w:r>
      <w:r>
        <w:fldChar w:fldCharType="begin"/>
      </w:r>
      <w:r>
        <w:instrText xml:space="preserve"> PAGEREF _Toc3158 \h </w:instrText>
      </w:r>
      <w:r>
        <w:fldChar w:fldCharType="separate"/>
      </w:r>
      <w:r>
        <w:t xml:space="preserve">11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_Toc12450 </w:instrText>
      </w:r>
      <w:r>
        <w:rPr>
          <w:rFonts w:hint="eastAsia" w:ascii="微软雅黑" w:hAnsi="微软雅黑" w:cs="微软雅黑"/>
        </w:rPr>
        <w:fldChar w:fldCharType="separate"/>
      </w:r>
      <w:r>
        <w:rPr>
          <w:rFonts w:hint="eastAsia" w:ascii="微软雅黑" w:hAnsi="微软雅黑" w:cs="微软雅黑"/>
          <w:szCs w:val="24"/>
        </w:rPr>
        <w:t xml:space="preserve">1.5采购文件的约束力</w:t>
      </w:r>
      <w:r>
        <w:tab/>
      </w:r>
      <w:r>
        <w:fldChar w:fldCharType="begin"/>
      </w:r>
      <w:r>
        <w:instrText xml:space="preserve"> PAGEREF _Toc12450 \h </w:instrText>
      </w:r>
      <w:r>
        <w:fldChar w:fldCharType="separate"/>
      </w:r>
      <w:r>
        <w:t xml:space="preserve">11</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_Toc9785 </w:instrText>
      </w:r>
      <w:r>
        <w:rPr>
          <w:rFonts w:hint="eastAsia" w:ascii="微软雅黑" w:hAnsi="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_Toc9785 \h </w:instrText>
      </w:r>
      <w:r>
        <w:fldChar w:fldCharType="separate"/>
      </w:r>
      <w:r>
        <w:t xml:space="preserve">12</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_Toc8243 </w:instrText>
      </w:r>
      <w:r>
        <w:rPr>
          <w:rFonts w:hint="eastAsia" w:ascii="微软雅黑" w:hAnsi="微软雅黑" w:cs="微软雅黑"/>
        </w:rPr>
        <w:fldChar w:fldCharType="separate"/>
      </w:r>
      <w:r>
        <w:rPr>
          <w:rFonts w:hint="eastAsia" w:ascii="微软雅黑" w:hAnsi="微软雅黑" w:cs="微软雅黑"/>
          <w:szCs w:val="24"/>
        </w:rPr>
        <w:t xml:space="preserve">2.1采购文件的组成</w:t>
      </w:r>
      <w:r>
        <w:tab/>
      </w:r>
      <w:r>
        <w:fldChar w:fldCharType="begin"/>
      </w:r>
      <w:r>
        <w:instrText xml:space="preserve"> PAGEREF _Toc8243 \h </w:instrText>
      </w:r>
      <w:r>
        <w:fldChar w:fldCharType="separate"/>
      </w:r>
      <w:r>
        <w:t xml:space="preserve">12</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_Toc23413 </w:instrText>
      </w:r>
      <w:r>
        <w:rPr>
          <w:rFonts w:hint="eastAsia" w:ascii="微软雅黑" w:hAnsi="微软雅黑" w:cs="微软雅黑"/>
        </w:rPr>
        <w:fldChar w:fldCharType="separate"/>
      </w:r>
      <w:r>
        <w:rPr>
          <w:rFonts w:hint="eastAsia" w:ascii="微软雅黑" w:hAnsi="微软雅黑" w:cs="微软雅黑"/>
          <w:szCs w:val="24"/>
        </w:rPr>
        <w:t xml:space="preserve">2.2采购文件的更正或补充</w:t>
      </w:r>
      <w:r>
        <w:tab/>
      </w:r>
      <w:r>
        <w:fldChar w:fldCharType="begin"/>
      </w:r>
      <w:r>
        <w:instrText xml:space="preserve"> PAGEREF _Toc23413 \h </w:instrText>
      </w:r>
      <w:r>
        <w:fldChar w:fldCharType="separate"/>
      </w:r>
      <w:r>
        <w:t xml:space="preserve">12</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_Toc16844 </w:instrText>
      </w:r>
      <w:r>
        <w:rPr>
          <w:rFonts w:hint="eastAsia" w:ascii="微软雅黑" w:hAnsi="微软雅黑" w:cs="微软雅黑"/>
        </w:rPr>
        <w:fldChar w:fldCharType="separate"/>
      </w:r>
      <w:r>
        <w:rPr>
          <w:rFonts w:hint="eastAsia" w:ascii="微软雅黑" w:hAnsi="微软雅黑" w:cs="微软雅黑"/>
        </w:rPr>
        <w:t xml:space="preserve">三、投标文件</w:t>
      </w:r>
      <w:r>
        <w:tab/>
      </w:r>
      <w:r>
        <w:fldChar w:fldCharType="begin"/>
      </w:r>
      <w:r>
        <w:instrText xml:space="preserve"> PAGEREF _Toc16844 \h </w:instrText>
      </w:r>
      <w:r>
        <w:fldChar w:fldCharType="separate"/>
      </w:r>
      <w:r>
        <w:t xml:space="preserve">12</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_Toc19299 </w:instrText>
      </w:r>
      <w:r>
        <w:rPr>
          <w:rFonts w:hint="eastAsia" w:ascii="微软雅黑" w:hAnsi="微软雅黑" w:cs="微软雅黑"/>
        </w:rPr>
        <w:fldChar w:fldCharType="separate"/>
      </w:r>
      <w:r>
        <w:rPr>
          <w:rFonts w:hint="eastAsia" w:ascii="微软雅黑" w:hAnsi="微软雅黑" w:cs="微软雅黑"/>
          <w:szCs w:val="24"/>
        </w:rPr>
        <w:t xml:space="preserve">3.1投标文件的语言及度量衡</w:t>
      </w:r>
      <w:r>
        <w:tab/>
      </w:r>
      <w:r>
        <w:fldChar w:fldCharType="begin"/>
      </w:r>
      <w:r>
        <w:instrText xml:space="preserve"> PAGEREF _Toc19299 \h </w:instrText>
      </w:r>
      <w:r>
        <w:fldChar w:fldCharType="separate"/>
      </w:r>
      <w:r>
        <w:t xml:space="preserve">12</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_Toc10749 </w:instrText>
      </w:r>
      <w:r>
        <w:rPr>
          <w:rFonts w:hint="eastAsia" w:ascii="微软雅黑" w:hAnsi="微软雅黑" w:cs="微软雅黑"/>
        </w:rPr>
        <w:fldChar w:fldCharType="separate"/>
      </w:r>
      <w:r>
        <w:rPr>
          <w:rFonts w:hint="eastAsia" w:ascii="微软雅黑" w:hAnsi="微软雅黑" w:cs="微软雅黑"/>
          <w:szCs w:val="24"/>
        </w:rPr>
        <w:t xml:space="preserve">3.2投标文件的组成</w:t>
      </w:r>
      <w:r>
        <w:tab/>
      </w:r>
      <w:r>
        <w:fldChar w:fldCharType="begin"/>
      </w:r>
      <w:r>
        <w:instrText xml:space="preserve"> PAGEREF _Toc10749 \h </w:instrText>
      </w:r>
      <w:r>
        <w:fldChar w:fldCharType="separate"/>
      </w:r>
      <w:r>
        <w:t xml:space="preserve">13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_Toc18557 </w:instrText>
      </w:r>
      <w:r>
        <w:rPr>
          <w:rFonts w:hint="eastAsia" w:ascii="微软雅黑" w:hAnsi="微软雅黑" w:cs="微软雅黑"/>
        </w:rPr>
        <w:fldChar w:fldCharType="separate"/>
      </w:r>
      <w:r>
        <w:rPr>
          <w:rFonts w:hint="eastAsia" w:ascii="微软雅黑" w:hAnsi="微软雅黑" w:cs="微软雅黑"/>
          <w:szCs w:val="24"/>
        </w:rPr>
        <w:t xml:space="preserve">3.3投标报价</w:t>
      </w:r>
      <w:r>
        <w:tab/>
      </w:r>
      <w:r>
        <w:fldChar w:fldCharType="begin"/>
      </w:r>
      <w:r>
        <w:instrText xml:space="preserve"> PAGEREF _Toc18557 \h </w:instrText>
      </w:r>
      <w:r>
        <w:fldChar w:fldCharType="separate"/>
      </w:r>
      <w:r>
        <w:t xml:space="preserve">13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_Toc30914 </w:instrText>
      </w:r>
      <w:r>
        <w:rPr>
          <w:rFonts w:hint="eastAsia" w:ascii="微软雅黑" w:hAnsi="微软雅黑" w:cs="微软雅黑"/>
        </w:rPr>
        <w:fldChar w:fldCharType="separate"/>
      </w:r>
      <w:r>
        <w:rPr>
          <w:rFonts w:hint="eastAsia" w:ascii="微软雅黑" w:hAnsi="微软雅黑" w:cs="微软雅黑"/>
          <w:szCs w:val="24"/>
        </w:rPr>
        <w:t xml:space="preserve">3.4投标报价中的货币</w:t>
      </w:r>
      <w:r>
        <w:tab/>
      </w:r>
      <w:r>
        <w:fldChar w:fldCharType="begin"/>
      </w:r>
      <w:r>
        <w:instrText xml:space="preserve"> PAGEREF _Toc30914 \h </w:instrText>
      </w:r>
      <w:r>
        <w:fldChar w:fldCharType="separate"/>
      </w:r>
      <w:r>
        <w:t xml:space="preserve">13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_Toc21656 </w:instrText>
      </w:r>
      <w:r>
        <w:rPr>
          <w:rFonts w:hint="eastAsia" w:ascii="微软雅黑" w:hAnsi="微软雅黑" w:cs="微软雅黑"/>
        </w:rPr>
        <w:fldChar w:fldCharType="separate"/>
      </w:r>
      <w:r>
        <w:rPr>
          <w:rFonts w:hint="eastAsia" w:ascii="微软雅黑" w:hAnsi="微软雅黑" w:cs="微软雅黑"/>
          <w:szCs w:val="24"/>
        </w:rPr>
        <w:t xml:space="preserve">3.5投标保证金：无</w:t>
      </w:r>
      <w:r>
        <w:tab/>
      </w:r>
      <w:r>
        <w:fldChar w:fldCharType="begin"/>
      </w:r>
      <w:r>
        <w:instrText xml:space="preserve"> PAGEREF _Toc21656 \h </w:instrText>
      </w:r>
      <w:r>
        <w:fldChar w:fldCharType="separate"/>
      </w:r>
      <w:r>
        <w:t xml:space="preserve">13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_Toc2900 </w:instrText>
      </w:r>
      <w:r>
        <w:rPr>
          <w:rFonts w:hint="eastAsia" w:ascii="微软雅黑" w:hAnsi="微软雅黑" w:cs="微软雅黑"/>
        </w:rPr>
        <w:fldChar w:fldCharType="separate"/>
      </w:r>
      <w:r>
        <w:rPr>
          <w:rFonts w:hint="eastAsia" w:ascii="微软雅黑" w:hAnsi="微软雅黑" w:cs="微软雅黑"/>
          <w:szCs w:val="24"/>
        </w:rPr>
        <w:t xml:space="preserve">3.6投标有效期</w:t>
      </w:r>
      <w:r>
        <w:tab/>
      </w:r>
      <w:r>
        <w:fldChar w:fldCharType="begin"/>
      </w:r>
      <w:r>
        <w:instrText xml:space="preserve"> PAGEREF _Toc2900 \h </w:instrText>
      </w:r>
      <w:r>
        <w:fldChar w:fldCharType="separate"/>
      </w:r>
      <w:r>
        <w:t xml:space="preserve">13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_Toc6105 </w:instrText>
      </w:r>
      <w:r>
        <w:rPr>
          <w:rFonts w:hint="eastAsia" w:ascii="微软雅黑" w:hAnsi="微软雅黑" w:cs="微软雅黑"/>
        </w:rPr>
        <w:fldChar w:fldCharType="separate"/>
      </w:r>
      <w:r>
        <w:rPr>
          <w:rFonts w:hint="eastAsia" w:ascii="微软雅黑" w:hAnsi="微软雅黑" w:cs="微软雅黑"/>
          <w:szCs w:val="24"/>
        </w:rPr>
        <w:t xml:space="preserve">3.7投标文件的签署、形式及装订</w:t>
      </w:r>
      <w:r>
        <w:tab/>
      </w:r>
      <w:r>
        <w:fldChar w:fldCharType="begin"/>
      </w:r>
      <w:r>
        <w:instrText xml:space="preserve"> PAGEREF _Toc6105 \h </w:instrText>
      </w:r>
      <w:r>
        <w:fldChar w:fldCharType="separate"/>
      </w:r>
      <w:r>
        <w:t xml:space="preserve">13</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_Toc29134 </w:instrText>
      </w:r>
      <w:r>
        <w:rPr>
          <w:rFonts w:hint="eastAsia" w:ascii="微软雅黑" w:hAnsi="微软雅黑" w:cs="微软雅黑"/>
        </w:rPr>
        <w:fldChar w:fldCharType="separate"/>
      </w:r>
      <w:r>
        <w:rPr>
          <w:rFonts w:hint="eastAsia" w:ascii="微软雅黑" w:hAnsi="微软雅黑" w:cs="微软雅黑"/>
        </w:rPr>
        <w:t xml:space="preserve">四、投标文件的递交</w:t>
      </w:r>
      <w:r>
        <w:tab/>
      </w:r>
      <w:r>
        <w:fldChar w:fldCharType="begin"/>
      </w:r>
      <w:r>
        <w:instrText xml:space="preserve"> PAGEREF _Toc29134 \h </w:instrText>
      </w:r>
      <w:r>
        <w:fldChar w:fldCharType="separate"/>
      </w:r>
      <w:r>
        <w:t xml:space="preserve">14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_Toc28750 </w:instrText>
      </w:r>
      <w:r>
        <w:rPr>
          <w:rFonts w:hint="eastAsia" w:ascii="微软雅黑" w:hAnsi="微软雅黑" w:cs="微软雅黑"/>
        </w:rPr>
        <w:fldChar w:fldCharType="separate"/>
      </w:r>
      <w:r>
        <w:rPr>
          <w:rFonts w:hint="eastAsia" w:ascii="微软雅黑" w:hAnsi="微软雅黑" w:cs="微软雅黑"/>
          <w:szCs w:val="21"/>
        </w:rPr>
        <w:t xml:space="preserve">4.2有下列情形的投标文件将被拒收</w:t>
      </w:r>
      <w:r>
        <w:tab/>
      </w:r>
      <w:r>
        <w:fldChar w:fldCharType="begin"/>
      </w:r>
      <w:r>
        <w:instrText xml:space="preserve"> PAGEREF _Toc28750 \h </w:instrText>
      </w:r>
      <w:r>
        <w:fldChar w:fldCharType="separate"/>
      </w:r>
      <w:r>
        <w:t xml:space="preserve">14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_Toc28387 </w:instrText>
      </w:r>
      <w:r>
        <w:rPr>
          <w:rFonts w:hint="eastAsia" w:ascii="微软雅黑" w:hAnsi="微软雅黑" w:cs="微软雅黑"/>
        </w:rPr>
        <w:fldChar w:fldCharType="separate"/>
      </w:r>
      <w:r>
        <w:rPr>
          <w:rFonts w:hint="eastAsia" w:ascii="微软雅黑" w:hAnsi="微软雅黑" w:cs="微软雅黑"/>
          <w:szCs w:val="21"/>
        </w:rPr>
        <w:t xml:space="preserve">4.2.1投标人未按照《操作手册》规定，在“苏采云”系统规定的时间内对投标文件进行解密的。</w:t>
      </w:r>
      <w:r>
        <w:tab/>
      </w:r>
      <w:r>
        <w:fldChar w:fldCharType="begin"/>
      </w:r>
      <w:r>
        <w:instrText xml:space="preserve"> PAGEREF _Toc28387 \h </w:instrText>
      </w:r>
      <w:r>
        <w:fldChar w:fldCharType="separate"/>
      </w:r>
      <w:r>
        <w:t xml:space="preserve">14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_Toc26452 </w:instrText>
      </w:r>
      <w:r>
        <w:rPr>
          <w:rFonts w:hint="eastAsia" w:ascii="微软雅黑" w:hAnsi="微软雅黑" w:cs="微软雅黑"/>
        </w:rPr>
        <w:fldChar w:fldCharType="separate"/>
      </w:r>
      <w:r>
        <w:rPr>
          <w:rFonts w:hint="eastAsia" w:ascii="微软雅黑" w:hAnsi="微软雅黑" w:cs="微软雅黑"/>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cs="微软雅黑"/>
          <w:szCs w:val="21"/>
          <w:shd w:val="clear" w:color="auto" w:fill="ffffff"/>
        </w:rPr>
        <w:t xml:space="preserve">但因系统故障导致投标人无法在</w:t>
      </w:r>
      <w:r>
        <w:rPr>
          <w:rFonts w:hint="eastAsia" w:ascii="微软雅黑" w:hAnsi="微软雅黑" w:cs="微软雅黑"/>
          <w:szCs w:val="21"/>
        </w:rPr>
        <w:t xml:space="preserve">“苏采云”系统规定的时间</w:t>
      </w:r>
      <w:r>
        <w:rPr>
          <w:rFonts w:ascii="微软雅黑" w:hAnsi="微软雅黑" w:cs="微软雅黑"/>
          <w:szCs w:val="21"/>
          <w:shd w:val="clear" w:color="auto" w:fill="ffffff"/>
        </w:rPr>
        <w:t xml:space="preserve">内完成签到或解密的情况除外。</w:t>
      </w:r>
      <w:r>
        <w:tab/>
      </w:r>
      <w:r>
        <w:fldChar w:fldCharType="begin"/>
      </w:r>
      <w:r>
        <w:instrText xml:space="preserve"> PAGEREF _Toc26452 \h </w:instrText>
      </w:r>
      <w:r>
        <w:fldChar w:fldCharType="separate"/>
      </w:r>
      <w:r>
        <w:t xml:space="preserve">14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_Toc14886 </w:instrText>
      </w:r>
      <w:r>
        <w:rPr>
          <w:rFonts w:hint="eastAsia" w:ascii="微软雅黑" w:hAnsi="微软雅黑" w:cs="微软雅黑"/>
        </w:rPr>
        <w:fldChar w:fldCharType="separate"/>
      </w:r>
      <w:r>
        <w:rPr>
          <w:rFonts w:hint="eastAsia" w:ascii="微软雅黑" w:hAnsi="微软雅黑" w:cs="微软雅黑"/>
          <w:szCs w:val="21"/>
        </w:rPr>
        <w:t xml:space="preserve">4.3 投标截止时间</w:t>
      </w:r>
      <w:r>
        <w:tab/>
      </w:r>
      <w:r>
        <w:fldChar w:fldCharType="begin"/>
      </w:r>
      <w:r>
        <w:instrText xml:space="preserve"> PAGEREF _Toc14886 \h </w:instrText>
      </w:r>
      <w:r>
        <w:fldChar w:fldCharType="separate"/>
      </w:r>
      <w:r>
        <w:t xml:space="preserve">14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_Toc818 </w:instrText>
      </w:r>
      <w:r>
        <w:rPr>
          <w:rFonts w:hint="eastAsia" w:ascii="微软雅黑" w:hAnsi="微软雅黑" w:cs="微软雅黑"/>
        </w:rPr>
        <w:fldChar w:fldCharType="separate"/>
      </w:r>
      <w:r>
        <w:rPr>
          <w:rFonts w:hint="eastAsia" w:ascii="微软雅黑" w:hAnsi="微软雅黑" w:cs="微软雅黑"/>
          <w:szCs w:val="21"/>
        </w:rPr>
        <w:t xml:space="preserve">4.4 投标文件的修改和撤回</w:t>
      </w:r>
      <w:r>
        <w:tab/>
      </w:r>
      <w:r>
        <w:fldChar w:fldCharType="begin"/>
      </w:r>
      <w:r>
        <w:instrText xml:space="preserve"> PAGEREF _Toc818 \h </w:instrText>
      </w:r>
      <w:r>
        <w:fldChar w:fldCharType="separate"/>
      </w:r>
      <w:r>
        <w:t xml:space="preserve">14</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_Toc16825 </w:instrText>
      </w:r>
      <w:r>
        <w:rPr>
          <w:rFonts w:hint="eastAsia" w:ascii="微软雅黑" w:hAnsi="微软雅黑" w:cs="微软雅黑"/>
        </w:rPr>
        <w:fldChar w:fldCharType="separate"/>
      </w:r>
      <w:r>
        <w:rPr>
          <w:rFonts w:hint="eastAsia" w:ascii="微软雅黑" w:hAnsi="微软雅黑" w:cs="微软雅黑"/>
          <w:bCs/>
        </w:rPr>
        <w:t xml:space="preserve">五、开标与评标</w:t>
      </w:r>
      <w:r>
        <w:tab/>
      </w:r>
      <w:r>
        <w:fldChar w:fldCharType="begin"/>
      </w:r>
      <w:r>
        <w:instrText xml:space="preserve"> PAGEREF _Toc16825 \h </w:instrText>
      </w:r>
      <w:r>
        <w:fldChar w:fldCharType="separate"/>
      </w:r>
      <w:r>
        <w:t xml:space="preserve">15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_Toc24212 </w:instrText>
      </w:r>
      <w:r>
        <w:rPr>
          <w:rFonts w:hint="eastAsia" w:ascii="微软雅黑" w:hAnsi="微软雅黑" w:cs="微软雅黑"/>
        </w:rPr>
        <w:fldChar w:fldCharType="separate"/>
      </w:r>
      <w:r>
        <w:rPr>
          <w:rFonts w:hint="eastAsia" w:ascii="微软雅黑" w:hAnsi="微软雅黑" w:cs="微软雅黑"/>
          <w:szCs w:val="21"/>
        </w:rPr>
        <w:t xml:space="preserve">5.1 投标文件启封</w:t>
      </w:r>
      <w:r>
        <w:tab/>
      </w:r>
      <w:r>
        <w:fldChar w:fldCharType="begin"/>
      </w:r>
      <w:r>
        <w:instrText xml:space="preserve"> PAGEREF _Toc24212 \h </w:instrText>
      </w:r>
      <w:r>
        <w:fldChar w:fldCharType="separate"/>
      </w:r>
      <w:r>
        <w:t xml:space="preserve">15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_Toc20067 </w:instrText>
      </w:r>
      <w:r>
        <w:rPr>
          <w:rFonts w:hint="eastAsia" w:ascii="微软雅黑" w:hAnsi="微软雅黑" w:cs="微软雅黑"/>
        </w:rPr>
        <w:fldChar w:fldCharType="separate"/>
      </w:r>
      <w:r>
        <w:rPr>
          <w:rFonts w:hint="eastAsia" w:ascii="微软雅黑" w:hAnsi="微软雅黑" w:cs="微软雅黑"/>
          <w:szCs w:val="21"/>
        </w:rPr>
        <w:t xml:space="preserve">5.2 评标委员会</w:t>
      </w:r>
      <w:r>
        <w:tab/>
      </w:r>
      <w:r>
        <w:fldChar w:fldCharType="begin"/>
      </w:r>
      <w:r>
        <w:instrText xml:space="preserve"> PAGEREF _Toc20067 \h </w:instrText>
      </w:r>
      <w:r>
        <w:fldChar w:fldCharType="separate"/>
      </w:r>
      <w:r>
        <w:t xml:space="preserve">15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_Toc31942 </w:instrText>
      </w:r>
      <w:r>
        <w:rPr>
          <w:rFonts w:hint="eastAsia" w:ascii="微软雅黑" w:hAnsi="微软雅黑" w:cs="微软雅黑"/>
        </w:rPr>
        <w:fldChar w:fldCharType="separate"/>
      </w:r>
      <w:r>
        <w:rPr>
          <w:rFonts w:hint="eastAsia" w:ascii="微软雅黑" w:hAnsi="微软雅黑" w:cs="微软雅黑"/>
          <w:szCs w:val="21"/>
        </w:rPr>
        <w:t xml:space="preserve">5.3 对投标文件的资格性审查和符合性审查</w:t>
      </w:r>
      <w:r>
        <w:tab/>
      </w:r>
      <w:r>
        <w:fldChar w:fldCharType="begin"/>
      </w:r>
      <w:r>
        <w:instrText xml:space="preserve"> PAGEREF _Toc31942 \h </w:instrText>
      </w:r>
      <w:r>
        <w:fldChar w:fldCharType="separate"/>
      </w:r>
      <w:r>
        <w:t xml:space="preserve">15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_Toc17751 </w:instrText>
      </w:r>
      <w:r>
        <w:rPr>
          <w:rFonts w:hint="eastAsia" w:ascii="微软雅黑" w:hAnsi="微软雅黑" w:cs="微软雅黑"/>
        </w:rPr>
        <w:fldChar w:fldCharType="separate"/>
      </w:r>
      <w:r>
        <w:rPr>
          <w:rFonts w:hint="eastAsia" w:ascii="微软雅黑" w:hAnsi="微软雅黑" w:cs="微软雅黑"/>
          <w:szCs w:val="24"/>
        </w:rPr>
        <w:t xml:space="preserve">5.4投标文件的澄清</w:t>
      </w:r>
      <w:r>
        <w:tab/>
      </w:r>
      <w:r>
        <w:fldChar w:fldCharType="begin"/>
      </w:r>
      <w:r>
        <w:instrText xml:space="preserve"> PAGEREF _Toc17751 \h </w:instrText>
      </w:r>
      <w:r>
        <w:fldChar w:fldCharType="separate"/>
      </w:r>
      <w:r>
        <w:t xml:space="preserve">16</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_Toc18659 </w:instrText>
      </w:r>
      <w:r>
        <w:rPr>
          <w:rFonts w:hint="eastAsia" w:ascii="微软雅黑" w:hAnsi="微软雅黑" w:cs="微软雅黑"/>
        </w:rPr>
        <w:fldChar w:fldCharType="separate"/>
      </w:r>
      <w:r>
        <w:rPr>
          <w:rFonts w:hint="eastAsia" w:ascii="微软雅黑" w:hAnsi="微软雅黑" w:cs="微软雅黑"/>
          <w:szCs w:val="24"/>
        </w:rPr>
        <w:t xml:space="preserve">5.5评标及中标</w:t>
      </w:r>
      <w:r>
        <w:tab/>
      </w:r>
      <w:r>
        <w:fldChar w:fldCharType="begin"/>
      </w:r>
      <w:r>
        <w:instrText xml:space="preserve"> PAGEREF _Toc18659 \h </w:instrText>
      </w:r>
      <w:r>
        <w:fldChar w:fldCharType="separate"/>
      </w:r>
      <w:r>
        <w:t xml:space="preserve">16</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_Toc23860 </w:instrText>
      </w:r>
      <w:r>
        <w:rPr>
          <w:rFonts w:hint="eastAsia" w:ascii="微软雅黑" w:hAnsi="微软雅黑" w:cs="微软雅黑"/>
        </w:rPr>
        <w:fldChar w:fldCharType="separate"/>
      </w:r>
      <w:r>
        <w:rPr>
          <w:rFonts w:hint="eastAsia" w:ascii="微软雅黑" w:hAnsi="微软雅黑" w:cs="微软雅黑"/>
          <w:szCs w:val="24"/>
        </w:rPr>
        <w:t xml:space="preserve">5.6评标过程保密</w:t>
      </w:r>
      <w:r>
        <w:tab/>
      </w:r>
      <w:r>
        <w:fldChar w:fldCharType="begin"/>
      </w:r>
      <w:r>
        <w:instrText xml:space="preserve"> PAGEREF _Toc23860 \h </w:instrText>
      </w:r>
      <w:r>
        <w:fldChar w:fldCharType="separate"/>
      </w:r>
      <w:r>
        <w:t xml:space="preserve">16</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_Toc24399 </w:instrText>
      </w:r>
      <w:r>
        <w:rPr>
          <w:rFonts w:hint="eastAsia" w:ascii="微软雅黑" w:hAnsi="微软雅黑" w:cs="微软雅黑"/>
        </w:rPr>
        <w:fldChar w:fldCharType="separate"/>
      </w:r>
      <w:r>
        <w:rPr>
          <w:rFonts w:hint="eastAsia" w:ascii="微软雅黑" w:hAnsi="微软雅黑" w:cs="微软雅黑"/>
          <w:szCs w:val="24"/>
        </w:rPr>
        <w:t xml:space="preserve">5.7投标截止时间结束后参加供应商不足三家情况的处理</w:t>
      </w:r>
      <w:r>
        <w:tab/>
      </w:r>
      <w:r>
        <w:fldChar w:fldCharType="begin"/>
      </w:r>
      <w:r>
        <w:instrText xml:space="preserve"> PAGEREF _Toc24399 \h </w:instrText>
      </w:r>
      <w:r>
        <w:fldChar w:fldCharType="separate"/>
      </w:r>
      <w:r>
        <w:t xml:space="preserve">16</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_Toc2055 </w:instrText>
      </w:r>
      <w:r>
        <w:rPr>
          <w:rFonts w:hint="eastAsia" w:ascii="微软雅黑" w:hAnsi="微软雅黑" w:cs="微软雅黑"/>
        </w:rPr>
        <w:fldChar w:fldCharType="separate"/>
      </w:r>
      <w:r>
        <w:rPr>
          <w:rFonts w:hint="eastAsia" w:ascii="微软雅黑" w:hAnsi="微软雅黑" w:cs="微软雅黑"/>
          <w:szCs w:val="24"/>
        </w:rPr>
        <w:t xml:space="preserve">5.8废标（终止采购活动）</w:t>
      </w:r>
      <w:r>
        <w:tab/>
      </w:r>
      <w:r>
        <w:fldChar w:fldCharType="begin"/>
      </w:r>
      <w:r>
        <w:instrText xml:space="preserve"> PAGEREF _Toc2055 \h </w:instrText>
      </w:r>
      <w:r>
        <w:fldChar w:fldCharType="separate"/>
      </w:r>
      <w:r>
        <w:t xml:space="preserve">17</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_Toc31798 </w:instrText>
      </w:r>
      <w:r>
        <w:rPr>
          <w:rFonts w:hint="eastAsia" w:ascii="微软雅黑" w:hAnsi="微软雅黑" w:cs="微软雅黑"/>
        </w:rPr>
        <w:fldChar w:fldCharType="separate"/>
      </w:r>
      <w:r>
        <w:rPr>
          <w:rFonts w:hint="eastAsia" w:ascii="微软雅黑" w:hAnsi="微软雅黑" w:cs="微软雅黑"/>
          <w:szCs w:val="24"/>
        </w:rPr>
        <w:t xml:space="preserve">5.9有下列情形之一的，视为投标供应商串通投标，其投标无效：</w:t>
      </w:r>
      <w:r>
        <w:tab/>
      </w:r>
      <w:r>
        <w:fldChar w:fldCharType="begin"/>
      </w:r>
      <w:r>
        <w:instrText xml:space="preserve"> PAGEREF _Toc31798 \h </w:instrText>
      </w:r>
      <w:r>
        <w:fldChar w:fldCharType="separate"/>
      </w:r>
      <w:r>
        <w:t xml:space="preserve">17</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_Toc8788 </w:instrText>
      </w:r>
      <w:r>
        <w:rPr>
          <w:rFonts w:hint="eastAsia" w:ascii="微软雅黑" w:hAnsi="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_Toc8788 \h </w:instrText>
      </w:r>
      <w:r>
        <w:fldChar w:fldCharType="separate"/>
      </w:r>
      <w:r>
        <w:t xml:space="preserve">17</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_Toc32494 </w:instrText>
      </w:r>
      <w:r>
        <w:rPr>
          <w:rFonts w:hint="eastAsia" w:ascii="微软雅黑" w:hAnsi="微软雅黑" w:cs="微软雅黑"/>
        </w:rPr>
        <w:fldChar w:fldCharType="separate"/>
      </w:r>
      <w:r>
        <w:rPr>
          <w:rFonts w:hint="eastAsia" w:ascii="微软雅黑" w:hAnsi="微软雅黑" w:cs="微软雅黑"/>
          <w:szCs w:val="24"/>
        </w:rPr>
        <w:t xml:space="preserve">6.1确定中标、成交供应商</w:t>
      </w:r>
      <w:r>
        <w:tab/>
      </w:r>
      <w:r>
        <w:fldChar w:fldCharType="begin"/>
      </w:r>
      <w:r>
        <w:instrText xml:space="preserve"> PAGEREF _Toc32494 \h </w:instrText>
      </w:r>
      <w:r>
        <w:fldChar w:fldCharType="separate"/>
      </w:r>
      <w:r>
        <w:t xml:space="preserve">17</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_Toc14192 </w:instrText>
      </w:r>
      <w:r>
        <w:rPr>
          <w:rFonts w:hint="eastAsia" w:ascii="微软雅黑" w:hAnsi="微软雅黑" w:cs="微软雅黑"/>
        </w:rPr>
        <w:fldChar w:fldCharType="separate"/>
      </w:r>
      <w:r>
        <w:rPr>
          <w:rFonts w:hint="eastAsia" w:ascii="微软雅黑" w:hAnsi="微软雅黑" w:cs="微软雅黑"/>
          <w:szCs w:val="24"/>
        </w:rPr>
        <w:t xml:space="preserve">6.2质疑处理</w:t>
      </w:r>
      <w:r>
        <w:tab/>
      </w:r>
      <w:r>
        <w:fldChar w:fldCharType="begin"/>
      </w:r>
      <w:r>
        <w:instrText xml:space="preserve"> PAGEREF _Toc14192 \h </w:instrText>
      </w:r>
      <w:r>
        <w:fldChar w:fldCharType="separate"/>
      </w:r>
      <w:r>
        <w:t xml:space="preserve">18</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_Toc12647 </w:instrText>
      </w:r>
      <w:r>
        <w:rPr>
          <w:rFonts w:hint="eastAsia" w:ascii="微软雅黑" w:hAnsi="微软雅黑" w:cs="微软雅黑"/>
        </w:rPr>
        <w:fldChar w:fldCharType="separate"/>
      </w:r>
      <w:r>
        <w:rPr>
          <w:rFonts w:hint="eastAsia" w:ascii="微软雅黑" w:hAnsi="微软雅黑" w:cs="微软雅黑"/>
          <w:szCs w:val="24"/>
        </w:rPr>
        <w:t xml:space="preserve">6.3中标通知书</w:t>
      </w:r>
      <w:r>
        <w:tab/>
      </w:r>
      <w:r>
        <w:fldChar w:fldCharType="begin"/>
      </w:r>
      <w:r>
        <w:instrText xml:space="preserve"> PAGEREF _Toc12647 \h </w:instrText>
      </w:r>
      <w:r>
        <w:fldChar w:fldCharType="separate"/>
      </w:r>
      <w:r>
        <w:t xml:space="preserve">18</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_Toc28089 </w:instrText>
      </w:r>
      <w:r>
        <w:rPr>
          <w:rFonts w:hint="eastAsia" w:ascii="微软雅黑" w:hAnsi="微软雅黑" w:cs="微软雅黑"/>
        </w:rPr>
        <w:fldChar w:fldCharType="separate"/>
      </w:r>
      <w:r>
        <w:rPr>
          <w:rFonts w:hint="eastAsia" w:ascii="微软雅黑" w:hAnsi="微软雅黑" w:cs="微软雅黑"/>
          <w:szCs w:val="24"/>
        </w:rPr>
        <w:t xml:space="preserve">6.4签订合同</w:t>
      </w:r>
      <w:r>
        <w:tab/>
      </w:r>
      <w:r>
        <w:fldChar w:fldCharType="begin"/>
      </w:r>
      <w:r>
        <w:instrText xml:space="preserve"> PAGEREF _Toc28089 \h </w:instrText>
      </w:r>
      <w:r>
        <w:fldChar w:fldCharType="separate"/>
      </w:r>
      <w:r>
        <w:t xml:space="preserve">19</w:t>
      </w:r>
      <w:r>
        <w:fldChar w:fldCharType="end"/>
      </w:r>
      <w:r>
        <w:rPr>
          <w:rFonts w:hint="eastAsia" w:ascii="微软雅黑" w:hAnsi="微软雅黑" w:cs="微软雅黑"/>
        </w:rPr>
        <w:fldChar w:fldCharType="end"/>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_Toc15373 </w:instrText>
      </w:r>
      <w:r>
        <w:rPr>
          <w:rFonts w:hint="eastAsia" w:ascii="微软雅黑" w:hAnsi="微软雅黑" w:cs="微软雅黑"/>
        </w:rPr>
        <w:fldChar w:fldCharType="separate"/>
      </w:r>
      <w:r>
        <w:rPr>
          <w:rFonts w:hint="eastAsia" w:ascii="微软雅黑" w:hAnsi="微软雅黑" w:cs="微软雅黑"/>
        </w:rPr>
        <w:t xml:space="preserve">第三章 评标办法和定标原则</w:t>
      </w:r>
      <w:r>
        <w:tab/>
      </w:r>
      <w:r>
        <w:fldChar w:fldCharType="begin"/>
      </w:r>
      <w:r>
        <w:instrText xml:space="preserve"> PAGEREF _Toc15373 \h </w:instrText>
      </w:r>
      <w:r>
        <w:fldChar w:fldCharType="separate"/>
      </w:r>
      <w:r>
        <w:t xml:space="preserve">20</w:t>
      </w:r>
      <w:r>
        <w:fldChar w:fldCharType="end"/>
      </w:r>
      <w:r>
        <w:rPr>
          <w:rFonts w:hint="eastAsia" w:ascii="微软雅黑" w:hAnsi="微软雅黑" w:cs="微软雅黑"/>
        </w:rPr>
        <w:fldChar w:fldCharType="end"/>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_Toc360 </w:instrText>
      </w:r>
      <w:r>
        <w:rPr>
          <w:rFonts w:hint="eastAsia" w:ascii="微软雅黑" w:hAnsi="微软雅黑" w:cs="微软雅黑"/>
        </w:rPr>
        <w:fldChar w:fldCharType="separate"/>
      </w:r>
      <w:r>
        <w:rPr>
          <w:rFonts w:hint="eastAsia" w:ascii="微软雅黑" w:hAnsi="微软雅黑" w:cs="微软雅黑"/>
          <w:szCs w:val="32"/>
        </w:rPr>
        <w:t xml:space="preserve">第四章 采购需求</w:t>
      </w:r>
      <w:r>
        <w:tab/>
      </w:r>
      <w:r>
        <w:fldChar w:fldCharType="begin"/>
      </w:r>
      <w:r>
        <w:instrText xml:space="preserve"> PAGEREF _Toc360 \h </w:instrText>
      </w:r>
      <w:r>
        <w:fldChar w:fldCharType="separate"/>
      </w:r>
      <w:r>
        <w:t xml:space="preserve">24</w:t>
      </w:r>
      <w:r>
        <w:fldChar w:fldCharType="end"/>
      </w:r>
      <w:r>
        <w:rPr>
          <w:rFonts w:hint="eastAsia" w:ascii="微软雅黑" w:hAnsi="微软雅黑" w:cs="微软雅黑"/>
        </w:rPr>
        <w:fldChar w:fldCharType="end"/>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_Toc12742 </w:instrText>
      </w:r>
      <w:r>
        <w:rPr>
          <w:rFonts w:hint="eastAsia" w:ascii="微软雅黑" w:hAnsi="微软雅黑" w:cs="微软雅黑"/>
        </w:rPr>
        <w:fldChar w:fldCharType="separate"/>
      </w:r>
      <w:r>
        <w:rPr>
          <w:rFonts w:hint="eastAsia"/>
          <w:bCs/>
        </w:rPr>
        <w:t xml:space="preserve">第五章 采购合同</w:t>
      </w:r>
      <w:r>
        <w:tab/>
      </w:r>
      <w:r>
        <w:fldChar w:fldCharType="begin"/>
      </w:r>
      <w:r>
        <w:instrText xml:space="preserve"> PAGEREF _Toc12742 \h </w:instrText>
      </w:r>
      <w:r>
        <w:fldChar w:fldCharType="separate"/>
      </w:r>
      <w:r>
        <w:t xml:space="preserve">32</w:t>
      </w:r>
      <w:r>
        <w:fldChar w:fldCharType="end"/>
      </w:r>
      <w:r>
        <w:rPr>
          <w:rFonts w:hint="eastAsia" w:ascii="微软雅黑" w:hAnsi="微软雅黑" w:cs="微软雅黑"/>
        </w:rPr>
        <w:fldChar w:fldCharType="end"/>
      </w:r>
      <w:r/>
    </w:p>
    <w:p>
      <w:pPr>
        <w:pStyle w:val="1108"/>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_Toc11023 </w:instrText>
      </w:r>
      <w:r>
        <w:rPr>
          <w:rFonts w:hint="eastAsia" w:ascii="微软雅黑" w:hAnsi="微软雅黑" w:cs="微软雅黑"/>
        </w:rPr>
        <w:fldChar w:fldCharType="separate"/>
      </w:r>
      <w:r>
        <w:rPr>
          <w:rFonts w:hint="eastAsia" w:ascii="微软雅黑" w:hAnsi="微软雅黑" w:cs="微软雅黑"/>
        </w:rPr>
        <w:t xml:space="preserve">第六章 投标文件格式及附件</w:t>
      </w:r>
      <w:r>
        <w:tab/>
      </w:r>
      <w:r>
        <w:fldChar w:fldCharType="begin"/>
      </w:r>
      <w:r>
        <w:instrText xml:space="preserve"> PAGEREF _Toc11023 \h </w:instrText>
      </w:r>
      <w:r>
        <w:fldChar w:fldCharType="separate"/>
      </w:r>
      <w:r>
        <w:t xml:space="preserve">39</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_Toc15612 </w:instrText>
      </w:r>
      <w:r>
        <w:rPr>
          <w:rFonts w:hint="eastAsia" w:ascii="微软雅黑" w:hAnsi="微软雅黑" w:cs="微软雅黑"/>
        </w:rP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_Toc15612 \h </w:instrText>
      </w:r>
      <w:r>
        <w:fldChar w:fldCharType="separate"/>
      </w:r>
      <w:r>
        <w:t xml:space="preserve">44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_Toc30473 </w:instrText>
      </w:r>
      <w:r>
        <w:rPr>
          <w:rFonts w:hint="eastAsia" w:ascii="微软雅黑" w:hAnsi="微软雅黑" w:cs="微软雅黑"/>
        </w:rPr>
        <w:fldChar w:fldCharType="separate"/>
      </w:r>
      <w:r>
        <w:rPr>
          <w:rFonts w:hint="eastAsia" w:ascii="微软雅黑" w:hAnsi="微软雅黑" w:cs="微软雅黑"/>
          <w:szCs w:val="24"/>
        </w:rPr>
        <w:t xml:space="preserve">1.投标函</w:t>
      </w:r>
      <w:r>
        <w:tab/>
      </w:r>
      <w:r>
        <w:fldChar w:fldCharType="begin"/>
      </w:r>
      <w:r>
        <w:instrText xml:space="preserve"> PAGEREF _Toc30473 \h </w:instrText>
      </w:r>
      <w:r>
        <w:fldChar w:fldCharType="separate"/>
      </w:r>
      <w:r>
        <w:t xml:space="preserve">44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_Toc32208 </w:instrText>
      </w:r>
      <w:r>
        <w:rPr>
          <w:rFonts w:hint="eastAsia" w:ascii="微软雅黑" w:hAnsi="微软雅黑" w:cs="微软雅黑"/>
        </w:rPr>
        <w:fldChar w:fldCharType="separate"/>
      </w:r>
      <w:r>
        <w:rPr>
          <w:rFonts w:hint="eastAsia" w:ascii="微软雅黑" w:hAnsi="微软雅黑" w:cs="微软雅黑"/>
          <w:szCs w:val="24"/>
        </w:rPr>
        <w:t xml:space="preserve">2.开标一览表</w:t>
      </w:r>
      <w:r>
        <w:tab/>
      </w:r>
      <w:r>
        <w:fldChar w:fldCharType="begin"/>
      </w:r>
      <w:r>
        <w:instrText xml:space="preserve"> PAGEREF _Toc32208 \h </w:instrText>
      </w:r>
      <w:r>
        <w:fldChar w:fldCharType="separate"/>
      </w:r>
      <w:r>
        <w:t xml:space="preserve">45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_Toc32100 </w:instrText>
      </w:r>
      <w:r>
        <w:rPr>
          <w:rFonts w:hint="eastAsia" w:ascii="微软雅黑" w:hAnsi="微软雅黑" w:cs="微软雅黑"/>
        </w:rPr>
        <w:fldChar w:fldCharType="separate"/>
      </w:r>
      <w:r>
        <w:rPr>
          <w:rFonts w:hint="eastAsia" w:ascii="微软雅黑" w:hAnsi="微软雅黑" w:cs="微软雅黑"/>
          <w:szCs w:val="24"/>
        </w:rPr>
        <w:t xml:space="preserve">3.投标报价明细表</w:t>
      </w:r>
      <w:r>
        <w:tab/>
      </w:r>
      <w:r>
        <w:fldChar w:fldCharType="begin"/>
      </w:r>
      <w:r>
        <w:instrText xml:space="preserve"> PAGEREF _Toc32100 \h </w:instrText>
      </w:r>
      <w:r>
        <w:fldChar w:fldCharType="separate"/>
      </w:r>
      <w:r>
        <w:t xml:space="preserve">45</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_Toc27356 </w:instrText>
      </w:r>
      <w:r>
        <w:rPr>
          <w:rFonts w:hint="eastAsia" w:ascii="微软雅黑" w:hAnsi="微软雅黑" w:cs="微软雅黑"/>
        </w:rPr>
        <w:fldChar w:fldCharType="separate"/>
      </w:r>
      <w:r>
        <w:rPr>
          <w:rFonts w:hint="eastAsia" w:ascii="微软雅黑" w:hAnsi="微软雅黑" w:cs="微软雅黑"/>
          <w:szCs w:val="24"/>
        </w:rPr>
        <w:t xml:space="preserve">4.服务内容要求响应表</w:t>
      </w:r>
      <w:r>
        <w:tab/>
      </w:r>
      <w:r>
        <w:fldChar w:fldCharType="begin"/>
      </w:r>
      <w:r>
        <w:instrText xml:space="preserve"> PAGEREF _Toc27356 \h </w:instrText>
      </w:r>
      <w:r>
        <w:fldChar w:fldCharType="separate"/>
      </w:r>
      <w:r>
        <w:t xml:space="preserve">47</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_Toc9735 </w:instrText>
      </w:r>
      <w:r>
        <w:rPr>
          <w:rFonts w:hint="eastAsia" w:ascii="微软雅黑" w:hAnsi="微软雅黑" w:cs="微软雅黑"/>
        </w:rPr>
        <w:fldChar w:fldCharType="separate"/>
      </w:r>
      <w:r>
        <w:rPr>
          <w:rFonts w:hint="eastAsia" w:ascii="微软雅黑" w:hAnsi="微软雅黑" w:cs="微软雅黑"/>
          <w:szCs w:val="24"/>
        </w:rPr>
        <w:t xml:space="preserve">5.商务要求响应表</w:t>
      </w:r>
      <w:r>
        <w:tab/>
      </w:r>
      <w:r>
        <w:fldChar w:fldCharType="begin"/>
      </w:r>
      <w:r>
        <w:instrText xml:space="preserve"> PAGEREF _Toc9735 \h </w:instrText>
      </w:r>
      <w:r>
        <w:fldChar w:fldCharType="separate"/>
      </w:r>
      <w:r>
        <w:t xml:space="preserve">48</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_Toc20798 </w:instrText>
      </w:r>
      <w:r>
        <w:rPr>
          <w:rFonts w:hint="eastAsia" w:ascii="微软雅黑" w:hAnsi="微软雅黑" w:cs="微软雅黑"/>
        </w:rPr>
        <w:fldChar w:fldCharType="separate"/>
      </w:r>
      <w:r>
        <w:rPr>
          <w:rFonts w:hint="eastAsia" w:ascii="微软雅黑" w:hAnsi="微软雅黑" w:cs="微软雅黑"/>
          <w:szCs w:val="24"/>
        </w:rPr>
        <w:t xml:space="preserve">6.服务要求方案</w:t>
      </w:r>
      <w:r>
        <w:tab/>
      </w:r>
      <w:r>
        <w:fldChar w:fldCharType="begin"/>
      </w:r>
      <w:r>
        <w:instrText xml:space="preserve"> PAGEREF _Toc20798 \h </w:instrText>
      </w:r>
      <w:r>
        <w:fldChar w:fldCharType="separate"/>
      </w:r>
      <w:r>
        <w:t xml:space="preserve">49</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_Toc17189 </w:instrText>
      </w:r>
      <w:r>
        <w:rPr>
          <w:rFonts w:hint="eastAsia" w:ascii="微软雅黑" w:hAnsi="微软雅黑" w:cs="微软雅黑"/>
        </w:rPr>
        <w:fldChar w:fldCharType="separate"/>
      </w:r>
      <w:r>
        <w:rPr>
          <w:rFonts w:hint="eastAsia" w:ascii="微软雅黑" w:hAnsi="微软雅黑" w:cs="微软雅黑"/>
          <w:szCs w:val="24"/>
        </w:rPr>
        <w:t xml:space="preserve">7.业绩（提供合同复印件）</w:t>
      </w:r>
      <w:r>
        <w:tab/>
      </w:r>
      <w:r>
        <w:fldChar w:fldCharType="begin"/>
      </w:r>
      <w:r>
        <w:instrText xml:space="preserve"> PAGEREF _Toc17189 \h </w:instrText>
      </w:r>
      <w:r>
        <w:fldChar w:fldCharType="separate"/>
      </w:r>
      <w:r>
        <w:t xml:space="preserve">49</w:t>
      </w:r>
      <w:r>
        <w:fldChar w:fldCharType="end"/>
      </w:r>
      <w:r>
        <w:rPr>
          <w:rFonts w:hint="eastAsia" w:ascii="微软雅黑" w:hAnsi="微软雅黑" w:cs="微软雅黑"/>
        </w:rPr>
        <w:fldChar w:fldCharType="end"/>
      </w:r>
      <w:r/>
    </w:p>
    <w:p>
      <w:pPr>
        <w:pStyle w:val="1111"/>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_Toc13757 </w:instrText>
      </w:r>
      <w:r>
        <w:rPr>
          <w:rFonts w:hint="eastAsia" w:ascii="微软雅黑" w:hAnsi="微软雅黑" w:cs="微软雅黑"/>
        </w:rPr>
        <w:fldChar w:fldCharType="separate"/>
      </w:r>
      <w:r>
        <w:rPr>
          <w:rFonts w:hint="eastAsia" w:ascii="微软雅黑" w:hAnsi="微软雅黑" w:cs="微软雅黑"/>
        </w:rPr>
        <w:t xml:space="preserve">二、相关附表格式</w:t>
      </w:r>
      <w:r>
        <w:tab/>
      </w:r>
      <w:r>
        <w:fldChar w:fldCharType="begin"/>
      </w:r>
      <w:r>
        <w:instrText xml:space="preserve"> PAGEREF _Toc13757 \h </w:instrText>
      </w:r>
      <w:r>
        <w:fldChar w:fldCharType="separate"/>
      </w:r>
      <w:r>
        <w:t xml:space="preserve">50</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_Toc23616 </w:instrText>
      </w:r>
      <w:r>
        <w:rPr>
          <w:rFonts w:hint="eastAsia" w:ascii="微软雅黑" w:hAnsi="微软雅黑" w:cs="微软雅黑"/>
        </w:rPr>
        <w:fldChar w:fldCharType="separate"/>
      </w:r>
      <w:r>
        <w:rPr>
          <w:rFonts w:hint="eastAsia" w:ascii="微软雅黑" w:hAnsi="微软雅黑" w:cs="微软雅黑"/>
          <w:szCs w:val="24"/>
        </w:rPr>
        <w:t xml:space="preserve">1.法人授权委托书</w:t>
      </w:r>
      <w:r>
        <w:tab/>
      </w:r>
      <w:r>
        <w:fldChar w:fldCharType="begin"/>
      </w:r>
      <w:r>
        <w:instrText xml:space="preserve"> PAGEREF _Toc23616 \h </w:instrText>
      </w:r>
      <w:r>
        <w:fldChar w:fldCharType="separate"/>
      </w:r>
      <w:r>
        <w:t xml:space="preserve">50</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_Toc10306 </w:instrText>
      </w:r>
      <w:r>
        <w:rPr>
          <w:rFonts w:hint="eastAsia" w:ascii="微软雅黑" w:hAnsi="微软雅黑" w:cs="微软雅黑"/>
        </w:rPr>
        <w:fldChar w:fldCharType="separate"/>
      </w:r>
      <w:r>
        <w:rPr>
          <w:rFonts w:hint="eastAsia" w:ascii="微软雅黑" w:hAnsi="微软雅黑" w:cs="微软雅黑"/>
          <w:szCs w:val="24"/>
        </w:rPr>
        <w:t xml:space="preserve">2.具有独立承担民事责任的能力（提供法人或者其他组织的营业执照复印件）</w:t>
      </w:r>
      <w:r>
        <w:tab/>
      </w:r>
      <w:r>
        <w:fldChar w:fldCharType="begin"/>
      </w:r>
      <w:r>
        <w:instrText xml:space="preserve"> PAGEREF _Toc10306 \h </w:instrText>
      </w:r>
      <w:r>
        <w:fldChar w:fldCharType="separate"/>
      </w:r>
      <w:r>
        <w:t xml:space="preserve">51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_Toc5705 </w:instrText>
      </w:r>
      <w:r>
        <w:rPr>
          <w:rFonts w:hint="eastAsia" w:ascii="微软雅黑" w:hAnsi="微软雅黑" w:cs="微软雅黑"/>
        </w:rPr>
        <w:fldChar w:fldCharType="separate"/>
      </w:r>
      <w:r>
        <w:rPr>
          <w:rFonts w:hint="eastAsia" w:ascii="微软雅黑" w:hAnsi="微软雅黑" w:cs="微软雅黑"/>
          <w:szCs w:val="24"/>
        </w:rPr>
        <w:t xml:space="preserve">3.具有良好的商业信誉和健全的财务会计制度</w:t>
      </w:r>
      <w:r>
        <w:tab/>
      </w:r>
      <w:r>
        <w:fldChar w:fldCharType="begin"/>
      </w:r>
      <w:r>
        <w:instrText xml:space="preserve"> PAGEREF _Toc5705 \h </w:instrText>
      </w:r>
      <w:r>
        <w:fldChar w:fldCharType="separate"/>
      </w:r>
      <w:r>
        <w:t xml:space="preserve">51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_Toc25603 </w:instrText>
      </w:r>
      <w:r>
        <w:rPr>
          <w:rFonts w:hint="eastAsia" w:ascii="微软雅黑" w:hAnsi="微软雅黑" w:cs="微软雅黑"/>
        </w:rPr>
        <w:fldChar w:fldCharType="separate"/>
      </w:r>
      <w:r>
        <w:rPr>
          <w:rFonts w:hint="eastAsia" w:ascii="微软雅黑" w:hAnsi="微软雅黑" w:cs="微软雅黑"/>
          <w:szCs w:val="24"/>
        </w:rPr>
        <w:t xml:space="preserve">4.具有履行合同所必需的设备和专业技术能力承诺函（参考格式）</w:t>
      </w:r>
      <w:r>
        <w:tab/>
      </w:r>
      <w:r>
        <w:fldChar w:fldCharType="begin"/>
      </w:r>
      <w:r>
        <w:instrText xml:space="preserve"> PAGEREF _Toc25603 \h </w:instrText>
      </w:r>
      <w:r>
        <w:fldChar w:fldCharType="separate"/>
      </w:r>
      <w:r>
        <w:t xml:space="preserve">51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_Toc18837 </w:instrText>
      </w:r>
      <w:r>
        <w:rPr>
          <w:rFonts w:hint="eastAsia" w:ascii="微软雅黑" w:hAnsi="微软雅黑" w:cs="微软雅黑"/>
        </w:rPr>
        <w:fldChar w:fldCharType="separate"/>
      </w:r>
      <w:r>
        <w:rPr>
          <w:rFonts w:hint="eastAsia" w:ascii="微软雅黑" w:hAnsi="微软雅黑" w:cs="微软雅黑"/>
          <w:szCs w:val="24"/>
        </w:rPr>
        <w:t xml:space="preserve">5.有依法缴纳税收的良好记录</w:t>
      </w:r>
      <w:r>
        <w:tab/>
      </w:r>
      <w:r>
        <w:fldChar w:fldCharType="begin"/>
      </w:r>
      <w:r>
        <w:instrText xml:space="preserve"> PAGEREF _Toc18837 \h </w:instrText>
      </w:r>
      <w:r>
        <w:fldChar w:fldCharType="separate"/>
      </w:r>
      <w:r>
        <w:t xml:space="preserve">51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_Toc10765 </w:instrText>
      </w:r>
      <w:r>
        <w:rPr>
          <w:rFonts w:hint="eastAsia" w:ascii="微软雅黑" w:hAnsi="微软雅黑" w:cs="微软雅黑"/>
        </w:rPr>
        <w:fldChar w:fldCharType="separate"/>
      </w:r>
      <w:r>
        <w:rPr>
          <w:rFonts w:hint="eastAsia" w:ascii="微软雅黑" w:hAnsi="微软雅黑" w:cs="微软雅黑"/>
          <w:szCs w:val="24"/>
        </w:rPr>
        <w:t xml:space="preserve">6.有依法缴纳社会保障资金的良好记录</w:t>
      </w:r>
      <w:r>
        <w:tab/>
      </w:r>
      <w:r>
        <w:fldChar w:fldCharType="begin"/>
      </w:r>
      <w:r>
        <w:instrText xml:space="preserve"> PAGEREF _Toc10765 \h </w:instrText>
      </w:r>
      <w:r>
        <w:fldChar w:fldCharType="separate"/>
      </w:r>
      <w:r>
        <w:t xml:space="preserve">51</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_Toc7372 </w:instrText>
      </w:r>
      <w:r>
        <w:rPr>
          <w:rFonts w:hint="eastAsia" w:ascii="微软雅黑" w:hAnsi="微软雅黑" w:cs="微软雅黑"/>
        </w:rPr>
        <w:fldChar w:fldCharType="separate"/>
      </w:r>
      <w:r>
        <w:rPr>
          <w:rFonts w:hint="eastAsia" w:ascii="微软雅黑" w:hAnsi="微软雅黑" w:cs="微软雅黑"/>
          <w:szCs w:val="24"/>
        </w:rPr>
        <w:t xml:space="preserve">7.没有重大违法记录声明（参考格式）</w:t>
      </w:r>
      <w:r>
        <w:tab/>
      </w:r>
      <w:r>
        <w:fldChar w:fldCharType="begin"/>
      </w:r>
      <w:r>
        <w:instrText xml:space="preserve"> PAGEREF _Toc7372 \h </w:instrText>
      </w:r>
      <w:r>
        <w:fldChar w:fldCharType="separate"/>
      </w:r>
      <w:r>
        <w:t xml:space="preserve">52</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_Toc28942 </w:instrText>
      </w:r>
      <w:r>
        <w:rPr>
          <w:rFonts w:hint="eastAsia" w:ascii="微软雅黑" w:hAnsi="微软雅黑" w:cs="微软雅黑"/>
        </w:rPr>
        <w:fldChar w:fldCharType="separate"/>
      </w:r>
      <w:r>
        <w:rPr>
          <w:rFonts w:hint="eastAsia" w:ascii="微软雅黑" w:hAnsi="微软雅黑" w:cs="微软雅黑"/>
          <w:szCs w:val="24"/>
        </w:rPr>
        <w:t xml:space="preserve">8.承诺（参考格式）</w:t>
      </w:r>
      <w:r>
        <w:tab/>
      </w:r>
      <w:r>
        <w:fldChar w:fldCharType="begin"/>
      </w:r>
      <w:r>
        <w:instrText xml:space="preserve"> PAGEREF _Toc28942 \h </w:instrText>
      </w:r>
      <w:r>
        <w:fldChar w:fldCharType="separate"/>
      </w:r>
      <w:r>
        <w:t xml:space="preserve">53</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_Toc29689 </w:instrText>
      </w:r>
      <w:r>
        <w:rPr>
          <w:rFonts w:hint="eastAsia" w:ascii="微软雅黑" w:hAnsi="微软雅黑" w:cs="微软雅黑"/>
        </w:rPr>
        <w:fldChar w:fldCharType="separate"/>
      </w:r>
      <w:r>
        <w:rPr>
          <w:rFonts w:hint="eastAsia" w:ascii="微软雅黑" w:hAnsi="微软雅黑" w:cs="微软雅黑"/>
          <w:szCs w:val="24"/>
        </w:rPr>
        <w:t xml:space="preserve">中小企业声明函</w:t>
      </w:r>
      <w:r>
        <w:tab/>
      </w:r>
      <w:r>
        <w:fldChar w:fldCharType="begin"/>
      </w:r>
      <w:r>
        <w:instrText xml:space="preserve"> PAGEREF _Toc29689 \h </w:instrText>
      </w:r>
      <w:r>
        <w:fldChar w:fldCharType="separate"/>
      </w:r>
      <w:r>
        <w:t xml:space="preserve">54</w:t>
      </w:r>
      <w:r>
        <w:fldChar w:fldCharType="end"/>
      </w:r>
      <w:r>
        <w:rPr>
          <w:rFonts w:hint="eastAsia" w:ascii="微软雅黑" w:hAnsi="微软雅黑" w:cs="微软雅黑"/>
        </w:rPr>
        <w:fldChar w:fldCharType="end"/>
      </w:r>
      <w:r/>
    </w:p>
    <w:p>
      <w:pPr>
        <w:pStyle w:val="109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_Toc7316 </w:instrText>
      </w:r>
      <w:r>
        <w:rPr>
          <w:rFonts w:hint="eastAsia" w:ascii="微软雅黑" w:hAnsi="微软雅黑" w:cs="微软雅黑"/>
        </w:rPr>
        <w:fldChar w:fldCharType="separate"/>
      </w:r>
      <w:r>
        <w:rPr>
          <w:rFonts w:hint="eastAsia" w:ascii="微软雅黑" w:hAnsi="微软雅黑" w:cs="微软雅黑"/>
          <w:szCs w:val="24"/>
        </w:rPr>
        <w:t xml:space="preserve">残疾人福利性单位声明函</w:t>
      </w:r>
      <w:r>
        <w:tab/>
      </w:r>
      <w:r>
        <w:fldChar w:fldCharType="begin"/>
      </w:r>
      <w:r>
        <w:instrText xml:space="preserve"> PAGEREF _Toc7316 \h </w:instrText>
      </w:r>
      <w:r>
        <w:fldChar w:fldCharType="separate"/>
      </w:r>
      <w:r>
        <w:t xml:space="preserve">56</w:t>
      </w:r>
      <w:r>
        <w:fldChar w:fldCharType="end"/>
      </w:r>
      <w:r>
        <w:rPr>
          <w:rFonts w:hint="eastAsia" w:ascii="微软雅黑" w:hAnsi="微软雅黑" w:cs="微软雅黑"/>
        </w:rPr>
        <w:fldChar w:fldCharType="end"/>
      </w:r>
      <w:r/>
    </w:p>
    <w:p>
      <w:pPr>
        <w:pStyle w:val="1063"/>
        <w:rPr>
          <w:rFonts w:hint="eastAsia" w:ascii="微软雅黑" w:hAnsi="微软雅黑" w:cs="微软雅黑"/>
        </w:rPr>
      </w:pPr>
      <w:r>
        <w:rPr>
          <w:rFonts w:hint="eastAsia" w:ascii="微软雅黑" w:hAnsi="微软雅黑" w:cs="微软雅黑"/>
        </w:rPr>
        <w:fldChar w:fldCharType="end"/>
      </w:r>
      <w:r>
        <w:rPr>
          <w:rFonts w:hint="eastAsia" w:ascii="微软雅黑" w:hAnsi="微软雅黑" w:cs="微软雅黑"/>
        </w:rPr>
      </w:r>
      <w:r/>
    </w:p>
    <w:p>
      <w:pPr>
        <w:pStyle w:val="1064"/>
        <w:spacing w:line="360" w:lineRule="exact"/>
        <w:rPr>
          <w:rStyle w:val="1126"/>
          <w:rFonts w:hint="eastAsia" w:ascii="微软雅黑" w:hAnsi="微软雅黑" w:cs="微软雅黑"/>
          <w:bCs/>
          <w:sz w:val="32"/>
          <w:szCs w:val="32"/>
        </w:rPr>
      </w:pPr>
      <w:r>
        <w:rPr>
          <w:rFonts w:hint="eastAsia" w:ascii="微软雅黑" w:hAnsi="微软雅黑" w:cs="微软雅黑"/>
          <w:sz w:val="24"/>
          <w:szCs w:val="24"/>
        </w:rPr>
        <w:br w:type="page" w:clear="all"/>
      </w:r>
      <w:bookmarkStart w:id="3" w:name="_Toc26655"/>
      <w:r/>
      <w:bookmarkStart w:id="4" w:name="_Toc7024"/>
      <w:r>
        <w:rPr>
          <w:rFonts w:hint="eastAsia" w:ascii="微软雅黑" w:hAnsi="微软雅黑" w:cs="微软雅黑"/>
          <w:bCs w:val="0"/>
          <w:szCs w:val="32"/>
        </w:rPr>
        <w:t xml:space="preserve">第一章 投标邀请（采购公告</w:t>
      </w:r>
      <w:bookmarkEnd w:id="0"/>
      <w:r>
        <w:rPr>
          <w:rFonts w:hint="eastAsia" w:ascii="微软雅黑" w:hAnsi="微软雅黑" w:cs="微软雅黑"/>
          <w:bCs w:val="0"/>
          <w:szCs w:val="32"/>
        </w:rPr>
        <w:t xml:space="preserve">）</w:t>
      </w:r>
      <w:bookmarkEnd w:id="3"/>
      <w:r/>
      <w:bookmarkEnd w:id="4"/>
      <w:r>
        <w:rPr>
          <w:rStyle w:val="1126"/>
          <w:rFonts w:hint="eastAsia" w:ascii="微软雅黑" w:hAnsi="微软雅黑" w:cs="微软雅黑"/>
          <w:bCs/>
          <w:sz w:val="32"/>
          <w:szCs w:val="32"/>
        </w:rPr>
      </w:r>
      <w:r/>
    </w:p>
    <w:p>
      <w:pPr>
        <w:pStyle w:val="1063"/>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bookmarkEnd w:id="1"/>
      <w:r/>
      <w:bookmarkStart w:id="5" w:name="_Toc26547"/>
      <w:r>
        <w:rPr>
          <w:rFonts w:hint="eastAsia" w:ascii="微软雅黑" w:hAnsi="微软雅黑" w:cs="微软雅黑"/>
          <w:szCs w:val="21"/>
        </w:rPr>
        <w:t xml:space="preserve">项目概况</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（南京林业大学淮安校区医务室托管项目）采购项目的潜在投标供应商应在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江苏政府采购网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获取采购文件，并于2026年0</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月10日</w:t>
      </w:r>
      <w:r>
        <w:rPr>
          <w:rFonts w:hint="eastAsia" w:ascii="微软雅黑" w:hAnsi="微软雅黑" w:cs="微软雅黑"/>
          <w:szCs w:val="21"/>
          <w:lang w:val="en-US" w:eastAsia="zh-CN"/>
        </w:rPr>
        <w:t xml:space="preserve">09</w:t>
      </w:r>
      <w:r>
        <w:rPr>
          <w:rFonts w:hint="eastAsia" w:ascii="微软雅黑" w:hAnsi="微软雅黑" w:cs="微软雅黑"/>
          <w:szCs w:val="21"/>
        </w:rPr>
        <w:t xml:space="preserve">点30分00秒</w:t>
      </w:r>
      <w:r>
        <w:rPr>
          <w:rFonts w:hint="eastAsia" w:ascii="微软雅黑" w:hAnsi="微软雅黑" w:cs="微软雅黑"/>
          <w:bCs/>
          <w:szCs w:val="21"/>
        </w:rPr>
        <w:t xml:space="preserve">（北京时间）前递交投标文件</w:t>
      </w:r>
      <w:r>
        <w:rPr>
          <w:rFonts w:hint="eastAsia" w:ascii="微软雅黑" w:hAnsi="微软雅黑" w:cs="微软雅黑"/>
          <w:szCs w:val="21"/>
        </w:rPr>
        <w:t xml:space="preserve">。</w:t>
      </w:r>
      <w:r>
        <w:rPr>
          <w:rFonts w:hint="eastAsia" w:ascii="微软雅黑" w:hAnsi="微软雅黑" w:cs="微软雅黑"/>
          <w:szCs w:val="21"/>
        </w:rPr>
      </w:r>
      <w:r/>
    </w:p>
    <w:p>
      <w:pPr>
        <w:pStyle w:val="1063"/>
        <w:rPr>
          <w:rFonts w:hint="eastAsia" w:ascii="微软雅黑" w:hAnsi="微软雅黑" w:cs="微软雅黑"/>
          <w:b/>
          <w:bCs/>
        </w:rPr>
      </w:pPr>
      <w:r/>
      <w:bookmarkStart w:id="6" w:name="_Toc28359002"/>
      <w:r/>
      <w:bookmarkStart w:id="7" w:name="_Toc35393621"/>
      <w:r/>
      <w:bookmarkStart w:id="8" w:name="_Toc5452"/>
      <w:r/>
      <w:bookmarkStart w:id="9" w:name="_Toc28359079"/>
      <w:r/>
      <w:bookmarkStart w:id="10" w:name="_Toc35393790"/>
      <w:r/>
      <w:bookmarkStart w:id="11" w:name="_Hlk24379207"/>
      <w:r>
        <w:rPr>
          <w:rFonts w:hint="eastAsia" w:ascii="微软雅黑" w:hAnsi="微软雅黑" w:cs="微软雅黑"/>
          <w:b/>
          <w:bCs/>
        </w:rPr>
        <w:t xml:space="preserve">一、项目基本情况</w:t>
      </w:r>
      <w:bookmarkEnd w:id="6"/>
      <w:r/>
      <w:bookmarkEnd w:id="7"/>
      <w:r/>
      <w:bookmarkEnd w:id="8"/>
      <w:r/>
      <w:bookmarkEnd w:id="9"/>
      <w:r/>
      <w:bookmarkEnd w:id="10"/>
      <w:r>
        <w:rPr>
          <w:rFonts w:hint="eastAsia" w:ascii="微软雅黑" w:hAnsi="微软雅黑" w:cs="微软雅黑"/>
          <w:b/>
          <w:bCs/>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项目编号：JSZC-320000-JSHC-G2026-0023</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代理机构内部编号：JSHC-2026040262B5</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项目名称：</w:t>
      </w:r>
      <w:bookmarkEnd w:id="11"/>
      <w:r>
        <w:rPr>
          <w:rFonts w:hint="eastAsia" w:ascii="微软雅黑" w:hAnsi="微软雅黑" w:cs="微软雅黑"/>
          <w:szCs w:val="21"/>
        </w:rPr>
        <w:t xml:space="preserve">南京林业大学淮安校区医务室托管项目</w:t>
      </w:r>
      <w:r>
        <w:rPr>
          <w:rFonts w:hint="eastAsia" w:ascii="微软雅黑" w:hAnsi="微软雅黑" w:cs="微软雅黑"/>
          <w:szCs w:val="21"/>
        </w:rPr>
      </w:r>
      <w:r/>
    </w:p>
    <w:p>
      <w:pPr>
        <w:pStyle w:val="1063"/>
        <w:ind w:firstLine="420"/>
        <w:spacing w:line="420" w:lineRule="exact"/>
        <w:rPr>
          <w:rFonts w:hint="eastAsia" w:ascii="微软雅黑" w:hAnsi="微软雅黑" w:cs="微软雅黑"/>
          <w:color w:val="ff0000"/>
          <w:szCs w:val="21"/>
        </w:rPr>
      </w:pPr>
      <w:r>
        <w:rPr>
          <w:rFonts w:hint="eastAsia" w:ascii="微软雅黑" w:hAnsi="微软雅黑" w:cs="微软雅黑"/>
          <w:szCs w:val="21"/>
        </w:rPr>
        <w:t xml:space="preserve">预算金额：￥170.202万元整/3年</w:t>
      </w:r>
      <w:r>
        <w:rPr>
          <w:rFonts w:hint="eastAsia" w:ascii="微软雅黑" w:hAnsi="微软雅黑" w:cs="微软雅黑"/>
          <w:color w:val="ff0000"/>
          <w:szCs w:val="21"/>
        </w:rPr>
      </w:r>
      <w:r/>
    </w:p>
    <w:p>
      <w:pPr>
        <w:pStyle w:val="1063"/>
        <w:ind w:firstLine="420"/>
        <w:spacing w:line="420" w:lineRule="exact"/>
        <w:rPr>
          <w:rFonts w:hint="eastAsia" w:ascii="微软雅黑" w:hAnsi="微软雅黑" w:cs="微软雅黑"/>
          <w:color w:val="000000"/>
          <w:szCs w:val="21"/>
        </w:rPr>
      </w:pPr>
      <w:r>
        <w:rPr>
          <w:rFonts w:hint="eastAsia" w:ascii="微软雅黑" w:hAnsi="微软雅黑" w:cs="微软雅黑"/>
          <w:szCs w:val="21"/>
        </w:rPr>
        <w:t xml:space="preserve">托管服务费25万元/年，新生体检费用（最高不超过86元/人）新生体检费用按照实际发生数量收取费用，</w:t>
      </w:r>
      <w:r>
        <w:rPr>
          <w:rFonts w:hint="eastAsia" w:ascii="微软雅黑" w:hAnsi="微软雅黑" w:cs="微软雅黑"/>
          <w:color w:val="000000"/>
          <w:szCs w:val="21"/>
        </w:rPr>
        <w:t xml:space="preserve">投标总报价不得超过</w:t>
      </w:r>
      <w:r>
        <w:rPr>
          <w:rFonts w:hint="eastAsia" w:ascii="微软雅黑" w:hAnsi="微软雅黑" w:cs="微软雅黑"/>
          <w:color w:val="000000"/>
          <w:szCs w:val="21"/>
          <w:lang w:eastAsia="zh-CN"/>
        </w:rPr>
        <w:t xml:space="preserve">56.7340万元</w:t>
      </w: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p>
      <w:pPr>
        <w:pStyle w:val="1063"/>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最高限价：170.202万元整/3年</w:t>
      </w:r>
      <w:r>
        <w:rPr>
          <w:rFonts w:hint="eastAsia" w:ascii="微软雅黑" w:hAnsi="微软雅黑" w:cs="微软雅黑"/>
          <w:color w:val="000000"/>
          <w:szCs w:val="21"/>
        </w:rPr>
      </w:r>
      <w:r/>
    </w:p>
    <w:p>
      <w:pPr>
        <w:pStyle w:val="1063"/>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托管服务费25万元/年，新生体检费用（最高不超过86元/人）新生体检费用按照实际发生数量收取费用，投标总报价不得超过</w:t>
      </w:r>
      <w:r>
        <w:rPr>
          <w:rFonts w:hint="eastAsia" w:ascii="微软雅黑" w:hAnsi="微软雅黑" w:cs="微软雅黑"/>
          <w:color w:val="000000"/>
          <w:szCs w:val="21"/>
          <w:lang w:eastAsia="zh-CN"/>
        </w:rPr>
        <w:t xml:space="preserve">56.7340万元</w:t>
      </w: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p>
      <w:pPr>
        <w:pStyle w:val="1063"/>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服务需求：淮安校区医务室托管。具体详见采购文件。</w:t>
      </w:r>
      <w:r>
        <w:rPr>
          <w:rFonts w:hint="eastAsia" w:ascii="微软雅黑" w:hAnsi="微软雅黑" w:cs="微软雅黑"/>
          <w:color w:val="000000"/>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服务期限：服务期限为三年（自合同签订之日起计；合同一年一签，经采购人当年度考核合格后，签订下一年合同）。</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rPr>
          <w:rFonts w:hint="eastAsia" w:ascii="微软雅黑" w:hAnsi="微软雅黑" w:cs="微软雅黑"/>
          <w:szCs w:val="21"/>
        </w:rPr>
      </w:r>
      <w:r/>
    </w:p>
    <w:p>
      <w:pPr>
        <w:pStyle w:val="1063"/>
        <w:rPr>
          <w:rFonts w:hint="eastAsia" w:ascii="微软雅黑" w:hAnsi="微软雅黑" w:cs="微软雅黑"/>
          <w:b/>
          <w:bCs/>
        </w:rPr>
      </w:pPr>
      <w:r/>
      <w:bookmarkStart w:id="12" w:name="_Toc28359080"/>
      <w:r/>
      <w:bookmarkStart w:id="13" w:name="_Toc18689"/>
      <w:r/>
      <w:bookmarkStart w:id="14" w:name="_Toc28359003"/>
      <w:r/>
      <w:bookmarkStart w:id="15" w:name="_Toc35393791"/>
      <w:r/>
      <w:bookmarkStart w:id="16" w:name="_Toc35393622"/>
      <w:r>
        <w:rPr>
          <w:rFonts w:hint="eastAsia" w:ascii="微软雅黑" w:hAnsi="微软雅黑" w:cs="微软雅黑"/>
          <w:b/>
          <w:bCs/>
        </w:rPr>
        <w:t xml:space="preserve">二、申请人的资格要求：</w:t>
      </w:r>
      <w:bookmarkEnd w:id="12"/>
      <w:r/>
      <w:bookmarkEnd w:id="13"/>
      <w:r/>
      <w:bookmarkEnd w:id="14"/>
      <w:r/>
      <w:bookmarkEnd w:id="15"/>
      <w:r/>
      <w:bookmarkEnd w:id="16"/>
      <w:r>
        <w:rPr>
          <w:rFonts w:hint="eastAsia" w:ascii="微软雅黑" w:hAnsi="微软雅黑" w:cs="微软雅黑"/>
          <w:b/>
          <w:bCs/>
        </w:rPr>
      </w:r>
      <w:r/>
    </w:p>
    <w:p>
      <w:pPr>
        <w:pStyle w:val="1063"/>
        <w:ind w:firstLine="440"/>
        <w:spacing w:line="420" w:lineRule="exact"/>
        <w:rPr>
          <w:rFonts w:hint="eastAsia" w:ascii="微软雅黑" w:hAnsi="微软雅黑" w:cs="微软雅黑"/>
          <w:szCs w:val="21"/>
        </w:rPr>
      </w:pPr>
      <w:r>
        <w:rPr>
          <w:rFonts w:hint="eastAsia" w:ascii="微软雅黑" w:hAnsi="微软雅黑" w:cs="微软雅黑"/>
          <w:sz w:val="22"/>
        </w:rPr>
        <w:t xml:space="preserve">1</w:t>
      </w:r>
      <w:r>
        <w:rPr>
          <w:rFonts w:hint="eastAsia" w:ascii="微软雅黑" w:hAnsi="微软雅黑" w:cs="微软雅黑"/>
          <w:color w:val="333333"/>
          <w:sz w:val="22"/>
        </w:rPr>
        <w:t xml:space="preserve">.供应商满足以下规定</w:t>
      </w:r>
      <w:r>
        <w:rPr>
          <w:rFonts w:hint="eastAsia" w:ascii="微软雅黑" w:hAnsi="微软雅黑" w:cs="微软雅黑"/>
          <w:szCs w:val="21"/>
        </w:rPr>
        <w:t xml:space="preserve">：</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1.2具有良好的商业信誉和健全的财务会计制度（提供2025年11月至投标截止时间前任一月份的资产负债表和利润表，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2025年11月至投标截止时间前任一月份依法缴纳税收的凭据，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063"/>
        <w:ind w:firstLine="420"/>
        <w:spacing w:line="420" w:lineRule="exact"/>
        <w:rPr>
          <w:rFonts w:hint="eastAsia" w:ascii="微软雅黑" w:hAnsi="微软雅黑" w:cs="微软雅黑"/>
        </w:rPr>
      </w:pPr>
      <w:r/>
      <w:bookmarkStart w:id="17" w:name="_Toc28359081"/>
      <w:r/>
      <w:bookmarkStart w:id="18" w:name="_Toc28359004"/>
      <w:r>
        <w:rPr>
          <w:rFonts w:hint="eastAsia" w:ascii="微软雅黑" w:hAnsi="微软雅黑" w:cs="微软雅黑"/>
          <w:szCs w:val="21"/>
        </w:rPr>
        <w:t xml:space="preserve">2.</w:t>
      </w:r>
      <w:r>
        <w:rPr>
          <w:rFonts w:hint="eastAsia" w:ascii="微软雅黑" w:hAnsi="微软雅黑" w:cs="微软雅黑"/>
        </w:rPr>
        <w:t xml:space="preserve">是否专门面向中小企业：</w:t>
      </w:r>
      <w:r>
        <w:rPr>
          <w:rFonts w:hint="eastAsia" w:ascii="微软雅黑" w:hAnsi="微软雅黑" w:cs="微软雅黑"/>
          <w:b/>
          <w:bCs/>
        </w:rPr>
        <w:t xml:space="preserve">否。</w:t>
      </w:r>
      <w:r>
        <w:rPr>
          <w:rFonts w:hint="eastAsia" w:ascii="微软雅黑" w:hAnsi="微软雅黑" w:cs="微软雅黑"/>
        </w:rPr>
      </w:r>
      <w:r/>
    </w:p>
    <w:p>
      <w:pPr>
        <w:pStyle w:val="1063"/>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3.本项目的特定资格要求：</w:t>
      </w:r>
      <w:r>
        <w:rPr>
          <w:rFonts w:hint="eastAsia" w:ascii="微软雅黑" w:hAnsi="微软雅黑" w:cs="微软雅黑"/>
          <w:color w:val="000000"/>
          <w:szCs w:val="21"/>
          <w:highlight w:val="none"/>
        </w:rPr>
      </w:r>
      <w:r/>
    </w:p>
    <w:p>
      <w:pPr>
        <w:pStyle w:val="1063"/>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（1）供应商具有卫生行政管理部门颁发的医疗执业许可证，具备独立开展体检业务的资格，并提供《医疗机构执业许可证》副本备注栏登记批准信息。（提供有效资质证书复印件加盖</w:t>
      </w:r>
      <w:r>
        <w:rPr>
          <w:rFonts w:hint="eastAsia" w:ascii="微软雅黑" w:hAnsi="微软雅黑" w:cs="微软雅黑"/>
          <w:color w:val="000000"/>
          <w:szCs w:val="21"/>
          <w:highlight w:val="none"/>
          <w:lang w:val="en-US" w:eastAsia="zh-CN"/>
        </w:rPr>
        <w:t xml:space="preserve">供应商</w:t>
      </w:r>
      <w:r>
        <w:rPr>
          <w:rFonts w:hint="eastAsia" w:ascii="微软雅黑" w:hAnsi="微软雅黑" w:cs="微软雅黑"/>
          <w:color w:val="000000"/>
          <w:szCs w:val="21"/>
          <w:highlight w:val="none"/>
        </w:rPr>
        <w:t xml:space="preserve">公章）</w:t>
      </w:r>
      <w:r>
        <w:rPr>
          <w:rFonts w:hint="eastAsia" w:ascii="微软雅黑" w:hAnsi="微软雅黑" w:cs="微软雅黑"/>
          <w:color w:val="000000"/>
          <w:szCs w:val="21"/>
          <w:highlight w:val="none"/>
        </w:rPr>
      </w:r>
      <w:r/>
    </w:p>
    <w:p>
      <w:pPr>
        <w:pStyle w:val="1063"/>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（2）供应商具有一级及以上综合性医院资质。（提供一级及以上综合性医院</w:t>
      </w:r>
      <w:r>
        <w:rPr>
          <w:rFonts w:hint="eastAsia" w:ascii="微软雅黑" w:hAnsi="微软雅黑" w:cs="微软雅黑"/>
          <w:color w:val="000000"/>
          <w:szCs w:val="21"/>
          <w:highlight w:val="none"/>
          <w:lang w:val="en-US" w:eastAsia="zh-CN"/>
        </w:rPr>
        <w:t xml:space="preserve">证明材料</w:t>
      </w:r>
      <w:r>
        <w:rPr>
          <w:rFonts w:hint="eastAsia" w:ascii="微软雅黑" w:hAnsi="微软雅黑" w:cs="微软雅黑"/>
          <w:color w:val="000000"/>
          <w:szCs w:val="21"/>
          <w:highlight w:val="none"/>
        </w:rPr>
        <w:t xml:space="preserve">复印件加盖</w:t>
      </w:r>
      <w:r>
        <w:rPr>
          <w:rFonts w:hint="eastAsia" w:ascii="微软雅黑" w:hAnsi="微软雅黑" w:cs="微软雅黑"/>
          <w:color w:val="000000"/>
          <w:szCs w:val="21"/>
          <w:highlight w:val="none"/>
          <w:lang w:val="en-US" w:eastAsia="zh-CN"/>
        </w:rPr>
        <w:t xml:space="preserve">供应商</w:t>
      </w:r>
      <w:r>
        <w:rPr>
          <w:rFonts w:hint="eastAsia" w:ascii="微软雅黑" w:hAnsi="微软雅黑" w:cs="微软雅黑"/>
          <w:color w:val="000000"/>
          <w:szCs w:val="21"/>
          <w:highlight w:val="none"/>
        </w:rPr>
        <w:t xml:space="preserve">公章）。</w:t>
      </w:r>
      <w:r>
        <w:rPr>
          <w:rFonts w:ascii="微软雅黑" w:hAnsi="微软雅黑" w:cs="微软雅黑"/>
          <w:color w:val="000000"/>
          <w:szCs w:val="21"/>
          <w:highlight w:val="none"/>
        </w:rPr>
      </w:r>
      <w:r/>
    </w:p>
    <w:p>
      <w:pPr>
        <w:pStyle w:val="1063"/>
        <w:ind w:firstLine="420"/>
        <w:spacing w:line="420" w:lineRule="exact"/>
        <w:rPr>
          <w:rFonts w:hint="eastAsia" w:ascii="微软雅黑" w:hAnsi="微软雅黑" w:cs="微软雅黑"/>
        </w:rPr>
      </w:pPr>
      <w:r>
        <w:rPr>
          <w:rFonts w:hint="eastAsia" w:ascii="微软雅黑" w:hAnsi="微软雅黑" w:cs="微软雅黑"/>
          <w:szCs w:val="21"/>
        </w:rPr>
        <w:t xml:space="preserve">4.本项目不接受联合体投标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5.拒绝下述供应商参加本次采购活动：</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5.1为采购项目提供整体设计、规范编制或者项目管理、监理、检测等服务的；</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5.2供应商单位负责人为同一人或者存在直接控股、管理关系的不同供应商，不得参加同一合同项下的采购活动；</w:t>
      </w:r>
      <w:r>
        <w:rPr>
          <w:rFonts w:hint="eastAsia" w:ascii="微软雅黑" w:hAnsi="微软雅黑" w:cs="微软雅黑"/>
          <w:szCs w:val="21"/>
        </w:rPr>
      </w:r>
      <w:r/>
    </w:p>
    <w:p>
      <w:pPr>
        <w:pStyle w:val="1063"/>
        <w:ind w:firstLine="420"/>
        <w:spacing w:line="420" w:lineRule="exact"/>
        <w:rPr>
          <w:rFonts w:hint="eastAsia" w:ascii="微软雅黑" w:hAnsi="微软雅黑" w:cs="微软雅黑"/>
          <w:szCs w:val="21"/>
        </w:rPr>
      </w:pPr>
      <w:r>
        <w:rPr>
          <w:rFonts w:hint="eastAsia" w:ascii="微软雅黑" w:hAnsi="微软雅黑" w:cs="微软雅黑"/>
          <w:szCs w:val="21"/>
        </w:rPr>
        <w:t xml:space="preserve">5.3被“信用中国”网站(www.creditchina.gov.cn)或中国政府采购网(www.ccgp.gov.cn)）列入失信被执行人、重大税收违法失信主体、政府采购严重违法失信行为记录名单的。</w:t>
      </w:r>
      <w:r>
        <w:rPr>
          <w:rFonts w:hint="eastAsia" w:ascii="微软雅黑" w:hAnsi="微软雅黑" w:cs="微软雅黑"/>
          <w:szCs w:val="21"/>
        </w:rPr>
      </w:r>
      <w:r/>
    </w:p>
    <w:p>
      <w:pPr>
        <w:pStyle w:val="1063"/>
        <w:spacing w:line="420" w:lineRule="exact"/>
        <w:rPr>
          <w:rFonts w:ascii="微软雅黑" w:hAnsi="微软雅黑" w:cs="微软雅黑"/>
          <w:b/>
          <w:bCs/>
        </w:rPr>
      </w:pPr>
      <w:r/>
      <w:bookmarkStart w:id="19" w:name="_Toc35393792"/>
      <w:r/>
      <w:bookmarkStart w:id="20" w:name="_Toc15914"/>
      <w:r/>
      <w:bookmarkStart w:id="21" w:name="_Toc35393623"/>
      <w:r>
        <w:rPr>
          <w:rFonts w:hint="eastAsia" w:ascii="微软雅黑" w:hAnsi="微软雅黑" w:cs="微软雅黑"/>
          <w:b/>
          <w:bCs/>
        </w:rPr>
        <w:t xml:space="preserve">三、获取采购文件</w:t>
      </w:r>
      <w:r>
        <w:rPr>
          <w:rFonts w:ascii="微软雅黑" w:hAnsi="微软雅黑" w:cs="微软雅黑"/>
          <w:b/>
          <w:bCs/>
        </w:rPr>
      </w:r>
      <w:r/>
    </w:p>
    <w:p>
      <w:pPr>
        <w:pStyle w:val="1063"/>
        <w:ind w:firstLine="420"/>
        <w:spacing w:line="420" w:lineRule="exact"/>
        <w:rPr>
          <w:rFonts w:ascii="微软雅黑" w:hAnsi="微软雅黑" w:cs="微软雅黑"/>
          <w:szCs w:val="21"/>
        </w:rPr>
      </w:pPr>
      <w:r/>
      <w:bookmarkStart w:id="22" w:name="OLE_LINK2"/>
      <w:r>
        <w:rPr>
          <w:rFonts w:hint="eastAsia" w:ascii="微软雅黑" w:hAnsi="微软雅黑" w:cs="微软雅黑"/>
          <w:szCs w:val="21"/>
        </w:rPr>
        <w:t xml:space="preserve">时间：自公告发布之日起5个工作日 </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r>
        <w:rPr>
          <w:rFonts w:ascii="微软雅黑" w:hAnsi="微软雅黑" w:cs="微软雅黑"/>
          <w:szCs w:val="21"/>
        </w:rPr>
      </w:r>
      <w:r/>
    </w:p>
    <w:p>
      <w:pPr>
        <w:pStyle w:val="1063"/>
        <w:spacing w:line="420" w:lineRule="exact"/>
        <w:rPr>
          <w:rFonts w:ascii="微软雅黑" w:hAnsi="微软雅黑" w:cs="微软雅黑"/>
          <w:b/>
          <w:bCs/>
        </w:rPr>
      </w:pPr>
      <w:r/>
      <w:bookmarkEnd w:id="22"/>
      <w:r>
        <w:rPr>
          <w:rFonts w:hint="eastAsia" w:ascii="微软雅黑" w:hAnsi="微软雅黑" w:cs="微软雅黑"/>
          <w:b/>
          <w:bCs/>
        </w:rPr>
        <w:t xml:space="preserve">四、提交投标文件截止时间、开标时间和地点</w:t>
      </w:r>
      <w:r>
        <w:rPr>
          <w:rFonts w:ascii="微软雅黑" w:hAnsi="微软雅黑" w:cs="微软雅黑"/>
          <w:b/>
          <w:bCs/>
        </w:rPr>
      </w:r>
      <w:r/>
    </w:p>
    <w:p>
      <w:pPr>
        <w:pStyle w:val="1063"/>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2026年0</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月10日</w:t>
      </w:r>
      <w:r>
        <w:rPr>
          <w:rFonts w:hint="eastAsia" w:ascii="微软雅黑" w:hAnsi="微软雅黑" w:cs="微软雅黑"/>
          <w:szCs w:val="21"/>
          <w:lang w:val="en-US" w:eastAsia="zh-CN"/>
        </w:rPr>
        <w:t xml:space="preserve">09:</w:t>
      </w:r>
      <w:r>
        <w:rPr>
          <w:rFonts w:hint="eastAsia" w:ascii="微软雅黑" w:hAnsi="微软雅黑" w:cs="微软雅黑"/>
          <w:szCs w:val="21"/>
        </w:rPr>
        <w:t xml:space="preserve">30:00</w:t>
      </w:r>
      <w:r>
        <w:rPr>
          <w:rFonts w:hint="eastAsia" w:ascii="微软雅黑" w:hAnsi="微软雅黑" w:cs="微软雅黑"/>
          <w:bCs/>
          <w:szCs w:val="21"/>
        </w:rPr>
        <w:t xml:space="preserve">（北京时间）</w:t>
      </w:r>
      <w:r>
        <w:rPr>
          <w:rFonts w:ascii="微软雅黑" w:hAnsi="微软雅黑" w:cs="微软雅黑"/>
          <w:bCs/>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rPr>
          <w:rFonts w:ascii="微软雅黑" w:hAnsi="微软雅黑" w:cs="微软雅黑"/>
          <w:szCs w:val="21"/>
        </w:rPr>
      </w:r>
      <w:r/>
    </w:p>
    <w:p>
      <w:pPr>
        <w:pStyle w:val="1063"/>
        <w:spacing w:line="420" w:lineRule="exact"/>
        <w:rPr>
          <w:rFonts w:ascii="微软雅黑" w:hAnsi="微软雅黑" w:cs="微软雅黑"/>
          <w:b/>
          <w:bCs/>
        </w:rPr>
      </w:pPr>
      <w:r>
        <w:rPr>
          <w:rFonts w:hint="eastAsia" w:ascii="微软雅黑" w:hAnsi="微软雅黑" w:cs="微软雅黑"/>
          <w:b/>
          <w:bCs/>
        </w:rPr>
        <w:t xml:space="preserve">五、公告期限</w:t>
      </w:r>
      <w:r>
        <w:rPr>
          <w:rFonts w:ascii="微软雅黑" w:hAnsi="微软雅黑" w:cs="微软雅黑"/>
          <w:b/>
          <w:bCs/>
        </w:rPr>
      </w:r>
      <w:r/>
    </w:p>
    <w:p>
      <w:pPr>
        <w:pStyle w:val="1063"/>
        <w:ind w:firstLine="420"/>
        <w:spacing w:line="420" w:lineRule="exact"/>
        <w:rPr>
          <w:rFonts w:ascii="微软雅黑" w:hAnsi="微软雅黑" w:cs="微软雅黑"/>
          <w:b/>
          <w:bCs/>
        </w:rPr>
      </w:pPr>
      <w:r>
        <w:rPr>
          <w:rFonts w:hint="eastAsia" w:ascii="微软雅黑" w:hAnsi="微软雅黑" w:cs="微软雅黑"/>
          <w:b/>
          <w:bCs/>
        </w:rPr>
        <w:t xml:space="preserve">自本公告发布之日起5个工作日。</w:t>
      </w:r>
      <w:r>
        <w:rPr>
          <w:rFonts w:ascii="微软雅黑" w:hAnsi="微软雅黑" w:cs="微软雅黑"/>
          <w:b/>
          <w:bCs/>
        </w:rPr>
      </w:r>
      <w:r/>
    </w:p>
    <w:p>
      <w:pPr>
        <w:pStyle w:val="1063"/>
        <w:numPr>
          <w:ilvl w:val="0"/>
          <w:numId w:val="5"/>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rPr>
          <w:rFonts w:ascii="微软雅黑" w:hAnsi="微软雅黑" w:cs="微软雅黑"/>
          <w:b/>
          <w:bCs/>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1.评标方法和标准：采用综合评分法。</w:t>
      </w:r>
      <w:r>
        <w:rPr>
          <w:rFonts w:ascii="微软雅黑" w:hAnsi="微软雅黑" w:cs="微软雅黑"/>
          <w:szCs w:val="21"/>
        </w:rPr>
      </w:r>
      <w:r/>
    </w:p>
    <w:p>
      <w:pPr>
        <w:pStyle w:val="1063"/>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2.此采购公告在江苏政府采购网（www.ccgp-jiangsu.gov.cn）发布。</w:t>
      </w:r>
      <w:r>
        <w:rPr>
          <w:rFonts w:ascii="微软雅黑" w:hAnsi="微软雅黑" w:cs="微软雅黑"/>
          <w:color w:val="000000"/>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ascii="微软雅黑" w:hAnsi="微软雅黑" w:cs="微软雅黑"/>
          <w:szCs w:val="21"/>
        </w:rPr>
      </w:r>
      <w:r/>
    </w:p>
    <w:p>
      <w:pPr>
        <w:pStyle w:val="1063"/>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rPr>
          <w:rFonts w:ascii="微软雅黑" w:hAnsi="微软雅黑" w:cs="微软雅黑"/>
          <w:szCs w:val="21"/>
        </w:rPr>
      </w:r>
      <w:r/>
    </w:p>
    <w:p>
      <w:pPr>
        <w:pStyle w:val="1063"/>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微软雅黑" w:hAnsi="微软雅黑" w:cs="微软雅黑"/>
          <w:szCs w:val="21"/>
        </w:rPr>
      </w:r>
      <w:r/>
    </w:p>
    <w:p>
      <w:pPr>
        <w:pStyle w:val="1063"/>
        <w:rPr>
          <w:rFonts w:hint="eastAsia" w:ascii="微软雅黑" w:hAnsi="微软雅黑" w:cs="微软雅黑"/>
          <w:b/>
          <w:bCs/>
        </w:rPr>
      </w:pPr>
      <w:r>
        <w:rPr>
          <w:rFonts w:hint="eastAsia"/>
        </w:rPr>
        <w:t xml:space="preserve">“苏采云”南京地区客服热线025-83633744、025-83633743。</w:t>
      </w:r>
      <w:bookmarkEnd w:id="17"/>
      <w:r/>
      <w:bookmarkEnd w:id="18"/>
      <w:r/>
      <w:bookmarkEnd w:id="19"/>
      <w:r/>
      <w:bookmarkEnd w:id="20"/>
      <w:r/>
      <w:bookmarkEnd w:id="21"/>
      <w:r/>
      <w:bookmarkStart w:id="23" w:name="_Toc19317"/>
      <w:r/>
      <w:bookmarkStart w:id="24" w:name="_Toc35393796"/>
      <w:r/>
      <w:bookmarkStart w:id="25" w:name="_Toc28359085"/>
      <w:r/>
      <w:bookmarkStart w:id="26" w:name="_Toc35393627"/>
      <w:r/>
      <w:bookmarkStart w:id="27" w:name="_Toc28359008"/>
      <w:r>
        <w:rPr>
          <w:rFonts w:hint="eastAsia" w:ascii="微软雅黑" w:hAnsi="微软雅黑" w:cs="微软雅黑"/>
          <w:b/>
          <w:bCs/>
        </w:rPr>
      </w:r>
      <w:r/>
    </w:p>
    <w:p>
      <w:pPr>
        <w:pStyle w:val="1063"/>
        <w:rPr>
          <w:rFonts w:hint="eastAsia" w:ascii="微软雅黑" w:hAnsi="微软雅黑" w:cs="微软雅黑"/>
          <w:b/>
          <w:bCs/>
        </w:rPr>
      </w:pPr>
      <w:r>
        <w:rPr>
          <w:rFonts w:hint="eastAsia" w:ascii="微软雅黑" w:hAnsi="微软雅黑" w:cs="微软雅黑"/>
          <w:b/>
          <w:bCs/>
        </w:rPr>
        <w:t xml:space="preserve">七、对本次招标提出询问，请按以下方式联系。</w:t>
      </w:r>
      <w:bookmarkEnd w:id="23"/>
      <w:r/>
      <w:bookmarkEnd w:id="24"/>
      <w:r/>
      <w:bookmarkEnd w:id="25"/>
      <w:r/>
      <w:bookmarkEnd w:id="26"/>
      <w:r/>
      <w:bookmarkEnd w:id="27"/>
      <w:r>
        <w:rPr>
          <w:rFonts w:hint="eastAsia" w:ascii="微软雅黑" w:hAnsi="微软雅黑" w:cs="微软雅黑"/>
          <w:b/>
          <w:bCs/>
        </w:rPr>
      </w:r>
      <w:r/>
    </w:p>
    <w:p>
      <w:pPr>
        <w:pStyle w:val="1063"/>
        <w:ind w:firstLine="420"/>
        <w:spacing w:line="420" w:lineRule="exact"/>
        <w:rPr>
          <w:rFonts w:ascii="微软雅黑" w:hAnsi="微软雅黑" w:cs="微软雅黑"/>
          <w:bCs/>
          <w:szCs w:val="21"/>
        </w:rPr>
      </w:pPr>
      <w:r/>
      <w:bookmarkStart w:id="28" w:name="_Toc35393637"/>
      <w:r/>
      <w:bookmarkStart w:id="29" w:name="_Toc35393806"/>
      <w:r/>
      <w:bookmarkStart w:id="30" w:name="_Toc28359096"/>
      <w:r/>
      <w:bookmarkStart w:id="31" w:name="_Toc28359019"/>
      <w:r>
        <w:rPr>
          <w:rFonts w:hint="eastAsia" w:ascii="微软雅黑" w:hAnsi="微软雅黑" w:cs="微软雅黑"/>
          <w:bCs/>
          <w:szCs w:val="21"/>
        </w:rPr>
        <w:t xml:space="preserve">1.采购人信息</w:t>
      </w:r>
      <w:bookmarkEnd w:id="28"/>
      <w:r/>
      <w:bookmarkEnd w:id="29"/>
      <w:r/>
      <w:bookmarkEnd w:id="30"/>
      <w:r/>
      <w:bookmarkEnd w:id="31"/>
      <w:r>
        <w:rPr>
          <w:rFonts w:hint="eastAsia" w:ascii="微软雅黑" w:hAnsi="微软雅黑" w:cs="微软雅黑"/>
          <w:bCs/>
          <w:szCs w:val="21"/>
        </w:rPr>
        <w:t xml:space="preserve">           </w:t>
      </w:r>
      <w:r>
        <w:rPr>
          <w:rFonts w:ascii="微软雅黑" w:hAnsi="微软雅黑" w:cs="微软雅黑"/>
          <w:bCs/>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名 称：南京林业大学</w:t>
      </w:r>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2" w:name="_Toc28359086"/>
      <w:r/>
      <w:bookmarkStart w:id="33" w:name="_Toc28359009"/>
      <w:r>
        <w:rPr>
          <w:rFonts w:hint="eastAsia" w:ascii="微软雅黑" w:hAnsi="微软雅黑" w:eastAsia="微软雅黑" w:cs="微软雅黑"/>
          <w:sz w:val="21"/>
          <w:szCs w:val="21"/>
        </w:rPr>
        <w:t xml:space="preserve">025-85428503</w:t>
      </w:r>
      <w:r>
        <w:rPr>
          <w:rFonts w:hint="eastAsia" w:ascii="微软雅黑" w:hAnsi="微软雅黑" w:eastAsia="微软雅黑" w:cs="微软雅黑"/>
          <w:sz w:val="21"/>
          <w:szCs w:val="21"/>
        </w:rPr>
      </w:r>
      <w:r/>
    </w:p>
    <w:p>
      <w:pPr>
        <w:pStyle w:val="1114"/>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 采购代理机构信息</w:t>
      </w:r>
      <w:bookmarkEnd w:id="32"/>
      <w:r/>
      <w:bookmarkEnd w:id="33"/>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名 称：江苏省华采招标有限公司</w:t>
      </w:r>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4" w:name="_Toc28359010"/>
      <w:r/>
      <w:bookmarkStart w:id="35" w:name="_Toc28359087"/>
      <w:r>
        <w:rPr>
          <w:rFonts w:hint="eastAsia" w:ascii="微软雅黑" w:hAnsi="微软雅黑" w:eastAsia="微软雅黑" w:cs="微软雅黑"/>
          <w:sz w:val="21"/>
          <w:szCs w:val="21"/>
        </w:rPr>
        <w:t xml:space="preserve">025-83609953</w:t>
      </w:r>
      <w:r>
        <w:rPr>
          <w:rFonts w:ascii="微软雅黑" w:hAnsi="微软雅黑" w:eastAsia="微软雅黑" w:cs="微软雅黑"/>
          <w:sz w:val="21"/>
          <w:szCs w:val="21"/>
        </w:rPr>
      </w:r>
      <w:r/>
    </w:p>
    <w:p>
      <w:pPr>
        <w:pStyle w:val="1114"/>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 项目联系方式</w:t>
      </w:r>
      <w:bookmarkEnd w:id="34"/>
      <w:r/>
      <w:bookmarkEnd w:id="35"/>
      <w:r>
        <w:rPr>
          <w:rFonts w:hint="eastAsia" w:ascii="微软雅黑" w:hAnsi="微软雅黑" w:eastAsia="微软雅黑" w:cs="微软雅黑"/>
          <w:sz w:val="21"/>
          <w:szCs w:val="21"/>
        </w:rPr>
      </w:r>
      <w:r/>
    </w:p>
    <w:p>
      <w:pPr>
        <w:pStyle w:val="1114"/>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项目联系人：马倩、刘洁</w:t>
      </w:r>
      <w:r>
        <w:rPr>
          <w:rFonts w:ascii="微软雅黑" w:hAnsi="微软雅黑" w:eastAsia="微软雅黑" w:cs="微软雅黑"/>
          <w:sz w:val="21"/>
          <w:szCs w:val="21"/>
        </w:rPr>
      </w:r>
      <w:r/>
    </w:p>
    <w:p>
      <w:pPr>
        <w:pStyle w:val="1063"/>
        <w:ind w:firstLine="630"/>
        <w:spacing w:line="420" w:lineRule="exact"/>
        <w:rPr>
          <w:rFonts w:ascii="微软雅黑" w:hAnsi="微软雅黑" w:cs="微软雅黑"/>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话：025-83603368</w:t>
      </w:r>
      <w:r>
        <w:rPr>
          <w:rFonts w:ascii="微软雅黑" w:hAnsi="微软雅黑" w:cs="微软雅黑"/>
        </w:rPr>
      </w:r>
      <w:r/>
    </w:p>
    <w:p>
      <w:pPr>
        <w:pStyle w:val="1064"/>
        <w:rPr>
          <w:rFonts w:hint="eastAsia" w:ascii="微软雅黑" w:hAnsi="微软雅黑" w:cs="微软雅黑"/>
        </w:rPr>
      </w:pPr>
      <w:r/>
      <w:bookmarkStart w:id="36" w:name="_Toc18022"/>
      <w:r/>
      <w:bookmarkStart w:id="37" w:name="_Toc13239"/>
      <w:r>
        <w:rPr>
          <w:rFonts w:hint="eastAsia" w:ascii="微软雅黑" w:hAnsi="微软雅黑" w:cs="微软雅黑"/>
          <w:szCs w:val="32"/>
        </w:rPr>
        <w:t xml:space="preserve">第二章 </w:t>
      </w:r>
      <w:r>
        <w:rPr>
          <w:rFonts w:hint="eastAsia" w:ascii="微软雅黑" w:hAnsi="微软雅黑" w:cs="微软雅黑"/>
        </w:rPr>
        <w:t xml:space="preserve">供应商须知</w:t>
      </w:r>
      <w:bookmarkEnd w:id="2"/>
      <w:r/>
      <w:bookmarkEnd w:id="5"/>
      <w:r/>
      <w:bookmarkEnd w:id="36"/>
      <w:r/>
      <w:bookmarkEnd w:id="37"/>
      <w:r>
        <w:rPr>
          <w:rFonts w:hint="eastAsia" w:ascii="微软雅黑" w:hAnsi="微软雅黑" w:cs="微软雅黑"/>
        </w:rPr>
      </w:r>
      <w:r/>
    </w:p>
    <w:p>
      <w:pPr>
        <w:pStyle w:val="1063"/>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63"/>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117" w:type="dxa"/>
            <w:vAlign w:val="center"/>
            <w:textDirection w:val="lrTb"/>
            <w:noWrap w:val="false"/>
          </w:tcPr>
          <w:p>
            <w:pPr>
              <w:pStyle w:val="1063"/>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南京林业大学淮安校区医务室托管项目</w:t>
            </w:r>
            <w:r>
              <w:rPr>
                <w:rFonts w:hint="eastAsia" w:ascii="微软雅黑" w:hAnsi="微软雅黑" w:cs="微软雅黑"/>
                <w:szCs w:val="21"/>
              </w:rPr>
            </w:r>
            <w:r/>
          </w:p>
        </w:tc>
      </w:tr>
      <w:tr>
        <w:trPr>
          <w:trHeight w:val="521"/>
        </w:trPr>
        <w:tc>
          <w:tcPr>
            <w:tcW w:w="650"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项目编号：JSZC-320000-JSHC-G2026-0023</w:t>
            </w:r>
            <w:r>
              <w:rPr>
                <w:rFonts w:hint="eastAsia" w:ascii="微软雅黑" w:hAnsi="微软雅黑" w:cs="微软雅黑"/>
                <w:szCs w:val="21"/>
              </w:rPr>
            </w:r>
            <w:r/>
          </w:p>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代理机构内部编号：JSHC-2026040262B5</w:t>
            </w:r>
            <w:r>
              <w:rPr>
                <w:rFonts w:hint="eastAsia" w:ascii="微软雅黑" w:hAnsi="微软雅黑" w:cs="微软雅黑"/>
                <w:szCs w:val="21"/>
              </w:rPr>
            </w:r>
            <w:r/>
          </w:p>
        </w:tc>
      </w:tr>
      <w:tr>
        <w:trPr>
          <w:trHeight w:val="546"/>
        </w:trPr>
        <w:tc>
          <w:tcPr>
            <w:tcW w:w="650"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9"/>
        </w:trPr>
        <w:tc>
          <w:tcPr>
            <w:tcW w:w="650" w:type="dxa"/>
            <w:vAlign w:val="center"/>
            <w:textDirection w:val="lrTb"/>
            <w:noWrap w:val="false"/>
          </w:tcPr>
          <w:p>
            <w:pPr>
              <w:pStyle w:val="1063"/>
              <w:jc w:val="center"/>
              <w:spacing w:line="440" w:lineRule="exact"/>
              <w:rPr>
                <w:rFonts w:hint="eastAsia" w:ascii="微软雅黑" w:hAnsi="微软雅黑" w:cs="微软雅黑"/>
                <w:szCs w:val="21"/>
              </w:rPr>
            </w:pPr>
            <w:r>
              <w:rPr>
                <w:rFonts w:ascii="微软雅黑" w:hAnsi="微软雅黑" w:cs="微软雅黑"/>
                <w:szCs w:val="21"/>
              </w:rPr>
              <w:t xml:space="preserve">4</w:t>
            </w:r>
            <w:r>
              <w:rPr>
                <w:rFonts w:hint="eastAsia"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预算金额</w:t>
            </w:r>
            <w:r>
              <w:rPr>
                <w:rFonts w:hint="eastAsia" w:ascii="微软雅黑" w:hAnsi="微软雅黑" w:cs="微软雅黑"/>
                <w:color w:val="000000"/>
                <w:szCs w:val="21"/>
              </w:rPr>
            </w:r>
            <w:r/>
          </w:p>
        </w:tc>
        <w:tc>
          <w:tcPr>
            <w:tcW w:w="6117"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￥170.202万元整/3年</w:t>
            </w:r>
            <w:r>
              <w:rPr>
                <w:rFonts w:hint="eastAsia" w:ascii="微软雅黑" w:hAnsi="微软雅黑" w:cs="微软雅黑"/>
                <w:color w:val="000000"/>
                <w:szCs w:val="21"/>
              </w:rPr>
            </w:r>
            <w:r/>
          </w:p>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托管服务费25万元/年，新生体检费用（最高不超过86元/人）新生体检费用按照实际发生数量收取费用，投标总报价不得超过</w:t>
            </w:r>
            <w:r>
              <w:rPr>
                <w:rFonts w:hint="eastAsia" w:ascii="微软雅黑" w:hAnsi="微软雅黑" w:cs="微软雅黑"/>
                <w:color w:val="000000"/>
                <w:szCs w:val="21"/>
                <w:lang w:eastAsia="zh-CN"/>
              </w:rPr>
              <w:t xml:space="preserve">56.7340万元</w:t>
            </w: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ascii="微软雅黑" w:hAnsi="微软雅黑" w:cs="微软雅黑"/>
                <w:szCs w:val="21"/>
              </w:rPr>
              <w:t xml:space="preserve">5</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最高限价</w:t>
            </w:r>
            <w:r>
              <w:rPr>
                <w:rFonts w:hint="eastAsia" w:ascii="微软雅黑" w:hAnsi="微软雅黑" w:cs="微软雅黑"/>
                <w:color w:val="000000"/>
                <w:szCs w:val="21"/>
              </w:rPr>
            </w:r>
            <w:r/>
          </w:p>
        </w:tc>
        <w:tc>
          <w:tcPr>
            <w:tcW w:w="6117"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￥170.202万元整/3年</w:t>
            </w:r>
            <w:r>
              <w:rPr>
                <w:rFonts w:hint="eastAsia" w:ascii="微软雅黑" w:hAnsi="微软雅黑" w:cs="微软雅黑"/>
                <w:color w:val="000000"/>
                <w:szCs w:val="21"/>
              </w:rPr>
            </w:r>
            <w:r/>
          </w:p>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托管服务费25万元/年，新生体检费用（最高不超过86元/人）新生体检费用按照实际发生数量收取费用，投标总报价不得超过</w:t>
            </w:r>
            <w:r>
              <w:rPr>
                <w:rFonts w:hint="eastAsia" w:ascii="微软雅黑" w:hAnsi="微软雅黑" w:cs="微软雅黑"/>
                <w:color w:val="000000"/>
                <w:szCs w:val="21"/>
                <w:lang w:eastAsia="zh-CN"/>
              </w:rPr>
              <w:t xml:space="preserve">56.7340万元</w:t>
            </w: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tc>
      </w:tr>
      <w:tr>
        <w:trPr>
          <w:trHeight w:val="533"/>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ascii="微软雅黑" w:hAnsi="微软雅黑" w:cs="微软雅黑"/>
                <w:szCs w:val="21"/>
              </w:rPr>
              <w:t xml:space="preserve">6</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rHeight w:val="1269"/>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ascii="微软雅黑" w:hAnsi="微软雅黑" w:cs="微软雅黑"/>
                <w:szCs w:val="21"/>
              </w:rPr>
              <w:t xml:space="preserve">7</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单位名称：南京林业大学</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联系人：陆老师</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联系电话：025-85428503</w:t>
            </w:r>
            <w:r>
              <w:rPr>
                <w:rFonts w:hint="eastAsia" w:ascii="微软雅黑" w:hAnsi="微软雅黑" w:cs="微软雅黑"/>
                <w:szCs w:val="21"/>
              </w:rPr>
            </w:r>
            <w:r/>
          </w:p>
        </w:tc>
      </w:tr>
      <w:tr>
        <w:trPr>
          <w:trHeight w:val="1303"/>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ascii="微软雅黑" w:hAnsi="微软雅黑" w:cs="微软雅黑"/>
                <w:szCs w:val="21"/>
              </w:rPr>
              <w:t xml:space="preserve">8</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项目负责人：马倩、刘洁</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907"/>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ascii="微软雅黑" w:hAnsi="微软雅黑" w:cs="微软雅黑"/>
                <w:szCs w:val="21"/>
              </w:rPr>
              <w:t xml:space="preserve">9</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11</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rPr>
            </w:pPr>
            <w:r>
              <w:rPr>
                <w:rFonts w:hint="eastAsia"/>
              </w:rPr>
              <w:t xml:space="preserve">无</w:t>
            </w:r>
            <w:r>
              <w:rPr>
                <w:rFonts w:hint="eastAsia"/>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12</w:t>
            </w:r>
            <w:r>
              <w:rPr>
                <w:rFonts w:ascii="微软雅黑" w:hAnsi="微软雅黑" w:cs="微软雅黑"/>
                <w:szCs w:val="21"/>
              </w:rPr>
            </w:r>
            <w:r/>
          </w:p>
        </w:tc>
        <w:tc>
          <w:tcPr>
            <w:tcW w:w="1755" w:type="dxa"/>
            <w:vAlign w:val="center"/>
            <w:textDirection w:val="lrTb"/>
            <w:noWrap w:val="false"/>
          </w:tcPr>
          <w:p>
            <w:pPr>
              <w:pStyle w:val="1063"/>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117"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13</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投标文件数量</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rPr>
            </w:pPr>
            <w:r>
              <w:rPr>
                <w:rFonts w:hint="eastAsia" w:ascii="微软雅黑" w:hAnsi="微软雅黑" w:cs="微软雅黑"/>
                <w:szCs w:val="21"/>
              </w:rPr>
              <w:t xml:space="preserve">电子投标文件上传“苏采云”政府采购交易系统。</w:t>
            </w:r>
            <w:r>
              <w:rPr>
                <w:rFonts w:hint="eastAsia"/>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14</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开标注意事项</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rPr>
                <w:rFonts w:hint="eastAsia" w:ascii="微软雅黑" w:hAnsi="微软雅黑" w:cs="微软雅黑"/>
                <w:szCs w:val="21"/>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15</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t xml:space="preserve">。</w:t>
            </w:r>
            <w:r>
              <w:rPr>
                <w:rFonts w:ascii="微软雅黑" w:hAnsi="微软雅黑" w:cs="微软雅黑"/>
                <w:szCs w:val="21"/>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16</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rPr>
                <w:rFonts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t xml:space="preserve">。</w:t>
            </w:r>
            <w:r>
              <w:rPr>
                <w:rFonts w:hint="eastAsia" w:ascii="微软雅黑" w:hAnsi="微软雅黑" w:cs="微软雅黑"/>
                <w:szCs w:val="21"/>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17</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99"/>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18</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投标报价包括采购文件所规定的采购范围的全部内容。包括但不仅限于全部服务的价格及相关税费、售后服务等其他有关的所有费用。</w:t>
            </w:r>
            <w:r>
              <w:rPr>
                <w:rFonts w:hint="eastAsia" w:ascii="微软雅黑" w:hAnsi="微软雅黑" w:cs="微软雅黑"/>
                <w:szCs w:val="21"/>
              </w:rPr>
            </w:r>
            <w:r/>
          </w:p>
        </w:tc>
      </w:tr>
      <w:tr>
        <w:trPr>
          <w:trHeight w:val="1287"/>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19</w:t>
            </w:r>
            <w:r>
              <w:rPr>
                <w:rFonts w:ascii="微软雅黑" w:hAnsi="微软雅黑" w:cs="微软雅黑"/>
                <w:szCs w:val="21"/>
              </w:rPr>
            </w:r>
            <w:r/>
          </w:p>
        </w:tc>
        <w:tc>
          <w:tcPr>
            <w:tcW w:w="1755" w:type="dxa"/>
            <w:vAlign w:val="center"/>
            <w:textDirection w:val="lrTb"/>
            <w:noWrap w:val="false"/>
          </w:tcPr>
          <w:p>
            <w:pPr>
              <w:pStyle w:val="1063"/>
              <w:jc w:val="center"/>
              <w:spacing w:line="40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hint="eastAsia" w:ascii="微软雅黑" w:hAnsi="微软雅黑" w:cs="微软雅黑"/>
                <w:szCs w:val="21"/>
              </w:rPr>
            </w:r>
            <w:r/>
          </w:p>
        </w:tc>
        <w:tc>
          <w:tcPr>
            <w:tcW w:w="6117" w:type="dxa"/>
            <w:vAlign w:val="center"/>
            <w:textDirection w:val="lrTb"/>
            <w:noWrap w:val="false"/>
          </w:tcPr>
          <w:p>
            <w:pPr>
              <w:pStyle w:val="1063"/>
              <w:jc w:val="left"/>
              <w:spacing w:line="440" w:lineRule="exact"/>
              <w:rPr>
                <w:rFonts w:hint="eastAsia" w:ascii="微软雅黑" w:hAnsi="微软雅黑" w:cs="微软雅黑"/>
                <w:szCs w:val="21"/>
              </w:rPr>
            </w:pPr>
            <w:r>
              <w:rPr>
                <w:rFonts w:hint="eastAsia" w:ascii="微软雅黑" w:hAnsi="微软雅黑" w:cs="微软雅黑"/>
                <w:szCs w:val="21"/>
              </w:rPr>
              <w:t xml:space="preserve">其他未列明行业。</w:t>
            </w:r>
            <w:r>
              <w:rPr>
                <w:rFonts w:hint="eastAsia" w:ascii="微软雅黑" w:hAnsi="微软雅黑" w:cs="微软雅黑"/>
                <w:szCs w:val="21"/>
              </w:rPr>
            </w:r>
            <w:r/>
          </w:p>
        </w:tc>
      </w:tr>
      <w:tr>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20</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117" w:type="dxa"/>
            <w:vAlign w:val="center"/>
            <w:textDirection w:val="lrTb"/>
            <w:noWrap w:val="false"/>
          </w:tcPr>
          <w:p>
            <w:pPr>
              <w:pStyle w:val="1063"/>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21</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117" w:type="dxa"/>
            <w:vAlign w:val="center"/>
            <w:textDirection w:val="lrTb"/>
            <w:noWrap w:val="false"/>
          </w:tcPr>
          <w:p>
            <w:pPr>
              <w:pStyle w:val="1063"/>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1063"/>
              <w:jc w:val="center"/>
              <w:spacing w:line="440" w:lineRule="exact"/>
              <w:rPr>
                <w:rFonts w:ascii="微软雅黑" w:hAnsi="微软雅黑" w:cs="微软雅黑"/>
                <w:szCs w:val="21"/>
              </w:rPr>
            </w:pPr>
            <w:r>
              <w:rPr>
                <w:rFonts w:hint="eastAsia" w:ascii="微软雅黑" w:hAnsi="微软雅黑" w:cs="微软雅黑"/>
                <w:szCs w:val="21"/>
              </w:rPr>
              <w:t xml:space="preserve">22</w:t>
            </w:r>
            <w:r>
              <w:rPr>
                <w:rFonts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117" w:type="dxa"/>
            <w:vAlign w:val="center"/>
            <w:textDirection w:val="lrTb"/>
            <w:noWrap w:val="false"/>
          </w:tcPr>
          <w:p>
            <w:pPr>
              <w:pStyle w:val="1063"/>
              <w:numPr>
                <w:ilvl w:val="0"/>
                <w:numId w:val="6"/>
              </w:numPr>
              <w:ind w:left="0" w:firstLine="0"/>
              <w:spacing w:line="400" w:lineRule="exact"/>
              <w:rPr>
                <w:rFonts w:hint="eastAsia" w:ascii="微软雅黑" w:hAnsi="微软雅黑" w:cs="微软雅黑"/>
              </w:rPr>
            </w:pPr>
            <w:r>
              <w:rPr>
                <w:rFonts w:hint="eastAsia" w:ascii="微软雅黑" w:hAnsi="微软雅黑" w:cs="微软雅黑"/>
              </w:rPr>
              <w:t xml:space="preserve">本次采购活动招标代理服务费采用差额定率累进计费方式。中标供应商按“国家计委关于印发《招标代理服务收费管理暂行办法》的通知（计价格[2002]1980号）”中规定收费标准的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 </w:t>
            </w:r>
            <w:r>
              <w:rPr>
                <w:rFonts w:hint="eastAsia" w:ascii="微软雅黑" w:hAnsi="微软雅黑" w:cs="微软雅黑"/>
              </w:rPr>
            </w:r>
            <w:r/>
          </w:p>
          <w:p>
            <w:pPr>
              <w:pStyle w:val="1063"/>
              <w:numPr>
                <w:ilvl w:val="0"/>
                <w:numId w:val="6"/>
              </w:numPr>
              <w:spacing w:line="400" w:lineRule="exact"/>
              <w:rPr>
                <w:rFonts w:hint="eastAsia"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rPr>
                <w:rFonts w:hint="eastAsia" w:ascii="微软雅黑" w:hAnsi="微软雅黑" w:cs="微软雅黑"/>
              </w:rPr>
            </w:r>
            <w:r/>
          </w:p>
          <w:p>
            <w:pPr>
              <w:pStyle w:val="1092"/>
              <w:numPr>
                <w:ilvl w:val="0"/>
                <w:numId w:val="6"/>
              </w:numPr>
              <w:spacing w:line="400" w:lineRule="exact"/>
              <w:rPr>
                <w:rFonts w:hint="eastAsia" w:ascii="微软雅黑" w:hAnsi="微软雅黑" w:cs="微软雅黑"/>
              </w:rPr>
            </w:pPr>
            <w:r>
              <w:rPr>
                <w:rFonts w:hint="eastAsia" w:ascii="微软雅黑" w:hAnsi="微软雅黑" w:cs="微软雅黑"/>
              </w:rPr>
              <w:t xml:space="preserve">收款信息：</w:t>
            </w:r>
            <w:r>
              <w:rPr>
                <w:rFonts w:hint="eastAsia" w:ascii="微软雅黑" w:hAnsi="微软雅黑" w:cs="微软雅黑"/>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rPr>
                <w:rFonts w:hint="eastAsia" w:ascii="微软雅黑" w:hAnsi="微软雅黑" w:cs="微软雅黑"/>
                <w:szCs w:val="21"/>
              </w:rPr>
            </w:r>
            <w:r/>
          </w:p>
          <w:p>
            <w:pPr>
              <w:pStyle w:val="1092"/>
              <w:ind w:left="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rPr>
                <w:rFonts w:hint="eastAsia" w:ascii="微软雅黑" w:hAnsi="微软雅黑" w:cs="微软雅黑"/>
                <w:szCs w:val="21"/>
              </w:rPr>
            </w:r>
            <w:r/>
          </w:p>
          <w:p>
            <w:pPr>
              <w:pStyle w:val="1063"/>
            </w:pPr>
            <w:r>
              <w:rPr>
                <w:rFonts w:hint="eastAsia" w:ascii="微软雅黑" w:hAnsi="微软雅黑" w:cs="微软雅黑"/>
                <w:szCs w:val="21"/>
              </w:rPr>
              <w:t xml:space="preserve">备注262B5代理服务费</w:t>
            </w:r>
            <w:r/>
          </w:p>
        </w:tc>
      </w:tr>
      <w:tr>
        <w:trPr>
          <w:trHeight w:val="90"/>
        </w:trPr>
        <w:tc>
          <w:tcPr>
            <w:tcW w:w="650"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23</w:t>
            </w:r>
            <w:r>
              <w:rPr>
                <w:rFonts w:hint="eastAsia" w:ascii="微软雅黑" w:hAnsi="微软雅黑" w:cs="微软雅黑"/>
                <w:szCs w:val="21"/>
              </w:rPr>
            </w:r>
            <w:r/>
          </w:p>
        </w:tc>
        <w:tc>
          <w:tcPr>
            <w:tcW w:w="1755" w:type="dxa"/>
            <w:vAlign w:val="center"/>
            <w:textDirection w:val="lrTb"/>
            <w:noWrap w:val="false"/>
          </w:tcPr>
          <w:p>
            <w:pPr>
              <w:pStyle w:val="1063"/>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117" w:type="dxa"/>
            <w:vAlign w:val="center"/>
            <w:textDirection w:val="lrTb"/>
            <w:noWrap w:val="false"/>
          </w:tcPr>
          <w:p>
            <w:pPr>
              <w:pStyle w:val="1063"/>
              <w:numPr>
                <w:ilvl w:val="0"/>
                <w:numId w:val="7"/>
              </w:numPr>
              <w:spacing w:line="400" w:lineRule="exact"/>
              <w:rPr>
                <w:rFonts w:hint="eastAsia" w:ascii="微软雅黑" w:hAnsi="微软雅黑" w:cs="微软雅黑"/>
              </w:rPr>
            </w:pPr>
            <w:r>
              <w:rPr>
                <w:rFonts w:hint="eastAsia" w:ascii="微软雅黑" w:hAnsi="微软雅黑" w:cs="微软雅黑"/>
              </w:rPr>
              <w:t xml:space="preserve">有关本项目的相关公告敬请关注</w:t>
            </w:r>
            <w:r>
              <w:rPr>
                <w:rFonts w:hint="eastAsia" w:ascii="微软雅黑" w:hAnsi="微软雅黑" w:cs="微软雅黑"/>
                <w:szCs w:val="21"/>
              </w:rPr>
              <w:t xml:space="preserve">江苏省政府采购网</w:t>
            </w:r>
            <w:r>
              <w:rPr>
                <w:rFonts w:hint="eastAsia" w:ascii="微软雅黑" w:hAnsi="微软雅黑" w:cs="微软雅黑"/>
              </w:rPr>
              <w:t xml:space="preserve">，也可以与我公司项目部联系，联系人及电话：马工025-83603368。</w:t>
            </w:r>
            <w:r>
              <w:rPr>
                <w:rFonts w:hint="eastAsia" w:ascii="微软雅黑" w:hAnsi="微软雅黑" w:cs="微软雅黑"/>
              </w:rPr>
            </w:r>
            <w:r/>
          </w:p>
          <w:p>
            <w:pPr>
              <w:pStyle w:val="1092"/>
              <w:numPr>
                <w:ilvl w:val="0"/>
                <w:numId w:val="7"/>
              </w:numPr>
              <w:spacing w:line="400" w:lineRule="exact"/>
              <w:rPr>
                <w:rFonts w:hint="eastAsia"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rPr>
                <w:rFonts w:hint="eastAsia" w:ascii="微软雅黑" w:hAnsi="微软雅黑" w:cs="微软雅黑"/>
              </w:rPr>
            </w:r>
            <w:r/>
          </w:p>
        </w:tc>
      </w:tr>
    </w:tbl>
    <w:p>
      <w:pPr>
        <w:pStyle w:val="1253"/>
        <w:spacing w:after="100"/>
        <w:rPr>
          <w:rFonts w:ascii="微软雅黑" w:hAnsi="微软雅黑" w:cs="微软雅黑"/>
        </w:rPr>
      </w:pPr>
      <w:r/>
      <w:bookmarkStart w:id="38" w:name="_Toc4078"/>
      <w:r/>
      <w:bookmarkStart w:id="39" w:name="_Toc452384170"/>
      <w:r>
        <w:rPr>
          <w:rFonts w:hint="eastAsia" w:ascii="微软雅黑" w:hAnsi="微软雅黑" w:cs="微软雅黑"/>
        </w:rPr>
        <w:br w:type="page" w:clear="all"/>
      </w:r>
      <w:bookmarkEnd w:id="38"/>
      <w:r/>
      <w:bookmarkEnd w:id="39"/>
      <w:r/>
      <w:bookmarkStart w:id="40" w:name="_Toc9905"/>
      <w:r/>
      <w:bookmarkStart w:id="41" w:name="_Toc16010"/>
      <w:r/>
      <w:bookmarkStart w:id="42" w:name="_Toc1225"/>
      <w:r>
        <w:rPr>
          <w:rFonts w:hint="eastAsia" w:ascii="微软雅黑" w:hAnsi="微软雅黑" w:cs="微软雅黑"/>
        </w:rPr>
        <w:t xml:space="preserve">一、总则</w:t>
      </w:r>
      <w:bookmarkEnd w:id="40"/>
      <w:r/>
      <w:bookmarkEnd w:id="41"/>
      <w:r/>
      <w:bookmarkEnd w:id="42"/>
      <w:r>
        <w:rPr>
          <w:rFonts w:ascii="微软雅黑" w:hAnsi="微软雅黑" w:cs="微软雅黑"/>
        </w:rPr>
      </w:r>
      <w:r/>
    </w:p>
    <w:p>
      <w:pPr>
        <w:pStyle w:val="1254"/>
        <w:spacing w:line="420" w:lineRule="exact"/>
        <w:rPr>
          <w:rFonts w:ascii="微软雅黑" w:hAnsi="微软雅黑" w:cs="微软雅黑"/>
          <w:bCs w:val="0"/>
          <w:sz w:val="24"/>
          <w:szCs w:val="24"/>
        </w:rPr>
      </w:pPr>
      <w:r/>
      <w:bookmarkStart w:id="43" w:name="_Toc452384171"/>
      <w:r/>
      <w:bookmarkStart w:id="44" w:name="_Toc19382"/>
      <w:r/>
      <w:bookmarkStart w:id="45" w:name="_Toc24353"/>
      <w:r/>
      <w:bookmarkStart w:id="46" w:name="_Toc23928"/>
      <w:r/>
      <w:bookmarkStart w:id="47" w:name="_Toc30960"/>
      <w:r/>
      <w:bookmarkStart w:id="48" w:name="_Toc1202"/>
      <w:r>
        <w:rPr>
          <w:rFonts w:hint="eastAsia" w:ascii="微软雅黑" w:hAnsi="微软雅黑" w:cs="微软雅黑"/>
          <w:bCs w:val="0"/>
          <w:sz w:val="24"/>
          <w:szCs w:val="24"/>
        </w:rPr>
        <w:t xml:space="preserve">1.1适用范围</w:t>
      </w:r>
      <w:bookmarkEnd w:id="43"/>
      <w:r/>
      <w:bookmarkEnd w:id="44"/>
      <w:r/>
      <w:bookmarkEnd w:id="45"/>
      <w:r/>
      <w:bookmarkEnd w:id="46"/>
      <w:r/>
      <w:bookmarkEnd w:id="47"/>
      <w:r/>
      <w:bookmarkEnd w:id="48"/>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u w:val="single"/>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49" w:name="_Toc452384172"/>
      <w:r/>
      <w:bookmarkStart w:id="50" w:name="_Toc21953"/>
      <w:r/>
      <w:bookmarkStart w:id="51" w:name="_Toc14515"/>
      <w:r/>
      <w:bookmarkStart w:id="52" w:name="_Toc26931"/>
      <w:r/>
      <w:bookmarkStart w:id="53" w:name="_Toc17779"/>
      <w:r/>
      <w:bookmarkStart w:id="54" w:name="_Toc1909"/>
      <w:r>
        <w:rPr>
          <w:rFonts w:hint="eastAsia" w:ascii="微软雅黑" w:hAnsi="微软雅黑" w:cs="微软雅黑"/>
          <w:bCs w:val="0"/>
          <w:sz w:val="24"/>
          <w:szCs w:val="24"/>
        </w:rPr>
        <w:t xml:space="preserve">1.2合格的</w:t>
      </w:r>
      <w:bookmarkEnd w:id="49"/>
      <w:r>
        <w:rPr>
          <w:rFonts w:hint="eastAsia" w:ascii="微软雅黑" w:hAnsi="微软雅黑" w:cs="微软雅黑"/>
          <w:bCs w:val="0"/>
          <w:sz w:val="24"/>
          <w:szCs w:val="24"/>
        </w:rPr>
        <w:t xml:space="preserve">供应商</w:t>
      </w:r>
      <w:bookmarkEnd w:id="50"/>
      <w:r/>
      <w:bookmarkEnd w:id="51"/>
      <w:r/>
      <w:bookmarkEnd w:id="52"/>
      <w:r/>
      <w:bookmarkEnd w:id="53"/>
      <w:r/>
      <w:bookmarkEnd w:id="54"/>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1.2.4联合体投标</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ascii="微软雅黑" w:hAnsi="微软雅黑" w:cs="微软雅黑"/>
        </w:rPr>
      </w:r>
      <w:r/>
    </w:p>
    <w:p>
      <w:pPr>
        <w:pStyle w:val="1063"/>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rPr>
          <w:rFonts w:ascii="微软雅黑" w:hAnsi="微软雅黑" w:cs="微软雅黑"/>
          <w:b/>
          <w:i/>
          <w:u w:val="single"/>
        </w:rPr>
      </w:r>
      <w:r/>
    </w:p>
    <w:p>
      <w:pPr>
        <w:pStyle w:val="1254"/>
        <w:spacing w:line="420" w:lineRule="exact"/>
        <w:rPr>
          <w:rFonts w:ascii="微软雅黑" w:hAnsi="微软雅黑" w:cs="微软雅黑"/>
          <w:bCs w:val="0"/>
          <w:sz w:val="24"/>
          <w:szCs w:val="24"/>
        </w:rPr>
      </w:pPr>
      <w:r/>
      <w:bookmarkStart w:id="55" w:name="_Toc403671109"/>
      <w:r/>
      <w:bookmarkStart w:id="56" w:name="_Toc20245"/>
      <w:r/>
      <w:bookmarkStart w:id="57" w:name="_Toc15036"/>
      <w:r/>
      <w:bookmarkStart w:id="58" w:name="_Toc8112"/>
      <w:r/>
      <w:bookmarkStart w:id="59" w:name="_Toc28946"/>
      <w:r/>
      <w:bookmarkStart w:id="60" w:name="_Toc452384173"/>
      <w:r/>
      <w:bookmarkStart w:id="61" w:name="_Toc9684"/>
      <w:r>
        <w:rPr>
          <w:rFonts w:hint="eastAsia" w:ascii="微软雅黑" w:hAnsi="微软雅黑" w:cs="微软雅黑"/>
          <w:bCs w:val="0"/>
          <w:sz w:val="24"/>
          <w:szCs w:val="24"/>
        </w:rPr>
        <w:t xml:space="preserve">1.3</w:t>
      </w:r>
      <w:bookmarkEnd w:id="55"/>
      <w:r>
        <w:rPr>
          <w:rFonts w:hint="eastAsia" w:ascii="微软雅黑" w:hAnsi="微软雅黑" w:cs="微软雅黑"/>
          <w:bCs w:val="0"/>
          <w:sz w:val="24"/>
          <w:szCs w:val="24"/>
        </w:rPr>
        <w:t xml:space="preserve">参加采购活动费用</w:t>
      </w:r>
      <w:bookmarkEnd w:id="56"/>
      <w:r/>
      <w:bookmarkEnd w:id="57"/>
      <w:r/>
      <w:bookmarkEnd w:id="58"/>
      <w:r/>
      <w:bookmarkEnd w:id="59"/>
      <w:r/>
      <w:bookmarkEnd w:id="60"/>
      <w:r/>
      <w:bookmarkEnd w:id="61"/>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62" w:name="_Toc28048"/>
      <w:r/>
      <w:bookmarkStart w:id="63" w:name="_Toc22068"/>
      <w:r/>
      <w:bookmarkStart w:id="64" w:name="_Toc452384174"/>
      <w:r/>
      <w:bookmarkStart w:id="65" w:name="_Toc21637"/>
      <w:r/>
      <w:bookmarkStart w:id="66" w:name="_Toc3158"/>
      <w:r/>
      <w:bookmarkStart w:id="67" w:name="_Toc15385"/>
      <w:r>
        <w:rPr>
          <w:rFonts w:hint="eastAsia" w:ascii="微软雅黑" w:hAnsi="微软雅黑" w:cs="微软雅黑"/>
          <w:bCs w:val="0"/>
          <w:sz w:val="24"/>
          <w:szCs w:val="24"/>
        </w:rPr>
        <w:t xml:space="preserve">1.4法律适用</w:t>
      </w:r>
      <w:bookmarkEnd w:id="62"/>
      <w:r/>
      <w:bookmarkEnd w:id="63"/>
      <w:r/>
      <w:bookmarkEnd w:id="64"/>
      <w:r/>
      <w:bookmarkEnd w:id="65"/>
      <w:r/>
      <w:bookmarkEnd w:id="66"/>
      <w:r/>
      <w:bookmarkEnd w:id="67"/>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68" w:name="_Toc8605"/>
      <w:r/>
      <w:bookmarkStart w:id="69" w:name="_Toc2847"/>
      <w:r/>
      <w:bookmarkStart w:id="70" w:name="_Toc452384175"/>
      <w:r/>
      <w:bookmarkStart w:id="71" w:name="_Toc30400"/>
      <w:r/>
      <w:bookmarkStart w:id="72" w:name="_Toc12450"/>
      <w:r/>
      <w:bookmarkStart w:id="73" w:name="_Toc32584"/>
      <w:r>
        <w:rPr>
          <w:rFonts w:hint="eastAsia" w:ascii="微软雅黑" w:hAnsi="微软雅黑" w:cs="微软雅黑"/>
          <w:bCs w:val="0"/>
          <w:sz w:val="24"/>
          <w:szCs w:val="24"/>
        </w:rPr>
        <w:t xml:space="preserve">1.5采购文件的约束力</w:t>
      </w:r>
      <w:bookmarkEnd w:id="68"/>
      <w:r/>
      <w:bookmarkEnd w:id="69"/>
      <w:r/>
      <w:bookmarkEnd w:id="70"/>
      <w:r/>
      <w:bookmarkEnd w:id="71"/>
      <w:r/>
      <w:bookmarkEnd w:id="72"/>
      <w:r/>
      <w:bookmarkEnd w:id="73"/>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rPr>
          <w:rFonts w:ascii="微软雅黑" w:hAnsi="微软雅黑" w:cs="微软雅黑"/>
        </w:rPr>
      </w:r>
      <w:r/>
    </w:p>
    <w:p>
      <w:pPr>
        <w:pStyle w:val="1253"/>
        <w:spacing w:line="420" w:lineRule="exact"/>
        <w:rPr>
          <w:rFonts w:ascii="微软雅黑" w:hAnsi="微软雅黑" w:cs="微软雅黑"/>
        </w:rPr>
      </w:pPr>
      <w:r/>
      <w:bookmarkStart w:id="74" w:name="_Toc452384176"/>
      <w:r/>
      <w:bookmarkStart w:id="75" w:name="_Toc30003"/>
      <w:r/>
      <w:bookmarkStart w:id="76" w:name="_Toc21022"/>
      <w:r/>
      <w:bookmarkStart w:id="77" w:name="_Toc262"/>
      <w:r/>
      <w:bookmarkStart w:id="78" w:name="_Toc9303"/>
      <w:r/>
      <w:bookmarkStart w:id="79" w:name="_Toc9785"/>
      <w:r>
        <w:rPr>
          <w:rFonts w:hint="eastAsia" w:ascii="微软雅黑" w:hAnsi="微软雅黑" w:cs="微软雅黑"/>
        </w:rPr>
        <w:t xml:space="preserve">二、采购文件</w:t>
      </w:r>
      <w:bookmarkEnd w:id="74"/>
      <w:r/>
      <w:bookmarkEnd w:id="75"/>
      <w:r/>
      <w:bookmarkEnd w:id="76"/>
      <w:r/>
      <w:bookmarkEnd w:id="77"/>
      <w:r/>
      <w:bookmarkEnd w:id="78"/>
      <w:r/>
      <w:bookmarkEnd w:id="79"/>
      <w:r>
        <w:rPr>
          <w:rFonts w:ascii="微软雅黑" w:hAnsi="微软雅黑" w:cs="微软雅黑"/>
        </w:rPr>
      </w:r>
      <w:r/>
    </w:p>
    <w:p>
      <w:pPr>
        <w:pStyle w:val="1254"/>
        <w:spacing w:line="420" w:lineRule="exact"/>
        <w:rPr>
          <w:rFonts w:ascii="微软雅黑" w:hAnsi="微软雅黑" w:cs="微软雅黑"/>
          <w:bCs w:val="0"/>
          <w:sz w:val="24"/>
          <w:szCs w:val="24"/>
        </w:rPr>
      </w:pPr>
      <w:r/>
      <w:bookmarkStart w:id="80" w:name="_Toc10645"/>
      <w:r/>
      <w:bookmarkStart w:id="81" w:name="_Toc23555"/>
      <w:r/>
      <w:bookmarkStart w:id="82" w:name="_Toc10694"/>
      <w:r/>
      <w:bookmarkStart w:id="83" w:name="_Toc452384177"/>
      <w:r/>
      <w:bookmarkStart w:id="84" w:name="_Toc8243"/>
      <w:r/>
      <w:bookmarkStart w:id="85" w:name="_Toc18145"/>
      <w:r>
        <w:rPr>
          <w:rFonts w:hint="eastAsia" w:ascii="微软雅黑" w:hAnsi="微软雅黑" w:cs="微软雅黑"/>
          <w:bCs w:val="0"/>
          <w:sz w:val="24"/>
          <w:szCs w:val="24"/>
        </w:rPr>
        <w:t xml:space="preserve">2.1采购文件的组成</w:t>
      </w:r>
      <w:bookmarkEnd w:id="80"/>
      <w:r/>
      <w:bookmarkEnd w:id="81"/>
      <w:r/>
      <w:bookmarkEnd w:id="82"/>
      <w:r/>
      <w:bookmarkEnd w:id="83"/>
      <w:r/>
      <w:bookmarkEnd w:id="84"/>
      <w:r/>
      <w:bookmarkEnd w:id="85"/>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2.1.1采购文件由以下部分组成：</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第二章 供应商须知</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第四章 项目采购需求</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第五章 采购合同</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86" w:name="_Toc10339"/>
      <w:r/>
      <w:bookmarkStart w:id="87" w:name="_Toc24720"/>
      <w:r/>
      <w:bookmarkStart w:id="88" w:name="_Toc23413"/>
      <w:r/>
      <w:bookmarkStart w:id="89" w:name="_Toc452384179"/>
      <w:r/>
      <w:bookmarkStart w:id="90" w:name="_Toc15213"/>
      <w:r/>
      <w:bookmarkStart w:id="91" w:name="_Toc19383"/>
      <w:r>
        <w:rPr>
          <w:rFonts w:hint="eastAsia" w:ascii="微软雅黑" w:hAnsi="微软雅黑" w:cs="微软雅黑"/>
          <w:bCs w:val="0"/>
          <w:sz w:val="24"/>
          <w:szCs w:val="24"/>
        </w:rPr>
        <w:t xml:space="preserve">2.2采购文件的更正或补充</w:t>
      </w:r>
      <w:bookmarkEnd w:id="86"/>
      <w:r/>
      <w:bookmarkEnd w:id="87"/>
      <w:r/>
      <w:bookmarkEnd w:id="88"/>
      <w:r/>
      <w:bookmarkEnd w:id="89"/>
      <w:r/>
      <w:bookmarkEnd w:id="90"/>
      <w:r/>
      <w:bookmarkEnd w:id="91"/>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rPr>
          <w:rFonts w:ascii="微软雅黑" w:hAnsi="微软雅黑" w:cs="微软雅黑"/>
        </w:rPr>
      </w:r>
      <w:r/>
    </w:p>
    <w:p>
      <w:pPr>
        <w:pStyle w:val="1063"/>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rPr>
          <w:rFonts w:ascii="微软雅黑" w:hAnsi="微软雅黑" w:cs="微软雅黑"/>
          <w:b/>
          <w:bCs/>
          <w:i/>
          <w:iCs/>
          <w:szCs w:val="21"/>
          <w:u w:val="single"/>
        </w:rPr>
      </w:r>
      <w:r/>
    </w:p>
    <w:p>
      <w:pPr>
        <w:pStyle w:val="1253"/>
        <w:spacing w:line="420" w:lineRule="exact"/>
        <w:rPr>
          <w:rFonts w:ascii="微软雅黑" w:hAnsi="微软雅黑" w:cs="微软雅黑"/>
        </w:rPr>
      </w:pPr>
      <w:r/>
      <w:bookmarkStart w:id="92" w:name="_Toc27633"/>
      <w:r/>
      <w:bookmarkStart w:id="93" w:name="_Toc452384180"/>
      <w:r/>
      <w:bookmarkStart w:id="94" w:name="_Toc28998"/>
      <w:r/>
      <w:bookmarkStart w:id="95" w:name="_Toc30874"/>
      <w:r/>
      <w:bookmarkStart w:id="96" w:name="_Toc923"/>
      <w:r/>
      <w:bookmarkStart w:id="97" w:name="_Toc16844"/>
      <w:r>
        <w:rPr>
          <w:rFonts w:hint="eastAsia" w:ascii="微软雅黑" w:hAnsi="微软雅黑" w:cs="微软雅黑"/>
        </w:rPr>
        <w:t xml:space="preserve">三、投标文件</w:t>
      </w:r>
      <w:bookmarkEnd w:id="92"/>
      <w:r/>
      <w:bookmarkEnd w:id="93"/>
      <w:r/>
      <w:bookmarkEnd w:id="94"/>
      <w:r/>
      <w:bookmarkEnd w:id="95"/>
      <w:r/>
      <w:bookmarkEnd w:id="96"/>
      <w:r/>
      <w:bookmarkEnd w:id="97"/>
      <w:r>
        <w:rPr>
          <w:rFonts w:ascii="微软雅黑" w:hAnsi="微软雅黑" w:cs="微软雅黑"/>
        </w:rPr>
      </w:r>
      <w:r/>
    </w:p>
    <w:p>
      <w:pPr>
        <w:pStyle w:val="1254"/>
        <w:spacing w:line="420" w:lineRule="exact"/>
        <w:rPr>
          <w:rFonts w:ascii="微软雅黑" w:hAnsi="微软雅黑" w:cs="微软雅黑"/>
          <w:bCs w:val="0"/>
          <w:sz w:val="24"/>
          <w:szCs w:val="24"/>
        </w:rPr>
      </w:pPr>
      <w:r/>
      <w:bookmarkStart w:id="98" w:name="_Toc1214"/>
      <w:r/>
      <w:bookmarkStart w:id="99" w:name="_Toc13316"/>
      <w:r/>
      <w:bookmarkStart w:id="100" w:name="_Toc7846"/>
      <w:r/>
      <w:bookmarkStart w:id="101" w:name="_Toc452384181"/>
      <w:r/>
      <w:bookmarkStart w:id="102" w:name="_Toc19299"/>
      <w:r/>
      <w:bookmarkStart w:id="103" w:name="_Toc12787"/>
      <w:r>
        <w:rPr>
          <w:rFonts w:hint="eastAsia" w:ascii="微软雅黑" w:hAnsi="微软雅黑" w:cs="微软雅黑"/>
          <w:bCs w:val="0"/>
          <w:sz w:val="24"/>
          <w:szCs w:val="24"/>
        </w:rPr>
        <w:t xml:space="preserve">3.1投标文件的语言及度量衡</w:t>
      </w:r>
      <w:bookmarkEnd w:id="98"/>
      <w:r/>
      <w:bookmarkEnd w:id="99"/>
      <w:r/>
      <w:bookmarkEnd w:id="100"/>
      <w:r/>
      <w:bookmarkEnd w:id="101"/>
      <w:r/>
      <w:bookmarkEnd w:id="102"/>
      <w:r/>
      <w:bookmarkEnd w:id="103"/>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104" w:name="_Toc1816"/>
      <w:r/>
      <w:bookmarkStart w:id="105" w:name="_Toc27826"/>
      <w:r/>
      <w:bookmarkStart w:id="106" w:name="_Toc23879"/>
      <w:r/>
      <w:bookmarkStart w:id="107" w:name="_Toc452384182"/>
      <w:r/>
      <w:bookmarkStart w:id="108" w:name="_Toc10749"/>
      <w:r/>
      <w:bookmarkStart w:id="109" w:name="_Toc4903"/>
      <w:r>
        <w:rPr>
          <w:rFonts w:hint="eastAsia" w:ascii="微软雅黑" w:hAnsi="微软雅黑" w:cs="微软雅黑"/>
          <w:bCs w:val="0"/>
          <w:sz w:val="24"/>
          <w:szCs w:val="24"/>
        </w:rPr>
        <w:t xml:space="preserve">3.2投标文件的组成</w:t>
      </w:r>
      <w:bookmarkEnd w:id="104"/>
      <w:r/>
      <w:bookmarkEnd w:id="105"/>
      <w:r/>
      <w:bookmarkEnd w:id="106"/>
      <w:r/>
      <w:bookmarkEnd w:id="107"/>
      <w:r/>
      <w:bookmarkEnd w:id="108"/>
      <w:r/>
      <w:bookmarkEnd w:id="109"/>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（2）供应商资格证明文件。</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rPr>
          <w:rFonts w:ascii="微软雅黑" w:hAnsi="微软雅黑" w:cs="微软雅黑"/>
        </w:rPr>
      </w:r>
      <w:r/>
    </w:p>
    <w:p>
      <w:pPr>
        <w:pStyle w:val="1063"/>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rPr>
          <w:rFonts w:ascii="微软雅黑" w:hAnsi="微软雅黑" w:cs="微软雅黑"/>
          <w:b/>
          <w:i/>
          <w:u w:val="single"/>
        </w:rPr>
      </w:r>
      <w:r/>
    </w:p>
    <w:p>
      <w:pPr>
        <w:pStyle w:val="1254"/>
        <w:spacing w:line="420" w:lineRule="exact"/>
        <w:rPr>
          <w:rFonts w:ascii="微软雅黑" w:hAnsi="微软雅黑" w:cs="微软雅黑"/>
          <w:bCs w:val="0"/>
          <w:sz w:val="24"/>
          <w:szCs w:val="24"/>
        </w:rPr>
      </w:pPr>
      <w:r/>
      <w:bookmarkStart w:id="110" w:name="_Toc18557"/>
      <w:r/>
      <w:bookmarkStart w:id="111" w:name="_Toc11816"/>
      <w:r/>
      <w:bookmarkStart w:id="112" w:name="_Toc21196"/>
      <w:r/>
      <w:bookmarkStart w:id="113" w:name="_Toc452384183"/>
      <w:r/>
      <w:bookmarkStart w:id="114" w:name="_Toc28667"/>
      <w:r/>
      <w:bookmarkStart w:id="115" w:name="_Toc30513"/>
      <w:r>
        <w:rPr>
          <w:rFonts w:hint="eastAsia" w:ascii="微软雅黑" w:hAnsi="微软雅黑" w:cs="微软雅黑"/>
          <w:bCs w:val="0"/>
          <w:sz w:val="24"/>
          <w:szCs w:val="24"/>
        </w:rPr>
        <w:t xml:space="preserve">3.3投标报价</w:t>
      </w:r>
      <w:bookmarkEnd w:id="110"/>
      <w:r/>
      <w:bookmarkEnd w:id="111"/>
      <w:r/>
      <w:bookmarkEnd w:id="112"/>
      <w:r/>
      <w:bookmarkEnd w:id="113"/>
      <w:r/>
      <w:bookmarkEnd w:id="114"/>
      <w:r/>
      <w:bookmarkEnd w:id="115"/>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rPr>
          <w:rFonts w:ascii="微软雅黑" w:hAnsi="微软雅黑" w:cs="微软雅黑"/>
        </w:rPr>
      </w:r>
      <w:r/>
    </w:p>
    <w:p>
      <w:pPr>
        <w:pStyle w:val="1063"/>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rPr>
          <w:rFonts w:ascii="微软雅黑" w:hAnsi="微软雅黑" w:cs="微软雅黑"/>
          <w:b/>
          <w:i/>
          <w:u w:val="single"/>
        </w:rPr>
      </w:r>
      <w:r/>
    </w:p>
    <w:p>
      <w:pPr>
        <w:pStyle w:val="1254"/>
        <w:spacing w:line="420" w:lineRule="exact"/>
        <w:rPr>
          <w:rFonts w:ascii="微软雅黑" w:hAnsi="微软雅黑" w:cs="微软雅黑"/>
          <w:bCs w:val="0"/>
          <w:sz w:val="24"/>
          <w:szCs w:val="24"/>
        </w:rPr>
      </w:pPr>
      <w:r/>
      <w:bookmarkStart w:id="116" w:name="_Toc13132"/>
      <w:r/>
      <w:bookmarkStart w:id="117" w:name="_Toc452384184"/>
      <w:r/>
      <w:bookmarkStart w:id="118" w:name="_Toc9113"/>
      <w:r/>
      <w:bookmarkStart w:id="119" w:name="_Toc1870"/>
      <w:r/>
      <w:bookmarkStart w:id="120" w:name="_Toc17210"/>
      <w:r/>
      <w:bookmarkStart w:id="121" w:name="_Toc30914"/>
      <w:r>
        <w:rPr>
          <w:rFonts w:hint="eastAsia" w:ascii="微软雅黑" w:hAnsi="微软雅黑" w:cs="微软雅黑"/>
          <w:bCs w:val="0"/>
          <w:sz w:val="24"/>
          <w:szCs w:val="24"/>
        </w:rPr>
        <w:t xml:space="preserve">3.4投标报价中的货币</w:t>
      </w:r>
      <w:bookmarkEnd w:id="116"/>
      <w:r/>
      <w:bookmarkEnd w:id="117"/>
      <w:r/>
      <w:bookmarkEnd w:id="118"/>
      <w:r/>
      <w:bookmarkEnd w:id="119"/>
      <w:r/>
      <w:bookmarkEnd w:id="120"/>
      <w:r/>
      <w:bookmarkEnd w:id="121"/>
      <w:r>
        <w:rPr>
          <w:rFonts w:ascii="微软雅黑" w:hAnsi="微软雅黑" w:cs="微软雅黑"/>
          <w:bCs w:val="0"/>
          <w:sz w:val="24"/>
          <w:szCs w:val="24"/>
        </w:rPr>
      </w:r>
      <w:r/>
    </w:p>
    <w:p>
      <w:pPr>
        <w:pStyle w:val="1063"/>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122" w:name="_Toc16380"/>
      <w:r/>
      <w:bookmarkStart w:id="123" w:name="_Toc452384185"/>
      <w:r/>
      <w:bookmarkStart w:id="124" w:name="_Toc18127"/>
      <w:r/>
      <w:bookmarkStart w:id="125" w:name="_Toc65"/>
      <w:r/>
      <w:bookmarkStart w:id="126" w:name="_Toc21656"/>
      <w:r/>
      <w:bookmarkStart w:id="127" w:name="_Toc6130"/>
      <w:r>
        <w:rPr>
          <w:rFonts w:hint="eastAsia" w:ascii="微软雅黑" w:hAnsi="微软雅黑" w:cs="微软雅黑"/>
          <w:bCs w:val="0"/>
          <w:sz w:val="24"/>
          <w:szCs w:val="24"/>
        </w:rPr>
        <w:t xml:space="preserve">3.5投标保证金</w:t>
      </w:r>
      <w:bookmarkEnd w:id="122"/>
      <w:r/>
      <w:bookmarkEnd w:id="123"/>
      <w:r>
        <w:rPr>
          <w:rFonts w:hint="eastAsia" w:ascii="微软雅黑" w:hAnsi="微软雅黑" w:cs="微软雅黑"/>
          <w:bCs w:val="0"/>
          <w:sz w:val="24"/>
          <w:szCs w:val="24"/>
        </w:rPr>
        <w:t xml:space="preserve">：无</w:t>
      </w:r>
      <w:bookmarkEnd w:id="124"/>
      <w:r/>
      <w:bookmarkEnd w:id="125"/>
      <w:r/>
      <w:bookmarkEnd w:id="126"/>
      <w:r/>
      <w:bookmarkEnd w:id="127"/>
      <w:r>
        <w:rPr>
          <w:rFonts w:ascii="微软雅黑" w:hAnsi="微软雅黑" w:cs="微软雅黑"/>
          <w:bCs w:val="0"/>
          <w:sz w:val="24"/>
          <w:szCs w:val="24"/>
        </w:rPr>
      </w:r>
      <w:r/>
    </w:p>
    <w:p>
      <w:pPr>
        <w:pStyle w:val="1254"/>
        <w:spacing w:line="420" w:lineRule="exact"/>
        <w:rPr>
          <w:rFonts w:ascii="微软雅黑" w:hAnsi="微软雅黑" w:cs="微软雅黑"/>
          <w:bCs w:val="0"/>
          <w:sz w:val="24"/>
          <w:szCs w:val="24"/>
        </w:rPr>
      </w:pPr>
      <w:r/>
      <w:bookmarkStart w:id="128" w:name="_Toc27200"/>
      <w:r/>
      <w:bookmarkStart w:id="129" w:name="_Toc452384186"/>
      <w:r/>
      <w:bookmarkStart w:id="130" w:name="_Toc17830"/>
      <w:r/>
      <w:bookmarkStart w:id="131" w:name="_Toc5583"/>
      <w:r/>
      <w:bookmarkStart w:id="132" w:name="_Toc2900"/>
      <w:r/>
      <w:bookmarkStart w:id="133" w:name="_Toc31418"/>
      <w:r>
        <w:rPr>
          <w:rFonts w:hint="eastAsia" w:ascii="微软雅黑" w:hAnsi="微软雅黑" w:cs="微软雅黑"/>
          <w:bCs w:val="0"/>
          <w:sz w:val="24"/>
          <w:szCs w:val="24"/>
        </w:rPr>
        <w:t xml:space="preserve">3.6投标有效期</w:t>
      </w:r>
      <w:bookmarkEnd w:id="128"/>
      <w:r/>
      <w:bookmarkEnd w:id="129"/>
      <w:r/>
      <w:bookmarkEnd w:id="130"/>
      <w:r/>
      <w:bookmarkEnd w:id="131"/>
      <w:r/>
      <w:bookmarkEnd w:id="132"/>
      <w:r/>
      <w:bookmarkEnd w:id="133"/>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134" w:name="_Toc452384187"/>
      <w:r/>
      <w:bookmarkStart w:id="135" w:name="_Toc30675"/>
      <w:r/>
      <w:bookmarkStart w:id="136" w:name="_Toc30335"/>
      <w:r/>
      <w:bookmarkStart w:id="137" w:name="_Toc24918"/>
      <w:r/>
      <w:bookmarkStart w:id="138" w:name="_Toc31362"/>
      <w:r/>
      <w:bookmarkStart w:id="139" w:name="_Toc6105"/>
      <w:r>
        <w:rPr>
          <w:rFonts w:hint="eastAsia" w:ascii="微软雅黑" w:hAnsi="微软雅黑" w:cs="微软雅黑"/>
          <w:bCs w:val="0"/>
          <w:sz w:val="24"/>
          <w:szCs w:val="24"/>
        </w:rPr>
        <w:t xml:space="preserve">3.7投标文件的签署、形式及装订</w:t>
      </w:r>
      <w:bookmarkEnd w:id="134"/>
      <w:r/>
      <w:bookmarkEnd w:id="135"/>
      <w:r/>
      <w:bookmarkEnd w:id="136"/>
      <w:r/>
      <w:bookmarkEnd w:id="137"/>
      <w:r/>
      <w:bookmarkEnd w:id="138"/>
      <w:r/>
      <w:bookmarkEnd w:id="139"/>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rPr>
          <w:rFonts w:ascii="微软雅黑" w:hAnsi="微软雅黑" w:cs="微软雅黑"/>
        </w:rPr>
      </w:r>
      <w:r/>
    </w:p>
    <w:p>
      <w:pPr>
        <w:pStyle w:val="1253"/>
        <w:spacing w:line="420" w:lineRule="exact"/>
        <w:rPr>
          <w:rFonts w:ascii="微软雅黑" w:hAnsi="微软雅黑" w:cs="微软雅黑"/>
        </w:rPr>
      </w:pPr>
      <w:r/>
      <w:bookmarkStart w:id="140" w:name="_Toc30572"/>
      <w:r/>
      <w:bookmarkStart w:id="141" w:name="_Toc28144"/>
      <w:r/>
      <w:bookmarkStart w:id="142" w:name="_Toc452384188"/>
      <w:r/>
      <w:bookmarkStart w:id="143" w:name="_Toc29134"/>
      <w:r/>
      <w:bookmarkStart w:id="144" w:name="_Toc27523"/>
      <w:r/>
      <w:bookmarkStart w:id="145" w:name="_Toc23657"/>
      <w:r>
        <w:rPr>
          <w:rFonts w:hint="eastAsia" w:ascii="微软雅黑" w:hAnsi="微软雅黑" w:cs="微软雅黑"/>
        </w:rPr>
        <w:t xml:space="preserve">四、投标文件的递交</w:t>
      </w:r>
      <w:bookmarkEnd w:id="140"/>
      <w:r/>
      <w:bookmarkEnd w:id="141"/>
      <w:r/>
      <w:bookmarkEnd w:id="142"/>
      <w:r/>
      <w:bookmarkEnd w:id="143"/>
      <w:r/>
      <w:bookmarkEnd w:id="144"/>
      <w:r/>
      <w:bookmarkEnd w:id="145"/>
      <w:r>
        <w:rPr>
          <w:rFonts w:ascii="微软雅黑" w:hAnsi="微软雅黑" w:cs="微软雅黑"/>
        </w:rPr>
      </w:r>
      <w:r/>
    </w:p>
    <w:p>
      <w:pPr>
        <w:pStyle w:val="1063"/>
        <w:jc w:val="left"/>
        <w:spacing w:line="420" w:lineRule="exact"/>
        <w:rPr>
          <w:rFonts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rPr>
          <w:rFonts w:ascii="微软雅黑" w:hAnsi="微软雅黑" w:cs="微软雅黑"/>
          <w:szCs w:val="21"/>
        </w:rPr>
      </w:r>
      <w:r/>
    </w:p>
    <w:p>
      <w:pPr>
        <w:pStyle w:val="1066"/>
        <w:jc w:val="left"/>
        <w:spacing w:before="0" w:after="0" w:line="420" w:lineRule="exact"/>
        <w:rPr>
          <w:rFonts w:ascii="微软雅黑" w:hAnsi="微软雅黑" w:cs="微软雅黑"/>
          <w:b/>
          <w:color w:val="000000"/>
          <w:sz w:val="21"/>
          <w:szCs w:val="21"/>
        </w:rPr>
      </w:pPr>
      <w:r/>
      <w:bookmarkStart w:id="146" w:name="_Toc11977"/>
      <w:r/>
      <w:bookmarkStart w:id="147" w:name="_Toc2168"/>
      <w:r/>
      <w:bookmarkStart w:id="148" w:name="_Toc17953"/>
      <w:r/>
      <w:bookmarkStart w:id="149" w:name="_Toc28750"/>
      <w:r/>
      <w:bookmarkStart w:id="150" w:name="_Toc452384192"/>
      <w:r/>
      <w:bookmarkStart w:id="151" w:name="_Toc11818"/>
      <w:r>
        <w:rPr>
          <w:rFonts w:hint="eastAsia" w:ascii="微软雅黑" w:hAnsi="微软雅黑" w:cs="微软雅黑"/>
          <w:b/>
          <w:color w:val="000000"/>
          <w:sz w:val="21"/>
          <w:szCs w:val="21"/>
        </w:rPr>
        <w:t xml:space="preserve">4.2有下列情形的投标文件将被拒收</w:t>
      </w:r>
      <w:bookmarkEnd w:id="146"/>
      <w:r/>
      <w:bookmarkEnd w:id="147"/>
      <w:r/>
      <w:bookmarkEnd w:id="148"/>
      <w:r/>
      <w:bookmarkEnd w:id="149"/>
      <w:r>
        <w:rPr>
          <w:rFonts w:ascii="微软雅黑" w:hAnsi="微软雅黑" w:cs="微软雅黑"/>
          <w:b/>
          <w:color w:val="000000"/>
          <w:sz w:val="21"/>
          <w:szCs w:val="21"/>
        </w:rPr>
      </w:r>
      <w:r/>
    </w:p>
    <w:p>
      <w:pPr>
        <w:pStyle w:val="1066"/>
        <w:jc w:val="left"/>
        <w:spacing w:before="0" w:after="0" w:line="420" w:lineRule="exact"/>
        <w:rPr>
          <w:rFonts w:ascii="微软雅黑" w:hAnsi="微软雅黑" w:cs="微软雅黑"/>
          <w:b/>
          <w:color w:val="000000"/>
          <w:sz w:val="21"/>
          <w:szCs w:val="21"/>
        </w:rPr>
      </w:pPr>
      <w:r/>
      <w:bookmarkStart w:id="152" w:name="_Toc7486"/>
      <w:r/>
      <w:bookmarkStart w:id="153" w:name="_Toc28387"/>
      <w:r/>
      <w:bookmarkStart w:id="154" w:name="_Toc17503"/>
      <w:r/>
      <w:bookmarkStart w:id="155" w:name="_Toc13038"/>
      <w:r>
        <w:rPr>
          <w:rFonts w:hint="eastAsia" w:ascii="微软雅黑" w:hAnsi="微软雅黑" w:cs="微软雅黑"/>
          <w:b/>
          <w:color w:val="000000"/>
          <w:sz w:val="21"/>
          <w:szCs w:val="21"/>
        </w:rPr>
        <w:t xml:space="preserve">4.2.1投标人未按照《操作手册》规定，在“苏采云”系统规定的时间内对投标文件进行解密的。</w:t>
      </w:r>
      <w:bookmarkEnd w:id="152"/>
      <w:r/>
      <w:bookmarkEnd w:id="153"/>
      <w:r/>
      <w:bookmarkEnd w:id="154"/>
      <w:r/>
      <w:bookmarkEnd w:id="155"/>
      <w:r>
        <w:rPr>
          <w:rFonts w:ascii="微软雅黑" w:hAnsi="微软雅黑" w:cs="微软雅黑"/>
          <w:b/>
          <w:color w:val="000000"/>
          <w:sz w:val="21"/>
          <w:szCs w:val="21"/>
        </w:rPr>
      </w:r>
      <w:r/>
    </w:p>
    <w:p>
      <w:pPr>
        <w:pStyle w:val="1066"/>
        <w:jc w:val="left"/>
        <w:spacing w:before="0" w:after="0" w:line="420" w:lineRule="exact"/>
        <w:rPr>
          <w:rFonts w:ascii="微软雅黑" w:hAnsi="微软雅黑" w:cs="微软雅黑"/>
          <w:b/>
          <w:color w:val="000000"/>
          <w:sz w:val="21"/>
          <w:szCs w:val="21"/>
        </w:rPr>
      </w:pPr>
      <w:r/>
      <w:bookmarkStart w:id="156" w:name="_Toc1919"/>
      <w:r/>
      <w:bookmarkStart w:id="157" w:name="_Toc27804"/>
      <w:r/>
      <w:bookmarkStart w:id="158" w:name="_Toc26452"/>
      <w:r/>
      <w:bookmarkStart w:id="159" w:name="_Toc6760"/>
      <w:r>
        <w:rPr>
          <w:rFonts w:hint="eastAsia" w:ascii="微软雅黑" w:hAnsi="微软雅黑" w:cs="微软雅黑"/>
          <w:b/>
          <w:color w:val="000000"/>
          <w:sz w:val="21"/>
          <w:szCs w:val="21"/>
        </w:rPr>
        <w:t xml:space="preserve">4.2.2投标人应充分考虑网络环境、网络带宽等因素可能对投标产生的影响，如因投标人自身原因造成的电子投标文件解密不成功的，做无效投标处理</w:t>
      </w:r>
      <w:bookmarkEnd w:id="156"/>
      <w:r/>
      <w:bookmarkEnd w:id="157"/>
      <w:r>
        <w:rPr>
          <w:rFonts w:hint="eastAsia" w:ascii="微软雅黑" w:hAnsi="微软雅黑" w:cs="微软雅黑"/>
          <w:b/>
          <w:color w:val="000000"/>
          <w:sz w:val="21"/>
          <w:szCs w:val="21"/>
        </w:rPr>
        <w:t xml:space="preserve">,</w:t>
      </w:r>
      <w:r>
        <w:rPr>
          <w:rFonts w:ascii="微软雅黑" w:hAnsi="微软雅黑" w:cs="微软雅黑"/>
          <w:color w:val="000000"/>
          <w:sz w:val="21"/>
          <w:szCs w:val="21"/>
          <w:shd w:val="clear" w:color="auto" w:fill="ffffff"/>
        </w:rPr>
        <w:t xml:space="preserve">但因系统故障导致投标人无法在</w:t>
      </w:r>
      <w:r>
        <w:rPr>
          <w:rFonts w:hint="eastAsia" w:ascii="微软雅黑" w:hAnsi="微软雅黑" w:cs="微软雅黑"/>
          <w:color w:val="000000"/>
          <w:sz w:val="21"/>
          <w:szCs w:val="21"/>
        </w:rPr>
        <w:t xml:space="preserve">“苏采云”系统规定的时间</w:t>
      </w:r>
      <w:r>
        <w:rPr>
          <w:rFonts w:ascii="微软雅黑" w:hAnsi="微软雅黑" w:cs="微软雅黑"/>
          <w:color w:val="000000"/>
          <w:sz w:val="21"/>
          <w:szCs w:val="21"/>
          <w:shd w:val="clear" w:color="auto" w:fill="ffffff"/>
        </w:rPr>
        <w:t xml:space="preserve">内完成签到或解密的情况除外。</w:t>
      </w:r>
      <w:bookmarkEnd w:id="158"/>
      <w:r/>
      <w:bookmarkEnd w:id="159"/>
      <w:r>
        <w:rPr>
          <w:rFonts w:ascii="微软雅黑" w:hAnsi="微软雅黑" w:cs="微软雅黑"/>
          <w:b/>
          <w:color w:val="000000"/>
          <w:sz w:val="21"/>
          <w:szCs w:val="21"/>
        </w:rPr>
      </w:r>
      <w:r/>
    </w:p>
    <w:p>
      <w:pPr>
        <w:pStyle w:val="1073"/>
        <w:spacing w:line="420" w:lineRule="exact"/>
        <w:rPr>
          <w:rFonts w:ascii="微软雅黑" w:hAnsi="微软雅黑" w:cs="微软雅黑"/>
        </w:rPr>
      </w:pPr>
      <w:r>
        <w:rPr>
          <w:rFonts w:ascii="微软雅黑" w:hAnsi="微软雅黑" w:cs="微软雅黑"/>
        </w:rPr>
      </w:r>
      <w:r/>
    </w:p>
    <w:p>
      <w:pPr>
        <w:pStyle w:val="1066"/>
        <w:jc w:val="left"/>
        <w:spacing w:before="0" w:after="0" w:line="420" w:lineRule="exact"/>
        <w:rPr>
          <w:rFonts w:ascii="微软雅黑" w:hAnsi="微软雅黑" w:cs="微软雅黑"/>
          <w:b/>
          <w:sz w:val="21"/>
          <w:szCs w:val="21"/>
        </w:rPr>
      </w:pPr>
      <w:r/>
      <w:bookmarkStart w:id="160" w:name="_Toc23857"/>
      <w:r/>
      <w:bookmarkStart w:id="161" w:name="_Toc1859"/>
      <w:r/>
      <w:bookmarkStart w:id="162" w:name="_Toc14886"/>
      <w:r/>
      <w:bookmarkStart w:id="163" w:name="_Toc21630"/>
      <w:r/>
      <w:bookmarkStart w:id="164" w:name="_Toc6818"/>
      <w:r/>
      <w:bookmarkStart w:id="165" w:name="_Toc452384190"/>
      <w:r>
        <w:rPr>
          <w:rFonts w:hint="eastAsia" w:ascii="微软雅黑" w:hAnsi="微软雅黑" w:cs="微软雅黑"/>
          <w:b/>
          <w:sz w:val="21"/>
          <w:szCs w:val="21"/>
        </w:rPr>
        <w:t xml:space="preserve">4.3 投标截止时间</w:t>
      </w:r>
      <w:bookmarkEnd w:id="160"/>
      <w:r/>
      <w:bookmarkEnd w:id="161"/>
      <w:r/>
      <w:bookmarkEnd w:id="162"/>
      <w:r/>
      <w:bookmarkEnd w:id="163"/>
      <w:r/>
      <w:bookmarkEnd w:id="164"/>
      <w:r/>
      <w:bookmarkEnd w:id="165"/>
      <w:r>
        <w:rPr>
          <w:rFonts w:ascii="微软雅黑" w:hAnsi="微软雅黑" w:cs="微软雅黑"/>
          <w:b/>
          <w:sz w:val="21"/>
          <w:szCs w:val="21"/>
        </w:rPr>
      </w:r>
      <w:r/>
    </w:p>
    <w:p>
      <w:pPr>
        <w:pStyle w:val="1063"/>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rPr>
          <w:rFonts w:ascii="微软雅黑" w:hAnsi="微软雅黑" w:cs="微软雅黑"/>
          <w:szCs w:val="21"/>
        </w:rPr>
      </w:r>
      <w:r/>
    </w:p>
    <w:p>
      <w:pPr>
        <w:pStyle w:val="1063"/>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rPr>
          <w:rFonts w:ascii="微软雅黑" w:hAnsi="微软雅黑" w:cs="微软雅黑"/>
          <w:szCs w:val="21"/>
        </w:rPr>
      </w:r>
      <w:r/>
    </w:p>
    <w:p>
      <w:pPr>
        <w:pStyle w:val="1066"/>
        <w:jc w:val="left"/>
        <w:spacing w:before="0" w:after="0" w:line="420" w:lineRule="exact"/>
        <w:rPr>
          <w:rFonts w:ascii="微软雅黑" w:hAnsi="微软雅黑" w:cs="微软雅黑"/>
          <w:b/>
          <w:sz w:val="21"/>
          <w:szCs w:val="21"/>
        </w:rPr>
      </w:pPr>
      <w:r/>
      <w:bookmarkStart w:id="166" w:name="_Toc4410"/>
      <w:r/>
      <w:bookmarkStart w:id="167" w:name="_Toc24729"/>
      <w:r/>
      <w:bookmarkStart w:id="168" w:name="_Toc818"/>
      <w:r/>
      <w:bookmarkStart w:id="169" w:name="_Toc2903"/>
      <w:r>
        <w:rPr>
          <w:rFonts w:hint="eastAsia" w:ascii="微软雅黑" w:hAnsi="微软雅黑" w:cs="微软雅黑"/>
          <w:b/>
          <w:sz w:val="21"/>
          <w:szCs w:val="21"/>
        </w:rPr>
        <w:t xml:space="preserve">4.4 投标文件的修改和撤回</w:t>
      </w:r>
      <w:bookmarkEnd w:id="150"/>
      <w:r/>
      <w:bookmarkEnd w:id="151"/>
      <w:r/>
      <w:bookmarkEnd w:id="166"/>
      <w:r/>
      <w:bookmarkEnd w:id="167"/>
      <w:r/>
      <w:bookmarkEnd w:id="168"/>
      <w:r/>
      <w:bookmarkEnd w:id="169"/>
      <w:r>
        <w:rPr>
          <w:rFonts w:ascii="微软雅黑" w:hAnsi="微软雅黑" w:cs="微软雅黑"/>
          <w:b/>
          <w:sz w:val="21"/>
          <w:szCs w:val="21"/>
        </w:rPr>
      </w:r>
      <w:r/>
    </w:p>
    <w:p>
      <w:pPr>
        <w:pStyle w:val="1063"/>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rPr>
          <w:rFonts w:ascii="微软雅黑" w:hAnsi="微软雅黑" w:cs="微软雅黑"/>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rPr>
          <w:rFonts w:ascii="微软雅黑" w:hAnsi="微软雅黑" w:cs="微软雅黑"/>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rPr>
          <w:rFonts w:ascii="微软雅黑" w:hAnsi="微软雅黑" w:cs="微软雅黑"/>
          <w:szCs w:val="21"/>
        </w:rPr>
      </w:r>
      <w:r/>
    </w:p>
    <w:p>
      <w:pPr>
        <w:pStyle w:val="1063"/>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rPr>
          <w:rFonts w:ascii="微软雅黑" w:hAnsi="微软雅黑" w:cs="微软雅黑"/>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rPr>
          <w:rFonts w:ascii="微软雅黑" w:hAnsi="微软雅黑" w:cs="微软雅黑"/>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rPr>
          <w:rFonts w:ascii="微软雅黑" w:hAnsi="微软雅黑" w:cs="微软雅黑"/>
          <w:szCs w:val="21"/>
        </w:rPr>
      </w:r>
      <w:r/>
    </w:p>
    <w:p>
      <w:pPr>
        <w:pStyle w:val="1063"/>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rPr>
          <w:rFonts w:ascii="微软雅黑" w:hAnsi="微软雅黑" w:cs="微软雅黑"/>
          <w:szCs w:val="21"/>
        </w:rPr>
      </w:r>
      <w:r/>
    </w:p>
    <w:p>
      <w:pPr>
        <w:pStyle w:val="1065"/>
        <w:spacing w:before="0" w:after="0"/>
        <w:rPr>
          <w:rFonts w:ascii="微软雅黑" w:hAnsi="微软雅黑" w:cs="微软雅黑"/>
          <w:b/>
          <w:bCs/>
        </w:rPr>
      </w:pPr>
      <w:r/>
      <w:bookmarkStart w:id="170" w:name="_Toc24848"/>
      <w:r/>
      <w:bookmarkStart w:id="171" w:name="_Toc16825"/>
      <w:r/>
      <w:bookmarkStart w:id="172" w:name="_Toc25540"/>
      <w:r/>
      <w:bookmarkStart w:id="173" w:name="_Toc1965"/>
      <w:r>
        <w:rPr>
          <w:rFonts w:hint="eastAsia" w:ascii="微软雅黑" w:hAnsi="微软雅黑" w:cs="微软雅黑"/>
          <w:b/>
          <w:bCs/>
        </w:rPr>
        <w:t xml:space="preserve">五、开标与评标</w:t>
      </w:r>
      <w:bookmarkEnd w:id="170"/>
      <w:r/>
      <w:bookmarkEnd w:id="171"/>
      <w:r/>
      <w:bookmarkEnd w:id="172"/>
      <w:r/>
      <w:bookmarkEnd w:id="173"/>
      <w:r>
        <w:rPr>
          <w:rFonts w:ascii="微软雅黑" w:hAnsi="微软雅黑" w:cs="微软雅黑"/>
          <w:b/>
          <w:bCs/>
        </w:rPr>
      </w:r>
      <w:r/>
    </w:p>
    <w:p>
      <w:pPr>
        <w:pStyle w:val="1066"/>
        <w:jc w:val="left"/>
        <w:spacing w:before="0" w:after="0" w:line="440" w:lineRule="exact"/>
        <w:rPr>
          <w:rFonts w:ascii="微软雅黑" w:hAnsi="微软雅黑" w:cs="微软雅黑"/>
          <w:b/>
          <w:sz w:val="21"/>
          <w:szCs w:val="21"/>
        </w:rPr>
      </w:pPr>
      <w:r/>
      <w:bookmarkStart w:id="174" w:name="_Toc8204"/>
      <w:r/>
      <w:bookmarkStart w:id="175" w:name="_Toc21670"/>
      <w:r/>
      <w:bookmarkStart w:id="176" w:name="_Toc452384194"/>
      <w:r/>
      <w:bookmarkStart w:id="177" w:name="_Toc4421"/>
      <w:r/>
      <w:bookmarkStart w:id="178" w:name="_Toc24212"/>
      <w:r/>
      <w:bookmarkStart w:id="179" w:name="_Toc7072"/>
      <w:r>
        <w:rPr>
          <w:rFonts w:hint="eastAsia" w:ascii="微软雅黑" w:hAnsi="微软雅黑" w:cs="微软雅黑"/>
          <w:b/>
          <w:sz w:val="21"/>
          <w:szCs w:val="21"/>
        </w:rPr>
        <w:t xml:space="preserve">5.1 投标文件启封</w:t>
      </w:r>
      <w:bookmarkEnd w:id="174"/>
      <w:r/>
      <w:bookmarkEnd w:id="175"/>
      <w:r/>
      <w:bookmarkEnd w:id="176"/>
      <w:r/>
      <w:bookmarkEnd w:id="177"/>
      <w:r/>
      <w:bookmarkEnd w:id="178"/>
      <w:r/>
      <w:bookmarkEnd w:id="179"/>
      <w:r>
        <w:rPr>
          <w:rFonts w:ascii="微软雅黑" w:hAnsi="微软雅黑" w:cs="微软雅黑"/>
          <w:b/>
          <w:sz w:val="21"/>
          <w:szCs w:val="21"/>
        </w:rPr>
      </w:r>
      <w:r/>
    </w:p>
    <w:p>
      <w:pPr>
        <w:pStyle w:val="1063"/>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80" w:name="OLE_LINK3"/>
      <w:r>
        <w:rPr>
          <w:rFonts w:hint="eastAsia" w:ascii="微软雅黑" w:hAnsi="微软雅黑" w:cs="微软雅黑"/>
          <w:bCs/>
          <w:szCs w:val="21"/>
        </w:rPr>
        <w:t xml:space="preserve">“苏采云”系统规定的时间内</w:t>
      </w:r>
      <w:bookmarkEnd w:id="180"/>
      <w:r>
        <w:rPr>
          <w:rFonts w:hint="eastAsia" w:ascii="微软雅黑" w:hAnsi="微软雅黑" w:cs="微软雅黑"/>
          <w:bCs/>
          <w:szCs w:val="21"/>
        </w:rPr>
        <w:t xml:space="preserve">对投标文件进行解密。“苏采云”系统公布各投标人名称和投标价格。</w:t>
      </w:r>
      <w:r>
        <w:rPr>
          <w:rFonts w:ascii="微软雅黑" w:hAnsi="微软雅黑" w:cs="微软雅黑"/>
          <w:bCs/>
          <w:szCs w:val="21"/>
        </w:rPr>
      </w:r>
      <w:r/>
    </w:p>
    <w:p>
      <w:pPr>
        <w:pStyle w:val="1063"/>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rPr>
          <w:rFonts w:ascii="微软雅黑" w:hAnsi="微软雅黑" w:cs="微软雅黑"/>
          <w:bCs/>
          <w:szCs w:val="21"/>
        </w:rPr>
      </w:r>
      <w:r/>
    </w:p>
    <w:p>
      <w:pPr>
        <w:pStyle w:val="1063"/>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rPr>
          <w:rFonts w:ascii="微软雅黑" w:hAnsi="微软雅黑" w:cs="微软雅黑"/>
          <w:bCs/>
          <w:szCs w:val="21"/>
        </w:rPr>
      </w:r>
      <w:r/>
    </w:p>
    <w:p>
      <w:pPr>
        <w:pStyle w:val="1063"/>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rPr>
          <w:rFonts w:ascii="微软雅黑" w:hAnsi="微软雅黑" w:cs="微软雅黑"/>
          <w:bCs/>
          <w:szCs w:val="21"/>
        </w:rPr>
      </w:r>
      <w:r/>
    </w:p>
    <w:p>
      <w:pPr>
        <w:pStyle w:val="1066"/>
        <w:jc w:val="left"/>
        <w:spacing w:before="0" w:after="0" w:line="440" w:lineRule="exact"/>
        <w:rPr>
          <w:rFonts w:ascii="微软雅黑" w:hAnsi="微软雅黑" w:cs="微软雅黑"/>
          <w:b/>
          <w:sz w:val="21"/>
          <w:szCs w:val="21"/>
        </w:rPr>
      </w:pPr>
      <w:r/>
      <w:bookmarkStart w:id="181" w:name="_Toc15763"/>
      <w:r/>
      <w:bookmarkStart w:id="182" w:name="_Toc452384195"/>
      <w:r/>
      <w:bookmarkStart w:id="183" w:name="_Toc20067"/>
      <w:r/>
      <w:bookmarkStart w:id="184" w:name="_Toc4107"/>
      <w:r/>
      <w:bookmarkStart w:id="185" w:name="_Toc32095"/>
      <w:r/>
      <w:bookmarkStart w:id="186" w:name="_Toc3406"/>
      <w:r>
        <w:rPr>
          <w:rFonts w:hint="eastAsia" w:ascii="微软雅黑" w:hAnsi="微软雅黑" w:cs="微软雅黑"/>
          <w:b/>
          <w:sz w:val="21"/>
          <w:szCs w:val="21"/>
        </w:rPr>
        <w:t xml:space="preserve">5.2 评标委员会</w:t>
      </w:r>
      <w:bookmarkEnd w:id="181"/>
      <w:r/>
      <w:bookmarkEnd w:id="182"/>
      <w:r/>
      <w:bookmarkEnd w:id="183"/>
      <w:r/>
      <w:bookmarkEnd w:id="184"/>
      <w:r/>
      <w:bookmarkEnd w:id="185"/>
      <w:r/>
      <w:bookmarkEnd w:id="186"/>
      <w:r>
        <w:rPr>
          <w:rFonts w:ascii="微软雅黑" w:hAnsi="微软雅黑" w:cs="微软雅黑"/>
          <w:b/>
          <w:sz w:val="21"/>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rPr>
          <w:rFonts w:ascii="微软雅黑" w:hAnsi="微软雅黑" w:cs="微软雅黑"/>
          <w:szCs w:val="21"/>
        </w:rPr>
      </w:r>
      <w:r/>
    </w:p>
    <w:p>
      <w:pPr>
        <w:pStyle w:val="1066"/>
        <w:jc w:val="left"/>
        <w:spacing w:before="0" w:after="0" w:line="440" w:lineRule="exact"/>
        <w:rPr>
          <w:rFonts w:ascii="微软雅黑" w:hAnsi="微软雅黑" w:cs="微软雅黑"/>
          <w:b/>
          <w:sz w:val="21"/>
          <w:szCs w:val="21"/>
        </w:rPr>
      </w:pPr>
      <w:r/>
      <w:bookmarkStart w:id="187" w:name="_Toc4587"/>
      <w:r/>
      <w:bookmarkStart w:id="188" w:name="_Toc31905"/>
      <w:r/>
      <w:bookmarkStart w:id="189" w:name="_Toc12022"/>
      <w:r/>
      <w:bookmarkStart w:id="190" w:name="_Toc31942"/>
      <w:r/>
      <w:bookmarkStart w:id="191" w:name="_Toc452384196"/>
      <w:r/>
      <w:bookmarkStart w:id="192" w:name="_Toc13666"/>
      <w:r>
        <w:rPr>
          <w:rFonts w:hint="eastAsia" w:ascii="微软雅黑" w:hAnsi="微软雅黑" w:cs="微软雅黑"/>
          <w:b/>
          <w:sz w:val="21"/>
          <w:szCs w:val="21"/>
        </w:rPr>
        <w:t xml:space="preserve">5.3 对投标文件的资格性审查和符合性审查</w:t>
      </w:r>
      <w:bookmarkEnd w:id="187"/>
      <w:r/>
      <w:bookmarkEnd w:id="188"/>
      <w:r/>
      <w:bookmarkEnd w:id="189"/>
      <w:r/>
      <w:bookmarkEnd w:id="190"/>
      <w:r/>
      <w:bookmarkEnd w:id="191"/>
      <w:r/>
      <w:bookmarkEnd w:id="192"/>
      <w:r>
        <w:rPr>
          <w:rFonts w:ascii="微软雅黑" w:hAnsi="微软雅黑" w:cs="微软雅黑"/>
          <w:b/>
          <w:sz w:val="21"/>
          <w:szCs w:val="21"/>
        </w:rPr>
      </w:r>
      <w:r/>
    </w:p>
    <w:p>
      <w:pPr>
        <w:pStyle w:val="1063"/>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rPr>
          <w:rFonts w:ascii="微软雅黑" w:hAnsi="微软雅黑" w:cs="微软雅黑"/>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rPr>
          <w:rFonts w:ascii="微软雅黑" w:hAnsi="微软雅黑" w:cs="微软雅黑"/>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rPr>
          <w:rFonts w:ascii="微软雅黑" w:hAnsi="微软雅黑" w:cs="微软雅黑"/>
          <w:szCs w:val="21"/>
        </w:rPr>
      </w:r>
      <w:r/>
    </w:p>
    <w:p>
      <w:pPr>
        <w:pStyle w:val="1063"/>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rPr>
          <w:rFonts w:ascii="微软雅黑" w:hAnsi="微软雅黑" w:cs="微软雅黑"/>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rPr>
          <w:rFonts w:ascii="微软雅黑" w:hAnsi="微软雅黑" w:cs="微软雅黑"/>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rPr>
          <w:rFonts w:ascii="微软雅黑" w:hAnsi="微软雅黑" w:cs="微软雅黑"/>
          <w:szCs w:val="21"/>
        </w:rPr>
      </w:r>
      <w:r/>
    </w:p>
    <w:p>
      <w:pPr>
        <w:pStyle w:val="1063"/>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rPr>
          <w:rFonts w:ascii="微软雅黑" w:hAnsi="微软雅黑" w:cs="微软雅黑"/>
          <w:szCs w:val="21"/>
        </w:rPr>
      </w:r>
      <w:r/>
    </w:p>
    <w:p>
      <w:pPr>
        <w:pStyle w:val="1063"/>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rPr>
          <w:rFonts w:ascii="微软雅黑" w:hAnsi="微软雅黑" w:cs="微软雅黑"/>
          <w:b/>
          <w:i/>
          <w:u w:val="single"/>
        </w:rPr>
      </w:r>
      <w:r/>
    </w:p>
    <w:p>
      <w:pPr>
        <w:pStyle w:val="1063"/>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rPr>
          <w:rFonts w:ascii="微软雅黑" w:hAnsi="微软雅黑" w:cs="微软雅黑"/>
          <w:b/>
          <w:i/>
          <w:u w:val="single"/>
        </w:rPr>
      </w:r>
      <w:r/>
    </w:p>
    <w:p>
      <w:pPr>
        <w:pStyle w:val="1063"/>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ascii="微软雅黑" w:hAnsi="微软雅黑" w:cs="微软雅黑"/>
        </w:rPr>
      </w:r>
      <w:r/>
    </w:p>
    <w:p>
      <w:pPr>
        <w:pStyle w:val="1063"/>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rPr>
          <w:rFonts w:ascii="微软雅黑" w:hAnsi="微软雅黑" w:cs="微软雅黑"/>
          <w:b/>
          <w:i/>
          <w:u w:val="single"/>
        </w:rPr>
      </w:r>
      <w:r/>
    </w:p>
    <w:p>
      <w:pPr>
        <w:pStyle w:val="1063"/>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193" w:name="_Toc17751"/>
      <w:r/>
      <w:bookmarkStart w:id="194" w:name="_Toc3913"/>
      <w:r/>
      <w:bookmarkStart w:id="195" w:name="_Toc11570"/>
      <w:r/>
      <w:bookmarkStart w:id="196" w:name="_Toc5896"/>
      <w:r/>
      <w:bookmarkStart w:id="197" w:name="_Toc23900"/>
      <w:r/>
      <w:bookmarkStart w:id="198" w:name="_Toc452384197"/>
      <w:r>
        <w:rPr>
          <w:rFonts w:hint="eastAsia" w:ascii="微软雅黑" w:hAnsi="微软雅黑" w:cs="微软雅黑"/>
          <w:bCs w:val="0"/>
          <w:sz w:val="24"/>
          <w:szCs w:val="24"/>
        </w:rPr>
        <w:t xml:space="preserve">5.4投标文件的澄清</w:t>
      </w:r>
      <w:bookmarkEnd w:id="193"/>
      <w:r/>
      <w:bookmarkEnd w:id="194"/>
      <w:r/>
      <w:bookmarkEnd w:id="195"/>
      <w:r/>
      <w:bookmarkEnd w:id="196"/>
      <w:r/>
      <w:bookmarkEnd w:id="197"/>
      <w:r/>
      <w:bookmarkEnd w:id="198"/>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5.4.4并非每个供应商都将被要求澄清。</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199" w:name="_Toc27254"/>
      <w:r/>
      <w:bookmarkStart w:id="200" w:name="_Toc452384198"/>
      <w:r/>
      <w:bookmarkStart w:id="201" w:name="_Toc6372"/>
      <w:r/>
      <w:bookmarkStart w:id="202" w:name="_Toc2242"/>
      <w:r/>
      <w:bookmarkStart w:id="203" w:name="_Toc27862"/>
      <w:r/>
      <w:bookmarkStart w:id="204" w:name="_Toc18659"/>
      <w:r>
        <w:rPr>
          <w:rFonts w:hint="eastAsia" w:ascii="微软雅黑" w:hAnsi="微软雅黑" w:cs="微软雅黑"/>
          <w:bCs w:val="0"/>
          <w:sz w:val="24"/>
          <w:szCs w:val="24"/>
        </w:rPr>
        <w:t xml:space="preserve">5.5评标及中标</w:t>
      </w:r>
      <w:bookmarkEnd w:id="199"/>
      <w:r/>
      <w:bookmarkEnd w:id="200"/>
      <w:r/>
      <w:bookmarkEnd w:id="201"/>
      <w:r/>
      <w:bookmarkEnd w:id="202"/>
      <w:r/>
      <w:bookmarkEnd w:id="203"/>
      <w:r/>
      <w:bookmarkEnd w:id="204"/>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05" w:name="_Toc23860"/>
      <w:r/>
      <w:bookmarkStart w:id="206" w:name="_Toc11345"/>
      <w:r/>
      <w:bookmarkStart w:id="207" w:name="_Toc452384199"/>
      <w:r/>
      <w:bookmarkStart w:id="208" w:name="_Toc28658"/>
      <w:r/>
      <w:bookmarkStart w:id="209" w:name="_Toc25985"/>
      <w:r/>
      <w:bookmarkStart w:id="210" w:name="_Toc26358"/>
      <w:r>
        <w:rPr>
          <w:rFonts w:hint="eastAsia" w:ascii="微软雅黑" w:hAnsi="微软雅黑" w:cs="微软雅黑"/>
          <w:bCs w:val="0"/>
          <w:sz w:val="24"/>
          <w:szCs w:val="24"/>
        </w:rPr>
        <w:t xml:space="preserve">5.6评标过程保密</w:t>
      </w:r>
      <w:bookmarkEnd w:id="205"/>
      <w:r/>
      <w:bookmarkEnd w:id="206"/>
      <w:r/>
      <w:bookmarkEnd w:id="207"/>
      <w:r/>
      <w:bookmarkEnd w:id="208"/>
      <w:r/>
      <w:bookmarkEnd w:id="209"/>
      <w:r/>
      <w:bookmarkEnd w:id="210"/>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11" w:name="_Toc14356"/>
      <w:r/>
      <w:bookmarkStart w:id="212" w:name="_Toc13403"/>
      <w:r/>
      <w:bookmarkStart w:id="213" w:name="_Toc11696"/>
      <w:r/>
      <w:bookmarkStart w:id="214" w:name="_Toc24399"/>
      <w:r/>
      <w:bookmarkStart w:id="215" w:name="_Toc452384200"/>
      <w:r/>
      <w:bookmarkStart w:id="216" w:name="_Toc6161"/>
      <w:r>
        <w:rPr>
          <w:rFonts w:hint="eastAsia" w:ascii="微软雅黑" w:hAnsi="微软雅黑" w:cs="微软雅黑"/>
          <w:bCs w:val="0"/>
          <w:sz w:val="24"/>
          <w:szCs w:val="24"/>
        </w:rPr>
        <w:t xml:space="preserve">5.7投标截止时间结束后参加供应商不足三家情况的处理</w:t>
      </w:r>
      <w:bookmarkEnd w:id="211"/>
      <w:r/>
      <w:bookmarkEnd w:id="212"/>
      <w:r/>
      <w:bookmarkEnd w:id="213"/>
      <w:r/>
      <w:bookmarkEnd w:id="214"/>
      <w:r/>
      <w:bookmarkEnd w:id="215"/>
      <w:r/>
      <w:bookmarkEnd w:id="216"/>
      <w:r>
        <w:rPr>
          <w:rFonts w:ascii="微软雅黑" w:hAnsi="微软雅黑" w:cs="微软雅黑"/>
          <w:bCs w:val="0"/>
          <w:sz w:val="24"/>
          <w:szCs w:val="24"/>
        </w:rPr>
      </w:r>
      <w:r/>
    </w:p>
    <w:p>
      <w:pPr>
        <w:pStyle w:val="1063"/>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17" w:name="_Toc25762"/>
      <w:r/>
      <w:bookmarkStart w:id="218" w:name="_Toc31001"/>
      <w:r/>
      <w:bookmarkStart w:id="219" w:name="_Toc14481"/>
      <w:r/>
      <w:bookmarkStart w:id="220" w:name="_Toc2055"/>
      <w:r/>
      <w:bookmarkStart w:id="221" w:name="_Toc452384201"/>
      <w:r/>
      <w:bookmarkStart w:id="222" w:name="_Toc12833"/>
      <w:r>
        <w:rPr>
          <w:rFonts w:hint="eastAsia" w:ascii="微软雅黑" w:hAnsi="微软雅黑" w:cs="微软雅黑"/>
          <w:bCs w:val="0"/>
          <w:sz w:val="24"/>
          <w:szCs w:val="24"/>
        </w:rPr>
        <w:t xml:space="preserve">5.8废标（终止采购活动）</w:t>
      </w:r>
      <w:bookmarkEnd w:id="217"/>
      <w:r/>
      <w:bookmarkEnd w:id="218"/>
      <w:r/>
      <w:bookmarkEnd w:id="219"/>
      <w:r/>
      <w:bookmarkEnd w:id="220"/>
      <w:r/>
      <w:bookmarkEnd w:id="221"/>
      <w:r/>
      <w:bookmarkEnd w:id="222"/>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5.8.4因重大变故，采购任务取消的。</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23" w:name="_Toc26119"/>
      <w:r/>
      <w:bookmarkStart w:id="224" w:name="_Toc25877"/>
      <w:r/>
      <w:bookmarkStart w:id="225" w:name="_Toc31798"/>
      <w:r/>
      <w:bookmarkStart w:id="226" w:name="_Toc18356"/>
      <w:r>
        <w:rPr>
          <w:rFonts w:hint="eastAsia" w:ascii="微软雅黑" w:hAnsi="微软雅黑" w:cs="微软雅黑"/>
          <w:bCs w:val="0"/>
          <w:sz w:val="24"/>
          <w:szCs w:val="24"/>
        </w:rPr>
        <w:t xml:space="preserve">5.9有下列情形之一的，视为投标供应商串通投标，其投标无效：</w:t>
      </w:r>
      <w:bookmarkEnd w:id="223"/>
      <w:r/>
      <w:bookmarkEnd w:id="224"/>
      <w:r/>
      <w:bookmarkEnd w:id="225"/>
      <w:r/>
      <w:bookmarkEnd w:id="226"/>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ascii="微软雅黑" w:hAnsi="微软雅黑" w:cs="微软雅黑"/>
        </w:rPr>
      </w:r>
      <w:r/>
    </w:p>
    <w:p>
      <w:pPr>
        <w:pStyle w:val="1253"/>
        <w:spacing w:line="420" w:lineRule="exact"/>
        <w:rPr>
          <w:rFonts w:ascii="微软雅黑" w:hAnsi="微软雅黑" w:cs="微软雅黑"/>
        </w:rPr>
      </w:pPr>
      <w:r/>
      <w:bookmarkStart w:id="227" w:name="_Toc15764"/>
      <w:r/>
      <w:bookmarkStart w:id="228" w:name="_Toc23242"/>
      <w:r/>
      <w:bookmarkStart w:id="229" w:name="_Toc452384202"/>
      <w:r/>
      <w:bookmarkStart w:id="230" w:name="_Toc16539"/>
      <w:r/>
      <w:bookmarkStart w:id="231" w:name="_Toc25642"/>
      <w:r/>
      <w:bookmarkStart w:id="232" w:name="_Toc8788"/>
      <w:r>
        <w:rPr>
          <w:rFonts w:hint="eastAsia" w:ascii="微软雅黑" w:hAnsi="微软雅黑" w:cs="微软雅黑"/>
        </w:rPr>
        <w:t xml:space="preserve">六、合同授予及签订</w:t>
      </w:r>
      <w:bookmarkEnd w:id="227"/>
      <w:r/>
      <w:bookmarkEnd w:id="228"/>
      <w:r/>
      <w:bookmarkEnd w:id="229"/>
      <w:r/>
      <w:bookmarkEnd w:id="230"/>
      <w:r/>
      <w:bookmarkEnd w:id="231"/>
      <w:r/>
      <w:bookmarkEnd w:id="232"/>
      <w:r>
        <w:rPr>
          <w:rFonts w:ascii="微软雅黑" w:hAnsi="微软雅黑" w:cs="微软雅黑"/>
        </w:rPr>
      </w:r>
      <w:r/>
    </w:p>
    <w:p>
      <w:pPr>
        <w:pStyle w:val="1254"/>
        <w:spacing w:line="420" w:lineRule="exact"/>
        <w:rPr>
          <w:rFonts w:ascii="微软雅黑" w:hAnsi="微软雅黑" w:cs="微软雅黑"/>
          <w:bCs w:val="0"/>
          <w:sz w:val="24"/>
          <w:szCs w:val="24"/>
        </w:rPr>
      </w:pPr>
      <w:r/>
      <w:bookmarkStart w:id="233" w:name="_Toc452384203"/>
      <w:r/>
      <w:bookmarkStart w:id="234" w:name="_Toc6552"/>
      <w:r/>
      <w:bookmarkStart w:id="235" w:name="_Toc2419"/>
      <w:r/>
      <w:bookmarkStart w:id="236" w:name="_Toc32494"/>
      <w:r/>
      <w:bookmarkStart w:id="237" w:name="_Toc19222"/>
      <w:r/>
      <w:bookmarkStart w:id="238" w:name="_Toc6259"/>
      <w:r>
        <w:rPr>
          <w:rFonts w:hint="eastAsia" w:ascii="微软雅黑" w:hAnsi="微软雅黑" w:cs="微软雅黑"/>
          <w:bCs w:val="0"/>
          <w:sz w:val="24"/>
          <w:szCs w:val="24"/>
        </w:rPr>
        <w:t xml:space="preserve">6.1确定中标、成交供应商</w:t>
      </w:r>
      <w:bookmarkEnd w:id="233"/>
      <w:r/>
      <w:bookmarkEnd w:id="234"/>
      <w:r/>
      <w:bookmarkEnd w:id="235"/>
      <w:r/>
      <w:bookmarkEnd w:id="236"/>
      <w:r/>
      <w:bookmarkEnd w:id="237"/>
      <w:r/>
      <w:bookmarkEnd w:id="238"/>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（6）不符合法律、法规的规定。</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39" w:name="_Toc14192"/>
      <w:r/>
      <w:bookmarkStart w:id="240" w:name="_Toc24458"/>
      <w:r/>
      <w:bookmarkStart w:id="241" w:name="_Toc14115"/>
      <w:r/>
      <w:bookmarkStart w:id="242" w:name="_Toc8761"/>
      <w:r/>
      <w:bookmarkStart w:id="243" w:name="_Toc26991"/>
      <w:r/>
      <w:bookmarkStart w:id="244" w:name="_Toc452384204"/>
      <w:r>
        <w:rPr>
          <w:rFonts w:hint="eastAsia" w:ascii="微软雅黑" w:hAnsi="微软雅黑" w:cs="微软雅黑"/>
          <w:bCs w:val="0"/>
          <w:sz w:val="24"/>
          <w:szCs w:val="24"/>
        </w:rPr>
        <w:t xml:space="preserve">6.2质疑处理</w:t>
      </w:r>
      <w:bookmarkEnd w:id="239"/>
      <w:r/>
      <w:bookmarkEnd w:id="240"/>
      <w:r/>
      <w:bookmarkEnd w:id="241"/>
      <w:r/>
      <w:bookmarkEnd w:id="242"/>
      <w:r/>
      <w:bookmarkEnd w:id="243"/>
      <w:r/>
      <w:bookmarkEnd w:id="244"/>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6.2.4质疑函应当包括下列内容：</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（2）质疑项目的名称、编号；</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（4）事实依据；</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（5）必要的法律依据；</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（6）提出质疑的日期。</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ascii="微软雅黑" w:hAnsi="微软雅黑" w:cs="微软雅黑"/>
        </w:rPr>
      </w:r>
      <w:r/>
    </w:p>
    <w:p>
      <w:pPr>
        <w:pStyle w:val="1063"/>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45" w:name="_Toc29611"/>
      <w:r/>
      <w:bookmarkStart w:id="246" w:name="_Toc12647"/>
      <w:r/>
      <w:bookmarkStart w:id="247" w:name="_Toc1781"/>
      <w:r/>
      <w:bookmarkStart w:id="248" w:name="_Toc29601"/>
      <w:r/>
      <w:bookmarkStart w:id="249" w:name="_Toc4506"/>
      <w:r/>
      <w:bookmarkStart w:id="250" w:name="_Toc452384205"/>
      <w:r>
        <w:rPr>
          <w:rFonts w:hint="eastAsia" w:ascii="微软雅黑" w:hAnsi="微软雅黑" w:cs="微软雅黑"/>
          <w:bCs w:val="0"/>
          <w:sz w:val="24"/>
          <w:szCs w:val="24"/>
        </w:rPr>
        <w:t xml:space="preserve">6.3中标通知书</w:t>
      </w:r>
      <w:bookmarkEnd w:id="245"/>
      <w:r/>
      <w:bookmarkEnd w:id="246"/>
      <w:r/>
      <w:bookmarkEnd w:id="247"/>
      <w:r/>
      <w:bookmarkEnd w:id="248"/>
      <w:r/>
      <w:bookmarkEnd w:id="249"/>
      <w:r/>
      <w:bookmarkEnd w:id="250"/>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6.3.2中标通知书是合同的组成部分。</w:t>
      </w:r>
      <w:r>
        <w:rPr>
          <w:rFonts w:ascii="微软雅黑" w:hAnsi="微软雅黑" w:cs="微软雅黑"/>
        </w:rPr>
      </w:r>
      <w:r/>
    </w:p>
    <w:p>
      <w:pPr>
        <w:pStyle w:val="1254"/>
        <w:spacing w:line="420" w:lineRule="exact"/>
        <w:rPr>
          <w:rFonts w:ascii="微软雅黑" w:hAnsi="微软雅黑" w:cs="微软雅黑"/>
          <w:bCs w:val="0"/>
          <w:sz w:val="24"/>
          <w:szCs w:val="24"/>
        </w:rPr>
      </w:pPr>
      <w:r/>
      <w:bookmarkStart w:id="251" w:name="_Toc24863"/>
      <w:r/>
      <w:bookmarkStart w:id="252" w:name="_Toc452384206"/>
      <w:r/>
      <w:bookmarkStart w:id="253" w:name="_Toc28089"/>
      <w:r/>
      <w:bookmarkStart w:id="254" w:name="_Toc8978"/>
      <w:r/>
      <w:bookmarkStart w:id="255" w:name="_Toc14281"/>
      <w:r/>
      <w:bookmarkStart w:id="256" w:name="_Toc19956"/>
      <w:r>
        <w:rPr>
          <w:rFonts w:hint="eastAsia" w:ascii="微软雅黑" w:hAnsi="微软雅黑" w:cs="微软雅黑"/>
          <w:bCs w:val="0"/>
          <w:sz w:val="24"/>
          <w:szCs w:val="24"/>
        </w:rPr>
        <w:t xml:space="preserve">6.4签订合同</w:t>
      </w:r>
      <w:bookmarkEnd w:id="251"/>
      <w:r/>
      <w:bookmarkEnd w:id="252"/>
      <w:r/>
      <w:bookmarkEnd w:id="253"/>
      <w:r/>
      <w:bookmarkEnd w:id="254"/>
      <w:r/>
      <w:bookmarkEnd w:id="255"/>
      <w:r/>
      <w:bookmarkEnd w:id="256"/>
      <w:r>
        <w:rPr>
          <w:rFonts w:ascii="微软雅黑" w:hAnsi="微软雅黑" w:cs="微软雅黑"/>
          <w:bCs w:val="0"/>
          <w:sz w:val="24"/>
          <w:szCs w:val="24"/>
        </w:rPr>
      </w:r>
      <w:r/>
    </w:p>
    <w:p>
      <w:pPr>
        <w:pStyle w:val="1063"/>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ascii="微软雅黑" w:hAnsi="微软雅黑" w:cs="微软雅黑"/>
        </w:rPr>
      </w:r>
      <w:r/>
    </w:p>
    <w:p>
      <w:pPr>
        <w:pStyle w:val="1063"/>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rPr>
      </w:r>
      <w:r/>
    </w:p>
    <w:p>
      <w:pPr>
        <w:pStyle w:val="1063"/>
        <w:rPr>
          <w:rFonts w:hint="eastAsia" w:ascii="微软雅黑" w:hAnsi="微软雅黑" w:cs="微软雅黑"/>
          <w:szCs w:val="21"/>
        </w:rPr>
      </w:pPr>
      <w:r>
        <w:rPr>
          <w:rFonts w:hint="eastAsia" w:ascii="微软雅黑" w:hAnsi="微软雅黑" w:cs="微软雅黑"/>
          <w:szCs w:val="21"/>
        </w:rPr>
      </w:r>
      <w:r/>
    </w:p>
    <w:p>
      <w:pPr>
        <w:pStyle w:val="1064"/>
        <w:rPr>
          <w:rFonts w:hint="eastAsia" w:ascii="微软雅黑" w:hAnsi="微软雅黑" w:cs="微软雅黑"/>
        </w:rPr>
      </w:pPr>
      <w:r/>
      <w:bookmarkStart w:id="257" w:name="_Toc12748"/>
      <w:r>
        <w:rPr>
          <w:rFonts w:hint="eastAsia" w:ascii="微软雅黑" w:hAnsi="微软雅黑" w:cs="微软雅黑"/>
        </w:rPr>
        <w:br w:type="page" w:clear="all"/>
      </w:r>
      <w:bookmarkStart w:id="258" w:name="_Toc15373"/>
      <w:r/>
      <w:bookmarkStart w:id="259" w:name="_Toc16488"/>
      <w:r>
        <w:rPr>
          <w:rFonts w:hint="eastAsia" w:ascii="微软雅黑" w:hAnsi="微软雅黑" w:cs="微软雅黑"/>
        </w:rPr>
        <w:t xml:space="preserve">第三章 </w:t>
      </w:r>
      <w:bookmarkEnd w:id="257"/>
      <w:r>
        <w:rPr>
          <w:rFonts w:hint="eastAsia" w:ascii="微软雅黑" w:hAnsi="微软雅黑" w:cs="微软雅黑"/>
        </w:rPr>
        <w:t xml:space="preserve">评标办法和定标原则</w:t>
      </w:r>
      <w:bookmarkEnd w:id="258"/>
      <w:r/>
      <w:bookmarkEnd w:id="259"/>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本项目采用综合评分法，总分为100分，评标结果按评审后得分由高到低顺序排列。得分相同的，按投标报价由低到高顺序排列。得分相同且投标报价相同的，按技术指标优劣顺序排列。</w:t>
      </w:r>
      <w:r>
        <w:rPr>
          <w:rFonts w:hint="eastAsia" w:ascii="微软雅黑" w:hAnsi="微软雅黑" w:cs="微软雅黑"/>
          <w:b/>
          <w:bCs/>
        </w:rPr>
        <w:t xml:space="preserve">投标文件满足采购文件全部实质性要求，</w:t>
      </w:r>
      <w:r>
        <w:rPr>
          <w:rFonts w:hint="eastAsia" w:ascii="微软雅黑" w:hAnsi="微软雅黑" w:cs="微软雅黑"/>
          <w:b/>
          <w:bCs/>
          <w:szCs w:val="21"/>
        </w:rPr>
        <w:t xml:space="preserve">且按照评审因素的量化指标评审</w:t>
      </w:r>
      <w:r>
        <w:rPr>
          <w:rFonts w:hint="eastAsia" w:ascii="微软雅黑" w:hAnsi="微软雅黑" w:cs="微软雅黑"/>
          <w:b/>
          <w:bCs/>
        </w:rPr>
        <w:t xml:space="preserve">得分由高到低推荐3名投标供应商为中标候选人，并根据采购人委托直接确定排名第一的供应商为中标供应商。</w:t>
      </w:r>
      <w:r>
        <w:rPr>
          <w:rFonts w:hint="eastAsia" w:ascii="微软雅黑" w:hAnsi="微软雅黑" w:cs="微软雅黑"/>
        </w:rPr>
        <w:t xml:space="preserve">评标委员会认为投标人的报价明显低于其他通过符合性审查投标人的报价，有可能影响产品质量或者不能诚信履约的，评标委员会有权要求其在评标现场合理的时间内提供书面说明，必要时提交相关证明材料；投标人不能证明其报价合理性的，评标委员会将其作为无效投标处理。</w:t>
      </w:r>
      <w:r>
        <w:rPr>
          <w:rFonts w:hint="eastAsia" w:ascii="微软雅黑" w:hAnsi="微软雅黑" w:cs="微软雅黑"/>
        </w:rPr>
      </w:r>
      <w:r/>
    </w:p>
    <w:p>
      <w:pPr>
        <w:pStyle w:val="1063"/>
        <w:ind w:firstLine="420"/>
        <w:spacing w:line="420" w:lineRule="exact"/>
        <w:rPr>
          <w:rFonts w:hint="eastAsia"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hint="eastAsia" w:ascii="微软雅黑" w:hAnsi="微软雅黑" w:cs="微软雅黑"/>
        </w:rPr>
      </w:r>
      <w:r/>
    </w:p>
    <w:p>
      <w:pPr>
        <w:pStyle w:val="1063"/>
        <w:ind w:firstLine="420"/>
        <w:spacing w:line="420" w:lineRule="exact"/>
        <w:rPr>
          <w:rFonts w:hint="eastAsia" w:ascii="微软雅黑" w:hAnsi="微软雅黑" w:cs="微软雅黑"/>
        </w:rPr>
      </w:pPr>
      <w:r>
        <w:rPr>
          <w:rFonts w:hint="eastAsia" w:ascii="微软雅黑" w:hAnsi="微软雅黑" w:cs="微软雅黑"/>
        </w:rPr>
        <w:t xml:space="preserve">（1）投标（响应）报价低于采购项目预算50%的；</w:t>
      </w:r>
      <w:r>
        <w:rPr>
          <w:rFonts w:hint="eastAsia" w:ascii="微软雅黑" w:hAnsi="微软雅黑" w:cs="微软雅黑"/>
        </w:rPr>
      </w:r>
      <w:r/>
    </w:p>
    <w:p>
      <w:pPr>
        <w:pStyle w:val="1063"/>
        <w:ind w:firstLine="420"/>
        <w:spacing w:line="420" w:lineRule="exact"/>
        <w:rPr>
          <w:rFonts w:hint="eastAsia" w:ascii="微软雅黑" w:hAnsi="微软雅黑" w:cs="微软雅黑"/>
        </w:rPr>
      </w:pPr>
      <w:r>
        <w:rPr>
          <w:rFonts w:hint="eastAsia" w:ascii="微软雅黑" w:hAnsi="微软雅黑" w:cs="微软雅黑"/>
        </w:rPr>
        <w:t xml:space="preserve">（2）投标（响应）报价低于采购项目最高限价45%的；</w:t>
      </w:r>
      <w:r>
        <w:rPr>
          <w:rFonts w:hint="eastAsia" w:ascii="微软雅黑" w:hAnsi="微软雅黑" w:cs="微软雅黑"/>
        </w:rPr>
      </w:r>
      <w:r/>
    </w:p>
    <w:p>
      <w:pPr>
        <w:pStyle w:val="1063"/>
        <w:ind w:firstLine="420"/>
        <w:spacing w:line="420" w:lineRule="exact"/>
        <w:rPr>
          <w:rFonts w:hint="eastAsia"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rPr>
          <w:rFonts w:hint="eastAsia" w:ascii="微软雅黑" w:hAnsi="微软雅黑" w:cs="微软雅黑"/>
        </w:rPr>
      </w:r>
      <w:r/>
    </w:p>
    <w:p>
      <w:pPr>
        <w:pStyle w:val="1063"/>
        <w:ind w:firstLine="420"/>
        <w:spacing w:line="440" w:lineRule="exact"/>
        <w:rPr>
          <w:rFonts w:hint="eastAsia"/>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rPr>
      </w:r>
      <w:r/>
    </w:p>
    <w:p>
      <w:pPr>
        <w:pStyle w:val="1063"/>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063"/>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94"/>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794"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79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79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w:t>
            </w:r>
            <w:r>
              <w:rPr>
                <w:rFonts w:hint="eastAsia" w:ascii="微软雅黑" w:hAnsi="微软雅黑" w:cs="微软雅黑"/>
                <w:szCs w:val="21"/>
              </w:rPr>
              <w:t xml:space="preserve">法定代表人直接参与投标的可以不提供授权书</w:t>
            </w:r>
            <w:r>
              <w:rPr>
                <w:rFonts w:hint="eastAsia" w:ascii="微软雅黑" w:hAnsi="微软雅黑" w:cs="微软雅黑"/>
                <w:lang w:val="zh-CN"/>
              </w:rPr>
              <w:t xml:space="preserve">）</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418"/>
        </w:trPr>
        <w:tc>
          <w:tcPr>
            <w:tcBorders>
              <w:top w:val="single" w:color="000000" w:sz="2" w:space="0"/>
              <w:left w:val="single" w:color="000000" w:sz="2" w:space="0"/>
              <w:bottom w:val="single" w:color="000000" w:sz="2" w:space="0"/>
              <w:right w:val="single" w:color="000000" w:sz="2" w:space="0"/>
            </w:tcBorders>
            <w:tcW w:w="179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rPr>
                <w:rFonts w:ascii="Microsoft YaHei" w:hAnsi="Microsoft YaHei" w:eastAsia="Microsoft YaHei" w:cs="Microsoft YaHei"/>
                <w:color w:val="000000"/>
                <w:sz w:val="21"/>
              </w:rPr>
              <w:t xml:space="preserve">投标报价不得超过预算或最高限价</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63"/>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983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4"/>
        <w:gridCol w:w="4441"/>
        <w:gridCol w:w="1451"/>
        <w:gridCol w:w="1707"/>
      </w:tblGrid>
      <w:tr>
        <w:trPr>
          <w:trHeight w:val="1"/>
        </w:trPr>
        <w:tc>
          <w:tcPr>
            <w:tcBorders>
              <w:top w:val="single" w:color="000000" w:sz="2" w:space="0"/>
              <w:left w:val="single" w:color="000000" w:sz="2" w:space="0"/>
              <w:bottom w:val="single" w:color="000000" w:sz="2" w:space="0"/>
              <w:right w:val="single" w:color="000000" w:sz="2" w:space="0"/>
            </w:tcBorders>
            <w:tcW w:w="2234"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707" w:type="dxa"/>
            <w:vAlign w:val="top"/>
            <w:textDirection w:val="lrTb"/>
            <w:noWrap w:val="false"/>
          </w:tcPr>
          <w:p>
            <w:pPr>
              <w:pStyle w:val="1063"/>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223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707"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223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707"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2234" w:type="dxa"/>
            <w:vAlign w:val="top"/>
            <w:textDirection w:val="lrTb"/>
            <w:noWrap w:val="false"/>
          </w:tcPr>
          <w:p>
            <w:pPr>
              <w:pStyle w:val="1063"/>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707" w:type="dxa"/>
            <w:vAlign w:val="top"/>
            <w:textDirection w:val="lrTb"/>
            <w:noWrap w:val="false"/>
          </w:tcPr>
          <w:p>
            <w:pPr>
              <w:pStyle w:val="1063"/>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63"/>
        <w:numPr>
          <w:ilvl w:val="0"/>
          <w:numId w:val="8"/>
        </w:numPr>
        <w:spacing w:line="440" w:lineRule="exact"/>
        <w:rPr>
          <w:b/>
          <w:bCs/>
        </w:rPr>
      </w:pPr>
      <w:r/>
      <w:bookmarkStart w:id="260" w:name="_Hlk72848049"/>
      <w:r>
        <w:rPr>
          <w:rFonts w:hint="eastAsia" w:ascii="微软雅黑" w:hAnsi="微软雅黑" w:cs="微软雅黑"/>
          <w:b/>
          <w:bCs/>
        </w:rPr>
        <w:t xml:space="preserve">评分因素及分值</w:t>
      </w:r>
      <w:r>
        <w:rPr>
          <w:b/>
          <w:bCs/>
        </w:rPr>
      </w:r>
      <w:r/>
    </w:p>
    <w:tbl>
      <w:tblPr>
        <w:tblW w:w="9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404"/>
        <w:gridCol w:w="6886"/>
        <w:gridCol w:w="804"/>
      </w:tblGrid>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bookmarkEnd w:id="260"/>
            <w:r/>
            <w:bookmarkStart w:id="261" w:name="_Hlk227654264"/>
            <w:r>
              <w:rPr>
                <w:rFonts w:hint="eastAsia" w:ascii="微软雅黑" w:hAnsi="微软雅黑" w:eastAsia="微软雅黑" w:cs="微软雅黑"/>
                <w:szCs w:val="21"/>
                <w:highlight w:val="none"/>
              </w:rPr>
              <w:t xml:space="preserve">序号</w:t>
            </w:r>
            <w:r>
              <w:rPr>
                <w:rFonts w:hint="eastAsia" w:ascii="微软雅黑" w:hAnsi="微软雅黑" w:eastAsia="微软雅黑" w:cs="微软雅黑"/>
                <w:szCs w:val="21"/>
                <w:highlight w:val="none"/>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评分因素</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评审标准</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分值</w:t>
            </w:r>
            <w:r>
              <w:rPr>
                <w:rFonts w:hint="eastAsia" w:ascii="微软雅黑" w:hAnsi="微软雅黑" w:eastAsia="微软雅黑" w:cs="微软雅黑"/>
                <w:szCs w:val="21"/>
                <w:highlight w:val="none"/>
              </w:rPr>
            </w:r>
            <w:r/>
          </w:p>
        </w:tc>
      </w:tr>
      <w:tr>
        <w:trPr>
          <w:trHeight w:val="1570"/>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w:t>
            </w:r>
            <w:r>
              <w:rPr>
                <w:rFonts w:hint="eastAsia" w:ascii="微软雅黑" w:hAnsi="微软雅黑" w:eastAsia="微软雅黑" w:cs="微软雅黑"/>
                <w:szCs w:val="21"/>
                <w:highlight w:val="none"/>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价格</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1.1</w:t>
            </w:r>
            <w:r>
              <w:rPr>
                <w:rFonts w:hint="eastAsia" w:ascii="微软雅黑" w:hAnsi="微软雅黑" w:eastAsia="微软雅黑" w:cs="微软雅黑"/>
                <w:szCs w:val="21"/>
                <w:highlight w:val="none"/>
              </w:rPr>
              <w:t xml:space="preserve">采用低价优先法计算，即满足采购文件要求且报价最低的投标报价为评审基准价，其价格分为满分。</w:t>
            </w:r>
            <w:r>
              <w:rPr>
                <w:rFonts w:hint="eastAsia" w:ascii="微软雅黑" w:hAnsi="微软雅黑" w:eastAsia="微软雅黑" w:cs="微软雅黑"/>
                <w:szCs w:val="21"/>
                <w:highlight w:val="none"/>
              </w:rPr>
            </w:r>
            <w:r/>
          </w:p>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其他供应商的价格分统一按照下列公式计算:投标报价得分=(评标基准价/投标报价)×4</w:t>
            </w: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rPr>
              <w:t xml:space="preserve">（小数点保留两位）</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eastAsia="微软雅黑" w:cs="微软雅黑"/>
                <w:szCs w:val="21"/>
                <w:highlight w:val="none"/>
              </w:rPr>
              <w:t xml:space="preserve">4</w:t>
            </w: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lang w:eastAsia="zh-CN"/>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2</w:t>
            </w:r>
            <w:r>
              <w:rPr>
                <w:rFonts w:hint="eastAsia" w:ascii="微软雅黑" w:hAnsi="微软雅黑" w:eastAsia="微软雅黑" w:cs="微软雅黑"/>
                <w:szCs w:val="21"/>
                <w:highlight w:val="none"/>
                <w:lang w:val="en-US" w:eastAsia="zh-CN"/>
              </w:rPr>
            </w:r>
            <w:r/>
          </w:p>
        </w:tc>
        <w:tc>
          <w:tcPr>
            <w:tcW w:w="1404" w:type="dxa"/>
            <w:vAlign w:val="center"/>
            <w:textDirection w:val="lrTb"/>
            <w:noWrap w:val="false"/>
          </w:tcPr>
          <w:p>
            <w:pPr>
              <w:pStyle w:val="1063"/>
              <w:jc w:val="center"/>
              <w:spacing w:line="400" w:lineRule="exact"/>
              <w:rPr>
                <w:rFonts w:ascii="微软雅黑" w:hAnsi="微软雅黑" w:eastAsia="微软雅黑" w:cs="微软雅黑"/>
                <w:szCs w:val="21"/>
                <w:highlight w:val="none"/>
                <w:lang w:val="en-US" w:eastAsia="zh-CN"/>
              </w:rPr>
            </w:pPr>
            <w:r>
              <w:rPr>
                <w:rFonts w:hint="eastAsia" w:ascii="微软雅黑" w:hAnsi="微软雅黑" w:eastAsia="微软雅黑" w:cs="微软雅黑"/>
                <w:szCs w:val="21"/>
                <w:highlight w:val="none"/>
              </w:rPr>
              <w:t xml:space="preserve">新生体检费</w:t>
            </w:r>
            <w:r>
              <w:rPr>
                <w:rFonts w:hint="eastAsia" w:ascii="微软雅黑" w:hAnsi="微软雅黑" w:cs="微软雅黑"/>
                <w:szCs w:val="21"/>
                <w:highlight w:val="none"/>
                <w:lang w:val="en-US" w:eastAsia="zh-CN"/>
              </w:rPr>
              <w:t xml:space="preserve">承诺</w:t>
            </w:r>
            <w:r>
              <w:rPr>
                <w:rFonts w:ascii="微软雅黑" w:hAnsi="微软雅黑" w:eastAsia="微软雅黑" w:cs="微软雅黑"/>
                <w:szCs w:val="21"/>
                <w:highlight w:val="none"/>
                <w:lang w:val="en-US" w:eastAsia="zh-CN"/>
              </w:rPr>
            </w:r>
            <w:r/>
          </w:p>
        </w:tc>
        <w:tc>
          <w:tcPr>
            <w:tcW w:w="6886" w:type="dxa"/>
            <w:vAlign w:val="center"/>
            <w:textDirection w:val="lrTb"/>
            <w:noWrap w:val="false"/>
          </w:tcPr>
          <w:p>
            <w:pPr>
              <w:pStyle w:val="1063"/>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2.1</w:t>
            </w:r>
            <w:r>
              <w:rPr>
                <w:rFonts w:hint="eastAsia" w:ascii="微软雅黑" w:hAnsi="微软雅黑" w:eastAsia="微软雅黑" w:cs="微软雅黑"/>
                <w:szCs w:val="21"/>
                <w:highlight w:val="none"/>
              </w:rPr>
              <w:t xml:space="preserve">根据</w:t>
            </w:r>
            <w:r>
              <w:rPr>
                <w:rFonts w:hint="eastAsia" w:ascii="微软雅黑" w:hAnsi="微软雅黑" w:cs="微软雅黑"/>
                <w:szCs w:val="21"/>
                <w:highlight w:val="none"/>
              </w:rPr>
              <w:t xml:space="preserve">江苏省教育厅、</w:t>
            </w:r>
            <w:r>
              <w:rPr>
                <w:rFonts w:hint="eastAsia" w:ascii="微软雅黑" w:hAnsi="微软雅黑" w:cs="微软雅黑"/>
                <w:szCs w:val="21"/>
                <w:highlight w:val="none"/>
                <w:lang w:eastAsia="zh-CN"/>
              </w:rPr>
              <w:t xml:space="preserve">江苏省卫生和计划生育委员会</w:t>
            </w:r>
            <w:r>
              <w:rPr>
                <w:rFonts w:hint="eastAsia" w:ascii="微软雅黑" w:hAnsi="微软雅黑" w:cs="微软雅黑"/>
                <w:szCs w:val="21"/>
                <w:highlight w:val="none"/>
              </w:rPr>
              <w:t xml:space="preserve">及江苏省物价局联合发布的《关于加强全省普通高等学校学生健康体检工作的通知》（苏教体艺〔2018〕8</w:t>
            </w:r>
            <w:r>
              <w:rPr>
                <w:rFonts w:hint="eastAsia" w:ascii="微软雅黑" w:hAnsi="微软雅黑" w:cs="微软雅黑"/>
                <w:color w:val="000000"/>
                <w:szCs w:val="21"/>
                <w:highlight w:val="none"/>
              </w:rPr>
              <w:t xml:space="preserve">号）</w:t>
            </w:r>
            <w:r>
              <w:rPr>
                <w:rFonts w:hint="eastAsia"/>
                <w:highlight w:val="none"/>
                <w:lang w:val="en-US" w:eastAsia="zh-CN"/>
              </w:rPr>
              <w:t xml:space="preserve">规定</w:t>
            </w:r>
            <w:r>
              <w:rPr>
                <w:rFonts w:hint="eastAsia" w:ascii="微软雅黑" w:hAnsi="微软雅黑" w:eastAsia="微软雅黑" w:cs="微软雅黑"/>
                <w:szCs w:val="21"/>
                <w:highlight w:val="none"/>
              </w:rPr>
              <w:t xml:space="preserve">，</w:t>
            </w:r>
            <w:r>
              <w:rPr>
                <w:rFonts w:hint="eastAsia" w:ascii="微软雅黑" w:hAnsi="微软雅黑" w:cs="微软雅黑"/>
                <w:szCs w:val="21"/>
                <w:highlight w:val="none"/>
                <w:lang w:val="en-US" w:eastAsia="zh-CN"/>
              </w:rPr>
              <w:t xml:space="preserve">以</w:t>
            </w:r>
            <w:r>
              <w:rPr>
                <w:rFonts w:hint="eastAsia" w:ascii="微软雅黑" w:hAnsi="微软雅黑" w:eastAsia="微软雅黑" w:cs="微软雅黑"/>
                <w:szCs w:val="21"/>
                <w:highlight w:val="none"/>
              </w:rPr>
              <w:t xml:space="preserve">新生体检费86元</w:t>
            </w:r>
            <w:r>
              <w:rPr>
                <w:rFonts w:hint="eastAsia" w:ascii="微软雅黑" w:hAnsi="微软雅黑" w:eastAsia="微软雅黑" w:cs="微软雅黑"/>
                <w:color w:val="000000"/>
                <w:szCs w:val="21"/>
                <w:highlight w:val="none"/>
              </w:rPr>
              <w:t xml:space="preserve">为</w:t>
            </w:r>
            <w:r>
              <w:rPr>
                <w:rFonts w:hint="eastAsia" w:ascii="微软雅黑" w:hAnsi="微软雅黑" w:cs="微软雅黑"/>
                <w:color w:val="000000"/>
                <w:szCs w:val="21"/>
                <w:highlight w:val="none"/>
                <w:lang w:val="en-US" w:eastAsia="zh-CN"/>
              </w:rPr>
              <w:t xml:space="preserve">基准价</w:t>
            </w:r>
            <w:r>
              <w:rPr>
                <w:rFonts w:hint="eastAsia" w:ascii="微软雅黑" w:hAnsi="微软雅黑" w:eastAsia="微软雅黑" w:cs="微软雅黑"/>
                <w:szCs w:val="21"/>
                <w:highlight w:val="none"/>
              </w:rPr>
              <w:t xml:space="preserve">，每低1元加1分，最高得6分。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提供承诺书并加盖投标人公章。</w:t>
            </w:r>
            <w:r>
              <w:rPr>
                <w:rFonts w:hint="eastAsia" w:ascii="微软雅黑" w:hAnsi="微软雅黑" w:cs="微软雅黑"/>
                <w:szCs w:val="21"/>
                <w:highlight w:val="none"/>
                <w:lang w:eastAsia="zh-CN"/>
              </w:rPr>
              <w:t xml:space="preserve">）</w:t>
            </w:r>
            <w:r>
              <w:rPr>
                <w:rFonts w:hint="eastAsia" w:ascii="微软雅黑" w:hAnsi="微软雅黑" w:eastAsia="微软雅黑" w:cs="微软雅黑"/>
                <w:szCs w:val="21"/>
                <w:highlight w:val="none"/>
                <w:lang w:eastAsia="zh-CN"/>
              </w:rPr>
            </w:r>
            <w:r/>
          </w:p>
        </w:tc>
        <w:tc>
          <w:tcPr>
            <w:tcW w:w="804" w:type="dxa"/>
            <w:vAlign w:val="center"/>
            <w:textDirection w:val="lrTb"/>
            <w:noWrap w:val="false"/>
          </w:tcPr>
          <w:p>
            <w:pPr>
              <w:pStyle w:val="1063"/>
              <w:jc w:val="center"/>
              <w:spacing w:line="40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eastAsia="微软雅黑" w:cs="微软雅黑"/>
                <w:szCs w:val="21"/>
                <w:highlight w:val="none"/>
                <w:lang w:val="en-US" w:eastAsia="zh-CN"/>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3</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体检服务</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3.1新生入学体检详细方案及服务承诺要求进行评议：</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bookmarkStart w:id="262" w:name="OLE_LINK20"/>
            <w:r>
              <w:rPr>
                <w:rFonts w:hint="eastAsia" w:ascii="微软雅黑" w:hAnsi="微软雅黑" w:eastAsia="微软雅黑" w:cs="微软雅黑"/>
                <w:szCs w:val="21"/>
                <w:highlight w:val="none"/>
              </w:rPr>
              <w:t xml:space="preserve">（1）方案及服务承诺科学全面，能够针对学校需求出具深度细化的实施方案，得</w:t>
            </w:r>
            <w:r>
              <w:rPr>
                <w:rFonts w:hint="eastAsia" w:ascii="微软雅黑" w:hAnsi="微软雅黑" w:eastAsia="微软雅黑" w:cs="微软雅黑"/>
                <w:szCs w:val="21"/>
                <w:highlight w:val="none"/>
                <w:lang w:val="en-US" w:eastAsia="zh-CN"/>
              </w:rPr>
              <w:t xml:space="preserve">7</w:t>
            </w:r>
            <w:r>
              <w:rPr>
                <w:rFonts w:hint="eastAsia" w:ascii="微软雅黑" w:hAnsi="微软雅黑" w:eastAsia="微软雅黑" w:cs="微软雅黑"/>
                <w:szCs w:val="21"/>
                <w:highlight w:val="none"/>
              </w:rPr>
              <w:t xml:space="preserve">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（2）方案及服务承诺较全面，具有主要内容不具有针对性得4分；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（3）方案及服务承诺基本全面，缺乏可行性得</w:t>
            </w:r>
            <w:r>
              <w:rPr>
                <w:rFonts w:hint="eastAsia" w:ascii="微软雅黑" w:hAnsi="微软雅黑" w:eastAsia="微软雅黑" w:cs="微软雅黑"/>
                <w:szCs w:val="21"/>
                <w:highlight w:val="none"/>
                <w:lang w:val="en-US" w:eastAsia="zh-CN"/>
              </w:rPr>
              <w:t xml:space="preserve">1</w:t>
            </w:r>
            <w:r>
              <w:rPr>
                <w:rFonts w:hint="eastAsia" w:ascii="微软雅黑" w:hAnsi="微软雅黑" w:eastAsia="微软雅黑" w:cs="微软雅黑"/>
                <w:szCs w:val="21"/>
                <w:highlight w:val="none"/>
              </w:rPr>
              <w:t xml:space="preserve">分；</w:t>
            </w:r>
            <w:r>
              <w:rPr>
                <w:rFonts w:hint="eastAsia" w:ascii="微软雅黑" w:hAnsi="微软雅黑" w:eastAsia="微软雅黑" w:cs="微软雅黑"/>
                <w:szCs w:val="21"/>
                <w:highlight w:val="none"/>
              </w:rPr>
            </w:r>
            <w:r/>
          </w:p>
          <w:p>
            <w:pPr>
              <w:pStyle w:val="1063"/>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（4）方案及服务承诺不全，服务内容缺漏，服务流程不合理或不提供方案得 0 分。</w:t>
            </w:r>
            <w:bookmarkEnd w:id="262"/>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eastAsia="微软雅黑" w:cs="微软雅黑"/>
                <w:szCs w:val="21"/>
                <w:highlight w:val="none"/>
                <w:lang w:val="en-US" w:eastAsia="zh-CN"/>
              </w:rPr>
              <w:t xml:space="preserve">7</w:t>
            </w:r>
            <w:r>
              <w:rPr>
                <w:rFonts w:hint="eastAsia" w:ascii="微软雅黑" w:hAnsi="微软雅黑" w:eastAsia="微软雅黑" w:cs="微软雅黑"/>
                <w:szCs w:val="21"/>
                <w:highlight w:val="none"/>
                <w:lang w:eastAsia="zh-CN"/>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4</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内部管理及应急处理能力</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4.1投标人需根据招标文件要求并结合本项目特点提供内部管理制度（包括人员管理制度、服务制度等），以及应急管理制度（对于医务室可能出现的紧急情况有相应的应急管理协调方法）进行评议：</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（1）方案科学全面，能够针对学校需求出具深度细化的实施方案，得6分；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（2）方案较全面，具有主要内容不具有针对性得 4 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（3）方案基本全面，缺乏可行性得 2 分；</w:t>
            </w:r>
            <w:r>
              <w:rPr>
                <w:rFonts w:hint="eastAsia" w:ascii="微软雅黑" w:hAnsi="微软雅黑" w:eastAsia="微软雅黑" w:cs="微软雅黑"/>
                <w:szCs w:val="21"/>
                <w:highlight w:val="none"/>
              </w:rPr>
            </w:r>
            <w:r/>
          </w:p>
          <w:p>
            <w:pPr>
              <w:pStyle w:val="1063"/>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（4）方案不全，服务内容缺漏，服务流程不合理或不提供方案得 0 分。</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6</w:t>
            </w:r>
            <w:r>
              <w:rPr>
                <w:rFonts w:hint="eastAsia" w:ascii="微软雅黑" w:hAnsi="微软雅黑" w:eastAsia="微软雅黑" w:cs="微软雅黑"/>
                <w:szCs w:val="21"/>
                <w:highlight w:val="none"/>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基本医疗服务方案</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trike/>
                <w:szCs w:val="21"/>
                <w:highlight w:val="none"/>
              </w:rPr>
            </w:pP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rPr>
              <w:t xml:space="preserve">.1根据投标人的急重病诊治与转院、配备基本医疗设备、药品与耗材、日常预防保健与健康教育课程或讲座及协助招标方办理医疗资质许可证等基本医疗服务方案进行评议。</w:t>
            </w:r>
            <w:r>
              <w:rPr>
                <w:rFonts w:hint="eastAsia" w:ascii="微软雅黑" w:hAnsi="微软雅黑" w:eastAsia="微软雅黑" w:cs="微软雅黑"/>
                <w:strike/>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（1）方案科学全面，能够针对学校需求出具深度细化的实施方案，得6分；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（2）方案较全面，具有主要内容不具有针对性得 4 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（3）方案基本全面，缺乏可行性得 2 分；</w:t>
            </w:r>
            <w:r>
              <w:rPr>
                <w:rFonts w:hint="eastAsia" w:ascii="微软雅黑" w:hAnsi="微软雅黑" w:eastAsia="微软雅黑" w:cs="微软雅黑"/>
                <w:szCs w:val="21"/>
                <w:highlight w:val="none"/>
              </w:rPr>
            </w:r>
            <w:r/>
          </w:p>
          <w:p>
            <w:pPr>
              <w:pStyle w:val="1063"/>
              <w:spacing w:line="360" w:lineRule="auto"/>
              <w:rPr>
                <w:rFonts w:hint="eastAsia" w:ascii="微软雅黑" w:hAnsi="微软雅黑" w:eastAsia="微软雅黑" w:cs="微软雅黑"/>
                <w:b/>
                <w:szCs w:val="21"/>
                <w:highlight w:val="none"/>
              </w:rPr>
            </w:pPr>
            <w:r>
              <w:rPr>
                <w:rFonts w:hint="eastAsia" w:ascii="微软雅黑" w:hAnsi="微软雅黑" w:eastAsia="微软雅黑" w:cs="微软雅黑"/>
                <w:szCs w:val="21"/>
                <w:highlight w:val="none"/>
              </w:rPr>
              <w:t xml:space="preserve">（4）方案不全，服务内容缺漏，服务流程不合理或不提供方案得 0 分。</w:t>
            </w:r>
            <w:r>
              <w:rPr>
                <w:rFonts w:hint="eastAsia" w:ascii="微软雅黑" w:hAnsi="微软雅黑" w:eastAsia="微软雅黑" w:cs="微软雅黑"/>
                <w:b/>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6</w:t>
            </w:r>
            <w:r>
              <w:rPr>
                <w:rFonts w:hint="eastAsia" w:ascii="微软雅黑" w:hAnsi="微软雅黑" w:eastAsia="微软雅黑" w:cs="微软雅黑"/>
                <w:szCs w:val="21"/>
                <w:highlight w:val="none"/>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6</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服务承诺及具体服务方案</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6</w:t>
            </w:r>
            <w:r>
              <w:rPr>
                <w:rFonts w:hint="eastAsia" w:ascii="微软雅黑" w:hAnsi="微软雅黑" w:eastAsia="微软雅黑" w:cs="微软雅黑"/>
                <w:szCs w:val="21"/>
                <w:highlight w:val="none"/>
              </w:rPr>
              <w:t xml:space="preserve">.1根据投标人的关于招标人本校师生投标人所在医院就诊期间，各类检查费用享受优惠、能提供招标人在校师生享受就近医治的应急绿色通道、投标人拟派医护人员配置基本固定的承诺书及具体服务方案进行评议。</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（1）方案科学全面，能够针对学校需求出具深度细化的实施方案，得</w:t>
            </w: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rPr>
              <w:t xml:space="preserve">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（2）方案较全面，具有主要内容不具有针对性得 </w:t>
            </w:r>
            <w:r>
              <w:rPr>
                <w:rFonts w:hint="eastAsia" w:ascii="微软雅黑" w:hAnsi="微软雅黑" w:cs="微软雅黑"/>
                <w:szCs w:val="21"/>
                <w:highlight w:val="none"/>
                <w:lang w:val="en-US" w:eastAsia="zh-CN"/>
              </w:rPr>
              <w:t xml:space="preserve">3</w:t>
            </w:r>
            <w:r>
              <w:rPr>
                <w:rFonts w:hint="eastAsia" w:ascii="微软雅黑" w:hAnsi="微软雅黑" w:eastAsia="微软雅黑" w:cs="微软雅黑"/>
                <w:szCs w:val="21"/>
                <w:highlight w:val="none"/>
              </w:rPr>
              <w:t xml:space="preserve"> 分；</w:t>
            </w:r>
            <w:r>
              <w:rPr>
                <w:rFonts w:hint="eastAsia" w:ascii="微软雅黑" w:hAnsi="微软雅黑" w:eastAsia="微软雅黑" w:cs="微软雅黑"/>
                <w:szCs w:val="21"/>
                <w:highlight w:val="none"/>
              </w:rPr>
            </w:r>
            <w:r/>
          </w:p>
          <w:p>
            <w:pPr>
              <w:pStyle w:val="1063"/>
              <w:spacing w:line="42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（3）方案基本全面，缺乏可行性得 </w:t>
            </w:r>
            <w:r>
              <w:rPr>
                <w:rFonts w:hint="eastAsia" w:ascii="微软雅黑" w:hAnsi="微软雅黑" w:cs="微软雅黑"/>
                <w:szCs w:val="21"/>
                <w:highlight w:val="none"/>
                <w:lang w:val="en-US" w:eastAsia="zh-CN"/>
              </w:rPr>
              <w:t xml:space="preserve">1</w:t>
            </w:r>
            <w:r>
              <w:rPr>
                <w:rFonts w:hint="eastAsia" w:ascii="微软雅黑" w:hAnsi="微软雅黑" w:eastAsia="微软雅黑" w:cs="微软雅黑"/>
                <w:szCs w:val="21"/>
                <w:highlight w:val="none"/>
              </w:rPr>
              <w:t xml:space="preserve"> 分；</w:t>
            </w:r>
            <w:r>
              <w:rPr>
                <w:rFonts w:hint="eastAsia" w:ascii="微软雅黑" w:hAnsi="微软雅黑" w:eastAsia="微软雅黑" w:cs="微软雅黑"/>
                <w:szCs w:val="21"/>
                <w:highlight w:val="none"/>
              </w:rPr>
            </w:r>
            <w:r/>
          </w:p>
          <w:p>
            <w:pPr>
              <w:pStyle w:val="1063"/>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（4）方案不全，服务内容缺漏，服务流程不合理或不提供方案得 0 分。</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5</w:t>
            </w:r>
            <w:r>
              <w:rPr>
                <w:rFonts w:hint="eastAsia" w:ascii="微软雅黑" w:hAnsi="微软雅黑" w:eastAsia="微软雅黑" w:cs="微软雅黑"/>
                <w:szCs w:val="21"/>
                <w:highlight w:val="none"/>
                <w:lang w:eastAsia="zh-CN"/>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投入的设备情况</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rPr>
              <w:t xml:space="preserve">.1</w:t>
            </w:r>
            <w:r>
              <w:rPr>
                <w:rFonts w:hint="eastAsia" w:ascii="微软雅黑" w:hAnsi="微软雅黑" w:eastAsia="微软雅黑" w:cs="微软雅黑"/>
                <w:color w:val="000000"/>
                <w:szCs w:val="21"/>
                <w:highlight w:val="none"/>
              </w:rPr>
              <w:t xml:space="preserve">投标人承诺能够全年不限次数的在学校举办重大活动时提供医疗保障</w:t>
            </w:r>
            <w:r>
              <w:rPr>
                <w:rFonts w:hint="eastAsia" w:ascii="微软雅黑" w:hAnsi="微软雅黑" w:eastAsia="微软雅黑" w:cs="微软雅黑"/>
                <w:color w:val="000000"/>
                <w:szCs w:val="21"/>
                <w:highlight w:val="none"/>
                <w:lang w:val="en-US" w:eastAsia="zh-CN"/>
              </w:rPr>
              <w:t xml:space="preserve">的</w:t>
            </w:r>
            <w:r>
              <w:rPr>
                <w:rFonts w:hint="eastAsia" w:ascii="微软雅黑" w:hAnsi="微软雅黑" w:eastAsia="微软雅黑" w:cs="微软雅黑"/>
                <w:color w:val="000000"/>
                <w:szCs w:val="21"/>
                <w:highlight w:val="none"/>
              </w:rPr>
              <w:t xml:space="preserve">得3分（提供</w:t>
            </w:r>
            <w:r>
              <w:rPr>
                <w:rFonts w:hint="eastAsia" w:ascii="微软雅黑" w:hAnsi="微软雅黑" w:eastAsia="微软雅黑" w:cs="微软雅黑"/>
                <w:color w:val="000000"/>
                <w:szCs w:val="21"/>
                <w:highlight w:val="none"/>
                <w:lang w:val="en-US" w:eastAsia="zh-CN"/>
              </w:rPr>
              <w:t xml:space="preserve">加盖供应商公章的</w:t>
            </w:r>
            <w:r>
              <w:rPr>
                <w:rFonts w:hint="eastAsia" w:ascii="微软雅黑" w:hAnsi="微软雅黑" w:eastAsia="微软雅黑" w:cs="微软雅黑"/>
                <w:color w:val="000000"/>
                <w:szCs w:val="21"/>
                <w:highlight w:val="none"/>
              </w:rPr>
              <w:t xml:space="preserve">承诺书</w:t>
            </w:r>
            <w:r>
              <w:rPr>
                <w:rFonts w:hint="eastAsia" w:ascii="微软雅黑" w:hAnsi="微软雅黑" w:eastAsia="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rPr>
              <w:t xml:space="preserve">；具备自有体检车或救护车，且车载设备配套齐全的得2分（提供车辆购买发票</w:t>
            </w:r>
            <w:r>
              <w:rPr>
                <w:rFonts w:hint="eastAsia" w:ascii="微软雅黑" w:hAnsi="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rPr>
              <w:t xml:space="preserve">车辆行驶证照片</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lang w:val="en-US" w:eastAsia="zh-CN"/>
              </w:rPr>
              <w:t xml:space="preserve">车辆内外部照片</w:t>
            </w:r>
            <w:r>
              <w:rPr>
                <w:rFonts w:hint="eastAsia" w:ascii="微软雅黑" w:hAnsi="微软雅黑" w:eastAsia="微软雅黑" w:cs="微软雅黑"/>
                <w:color w:val="000000"/>
                <w:szCs w:val="21"/>
                <w:highlight w:val="none"/>
              </w:rPr>
              <w:t xml:space="preserve">等资料证明）</w:t>
            </w:r>
            <w:r>
              <w:rPr>
                <w:rFonts w:hint="eastAsia" w:ascii="微软雅黑" w:hAnsi="微软雅黑" w:eastAsia="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rPr>
              <w:t xml:space="preserve">本项最高得5分。</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w:t>
            </w:r>
            <w:r>
              <w:rPr>
                <w:rFonts w:hint="eastAsia" w:ascii="微软雅黑" w:hAnsi="微软雅黑" w:eastAsia="微软雅黑" w:cs="微软雅黑"/>
                <w:szCs w:val="21"/>
                <w:highlight w:val="none"/>
              </w:rPr>
            </w:r>
            <w:r/>
          </w:p>
        </w:tc>
      </w:tr>
      <w:tr>
        <w:trPr>
          <w:trHeight w:val="23"/>
        </w:trPr>
        <w:tc>
          <w:tcPr>
            <w:tcW w:w="760" w:type="dxa"/>
            <w:vAlign w:val="center"/>
            <w:vMerge w:val="restart"/>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8</w:t>
            </w:r>
            <w:r>
              <w:rPr>
                <w:rFonts w:hint="eastAsia" w:ascii="微软雅黑" w:hAnsi="微软雅黑" w:eastAsia="微软雅黑" w:cs="微软雅黑"/>
                <w:szCs w:val="21"/>
                <w:highlight w:val="none"/>
                <w:lang w:eastAsia="zh-CN"/>
              </w:rPr>
            </w:r>
            <w:r/>
          </w:p>
        </w:tc>
        <w:tc>
          <w:tcPr>
            <w:tcW w:w="1404" w:type="dxa"/>
            <w:vAlign w:val="center"/>
            <w:vMerge w:val="restart"/>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拟投入人员状况</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8</w:t>
            </w:r>
            <w:r>
              <w:rPr>
                <w:rFonts w:hint="eastAsia" w:ascii="微软雅黑" w:hAnsi="微软雅黑" w:eastAsia="微软雅黑" w:cs="微软雅黑"/>
                <w:szCs w:val="21"/>
                <w:highlight w:val="none"/>
              </w:rPr>
              <w:t xml:space="preserve">.1医师团队成员：</w:t>
            </w:r>
            <w:r>
              <w:rPr>
                <w:rFonts w:hint="eastAsia" w:ascii="微软雅黑" w:hAnsi="微软雅黑" w:eastAsia="微软雅黑" w:cs="微软雅黑"/>
                <w:szCs w:val="21"/>
                <w:highlight w:val="none"/>
              </w:rPr>
            </w:r>
            <w:r/>
          </w:p>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具有副高职称，有1人得1分，具有正高级职称，有1人得2分，最高得10分（可累加计分，限评5人，配备人员多余5人的，仅评审职称高的前5人。需提供职称证书复印件加盖公章，及投标人于2025年11月以来任意一月为团队成员缴纳的有效社保证明材料复印件）</w:t>
            </w:r>
            <w:r>
              <w:rPr>
                <w:rFonts w:hint="eastAsia" w:ascii="微软雅黑" w:hAnsi="微软雅黑" w:eastAsia="微软雅黑" w:cs="微软雅黑"/>
                <w:b/>
                <w:bCs/>
                <w:szCs w:val="21"/>
                <w:highlight w:val="none"/>
              </w:rPr>
              <w:t xml:space="preserve"> </w:t>
            </w:r>
            <w:r>
              <w:rPr>
                <w:rFonts w:hint="eastAsia" w:ascii="微软雅黑" w:hAnsi="微软雅黑" w:eastAsia="微软雅黑" w:cs="微软雅黑"/>
                <w:szCs w:val="21"/>
                <w:highlight w:val="none"/>
              </w:rPr>
              <w:t xml:space="preserve"> </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w:t>
            </w:r>
            <w:r>
              <w:rPr>
                <w:rFonts w:hint="eastAsia" w:ascii="微软雅黑" w:hAnsi="微软雅黑" w:eastAsia="微软雅黑" w:cs="微软雅黑"/>
                <w:szCs w:val="21"/>
                <w:highlight w:val="none"/>
              </w:rPr>
            </w:r>
            <w:r/>
          </w:p>
        </w:tc>
      </w:tr>
      <w:tr>
        <w:trPr>
          <w:trHeight w:val="23"/>
        </w:trPr>
        <w:tc>
          <w:tcPr>
            <w:tcW w:w="760" w:type="dxa"/>
            <w:vAlign w:val="center"/>
            <w:vMerge w:val="continue"/>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tc>
        <w:tc>
          <w:tcPr>
            <w:tcW w:w="1404" w:type="dxa"/>
            <w:vAlign w:val="center"/>
            <w:vMerge w:val="continue"/>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8</w:t>
            </w:r>
            <w:r>
              <w:rPr>
                <w:rFonts w:hint="eastAsia" w:ascii="微软雅黑" w:hAnsi="微软雅黑" w:eastAsia="微软雅黑" w:cs="微软雅黑"/>
                <w:szCs w:val="21"/>
                <w:highlight w:val="none"/>
              </w:rPr>
              <w:t xml:space="preserve">.2委派护士职称：具有副主任护师及以上职称的，有一人得1分，最高得3分。</w:t>
            </w:r>
            <w:r>
              <w:rPr>
                <w:rFonts w:hint="eastAsia" w:ascii="微软雅黑" w:hAnsi="微软雅黑" w:eastAsia="微软雅黑" w:cs="微软雅黑"/>
                <w:szCs w:val="21"/>
                <w:highlight w:val="none"/>
              </w:rPr>
            </w:r>
            <w:r/>
          </w:p>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（提供职称证书复印件加盖公章，</w:t>
            </w:r>
            <w:r>
              <w:rPr>
                <w:rFonts w:hint="eastAsia" w:ascii="微软雅黑" w:hAnsi="微软雅黑" w:eastAsia="微软雅黑" w:cs="微软雅黑"/>
                <w:szCs w:val="21"/>
                <w:highlight w:val="none"/>
                <w:lang w:bidi="ar"/>
              </w:rPr>
              <w:t xml:space="preserve">及投标人于2025年11月</w:t>
            </w:r>
            <w:r>
              <w:rPr>
                <w:rFonts w:hint="eastAsia" w:ascii="微软雅黑" w:hAnsi="微软雅黑" w:eastAsia="微软雅黑" w:cs="微软雅黑"/>
                <w:szCs w:val="21"/>
                <w:highlight w:val="none"/>
              </w:rPr>
              <w:t xml:space="preserve">以来</w:t>
            </w:r>
            <w:r>
              <w:rPr>
                <w:rFonts w:hint="eastAsia" w:ascii="微软雅黑" w:hAnsi="微软雅黑" w:eastAsia="微软雅黑" w:cs="微软雅黑"/>
                <w:szCs w:val="21"/>
                <w:highlight w:val="none"/>
                <w:lang w:bidi="ar"/>
              </w:rPr>
              <w:t xml:space="preserve">期间任意一月为</w:t>
            </w:r>
            <w:r>
              <w:rPr>
                <w:rFonts w:hint="eastAsia" w:ascii="微软雅黑" w:hAnsi="微软雅黑" w:eastAsia="微软雅黑" w:cs="微软雅黑"/>
                <w:szCs w:val="21"/>
                <w:highlight w:val="none"/>
              </w:rPr>
              <w:t xml:space="preserve">委派护士</w:t>
            </w:r>
            <w:r>
              <w:rPr>
                <w:rFonts w:hint="eastAsia" w:ascii="微软雅黑" w:hAnsi="微软雅黑" w:eastAsia="微软雅黑" w:cs="微软雅黑"/>
                <w:szCs w:val="21"/>
                <w:highlight w:val="none"/>
                <w:lang w:bidi="ar"/>
              </w:rPr>
              <w:t xml:space="preserve">缴纳的有效社保证明材料</w:t>
            </w:r>
            <w:r>
              <w:rPr>
                <w:rFonts w:hint="eastAsia" w:ascii="微软雅黑" w:hAnsi="微软雅黑" w:eastAsia="微软雅黑" w:cs="微软雅黑"/>
                <w:szCs w:val="21"/>
                <w:highlight w:val="none"/>
              </w:rPr>
              <w:t xml:space="preserve">复印件）</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w:t>
            </w:r>
            <w:r>
              <w:rPr>
                <w:rFonts w:hint="eastAsia" w:ascii="微软雅黑" w:hAnsi="微软雅黑" w:eastAsia="微软雅黑" w:cs="微软雅黑"/>
                <w:szCs w:val="21"/>
                <w:highlight w:val="none"/>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9</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业绩</w:t>
            </w:r>
            <w:r>
              <w:rPr>
                <w:rFonts w:hint="eastAsia" w:ascii="微软雅黑" w:hAnsi="微软雅黑" w:eastAsia="微软雅黑" w:cs="微软雅黑"/>
                <w:szCs w:val="21"/>
                <w:highlight w:val="none"/>
              </w:rPr>
            </w:r>
            <w:r/>
          </w:p>
        </w:tc>
        <w:tc>
          <w:tcPr>
            <w:tcW w:w="6886" w:type="dxa"/>
            <w:vAlign w:val="top"/>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cs="微软雅黑"/>
                <w:szCs w:val="21"/>
                <w:highlight w:val="none"/>
                <w:lang w:val="en-US" w:eastAsia="zh-CN"/>
              </w:rPr>
              <w:t xml:space="preserve">9.</w:t>
            </w:r>
            <w:r>
              <w:rPr>
                <w:rFonts w:hint="eastAsia" w:ascii="微软雅黑" w:hAnsi="微软雅黑" w:eastAsia="微软雅黑" w:cs="微软雅黑"/>
                <w:szCs w:val="21"/>
                <w:highlight w:val="none"/>
              </w:rPr>
              <w:t xml:space="preserve">1自2023年1月1日以来有经营类似项目成功案例的，每提供一个案例得1分，满分</w:t>
            </w:r>
            <w:r>
              <w:rPr>
                <w:rFonts w:hint="eastAsia" w:ascii="微软雅黑" w:hAnsi="微软雅黑" w:eastAsia="微软雅黑" w:cs="微软雅黑"/>
                <w:szCs w:val="21"/>
                <w:highlight w:val="none"/>
                <w:lang w:val="en-US" w:eastAsia="zh-CN"/>
              </w:rPr>
              <w:t xml:space="preserve">4</w:t>
            </w:r>
            <w:r>
              <w:rPr>
                <w:rFonts w:hint="eastAsia" w:ascii="微软雅黑" w:hAnsi="微软雅黑" w:eastAsia="微软雅黑" w:cs="微软雅黑"/>
                <w:szCs w:val="21"/>
                <w:highlight w:val="none"/>
              </w:rPr>
              <w:t xml:space="preserve">分（时间以合同签订为准，提供合同复印件加盖公章，同一用户不重复计分）</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eastAsia="微软雅黑" w:cs="微软雅黑"/>
                <w:szCs w:val="21"/>
                <w:highlight w:val="none"/>
                <w:lang w:val="en-US" w:eastAsia="zh-CN"/>
              </w:rPr>
              <w:t xml:space="preserve">4</w:t>
            </w:r>
            <w:r>
              <w:rPr>
                <w:rFonts w:hint="eastAsia" w:ascii="微软雅黑" w:hAnsi="微软雅黑" w:eastAsia="微软雅黑" w:cs="微软雅黑"/>
                <w:szCs w:val="21"/>
                <w:highlight w:val="none"/>
                <w:lang w:eastAsia="zh-CN"/>
              </w:rPr>
            </w:r>
            <w:r/>
          </w:p>
        </w:tc>
      </w:tr>
      <w:tr>
        <w:trPr>
          <w:trHeight w:val="23"/>
        </w:trPr>
        <w:tc>
          <w:tcPr>
            <w:tcW w:w="760" w:type="dxa"/>
            <w:vAlign w:val="center"/>
            <w:textDirection w:val="lrTb"/>
            <w:noWrap w:val="false"/>
          </w:tcPr>
          <w:p>
            <w:pPr>
              <w:pStyle w:val="1063"/>
              <w:jc w:val="center"/>
              <w:spacing w:line="40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eastAsia="微软雅黑" w:cs="微软雅黑"/>
                <w:szCs w:val="21"/>
                <w:highlight w:val="none"/>
                <w:lang w:val="en-US"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满意度评价</w:t>
            </w:r>
            <w:r>
              <w:rPr>
                <w:rFonts w:hint="eastAsia" w:ascii="微软雅黑" w:hAnsi="微软雅黑" w:eastAsia="微软雅黑" w:cs="微软雅黑"/>
                <w:szCs w:val="21"/>
                <w:highlight w:val="none"/>
              </w:rPr>
            </w:r>
            <w:r/>
          </w:p>
        </w:tc>
        <w:tc>
          <w:tcPr>
            <w:tcW w:w="6886" w:type="dxa"/>
            <w:vAlign w:val="top"/>
            <w:textDirection w:val="lrTb"/>
            <w:noWrap w:val="false"/>
          </w:tcPr>
          <w:p>
            <w:pPr>
              <w:pStyle w:val="1063"/>
              <w:spacing w:line="400" w:lineRule="exact"/>
              <w:rPr>
                <w:rFonts w:hint="eastAsia" w:ascii="微软雅黑" w:hAnsi="微软雅黑" w:eastAsia="微软雅黑" w:cs="微软雅黑"/>
                <w:szCs w:val="21"/>
                <w:highlight w:val="none"/>
              </w:rPr>
            </w:pPr>
            <w:r>
              <w:rPr>
                <w:rFonts w:hint="eastAsia" w:ascii="微软雅黑" w:hAnsi="微软雅黑" w:cs="微软雅黑"/>
                <w:bCs/>
                <w:szCs w:val="21"/>
                <w:highlight w:val="none"/>
                <w:lang w:val="en-US" w:eastAsia="zh-CN"/>
              </w:rPr>
              <w:t xml:space="preserve">1</w:t>
            </w:r>
            <w:r>
              <w:rPr>
                <w:rFonts w:hint="eastAsia" w:ascii="微软雅黑" w:hAnsi="微软雅黑" w:cs="微软雅黑"/>
                <w:bCs/>
                <w:szCs w:val="21"/>
                <w:highlight w:val="none"/>
                <w:lang w:val="en-US" w:eastAsia="zh-CN"/>
              </w:rPr>
              <w:t xml:space="preserve">0</w:t>
            </w:r>
            <w:r>
              <w:rPr>
                <w:rFonts w:hint="eastAsia" w:ascii="微软雅黑" w:hAnsi="微软雅黑" w:eastAsia="微软雅黑" w:cs="微软雅黑"/>
                <w:bCs/>
                <w:szCs w:val="21"/>
                <w:highlight w:val="none"/>
              </w:rPr>
              <w:t xml:space="preserve">.1根据提供的自2023年1月以来用户书面评价及意见反馈情况，评价为优或满意评价</w:t>
            </w:r>
            <w:r>
              <w:rPr>
                <w:rFonts w:hint="eastAsia" w:ascii="微软雅黑" w:hAnsi="微软雅黑" w:eastAsia="微软雅黑" w:cs="微软雅黑"/>
                <w:szCs w:val="21"/>
                <w:highlight w:val="none"/>
              </w:rPr>
              <w:t xml:space="preserve">（</w:t>
            </w:r>
            <w:r>
              <w:rPr>
                <w:rFonts w:hint="eastAsia" w:ascii="微软雅黑" w:hAnsi="微软雅黑" w:eastAsia="微软雅黑" w:cs="微软雅黑"/>
                <w:b/>
                <w:bCs/>
                <w:szCs w:val="21"/>
                <w:highlight w:val="none"/>
              </w:rPr>
              <w:t xml:space="preserve">须有用户方盖章或部门盖章</w:t>
            </w:r>
            <w:r>
              <w:rPr>
                <w:rFonts w:hint="eastAsia" w:ascii="微软雅黑" w:hAnsi="微软雅黑" w:eastAsia="微软雅黑" w:cs="微软雅黑"/>
                <w:szCs w:val="21"/>
                <w:highlight w:val="none"/>
              </w:rPr>
              <w:t xml:space="preserve">）</w:t>
            </w:r>
            <w:r>
              <w:rPr>
                <w:rFonts w:hint="eastAsia" w:ascii="微软雅黑" w:hAnsi="微软雅黑" w:eastAsia="微软雅黑" w:cs="微软雅黑"/>
                <w:bCs/>
                <w:szCs w:val="21"/>
                <w:highlight w:val="none"/>
              </w:rPr>
              <w:t xml:space="preserve">的每份得1分，最高得3分</w:t>
            </w:r>
            <w:r>
              <w:rPr>
                <w:rFonts w:hint="eastAsia" w:ascii="微软雅黑" w:hAnsi="微软雅黑" w:eastAsia="微软雅黑" w:cs="微软雅黑"/>
                <w:szCs w:val="21"/>
                <w:highlight w:val="none"/>
              </w:rPr>
              <w:t xml:space="preserve">（投标文件中提供相关证明材料复印件加盖公章）</w:t>
            </w:r>
            <w:r>
              <w:rPr>
                <w:rFonts w:hint="eastAsia" w:ascii="微软雅黑" w:hAnsi="微软雅黑" w:eastAsia="微软雅黑" w:cs="微软雅黑"/>
                <w:bCs/>
                <w:szCs w:val="21"/>
                <w:highlight w:val="none"/>
              </w:rPr>
              <w:t xml:space="preserve">。</w:t>
            </w:r>
            <w:r>
              <w:rPr>
                <w:rFonts w:hint="eastAsia" w:ascii="微软雅黑" w:hAnsi="微软雅黑" w:eastAsia="微软雅黑" w:cs="微软雅黑"/>
                <w:szCs w:val="21"/>
                <w:highlight w:val="none"/>
              </w:rPr>
            </w:r>
            <w:r/>
          </w:p>
        </w:tc>
        <w:tc>
          <w:tcPr>
            <w:tcW w:w="8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w:t>
            </w:r>
            <w:r>
              <w:rPr>
                <w:rFonts w:hint="eastAsia" w:ascii="微软雅黑" w:hAnsi="微软雅黑" w:eastAsia="微软雅黑" w:cs="微软雅黑"/>
                <w:szCs w:val="21"/>
                <w:highlight w:val="none"/>
              </w:rPr>
            </w:r>
            <w:r/>
          </w:p>
        </w:tc>
      </w:tr>
      <w:tr>
        <w:trPr>
          <w:trHeight w:val="23"/>
        </w:trPr>
        <w:tc>
          <w:tcPr>
            <w:tcW w:w="760"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lang w:eastAsia="zh-CN"/>
              </w:rPr>
            </w:pPr>
            <w:r>
              <w:rPr>
                <w:rFonts w:hint="eastAsia" w:ascii="微软雅黑" w:hAnsi="微软雅黑" w:eastAsia="微软雅黑" w:cs="微软雅黑"/>
                <w:szCs w:val="21"/>
                <w:highlight w:val="none"/>
              </w:rPr>
              <w:t xml:space="preserve">1</w:t>
            </w:r>
            <w:r>
              <w:rPr>
                <w:rFonts w:hint="eastAsia" w:ascii="微软雅黑" w:hAnsi="微软雅黑" w:cs="微软雅黑"/>
                <w:szCs w:val="21"/>
                <w:highlight w:val="none"/>
                <w:lang w:val="en-US" w:eastAsia="zh-CN"/>
              </w:rPr>
              <w:t xml:space="preserve">1</w:t>
            </w:r>
            <w:r>
              <w:rPr>
                <w:rFonts w:hint="eastAsia" w:ascii="微软雅黑" w:hAnsi="微软雅黑" w:eastAsia="微软雅黑" w:cs="微软雅黑"/>
                <w:szCs w:val="21"/>
                <w:highlight w:val="none"/>
                <w:lang w:eastAsia="zh-CN"/>
              </w:rPr>
            </w:r>
            <w:r/>
          </w:p>
        </w:tc>
        <w:tc>
          <w:tcPr>
            <w:tcW w:w="1404" w:type="dxa"/>
            <w:vAlign w:val="center"/>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总分</w:t>
            </w:r>
            <w:r>
              <w:rPr>
                <w:rFonts w:hint="eastAsia" w:ascii="微软雅黑" w:hAnsi="微软雅黑" w:eastAsia="微软雅黑" w:cs="微软雅黑"/>
                <w:szCs w:val="21"/>
                <w:highlight w:val="none"/>
              </w:rPr>
            </w:r>
            <w:r/>
          </w:p>
        </w:tc>
        <w:tc>
          <w:tcPr>
            <w:tcW w:w="6886" w:type="dxa"/>
            <w:vAlign w:val="center"/>
            <w:textDirection w:val="lrTb"/>
            <w:noWrap w:val="false"/>
          </w:tcPr>
          <w:p>
            <w:pPr>
              <w:pStyle w:val="1063"/>
              <w:jc w:val="left"/>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tc>
        <w:tc>
          <w:tcPr>
            <w:tcW w:w="804" w:type="dxa"/>
            <w:vAlign w:val="top"/>
            <w:textDirection w:val="lrTb"/>
            <w:noWrap w:val="false"/>
          </w:tcPr>
          <w:p>
            <w:pPr>
              <w:pStyle w:val="1063"/>
              <w:jc w:val="center"/>
              <w:spacing w:line="40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w:t>
            </w:r>
            <w:r>
              <w:rPr>
                <w:rFonts w:hint="eastAsia" w:ascii="微软雅黑" w:hAnsi="微软雅黑" w:eastAsia="微软雅黑" w:cs="微软雅黑"/>
                <w:szCs w:val="21"/>
                <w:highlight w:val="none"/>
              </w:rPr>
            </w:r>
            <w:r/>
          </w:p>
        </w:tc>
      </w:tr>
    </w:tbl>
    <w:p>
      <w:pPr>
        <w:pStyle w:val="1063"/>
        <w:spacing w:line="400" w:lineRule="exact"/>
        <w:rPr>
          <w:rFonts w:hint="eastAsia" w:ascii="微软雅黑" w:hAnsi="微软雅黑" w:cs="微软雅黑"/>
          <w:b/>
          <w:bCs/>
          <w:szCs w:val="21"/>
        </w:rPr>
      </w:pPr>
      <w:r/>
      <w:bookmarkEnd w:id="261"/>
      <w:r>
        <w:rPr>
          <w:rFonts w:hint="eastAsia" w:ascii="微软雅黑" w:hAnsi="微软雅黑" w:cs="微软雅黑"/>
          <w:b/>
          <w:sz w:val="24"/>
          <w:szCs w:val="24"/>
        </w:rPr>
        <w:t xml:space="preserve">备注：</w:t>
      </w:r>
      <w:r>
        <w:rPr>
          <w:rFonts w:hint="eastAsia" w:ascii="微软雅黑" w:hAnsi="微软雅黑" w:cs="微软雅黑"/>
          <w:b/>
          <w:bCs/>
          <w:szCs w:val="21"/>
        </w:rPr>
      </w:r>
      <w:r/>
    </w:p>
    <w:p>
      <w:pPr>
        <w:pStyle w:val="1063"/>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1063"/>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1063"/>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本项目对小型和微型企业服务给予10%的扣除价格，用扣除后的价格参与评审。</w:t>
      </w:r>
      <w:r>
        <w:rPr>
          <w:rFonts w:hint="eastAsia" w:ascii="微软雅黑" w:hAnsi="微软雅黑" w:cs="微软雅黑"/>
          <w:szCs w:val="21"/>
        </w:rPr>
      </w:r>
      <w:r/>
    </w:p>
    <w:p>
      <w:pPr>
        <w:pStyle w:val="1063"/>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1063"/>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1063"/>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1063"/>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hint="eastAsia" w:ascii="微软雅黑" w:hAnsi="微软雅黑" w:cs="微软雅黑"/>
          <w:szCs w:val="21"/>
        </w:rPr>
      </w:r>
      <w:r/>
    </w:p>
    <w:p>
      <w:pPr>
        <w:pStyle w:val="1063"/>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1063"/>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1063"/>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1063"/>
        <w:numPr>
          <w:ilvl w:val="0"/>
          <w:numId w:val="11"/>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hint="eastAsia" w:ascii="微软雅黑" w:hAnsi="微软雅黑" w:cs="微软雅黑"/>
          <w:szCs w:val="21"/>
        </w:rPr>
      </w:r>
      <w:r/>
    </w:p>
    <w:p>
      <w:pPr>
        <w:pStyle w:val="1063"/>
        <w:numPr>
          <w:ilvl w:val="0"/>
          <w:numId w:val="11"/>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1063"/>
        <w:numPr>
          <w:ilvl w:val="0"/>
          <w:numId w:val="11"/>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1063"/>
        <w:spacing w:line="400" w:lineRule="exact"/>
        <w:rPr>
          <w:rFonts w:hint="eastAsia" w:ascii="微软雅黑" w:hAnsi="微软雅黑" w:cs="微软雅黑"/>
          <w:b/>
          <w:bCs/>
          <w:szCs w:val="21"/>
        </w:rPr>
      </w:pPr>
      <w:r>
        <w:rPr>
          <w:rFonts w:hint="eastAsia" w:ascii="微软雅黑" w:hAnsi="微软雅黑" w:cs="微软雅黑"/>
          <w:b/>
          <w:bCs/>
          <w:szCs w:val="21"/>
        </w:rPr>
        <w:t xml:space="preserve">残疾人福利单位、监狱企业属于小型、微型企业的，不重复享受政策</w:t>
      </w:r>
      <w:r>
        <w:rPr>
          <w:rFonts w:hint="eastAsia" w:ascii="微软雅黑" w:hAnsi="微软雅黑" w:cs="微软雅黑"/>
          <w:b/>
          <w:bCs/>
          <w:szCs w:val="21"/>
        </w:rPr>
      </w:r>
      <w:r/>
    </w:p>
    <w:p>
      <w:pPr>
        <w:pStyle w:val="1064"/>
        <w:numPr>
          <w:ilvl w:val="0"/>
          <w:numId w:val="12"/>
        </w:numPr>
        <w:spacing w:line="420" w:lineRule="exact"/>
        <w:rPr>
          <w:rFonts w:hint="eastAsia" w:ascii="微软雅黑" w:hAnsi="微软雅黑" w:cs="微软雅黑"/>
          <w:szCs w:val="32"/>
        </w:rPr>
      </w:pPr>
      <w:r>
        <w:rPr>
          <w:rFonts w:hint="eastAsia" w:ascii="微软雅黑" w:hAnsi="微软雅黑" w:cs="微软雅黑"/>
        </w:rPr>
        <w:br w:type="page" w:clear="all"/>
      </w:r>
      <w:bookmarkStart w:id="263" w:name="_Toc27746"/>
      <w:r/>
      <w:bookmarkStart w:id="264" w:name="_Toc21811"/>
      <w:r/>
      <w:bookmarkStart w:id="265" w:name="_Hlk135927440"/>
      <w:r>
        <w:rPr>
          <w:rFonts w:hint="eastAsia" w:ascii="微软雅黑" w:hAnsi="微软雅黑" w:cs="微软雅黑"/>
        </w:rPr>
        <w:t xml:space="preserve"> </w:t>
      </w:r>
      <w:bookmarkStart w:id="266" w:name="_Toc360"/>
      <w:r>
        <w:rPr>
          <w:rFonts w:hint="eastAsia" w:ascii="微软雅黑" w:hAnsi="微软雅黑" w:cs="微软雅黑"/>
          <w:szCs w:val="32"/>
        </w:rPr>
        <w:t xml:space="preserve">采购需求</w:t>
      </w:r>
      <w:bookmarkEnd w:id="263"/>
      <w:r/>
      <w:bookmarkEnd w:id="264"/>
      <w:r/>
      <w:bookmarkEnd w:id="266"/>
      <w:r>
        <w:rPr>
          <w:rFonts w:hint="eastAsia" w:ascii="微软雅黑" w:hAnsi="微软雅黑" w:cs="微软雅黑"/>
          <w:szCs w:val="32"/>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采购文件中标注“★”的内容为实质性要求，有一项不符合的，作无效投标处理。</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b/>
          <w:bCs/>
          <w:color w:val="000000"/>
          <w:szCs w:val="21"/>
        </w:rPr>
      </w:pPr>
      <w:r/>
      <w:bookmarkEnd w:id="265"/>
      <w:r/>
      <w:bookmarkStart w:id="267" w:name="_Toc22289"/>
      <w:r>
        <w:rPr>
          <w:rFonts w:hint="eastAsia" w:ascii="微软雅黑" w:hAnsi="微软雅黑" w:cs="微软雅黑"/>
          <w:b/>
          <w:bCs/>
          <w:color w:val="000000"/>
          <w:szCs w:val="21"/>
        </w:rPr>
        <w:t xml:space="preserve">一、项目基本概况</w:t>
      </w:r>
      <w:r>
        <w:rPr>
          <w:rFonts w:hint="eastAsia" w:ascii="微软雅黑" w:hAnsi="微软雅黑" w:cs="微软雅黑"/>
          <w:b/>
          <w:bCs/>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为加强和规范南京林业大学淮安校区医疗卫生服务工作，保障在校师生的身心健康，预防和处置突发公共卫生事件的发生，经学校研究决定，通过公开招标的方式将淮安校区医疗卫生服务进行委托管理。</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bookmarkStart w:id="268" w:name="_Hlk105421904"/>
      <w:r>
        <w:rPr>
          <w:rFonts w:hint="eastAsia" w:ascii="微软雅黑" w:hAnsi="微软雅黑" w:cs="微软雅黑"/>
          <w:color w:val="000000"/>
          <w:szCs w:val="21"/>
        </w:rPr>
        <w:t xml:space="preserve">本次招标项目预</w:t>
      </w:r>
      <w:r>
        <w:rPr>
          <w:rFonts w:hint="eastAsia" w:ascii="微软雅黑" w:hAnsi="微软雅黑" w:cs="微软雅黑"/>
          <w:color w:val="000000"/>
          <w:szCs w:val="21"/>
        </w:rPr>
        <w:t xml:space="preserve">算：托管服务费25万元/年，新生体检费用（最高不超过86元/人</w:t>
      </w:r>
      <w:bookmarkStart w:id="269" w:name="_Hlk173335857"/>
      <w:r>
        <w:rPr>
          <w:rFonts w:hint="eastAsia" w:ascii="微软雅黑" w:hAnsi="微软雅黑" w:cs="微软雅黑"/>
          <w:color w:val="000000"/>
          <w:szCs w:val="21"/>
        </w:rPr>
        <w:t xml:space="preserve">）新生体检费用按照实际发生数量收取费用</w:t>
      </w:r>
      <w:bookmarkEnd w:id="269"/>
      <w:r>
        <w:rPr>
          <w:rFonts w:hint="eastAsia" w:ascii="微软雅黑" w:hAnsi="微软雅黑" w:cs="微软雅黑"/>
          <w:color w:val="000000"/>
          <w:szCs w:val="21"/>
        </w:rPr>
        <w:t xml:space="preserve">，投标总报价不得超过</w:t>
      </w:r>
      <w:r>
        <w:rPr>
          <w:rFonts w:hint="eastAsia" w:ascii="微软雅黑" w:hAnsi="微软雅黑" w:cs="微软雅黑"/>
          <w:color w:val="000000"/>
          <w:szCs w:val="21"/>
          <w:lang w:eastAsia="zh-CN"/>
        </w:rPr>
        <w:t xml:space="preserve">56.7340万元</w:t>
      </w: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本次招标经营服务期限为三年（自合同签订之日起计；合同一年一签，经采购人当年度考核合格后，签订下一年合同）</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b/>
          <w:bCs/>
          <w:szCs w:val="21"/>
        </w:rPr>
      </w:pPr>
      <w:r/>
      <w:bookmarkEnd w:id="268"/>
      <w:r>
        <w:rPr>
          <w:rFonts w:hint="eastAsia" w:ascii="微软雅黑" w:hAnsi="微软雅黑" w:cs="微软雅黑"/>
          <w:b/>
          <w:bCs/>
          <w:szCs w:val="21"/>
        </w:rPr>
        <w:t xml:space="preserve">二、服务及质量需求</w:t>
      </w:r>
      <w:r>
        <w:rPr>
          <w:rFonts w:hint="eastAsia" w:ascii="微软雅黑" w:hAnsi="微软雅黑" w:cs="微软雅黑"/>
          <w:b/>
          <w:bCs/>
          <w:szCs w:val="21"/>
        </w:rPr>
      </w:r>
      <w:r/>
    </w:p>
    <w:p>
      <w:pPr>
        <w:pStyle w:val="1063"/>
        <w:ind w:firstLine="420"/>
        <w:spacing w:line="420" w:lineRule="exact"/>
        <w:widowControl/>
        <w:rPr>
          <w:rFonts w:hint="eastAsia" w:ascii="微软雅黑" w:hAnsi="微软雅黑" w:cs="微软雅黑"/>
          <w:szCs w:val="21"/>
        </w:rPr>
      </w:pPr>
      <w:r>
        <w:rPr>
          <w:rFonts w:hint="eastAsia" w:ascii="微软雅黑" w:hAnsi="微软雅黑" w:cs="微软雅黑"/>
          <w:szCs w:val="21"/>
        </w:rPr>
        <w:t xml:space="preserve">（一）项目介绍</w:t>
      </w:r>
      <w:r>
        <w:rPr>
          <w:rFonts w:hint="eastAsia" w:ascii="微软雅黑" w:hAnsi="微软雅黑" w:cs="微软雅黑"/>
          <w:szCs w:val="21"/>
        </w:rPr>
      </w:r>
      <w:r/>
    </w:p>
    <w:p>
      <w:pPr>
        <w:pStyle w:val="1063"/>
        <w:ind w:firstLine="420"/>
        <w:spacing w:line="420" w:lineRule="exact"/>
        <w:widowControl/>
        <w:rPr>
          <w:rFonts w:hint="eastAsia" w:ascii="微软雅黑" w:hAnsi="微软雅黑" w:cs="微软雅黑"/>
          <w:szCs w:val="21"/>
        </w:rPr>
      </w:pPr>
      <w:r>
        <w:rPr>
          <w:rFonts w:hint="eastAsia" w:ascii="微软雅黑" w:hAnsi="微软雅黑" w:cs="微软雅黑"/>
          <w:szCs w:val="21"/>
        </w:rPr>
        <w:t xml:space="preserve">南京林业大学淮安校区位于江苏省淮安市经济开发区枚皋路1号</w:t>
      </w:r>
      <w:bookmarkStart w:id="270" w:name="_Hlk173242787"/>
      <w:r>
        <w:rPr>
          <w:rFonts w:hint="eastAsia" w:ascii="微软雅黑" w:hAnsi="微软雅黑" w:cs="微软雅黑"/>
          <w:szCs w:val="21"/>
        </w:rPr>
        <w:t xml:space="preserve">，</w:t>
      </w:r>
      <w:bookmarkEnd w:id="270"/>
      <w:r>
        <w:rPr>
          <w:rFonts w:hint="eastAsia" w:ascii="微软雅黑" w:hAnsi="微软雅黑" w:cs="微软雅黑"/>
          <w:szCs w:val="21"/>
        </w:rPr>
        <w:t xml:space="preserve">2026年淮安校区计划招生人数约为36</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0人（投标人暂按36</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0人计入新生体检费用），2026年9月预计在校人数约7200人，后期在校人数仍有增加趋势。校区实行2+2办学模式，即一、二年级学生在淮安校区学习，三年级开始在南京新庄校区相应学院学习。</w:t>
      </w:r>
      <w:r>
        <w:rPr>
          <w:rFonts w:hint="eastAsia" w:ascii="微软雅黑" w:hAnsi="微软雅黑" w:cs="微软雅黑"/>
          <w:szCs w:val="21"/>
        </w:rPr>
      </w:r>
      <w:r/>
    </w:p>
    <w:p>
      <w:pPr>
        <w:pStyle w:val="1063"/>
        <w:ind w:firstLine="420"/>
        <w:spacing w:line="420" w:lineRule="exact"/>
        <w:widowControl/>
        <w:rPr>
          <w:rFonts w:hint="eastAsia" w:ascii="微软雅黑" w:hAnsi="微软雅黑" w:cs="微软雅黑"/>
          <w:szCs w:val="21"/>
        </w:rPr>
      </w:pPr>
      <w:r>
        <w:rPr>
          <w:rFonts w:hint="eastAsia" w:ascii="微软雅黑" w:hAnsi="微软雅黑" w:cs="微软雅黑"/>
          <w:szCs w:val="21"/>
        </w:rPr>
        <w:t xml:space="preserve">（二）服务要求</w:t>
      </w:r>
      <w:r>
        <w:rPr>
          <w:rFonts w:hint="eastAsia" w:ascii="微软雅黑" w:hAnsi="微软雅黑" w:cs="微软雅黑"/>
          <w:szCs w:val="21"/>
        </w:rPr>
      </w:r>
      <w:r/>
    </w:p>
    <w:p>
      <w:pPr>
        <w:pStyle w:val="1063"/>
        <w:ind w:firstLine="420"/>
        <w:spacing w:line="420" w:lineRule="exact"/>
        <w:widowControl/>
        <w:rPr>
          <w:rFonts w:hint="eastAsia" w:ascii="微软雅黑" w:hAnsi="微软雅黑" w:cs="微软雅黑"/>
          <w:szCs w:val="21"/>
        </w:rPr>
      </w:pPr>
      <w:r>
        <w:rPr>
          <w:rFonts w:hint="eastAsia" w:ascii="微软雅黑" w:hAnsi="微软雅黑" w:cs="微软雅黑"/>
          <w:szCs w:val="21"/>
        </w:rPr>
        <w:t xml:space="preserve">1.医务室位于校区学生宿舍区8栋C区一楼，总使用面积约130㎡左右。采购人提供医务室医疗机构执业许可证办理协助，若中标人需要另行装修，须经采购人同意，所需费用自行承担。学校保证医务室（或医疗点）通电、通水、网络保障，根据中标人需要，将现有的部分办公家具、空调等借给中标人使用，履行借用手续。新增设备自行添置。合同期满，由中标人、后勤保障部清点并完善移交签字手续。</w:t>
      </w:r>
      <w:r>
        <w:rPr>
          <w:rFonts w:hint="eastAsia" w:ascii="微软雅黑" w:hAnsi="微软雅黑" w:cs="微软雅黑"/>
          <w:szCs w:val="21"/>
        </w:rPr>
      </w:r>
      <w:r/>
    </w:p>
    <w:p>
      <w:pPr>
        <w:pStyle w:val="1063"/>
        <w:ind w:firstLine="420"/>
        <w:spacing w:line="420" w:lineRule="exact"/>
        <w:widowControl/>
        <w:rPr>
          <w:rFonts w:hint="eastAsia" w:ascii="微软雅黑" w:hAnsi="微软雅黑" w:cs="微软雅黑"/>
          <w:szCs w:val="21"/>
        </w:rPr>
      </w:pPr>
      <w:r>
        <w:rPr>
          <w:rFonts w:hint="eastAsia" w:ascii="微软雅黑" w:hAnsi="微软雅黑" w:cs="微软雅黑"/>
          <w:szCs w:val="21"/>
        </w:rPr>
        <w:t xml:space="preserve">2.中标人为淮安校区师生提供有偿医疗服务，师生自愿选择是否到医务室（或医疗点）就医；中标人能建立健全的药品采供信息化系统平台，提供的药品采购渠道合法、合规，药品售价不得高于医保限价。</w:t>
      </w:r>
      <w:r>
        <w:rPr>
          <w:rFonts w:hint="eastAsia" w:ascii="微软雅黑" w:hAnsi="微软雅黑" w:cs="微软雅黑"/>
          <w:szCs w:val="21"/>
        </w:rPr>
      </w:r>
      <w:r/>
    </w:p>
    <w:p>
      <w:pPr>
        <w:pStyle w:val="1063"/>
        <w:ind w:firstLine="420"/>
        <w:spacing w:line="420" w:lineRule="exact"/>
        <w:widowControl/>
        <w:rPr>
          <w:rFonts w:hint="eastAsia" w:ascii="微软雅黑" w:hAnsi="微软雅黑" w:cs="微软雅黑"/>
          <w:b/>
          <w:bCs/>
          <w:szCs w:val="21"/>
        </w:rPr>
      </w:pPr>
      <w:r>
        <w:rPr>
          <w:rFonts w:hint="eastAsia" w:ascii="微软雅黑" w:hAnsi="微软雅黑" w:cs="微软雅黑"/>
          <w:b/>
          <w:bCs/>
          <w:szCs w:val="21"/>
        </w:rPr>
        <w:t xml:space="preserve">中标人须按照采购人要求安排专人为在校参保学生办理门诊报销服务</w:t>
      </w:r>
      <w:r>
        <w:rPr>
          <w:rFonts w:hint="eastAsia" w:ascii="宋体" w:hAnsi="宋体"/>
          <w:bCs/>
          <w:szCs w:val="21"/>
        </w:rPr>
        <w:t xml:space="preserve">，配合学校做好相关工作，保证不逾期</w:t>
      </w:r>
      <w:r>
        <w:rPr>
          <w:rFonts w:hint="eastAsia" w:ascii="微软雅黑" w:hAnsi="微软雅黑" w:cs="微软雅黑"/>
          <w:b/>
          <w:bCs/>
          <w:szCs w:val="21"/>
        </w:rPr>
        <w:t xml:space="preserve">。（提供承诺书并加盖供应商公章）</w:t>
      </w:r>
      <w:r>
        <w:rPr>
          <w:rFonts w:hint="eastAsia" w:ascii="微软雅黑" w:hAnsi="微软雅黑" w:cs="微软雅黑"/>
          <w:b/>
          <w:bCs/>
          <w:szCs w:val="21"/>
        </w:rPr>
      </w:r>
      <w:r/>
    </w:p>
    <w:p>
      <w:pPr>
        <w:pStyle w:val="1063"/>
        <w:ind w:firstLine="420"/>
        <w:spacing w:line="420" w:lineRule="exact"/>
        <w:widowControl/>
        <w:rPr>
          <w:rFonts w:ascii="微软雅黑" w:hAnsi="微软雅黑" w:cs="微软雅黑"/>
          <w:szCs w:val="21"/>
        </w:rPr>
      </w:pPr>
      <w:r>
        <w:rPr>
          <w:rFonts w:hint="eastAsia" w:ascii="微软雅黑" w:hAnsi="微软雅黑" w:cs="微软雅黑"/>
          <w:szCs w:val="21"/>
        </w:rPr>
        <w:t xml:space="preserve">3.1中标人为淮安校区新生提供入学体检服务，安排体检车到淮安校区开展新生体检，</w:t>
      </w:r>
      <w:r>
        <w:rPr>
          <w:rFonts w:hint="eastAsia" w:ascii="微软雅黑" w:hAnsi="微软雅黑" w:cs="微软雅黑"/>
          <w:b/>
          <w:szCs w:val="21"/>
        </w:rPr>
        <w:t xml:space="preserve">采购人根据中标人投标体检价格收取新生入学体检费用并统一划拨给中标方</w:t>
      </w:r>
      <w:r>
        <w:rPr>
          <w:rFonts w:hint="eastAsia" w:ascii="微软雅黑" w:hAnsi="微软雅黑" w:cs="微软雅黑"/>
          <w:szCs w:val="21"/>
        </w:rPr>
        <w:t xml:space="preserve">。体检项目根据江苏省教育厅、</w:t>
      </w:r>
      <w:r>
        <w:rPr>
          <w:rFonts w:hint="eastAsia" w:ascii="微软雅黑" w:hAnsi="微软雅黑" w:cs="微软雅黑"/>
          <w:szCs w:val="21"/>
          <w:lang w:eastAsia="zh-CN"/>
        </w:rPr>
        <w:t xml:space="preserve">江苏省卫生和计划生育委员会</w:t>
      </w:r>
      <w:r>
        <w:rPr>
          <w:rFonts w:hint="eastAsia" w:ascii="微软雅黑" w:hAnsi="微软雅黑" w:cs="微软雅黑"/>
          <w:szCs w:val="21"/>
        </w:rPr>
        <w:t xml:space="preserve">及江苏省物价局联合发布的《关于加强全省普通高等学校学生健康体检工作的通知》（苏教体艺〔2018〕8</w:t>
      </w:r>
      <w:r>
        <w:rPr>
          <w:rFonts w:hint="eastAsia" w:ascii="微软雅黑" w:hAnsi="微软雅黑" w:cs="微软雅黑"/>
          <w:color w:val="000000"/>
          <w:szCs w:val="21"/>
        </w:rPr>
        <w:t xml:space="preserve">号）、《中国学校结核病防控指南</w:t>
      </w:r>
      <w:r>
        <w:rPr>
          <w:rFonts w:hint="eastAsia" w:ascii="微软雅黑" w:hAnsi="微软雅黑" w:cs="微软雅黑"/>
          <w:color w:val="000000"/>
          <w:szCs w:val="21"/>
        </w:rPr>
        <w:t xml:space="preserve">（2020版）》及《关于进一步加强学校结核病防控工作的紧急通知》（苏卫疾控〔2020〕84号）等文件规定以及学校当年的体检安排执行，有新文件规定时按新文件执行。学生体检后需要复查的，由中标人负责，需要进一步诊查的，所产生的费用由学生个人承担。学校协助、配合中标人开展体检工作，体检时间以采购人的通知为准。学生体检报告、档案、体检人数等情况由中标人分类后直接交给采购人相关职能部门；凡是淮安校区学生在规定时间内未参加体检，同时中标人又向学校履行了体检告知义务后，学生仍不参加体检的，因此而引起的相关责任由学生承担。</w:t>
      </w:r>
      <w:r>
        <w:rPr>
          <w:rFonts w:ascii="微软雅黑" w:hAnsi="微软雅黑" w:cs="微软雅黑"/>
          <w:szCs w:val="21"/>
        </w:rPr>
        <w:t xml:space="preserve">新生入学体检须严格把控质量。若出现肺结核漏检情况，由中标方承担全部相关责任，由此产生的各项费用，均从体检项目款项中予以扣除。</w:t>
      </w:r>
      <w:r>
        <w:rPr>
          <w:rFonts w:ascii="微软雅黑" w:hAnsi="微软雅黑" w:cs="微软雅黑"/>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b/>
          <w:bCs/>
          <w:color w:val="000000"/>
          <w:szCs w:val="21"/>
        </w:rPr>
        <w:t xml:space="preserve">3.2中标人提供参与体检的卫生技术人员一览表（姓名、性别、年龄、执业类别、执业地点及科室、资质证书编号等）</w:t>
      </w:r>
      <w:r>
        <w:rPr>
          <w:rFonts w:hint="eastAsia" w:ascii="微软雅黑" w:hAnsi="微软雅黑" w:cs="微软雅黑"/>
          <w:color w:val="000000"/>
          <w:szCs w:val="21"/>
        </w:rPr>
        <w:t xml:space="preserve">，</w:t>
      </w:r>
      <w:r>
        <w:rPr>
          <w:rFonts w:hint="eastAsia" w:ascii="微软雅黑" w:hAnsi="微软雅黑" w:cs="微软雅黑"/>
          <w:b/>
          <w:bCs/>
          <w:color w:val="000000"/>
          <w:szCs w:val="21"/>
        </w:rPr>
        <w:t xml:space="preserve">以及用于学生体检的医疗设备及耗材清单，附必要的设备许可证明文件复印件。</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4.中标人独立承担医务室（或医疗点）经营以及负责承担淮安校区医务室工作职责中所涉及的成本、风险、债权、债务、医疗事故、民事和法律纠纷责任及经济赔偿责任、发生的人身和财产安全事故责任等；及时有效采取相应措施化解由于医疗纠纷或责任事故可能给学校带来的干扰和不良行为。</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b/>
          <w:bCs/>
          <w:strike/>
          <w:color w:val="ff0000"/>
          <w:szCs w:val="21"/>
        </w:rPr>
      </w:pPr>
      <w:r>
        <w:rPr>
          <w:rFonts w:hint="eastAsia" w:ascii="微软雅黑" w:hAnsi="微软雅黑" w:cs="微软雅黑"/>
          <w:color w:val="000000"/>
          <w:szCs w:val="21"/>
        </w:rPr>
        <w:t xml:space="preserve">5.医务人员资格条件（</w:t>
      </w:r>
      <w:r>
        <w:rPr>
          <w:rFonts w:hint="eastAsia" w:ascii="微软雅黑" w:hAnsi="微软雅黑" w:cs="微软雅黑"/>
          <w:b/>
          <w:bCs/>
          <w:color w:val="000000"/>
          <w:szCs w:val="21"/>
        </w:rPr>
        <w:t xml:space="preserve">应标时需提供相应资质复印件加盖公章）</w:t>
      </w:r>
      <w:r>
        <w:rPr>
          <w:rFonts w:hint="eastAsia" w:ascii="微软雅黑" w:hAnsi="微软雅黑" w:cs="微软雅黑"/>
          <w:b/>
          <w:bCs/>
          <w:strike/>
          <w:color w:val="ff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医生：具有中华人民共和国医师资格证的在职医务人员，并在医疗机构取得执业医师资格证的全科或临床医生，年龄须在55周岁以下且有3年及以上的工作经验。</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6.医务人员数量及服务要求</w:t>
      </w:r>
      <w:r>
        <w:rPr>
          <w:rFonts w:hint="eastAsia" w:ascii="微软雅黑" w:hAnsi="微软雅黑" w:cs="微软雅黑"/>
          <w:color w:val="000000"/>
          <w:szCs w:val="21"/>
        </w:rPr>
      </w:r>
      <w:r/>
    </w:p>
    <w:p>
      <w:pPr>
        <w:pStyle w:val="1252"/>
        <w:ind w:firstLine="420"/>
        <w:spacing w:line="420" w:lineRule="exact"/>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白天（8:00-18:00）在岗医护人员不少于3人，其中医生（中级资质以上）不少于1人，护士（有护士资格证）不少1名，药师不少于1名。特殊时期根据需要增派人手，确保诊疗服务正常有序。中标人为学生提供24小时医疗服务。值班表、常规医疗服务、分诊咨询日、应急救护等相关项目资料留存甲方存档。接到校内救护通知时，十分钟到达现场，及时进行诊疗服务。</w:t>
      </w:r>
      <w:r>
        <w:rPr>
          <w:rFonts w:hint="eastAsia" w:ascii="微软雅黑" w:hAnsi="微软雅黑" w:eastAsia="微软雅黑" w:cs="微软雅黑"/>
          <w:color w:val="000000"/>
          <w:szCs w:val="21"/>
        </w:rPr>
      </w:r>
      <w:r/>
    </w:p>
    <w:p>
      <w:pPr>
        <w:pStyle w:val="1252"/>
        <w:ind w:firstLine="396"/>
        <w:spacing w:line="420" w:lineRule="exact"/>
        <w:rPr>
          <w:rFonts w:hint="eastAsia" w:ascii="微软雅黑" w:hAnsi="微软雅黑" w:eastAsia="微软雅黑" w:cs="微软雅黑"/>
          <w:color w:val="000000"/>
          <w:spacing w:val="-6"/>
          <w:szCs w:val="21"/>
          <w:highlight w:val="none"/>
        </w:rPr>
      </w:pPr>
      <w:r>
        <w:rPr>
          <w:rFonts w:hint="eastAsia" w:ascii="微软雅黑" w:hAnsi="微软雅黑" w:eastAsia="微软雅黑" w:cs="微软雅黑"/>
          <w:color w:val="000000"/>
          <w:spacing w:val="-6"/>
          <w:szCs w:val="21"/>
        </w:rPr>
        <w:t xml:space="preserve">上班时间为08:00-12：00和14:00-18:00，其它时间为值班时间，医生在医务室待岗，交接班准时。夜间22：00-凌晨06:00值班医生无紧急医疗任务的情况下可在休息室休息，但必须</w:t>
      </w:r>
      <w:r>
        <w:rPr>
          <w:rFonts w:hint="eastAsia" w:ascii="微软雅黑" w:hAnsi="微软雅黑" w:eastAsia="微软雅黑" w:cs="微软雅黑"/>
          <w:color w:val="000000"/>
          <w:spacing w:val="-6"/>
          <w:szCs w:val="21"/>
          <w:highlight w:val="none"/>
        </w:rPr>
        <w:t xml:space="preserve">保持电话和手机畅通，能随时处理各类型医疗问题。</w:t>
      </w:r>
      <w:r>
        <w:rPr>
          <w:rFonts w:hint="eastAsia" w:ascii="微软雅黑" w:hAnsi="微软雅黑" w:eastAsia="微软雅黑" w:cs="微软雅黑"/>
          <w:color w:val="000000"/>
          <w:spacing w:val="-6"/>
          <w:szCs w:val="21"/>
          <w:highlight w:val="none"/>
        </w:rPr>
      </w:r>
      <w:r/>
    </w:p>
    <w:p>
      <w:pPr>
        <w:pStyle w:val="1252"/>
        <w:ind w:firstLine="480"/>
        <w:spacing w:line="420" w:lineRule="exact"/>
        <w:rPr>
          <w:rFonts w:hint="eastAsia" w:ascii="微软雅黑" w:hAnsi="微软雅黑" w:eastAsia="微软雅黑" w:cs="微软雅黑"/>
          <w:color w:val="000000"/>
          <w:szCs w:val="21"/>
          <w:highlight w:val="none"/>
        </w:rPr>
      </w:pPr>
      <w:r>
        <w:rPr>
          <w:rFonts w:hint="eastAsia" w:ascii="Arial" w:hAnsi="Arial" w:eastAsia="Arial" w:cs="Arial"/>
          <w:color w:val="000000"/>
          <w:sz w:val="24"/>
          <w:szCs w:val="24"/>
          <w:highlight w:val="none"/>
        </w:rPr>
        <w:t xml:space="preserve">★</w:t>
      </w:r>
      <w:r>
        <w:rPr>
          <w:rFonts w:hint="eastAsia" w:ascii="微软雅黑" w:hAnsi="微软雅黑" w:eastAsia="微软雅黑" w:cs="微软雅黑"/>
          <w:color w:val="000000"/>
          <w:szCs w:val="21"/>
          <w:highlight w:val="none"/>
        </w:rPr>
        <w:t xml:space="preserve">中标人拟派驻学校的医务团队人员相对固定，无特殊情况不得随意更换。</w:t>
      </w:r>
      <w:r>
        <w:rPr>
          <w:rFonts w:hint="eastAsia" w:ascii="微软雅黑" w:hAnsi="微软雅黑" w:eastAsia="微软雅黑" w:cs="微软雅黑"/>
          <w:color w:val="000000"/>
          <w:szCs w:val="21"/>
          <w:highlight w:val="none"/>
          <w:lang w:val="en-US" w:eastAsia="zh-CN"/>
        </w:rPr>
        <w:t xml:space="preserve">若需更换团队人员，须事先征得采购人同意，且替换人员职称不得低于原在岗人员。</w:t>
      </w:r>
      <w:r>
        <w:rPr>
          <w:rFonts w:hint="eastAsia" w:ascii="微软雅黑" w:hAnsi="微软雅黑" w:eastAsia="微软雅黑" w:cs="微软雅黑"/>
          <w:color w:val="000000"/>
          <w:szCs w:val="21"/>
          <w:highlight w:val="none"/>
        </w:rPr>
        <w:t xml:space="preserve">（提供承诺函及团队人员明细表并加盖供应商公章）</w:t>
      </w:r>
      <w:r>
        <w:rPr>
          <w:rFonts w:hint="eastAsia" w:ascii="微软雅黑" w:hAnsi="微软雅黑" w:eastAsia="微软雅黑" w:cs="微软雅黑"/>
          <w:color w:val="000000"/>
          <w:szCs w:val="21"/>
          <w:highlight w:val="none"/>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7.中标人医务人员工作时间：平时行课期间和节假日有学生留宿时，医务人员实行每周七天，每天24小时值班制。如寒暑假期间无学生留宿，则无需安排人员值守。</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（三）中标人其它职责</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1.负责办理在淮安校区开办医务室（或医疗点）的相关手续。行使校医务室在淮安校区的相关职责。</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2.负责建立健全各项规章制度，明确岗位职责。严格执行各项保健医疗护理常规和技术操作规程。</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3. 中标方根据需要配备医务室必需的医疗设备（详见附件《物资配备清单》），配备充足的医疗耗材、药品等，其中医疗规范、药品供应，实施过程由中标方全权负责，采购人指派固定人员负责协调校医务室有关工作并进行监管。</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附件：</w:t>
      </w:r>
      <w:r>
        <w:rPr>
          <w:rFonts w:hint="eastAsia" w:ascii="微软雅黑" w:hAnsi="微软雅黑" w:cs="微软雅黑"/>
          <w:color w:val="000000"/>
          <w:szCs w:val="21"/>
        </w:rPr>
      </w:r>
      <w:r/>
    </w:p>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医务室仪器设备配置</w:t>
      </w:r>
      <w:r>
        <w:rPr>
          <w:rFonts w:hint="eastAsia" w:ascii="微软雅黑" w:hAnsi="微软雅黑" w:cs="微软雅黑"/>
          <w:color w:val="000000"/>
          <w:szCs w:val="21"/>
        </w:rPr>
      </w:r>
      <w:r/>
    </w:p>
    <w:tbl>
      <w:tblPr>
        <w:tblW w:w="8519" w:type="dxa"/>
        <w:jc w:val="center"/>
        <w:tblCellSpacing w:w="15" w:type="dxa"/>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2" w:type="dxa"/>
          <w:top w:w="12" w:type="dxa"/>
          <w:right w:w="12" w:type="dxa"/>
          <w:bottom w:w="12" w:type="dxa"/>
        </w:tblCellMar>
        <w:tblLook w:val="04A0" w:firstRow="1" w:lastRow="0" w:firstColumn="1" w:lastColumn="0" w:noHBand="0" w:noVBand="1"/>
      </w:tblPr>
      <w:tblGrid>
        <w:gridCol w:w="816"/>
        <w:gridCol w:w="2537"/>
        <w:gridCol w:w="709"/>
        <w:gridCol w:w="992"/>
        <w:gridCol w:w="1984"/>
        <w:gridCol w:w="1481"/>
      </w:tblGrid>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物品名 称</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数量</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物品名称</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数量</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心电图机</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治疗床</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氧气瓶</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医用床头柜</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氧气推车</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注射椅</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氧气流量表、湿化瓶</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无菌柜</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氧气袋</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18</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小方盘</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小急救箱</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19</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紫外线灯</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便携式氧气瓶、急救箱</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20</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体温计</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医用立式单孔灯</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药品柜</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听诊器</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药房药品调剂台</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电子血压计</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23</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抢救车</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手动血压计</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24</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治疗方盘</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简易呼吸气囊</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25</w:t>
            </w: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小被子、枕头、床单</w:t>
            </w: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r>
      <w:tr>
        <w:trPr>
          <w:tblCellSpacing w:w="15" w:type="dxa"/>
          <w:trHeight w:val="360"/>
        </w:trPr>
        <w:tc>
          <w:tcPr>
            <w:tcMar>
              <w:left w:w="12" w:type="dxa"/>
              <w:top w:w="12" w:type="dxa"/>
              <w:right w:w="12" w:type="dxa"/>
              <w:bottom w:w="12" w:type="dxa"/>
            </w:tcMar>
            <w:tcW w:w="771"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Mar>
              <w:left w:w="12" w:type="dxa"/>
              <w:top w:w="12" w:type="dxa"/>
              <w:right w:w="12" w:type="dxa"/>
              <w:bottom w:w="12" w:type="dxa"/>
            </w:tcMar>
            <w:tcW w:w="2507"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治疗车</w:t>
            </w:r>
            <w:r>
              <w:rPr>
                <w:rFonts w:hint="eastAsia" w:ascii="微软雅黑" w:hAnsi="微软雅黑" w:cs="微软雅黑"/>
                <w:szCs w:val="21"/>
              </w:rPr>
            </w:r>
            <w:r/>
          </w:p>
        </w:tc>
        <w:tc>
          <w:tcPr>
            <w:tcMar>
              <w:left w:w="12" w:type="dxa"/>
              <w:top w:w="12" w:type="dxa"/>
              <w:right w:w="12" w:type="dxa"/>
              <w:bottom w:w="12" w:type="dxa"/>
            </w:tcMar>
            <w:tcW w:w="679"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Mar>
              <w:left w:w="12" w:type="dxa"/>
              <w:top w:w="12" w:type="dxa"/>
              <w:right w:w="12" w:type="dxa"/>
              <w:bottom w:w="12" w:type="dxa"/>
            </w:tcMar>
            <w:tcW w:w="962"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r>
            <w:r/>
          </w:p>
        </w:tc>
        <w:tc>
          <w:tcPr>
            <w:tcMar>
              <w:left w:w="12" w:type="dxa"/>
              <w:top w:w="12" w:type="dxa"/>
              <w:right w:w="12" w:type="dxa"/>
              <w:bottom w:w="12" w:type="dxa"/>
            </w:tcMar>
            <w:tcW w:w="1954"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r>
            <w:r/>
          </w:p>
        </w:tc>
        <w:tc>
          <w:tcPr>
            <w:tcMar>
              <w:left w:w="12" w:type="dxa"/>
              <w:top w:w="12" w:type="dxa"/>
              <w:right w:w="12" w:type="dxa"/>
              <w:bottom w:w="12" w:type="dxa"/>
            </w:tcMar>
            <w:tcW w:w="1436" w:type="dxa"/>
            <w:vAlign w:val="center"/>
            <w:textDirection w:val="lrTb"/>
            <w:noWrap w:val="false"/>
          </w:tcPr>
          <w:p>
            <w:pPr>
              <w:pStyle w:val="1063"/>
              <w:jc w:val="center"/>
              <w:spacing w:line="420" w:lineRule="exact"/>
              <w:widowControl/>
              <w:rPr>
                <w:rFonts w:hint="eastAsia" w:ascii="微软雅黑" w:hAnsi="微软雅黑" w:cs="微软雅黑"/>
                <w:szCs w:val="21"/>
              </w:rPr>
            </w:pPr>
            <w:r>
              <w:rPr>
                <w:rFonts w:hint="eastAsia" w:ascii="微软雅黑" w:hAnsi="微软雅黑" w:cs="微软雅黑"/>
                <w:szCs w:val="21"/>
              </w:rPr>
            </w:r>
            <w:r/>
          </w:p>
        </w:tc>
      </w:tr>
    </w:tbl>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4.保证淮安校区首次办理淮安市医保且没有社保卡的学生可以凭个人信息就医，有社保卡的学生可凭社保卡或电子医保凭证就医。完善参保学生门诊医保报销手续，保证淮安校区的参保学生在每学年开学初至参保年度结束日（即入学年9月至参保年12月31日）发生的门诊医疗费用，到中标人相关部门根据医保政策受理并办理报销流程。此政策与南京校区政策一致，确保学生不管在南京校区还是淮安校区都享受同等的医保报销政策。</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szCs w:val="21"/>
        </w:rPr>
        <w:t xml:space="preserve">中标人在医务室内必须使用符合国家规定并经正规渠道购进的药品和医疗器械用品。为学生及教职工提供医疗服务时免除</w:t>
      </w:r>
      <w:r>
        <w:rPr>
          <w:rFonts w:hint="eastAsia" w:ascii="微软雅黑" w:hAnsi="微软雅黑" w:cs="微软雅黑"/>
          <w:szCs w:val="21"/>
        </w:rPr>
        <w:t xml:space="preserve">诊疗费，药品价格按上级主管部门统一采购价格零差价销售。药品与医疗器械用品均在保质期内，且品质较好。中标人根据患者的实际病情严格用药，一般普通疾病门诊用药要满足在校师生的日常需求，原则上应选用医保基本药物目录上的甲类药。应杜绝小病大处方、重复用药和过度使用抗生素情况的发生。中标人在校医务室为招标人师生员工服务诊疗过程中应免收挂号费和检查费。为便于管理，在校师生在医务室就医均使用校园一卡通结算，中标人于次月5日前凭药品出库清单等单据到招标人财务办理当月药品费用结算手续，财务根据当月实际产生药品费用予以全额支付。</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6.中标人提供24小时应急医疗服务。对急病、重病、特殊病人，要及时报告学校，并做好转诊工作。中标人应与学校就近医院（二甲及以上）建立快速便捷医疗转诊合作关系，转诊所需救护车费用由病人承担。中标人能与淮安当地优质医院签订医疗转诊合作关系协议或合同，并提供给学校备案。</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7.中标人根据不同季节，开展多发病、常见病的预防宣传工作。定期开展有关传染病及医疗救护知识的培训，每学期至少1次。开展校内师生的健康知识宣传，每年开展宣传活动不少于3次。卫健委、疾控中心另有规定须遵照执行。</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8.中标人贯彻执行传染病防治法规，做好校区内传染病预防和管理工作。在疫情防控期间，学生及教职工到医务室（或医疗点）就诊，医务人员应严格按照疫情防控要求执行预检分诊制度，并协助采购人做好疫情防控的相关工作。</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9.中标人根据疫情防控的相关要求，做好传染病流行期间疫情的上报、传染源隔离、跟踪、易感人群隔离保护、信息登记反馈等。传染病疫情的协助筛查、疫情防控、隔离室管理、引导疑似患者就诊及各项预防措施的实施等。</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10. 中标人做好公共卫生防疫工作，对学校教学卫生、体育卫生、劳动卫生、环境卫生、饮食与营养卫生等实施医务监督，并提供咨询和技术指导。</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11.按照学校处置应对校内突发公共卫生事件的总体要求和统一安排，全力履行好医疗救治、防控及隔离区管理等本职工作的相应职责；参与学校传染病、流行性疾病等预案制定、应急演练，为学校准备应急医疗物资提供指导。</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12.学校师生因病情紧急到医务室救治，中标人应开通就医绿色通道，实行先救治后付费。必要时转诊到上级医院进一步治疗。</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13.根据学生实际健康情况，对患病体弱的学生实施医疗照顾；对因病不能坚持学习者，根据学籍管理规定，提出休、退学的处理意见。</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14.中标人主要负责淮安校区师生在校期间常见病的治疗及受到意外伤害的一般处理。中标人在诊疗过程中必须遵守相关的诊疗规范，发扬人道主义精神，具有良好的医德医风。</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15.中标人提供学校组织的迎新、军训、英语四六级考试、计算机等级考试等大型活动的医疗保障，中标人应根据学校要求增派医务人员参与医疗保障。</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16.中标人医护人员必须遵守学校规章制度，服从并按要求完成学校安排的与医疗相关的临时性工作，接受属地卫生管理部门的监督检查。</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17.中标人自行负责医务室（或医疗点）的保洁管理及物资防护安全等工作。</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18.中标人负责医务室（或医疗点）医疗废弃物、医疗垃圾等的处置及费用。</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19.中标人每个月提交一份工作总结给校区后勤保障部备案：内容包含就诊人数，发热病人人数，药品合计价格等详细情况，以便学校监管。</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（四）考核要求</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b/>
          <w:color w:val="000000"/>
          <w:szCs w:val="21"/>
        </w:rPr>
        <w:t xml:space="preserve">采购人通过对中标方的服务进行考核，决定托管费用的支付。</w:t>
      </w:r>
      <w:r>
        <w:rPr>
          <w:rFonts w:hint="eastAsia" w:ascii="微软雅黑" w:hAnsi="微软雅黑" w:cs="微软雅黑"/>
          <w:color w:val="000000"/>
          <w:szCs w:val="21"/>
        </w:rPr>
        <w:t xml:space="preserve">考核采取日常考核与季度师生满意度考核及年终考核总体考核（包括满意度测评、座谈会、各种意见反馈等）相结合的办法。所有考核结果记录在案。     </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1.考核方式</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①日常考核：每月至少进行一次，由甲方组织测评。</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②师生满意度测评，每季度进行一次，由学校相关承办单位组织师生客观填写满意度调查表。</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③年终考核：由学校相关业务主管部门牵头，合作年终前考核一次。</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2.考核内容</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从基础管理、日常医疗服务管理、医疗服务及传染病管理等多方面进行综合考核，分为合格与不合格两个等级，若考核分值90分及以上且师生满意度测评良好视为考核合格，该季度考评后全额发放季度托管服务费，若考核分值90分以下或师生满意度测评较差视为考核不合格，该季度考评后暂停发放该季度托管服务费，给予一个月整改期。如整改一个月后经重新考核合格，全额发放季度托管服务费；如考核仍不合格，则扣除该季度全额托管服务费，采购方有权立即终止合同。具体详见附件：淮安校区医疗托管服务日常考核/年度考核评分表。</w:t>
      </w:r>
      <w:r>
        <w:rPr>
          <w:rFonts w:hint="eastAsia" w:ascii="微软雅黑" w:hAnsi="微软雅黑" w:cs="微软雅黑"/>
          <w:color w:val="000000"/>
          <w:szCs w:val="21"/>
        </w:rPr>
      </w:r>
      <w:r/>
    </w:p>
    <w:p>
      <w:pPr>
        <w:pStyle w:val="1063"/>
        <w:ind w:firstLine="420"/>
        <w:pageBreakBefore/>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附件：</w:t>
      </w:r>
      <w:r>
        <w:rPr>
          <w:rFonts w:hint="eastAsia" w:ascii="微软雅黑" w:hAnsi="微软雅黑" w:cs="微软雅黑"/>
          <w:color w:val="000000"/>
          <w:szCs w:val="21"/>
        </w:rPr>
      </w:r>
      <w:r/>
    </w:p>
    <w:p>
      <w:pPr>
        <w:pStyle w:val="1063"/>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淮安校区医疗托管服务日常考核/年度考核考核评分表</w:t>
      </w:r>
      <w:r>
        <w:rPr>
          <w:rFonts w:hint="eastAsia" w:ascii="微软雅黑" w:hAnsi="微软雅黑" w:cs="微软雅黑"/>
          <w:color w:val="000000"/>
          <w:szCs w:val="21"/>
        </w:rPr>
      </w:r>
      <w:r/>
    </w:p>
    <w:tbl>
      <w:tblPr>
        <w:tblW w:w="10087"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697"/>
        <w:gridCol w:w="1303"/>
        <w:gridCol w:w="4154"/>
        <w:gridCol w:w="693"/>
        <w:gridCol w:w="1080"/>
        <w:gridCol w:w="1080"/>
        <w:gridCol w:w="1080"/>
      </w:tblGrid>
      <w:tr>
        <w:trPr>
          <w:trHeight w:val="111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序号</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目标项目</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工作内容</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目标分值</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考核得分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备注</w:t>
            </w:r>
            <w:r>
              <w:rPr>
                <w:rFonts w:hint="eastAsia" w:ascii="微软雅黑" w:hAnsi="微软雅黑" w:cs="微软雅黑"/>
                <w:color w:val="000000"/>
                <w:szCs w:val="21"/>
              </w:rPr>
            </w:r>
            <w:r/>
          </w:p>
        </w:tc>
      </w:tr>
      <w:tr>
        <w:trPr>
          <w:trHeight w:val="14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基础管理（10分）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建立与本服务项目合同要求相适应的项目管理制度、各岗位工作标准，制订具体落实措施和考核办法。并在服务过程中按照学校实际服务需要和采购人要求，对原有制度进行及时更新或调整。</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所有工作人员资料交校区后勤保障部留底备查。有人员变动时及时告知校区后勤保障部。</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医务人员人数到位，上岗必须统一着工作服，仪表整洁，佩戴工作牌，服务文明规范。</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2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校区医务室内所有房屋结构未经采购人许可不得随意改变使用功能，采购人提供给中标医疗机构的用房不得转租或从事其他与合同无关的活动。</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借给中标人的办公家具、空调等设施设备建立档案（设备台帐），并有专人负责管理。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66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14</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日常医疗服务管理（50分）</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中标单位的执业需符合卫健委、医保管理部门的管理要求。</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1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15</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中标医疗机构必须保证通讯24小时畅通。工作期间实行24小时值班制度，不准擅离岗位。</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16</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中标医疗机构医务人员对待师生态度良好，服务意识强。</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认真规范的登记门诊日志，保管好处方，管理好药品，做到药房账物相符。</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8</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17</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根据患者的实际病情合理用药。</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无未及时转诊，耽误学生治疗等给学生和学校造成不良影响的相关情况的投诉发生。</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6</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6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18</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负责配备维持医务室（或医疗点）正常运行的急救药品和其它急救设施设备。</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8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19</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负责参保学生医保门诊报销结算的正常开展。</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8</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24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20</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遇突发事件、紧急情况必须及时处理，及时汇报校区主管部门，并做好记录。</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7</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21</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医疗服务及传染病管理（30分）</w:t>
            </w:r>
            <w:r>
              <w:rPr>
                <w:rFonts w:hint="eastAsia" w:ascii="微软雅黑" w:hAnsi="微软雅黑" w:cs="微软雅黑"/>
                <w:color w:val="000000"/>
                <w:szCs w:val="21"/>
              </w:rPr>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在校区要求配合医疗服务时，如迎新、军训、英语四六级考试、计算机等级考试、运动会、竞技比赛等工作时须听从安排，工作不推诿，应根据学校要求增派医务人员参与医疗保障。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10</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60"/>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22</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在疾病防控期间，协助采购人做好疾病防控的相关工作。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6</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533"/>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24</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按照学校处置应对校内突发公共卫生事件的总体要求和统一安排，全力履行好医疗救治、防控等本职工作的相应职责；参与学校传染病、流行性疾病等预案制定、应急演练，为学校准备应急医疗物资提供指导。</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180"/>
        </w:trPr>
        <w:tc>
          <w:tcPr>
            <w:tcBorders>
              <w:top w:val="single" w:color="000000" w:sz="8" w:space="0"/>
              <w:left w:val="single" w:color="000000" w:sz="8" w:space="0"/>
              <w:bottom w:val="single" w:color="000000" w:sz="4"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中标医疗机构定期开展有关传染病及医疗救护知识的培训，每学期至少1次。开展校内师生的健康知识宣传，每年开展宣传活动不少于3次。每次培训及宣传活动，须有照片和文字资料存档。</w:t>
            </w:r>
            <w:r>
              <w:rPr>
                <w:rFonts w:hint="eastAsia" w:ascii="微软雅黑" w:hAnsi="微软雅黑" w:cs="微软雅黑"/>
                <w:color w:val="000000"/>
                <w:szCs w:val="21"/>
              </w:rPr>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10</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26</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中标医疗机构做好公共卫生防疫工作，对学校教学卫生、体育卫生、劳动卫生、环境卫生、饮食与营养卫生等实施医务监督，并提供咨询和技术指导。</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391"/>
        </w:trPr>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30</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其它（10分）</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根据学生实际健康情况，对患病体弱的学生实施医疗照顾；对因病不能坚持学习者，根据学籍管理规定，提出休、退学的处理意见。</w:t>
            </w:r>
            <w:r>
              <w:rPr>
                <w:rFonts w:hint="eastAsia" w:ascii="微软雅黑" w:hAnsi="微软雅黑" w:cs="微软雅黑"/>
                <w:color w:val="000000"/>
                <w:szCs w:val="21"/>
              </w:rPr>
            </w:r>
            <w:r/>
          </w:p>
        </w:tc>
        <w:tc>
          <w:tcPr>
            <w:tcBorders>
              <w:top w:val="single" w:color="000000" w:sz="4"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4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中标医疗机构每个月提交一份工作总结给校区主管部门备案：内容包含就诊人数，发热病人人数，药品合计价格等详细情况，以便学校监管。</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按照采购人要求做好季度临时性工作。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063"/>
        <w:ind w:firstLine="420"/>
        <w:spacing w:line="42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三、服务质量保证</w:t>
      </w:r>
      <w:r>
        <w:rPr>
          <w:rFonts w:hint="eastAsia" w:ascii="微软雅黑" w:hAnsi="微软雅黑" w:cs="微软雅黑"/>
          <w:b/>
          <w:bCs/>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中标人应在保证服务期和服务质量的前提下履行合同。服务中的一切风险（包括安全事故责任）由中标人承担。</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四、付款方式</w:t>
      </w:r>
      <w:r>
        <w:rPr>
          <w:rFonts w:hint="eastAsia" w:ascii="微软雅黑" w:hAnsi="微软雅黑" w:cs="微软雅黑"/>
          <w:b/>
          <w:bCs/>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（一）托管费用支付方式：</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1.中标人按采购合同进行履约，经验收合格后采购人出具项目验收报告；</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2.服务每满一个季度，中标人在日常考核合格的前提下，由中标人向采购人开具相应金额发票，采购人以转账方式向中标人支付每季度服务费款项。</w:t>
      </w:r>
      <w:r>
        <w:rPr>
          <w:rFonts w:hint="eastAsia" w:ascii="微软雅黑" w:hAnsi="微软雅黑" w:cs="微软雅黑"/>
          <w:color w:val="000000"/>
          <w:szCs w:val="21"/>
        </w:rPr>
      </w:r>
      <w:r/>
    </w:p>
    <w:p>
      <w:pPr>
        <w:pStyle w:val="1063"/>
        <w:ind w:firstLine="420"/>
        <w:spacing w:line="420" w:lineRule="exact"/>
        <w:widowControl/>
        <w:rPr>
          <w:rFonts w:hint="eastAsia" w:ascii="微软雅黑" w:hAnsi="微软雅黑" w:cs="微软雅黑"/>
          <w:color w:val="000000"/>
          <w:szCs w:val="21"/>
        </w:rPr>
      </w:pPr>
      <w:r>
        <w:rPr>
          <w:rFonts w:hint="eastAsia" w:ascii="微软雅黑" w:hAnsi="微软雅黑" w:cs="微软雅黑"/>
          <w:b/>
          <w:color w:val="000000"/>
          <w:szCs w:val="21"/>
        </w:rPr>
        <w:t xml:space="preserve">（二）体检费用的支付：在新生体检工作完成且出具符合采购人要求的报告后，中标方按实际体检人数开具的正规发票，凭票结算。</w:t>
      </w:r>
      <w:r>
        <w:rPr>
          <w:rFonts w:hint="eastAsia" w:ascii="微软雅黑" w:hAnsi="微软雅黑" w:cs="微软雅黑"/>
          <w:color w:val="000000"/>
          <w:szCs w:val="21"/>
        </w:rPr>
      </w:r>
      <w:r/>
    </w:p>
    <w:p>
      <w:pPr>
        <w:pStyle w:val="1063"/>
        <w:ind w:firstLine="420"/>
        <w:spacing w:line="420" w:lineRule="exact"/>
        <w:rPr>
          <w:rFonts w:hint="eastAsia" w:ascii="微软雅黑" w:hAnsi="微软雅黑" w:cs="微软雅黑"/>
          <w:b/>
          <w:color w:val="000000"/>
          <w:szCs w:val="21"/>
        </w:rPr>
      </w:pPr>
      <w:r>
        <w:rPr>
          <w:rFonts w:hint="eastAsia" w:ascii="微软雅黑" w:hAnsi="微软雅黑" w:cs="微软雅黑"/>
          <w:b/>
          <w:bCs/>
          <w:color w:val="000000"/>
          <w:szCs w:val="21"/>
        </w:rPr>
        <w:t xml:space="preserve">五、其他要求</w:t>
      </w:r>
      <w:r>
        <w:rPr>
          <w:rFonts w:hint="eastAsia" w:ascii="微软雅黑" w:hAnsi="微软雅黑" w:cs="微软雅黑"/>
          <w:color w:val="000000"/>
          <w:szCs w:val="21"/>
        </w:rPr>
        <w:t xml:space="preserve">：</w:t>
      </w:r>
      <w:r>
        <w:rPr>
          <w:rFonts w:hint="eastAsia" w:ascii="微软雅黑" w:hAnsi="微软雅黑" w:cs="微软雅黑"/>
          <w:bCs/>
          <w:color w:val="000000"/>
          <w:szCs w:val="21"/>
        </w:rPr>
        <w:t xml:space="preserve">投标人应根据招标文件要求及本项目特点，</w:t>
      </w:r>
      <w:r>
        <w:rPr>
          <w:rFonts w:hint="eastAsia" w:ascii="微软雅黑" w:hAnsi="微软雅黑" w:cs="微软雅黑"/>
          <w:color w:val="000000"/>
          <w:szCs w:val="21"/>
        </w:rPr>
        <w:t xml:space="preserve">制订关于招标人本校师生在投标人所在医院就诊期间，各类检查费用享受优惠、能提供招标人在校师生享受就近医治的绿色通道、投标人拟派医护人员配置基本固定等服务承诺方案，服务方案应做到完整全面、科学合理，具备可行性，并确保可以按期完成任务。</w:t>
      </w:r>
      <w:r>
        <w:rPr>
          <w:rFonts w:hint="eastAsia" w:ascii="微软雅黑" w:hAnsi="微软雅黑" w:cs="微软雅黑"/>
          <w:b/>
          <w:color w:val="000000"/>
          <w:szCs w:val="21"/>
        </w:rPr>
      </w:r>
      <w:r/>
    </w:p>
    <w:p>
      <w:pPr>
        <w:pStyle w:val="1064"/>
      </w:pPr>
      <w:r>
        <w:rPr>
          <w:rStyle w:val="1085"/>
          <w:rFonts w:hint="eastAsia"/>
        </w:rPr>
        <w:br w:type="page" w:clear="all"/>
      </w:r>
      <w:bookmarkStart w:id="271" w:name="_Toc12742"/>
      <w:r/>
      <w:bookmarkStart w:id="272" w:name="_Toc20517"/>
      <w:r>
        <w:rPr>
          <w:rStyle w:val="1071"/>
          <w:rFonts w:hint="eastAsia"/>
        </w:rPr>
        <w:t xml:space="preserve">第五章 </w:t>
      </w:r>
      <w:bookmarkEnd w:id="267"/>
      <w:r/>
      <w:bookmarkStart w:id="273" w:name="_Toc25781"/>
      <w:r>
        <w:rPr>
          <w:rStyle w:val="1071"/>
          <w:rFonts w:hint="eastAsia"/>
        </w:rPr>
        <w:t xml:space="preserve">采购合同</w:t>
      </w:r>
      <w:bookmarkEnd w:id="271"/>
      <w:r/>
      <w:bookmarkEnd w:id="272"/>
      <w:r/>
      <w:bookmarkEnd w:id="273"/>
      <w:r/>
      <w:r/>
    </w:p>
    <w:p>
      <w:pPr>
        <w:pStyle w:val="1063"/>
        <w:jc w:val="center"/>
        <w:spacing w:before="319"/>
        <w:rPr>
          <w:b/>
          <w:sz w:val="32"/>
          <w:szCs w:val="32"/>
        </w:rPr>
      </w:pPr>
      <w:r/>
      <w:bookmarkStart w:id="274" w:name="_Hlk70090906"/>
      <w:r>
        <w:rPr>
          <w:rFonts w:hint="eastAsia"/>
          <w:b/>
          <w:sz w:val="32"/>
          <w:szCs w:val="32"/>
        </w:rPr>
        <w:t xml:space="preserve">南京林业大学</w:t>
      </w:r>
      <w:r>
        <w:rPr>
          <w:rFonts w:hint="eastAsia"/>
          <w:b/>
          <w:sz w:val="32"/>
          <w:szCs w:val="32"/>
          <w:u w:val="single"/>
        </w:rPr>
        <w:t xml:space="preserve">            </w:t>
      </w:r>
      <w:r>
        <w:rPr>
          <w:rFonts w:hint="eastAsia"/>
          <w:b/>
          <w:sz w:val="32"/>
          <w:szCs w:val="32"/>
        </w:rPr>
        <w:t xml:space="preserve">服务项目采购合同</w:t>
      </w:r>
      <w:r>
        <w:rPr>
          <w:b/>
          <w:sz w:val="32"/>
          <w:szCs w:val="32"/>
        </w:rPr>
      </w:r>
      <w:r/>
    </w:p>
    <w:p>
      <w:pPr>
        <w:pStyle w:val="1073"/>
      </w:pPr>
      <w:r/>
      <w:r/>
    </w:p>
    <w:p>
      <w:pPr>
        <w:pStyle w:val="1095"/>
        <w:ind w:firstLine="562"/>
        <w:spacing w:line="420" w:lineRule="exact"/>
        <w:rPr>
          <w:rFonts w:ascii="微软雅黑" w:hAnsi="微软雅黑" w:cs="微软雅黑"/>
          <w:b/>
          <w:bCs/>
          <w:szCs w:val="21"/>
        </w:rPr>
      </w:pPr>
      <w:r>
        <w:rPr>
          <w:rFonts w:ascii="微软雅黑" w:hAnsi="微软雅黑" w:cs="微软雅黑"/>
          <w:b/>
          <w:bCs/>
          <w:szCs w:val="21"/>
        </w:rPr>
        <w:t xml:space="preserve">项目名称：</w:t>
      </w:r>
      <w:r>
        <w:rPr>
          <w:rFonts w:ascii="微软雅黑" w:hAnsi="微软雅黑" w:cs="微软雅黑"/>
          <w:b/>
          <w:bCs/>
          <w:szCs w:val="21"/>
        </w:rPr>
      </w:r>
      <w:r/>
    </w:p>
    <w:p>
      <w:pPr>
        <w:pStyle w:val="1095"/>
        <w:ind w:firstLine="562"/>
        <w:spacing w:line="420" w:lineRule="exact"/>
        <w:rPr>
          <w:rFonts w:ascii="微软雅黑" w:hAnsi="微软雅黑" w:cs="微软雅黑"/>
          <w:b/>
          <w:bCs/>
          <w:szCs w:val="21"/>
          <w:u w:val="single"/>
        </w:rPr>
      </w:pPr>
      <w:r>
        <w:rPr>
          <w:rFonts w:ascii="微软雅黑" w:hAnsi="微软雅黑" w:cs="微软雅黑"/>
          <w:b/>
          <w:bCs/>
          <w:szCs w:val="21"/>
        </w:rPr>
        <w:t xml:space="preserve">项目编号：</w:t>
      </w:r>
      <w:r>
        <w:rPr>
          <w:rFonts w:ascii="微软雅黑" w:hAnsi="微软雅黑" w:cs="微软雅黑"/>
          <w:b/>
          <w:bCs/>
          <w:szCs w:val="21"/>
          <w:u w:val="single"/>
        </w:rPr>
      </w:r>
      <w:r/>
    </w:p>
    <w:p>
      <w:pPr>
        <w:pStyle w:val="1095"/>
        <w:ind w:firstLine="562"/>
        <w:spacing w:line="420" w:lineRule="exact"/>
        <w:rPr>
          <w:rFonts w:ascii="微软雅黑" w:hAnsi="微软雅黑" w:cs="微软雅黑"/>
          <w:b/>
          <w:bCs/>
          <w:szCs w:val="21"/>
          <w:u w:val="single"/>
        </w:rPr>
      </w:pPr>
      <w:r>
        <w:rPr>
          <w:rFonts w:ascii="微软雅黑" w:hAnsi="微软雅黑" w:cs="微软雅黑"/>
          <w:b/>
          <w:bCs/>
          <w:szCs w:val="21"/>
        </w:rPr>
        <w:t xml:space="preserve">甲方（买方/采购方）：</w:t>
      </w:r>
      <w:r>
        <w:rPr>
          <w:rFonts w:ascii="微软雅黑" w:hAnsi="微软雅黑" w:cs="微软雅黑"/>
          <w:b/>
          <w:bCs/>
          <w:szCs w:val="21"/>
          <w:u w:val="single"/>
        </w:rPr>
      </w:r>
      <w:r/>
    </w:p>
    <w:p>
      <w:pPr>
        <w:pStyle w:val="1095"/>
        <w:ind w:firstLine="562"/>
        <w:spacing w:line="420" w:lineRule="exact"/>
        <w:rPr>
          <w:rFonts w:ascii="微软雅黑" w:hAnsi="微软雅黑" w:cs="微软雅黑"/>
          <w:b/>
          <w:bCs/>
          <w:szCs w:val="21"/>
          <w:u w:val="single"/>
        </w:rPr>
      </w:pPr>
      <w:r>
        <w:rPr>
          <w:rFonts w:ascii="微软雅黑" w:hAnsi="微软雅黑" w:cs="微软雅黑"/>
          <w:b/>
          <w:bCs/>
          <w:szCs w:val="21"/>
        </w:rPr>
        <w:t xml:space="preserve">乙方（卖方/供应商）：</w:t>
      </w:r>
      <w:r>
        <w:rPr>
          <w:rFonts w:ascii="微软雅黑" w:hAnsi="微软雅黑" w:cs="微软雅黑"/>
          <w:b/>
          <w:bCs/>
          <w:szCs w:val="21"/>
          <w:u w:val="single"/>
        </w:rPr>
      </w:r>
      <w:r/>
    </w:p>
    <w:p>
      <w:pPr>
        <w:pStyle w:val="1095"/>
        <w:ind w:firstLine="560"/>
        <w:spacing w:line="420" w:lineRule="exact"/>
        <w:rPr>
          <w:rFonts w:ascii="微软雅黑" w:hAnsi="微软雅黑" w:cs="微软雅黑"/>
          <w:szCs w:val="21"/>
        </w:rPr>
      </w:pPr>
      <w:r>
        <w:rPr>
          <w:rFonts w:ascii="微软雅黑" w:hAnsi="微软雅黑" w:cs="微软雅黑"/>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甲、乙双方根据《中华人民共和国政府采购法》《中华人民共和国民法典》等法律法规规定，按照                      项目的采购招标结果，签署本合同。</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bookmarkStart w:id="275" w:name="_Hlk45477355"/>
      <w:r>
        <w:rPr>
          <w:rFonts w:hint="eastAsia" w:ascii="微软雅黑" w:hAnsi="微软雅黑" w:eastAsia="微软雅黑" w:cs="微软雅黑"/>
          <w:sz w:val="21"/>
          <w:szCs w:val="21"/>
        </w:rPr>
        <w:t xml:space="preserve">一、采购标的</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1.1乙方向甲方提供的服务内容：                          （具体的服务的目的、内容、要求、方式、服务质量、验收标准等详见采购文件、成交供应商的响应文件及采购过程中有关澄清、承诺文件）。</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二、合同金额</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2.1本合同金额为（大写）：         （小写_____元）人民币。</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sz w:val="21"/>
          <w:szCs w:val="21"/>
        </w:rPr>
        <w:t xml:space="preserve">2.2本合同金额包含项目实施及与项目有关的所有费用（包含工资、福利、保险、劳保等人员费用、相关产品费用、专利技术及相关所发生的全部费用）以及利润、税金和政策性文件规定及合同包含的所有风险、责任等各项应有费用，还包括乙方应当提供的辅助性服务、伴随服务、售后服务费用。除非因特殊原因并经甲乙双方协商并签订补充协议，乙方不得再要求追加任何费用。同时，除非合同条款中另有规定，否则乙方所报价格已综合考虑各方面</w:t>
      </w:r>
      <w:r>
        <w:rPr>
          <w:rFonts w:hint="eastAsia" w:ascii="微软雅黑" w:hAnsi="微软雅黑" w:eastAsia="微软雅黑" w:cs="微软雅黑"/>
          <w:color w:val="000000"/>
          <w:sz w:val="21"/>
          <w:szCs w:val="21"/>
          <w:highlight w:val="none"/>
        </w:rPr>
        <w:t xml:space="preserve">的风险，在合同实施期间不因市场变化因素而变动。</w:t>
      </w:r>
      <w:r>
        <w:rPr>
          <w:rFonts w:ascii="微软雅黑" w:hAnsi="微软雅黑" w:eastAsia="微软雅黑" w:cs="微软雅黑"/>
          <w:color w:val="000000"/>
          <w:sz w:val="21"/>
          <w:szCs w:val="21"/>
          <w:highlight w:val="none"/>
        </w:rPr>
      </w:r>
      <w:r/>
    </w:p>
    <w:p>
      <w:pPr>
        <w:pStyle w:val="1095"/>
        <w:ind w:firstLine="420"/>
        <w:spacing w:line="42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三、合同款支付</w:t>
      </w:r>
      <w:r>
        <w:rPr>
          <w:rFonts w:ascii="微软雅黑" w:hAnsi="微软雅黑" w:eastAsia="微软雅黑" w:cs="微软雅黑"/>
          <w:color w:val="000000"/>
          <w:sz w:val="21"/>
          <w:szCs w:val="21"/>
          <w:highlight w:val="none"/>
        </w:rPr>
      </w:r>
      <w:r/>
    </w:p>
    <w:p>
      <w:pPr>
        <w:pStyle w:val="1095"/>
        <w:ind w:firstLine="420"/>
        <w:spacing w:line="42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3.1付款方式：</w:t>
      </w:r>
      <w:r>
        <w:rPr>
          <w:rFonts w:ascii="微软雅黑" w:hAnsi="微软雅黑" w:eastAsia="微软雅黑" w:cs="微软雅黑"/>
          <w:color w:val="000000"/>
          <w:sz w:val="21"/>
          <w:szCs w:val="21"/>
          <w:highlight w:val="none"/>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（一）托管费用支付方式：</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1.乙方按采购合同进行履约，经验收合格后甲方出具项目验收报告；</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2.服务每满一个季度，乙方在日常考核合格的前提下，由乙方向甲方开具相应金额发票，甲方以转账方式向乙方支付每季度服务费款项。</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（二）体检费用的支付：在新生体检工作完成且出具符合甲方要求的报告后，乙方按实际体检人数开具的正规发票，凭票结算。</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3.2本合同项下的采购资金由甲方自行支付，乙方向甲方开具发票。</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四、组成本合同的有关文件</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4.1本项目采购文件、成交供应商的响应文件及采购过程中有关澄清、承诺文件均为本合同有效附件，是本合同不可分割的组成部分，与本合同具有同等法律效力。</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五、服务期、服务地点</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5.1服务期/交付期：                         。</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5.2服务地点：                               。</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六、转包或分包</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6.1本合同范围内服务，应由乙方直接提供，不得转让他人承接；</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6.2 除非得到甲方的书面同意，乙方不得部分分包给他人承接。</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七、甲方权利和义务：</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7.1甲方依据采购文件上的项目要求、乙方响应文件承诺及国家、行业有关质量标准（下称“验收标准”）进行对乙方提供的服务及履行本合同情况实行考核验收。验收时乙方必须在现场，验收完毕后作出验收结果报告。考核验收标准为</w:t>
      </w:r>
      <w:r>
        <w:rPr>
          <w:rFonts w:hint="eastAsia" w:ascii="微软雅黑" w:hAnsi="微软雅黑" w:eastAsia="微软雅黑" w:cs="微软雅黑"/>
          <w:sz w:val="21"/>
          <w:szCs w:val="21"/>
          <w:lang w:eastAsia="zh-CN"/>
        </w:rPr>
        <w:t xml:space="preserve">（</w:t>
      </w:r>
      <w:r>
        <w:rPr>
          <w:rFonts w:hint="eastAsia" w:ascii="微软雅黑" w:hAnsi="微软雅黑" w:eastAsia="微软雅黑" w:cs="微软雅黑"/>
          <w:sz w:val="21"/>
          <w:szCs w:val="21"/>
          <w:lang w:val="en-US" w:eastAsia="zh-CN"/>
        </w:rPr>
        <w:t xml:space="preserve">见附件</w:t>
      </w:r>
      <w:r>
        <w:rPr>
          <w:rFonts w:hint="eastAsia" w:ascii="微软雅黑" w:hAnsi="微软雅黑" w:eastAsia="微软雅黑" w:cs="微软雅黑"/>
          <w:sz w:val="21"/>
          <w:szCs w:val="21"/>
          <w:lang w:eastAsia="zh-CN"/>
        </w:rPr>
        <w:t xml:space="preserve">）</w:t>
      </w:r>
      <w:r>
        <w:rPr>
          <w:rFonts w:hint="eastAsia" w:ascii="微软雅黑" w:hAnsi="微软雅黑" w:eastAsia="微软雅黑" w:cs="微软雅黑"/>
          <w:sz w:val="21"/>
          <w:szCs w:val="21"/>
        </w:rPr>
        <w:t xml:space="preserve">：</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7.2对专业技术复杂的服务，甲方可请国家认可的专业检测机构或组织相关的技术专家参与验收，并由其出具检测报告或验收报告。</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7.3采购文件规定以外的验收费用由甲乙双方协商解决。若服务经考核验收不符合技术服务要求和验收标准的，由乙方承担验收费用。</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7.4甲方有义务在适当的范围内公开考核结果，甲方有权对项目资金使用情况进行监督、检查，并要求乙方提供相关资料。</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7.5因突发情况，甲方需调动乙方人员和器材设备时，乙方应服从安排并予以配合。</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7.6甲方有权根据国家政策或法律法规的变动对服务的需求标准和质量做出相应变动。</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八、乙方权利和义务：</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8.1乙方应根据国家标准、行业标准和规范要求、采购文件规定的服务质量标准和有关要求及响应文件所作的承诺及本合同约定完成服务工作。</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8.2乙方应接受并主动配合甲方及行业主管部门的检查，检查发现存在或潜在的不符合上述8.1条约定情况的，应及时纠正、整改；对甲方指出的问题，应及时做出合理解释或予以纠正。</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8.3对因乙方管理不善而造成甲方的损失，乙方应负责及时修复或照价赔偿。</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8.4乙方应保证本合同提供的服务及相关的软件和技术资料等，均已取得有关知识产权的权利人的合法授权，如发生侵权等争议，乙方负责处理并承担由此引发的全部责任。</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8.5乙方应做好详细的管理台账，建立管理档案，并按双方约定将管理情况汇总报送甲方。</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8.6为确保服务质量，乙方须安排管理人员进行监督管理。</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8.7服务过程中，乙方必须严格按法律法规规章的规定、国家及行业标准采取周密的、适当的安全、安保措施（包括但不限于在人员配备、设备设施、制度及执行、监督等全方位的措施），以避免对人身和财产的损害；因乙方提供服务发生的人身伤害、财产损失及其他任何行政、司法等责任，均由乙方承担，与甲方无关，但因甲方原因造成的除外。</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8.8 在服务过程中，乙方不得进行任何有损甲方、甲方教职工及学生的名誉、荣誉、信誉或其他人格权的行为。</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九、违约责任</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9.1甲方无正当理由要求取消服务的，应按合同总价款的百分之五向乙方偿付违约金。</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9.2甲方无故逾期验收和办理合同款支付手续的,甲方应按逾期付款总额每日万分之五向乙方支付违约金。</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9.3乙方不能按约定时间，乙方应按合同总额每日千分之六向甲方支付违约金；乙方不能按约定方式、质量标准（验收标准）提供服务的，甲方每检查发现一次的，乙方应按合同金额百分之一向甲方支付违约金；甲方均有权从待付合同款中扣除违约金。</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发生下列情况之一的，甲方有权解除合同：</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（1）逾期超过约定日期10个自然日不能提供约定服务的，</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（2）甲方检查发现不符合约定的方式、质量标准二次或以上或发现一次后乙方仍未能整改到位的，</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（3）乙方原因导致人身伤害、财产损失的；</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（4）乙方违反上述第8.3、8.4、8.7及8.8条约定的。</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乙方因违约行为导致甲方解除合同的，乙方应向甲方支付合同总值百分之五的违约金，如造成甲方损失超过违约金的，超出部分由乙方继续承担赔偿责任。 </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bookmarkEnd w:id="274"/>
      <w:r/>
      <w:bookmarkEnd w:id="275"/>
      <w:r>
        <w:rPr>
          <w:rFonts w:hint="eastAsia" w:ascii="微软雅黑" w:hAnsi="微软雅黑" w:eastAsia="微软雅黑" w:cs="微软雅黑"/>
          <w:sz w:val="21"/>
          <w:szCs w:val="21"/>
        </w:rPr>
        <w:t xml:space="preserve">十、补充条款</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十一、不可抗力事件处理</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11.1 在合同有效期内，任何一方因不可抗力事件导致不能履行合同，则合同履行期可延长，其延长期与不可抗力影响期相同。</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11.2 不可抗力事件发生后，应立即通知对方，并寄送有关权威机构出具的证明。</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11.3 不可抗力事件延续120天以上，双方应通过友好协商，确定是否继续履行合同。</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十二、合同生效及其它</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12.1合同的生效：本合同一式六份，自买卖双方签字、盖章之日起生效。招标文件和投标文件都是合同不可分割的部分，与合同具有同等法律效力，如有冲突，由买方负责解释</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 合同纠纷处理</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本合同货物交付验收使用后所发生的合同纠纷，按照《中华人民共和国民法典》，由买方直接与卖方进行处理；并根据国家和本省有关政府采购的规定进行处罚。</w:t>
      </w: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12.3 对本合同内容的任何修改和变更由甲乙双方协商后达成书面补充协议，并经双方签字并加盖单位公章或合同专用章后生效，补充协议与本合同具有同等法律效力。</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12.4双方在执行合同中所发生的一切争议，双方协商解决。如协商不能达成一致，则任何一方应将争议提交甲方所在地人民法院诉讼解决。</w:t>
      </w: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甲方全称（盖章）：                      乙方全称（盖章）： </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法定代表人或授权代表（签字）：          法定代表人或授权代表（签字）：</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                             地    址： </w:t>
      </w:r>
      <w:r>
        <w:rPr>
          <w:rFonts w:ascii="微软雅黑" w:hAnsi="微软雅黑" w:eastAsia="微软雅黑" w:cs="微软雅黑"/>
          <w:sz w:val="21"/>
          <w:szCs w:val="21"/>
        </w:rPr>
      </w:r>
      <w:r/>
    </w:p>
    <w:p>
      <w:pPr>
        <w:pStyle w:val="1095"/>
        <w:ind w:firstLine="420"/>
        <w:spacing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联系电话：                             联系电话：</w:t>
      </w:r>
      <w:r>
        <w:rPr>
          <w:rFonts w:ascii="微软雅黑" w:hAnsi="微软雅黑" w:eastAsia="微软雅黑" w:cs="微软雅黑"/>
          <w:sz w:val="21"/>
          <w:szCs w:val="21"/>
        </w:rPr>
      </w:r>
      <w:r/>
    </w:p>
    <w:p>
      <w:pPr>
        <w:pStyle w:val="1095"/>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签订日期：                             签订日期：</w:t>
      </w:r>
      <w:r>
        <w:rPr>
          <w:rFonts w:hint="eastAsia" w:ascii="微软雅黑" w:hAnsi="微软雅黑" w:eastAsia="微软雅黑" w:cs="微软雅黑"/>
          <w:sz w:val="21"/>
          <w:szCs w:val="21"/>
        </w:rPr>
      </w:r>
      <w:r/>
    </w:p>
    <w:p>
      <w:pPr>
        <w:pStyle w:val="1063"/>
      </w:pPr>
      <w:r/>
      <w:r/>
    </w:p>
    <w:p>
      <w:pPr>
        <w:pStyle w:val="1063"/>
      </w:pPr>
      <w:r/>
      <w:r/>
    </w:p>
    <w:p>
      <w:pPr>
        <w:pStyle w:val="1063"/>
        <w:ind w:firstLine="420"/>
        <w:pageBreakBefore/>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附件：</w:t>
      </w:r>
      <w:r>
        <w:rPr>
          <w:rFonts w:hint="eastAsia" w:ascii="微软雅黑" w:hAnsi="微软雅黑" w:cs="微软雅黑"/>
          <w:color w:val="000000"/>
          <w:szCs w:val="21"/>
        </w:rPr>
      </w:r>
      <w:r/>
    </w:p>
    <w:p>
      <w:pPr>
        <w:pStyle w:val="1063"/>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淮安校区医疗托管服务日常考核/年度考核考核评分表</w:t>
      </w:r>
      <w:r>
        <w:rPr>
          <w:rFonts w:hint="eastAsia" w:ascii="微软雅黑" w:hAnsi="微软雅黑" w:cs="微软雅黑"/>
          <w:color w:val="000000"/>
          <w:szCs w:val="21"/>
        </w:rPr>
      </w:r>
      <w:r/>
    </w:p>
    <w:tbl>
      <w:tblPr>
        <w:tblW w:w="10087"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697"/>
        <w:gridCol w:w="1303"/>
        <w:gridCol w:w="4154"/>
        <w:gridCol w:w="693"/>
        <w:gridCol w:w="1080"/>
        <w:gridCol w:w="1080"/>
        <w:gridCol w:w="1080"/>
      </w:tblGrid>
      <w:tr>
        <w:trPr>
          <w:trHeight w:val="111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序号</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目标项目</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工作内容</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目标分值</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考核得分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备注</w:t>
            </w:r>
            <w:r>
              <w:rPr>
                <w:rFonts w:hint="eastAsia" w:ascii="微软雅黑" w:hAnsi="微软雅黑" w:cs="微软雅黑"/>
                <w:color w:val="000000"/>
                <w:szCs w:val="21"/>
              </w:rPr>
            </w:r>
            <w:r/>
          </w:p>
        </w:tc>
      </w:tr>
      <w:tr>
        <w:trPr>
          <w:trHeight w:val="14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基础管理（10分）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建立与本服务项目合同要求相适应的项目管理制度、各岗位工作标准，制订具体落实措施和考核办法。并在服务过程中按照学校实际服务需要和采购人要求，对原有制度进行及时更新或调整。</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所有工作人员资料交校区后勤保障部留底备查。有人员变动时及时告知校区后勤保障部。</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医务人员人数到位，上岗必须统一着工作服，仪表整洁，佩戴工作牌，服务文明规范。</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2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校区医务室内所有房屋结构未经采购人许可不得随意改变使用功能，采购人提供给中标医疗机构的用房不得转租或从事其他与合同无关的活动。</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借给中标人的办公家具、空调等设施设备建立档案（设备台帐），并有专人负责管理。</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66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14</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日常医疗服务管理（50分）</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中标单位的执业需符合卫健委、医保管理部门的管理要求。</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1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15</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中标医疗机构必须保证通讯24小时畅通。工作期间实行24小时值班制度，不准擅离岗位。</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16</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中标医疗机构医务人员对待师生态度良好，服务意识强。</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0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认真规范的登记门诊日志，保管好处方，管理好药品，做到药房账物相符。</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8</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17</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根据患者的实际病情合理用药。</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无未及时转诊，耽误学生治疗等给学生和学校造成不良影响的相关情况的投诉发生。</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6</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6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18</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负责配备维持医务室（或医疗点）正常运行的急救药品和其它急救设施设备。</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8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19</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负责参保学生医保门诊报销结算的正常开展。</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8</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24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20</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single" w:color="000000" w:sz="8"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jc w:val="left"/>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遇突发事件、紧急情况必须及时处理，及时汇报校区主管部门，并做好记录。</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7</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00"/>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21</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医疗服务及传染病管理（30分）</w:t>
            </w:r>
            <w:r>
              <w:rPr>
                <w:rFonts w:hint="eastAsia" w:ascii="微软雅黑" w:hAnsi="微软雅黑" w:cs="微软雅黑"/>
                <w:color w:val="000000"/>
                <w:szCs w:val="21"/>
              </w:rPr>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在校区要求配合医疗服务时，如迎新、军训、英语四六级考试、计算机等级考试、运动会、竞技比赛等工作时须听从安排，工作不推诿，应根据学校要求增派医务人员参与医疗保障。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10</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960"/>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22</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在疾病防控期间，协助采购人做好疾病防控的相关工作。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6</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533"/>
        </w:trPr>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24</w:t>
            </w:r>
            <w:r>
              <w:rPr>
                <w:rFonts w:hint="eastAsia" w:ascii="微软雅黑" w:hAnsi="微软雅黑" w:cs="微软雅黑"/>
                <w:color w:val="000000"/>
                <w:szCs w:val="21"/>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按照学校处置应对校内突发公共卫生事件的总体要求和统一安排，全力履行好医疗救治、防控等本职工作的相应职责；参与学校传染病、流行性疾病等预案制定、应急演练，为学校准备应急医疗物资提供指导。</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180"/>
        </w:trPr>
        <w:tc>
          <w:tcPr>
            <w:tcBorders>
              <w:top w:val="single" w:color="000000" w:sz="8" w:space="0"/>
              <w:left w:val="single" w:color="000000" w:sz="8" w:space="0"/>
              <w:bottom w:val="single" w:color="000000" w:sz="4" w:space="0"/>
              <w:right w:val="non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25</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中标医疗机构定期开展有关传染病及医疗救护知识的培训，每学期至少1次。开展校内师生的健康知识宣传，每年开展宣传活动不少于3次。每次培训及宣传活动，须有照片和文字资料存档。</w:t>
            </w:r>
            <w:r>
              <w:rPr>
                <w:rFonts w:hint="eastAsia" w:ascii="微软雅黑" w:hAnsi="微软雅黑" w:cs="微软雅黑"/>
                <w:color w:val="000000"/>
                <w:szCs w:val="21"/>
              </w:rPr>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10</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26</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中标医疗机构做好公共卫生防疫工作，对学校教学卫生、体育卫生、劳动卫生、环境卫生、饮食与营养卫生等实施医务监督，并提供咨询和技术指导。</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2</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391"/>
        </w:trPr>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30</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303" w:type="dxa"/>
            <w:vAlign w:val="center"/>
            <w:vMerge w:val="restart"/>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其它（10分）</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根据学生实际健康情况，对患病体弱的学生实施医疗照顾；对因病不能坚持学习者，根据学籍管理规定，提出休、退学的处理意见。</w:t>
            </w:r>
            <w:r>
              <w:rPr>
                <w:rFonts w:hint="eastAsia" w:ascii="微软雅黑" w:hAnsi="微软雅黑" w:cs="微软雅黑"/>
                <w:color w:val="000000"/>
                <w:szCs w:val="21"/>
              </w:rPr>
            </w:r>
            <w:r/>
          </w:p>
        </w:tc>
        <w:tc>
          <w:tcPr>
            <w:tcBorders>
              <w:top w:val="single" w:color="000000" w:sz="4"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4"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14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中标医疗机构每个月提交一份工作总结给校区主管部门备案：内容包含就诊人数，发热病人人数，药品合计价格等详细情况，以便学校监管。</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7"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31</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3" w:type="dxa"/>
            <w:vAlign w:val="center"/>
            <w:vMerge w:val="continue"/>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154" w:type="dxa"/>
            <w:vAlign w:val="center"/>
            <w:textDirection w:val="lrTb"/>
            <w:noWrap w:val="false"/>
          </w:tcPr>
          <w:p>
            <w:pPr>
              <w:pStyle w:val="1063"/>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按照采购人要求做好季度临时性工作。</w:t>
            </w:r>
            <w:r>
              <w:rPr>
                <w:rFonts w:hint="eastAsia" w:ascii="微软雅黑" w:hAnsi="微软雅黑" w:cs="微软雅黑"/>
                <w:color w:val="000000"/>
                <w:szCs w:val="21"/>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93" w:type="dxa"/>
            <w:vAlign w:val="center"/>
            <w:textDirection w:val="lrTb"/>
            <w:noWrap w:val="false"/>
          </w:tcPr>
          <w:p>
            <w:pPr>
              <w:pStyle w:val="1063"/>
              <w:jc w:val="center"/>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4</w:t>
            </w: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1063"/>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063"/>
        <w:rPr>
          <w:rFonts w:hint="eastAsia"/>
        </w:rPr>
      </w:pPr>
      <w:r>
        <w:rPr>
          <w:rFonts w:hint="eastAsia"/>
        </w:rPr>
      </w:r>
      <w:r/>
    </w:p>
    <w:p>
      <w:pPr>
        <w:pStyle w:val="1064"/>
        <w:rPr>
          <w:rFonts w:hint="eastAsia" w:ascii="微软雅黑" w:hAnsi="微软雅黑" w:cs="微软雅黑"/>
          <w:szCs w:val="32"/>
        </w:rPr>
      </w:pPr>
      <w:r>
        <w:rPr>
          <w:rFonts w:hint="eastAsia" w:ascii="微软雅黑" w:hAnsi="微软雅黑" w:cs="微软雅黑"/>
        </w:rPr>
        <w:br w:type="page" w:clear="all"/>
      </w:r>
      <w:bookmarkStart w:id="276" w:name="_Toc13204"/>
      <w:r/>
      <w:bookmarkStart w:id="277" w:name="_Toc7091"/>
      <w:r/>
      <w:bookmarkStart w:id="278" w:name="_Toc11023"/>
      <w:r>
        <w:rPr>
          <w:rFonts w:hint="eastAsia" w:ascii="微软雅黑" w:hAnsi="微软雅黑" w:cs="微软雅黑"/>
        </w:rPr>
        <w:t xml:space="preserve">第六章 投标文件格式</w:t>
      </w:r>
      <w:bookmarkEnd w:id="276"/>
      <w:r>
        <w:rPr>
          <w:rFonts w:hint="eastAsia" w:ascii="微软雅黑" w:hAnsi="微软雅黑" w:cs="微软雅黑"/>
        </w:rPr>
        <w:t xml:space="preserve">及附件</w:t>
      </w:r>
      <w:bookmarkEnd w:id="277"/>
      <w:r/>
      <w:bookmarkEnd w:id="278"/>
      <w:r>
        <w:rPr>
          <w:rFonts w:hint="eastAsia" w:ascii="微软雅黑" w:hAnsi="微软雅黑" w:cs="微软雅黑"/>
          <w:szCs w:val="32"/>
        </w:rPr>
      </w:r>
      <w:r/>
    </w:p>
    <w:p>
      <w:pPr>
        <w:pStyle w:val="1063"/>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hint="eastAsia" w:ascii="微软雅黑" w:hAnsi="微软雅黑" w:cs="微软雅黑"/>
          <w:b/>
          <w:bCs/>
          <w:sz w:val="24"/>
          <w:szCs w:val="24"/>
        </w:rPr>
      </w:r>
      <w:r/>
    </w:p>
    <w:p>
      <w:pPr>
        <w:pStyle w:val="1063"/>
        <w:numPr>
          <w:ilvl w:val="0"/>
          <w:numId w:val="13"/>
        </w:numPr>
        <w:ind w:hanging="205"/>
        <w:jc w:val="left"/>
        <w:spacing w:line="400" w:lineRule="exact"/>
        <w:widowControl/>
        <w:rPr>
          <w:rFonts w:hint="eastAsia" w:ascii="微软雅黑" w:hAnsi="微软雅黑" w:cs="微软雅黑"/>
          <w:szCs w:val="21"/>
        </w:rPr>
      </w:pPr>
      <w:r>
        <w:rPr>
          <w:rFonts w:hint="eastAsia" w:ascii="微软雅黑" w:hAnsi="微软雅黑" w:cs="微软雅黑"/>
          <w:szCs w:val="21"/>
        </w:rPr>
        <w:t xml:space="preserve">本部分内容仅供格式参考。</w:t>
      </w:r>
      <w:r>
        <w:rPr>
          <w:rFonts w:hint="eastAsia" w:ascii="微软雅黑" w:hAnsi="微软雅黑" w:cs="微软雅黑"/>
          <w:szCs w:val="21"/>
        </w:rPr>
      </w:r>
      <w:r/>
    </w:p>
    <w:p>
      <w:pPr>
        <w:pStyle w:val="1092"/>
        <w:numPr>
          <w:ilvl w:val="0"/>
          <w:numId w:val="13"/>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w:t>
      </w:r>
      <w:r>
        <w:rPr>
          <w:rFonts w:hint="eastAsia" w:ascii="微软雅黑" w:hAnsi="微软雅黑" w:cs="微软雅黑"/>
          <w:szCs w:val="21"/>
        </w:rPr>
      </w:r>
      <w:r/>
    </w:p>
    <w:p>
      <w:pPr>
        <w:pStyle w:val="1063"/>
        <w:numPr>
          <w:ilvl w:val="0"/>
          <w:numId w:val="13"/>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供应商提交的投标文件及投标材料不予退还。</w:t>
      </w:r>
      <w:r>
        <w:rPr>
          <w:rFonts w:hint="eastAsia" w:ascii="微软雅黑" w:hAnsi="微软雅黑" w:cs="微软雅黑"/>
          <w:szCs w:val="21"/>
        </w:rPr>
      </w:r>
      <w:r/>
    </w:p>
    <w:p>
      <w:pPr>
        <w:pStyle w:val="1092"/>
        <w:ind w:left="1260"/>
        <w:rPr>
          <w:rFonts w:hint="eastAsia" w:ascii="微软雅黑" w:hAnsi="微软雅黑" w:cs="微软雅黑"/>
        </w:rPr>
      </w:pPr>
      <w:r>
        <w:rPr>
          <w:rFonts w:hint="eastAsia" w:ascii="微软雅黑" w:hAnsi="微软雅黑" w:cs="微软雅黑"/>
        </w:rPr>
      </w:r>
      <w:r/>
    </w:p>
    <w:p>
      <w:pPr>
        <w:pStyle w:val="1063"/>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63"/>
        <w:jc w:val="center"/>
        <w:spacing w:line="360" w:lineRule="auto"/>
        <w:rPr>
          <w:rFonts w:hint="eastAsia" w:ascii="微软雅黑" w:hAnsi="微软雅黑" w:cs="微软雅黑"/>
        </w:rPr>
      </w:pPr>
      <w:r>
        <w:rPr>
          <w:rFonts w:hint="eastAsia" w:ascii="微软雅黑" w:hAnsi="微软雅黑" w:cs="微软雅黑"/>
        </w:rPr>
      </w:r>
      <w:r/>
    </w:p>
    <w:p>
      <w:pPr>
        <w:pStyle w:val="1063"/>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rPr>
          <w:rFonts w:hint="eastAsia" w:ascii="微软雅黑" w:hAnsi="微软雅黑" w:cs="微软雅黑"/>
          <w:sz w:val="56"/>
          <w:szCs w:val="56"/>
        </w:rPr>
      </w:r>
      <w:r/>
    </w:p>
    <w:p>
      <w:pPr>
        <w:pStyle w:val="1063"/>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063"/>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063"/>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3"/>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3"/>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项目编号：JSZC-320000-JSHC-G2026-0023</w:t>
      </w: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代理机构内部编号：JSHC-2026040262B5</w:t>
      </w: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3"/>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63"/>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1063"/>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63"/>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63"/>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63"/>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63"/>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63"/>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63"/>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w:t>
      </w: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9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1063"/>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63"/>
        <w:spacing w:line="420" w:lineRule="exact"/>
        <w:rPr>
          <w:rFonts w:hint="eastAsia" w:ascii="微软雅黑" w:hAnsi="微软雅黑" w:cs="微软雅黑"/>
        </w:rPr>
      </w:pPr>
      <w:r>
        <w:rPr>
          <w:rFonts w:hint="eastAsia" w:ascii="微软雅黑" w:hAnsi="微软雅黑" w:cs="微软雅黑"/>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sz w:val="24"/>
          <w:szCs w:val="21"/>
        </w:rPr>
      </w:pPr>
      <w:r>
        <w:rPr>
          <w:rFonts w:hint="eastAsia" w:ascii="微软雅黑" w:hAnsi="微软雅黑" w:cs="微软雅黑"/>
          <w:sz w:val="24"/>
          <w:szCs w:val="21"/>
        </w:rPr>
      </w:r>
      <w:r/>
    </w:p>
    <w:p>
      <w:pPr>
        <w:pStyle w:val="1063"/>
        <w:rPr>
          <w:rFonts w:hint="eastAsia" w:ascii="微软雅黑" w:hAnsi="微软雅黑" w:cs="微软雅黑"/>
          <w:sz w:val="24"/>
          <w:szCs w:val="21"/>
        </w:rPr>
      </w:pPr>
      <w:r>
        <w:rPr>
          <w:rFonts w:hint="eastAsia" w:ascii="微软雅黑" w:hAnsi="微软雅黑" w:cs="微软雅黑"/>
          <w:sz w:val="24"/>
          <w:szCs w:val="21"/>
        </w:rPr>
      </w:r>
      <w:r/>
    </w:p>
    <w:p>
      <w:pPr>
        <w:pStyle w:val="1092"/>
        <w:ind w:left="1260"/>
        <w:rPr>
          <w:rFonts w:hint="eastAsia" w:ascii="微软雅黑" w:hAnsi="微软雅黑" w:cs="微软雅黑"/>
        </w:rPr>
      </w:pPr>
      <w:r>
        <w:rPr>
          <w:rFonts w:hint="eastAsia" w:ascii="微软雅黑" w:hAnsi="微软雅黑" w:cs="微软雅黑"/>
        </w:rPr>
      </w:r>
      <w:r/>
    </w:p>
    <w:p>
      <w:pPr>
        <w:pStyle w:val="109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1063"/>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1063"/>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63"/>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63"/>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63"/>
        <w:spacing w:line="420" w:lineRule="exact"/>
        <w:rPr>
          <w:rFonts w:hint="eastAsia" w:ascii="微软雅黑" w:hAnsi="微软雅黑" w:cs="微软雅黑"/>
        </w:rPr>
      </w:pPr>
      <w:r>
        <w:rPr>
          <w:rFonts w:hint="eastAsia" w:ascii="微软雅黑" w:hAnsi="微软雅黑" w:cs="微软雅黑"/>
        </w:rPr>
      </w:r>
      <w:r/>
    </w:p>
    <w:p>
      <w:pPr>
        <w:pStyle w:val="1063"/>
        <w:spacing w:line="420" w:lineRule="exact"/>
        <w:rPr>
          <w:rFonts w:hint="eastAsia" w:ascii="微软雅黑" w:hAnsi="微软雅黑" w:cs="微软雅黑"/>
        </w:rPr>
      </w:pPr>
      <w:r>
        <w:rPr>
          <w:rFonts w:hint="eastAsia" w:ascii="微软雅黑" w:hAnsi="微软雅黑" w:cs="微软雅黑"/>
        </w:rPr>
      </w:r>
      <w:r/>
    </w:p>
    <w:p>
      <w:pPr>
        <w:pStyle w:val="1065"/>
        <w:rPr>
          <w:rFonts w:hint="eastAsia" w:ascii="微软雅黑" w:hAnsi="微软雅黑" w:cs="微软雅黑"/>
          <w:szCs w:val="30"/>
        </w:rPr>
      </w:pPr>
      <w:r>
        <w:rPr>
          <w:rFonts w:hint="eastAsia" w:ascii="微软雅黑" w:hAnsi="微软雅黑" w:cs="微软雅黑"/>
        </w:rPr>
        <w:br w:type="page" w:clear="all"/>
      </w:r>
      <w:bookmarkStart w:id="279" w:name="_Toc24615"/>
      <w:r/>
      <w:bookmarkStart w:id="280" w:name="_Toc15612"/>
      <w:r/>
      <w:bookmarkStart w:id="281" w:name="_Toc2739"/>
      <w:r>
        <w:rPr>
          <w:rFonts w:hint="eastAsia" w:ascii="微软雅黑" w:hAnsi="微软雅黑" w:cs="微软雅黑"/>
        </w:rPr>
        <w:t xml:space="preserve">一、投标函、投标报价及项目相关文件</w:t>
      </w:r>
      <w:bookmarkEnd w:id="279"/>
      <w:r/>
      <w:bookmarkEnd w:id="280"/>
      <w:r/>
      <w:bookmarkEnd w:id="281"/>
      <w:r>
        <w:rPr>
          <w:rFonts w:hint="eastAsia" w:ascii="微软雅黑" w:hAnsi="微软雅黑" w:cs="微软雅黑"/>
          <w:szCs w:val="30"/>
        </w:rPr>
      </w:r>
      <w:r/>
    </w:p>
    <w:p>
      <w:pPr>
        <w:pStyle w:val="1066"/>
        <w:rPr>
          <w:rFonts w:hint="eastAsia" w:ascii="微软雅黑" w:hAnsi="微软雅黑" w:cs="微软雅黑"/>
          <w:b/>
          <w:bCs w:val="0"/>
          <w:sz w:val="24"/>
          <w:szCs w:val="24"/>
        </w:rPr>
      </w:pPr>
      <w:r/>
      <w:bookmarkStart w:id="282" w:name="_Toc30473"/>
      <w:r/>
      <w:bookmarkStart w:id="283" w:name="_Toc8176"/>
      <w:r/>
      <w:bookmarkStart w:id="284" w:name="_Toc26155"/>
      <w:r>
        <w:rPr>
          <w:rFonts w:hint="eastAsia" w:ascii="微软雅黑" w:hAnsi="微软雅黑" w:cs="微软雅黑"/>
          <w:b/>
          <w:bCs w:val="0"/>
          <w:sz w:val="24"/>
          <w:szCs w:val="24"/>
        </w:rPr>
        <w:t xml:space="preserve">1.投标函</w:t>
      </w:r>
      <w:bookmarkEnd w:id="282"/>
      <w:r/>
      <w:bookmarkEnd w:id="283"/>
      <w:r/>
      <w:bookmarkEnd w:id="284"/>
      <w:r>
        <w:rPr>
          <w:rFonts w:hint="eastAsia" w:ascii="微软雅黑" w:hAnsi="微软雅黑" w:cs="微软雅黑"/>
          <w:b/>
          <w:bCs w:val="0"/>
          <w:sz w:val="24"/>
          <w:szCs w:val="24"/>
        </w:rPr>
      </w:r>
      <w:r/>
    </w:p>
    <w:p>
      <w:pPr>
        <w:pStyle w:val="1063"/>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1063"/>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r>
      <w:r/>
    </w:p>
    <w:p>
      <w:pPr>
        <w:pStyle w:val="1063"/>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                        电话：              </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63"/>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r>
      <w:r/>
    </w:p>
    <w:p>
      <w:pPr>
        <w:pStyle w:val="1066"/>
        <w:rPr>
          <w:rFonts w:hint="eastAsia" w:ascii="微软雅黑" w:hAnsi="微软雅黑" w:cs="微软雅黑"/>
          <w:b/>
          <w:bCs w:val="0"/>
          <w:sz w:val="24"/>
          <w:szCs w:val="24"/>
        </w:rPr>
      </w:pPr>
      <w:r/>
      <w:bookmarkStart w:id="285" w:name="_Toc28250"/>
      <w:r/>
      <w:bookmarkStart w:id="286" w:name="_Toc16912"/>
      <w:r/>
      <w:bookmarkStart w:id="287" w:name="_Toc32208"/>
      <w:r>
        <w:rPr>
          <w:rFonts w:hint="eastAsia" w:ascii="微软雅黑" w:hAnsi="微软雅黑" w:cs="微软雅黑"/>
          <w:b/>
          <w:bCs w:val="0"/>
          <w:sz w:val="24"/>
          <w:szCs w:val="24"/>
        </w:rPr>
        <w:t xml:space="preserve">2.开标一览表</w:t>
      </w:r>
      <w:bookmarkEnd w:id="285"/>
      <w:r/>
      <w:bookmarkEnd w:id="286"/>
      <w:r/>
      <w:bookmarkEnd w:id="287"/>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95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898"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cantSplit/>
          <w:trHeight w:val="891"/>
        </w:trPr>
        <w:tc>
          <w:tcPr>
            <w:tcW w:w="66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95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898"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cantSplit/>
          <w:trHeight w:val="1418"/>
        </w:trPr>
        <w:tc>
          <w:tcPr>
            <w:tcW w:w="664" w:type="dxa"/>
            <w:vAlign w:val="center"/>
            <w:textDirection w:val="lrTb"/>
            <w:noWrap w:val="false"/>
          </w:tcPr>
          <w:p>
            <w:pPr>
              <w:pStyle w:val="1063"/>
              <w:jc w:val="center"/>
              <w:rPr>
                <w:rFonts w:hint="eastAsia" w:ascii="微软雅黑" w:hAnsi="微软雅黑" w:eastAsia="微软雅黑" w:cs="微软雅黑"/>
                <w:lang w:eastAsia="zh-CN"/>
              </w:rPr>
            </w:pPr>
            <w:r>
              <w:rPr>
                <w:rFonts w:hint="eastAsia" w:ascii="微软雅黑" w:hAnsi="微软雅黑" w:cs="微软雅黑"/>
                <w:lang w:val="en-US" w:eastAsia="zh-CN"/>
              </w:rPr>
              <w:t xml:space="preserve">3</w:t>
            </w:r>
            <w:r>
              <w:rPr>
                <w:rFonts w:hint="eastAsia" w:ascii="微软雅黑" w:hAnsi="微软雅黑" w:eastAsia="微软雅黑" w:cs="微软雅黑"/>
                <w:lang w:eastAsia="zh-CN"/>
              </w:rPr>
            </w:r>
            <w:r/>
          </w:p>
        </w:tc>
        <w:tc>
          <w:tcPr>
            <w:tcW w:w="195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总价</w:t>
            </w:r>
            <w:r>
              <w:rPr>
                <w:rFonts w:hint="eastAsia" w:ascii="微软雅黑" w:hAnsi="微软雅黑" w:cs="微软雅黑"/>
              </w:rPr>
            </w:r>
            <w:r/>
          </w:p>
        </w:tc>
        <w:tc>
          <w:tcPr>
            <w:tcW w:w="5898" w:type="dxa"/>
            <w:vAlign w:val="top"/>
            <w:textDirection w:val="lrTb"/>
            <w:noWrap w:val="false"/>
          </w:tcPr>
          <w:p>
            <w:pPr>
              <w:pStyle w:val="1063"/>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元整/三年</w:t>
            </w:r>
            <w:r>
              <w:rPr>
                <w:rFonts w:ascii="微软雅黑" w:hAnsi="微软雅黑" w:cs="微软雅黑"/>
              </w:rPr>
            </w:r>
            <w:r/>
          </w:p>
          <w:p>
            <w:pPr>
              <w:pStyle w:val="1063"/>
              <w:rPr>
                <w:rFonts w:hint="eastAsia"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rPr>
                <w:rFonts w:hint="eastAsia" w:ascii="微软雅黑" w:hAnsi="微软雅黑" w:cs="微软雅黑"/>
              </w:rPr>
              <w:t xml:space="preserve">元整/3年</w:t>
            </w:r>
            <w:r>
              <w:rPr>
                <w:rFonts w:hint="eastAsia" w:ascii="微软雅黑" w:hAnsi="微软雅黑" w:cs="微软雅黑"/>
              </w:rPr>
            </w:r>
            <w:r/>
          </w:p>
        </w:tc>
      </w:tr>
    </w:tbl>
    <w:p>
      <w:pPr>
        <w:pStyle w:val="1063"/>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063"/>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92"/>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63"/>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63"/>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063"/>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063"/>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1092"/>
        <w:ind w:left="0"/>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66"/>
        <w:rPr>
          <w:rFonts w:hint="eastAsia" w:ascii="微软雅黑" w:hAnsi="微软雅黑" w:cs="微软雅黑"/>
          <w:b/>
          <w:bCs w:val="0"/>
          <w:sz w:val="24"/>
          <w:szCs w:val="24"/>
        </w:rPr>
      </w:pPr>
      <w:r/>
      <w:bookmarkStart w:id="288" w:name="_Toc403725575"/>
      <w:r/>
      <w:bookmarkStart w:id="289" w:name="_Toc27750"/>
      <w:r/>
      <w:bookmarkStart w:id="290" w:name="_Toc17085"/>
      <w:r/>
      <w:bookmarkStart w:id="291" w:name="_Toc32100"/>
      <w:r>
        <w:rPr>
          <w:rFonts w:hint="eastAsia" w:ascii="微软雅黑" w:hAnsi="微软雅黑" w:cs="微软雅黑"/>
          <w:b/>
          <w:bCs w:val="0"/>
          <w:sz w:val="24"/>
          <w:szCs w:val="24"/>
        </w:rPr>
        <w:t xml:space="preserve">3.投标报价明细表</w:t>
      </w:r>
      <w:bookmarkEnd w:id="288"/>
      <w:r/>
      <w:bookmarkEnd w:id="289"/>
      <w:r/>
      <w:bookmarkEnd w:id="290"/>
      <w:r/>
      <w:bookmarkEnd w:id="291"/>
      <w:r>
        <w:rPr>
          <w:rFonts w:hint="eastAsia" w:ascii="微软雅黑" w:hAnsi="微软雅黑" w:cs="微软雅黑"/>
          <w:b/>
          <w:bCs w:val="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02"/>
        <w:gridCol w:w="1099"/>
        <w:gridCol w:w="1024"/>
        <w:gridCol w:w="1370"/>
        <w:gridCol w:w="1750"/>
      </w:tblGrid>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序号</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t xml:space="preserve">项目</w:t>
            </w:r>
            <w:r>
              <w:rPr>
                <w:rFonts w:hint="eastAsia" w:ascii="微软雅黑" w:hAnsi="微软雅黑" w:cs="微软雅黑"/>
                <w:color w:val="000000"/>
                <w:szCs w:val="24"/>
              </w:rPr>
            </w:r>
            <w:r/>
          </w:p>
        </w:tc>
        <w:tc>
          <w:tcPr>
            <w:tcW w:w="109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数量</w:t>
            </w:r>
            <w:r>
              <w:rPr>
                <w:rFonts w:hint="eastAsia" w:ascii="微软雅黑" w:hAnsi="微软雅黑" w:cs="微软雅黑"/>
                <w:szCs w:val="24"/>
              </w:rPr>
            </w:r>
            <w:r/>
          </w:p>
        </w:tc>
        <w:tc>
          <w:tcPr>
            <w:tcW w:w="1024"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单价</w:t>
            </w:r>
            <w:r>
              <w:rPr>
                <w:rFonts w:hint="eastAsia" w:ascii="微软雅黑" w:hAnsi="微软雅黑" w:cs="微软雅黑"/>
                <w:szCs w:val="24"/>
              </w:rPr>
            </w:r>
            <w:r/>
          </w:p>
        </w:tc>
        <w:tc>
          <w:tcPr>
            <w:tcW w:w="1370"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分项小计（元）</w:t>
            </w:r>
            <w:r>
              <w:rPr>
                <w:rFonts w:hint="eastAsia" w:ascii="微软雅黑" w:hAnsi="微软雅黑" w:cs="微软雅黑"/>
                <w:szCs w:val="24"/>
              </w:rPr>
            </w:r>
            <w:r/>
          </w:p>
        </w:tc>
        <w:tc>
          <w:tcPr>
            <w:tcW w:w="1750"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备注</w:t>
            </w: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1</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t xml:space="preserve">……</w:t>
            </w: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2</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3</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4</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5</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6</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24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tcW w:w="719" w:type="dxa"/>
            <w:vAlign w:val="center"/>
            <w:textDirection w:val="lrTb"/>
            <w:noWrap w:val="false"/>
          </w:tcPr>
          <w:p>
            <w:pPr>
              <w:pStyle w:val="1063"/>
              <w:jc w:val="center"/>
              <w:spacing w:line="400" w:lineRule="exact"/>
              <w:rPr>
                <w:rFonts w:hint="eastAsia" w:ascii="微软雅黑" w:hAnsi="微软雅黑" w:cs="微软雅黑"/>
                <w:szCs w:val="24"/>
              </w:rPr>
            </w:pPr>
            <w:r>
              <w:rPr>
                <w:rFonts w:hint="eastAsia" w:ascii="微软雅黑" w:hAnsi="微软雅黑" w:cs="微软雅黑"/>
                <w:szCs w:val="24"/>
              </w:rPr>
              <w:t xml:space="preserve">……</w:t>
            </w:r>
            <w:r>
              <w:rPr>
                <w:rFonts w:hint="eastAsia" w:ascii="微软雅黑" w:hAnsi="微软雅黑" w:cs="微软雅黑"/>
                <w:szCs w:val="24"/>
              </w:rPr>
            </w:r>
            <w:r/>
          </w:p>
        </w:tc>
        <w:tc>
          <w:tcPr>
            <w:tcW w:w="1802" w:type="dxa"/>
            <w:vAlign w:val="center"/>
            <w:textDirection w:val="lrTb"/>
            <w:noWrap w:val="false"/>
          </w:tcPr>
          <w:p>
            <w:pPr>
              <w:pStyle w:val="1063"/>
              <w:jc w:val="center"/>
              <w:spacing w:line="400" w:lineRule="exact"/>
              <w:rPr>
                <w:rFonts w:hint="eastAsia" w:ascii="微软雅黑" w:hAnsi="微软雅黑" w:cs="微软雅黑"/>
                <w:color w:val="000000"/>
                <w:szCs w:val="24"/>
              </w:rPr>
            </w:pPr>
            <w:r>
              <w:rPr>
                <w:rFonts w:hint="eastAsia" w:ascii="微软雅黑" w:hAnsi="微软雅黑" w:cs="微软雅黑"/>
                <w:color w:val="000000"/>
                <w:szCs w:val="24"/>
              </w:rPr>
              <w:t xml:space="preserve">……</w:t>
            </w:r>
            <w:r>
              <w:rPr>
                <w:rFonts w:hint="eastAsia" w:ascii="微软雅黑" w:hAnsi="微软雅黑" w:cs="微软雅黑"/>
                <w:color w:val="000000"/>
                <w:szCs w:val="24"/>
              </w:rPr>
            </w:r>
            <w:r/>
          </w:p>
        </w:tc>
        <w:tc>
          <w:tcPr>
            <w:tcW w:w="1099"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02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1063"/>
              <w:spacing w:line="240" w:lineRule="exact"/>
              <w:rPr>
                <w:rFonts w:hint="eastAsia" w:ascii="微软雅黑" w:hAnsi="微软雅黑" w:cs="微软雅黑"/>
                <w:szCs w:val="24"/>
              </w:rPr>
            </w:pPr>
            <w:r>
              <w:rPr>
                <w:rFonts w:hint="eastAsia" w:ascii="微软雅黑" w:hAnsi="微软雅黑" w:cs="微软雅黑"/>
                <w:szCs w:val="24"/>
              </w:rPr>
            </w:r>
            <w:r/>
          </w:p>
        </w:tc>
      </w:tr>
      <w:tr>
        <w:trPr>
          <w:cantSplit/>
          <w:trHeight w:val="454" w:hRule="exact"/>
        </w:trPr>
        <w:tc>
          <w:tcPr>
            <w:gridSpan w:val="3"/>
            <w:tcW w:w="3620" w:type="dxa"/>
            <w:vAlign w:val="center"/>
            <w:textDirection w:val="lrTb"/>
            <w:noWrap w:val="false"/>
          </w:tcPr>
          <w:p>
            <w:pPr>
              <w:pStyle w:val="1063"/>
              <w:spacing w:line="400" w:lineRule="exact"/>
              <w:rPr>
                <w:rFonts w:hint="eastAsia" w:ascii="微软雅黑" w:hAnsi="微软雅黑" w:eastAsia="微软雅黑" w:cs="微软雅黑"/>
                <w:sz w:val="21"/>
                <w:szCs w:val="24"/>
                <w:lang w:val="en-US" w:eastAsia="zh-CN" w:bidi="ar-SA"/>
              </w:rPr>
            </w:pPr>
            <w:r>
              <w:rPr>
                <w:rFonts w:hint="eastAsia" w:ascii="微软雅黑" w:hAnsi="微软雅黑" w:cs="微软雅黑"/>
                <w:sz w:val="18"/>
                <w:szCs w:val="18"/>
              </w:rPr>
              <w:t xml:space="preserve">响应报价总计</w:t>
            </w:r>
            <w:r>
              <w:rPr>
                <w:rFonts w:hint="eastAsia" w:ascii="微软雅黑" w:hAnsi="微软雅黑" w:cs="微软雅黑"/>
                <w:sz w:val="18"/>
                <w:szCs w:val="18"/>
                <w:lang w:eastAsia="zh-CN"/>
              </w:rPr>
              <w:t xml:space="preserve">（</w:t>
            </w:r>
            <w:r>
              <w:rPr>
                <w:rFonts w:hint="eastAsia" w:ascii="微软雅黑" w:hAnsi="微软雅黑" w:cs="微软雅黑"/>
                <w:sz w:val="18"/>
                <w:szCs w:val="18"/>
                <w:lang w:val="en-US" w:eastAsia="zh-CN"/>
              </w:rPr>
              <w:t xml:space="preserve">一年</w:t>
            </w:r>
            <w:r>
              <w:rPr>
                <w:rFonts w:hint="eastAsia" w:ascii="微软雅黑" w:hAnsi="微软雅黑" w:cs="微软雅黑"/>
                <w:sz w:val="18"/>
                <w:szCs w:val="18"/>
                <w:lang w:eastAsia="zh-CN"/>
              </w:rPr>
              <w:t xml:space="preserve">）</w:t>
            </w:r>
            <w:r>
              <w:rPr>
                <w:rFonts w:hint="eastAsia" w:ascii="微软雅黑" w:hAnsi="微软雅黑" w:cs="微软雅黑"/>
                <w:szCs w:val="24"/>
              </w:rPr>
              <w:t xml:space="preserve">：</w:t>
            </w:r>
            <w:r>
              <w:rPr>
                <w:rFonts w:hint="eastAsia" w:ascii="微软雅黑" w:hAnsi="微软雅黑" w:eastAsia="微软雅黑" w:cs="微软雅黑"/>
                <w:sz w:val="21"/>
                <w:szCs w:val="24"/>
                <w:lang w:val="en-US" w:eastAsia="zh-CN" w:bidi="ar-SA"/>
              </w:rPr>
            </w:r>
            <w:r/>
          </w:p>
        </w:tc>
        <w:tc>
          <w:tcPr>
            <w:gridSpan w:val="3"/>
            <w:tcW w:w="4144" w:type="dxa"/>
            <w:vAlign w:val="center"/>
            <w:textDirection w:val="lrTb"/>
            <w:noWrap w:val="false"/>
          </w:tcPr>
          <w:p>
            <w:pPr>
              <w:pStyle w:val="1063"/>
              <w:spacing w:line="400" w:lineRule="exact"/>
              <w:rPr>
                <w:rFonts w:hint="eastAsia" w:ascii="微软雅黑" w:hAnsi="微软雅黑" w:eastAsia="微软雅黑" w:cs="微软雅黑"/>
                <w:sz w:val="21"/>
                <w:szCs w:val="24"/>
                <w:lang w:val="en-US" w:eastAsia="zh-CN" w:bidi="ar-SA"/>
              </w:rPr>
            </w:pPr>
            <w:r>
              <w:rPr>
                <w:rFonts w:hint="eastAsia" w:ascii="微软雅黑" w:hAnsi="微软雅黑" w:cs="微软雅黑"/>
                <w:szCs w:val="24"/>
              </w:rPr>
              <w:t xml:space="preserve">人民币 （大写）      元整  ¥：</w:t>
            </w:r>
            <w:r>
              <w:rPr>
                <w:rFonts w:hint="eastAsia" w:ascii="微软雅黑" w:hAnsi="微软雅黑" w:eastAsia="微软雅黑" w:cs="微软雅黑"/>
                <w:sz w:val="21"/>
                <w:szCs w:val="24"/>
                <w:lang w:val="en-US" w:eastAsia="zh-CN" w:bidi="ar-SA"/>
              </w:rPr>
            </w:r>
            <w:r/>
          </w:p>
        </w:tc>
      </w:tr>
      <w:tr>
        <w:trPr>
          <w:cantSplit/>
          <w:trHeight w:val="454" w:hRule="exact"/>
        </w:trPr>
        <w:tc>
          <w:tcPr>
            <w:gridSpan w:val="3"/>
            <w:tcW w:w="3620"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 w:val="18"/>
                <w:szCs w:val="18"/>
              </w:rPr>
              <w:t xml:space="preserve">响应报价总计</w:t>
            </w:r>
            <w:r>
              <w:rPr>
                <w:rFonts w:hint="eastAsia" w:ascii="微软雅黑" w:hAnsi="微软雅黑" w:cs="微软雅黑"/>
                <w:sz w:val="18"/>
                <w:szCs w:val="18"/>
                <w:lang w:eastAsia="zh-CN"/>
              </w:rPr>
              <w:t xml:space="preserve">（</w:t>
            </w:r>
            <w:r>
              <w:rPr>
                <w:rFonts w:hint="eastAsia" w:ascii="微软雅黑" w:hAnsi="微软雅黑" w:cs="微软雅黑"/>
                <w:sz w:val="18"/>
                <w:szCs w:val="18"/>
                <w:lang w:val="en-US" w:eastAsia="zh-CN"/>
              </w:rPr>
              <w:t xml:space="preserve">三年</w:t>
            </w:r>
            <w:r>
              <w:rPr>
                <w:rFonts w:hint="eastAsia" w:ascii="微软雅黑" w:hAnsi="微软雅黑" w:cs="微软雅黑"/>
                <w:sz w:val="18"/>
                <w:szCs w:val="18"/>
                <w:lang w:eastAsia="zh-CN"/>
              </w:rPr>
              <w:t xml:space="preserve">）</w:t>
            </w:r>
            <w:r>
              <w:rPr>
                <w:rFonts w:hint="eastAsia" w:ascii="微软雅黑" w:hAnsi="微软雅黑" w:cs="微软雅黑"/>
                <w:szCs w:val="24"/>
              </w:rPr>
              <w:t xml:space="preserve">：</w:t>
            </w:r>
            <w:r>
              <w:rPr>
                <w:rFonts w:hint="eastAsia" w:ascii="微软雅黑" w:hAnsi="微软雅黑" w:cs="微软雅黑"/>
                <w:szCs w:val="24"/>
              </w:rPr>
            </w:r>
            <w:r/>
          </w:p>
        </w:tc>
        <w:tc>
          <w:tcPr>
            <w:gridSpan w:val="3"/>
            <w:tcW w:w="4144" w:type="dxa"/>
            <w:vAlign w:val="center"/>
            <w:textDirection w:val="lrTb"/>
            <w:noWrap w:val="false"/>
          </w:tcPr>
          <w:p>
            <w:pPr>
              <w:pStyle w:val="1063"/>
              <w:spacing w:line="400" w:lineRule="exact"/>
              <w:rPr>
                <w:rFonts w:hint="eastAsia" w:ascii="微软雅黑" w:hAnsi="微软雅黑" w:cs="微软雅黑"/>
                <w:szCs w:val="24"/>
              </w:rPr>
            </w:pPr>
            <w:r>
              <w:rPr>
                <w:rFonts w:hint="eastAsia" w:ascii="微软雅黑" w:hAnsi="微软雅黑" w:cs="微软雅黑"/>
                <w:szCs w:val="24"/>
              </w:rPr>
              <w:t xml:space="preserve">人民币 （大写）      元整  ¥：</w:t>
            </w:r>
            <w:r>
              <w:rPr>
                <w:rFonts w:hint="eastAsia" w:ascii="微软雅黑" w:hAnsi="微软雅黑" w:cs="微软雅黑"/>
                <w:szCs w:val="24"/>
              </w:rPr>
            </w:r>
            <w:r/>
          </w:p>
        </w:tc>
      </w:tr>
    </w:tbl>
    <w:p>
      <w:pPr>
        <w:pStyle w:val="1063"/>
        <w:spacing w:line="400" w:lineRule="exact"/>
        <w:rPr>
          <w:rFonts w:hint="eastAsia" w:ascii="微软雅黑" w:hAnsi="微软雅黑" w:cs="微软雅黑"/>
          <w:szCs w:val="21"/>
        </w:rPr>
      </w:pP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供应商全称（公章）：        </w:t>
      </w:r>
      <w:r>
        <w:rPr>
          <w:rFonts w:hint="eastAsia" w:ascii="微软雅黑" w:hAnsi="微软雅黑" w:cs="微软雅黑"/>
          <w:szCs w:val="21"/>
        </w:rPr>
      </w:r>
      <w:r/>
    </w:p>
    <w:p>
      <w:pPr>
        <w:pStyle w:val="1063"/>
        <w:spacing w:line="400" w:lineRule="exact"/>
        <w:rPr>
          <w:rFonts w:hint="eastAsia" w:ascii="微软雅黑" w:hAnsi="微软雅黑" w:cs="微软雅黑"/>
          <w:szCs w:val="21"/>
        </w:rPr>
      </w:pPr>
      <w:r>
        <w:rPr>
          <w:rFonts w:hint="eastAsia" w:ascii="微软雅黑" w:hAnsi="微软雅黑" w:cs="微软雅黑"/>
          <w:szCs w:val="21"/>
        </w:rPr>
        <w:t xml:space="preserve">法定代表人（授权代表）（签字/盖章）：   </w:t>
      </w:r>
      <w:r>
        <w:rPr>
          <w:rFonts w:hint="eastAsia" w:ascii="微软雅黑" w:hAnsi="微软雅黑" w:cs="微软雅黑"/>
          <w:szCs w:val="21"/>
        </w:rPr>
      </w:r>
      <w:r/>
    </w:p>
    <w:p>
      <w:pPr>
        <w:pStyle w:val="1063"/>
        <w:spacing w:line="400" w:lineRule="exact"/>
        <w:rPr>
          <w:rFonts w:hint="eastAsia" w:ascii="微软雅黑" w:hAnsi="微软雅黑" w:cs="微软雅黑"/>
          <w:szCs w:val="21"/>
          <w:lang w:bidi="ar"/>
        </w:rPr>
      </w:pPr>
      <w:r>
        <w:rPr>
          <w:rFonts w:hint="eastAsia" w:ascii="微软雅黑" w:hAnsi="微软雅黑" w:cs="微软雅黑"/>
          <w:szCs w:val="21"/>
        </w:rPr>
        <w:t xml:space="preserve">日期：          </w:t>
      </w:r>
      <w:r>
        <w:rPr>
          <w:rFonts w:hint="eastAsia" w:ascii="微软雅黑" w:hAnsi="微软雅黑" w:cs="微软雅黑"/>
          <w:szCs w:val="21"/>
          <w:lang w:bidi="ar"/>
        </w:rPr>
      </w:r>
      <w:r/>
    </w:p>
    <w:p>
      <w:pPr>
        <w:pStyle w:val="1063"/>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1063"/>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1063"/>
        <w:jc w:val="left"/>
        <w:spacing w:line="280" w:lineRule="exact"/>
        <w:tabs>
          <w:tab w:val="left" w:pos="220" w:leader="none"/>
        </w:tabs>
        <w:rPr>
          <w:rFonts w:hint="eastAsia" w:ascii="微软雅黑" w:hAnsi="微软雅黑" w:cs="微软雅黑"/>
          <w:b/>
          <w:bCs/>
          <w:sz w:val="18"/>
          <w:szCs w:val="18"/>
        </w:rPr>
      </w:pPr>
      <w:r/>
      <w:bookmarkStart w:id="292" w:name="_Toc365968480"/>
      <w:r>
        <w:rPr>
          <w:rFonts w:hint="eastAsia" w:ascii="微软雅黑" w:hAnsi="微软雅黑" w:cs="微软雅黑"/>
          <w:b/>
          <w:bCs/>
          <w:sz w:val="18"/>
          <w:szCs w:val="18"/>
        </w:rPr>
        <w:t xml:space="preserve">注：</w:t>
      </w:r>
      <w:r>
        <w:rPr>
          <w:rFonts w:hint="eastAsia" w:ascii="微软雅黑" w:hAnsi="微软雅黑" w:cs="微软雅黑"/>
          <w:b/>
          <w:bCs/>
          <w:sz w:val="18"/>
          <w:szCs w:val="18"/>
        </w:rPr>
      </w:r>
      <w:r/>
    </w:p>
    <w:p>
      <w:pPr>
        <w:pStyle w:val="1063"/>
        <w:numPr>
          <w:ilvl w:val="0"/>
          <w:numId w:val="14"/>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63"/>
        <w:numPr>
          <w:ilvl w:val="0"/>
          <w:numId w:val="14"/>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rPr>
          <w:rFonts w:hint="eastAsia" w:ascii="微软雅黑" w:hAnsi="微软雅黑" w:cs="微软雅黑"/>
          <w:sz w:val="18"/>
          <w:szCs w:val="18"/>
        </w:rPr>
      </w:r>
      <w:r/>
    </w:p>
    <w:p>
      <w:pPr>
        <w:pStyle w:val="1063"/>
        <w:numPr>
          <w:ilvl w:val="0"/>
          <w:numId w:val="14"/>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上表中的“响应报价总计”应当等于“报价一览表”中“响应报价总计”数。</w:t>
      </w:r>
      <w:r>
        <w:rPr>
          <w:rFonts w:hint="eastAsia" w:ascii="微软雅黑" w:hAnsi="微软雅黑" w:cs="微软雅黑"/>
          <w:sz w:val="18"/>
          <w:szCs w:val="18"/>
        </w:rPr>
      </w:r>
      <w:r/>
    </w:p>
    <w:p>
      <w:pPr>
        <w:pStyle w:val="1063"/>
        <w:numPr>
          <w:ilvl w:val="0"/>
          <w:numId w:val="14"/>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响应价应包括但不限于完成该项目所有的费用，每一单项均应计算并填写单价和总价和其相应的单价分           项表，并由法定代表人或授权委托代理人签署。响应单位未填单价或总价的项目，在实施后，采购单位将不予支付，并视为该项费用已包括在其它有价款的单价或总价内。</w:t>
      </w:r>
      <w:r>
        <w:rPr>
          <w:rFonts w:hint="eastAsia" w:ascii="微软雅黑" w:hAnsi="微软雅黑" w:cs="微软雅黑"/>
          <w:sz w:val="18"/>
          <w:szCs w:val="18"/>
        </w:rPr>
      </w:r>
      <w:r/>
    </w:p>
    <w:p>
      <w:pPr>
        <w:pStyle w:val="1066"/>
        <w:spacing w:line="420" w:lineRule="exact"/>
        <w:rPr>
          <w:rFonts w:hint="eastAsia" w:ascii="微软雅黑" w:hAnsi="微软雅黑" w:cs="微软雅黑"/>
          <w:szCs w:val="28"/>
        </w:rPr>
        <w:sectPr>
          <w:headerReference w:type="default" r:id="rId12"/>
          <w:footerReference w:type="default" r:id="rId15"/>
          <w:footnotePr/>
          <w:endnotePr/>
          <w:type w:val="nextPage"/>
          <w:pgSz w:w="11906" w:h="16838" w:orient="portrait"/>
          <w:pgMar w:top="1440" w:right="1797" w:bottom="1440" w:left="1797" w:header="850" w:footer="992" w:gutter="0"/>
          <w:cols w:num="1" w:sep="0" w:space="1701" w:equalWidth="1"/>
          <w:docGrid w:linePitch="360"/>
        </w:sectPr>
      </w:pPr>
      <w:r>
        <w:rPr>
          <w:rFonts w:hint="eastAsia" w:ascii="微软雅黑" w:hAnsi="微软雅黑" w:cs="微软雅黑"/>
          <w:szCs w:val="28"/>
        </w:rPr>
      </w:r>
      <w:r/>
    </w:p>
    <w:p>
      <w:pPr>
        <w:pStyle w:val="1066"/>
        <w:rPr>
          <w:rFonts w:hint="eastAsia" w:ascii="微软雅黑" w:hAnsi="微软雅黑" w:cs="微软雅黑"/>
          <w:b/>
          <w:bCs w:val="0"/>
          <w:sz w:val="24"/>
          <w:szCs w:val="24"/>
        </w:rPr>
      </w:pPr>
      <w:r/>
      <w:bookmarkStart w:id="293" w:name="_Toc22654"/>
      <w:r/>
      <w:bookmarkStart w:id="294" w:name="_Toc27356"/>
      <w:r/>
      <w:bookmarkStart w:id="295" w:name="_Toc3044"/>
      <w:r>
        <w:rPr>
          <w:rFonts w:hint="eastAsia" w:ascii="微软雅黑" w:hAnsi="微软雅黑" w:cs="微软雅黑"/>
          <w:b/>
          <w:bCs w:val="0"/>
          <w:sz w:val="24"/>
          <w:szCs w:val="24"/>
        </w:rPr>
        <w:t xml:space="preserve">4.服务内容要求响应表</w:t>
      </w:r>
      <w:bookmarkEnd w:id="292"/>
      <w:r/>
      <w:bookmarkEnd w:id="293"/>
      <w:r/>
      <w:bookmarkEnd w:id="294"/>
      <w:r/>
      <w:bookmarkEnd w:id="295"/>
      <w:r>
        <w:rPr>
          <w:rFonts w:hint="eastAsia" w:ascii="微软雅黑" w:hAnsi="微软雅黑" w:cs="微软雅黑"/>
          <w:b/>
          <w:bCs w:val="0"/>
          <w:sz w:val="24"/>
          <w:szCs w:val="24"/>
        </w:rPr>
      </w:r>
      <w:r/>
    </w:p>
    <w:p>
      <w:pPr>
        <w:pStyle w:val="1063"/>
        <w:spacing w:line="420" w:lineRule="exact"/>
        <w:rPr>
          <w:rFonts w:hint="eastAsia" w:ascii="微软雅黑" w:hAnsi="微软雅黑" w:cs="微软雅黑"/>
        </w:rPr>
      </w:pPr>
      <w:r>
        <w:rPr>
          <w:rFonts w:hint="eastAsia" w:ascii="微软雅黑" w:hAnsi="微软雅黑" w:cs="微软雅黑"/>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2174"/>
        <w:gridCol w:w="2172"/>
        <w:gridCol w:w="1853"/>
        <w:gridCol w:w="1853"/>
      </w:tblGrid>
      <w:tr>
        <w:trPr>
          <w:trHeight w:val="794"/>
          <w:tblHeader/>
        </w:trPr>
        <w:tc>
          <w:tcPr>
            <w:tcW w:w="1115"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序号</w:t>
            </w:r>
            <w:r>
              <w:rPr>
                <w:rFonts w:hint="eastAsia" w:ascii="微软雅黑" w:hAnsi="微软雅黑" w:cs="微软雅黑"/>
              </w:rPr>
            </w:r>
            <w:r/>
          </w:p>
        </w:tc>
        <w:tc>
          <w:tcPr>
            <w:tcW w:w="2174"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原服务要求主要条款描述</w:t>
            </w:r>
            <w:r>
              <w:rPr>
                <w:rFonts w:hint="eastAsia" w:ascii="微软雅黑" w:hAnsi="微软雅黑" w:cs="微软雅黑"/>
              </w:rPr>
            </w:r>
            <w:r/>
          </w:p>
        </w:tc>
        <w:tc>
          <w:tcPr>
            <w:tcW w:w="2172"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投标供应商服务响应描述</w:t>
            </w: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偏离情况（+/-/=）</w:t>
            </w: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证明材料所在页</w:t>
            </w:r>
            <w:r>
              <w:rPr>
                <w:rFonts w:hint="eastAsia" w:ascii="微软雅黑" w:hAnsi="微软雅黑" w:cs="微软雅黑"/>
              </w:rPr>
            </w:r>
            <w:r/>
          </w:p>
        </w:tc>
      </w:tr>
      <w:tr>
        <w:trPr>
          <w:trHeight w:val="507"/>
          <w:tblHeader/>
        </w:trPr>
        <w:tc>
          <w:tcPr>
            <w:tcW w:w="1115"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174"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172"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r>
      <w:tr>
        <w:trPr>
          <w:trHeight w:val="403"/>
          <w:tblHeader/>
        </w:trPr>
        <w:tc>
          <w:tcPr>
            <w:tcW w:w="1115"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174"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172"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r>
      <w:tr>
        <w:trPr>
          <w:trHeight w:val="415"/>
          <w:tblHeader/>
        </w:trPr>
        <w:tc>
          <w:tcPr>
            <w:tcW w:w="1115"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174"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172"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1853" w:type="dxa"/>
            <w:vAlign w:val="top"/>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r>
    </w:tbl>
    <w:p>
      <w:pPr>
        <w:pStyle w:val="1063"/>
        <w:spacing w:line="420" w:lineRule="exact"/>
        <w:rPr>
          <w:rFonts w:hint="eastAsia" w:ascii="微软雅黑" w:hAnsi="微软雅黑" w:cs="微软雅黑"/>
          <w:sz w:val="28"/>
        </w:rPr>
      </w:pPr>
      <w:r>
        <w:rPr>
          <w:rFonts w:hint="eastAsia" w:ascii="微软雅黑" w:hAnsi="微软雅黑" w:cs="微软雅黑"/>
          <w:sz w:val="28"/>
        </w:rPr>
      </w:r>
      <w:r/>
    </w:p>
    <w:p>
      <w:pPr>
        <w:pStyle w:val="1063"/>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92"/>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63"/>
        <w:ind w:firstLine="140"/>
        <w:spacing w:line="420" w:lineRule="exact"/>
        <w:rPr>
          <w:rFonts w:hint="eastAsia" w:ascii="微软雅黑" w:hAnsi="微软雅黑" w:cs="微软雅黑"/>
          <w:sz w:val="28"/>
        </w:rPr>
      </w:pPr>
      <w:r>
        <w:rPr>
          <w:rFonts w:hint="eastAsia" w:ascii="微软雅黑" w:hAnsi="微软雅黑" w:cs="微软雅黑"/>
          <w:sz w:val="28"/>
        </w:rPr>
      </w:r>
      <w:r/>
    </w:p>
    <w:p>
      <w:pPr>
        <w:pStyle w:val="1063"/>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r>
      <w:r/>
    </w:p>
    <w:p>
      <w:pPr>
        <w:pStyle w:val="1063"/>
        <w:numPr>
          <w:ilvl w:val="3"/>
          <w:numId w:val="15"/>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63"/>
        <w:numPr>
          <w:ilvl w:val="3"/>
          <w:numId w:val="15"/>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投标单位根据项目方案添加的设备、材料等也请列出。</w:t>
      </w:r>
      <w:r>
        <w:rPr>
          <w:rFonts w:hint="eastAsia" w:ascii="微软雅黑" w:hAnsi="微软雅黑" w:cs="微软雅黑"/>
          <w:sz w:val="18"/>
          <w:szCs w:val="18"/>
        </w:rPr>
      </w:r>
      <w:r/>
    </w:p>
    <w:p>
      <w:pPr>
        <w:pStyle w:val="1063"/>
        <w:numPr>
          <w:ilvl w:val="3"/>
          <w:numId w:val="15"/>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1063"/>
        <w:numPr>
          <w:ilvl w:val="3"/>
          <w:numId w:val="15"/>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投标单位必须仔细阅读本采购文件“第四章”中所有服务要求条款和相关功能要求，并对服务要求偏离情况逐条列入上表。</w:t>
      </w:r>
      <w:r>
        <w:rPr>
          <w:rFonts w:hint="eastAsia" w:ascii="微软雅黑" w:hAnsi="微软雅黑" w:cs="微软雅黑"/>
          <w:b/>
          <w:bCs/>
          <w:color w:val="ff0000"/>
          <w:sz w:val="18"/>
          <w:szCs w:val="18"/>
        </w:rPr>
        <w:t xml:space="preserve">未列入上表的视为不响应采购文件要求</w:t>
      </w:r>
      <w:r>
        <w:rPr>
          <w:rFonts w:hint="eastAsia" w:ascii="微软雅黑" w:hAnsi="微软雅黑" w:cs="微软雅黑"/>
          <w:sz w:val="18"/>
          <w:szCs w:val="18"/>
        </w:rPr>
        <w:t xml:space="preserve">。投标单位必须根据所投货物、工程或服务的实际情况如实填写，评委会如发现有虚假描述的，该投标文件视为无效。</w:t>
      </w:r>
      <w:r>
        <w:rPr>
          <w:rFonts w:hint="eastAsia" w:ascii="微软雅黑" w:hAnsi="微软雅黑" w:cs="微软雅黑"/>
          <w:sz w:val="18"/>
          <w:szCs w:val="18"/>
        </w:rPr>
      </w:r>
      <w:r/>
    </w:p>
    <w:p>
      <w:pPr>
        <w:pStyle w:val="1063"/>
        <w:numPr>
          <w:ilvl w:val="3"/>
          <w:numId w:val="15"/>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若投标文件中出现服务要求响应与此表表述不一致的，以此表为准。</w:t>
      </w:r>
      <w:r>
        <w:rPr>
          <w:rFonts w:hint="eastAsia" w:ascii="微软雅黑" w:hAnsi="微软雅黑" w:cs="微软雅黑"/>
          <w:sz w:val="18"/>
          <w:szCs w:val="18"/>
        </w:rPr>
      </w:r>
      <w:r/>
    </w:p>
    <w:p>
      <w:pPr>
        <w:pStyle w:val="1092"/>
        <w:ind w:left="1260"/>
        <w:rPr>
          <w:rFonts w:hint="eastAsia" w:ascii="微软雅黑" w:hAnsi="微软雅黑" w:cs="微软雅黑"/>
          <w:szCs w:val="21"/>
        </w:rPr>
      </w:pPr>
      <w:r>
        <w:rPr>
          <w:rFonts w:hint="eastAsia" w:ascii="微软雅黑" w:hAnsi="微软雅黑" w:cs="微软雅黑"/>
          <w:szCs w:val="21"/>
        </w:rPr>
      </w:r>
      <w:r/>
    </w:p>
    <w:p>
      <w:pPr>
        <w:pStyle w:val="1063"/>
        <w:rPr>
          <w:rFonts w:hint="eastAsia" w:ascii="微软雅黑" w:hAnsi="微软雅黑" w:cs="微软雅黑"/>
          <w:szCs w:val="21"/>
        </w:rPr>
      </w:pPr>
      <w:r>
        <w:rPr>
          <w:rFonts w:hint="eastAsia" w:ascii="微软雅黑" w:hAnsi="微软雅黑" w:cs="微软雅黑"/>
          <w:szCs w:val="21"/>
        </w:rPr>
      </w:r>
      <w:r/>
    </w:p>
    <w:p>
      <w:pPr>
        <w:pStyle w:val="1092"/>
        <w:ind w:left="0"/>
        <w:rPr>
          <w:rFonts w:hint="eastAsia" w:ascii="微软雅黑" w:hAnsi="微软雅黑" w:cs="微软雅黑"/>
        </w:rPr>
      </w:pPr>
      <w:r>
        <w:rPr>
          <w:rFonts w:hint="eastAsia" w:ascii="微软雅黑" w:hAnsi="微软雅黑" w:cs="微软雅黑"/>
        </w:rPr>
      </w:r>
      <w:r/>
    </w:p>
    <w:p>
      <w:pPr>
        <w:pStyle w:val="1066"/>
        <w:rPr>
          <w:rFonts w:hint="eastAsia" w:ascii="微软雅黑" w:hAnsi="微软雅黑" w:cs="微软雅黑"/>
          <w:sz w:val="30"/>
          <w:szCs w:val="30"/>
        </w:rPr>
        <w:sectPr>
          <w:footnotePr/>
          <w:endnotePr/>
          <w:type w:val="nextPage"/>
          <w:pgSz w:w="11906" w:h="16838" w:orient="portrait"/>
          <w:pgMar w:top="1440" w:right="1797" w:bottom="1440" w:left="1797" w:header="851" w:footer="992" w:gutter="0"/>
          <w:cols w:num="1" w:sep="0" w:space="1701" w:equalWidth="1"/>
          <w:docGrid w:linePitch="360"/>
        </w:sectPr>
      </w:pPr>
      <w:r/>
      <w:bookmarkStart w:id="296" w:name="_Toc493455961"/>
      <w:r/>
      <w:bookmarkStart w:id="297" w:name="_Toc365968482"/>
      <w:r>
        <w:rPr>
          <w:rFonts w:hint="eastAsia" w:ascii="微软雅黑" w:hAnsi="微软雅黑" w:cs="微软雅黑"/>
          <w:sz w:val="30"/>
          <w:szCs w:val="30"/>
        </w:rPr>
      </w:r>
      <w:r/>
    </w:p>
    <w:p>
      <w:pPr>
        <w:pStyle w:val="1066"/>
        <w:rPr>
          <w:rFonts w:hint="eastAsia" w:ascii="微软雅黑" w:hAnsi="微软雅黑" w:cs="微软雅黑"/>
          <w:b/>
          <w:bCs w:val="0"/>
          <w:sz w:val="24"/>
          <w:szCs w:val="24"/>
        </w:rPr>
      </w:pPr>
      <w:r/>
      <w:bookmarkStart w:id="298" w:name="_Toc9051"/>
      <w:r/>
      <w:bookmarkStart w:id="299" w:name="_Toc3562"/>
      <w:r/>
      <w:bookmarkStart w:id="300" w:name="_Toc9735"/>
      <w:r>
        <w:rPr>
          <w:rFonts w:hint="eastAsia" w:ascii="微软雅黑" w:hAnsi="微软雅黑" w:cs="微软雅黑"/>
          <w:b/>
          <w:bCs w:val="0"/>
          <w:sz w:val="24"/>
          <w:szCs w:val="24"/>
        </w:rPr>
        <w:t xml:space="preserve">5.商务要求响应表</w:t>
      </w:r>
      <w:bookmarkEnd w:id="296"/>
      <w:r/>
      <w:bookmarkEnd w:id="297"/>
      <w:r/>
      <w:bookmarkEnd w:id="298"/>
      <w:r/>
      <w:bookmarkEnd w:id="299"/>
      <w:r/>
      <w:bookmarkEnd w:id="300"/>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1063"/>
              <w:jc w:val="center"/>
              <w:rPr>
                <w:rFonts w:hint="eastAsia" w:ascii="微软雅黑" w:hAnsi="微软雅黑" w:cs="微软雅黑"/>
                <w:b/>
                <w:bCs/>
              </w:rPr>
            </w:pPr>
            <w:r>
              <w:rPr>
                <w:rFonts w:hint="eastAsia" w:ascii="微软雅黑" w:hAnsi="微软雅黑" w:cs="微软雅黑"/>
                <w:b/>
                <w:bCs/>
              </w:rPr>
              <w:t xml:space="preserve">序号</w:t>
            </w:r>
            <w:r>
              <w:rPr>
                <w:rFonts w:hint="eastAsia" w:ascii="微软雅黑" w:hAnsi="微软雅黑" w:cs="微软雅黑"/>
                <w:b/>
                <w:bCs/>
              </w:rPr>
            </w:r>
            <w:r/>
          </w:p>
        </w:tc>
        <w:tc>
          <w:tcPr>
            <w:tcW w:w="2268" w:type="dxa"/>
            <w:vAlign w:val="center"/>
            <w:textDirection w:val="lrTb"/>
            <w:noWrap w:val="false"/>
          </w:tcPr>
          <w:p>
            <w:pPr>
              <w:pStyle w:val="1063"/>
              <w:jc w:val="center"/>
              <w:rPr>
                <w:rFonts w:hint="eastAsia" w:ascii="微软雅黑" w:hAnsi="微软雅黑" w:cs="微软雅黑"/>
                <w:b/>
                <w:bCs/>
              </w:rPr>
            </w:pPr>
            <w:r>
              <w:rPr>
                <w:rFonts w:hint="eastAsia" w:ascii="微软雅黑" w:hAnsi="微软雅黑" w:cs="微软雅黑"/>
                <w:b/>
                <w:bCs/>
              </w:rPr>
              <w:t xml:space="preserve">项目</w:t>
            </w:r>
            <w:r>
              <w:rPr>
                <w:rFonts w:hint="eastAsia" w:ascii="微软雅黑" w:hAnsi="微软雅黑" w:cs="微软雅黑"/>
                <w:b/>
                <w:bCs/>
              </w:rPr>
            </w:r>
            <w:r/>
          </w:p>
        </w:tc>
        <w:tc>
          <w:tcPr>
            <w:tcW w:w="2551" w:type="dxa"/>
            <w:vAlign w:val="center"/>
            <w:textDirection w:val="lrTb"/>
            <w:noWrap w:val="false"/>
          </w:tcPr>
          <w:p>
            <w:pPr>
              <w:pStyle w:val="1063"/>
              <w:jc w:val="center"/>
              <w:rPr>
                <w:rFonts w:hint="eastAsia" w:ascii="微软雅黑" w:hAnsi="微软雅黑" w:cs="微软雅黑"/>
                <w:b/>
                <w:bCs/>
              </w:rPr>
            </w:pPr>
            <w:r>
              <w:rPr>
                <w:rFonts w:hint="eastAsia" w:ascii="微软雅黑" w:hAnsi="微软雅黑" w:cs="微软雅黑"/>
                <w:b/>
                <w:bCs/>
              </w:rPr>
              <w:t xml:space="preserve">原商务主要条款描述</w:t>
            </w:r>
            <w:r>
              <w:rPr>
                <w:rFonts w:hint="eastAsia" w:ascii="微软雅黑" w:hAnsi="微软雅黑" w:cs="微软雅黑"/>
                <w:b/>
                <w:bCs/>
              </w:rPr>
            </w:r>
            <w:r/>
          </w:p>
        </w:tc>
        <w:tc>
          <w:tcPr>
            <w:tcW w:w="1985" w:type="dxa"/>
            <w:vAlign w:val="center"/>
            <w:textDirection w:val="lrTb"/>
            <w:noWrap w:val="false"/>
          </w:tcPr>
          <w:p>
            <w:pPr>
              <w:pStyle w:val="1063"/>
              <w:jc w:val="center"/>
              <w:rPr>
                <w:rFonts w:hint="eastAsia" w:ascii="微软雅黑" w:hAnsi="微软雅黑" w:cs="微软雅黑"/>
                <w:b/>
                <w:bCs/>
              </w:rPr>
            </w:pPr>
            <w:r>
              <w:rPr>
                <w:rFonts w:hint="eastAsia" w:ascii="微软雅黑" w:hAnsi="微软雅黑" w:cs="微软雅黑"/>
                <w:b/>
                <w:bCs/>
              </w:rPr>
              <w:t xml:space="preserve">投标供应商的承诺或说明</w:t>
            </w:r>
            <w:r>
              <w:rPr>
                <w:rFonts w:hint="eastAsia" w:ascii="微软雅黑" w:hAnsi="微软雅黑" w:cs="微软雅黑"/>
                <w:b/>
                <w:bCs/>
              </w:rPr>
            </w:r>
            <w:r/>
          </w:p>
        </w:tc>
        <w:tc>
          <w:tcPr>
            <w:tcW w:w="1134" w:type="dxa"/>
            <w:vAlign w:val="center"/>
            <w:textDirection w:val="lrTb"/>
            <w:noWrap w:val="false"/>
          </w:tcPr>
          <w:p>
            <w:pPr>
              <w:pStyle w:val="1063"/>
              <w:jc w:val="center"/>
              <w:rPr>
                <w:rFonts w:hint="eastAsia" w:ascii="微软雅黑" w:hAnsi="微软雅黑" w:cs="微软雅黑"/>
                <w:b/>
                <w:bCs/>
              </w:rPr>
            </w:pPr>
            <w:r>
              <w:rPr>
                <w:rFonts w:hint="eastAsia" w:ascii="微软雅黑" w:hAnsi="微软雅黑" w:cs="微软雅黑"/>
                <w:b/>
                <w:bCs/>
              </w:rPr>
              <w:t xml:space="preserve">偏离</w:t>
            </w:r>
            <w:r>
              <w:rPr>
                <w:rFonts w:hint="eastAsia" w:ascii="微软雅黑" w:hAnsi="微软雅黑" w:cs="微软雅黑"/>
                <w:b/>
                <w:bCs/>
              </w:rPr>
            </w:r>
            <w:r/>
          </w:p>
          <w:p>
            <w:pPr>
              <w:pStyle w:val="1063"/>
              <w:jc w:val="center"/>
              <w:rPr>
                <w:rFonts w:hint="eastAsia" w:ascii="微软雅黑" w:hAnsi="微软雅黑" w:cs="微软雅黑"/>
                <w:b/>
                <w:bCs/>
              </w:rPr>
            </w:pPr>
            <w:r>
              <w:rPr>
                <w:rFonts w:hint="eastAsia" w:ascii="微软雅黑" w:hAnsi="微软雅黑" w:cs="微软雅黑"/>
                <w:b/>
                <w:bCs/>
              </w:rPr>
              <w:t xml:space="preserve">情况</w:t>
            </w:r>
            <w:r>
              <w:rPr>
                <w:rFonts w:hint="eastAsia" w:ascii="微软雅黑" w:hAnsi="微软雅黑" w:cs="微软雅黑"/>
                <w:b/>
                <w:bCs/>
              </w:rPr>
            </w:r>
            <w:r/>
          </w:p>
        </w:tc>
      </w:tr>
      <w:tr>
        <w:trPr>
          <w:trHeight w:val="447"/>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512"/>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541"/>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441"/>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5</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576"/>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6</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r>
        <w:trPr>
          <w:trHeight w:val="401"/>
        </w:trPr>
        <w:tc>
          <w:tcPr>
            <w:tcW w:w="534"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t xml:space="preserve">7</w:t>
            </w:r>
            <w:r>
              <w:rPr>
                <w:rFonts w:hint="eastAsia" w:ascii="微软雅黑" w:hAnsi="微软雅黑" w:cs="微软雅黑"/>
              </w:rPr>
            </w:r>
            <w:r/>
          </w:p>
        </w:tc>
        <w:tc>
          <w:tcPr>
            <w:tcW w:w="2268" w:type="dxa"/>
            <w:vAlign w:val="center"/>
            <w:textDirection w:val="lrTb"/>
            <w:noWrap w:val="false"/>
          </w:tcPr>
          <w:p>
            <w:pPr>
              <w:pStyle w:val="1063"/>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63"/>
              <w:rPr>
                <w:rFonts w:hint="eastAsia" w:ascii="微软雅黑" w:hAnsi="微软雅黑" w:cs="微软雅黑"/>
              </w:rPr>
            </w:pPr>
            <w:r>
              <w:rPr>
                <w:rFonts w:hint="eastAsia" w:ascii="微软雅黑" w:hAnsi="微软雅黑" w:cs="微软雅黑"/>
              </w:rPr>
            </w:r>
            <w:r/>
          </w:p>
        </w:tc>
      </w:tr>
    </w:tbl>
    <w:p>
      <w:pPr>
        <w:pStyle w:val="1063"/>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92"/>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1063"/>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63"/>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投标单位根据项目添加的服务承诺、培训等也请列出。</w:t>
      </w:r>
      <w:r>
        <w:rPr>
          <w:rFonts w:hint="eastAsia" w:ascii="微软雅黑" w:hAnsi="微软雅黑" w:cs="微软雅黑"/>
          <w:sz w:val="18"/>
          <w:szCs w:val="18"/>
        </w:rPr>
      </w:r>
      <w:r/>
    </w:p>
    <w:p>
      <w:pPr>
        <w:pStyle w:val="1063"/>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1063"/>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color w:val="ff0000"/>
          <w:sz w:val="18"/>
          <w:szCs w:val="18"/>
        </w:rPr>
        <w:t xml:space="preserve">未列入上表的视为不响应采购文件要求</w:t>
      </w:r>
      <w:r>
        <w:rPr>
          <w:rFonts w:hint="eastAsia" w:ascii="微软雅黑" w:hAnsi="微软雅黑" w:cs="微软雅黑"/>
          <w:sz w:val="18"/>
          <w:szCs w:val="18"/>
        </w:rPr>
        <w:t xml:space="preserve">。投标单位必须根据所将提供服务的实际情况如实填写，评委会如发现有虚假描述的，该投标文件视为无效。</w:t>
      </w:r>
      <w:bookmarkStart w:id="301" w:name="_Toc351733249"/>
      <w:r/>
      <w:bookmarkStart w:id="302" w:name="_Toc365968484"/>
      <w:r>
        <w:rPr>
          <w:rFonts w:hint="eastAsia" w:ascii="微软雅黑" w:hAnsi="微软雅黑" w:cs="微软雅黑"/>
          <w:sz w:val="18"/>
          <w:szCs w:val="18"/>
        </w:rPr>
      </w:r>
      <w:r/>
    </w:p>
    <w:p>
      <w:pPr>
        <w:pStyle w:val="1092"/>
        <w:ind w:left="1260"/>
        <w:rPr>
          <w:rFonts w:hint="eastAsia" w:ascii="微软雅黑" w:hAnsi="微软雅黑" w:cs="微软雅黑"/>
          <w:sz w:val="18"/>
          <w:szCs w:val="18"/>
        </w:rPr>
      </w:pPr>
      <w:r>
        <w:rPr>
          <w:rFonts w:hint="eastAsia" w:ascii="微软雅黑" w:hAnsi="微软雅黑" w:cs="微软雅黑"/>
          <w:sz w:val="18"/>
          <w:szCs w:val="18"/>
        </w:rPr>
      </w:r>
      <w:r/>
    </w:p>
    <w:p>
      <w:pPr>
        <w:pStyle w:val="1063"/>
        <w:rPr>
          <w:rFonts w:hint="eastAsia" w:ascii="微软雅黑" w:hAnsi="微软雅黑" w:cs="微软雅黑"/>
          <w:sz w:val="18"/>
          <w:szCs w:val="18"/>
        </w:rPr>
      </w:pPr>
      <w:r>
        <w:rPr>
          <w:rFonts w:hint="eastAsia" w:ascii="微软雅黑" w:hAnsi="微软雅黑" w:cs="微软雅黑"/>
          <w:sz w:val="18"/>
          <w:szCs w:val="18"/>
        </w:rPr>
      </w:r>
      <w:r/>
    </w:p>
    <w:p>
      <w:pPr>
        <w:pStyle w:val="1092"/>
        <w:ind w:left="1260"/>
        <w:rPr>
          <w:rFonts w:hint="eastAsia" w:ascii="微软雅黑" w:hAnsi="微软雅黑" w:cs="微软雅黑"/>
        </w:rPr>
      </w:pPr>
      <w:r>
        <w:rPr>
          <w:rFonts w:hint="eastAsia" w:ascii="微软雅黑" w:hAnsi="微软雅黑" w:cs="微软雅黑"/>
        </w:rPr>
      </w:r>
      <w:r/>
    </w:p>
    <w:p>
      <w:pPr>
        <w:pStyle w:val="1063"/>
        <w:rPr>
          <w:rFonts w:hint="eastAsia"/>
        </w:rPr>
      </w:pPr>
      <w:r>
        <w:rPr>
          <w:rFonts w:hint="eastAsia"/>
        </w:rPr>
      </w:r>
      <w:r/>
    </w:p>
    <w:p>
      <w:pPr>
        <w:pStyle w:val="1063"/>
      </w:pPr>
      <w:r/>
      <w:bookmarkStart w:id="303" w:name="_Toc7701"/>
      <w:r/>
      <w:r/>
    </w:p>
    <w:p>
      <w:pPr>
        <w:pStyle w:val="1066"/>
        <w:rPr>
          <w:rFonts w:hint="eastAsia" w:ascii="微软雅黑" w:hAnsi="微软雅黑" w:cs="微软雅黑"/>
          <w:b/>
          <w:bCs w:val="0"/>
          <w:sz w:val="24"/>
          <w:szCs w:val="24"/>
        </w:rPr>
      </w:pPr>
      <w:r/>
      <w:bookmarkStart w:id="304" w:name="_Toc20798"/>
      <w:r/>
      <w:bookmarkStart w:id="305" w:name="_Toc25609"/>
      <w:r>
        <w:rPr>
          <w:rFonts w:hint="eastAsia" w:ascii="微软雅黑" w:hAnsi="微软雅黑" w:cs="微软雅黑"/>
          <w:b/>
          <w:bCs w:val="0"/>
          <w:sz w:val="24"/>
          <w:szCs w:val="24"/>
        </w:rPr>
        <w:t xml:space="preserve">6.服务要求方案</w:t>
      </w:r>
      <w:bookmarkEnd w:id="301"/>
      <w:r/>
      <w:bookmarkEnd w:id="302"/>
      <w:r/>
      <w:bookmarkEnd w:id="303"/>
      <w:r/>
      <w:bookmarkEnd w:id="304"/>
      <w:r/>
      <w:bookmarkEnd w:id="305"/>
      <w:r>
        <w:rPr>
          <w:rFonts w:hint="eastAsia" w:ascii="微软雅黑" w:hAnsi="微软雅黑" w:cs="微软雅黑"/>
          <w:b/>
          <w:bCs w:val="0"/>
          <w:sz w:val="24"/>
          <w:szCs w:val="24"/>
        </w:rPr>
      </w:r>
      <w:r/>
    </w:p>
    <w:p>
      <w:pPr>
        <w:pStyle w:val="1063"/>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63"/>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63"/>
        <w:rPr>
          <w:rFonts w:hint="eastAsia" w:ascii="微软雅黑" w:hAnsi="微软雅黑" w:cs="微软雅黑"/>
        </w:rPr>
      </w:pPr>
      <w:r/>
      <w:bookmarkStart w:id="306" w:name="_Toc493246896"/>
      <w:r/>
      <w:bookmarkStart w:id="307" w:name="_Toc397526836"/>
      <w:r/>
      <w:bookmarkStart w:id="308" w:name="_Toc457827980"/>
      <w:r/>
      <w:bookmarkStart w:id="309" w:name="_Toc475540203"/>
      <w:r/>
      <w:bookmarkStart w:id="310" w:name="_Toc459327385"/>
      <w:r/>
      <w:bookmarkStart w:id="311" w:name="_Toc449976348"/>
      <w:r/>
      <w:bookmarkStart w:id="312" w:name="_Toc481681071"/>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r>
      <w:r/>
    </w:p>
    <w:p>
      <w:pPr>
        <w:pStyle w:val="1066"/>
        <w:rPr>
          <w:rFonts w:hint="eastAsia" w:ascii="微软雅黑" w:hAnsi="微软雅黑" w:cs="微软雅黑"/>
          <w:b/>
          <w:bCs w:val="0"/>
          <w:sz w:val="24"/>
          <w:szCs w:val="24"/>
        </w:rPr>
      </w:pPr>
      <w:r/>
      <w:bookmarkEnd w:id="306"/>
      <w:r/>
      <w:bookmarkEnd w:id="307"/>
      <w:r/>
      <w:bookmarkEnd w:id="308"/>
      <w:r/>
      <w:bookmarkEnd w:id="309"/>
      <w:r/>
      <w:bookmarkEnd w:id="310"/>
      <w:r/>
      <w:bookmarkEnd w:id="311"/>
      <w:r/>
      <w:bookmarkEnd w:id="312"/>
      <w:r/>
      <w:bookmarkStart w:id="313" w:name="_Toc17189"/>
      <w:r/>
      <w:bookmarkStart w:id="314" w:name="_Toc27939"/>
      <w:r/>
      <w:bookmarkStart w:id="315" w:name="_Toc4642"/>
      <w:r>
        <w:rPr>
          <w:rFonts w:hint="eastAsia" w:ascii="微软雅黑" w:hAnsi="微软雅黑" w:cs="微软雅黑"/>
          <w:b/>
          <w:bCs w:val="0"/>
          <w:sz w:val="24"/>
          <w:szCs w:val="24"/>
        </w:rPr>
        <w:t xml:space="preserve">7.业绩（提供合同复印件）</w:t>
      </w:r>
      <w:bookmarkEnd w:id="313"/>
      <w:r/>
      <w:bookmarkEnd w:id="314"/>
      <w:r/>
      <w:bookmarkEnd w:id="315"/>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623" w:type="dxa"/>
            <w:vAlign w:val="center"/>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2065" w:type="dxa"/>
            <w:vAlign w:val="center"/>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799" w:type="dxa"/>
            <w:vAlign w:val="center"/>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1146" w:type="dxa"/>
            <w:vAlign w:val="top"/>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1163" w:type="dxa"/>
            <w:vAlign w:val="center"/>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729" w:type="dxa"/>
            <w:vAlign w:val="center"/>
            <w:textDirection w:val="lrTb"/>
            <w:noWrap w:val="false"/>
          </w:tcPr>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1063"/>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437"/>
        </w:trPr>
        <w:tc>
          <w:tcPr>
            <w:tcW w:w="62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2065"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9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46" w:type="dxa"/>
            <w:vAlign w:val="top"/>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6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2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62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2065"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9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46" w:type="dxa"/>
            <w:vAlign w:val="top"/>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6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2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62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2065"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9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46" w:type="dxa"/>
            <w:vAlign w:val="top"/>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6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2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62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2065"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9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46" w:type="dxa"/>
            <w:vAlign w:val="top"/>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6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2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62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2065"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9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46" w:type="dxa"/>
            <w:vAlign w:val="top"/>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163"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c>
          <w:tcPr>
            <w:tcW w:w="1729" w:type="dxa"/>
            <w:vAlign w:val="center"/>
            <w:textDirection w:val="lrTb"/>
            <w:noWrap w:val="false"/>
          </w:tcPr>
          <w:p>
            <w:pPr>
              <w:pStyle w:val="1063"/>
              <w:rPr>
                <w:rFonts w:hint="eastAsia" w:ascii="微软雅黑" w:hAnsi="微软雅黑" w:cs="微软雅黑"/>
                <w:sz w:val="18"/>
                <w:szCs w:val="20"/>
              </w:rPr>
            </w:pPr>
            <w:r>
              <w:rPr>
                <w:rFonts w:hint="eastAsia" w:ascii="微软雅黑" w:hAnsi="微软雅黑" w:cs="微软雅黑"/>
                <w:sz w:val="18"/>
                <w:szCs w:val="20"/>
              </w:rPr>
            </w:r>
            <w:r/>
          </w:p>
        </w:tc>
      </w:tr>
    </w:tbl>
    <w:p>
      <w:pPr>
        <w:pStyle w:val="1063"/>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63"/>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92"/>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1063"/>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1063"/>
        <w:ind w:firstLine="360"/>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1063"/>
        <w:ind w:firstLine="360"/>
        <w:spacing w:before="19" w:line="420" w:lineRule="exact"/>
        <w:widowControl/>
        <w:rPr>
          <w:rFonts w:hint="eastAsia" w:ascii="微软雅黑" w:hAnsi="微软雅黑" w:cs="微软雅黑"/>
          <w:b/>
          <w:color w:val="ff0000"/>
          <w:szCs w:val="21"/>
        </w:rPr>
      </w:pPr>
      <w:r>
        <w:rPr>
          <w:rFonts w:hint="eastAsia" w:ascii="微软雅黑" w:hAnsi="微软雅黑" w:cs="微软雅黑"/>
          <w:color w:val="ff0000"/>
          <w:sz w:val="18"/>
          <w:szCs w:val="18"/>
        </w:rPr>
        <w:t xml:space="preserve"> </w:t>
      </w:r>
      <w:r>
        <w:rPr>
          <w:rFonts w:hint="eastAsia" w:ascii="微软雅黑" w:hAnsi="微软雅黑" w:cs="微软雅黑"/>
          <w:b/>
          <w:i/>
          <w:iCs/>
          <w:color w:val="ff0000"/>
          <w:sz w:val="24"/>
          <w:szCs w:val="24"/>
          <w:u w:val="single"/>
        </w:rPr>
        <w:t xml:space="preserve">注： 1－5项为必须提供的内容，未提供或未按要求提供将不能通过符合性审查。</w:t>
      </w:r>
      <w:r>
        <w:rPr>
          <w:rFonts w:hint="eastAsia" w:ascii="微软雅黑" w:hAnsi="微软雅黑" w:cs="微软雅黑"/>
          <w:b/>
          <w:color w:val="ff0000"/>
          <w:szCs w:val="21"/>
        </w:rPr>
      </w:r>
      <w:r/>
    </w:p>
    <w:p>
      <w:pPr>
        <w:pStyle w:val="1065"/>
        <w:rPr>
          <w:rFonts w:hint="eastAsia" w:ascii="微软雅黑" w:hAnsi="微软雅黑" w:cs="微软雅黑"/>
        </w:rPr>
      </w:pPr>
      <w:r/>
      <w:bookmarkStart w:id="316" w:name="_ 二、资格证明文件"/>
      <w:r>
        <w:rPr>
          <w:rFonts w:hint="eastAsia" w:ascii="微软雅黑" w:hAnsi="微软雅黑" w:cs="微软雅黑"/>
        </w:rPr>
        <w:br w:type="page" w:clear="all"/>
      </w:r>
      <w:bookmarkEnd w:id="316"/>
      <w:r/>
      <w:bookmarkStart w:id="317" w:name="_Toc31646"/>
      <w:r/>
      <w:bookmarkStart w:id="318" w:name="_Toc7939"/>
      <w:r/>
      <w:bookmarkStart w:id="319" w:name="_Toc13757"/>
      <w:r>
        <w:rPr>
          <w:rFonts w:hint="eastAsia" w:ascii="微软雅黑" w:hAnsi="微软雅黑" w:cs="微软雅黑"/>
        </w:rPr>
        <w:t xml:space="preserve">二、相关附表格式</w:t>
      </w:r>
      <w:bookmarkEnd w:id="317"/>
      <w:r/>
      <w:bookmarkEnd w:id="318"/>
      <w:r/>
      <w:bookmarkEnd w:id="319"/>
      <w:r>
        <w:rPr>
          <w:rFonts w:hint="eastAsia" w:ascii="微软雅黑" w:hAnsi="微软雅黑" w:cs="微软雅黑"/>
        </w:rPr>
      </w:r>
      <w:r/>
    </w:p>
    <w:p>
      <w:pPr>
        <w:pStyle w:val="1066"/>
        <w:rPr>
          <w:rFonts w:ascii="微软雅黑" w:hAnsi="微软雅黑" w:cs="微软雅黑"/>
          <w:bCs w:val="0"/>
          <w:szCs w:val="24"/>
        </w:rPr>
      </w:pPr>
      <w:r/>
      <w:bookmarkStart w:id="320" w:name="_Toc5326"/>
      <w:r/>
      <w:bookmarkStart w:id="321" w:name="_Toc22343"/>
      <w:r/>
      <w:bookmarkStart w:id="322" w:name="_Toc23616"/>
      <w:r/>
      <w:bookmarkStart w:id="323" w:name="_Toc32476"/>
      <w:r/>
      <w:bookmarkStart w:id="324" w:name="_Toc15819"/>
      <w:r/>
      <w:bookmarkStart w:id="325" w:name="_Toc1448"/>
      <w:r/>
      <w:bookmarkStart w:id="326" w:name="_Toc487098617"/>
      <w:r/>
      <w:bookmarkStart w:id="327" w:name="_Toc403725583"/>
      <w:r>
        <w:rPr>
          <w:rFonts w:hint="eastAsia" w:ascii="微软雅黑" w:hAnsi="微软雅黑" w:cs="微软雅黑"/>
          <w:bCs w:val="0"/>
          <w:szCs w:val="24"/>
        </w:rPr>
        <w:t xml:space="preserve">1.法人授权委托书</w:t>
      </w:r>
      <w:bookmarkEnd w:id="320"/>
      <w:r/>
      <w:bookmarkEnd w:id="321"/>
      <w:r/>
      <w:bookmarkEnd w:id="322"/>
      <w:r/>
      <w:bookmarkEnd w:id="323"/>
      <w:r/>
      <w:bookmarkEnd w:id="324"/>
      <w:r>
        <w:rPr>
          <w:rFonts w:ascii="微软雅黑" w:hAnsi="微软雅黑" w:cs="微软雅黑"/>
          <w:bCs w:val="0"/>
          <w:szCs w:val="24"/>
        </w:rPr>
      </w:r>
      <w:r/>
    </w:p>
    <w:p>
      <w:pPr>
        <w:pStyle w:val="1063"/>
        <w:spacing w:line="440" w:lineRule="exact"/>
        <w:rPr>
          <w:rFonts w:ascii="微软雅黑" w:hAnsi="微软雅黑" w:cs="微软雅黑"/>
        </w:rPr>
      </w:pPr>
      <w:r>
        <w:rPr>
          <w:rFonts w:hint="eastAsia" w:ascii="微软雅黑" w:hAnsi="微软雅黑" w:cs="微软雅黑"/>
        </w:rPr>
        <w:t xml:space="preserve">江苏省华采招标有限公司：</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w:t xml:space="preserve">    本授权书宣告：</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ascii="微软雅黑" w:hAnsi="微软雅黑" w:cs="微软雅黑"/>
        </w:rPr>
      </w:r>
      <w:r/>
    </w:p>
    <w:p>
      <w:pPr>
        <w:pStyle w:val="1063"/>
        <w:spacing w:line="440" w:lineRule="exact"/>
        <w:rPr>
          <w:rFonts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ascii="微软雅黑" w:hAnsi="微软雅黑" w:cs="微软雅黑"/>
          <w:u w:val="single"/>
        </w:rPr>
      </w:r>
      <w:r/>
    </w:p>
    <w:p>
      <w:pPr>
        <w:pStyle w:val="1063"/>
        <w:spacing w:line="440" w:lineRule="exact"/>
        <w:rPr>
          <w:rFonts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ascii="微软雅黑" w:hAnsi="微软雅黑" w:cs="微软雅黑"/>
          <w:u w:val="single"/>
        </w:rPr>
      </w:r>
      <w:r/>
    </w:p>
    <w:p>
      <w:pPr>
        <w:pStyle w:val="1063"/>
        <w:spacing w:line="440" w:lineRule="exact"/>
        <w:rPr>
          <w:rFonts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ascii="微软雅黑" w:hAnsi="微软雅黑" w:cs="微软雅黑"/>
          <w:u w:val="single"/>
        </w:rPr>
      </w:r>
      <w:r/>
    </w:p>
    <w:p>
      <w:pPr>
        <w:pStyle w:val="1063"/>
        <w:spacing w:line="440" w:lineRule="exact"/>
        <w:rPr>
          <w:rFonts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）的采购活动，受托人有权在该响应活动中，以我单位的名义签署响应书和响应文件，与采购代理机构协商、澄清、解释并执行一切与此有关的事项。</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w:t xml:space="preserve">委托期限：至上述事宜处理完毕止。</w:t>
      </w:r>
      <w:r>
        <w:rPr>
          <w:rFonts w:ascii="微软雅黑" w:hAnsi="微软雅黑" w:cs="微软雅黑"/>
        </w:rPr>
      </w:r>
      <w:r/>
    </w:p>
    <w:p>
      <w:pPr>
        <w:pStyle w:val="1063"/>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63"/>
                              <w:jc w:val="center"/>
                              <w:spacing w:line="440" w:lineRule="exact"/>
                            </w:pPr>
                            <w:r>
                              <w:rPr>
                                <w:rFonts w:hint="eastAsia"/>
                              </w:rPr>
                              <w:t xml:space="preserve">授权代表身份证复印件</w:t>
                            </w:r>
                            <w:r/>
                          </w:p>
                          <w:p>
                            <w:pPr>
                              <w:pStyle w:val="1063"/>
                              <w:jc w:val="center"/>
                            </w:pPr>
                            <w:r>
                              <w:rPr>
                                <w:rFonts w:hint="eastAsia"/>
                              </w:rPr>
                              <w:t xml:space="preserve">（正反面）</w:t>
                            </w:r>
                            <w:r/>
                          </w:p>
                          <w:p>
                            <w:pPr>
                              <w:pStyle w:val="1063"/>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63"/>
                        <w:jc w:val="center"/>
                        <w:spacing w:line="440" w:lineRule="exact"/>
                      </w:pPr>
                      <w:r>
                        <w:rPr>
                          <w:rFonts w:hint="eastAsia"/>
                        </w:rPr>
                        <w:t xml:space="preserve">授权代表身份证复印件</w:t>
                      </w:r>
                      <w:r/>
                    </w:p>
                    <w:p>
                      <w:pPr>
                        <w:pStyle w:val="1063"/>
                        <w:jc w:val="center"/>
                      </w:pPr>
                      <w:r>
                        <w:rPr>
                          <w:rFonts w:hint="eastAsia"/>
                        </w:rPr>
                        <w:t xml:space="preserve">（正反面）</w:t>
                      </w:r>
                      <w:r/>
                    </w:p>
                    <w:p>
                      <w:pPr>
                        <w:pStyle w:val="1063"/>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63"/>
                              <w:jc w:val="center"/>
                              <w:spacing w:line="440" w:lineRule="exact"/>
                            </w:pPr>
                            <w:r>
                              <w:rPr>
                                <w:rFonts w:hint="eastAsia"/>
                              </w:rPr>
                              <w:t xml:space="preserve">法定代表人身份证复印件（正反面）</w:t>
                            </w:r>
                            <w:r/>
                          </w:p>
                          <w:p>
                            <w:pPr>
                              <w:pStyle w:val="1063"/>
                            </w:pPr>
                            <w:r/>
                            <w:r/>
                          </w:p>
                          <w:p>
                            <w:pPr>
                              <w:pStyle w:val="1063"/>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63"/>
                        <w:jc w:val="center"/>
                        <w:spacing w:line="440" w:lineRule="exact"/>
                      </w:pPr>
                      <w:r>
                        <w:rPr>
                          <w:rFonts w:hint="eastAsia"/>
                        </w:rPr>
                        <w:t xml:space="preserve">法定代表人身份证复印件（正反面）</w:t>
                      </w:r>
                      <w:r/>
                    </w:p>
                    <w:p>
                      <w:pPr>
                        <w:pStyle w:val="1063"/>
                      </w:pPr>
                      <w:r/>
                      <w:r/>
                    </w:p>
                    <w:p>
                      <w:pPr>
                        <w:pStyle w:val="1063"/>
                      </w:pPr>
                      <w:r/>
                      <w:r/>
                    </w:p>
                  </w:txbxContent>
                </v:textbox>
              </v:shape>
            </w:pict>
          </mc:Fallback>
        </mc:AlternateContent>
      </w:r>
      <w:r>
        <w:rPr>
          <w:rFonts w:hint="eastAsia" w:ascii="微软雅黑" w:hAnsi="微软雅黑" w:cs="微软雅黑"/>
        </w:rPr>
        <w:t xml:space="preserve">附：</w:t>
      </w:r>
      <w:r>
        <w:rPr>
          <w:rFonts w:ascii="微软雅黑" w:hAnsi="微软雅黑" w:cs="微软雅黑"/>
        </w:rPr>
      </w:r>
      <w:r/>
    </w:p>
    <w:p>
      <w:pPr>
        <w:pStyle w:val="1063"/>
        <w:spacing w:line="440" w:lineRule="exact"/>
        <w:rPr>
          <w:rFonts w:ascii="微软雅黑" w:hAnsi="微软雅黑" w:cs="微软雅黑"/>
        </w:rPr>
      </w:pPr>
      <w:r>
        <w:rPr>
          <w:rFonts w:ascii="微软雅黑" w:hAnsi="微软雅黑" w:cs="微软雅黑"/>
        </w:rPr>
      </w:r>
      <w:r/>
    </w:p>
    <w:p>
      <w:pPr>
        <w:pStyle w:val="1063"/>
        <w:spacing w:line="440" w:lineRule="exact"/>
        <w:rPr>
          <w:rFonts w:ascii="微软雅黑" w:hAnsi="微软雅黑" w:cs="微软雅黑"/>
        </w:rPr>
      </w:pPr>
      <w:r>
        <w:rPr>
          <w:rFonts w:ascii="微软雅黑" w:hAnsi="微软雅黑" w:cs="微软雅黑"/>
        </w:rPr>
      </w:r>
      <w:r/>
    </w:p>
    <w:p>
      <w:pPr>
        <w:pStyle w:val="1063"/>
        <w:spacing w:line="440" w:lineRule="exact"/>
        <w:rPr>
          <w:rFonts w:ascii="微软雅黑" w:hAnsi="微软雅黑" w:cs="微软雅黑"/>
        </w:rPr>
      </w:pPr>
      <w:r>
        <w:rPr>
          <w:rFonts w:ascii="微软雅黑" w:hAnsi="微软雅黑" w:cs="微软雅黑"/>
        </w:rPr>
      </w:r>
      <w:r/>
    </w:p>
    <w:p>
      <w:pPr>
        <w:pStyle w:val="1063"/>
        <w:jc w:val="right"/>
        <w:spacing w:line="440" w:lineRule="exact"/>
        <w:rPr>
          <w:rFonts w:ascii="微软雅黑" w:hAnsi="微软雅黑" w:cs="微软雅黑"/>
        </w:rPr>
      </w:pPr>
      <w:r>
        <w:rPr>
          <w:rFonts w:hint="eastAsia" w:ascii="微软雅黑" w:hAnsi="微软雅黑" w:cs="微软雅黑"/>
        </w:rPr>
        <w:t xml:space="preserve">              委托单位：    （公章）                     </w:t>
      </w:r>
      <w:r>
        <w:rPr>
          <w:rFonts w:ascii="微软雅黑" w:hAnsi="微软雅黑" w:cs="微软雅黑"/>
        </w:rPr>
      </w:r>
      <w:r/>
    </w:p>
    <w:p>
      <w:pPr>
        <w:pStyle w:val="1063"/>
        <w:jc w:val="right"/>
        <w:spacing w:line="440" w:lineRule="exact"/>
        <w:rPr>
          <w:rFonts w:ascii="微软雅黑" w:hAnsi="微软雅黑" w:cs="微软雅黑"/>
        </w:rPr>
      </w:pPr>
      <w:r>
        <w:rPr>
          <w:rFonts w:hint="eastAsia" w:ascii="微软雅黑" w:hAnsi="微软雅黑" w:cs="微软雅黑"/>
        </w:rPr>
        <w:t xml:space="preserve">                               法定代表人：  （签字/盖章） </w:t>
      </w:r>
      <w:r>
        <w:rPr>
          <w:rFonts w:ascii="微软雅黑" w:hAnsi="微软雅黑" w:cs="微软雅黑"/>
        </w:rPr>
      </w:r>
      <w:r/>
    </w:p>
    <w:p>
      <w:pPr>
        <w:pStyle w:val="1063"/>
        <w:jc w:val="right"/>
        <w:spacing w:line="440" w:lineRule="exact"/>
        <w:rPr>
          <w:rFonts w:ascii="微软雅黑" w:hAnsi="微软雅黑" w:cs="微软雅黑"/>
        </w:rPr>
      </w:pPr>
      <w:r>
        <w:rPr>
          <w:rFonts w:hint="eastAsia" w:ascii="微软雅黑" w:hAnsi="微软雅黑" w:cs="微软雅黑"/>
        </w:rPr>
        <w:t xml:space="preserve">授权代表：  （签字/盖章）   </w:t>
      </w:r>
      <w:r>
        <w:rPr>
          <w:rFonts w:ascii="微软雅黑" w:hAnsi="微软雅黑" w:cs="微软雅黑"/>
        </w:rPr>
      </w:r>
      <w:r/>
    </w:p>
    <w:p>
      <w:pPr>
        <w:pStyle w:val="1063"/>
        <w:jc w:val="right"/>
        <w:spacing w:line="440" w:lineRule="exact"/>
        <w:rPr>
          <w:rFonts w:ascii="微软雅黑" w:hAnsi="微软雅黑" w:cs="微软雅黑"/>
        </w:rPr>
      </w:pPr>
      <w:r>
        <w:rPr>
          <w:rFonts w:hint="eastAsia" w:ascii="微软雅黑" w:hAnsi="微软雅黑" w:cs="微软雅黑"/>
        </w:rPr>
        <w:t xml:space="preserve">年     月     日</w:t>
      </w:r>
      <w:r>
        <w:rPr>
          <w:rFonts w:ascii="微软雅黑" w:hAnsi="微软雅黑" w:cs="微软雅黑"/>
        </w:rPr>
      </w:r>
      <w:r/>
    </w:p>
    <w:p>
      <w:pPr>
        <w:pStyle w:val="1063"/>
        <w:spacing w:line="420" w:lineRule="exact"/>
        <w:rPr>
          <w:rFonts w:ascii="微软雅黑" w:hAnsi="微软雅黑" w:cs="微软雅黑"/>
          <w:sz w:val="18"/>
          <w:szCs w:val="18"/>
        </w:rPr>
      </w:pPr>
      <w:r>
        <w:rPr>
          <w:rFonts w:ascii="微软雅黑" w:hAnsi="微软雅黑" w:cs="微软雅黑"/>
          <w:sz w:val="18"/>
          <w:szCs w:val="18"/>
        </w:rPr>
      </w:r>
      <w:r/>
    </w:p>
    <w:p>
      <w:pPr>
        <w:pStyle w:val="1063"/>
        <w:spacing w:line="420" w:lineRule="exact"/>
        <w:rPr>
          <w:rFonts w:ascii="微软雅黑" w:hAnsi="微软雅黑" w:cs="微软雅黑"/>
        </w:rPr>
      </w:pPr>
      <w:r>
        <w:rPr>
          <w:rFonts w:hint="eastAsia" w:ascii="微软雅黑" w:hAnsi="微软雅黑" w:cs="微软雅黑"/>
        </w:rPr>
        <w:t xml:space="preserve">备注：供应商提供的所有证件必须真实有效，务必保证证件在有效期内。</w:t>
      </w:r>
      <w:r>
        <w:rPr>
          <w:rFonts w:ascii="微软雅黑" w:hAnsi="微软雅黑" w:cs="微软雅黑"/>
        </w:rPr>
      </w:r>
      <w:r/>
    </w:p>
    <w:p>
      <w:pPr>
        <w:pStyle w:val="1063"/>
        <w:spacing w:line="420" w:lineRule="exact"/>
        <w:rPr>
          <w:rFonts w:ascii="微软雅黑" w:hAnsi="微软雅黑" w:cs="微软雅黑"/>
        </w:rPr>
        <w:sectPr>
          <w:footnotePr/>
          <w:endnotePr/>
          <w:type w:val="nextPage"/>
          <w:pgSz w:w="11906" w:h="16838" w:orient="portrait"/>
          <w:pgMar w:top="1440" w:right="1797" w:bottom="1440" w:left="1797" w:header="851" w:footer="992" w:gutter="0"/>
          <w:cols w:num="1" w:sep="0" w:space="1701" w:equalWidth="1"/>
          <w:docGrid w:linePitch="360"/>
        </w:sectPr>
      </w:pPr>
      <w:r/>
      <w:bookmarkStart w:id="328" w:name="_Toc9754"/>
      <w:r>
        <w:rPr>
          <w:rFonts w:ascii="微软雅黑" w:hAnsi="微软雅黑" w:cs="微软雅黑"/>
        </w:rPr>
      </w:r>
      <w:r/>
    </w:p>
    <w:p>
      <w:pPr>
        <w:pStyle w:val="1066"/>
        <w:rPr>
          <w:rFonts w:ascii="微软雅黑" w:hAnsi="微软雅黑" w:cs="微软雅黑"/>
          <w:bCs w:val="0"/>
          <w:szCs w:val="24"/>
        </w:rPr>
      </w:pPr>
      <w:r/>
      <w:bookmarkStart w:id="329" w:name="_Toc10306"/>
      <w:r/>
      <w:bookmarkStart w:id="330" w:name="_Toc4348"/>
      <w:r/>
      <w:bookmarkStart w:id="331" w:name="_Toc3869"/>
      <w:r/>
      <w:bookmarkStart w:id="332" w:name="_Toc12280"/>
      <w:r/>
      <w:bookmarkStart w:id="333" w:name="_Toc24995"/>
      <w:r>
        <w:rPr>
          <w:rFonts w:hint="eastAsia" w:ascii="微软雅黑" w:hAnsi="微软雅黑" w:cs="微软雅黑"/>
          <w:bCs w:val="0"/>
          <w:szCs w:val="24"/>
        </w:rPr>
        <w:t xml:space="preserve">2.具有独立承担民事责任的能力（提供法人或者其他组织的营业执照复印件）</w:t>
      </w:r>
      <w:bookmarkEnd w:id="329"/>
      <w:r/>
      <w:bookmarkEnd w:id="331"/>
      <w:r/>
      <w:bookmarkEnd w:id="332"/>
      <w:r/>
      <w:bookmarkEnd w:id="333"/>
      <w:r>
        <w:rPr>
          <w:rFonts w:ascii="微软雅黑" w:hAnsi="微软雅黑" w:cs="微软雅黑"/>
          <w:bCs w:val="0"/>
          <w:szCs w:val="24"/>
        </w:rPr>
      </w:r>
      <w:r/>
    </w:p>
    <w:p>
      <w:pPr>
        <w:pStyle w:val="1066"/>
        <w:rPr>
          <w:rFonts w:ascii="微软雅黑" w:hAnsi="微软雅黑" w:cs="微软雅黑"/>
          <w:bCs w:val="0"/>
          <w:szCs w:val="24"/>
        </w:rPr>
      </w:pPr>
      <w:r/>
      <w:bookmarkStart w:id="334" w:name="_Toc31098"/>
      <w:r/>
      <w:bookmarkStart w:id="335" w:name="_Toc2380"/>
      <w:r/>
      <w:bookmarkStart w:id="336" w:name="_Toc5705"/>
      <w:r/>
      <w:bookmarkStart w:id="337" w:name="_Toc9945"/>
      <w:r>
        <w:rPr>
          <w:rFonts w:hint="eastAsia" w:ascii="微软雅黑" w:hAnsi="微软雅黑" w:cs="微软雅黑"/>
          <w:bCs w:val="0"/>
          <w:szCs w:val="24"/>
        </w:rPr>
        <w:t xml:space="preserve">3.具有良好的商业信誉和健全的财务会计制度</w:t>
      </w:r>
      <w:bookmarkEnd w:id="334"/>
      <w:r/>
      <w:bookmarkEnd w:id="335"/>
      <w:r/>
      <w:bookmarkEnd w:id="336"/>
      <w:r/>
      <w:bookmarkEnd w:id="337"/>
      <w:r>
        <w:rPr>
          <w:rFonts w:ascii="微软雅黑" w:hAnsi="微软雅黑" w:cs="微软雅黑"/>
          <w:bCs w:val="0"/>
          <w:szCs w:val="24"/>
        </w:rPr>
      </w:r>
      <w:r/>
    </w:p>
    <w:p>
      <w:pPr>
        <w:pStyle w:val="1066"/>
        <w:jc w:val="both"/>
        <w:rPr>
          <w:rFonts w:ascii="微软雅黑" w:hAnsi="微软雅黑" w:cs="微软雅黑"/>
          <w:bCs w:val="0"/>
          <w:szCs w:val="24"/>
        </w:rPr>
      </w:pPr>
      <w:r/>
      <w:bookmarkStart w:id="338" w:name="_Toc8290"/>
      <w:r/>
      <w:bookmarkStart w:id="339" w:name="_Toc2269"/>
      <w:r/>
      <w:bookmarkStart w:id="340" w:name="_Toc6215"/>
      <w:r/>
      <w:bookmarkStart w:id="341" w:name="_Toc25603"/>
      <w:r>
        <w:rPr>
          <w:rFonts w:hint="eastAsia" w:ascii="微软雅黑" w:hAnsi="微软雅黑" w:cs="微软雅黑"/>
          <w:bCs w:val="0"/>
          <w:szCs w:val="24"/>
        </w:rPr>
        <w:t xml:space="preserve">4.具有履行合同所必需的设备和专业技术能力承诺函</w:t>
      </w:r>
      <w:bookmarkEnd w:id="330"/>
      <w:r>
        <w:rPr>
          <w:rFonts w:hint="eastAsia" w:ascii="微软雅黑" w:hAnsi="微软雅黑" w:cs="微软雅黑"/>
          <w:bCs w:val="0"/>
          <w:szCs w:val="24"/>
        </w:rPr>
        <w:t xml:space="preserve">（参考格式）</w:t>
      </w:r>
      <w:bookmarkEnd w:id="338"/>
      <w:r/>
      <w:bookmarkEnd w:id="339"/>
      <w:r/>
      <w:bookmarkEnd w:id="340"/>
      <w:r/>
      <w:bookmarkEnd w:id="341"/>
      <w:r>
        <w:rPr>
          <w:rFonts w:ascii="微软雅黑" w:hAnsi="微软雅黑" w:cs="微软雅黑"/>
          <w:bCs w:val="0"/>
          <w:szCs w:val="24"/>
        </w:rPr>
      </w:r>
      <w:r/>
    </w:p>
    <w:p>
      <w:pPr>
        <w:pStyle w:val="1063"/>
        <w:rPr>
          <w:rFonts w:ascii="微软雅黑" w:hAnsi="微软雅黑" w:cs="微软雅黑"/>
        </w:rPr>
      </w:pPr>
      <w:r>
        <w:rPr>
          <w:rFonts w:ascii="微软雅黑" w:hAnsi="微软雅黑" w:cs="微软雅黑"/>
        </w:rPr>
      </w:r>
      <w:r/>
    </w:p>
    <w:p>
      <w:pPr>
        <w:pStyle w:val="1063"/>
        <w:spacing w:line="500" w:lineRule="exact"/>
        <w:rPr>
          <w:rFonts w:ascii="微软雅黑" w:hAnsi="微软雅黑" w:cs="微软雅黑"/>
          <w:color w:val="000000"/>
          <w:szCs w:val="21"/>
        </w:rPr>
      </w:pPr>
      <w:r>
        <w:rPr>
          <w:rFonts w:hint="eastAsia" w:ascii="微软雅黑" w:hAnsi="微软雅黑" w:cs="微软雅黑"/>
          <w:color w:val="000000"/>
          <w:szCs w:val="21"/>
        </w:rPr>
        <w:t xml:space="preserve">致南京林业大学、江苏省华采招标有限公司：</w:t>
      </w:r>
      <w:r>
        <w:rPr>
          <w:rFonts w:ascii="微软雅黑" w:hAnsi="微软雅黑" w:cs="微软雅黑"/>
          <w:color w:val="000000"/>
          <w:szCs w:val="21"/>
        </w:rPr>
      </w:r>
      <w:r/>
    </w:p>
    <w:p>
      <w:pPr>
        <w:pStyle w:val="1063"/>
        <w:ind w:firstLine="492"/>
        <w:spacing w:line="500" w:lineRule="exact"/>
        <w:rPr>
          <w:rFonts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ascii="微软雅黑" w:hAnsi="微软雅黑" w:cs="微软雅黑"/>
          <w:color w:val="000000"/>
          <w:szCs w:val="21"/>
        </w:rPr>
      </w:r>
      <w:r/>
    </w:p>
    <w:p>
      <w:pPr>
        <w:pStyle w:val="1063"/>
        <w:spacing w:line="500" w:lineRule="exact"/>
        <w:rPr>
          <w:rFonts w:ascii="微软雅黑" w:hAnsi="微软雅黑" w:cs="微软雅黑"/>
          <w:color w:val="000000"/>
          <w:sz w:val="24"/>
          <w:szCs w:val="24"/>
        </w:rPr>
      </w:pPr>
      <w:r>
        <w:rPr>
          <w:rFonts w:ascii="微软雅黑" w:hAnsi="微软雅黑" w:cs="微软雅黑"/>
          <w:color w:val="000000"/>
          <w:sz w:val="24"/>
          <w:szCs w:val="24"/>
        </w:rPr>
      </w:r>
      <w:r/>
    </w:p>
    <w:p>
      <w:pPr>
        <w:pStyle w:val="1063"/>
        <w:spacing w:line="500" w:lineRule="exact"/>
        <w:rPr>
          <w:rFonts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ascii="微软雅黑" w:hAnsi="微软雅黑" w:cs="微软雅黑"/>
          <w:color w:val="000000"/>
          <w:szCs w:val="21"/>
        </w:rPr>
      </w:r>
      <w:r/>
    </w:p>
    <w:p>
      <w:pPr>
        <w:pStyle w:val="1063"/>
        <w:spacing w:line="500" w:lineRule="exact"/>
        <w:rPr>
          <w:rFonts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ascii="微软雅黑" w:hAnsi="微软雅黑" w:cs="微软雅黑"/>
          <w:color w:val="000000"/>
          <w:szCs w:val="21"/>
        </w:rPr>
      </w:r>
      <w:r/>
    </w:p>
    <w:p>
      <w:pPr>
        <w:pStyle w:val="1063"/>
        <w:rPr>
          <w:rFonts w:ascii="微软雅黑" w:hAnsi="微软雅黑" w:cs="微软雅黑"/>
        </w:rPr>
      </w:pPr>
      <w:r>
        <w:rPr>
          <w:rFonts w:ascii="微软雅黑" w:hAnsi="微软雅黑" w:cs="微软雅黑"/>
        </w:rPr>
      </w:r>
      <w:r/>
    </w:p>
    <w:p>
      <w:pPr>
        <w:pStyle w:val="1063"/>
      </w:pPr>
      <w:r/>
      <w:r/>
    </w:p>
    <w:p>
      <w:pPr>
        <w:pStyle w:val="1066"/>
        <w:rPr>
          <w:rFonts w:ascii="微软雅黑" w:hAnsi="微软雅黑" w:cs="微软雅黑"/>
          <w:bCs w:val="0"/>
          <w:szCs w:val="24"/>
        </w:rPr>
      </w:pPr>
      <w:r/>
      <w:bookmarkStart w:id="342" w:name="_Toc9149"/>
      <w:r/>
      <w:bookmarkStart w:id="343" w:name="_Toc18837"/>
      <w:r/>
      <w:bookmarkStart w:id="344" w:name="_Toc26318"/>
      <w:r/>
      <w:bookmarkStart w:id="345" w:name="_Toc898"/>
      <w:r>
        <w:rPr>
          <w:rFonts w:hint="eastAsia" w:ascii="微软雅黑" w:hAnsi="微软雅黑" w:cs="微软雅黑"/>
          <w:bCs w:val="0"/>
          <w:szCs w:val="24"/>
        </w:rPr>
        <w:t xml:space="preserve">5.有依法缴纳税收的良好记录</w:t>
      </w:r>
      <w:bookmarkEnd w:id="342"/>
      <w:r/>
      <w:bookmarkEnd w:id="343"/>
      <w:r/>
      <w:bookmarkEnd w:id="344"/>
      <w:r/>
      <w:bookmarkEnd w:id="345"/>
      <w:r>
        <w:rPr>
          <w:rFonts w:ascii="微软雅黑" w:hAnsi="微软雅黑" w:cs="微软雅黑"/>
          <w:bCs w:val="0"/>
          <w:szCs w:val="24"/>
        </w:rPr>
      </w:r>
      <w:r/>
    </w:p>
    <w:p>
      <w:pPr>
        <w:pStyle w:val="1063"/>
        <w:jc w:val="left"/>
        <w:tabs>
          <w:tab w:val="left" w:pos="350" w:leader="none"/>
        </w:tabs>
      </w:pPr>
      <w:r/>
      <w:r/>
    </w:p>
    <w:p>
      <w:pPr>
        <w:pStyle w:val="1066"/>
        <w:rPr>
          <w:rFonts w:ascii="微软雅黑" w:hAnsi="微软雅黑" w:cs="微软雅黑"/>
          <w:bCs w:val="0"/>
          <w:szCs w:val="24"/>
        </w:rPr>
        <w:sectPr>
          <w:footnotePr/>
          <w:endnotePr/>
          <w:type w:val="nextPage"/>
          <w:pgSz w:w="11906" w:h="16838" w:orient="portrait"/>
          <w:pgMar w:top="1440" w:right="1803" w:bottom="1440" w:left="1803" w:header="851" w:footer="992" w:gutter="0"/>
          <w:cols w:num="1" w:sep="0" w:space="1701" w:equalWidth="1"/>
          <w:docGrid w:linePitch="360"/>
        </w:sectPr>
      </w:pPr>
      <w:r/>
      <w:bookmarkStart w:id="346" w:name="_Toc3791"/>
      <w:r/>
      <w:bookmarkStart w:id="347" w:name="_Toc31818"/>
      <w:r/>
      <w:bookmarkStart w:id="348" w:name="_Toc7289"/>
      <w:r/>
      <w:bookmarkStart w:id="349" w:name="_Toc10765"/>
      <w:r>
        <w:rPr>
          <w:rFonts w:hint="eastAsia" w:ascii="微软雅黑" w:hAnsi="微软雅黑" w:cs="微软雅黑"/>
          <w:bCs w:val="0"/>
          <w:szCs w:val="24"/>
        </w:rPr>
        <w:t xml:space="preserve">6.有依法缴纳社会保障资金的良好记录</w:t>
      </w:r>
      <w:bookmarkEnd w:id="346"/>
      <w:r/>
      <w:bookmarkEnd w:id="347"/>
      <w:r/>
      <w:bookmarkEnd w:id="348"/>
      <w:r/>
      <w:bookmarkEnd w:id="349"/>
      <w:r>
        <w:rPr>
          <w:rFonts w:ascii="微软雅黑" w:hAnsi="微软雅黑" w:cs="微软雅黑"/>
          <w:bCs w:val="0"/>
          <w:szCs w:val="24"/>
        </w:rPr>
      </w:r>
      <w:r/>
    </w:p>
    <w:p>
      <w:pPr>
        <w:pStyle w:val="1066"/>
        <w:rPr>
          <w:rFonts w:ascii="微软雅黑" w:hAnsi="微软雅黑" w:cs="微软雅黑"/>
          <w:bCs w:val="0"/>
          <w:szCs w:val="24"/>
        </w:rPr>
      </w:pPr>
      <w:r/>
      <w:bookmarkStart w:id="350" w:name="_Toc7372"/>
      <w:r/>
      <w:bookmarkStart w:id="351" w:name="_Toc29512"/>
      <w:r/>
      <w:bookmarkStart w:id="352" w:name="_Toc24299"/>
      <w:r/>
      <w:bookmarkStart w:id="353" w:name="_Toc6159"/>
      <w:r>
        <w:rPr>
          <w:rFonts w:hint="eastAsia" w:ascii="微软雅黑" w:hAnsi="微软雅黑" w:cs="微软雅黑"/>
          <w:bCs w:val="0"/>
          <w:szCs w:val="24"/>
        </w:rPr>
        <w:t xml:space="preserve">7.</w:t>
      </w:r>
      <w:bookmarkEnd w:id="328"/>
      <w:r>
        <w:rPr>
          <w:rFonts w:hint="eastAsia" w:ascii="微软雅黑" w:hAnsi="微软雅黑" w:cs="微软雅黑"/>
          <w:bCs w:val="0"/>
          <w:szCs w:val="24"/>
        </w:rPr>
        <w:t xml:space="preserve">没有重大违法记录声明（参考格式）</w:t>
      </w:r>
      <w:bookmarkEnd w:id="350"/>
      <w:r/>
      <w:bookmarkEnd w:id="351"/>
      <w:r/>
      <w:bookmarkEnd w:id="352"/>
      <w:r/>
      <w:bookmarkEnd w:id="353"/>
      <w:r>
        <w:rPr>
          <w:rFonts w:ascii="微软雅黑" w:hAnsi="微软雅黑" w:cs="微软雅黑"/>
          <w:bCs w:val="0"/>
          <w:szCs w:val="24"/>
        </w:rPr>
      </w:r>
      <w:r/>
    </w:p>
    <w:p>
      <w:pPr>
        <w:pStyle w:val="1063"/>
        <w:jc w:val="center"/>
        <w:rPr>
          <w:rFonts w:ascii="微软雅黑" w:hAnsi="微软雅黑" w:cs="微软雅黑"/>
          <w:b/>
          <w:bCs/>
          <w:sz w:val="24"/>
          <w:szCs w:val="24"/>
        </w:rPr>
      </w:pPr>
      <w:r>
        <w:rPr>
          <w:rFonts w:hint="eastAsia" w:ascii="微软雅黑" w:hAnsi="微软雅黑" w:cs="微软雅黑"/>
          <w:b/>
          <w:bCs/>
          <w:sz w:val="24"/>
          <w:szCs w:val="24"/>
        </w:rPr>
        <w:t xml:space="preserve">声  明</w:t>
      </w:r>
      <w:r>
        <w:rPr>
          <w:rFonts w:ascii="微软雅黑" w:hAnsi="微软雅黑" w:cs="微软雅黑"/>
          <w:b/>
          <w:bCs/>
          <w:sz w:val="24"/>
          <w:szCs w:val="24"/>
        </w:rPr>
      </w:r>
      <w:r/>
    </w:p>
    <w:p>
      <w:pPr>
        <w:pStyle w:val="1063"/>
        <w:jc w:val="center"/>
        <w:spacing w:line="420" w:lineRule="exact"/>
        <w:rPr>
          <w:rFonts w:ascii="微软雅黑" w:hAnsi="微软雅黑" w:cs="微软雅黑"/>
          <w:b/>
          <w:sz w:val="44"/>
          <w:szCs w:val="44"/>
        </w:rPr>
      </w:pPr>
      <w:r>
        <w:rPr>
          <w:rFonts w:ascii="微软雅黑" w:hAnsi="微软雅黑" w:cs="微软雅黑"/>
          <w:b/>
          <w:sz w:val="44"/>
          <w:szCs w:val="44"/>
        </w:rPr>
      </w:r>
      <w:r/>
    </w:p>
    <w:p>
      <w:pPr>
        <w:pStyle w:val="1063"/>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网站www.ccgp.gov.cn）列入失信被执行主体、重大税收违法失信主体、政府采购严重违法失信行为当事主体等严重失信记录名单。</w:t>
      </w:r>
      <w:r>
        <w:rPr>
          <w:rFonts w:ascii="微软雅黑" w:hAnsi="微软雅黑" w:cs="微软雅黑"/>
          <w:szCs w:val="21"/>
        </w:rPr>
      </w:r>
      <w:r/>
    </w:p>
    <w:p>
      <w:pPr>
        <w:pStyle w:val="1063"/>
        <w:ind w:firstLine="480"/>
        <w:spacing w:line="360" w:lineRule="auto"/>
        <w:rPr>
          <w:rFonts w:ascii="微软雅黑" w:hAnsi="微软雅黑" w:cs="微软雅黑"/>
          <w:sz w:val="24"/>
          <w:szCs w:val="24"/>
        </w:rPr>
      </w:pPr>
      <w:r>
        <w:rPr>
          <w:rFonts w:ascii="微软雅黑" w:hAnsi="微软雅黑" w:cs="微软雅黑"/>
          <w:sz w:val="24"/>
          <w:szCs w:val="24"/>
        </w:rPr>
      </w:r>
      <w:r/>
    </w:p>
    <w:p>
      <w:pPr>
        <w:pStyle w:val="1063"/>
        <w:spacing w:line="360" w:lineRule="auto"/>
        <w:rPr>
          <w:rFonts w:ascii="微软雅黑" w:hAnsi="微软雅黑" w:cs="微软雅黑"/>
          <w:sz w:val="24"/>
          <w:szCs w:val="24"/>
        </w:rPr>
      </w:pPr>
      <w:r>
        <w:rPr>
          <w:rFonts w:ascii="微软雅黑" w:hAnsi="微软雅黑" w:cs="微软雅黑"/>
          <w:sz w:val="24"/>
          <w:szCs w:val="24"/>
        </w:rPr>
      </w:r>
      <w:r/>
    </w:p>
    <w:p>
      <w:pPr>
        <w:pStyle w:val="1092"/>
        <w:ind w:left="1260"/>
        <w:rPr>
          <w:rFonts w:ascii="微软雅黑" w:hAnsi="微软雅黑" w:cs="微软雅黑"/>
        </w:rPr>
      </w:pPr>
      <w:r>
        <w:rPr>
          <w:rFonts w:ascii="微软雅黑" w:hAnsi="微软雅黑" w:cs="微软雅黑"/>
        </w:rPr>
      </w:r>
      <w:r/>
    </w:p>
    <w:p>
      <w:pPr>
        <w:pStyle w:val="1063"/>
        <w:rPr>
          <w:rFonts w:ascii="微软雅黑" w:hAnsi="微软雅黑" w:cs="微软雅黑"/>
        </w:rPr>
      </w:pPr>
      <w:r>
        <w:rPr>
          <w:rFonts w:ascii="微软雅黑" w:hAnsi="微软雅黑" w:cs="微软雅黑"/>
        </w:rPr>
      </w:r>
      <w:r/>
    </w:p>
    <w:p>
      <w:pPr>
        <w:pStyle w:val="1063"/>
        <w:spacing w:line="360" w:lineRule="auto"/>
        <w:rPr>
          <w:rFonts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ascii="微软雅黑" w:hAnsi="微软雅黑" w:cs="微软雅黑"/>
          <w:szCs w:val="21"/>
        </w:rPr>
      </w:r>
      <w:r/>
    </w:p>
    <w:p>
      <w:pPr>
        <w:pStyle w:val="1063"/>
        <w:spacing w:line="360" w:lineRule="auto"/>
        <w:rPr>
          <w:rFonts w:ascii="微软雅黑" w:hAnsi="微软雅黑" w:cs="微软雅黑"/>
          <w:szCs w:val="21"/>
        </w:rPr>
      </w:pPr>
      <w:r>
        <w:rPr>
          <w:rFonts w:hint="eastAsia" w:ascii="微软雅黑" w:hAnsi="微软雅黑" w:cs="微软雅黑"/>
          <w:szCs w:val="21"/>
        </w:rPr>
        <w:t xml:space="preserve">                      法定代表人（授权代表）签章/签字：</w:t>
      </w:r>
      <w:r>
        <w:rPr>
          <w:rFonts w:ascii="微软雅黑" w:hAnsi="微软雅黑" w:cs="微软雅黑"/>
          <w:szCs w:val="21"/>
        </w:rPr>
      </w:r>
      <w:r/>
    </w:p>
    <w:p>
      <w:pPr>
        <w:pStyle w:val="1063"/>
        <w:spacing w:line="360" w:lineRule="auto"/>
        <w:rPr>
          <w:rFonts w:ascii="微软雅黑" w:hAnsi="微软雅黑" w:cs="微软雅黑"/>
          <w:szCs w:val="21"/>
        </w:rPr>
      </w:pPr>
      <w:r>
        <w:rPr>
          <w:rFonts w:hint="eastAsia" w:ascii="微软雅黑" w:hAnsi="微软雅黑" w:cs="微软雅黑"/>
          <w:szCs w:val="21"/>
        </w:rPr>
        <w:t xml:space="preserve">                      日期：</w:t>
      </w:r>
      <w:r>
        <w:rPr>
          <w:rFonts w:ascii="微软雅黑" w:hAnsi="微软雅黑" w:cs="微软雅黑"/>
          <w:szCs w:val="21"/>
        </w:rPr>
      </w:r>
      <w:r/>
    </w:p>
    <w:p>
      <w:pPr>
        <w:pStyle w:val="1092"/>
        <w:ind w:left="0"/>
        <w:rPr>
          <w:rFonts w:ascii="微软雅黑" w:hAnsi="微软雅黑" w:cs="微软雅黑"/>
          <w:szCs w:val="21"/>
        </w:rPr>
      </w:pPr>
      <w:r>
        <w:rPr>
          <w:rFonts w:ascii="微软雅黑" w:hAnsi="微软雅黑" w:cs="微软雅黑"/>
          <w:szCs w:val="21"/>
        </w:rPr>
      </w:r>
      <w:r/>
    </w:p>
    <w:p>
      <w:pPr>
        <w:pStyle w:val="1092"/>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rPr>
          <w:rFonts w:ascii="微软雅黑" w:hAnsi="微软雅黑" w:cs="微软雅黑"/>
          <w:b/>
          <w:bCs/>
          <w:szCs w:val="21"/>
        </w:rPr>
      </w:r>
      <w:r/>
    </w:p>
    <w:p>
      <w:pPr>
        <w:pStyle w:val="1063"/>
        <w:spacing w:line="360" w:lineRule="auto"/>
        <w:rPr>
          <w:b/>
          <w:bCs/>
          <w:szCs w:val="21"/>
        </w:rPr>
      </w:pPr>
      <w:r>
        <w:rPr>
          <w:b/>
          <w:bCs/>
          <w:szCs w:val="21"/>
        </w:rPr>
        <w:t xml:space="preserve">1.重大违法记录是指供应商因违法经营受到刑事处罚或者责令停产停业、吊销许可证或者执照</w:t>
      </w:r>
      <w:r>
        <w:rPr>
          <w:rFonts w:hint="eastAsia"/>
          <w:b/>
          <w:bCs/>
          <w:szCs w:val="21"/>
        </w:rPr>
        <w:t xml:space="preserve">、</w:t>
      </w:r>
      <w:r>
        <w:rPr>
          <w:b/>
          <w:bCs/>
          <w:szCs w:val="21"/>
        </w:rPr>
        <w:t xml:space="preserve">较大数额罚款等行政处罚。</w:t>
      </w:r>
      <w:r>
        <w:rPr>
          <w:b/>
          <w:bCs/>
          <w:szCs w:val="21"/>
        </w:rPr>
      </w:r>
      <w:r/>
    </w:p>
    <w:p>
      <w:pPr>
        <w:pStyle w:val="1063"/>
        <w:spacing w:line="360" w:lineRule="auto"/>
        <w:rPr>
          <w:sz w:val="24"/>
          <w:szCs w:val="24"/>
        </w:rPr>
      </w:pPr>
      <w:r>
        <w:rPr>
          <w:b/>
          <w:bCs/>
          <w:szCs w:val="21"/>
        </w:rPr>
        <w:t xml:space="preserve">2. 较大数额罚款标准参照财库[2022]3号文规定执行，指的是200万元以上数额。</w:t>
      </w:r>
      <w:r>
        <w:rPr>
          <w:sz w:val="24"/>
          <w:szCs w:val="24"/>
        </w:rPr>
      </w:r>
      <w:r/>
    </w:p>
    <w:p>
      <w:pPr>
        <w:pStyle w:val="1063"/>
        <w:spacing w:line="360" w:lineRule="auto"/>
        <w:rPr>
          <w:rFonts w:ascii="微软雅黑" w:hAnsi="微软雅黑" w:cs="微软雅黑"/>
          <w:sz w:val="24"/>
          <w:szCs w:val="24"/>
        </w:rPr>
      </w:pPr>
      <w:r>
        <w:rPr>
          <w:rFonts w:ascii="微软雅黑" w:hAnsi="微软雅黑" w:cs="微软雅黑"/>
          <w:sz w:val="24"/>
          <w:szCs w:val="24"/>
        </w:rPr>
      </w:r>
      <w:r/>
    </w:p>
    <w:p>
      <w:pPr>
        <w:pStyle w:val="1063"/>
        <w:spacing w:line="420" w:lineRule="exact"/>
        <w:rPr>
          <w:rFonts w:ascii="微软雅黑" w:hAnsi="微软雅黑" w:cs="微软雅黑"/>
          <w:sz w:val="24"/>
          <w:szCs w:val="24"/>
        </w:rPr>
      </w:pPr>
      <w:r>
        <w:rPr>
          <w:rFonts w:ascii="微软雅黑" w:hAnsi="微软雅黑" w:cs="微软雅黑"/>
          <w:sz w:val="24"/>
          <w:szCs w:val="24"/>
        </w:rPr>
      </w:r>
      <w:r/>
    </w:p>
    <w:p>
      <w:pPr>
        <w:pStyle w:val="1063"/>
        <w:spacing w:line="420" w:lineRule="exact"/>
        <w:rPr>
          <w:rFonts w:ascii="微软雅黑" w:hAnsi="微软雅黑" w:cs="微软雅黑"/>
          <w:sz w:val="24"/>
          <w:szCs w:val="24"/>
        </w:rPr>
      </w:pPr>
      <w:r>
        <w:rPr>
          <w:rFonts w:ascii="微软雅黑" w:hAnsi="微软雅黑" w:cs="微软雅黑"/>
          <w:sz w:val="24"/>
          <w:szCs w:val="24"/>
        </w:rPr>
      </w:r>
      <w:r/>
    </w:p>
    <w:p>
      <w:pPr>
        <w:pStyle w:val="1066"/>
        <w:spacing w:before="0"/>
        <w:rPr>
          <w:rFonts w:ascii="微软雅黑" w:hAnsi="微软雅黑" w:cs="微软雅黑"/>
          <w:bCs w:val="0"/>
          <w:szCs w:val="24"/>
        </w:rPr>
      </w:pPr>
      <w:r>
        <w:rPr>
          <w:rFonts w:hint="eastAsia" w:ascii="微软雅黑" w:hAnsi="微软雅黑" w:cs="微软雅黑"/>
          <w:bCs w:val="0"/>
          <w:szCs w:val="24"/>
        </w:rPr>
        <w:br w:type="page" w:clear="all"/>
      </w:r>
      <w:bookmarkStart w:id="354" w:name="_Toc28232"/>
      <w:r/>
      <w:bookmarkStart w:id="355" w:name="_Toc10347"/>
      <w:r/>
      <w:bookmarkStart w:id="356" w:name="_Toc28942"/>
      <w:r/>
      <w:bookmarkStart w:id="357" w:name="_Toc30729"/>
      <w:r>
        <w:rPr>
          <w:rFonts w:hint="eastAsia" w:ascii="微软雅黑" w:hAnsi="微软雅黑" w:cs="微软雅黑"/>
          <w:bCs w:val="0"/>
          <w:szCs w:val="24"/>
        </w:rPr>
        <w:t xml:space="preserve">8.承诺（参考格式）</w:t>
      </w:r>
      <w:bookmarkEnd w:id="354"/>
      <w:r/>
      <w:bookmarkEnd w:id="355"/>
      <w:r/>
      <w:bookmarkEnd w:id="356"/>
      <w:r/>
      <w:bookmarkEnd w:id="357"/>
      <w:r>
        <w:rPr>
          <w:rFonts w:ascii="微软雅黑" w:hAnsi="微软雅黑" w:cs="微软雅黑"/>
          <w:bCs w:val="0"/>
          <w:szCs w:val="24"/>
        </w:rPr>
      </w:r>
      <w:r/>
    </w:p>
    <w:p>
      <w:pPr>
        <w:pStyle w:val="1063"/>
        <w:jc w:val="center"/>
        <w:rPr>
          <w:rFonts w:ascii="微软雅黑" w:hAnsi="微软雅黑" w:cs="微软雅黑"/>
          <w:b/>
          <w:bCs/>
          <w:sz w:val="24"/>
          <w:szCs w:val="24"/>
        </w:rPr>
      </w:pPr>
      <w:r>
        <w:rPr>
          <w:rFonts w:hint="eastAsia" w:ascii="微软雅黑" w:hAnsi="微软雅黑" w:cs="微软雅黑"/>
          <w:b/>
          <w:bCs/>
          <w:sz w:val="24"/>
          <w:szCs w:val="24"/>
        </w:rPr>
        <w:t xml:space="preserve">承  诺</w:t>
      </w:r>
      <w:r>
        <w:rPr>
          <w:rFonts w:ascii="微软雅黑" w:hAnsi="微软雅黑" w:cs="微软雅黑"/>
          <w:b/>
          <w:bCs/>
          <w:sz w:val="24"/>
          <w:szCs w:val="24"/>
        </w:rPr>
      </w:r>
      <w:r/>
    </w:p>
    <w:p>
      <w:pPr>
        <w:pStyle w:val="1063"/>
        <w:spacing w:line="440" w:lineRule="exact"/>
        <w:rPr>
          <w:rFonts w:ascii="微软雅黑" w:hAnsi="微软雅黑" w:cs="微软雅黑"/>
          <w:szCs w:val="21"/>
        </w:rPr>
      </w:pPr>
      <w:r>
        <w:rPr>
          <w:rFonts w:hint="eastAsia" w:ascii="微软雅黑" w:hAnsi="微软雅黑" w:cs="微软雅黑"/>
          <w:szCs w:val="21"/>
        </w:rPr>
        <w:t xml:space="preserve">我公司承诺：</w:t>
      </w:r>
      <w:r>
        <w:rPr>
          <w:rFonts w:ascii="微软雅黑" w:hAnsi="微软雅黑" w:cs="微软雅黑"/>
          <w:szCs w:val="21"/>
        </w:rPr>
      </w:r>
      <w:r/>
    </w:p>
    <w:p>
      <w:pPr>
        <w:pStyle w:val="1063"/>
        <w:numPr>
          <w:ilvl w:val="0"/>
          <w:numId w:val="16"/>
        </w:numPr>
        <w:spacing w:line="440" w:lineRule="exact"/>
        <w:rPr>
          <w:rFonts w:ascii="微软雅黑" w:hAnsi="微软雅黑" w:cs="微软雅黑"/>
          <w:szCs w:val="21"/>
        </w:rPr>
      </w:pPr>
      <w:r>
        <w:rPr>
          <w:rFonts w:hint="eastAsia" w:ascii="微软雅黑" w:hAnsi="微软雅黑" w:cs="微软雅黑"/>
          <w:szCs w:val="21"/>
        </w:rPr>
        <w:t xml:space="preserve">我单位未组成联合体响应，成交后不进行分包、转包。</w:t>
      </w:r>
      <w:r>
        <w:rPr>
          <w:rFonts w:ascii="微软雅黑" w:hAnsi="微软雅黑" w:cs="微软雅黑"/>
          <w:szCs w:val="21"/>
        </w:rPr>
      </w:r>
      <w:r/>
    </w:p>
    <w:p>
      <w:pPr>
        <w:pStyle w:val="1063"/>
        <w:numPr>
          <w:ilvl w:val="0"/>
          <w:numId w:val="16"/>
        </w:numPr>
        <w:spacing w:line="440" w:lineRule="exact"/>
        <w:rPr>
          <w:rFonts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（单位名称，多个填写多个），不存在与我单位负责人为同一人或者存在直接控股、管理关系的不同供应商同时参加本项目同一包响应的情形。</w:t>
      </w:r>
      <w:r>
        <w:rPr>
          <w:rFonts w:ascii="微软雅黑" w:hAnsi="微软雅黑" w:cs="微软雅黑"/>
          <w:szCs w:val="21"/>
        </w:rPr>
      </w:r>
      <w:r/>
    </w:p>
    <w:p>
      <w:pPr>
        <w:pStyle w:val="1063"/>
        <w:numPr>
          <w:ilvl w:val="0"/>
          <w:numId w:val="16"/>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rPr>
          <w:rFonts w:ascii="微软雅黑" w:hAnsi="微软雅黑" w:cs="微软雅黑"/>
          <w:szCs w:val="21"/>
        </w:rPr>
      </w:r>
      <w:r/>
    </w:p>
    <w:p>
      <w:pPr>
        <w:pStyle w:val="1063"/>
        <w:spacing w:line="440" w:lineRule="exact"/>
        <w:rPr>
          <w:rFonts w:ascii="微软雅黑" w:hAnsi="微软雅黑" w:cs="微软雅黑"/>
          <w:szCs w:val="21"/>
        </w:rPr>
      </w:pPr>
      <w:r>
        <w:rPr>
          <w:rFonts w:ascii="微软雅黑" w:hAnsi="微软雅黑" w:cs="微软雅黑"/>
          <w:szCs w:val="21"/>
        </w:rPr>
      </w:r>
      <w:r/>
    </w:p>
    <w:p>
      <w:pPr>
        <w:pStyle w:val="1063"/>
        <w:ind w:firstLine="420"/>
        <w:spacing w:line="440" w:lineRule="exact"/>
        <w:rPr>
          <w:rFonts w:ascii="微软雅黑" w:hAnsi="微软雅黑" w:cs="微软雅黑"/>
          <w:szCs w:val="21"/>
        </w:rPr>
      </w:pPr>
      <w:r>
        <w:rPr>
          <w:rFonts w:hint="eastAsia" w:ascii="微软雅黑" w:hAnsi="微软雅黑" w:cs="微软雅黑"/>
          <w:szCs w:val="21"/>
        </w:rPr>
        <w:t xml:space="preserve">特此承诺。</w:t>
      </w:r>
      <w:r>
        <w:rPr>
          <w:rFonts w:ascii="微软雅黑" w:hAnsi="微软雅黑" w:cs="微软雅黑"/>
          <w:szCs w:val="21"/>
        </w:rPr>
      </w:r>
      <w:r/>
    </w:p>
    <w:p>
      <w:pPr>
        <w:pStyle w:val="1063"/>
        <w:rPr>
          <w:rFonts w:ascii="微软雅黑" w:hAnsi="微软雅黑" w:cs="微软雅黑"/>
          <w:bCs/>
          <w:szCs w:val="21"/>
        </w:rPr>
      </w:pPr>
      <w:r>
        <w:rPr>
          <w:rFonts w:ascii="微软雅黑" w:hAnsi="微软雅黑" w:cs="微软雅黑"/>
          <w:bCs/>
          <w:szCs w:val="21"/>
        </w:rPr>
      </w:r>
      <w:r/>
    </w:p>
    <w:p>
      <w:pPr>
        <w:pStyle w:val="1084"/>
        <w:rPr>
          <w:rFonts w:ascii="微软雅黑" w:hAnsi="微软雅黑" w:eastAsia="微软雅黑" w:cs="微软雅黑"/>
          <w:sz w:val="21"/>
          <w:szCs w:val="21"/>
        </w:rPr>
      </w:pPr>
      <w:r>
        <w:rPr>
          <w:rFonts w:ascii="微软雅黑" w:hAnsi="微软雅黑" w:eastAsia="微软雅黑" w:cs="微软雅黑"/>
          <w:sz w:val="21"/>
          <w:szCs w:val="21"/>
        </w:rPr>
      </w:r>
      <w:r/>
    </w:p>
    <w:p>
      <w:pPr>
        <w:pStyle w:val="1084"/>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ascii="微软雅黑" w:hAnsi="微软雅黑" w:eastAsia="微软雅黑" w:cs="微软雅黑"/>
          <w:sz w:val="21"/>
          <w:szCs w:val="21"/>
        </w:rPr>
      </w:r>
      <w:r/>
    </w:p>
    <w:p>
      <w:pPr>
        <w:pStyle w:val="1084"/>
        <w:rPr>
          <w:rFonts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ascii="微软雅黑" w:hAnsi="微软雅黑" w:eastAsia="微软雅黑" w:cs="微软雅黑"/>
          <w:sz w:val="21"/>
          <w:szCs w:val="21"/>
        </w:rPr>
      </w:r>
      <w:r/>
    </w:p>
    <w:p>
      <w:pPr>
        <w:pStyle w:val="1063"/>
        <w:rPr>
          <w:rFonts w:hint="eastAsia" w:ascii="微软雅黑" w:hAnsi="微软雅黑" w:cs="微软雅黑"/>
        </w:rPr>
      </w:pPr>
      <w:r>
        <w:rPr>
          <w:rFonts w:hint="eastAsia" w:ascii="微软雅黑" w:hAnsi="微软雅黑" w:cs="微软雅黑"/>
          <w:szCs w:val="21"/>
        </w:rPr>
        <w:t xml:space="preserve">                                      日期：</w:t>
      </w:r>
      <w:r>
        <w:rPr>
          <w:rFonts w:hint="eastAsia" w:ascii="微软雅黑" w:hAnsi="微软雅黑" w:cs="微软雅黑"/>
        </w:rPr>
      </w:r>
      <w:r/>
    </w:p>
    <w:p>
      <w:pPr>
        <w:pStyle w:val="1063"/>
        <w:rPr>
          <w:rFonts w:hint="eastAsia"/>
        </w:rPr>
      </w:pPr>
      <w:r/>
      <w:bookmarkStart w:id="358" w:name="_Toc851"/>
      <w:r>
        <w:rPr>
          <w:rFonts w:hint="eastAsia"/>
        </w:rPr>
      </w:r>
      <w:r/>
    </w:p>
    <w:p>
      <w:pPr>
        <w:pStyle w:val="1063"/>
        <w:jc w:val="left"/>
        <w:rPr>
          <w:rFonts w:hint="eastAsia" w:ascii="微软雅黑" w:hAnsi="微软雅黑" w:cs="微软雅黑"/>
          <w:b/>
          <w:sz w:val="24"/>
          <w:szCs w:val="24"/>
        </w:rPr>
      </w:pPr>
      <w:r>
        <w:rPr>
          <w:rFonts w:hint="eastAsia" w:ascii="微软雅黑" w:hAnsi="微软雅黑" w:cs="微软雅黑"/>
          <w:b/>
          <w:sz w:val="24"/>
          <w:szCs w:val="24"/>
        </w:rPr>
      </w:r>
      <w:r/>
    </w:p>
    <w:p>
      <w:pPr>
        <w:pStyle w:val="1063"/>
        <w:rPr>
          <w:rFonts w:hint="eastAsia"/>
        </w:rPr>
      </w:pPr>
      <w:r>
        <w:rPr>
          <w:rFonts w:hint="eastAsia"/>
        </w:rPr>
      </w:r>
      <w:r/>
    </w:p>
    <w:p>
      <w:pPr>
        <w:pStyle w:val="1127"/>
        <w:rPr>
          <w:rFonts w:hint="eastAsia"/>
        </w:rPr>
      </w:pPr>
      <w:r>
        <w:rPr>
          <w:rFonts w:hint="eastAsia"/>
        </w:rPr>
      </w:r>
      <w:r/>
    </w:p>
    <w:p>
      <w:pPr>
        <w:pStyle w:val="1127"/>
        <w:rPr>
          <w:rFonts w:hint="eastAsia"/>
        </w:rPr>
      </w:pPr>
      <w:r>
        <w:rPr>
          <w:rFonts w:hint="eastAsia"/>
        </w:rPr>
      </w:r>
      <w:r/>
    </w:p>
    <w:p>
      <w:pPr>
        <w:pStyle w:val="1063"/>
        <w:rPr>
          <w:rFonts w:hint="eastAsia"/>
        </w:rPr>
      </w:pPr>
      <w:r>
        <w:rPr>
          <w:rFonts w:hint="eastAsia"/>
        </w:rPr>
      </w:r>
      <w:r/>
    </w:p>
    <w:p>
      <w:pPr>
        <w:pStyle w:val="1063"/>
        <w:rPr>
          <w:rFonts w:hint="eastAsia"/>
        </w:rPr>
      </w:pPr>
      <w:r>
        <w:rPr>
          <w:rFonts w:hint="eastAsia"/>
        </w:rPr>
      </w:r>
      <w:r/>
    </w:p>
    <w:p>
      <w:pPr>
        <w:pStyle w:val="1128"/>
        <w:rPr>
          <w:rFonts w:hint="eastAsia"/>
        </w:rPr>
      </w:pPr>
      <w:r>
        <w:rPr>
          <w:rFonts w:hint="eastAsia"/>
        </w:rPr>
      </w:r>
      <w:r/>
    </w:p>
    <w:p>
      <w:pPr>
        <w:pStyle w:val="1066"/>
        <w:spacing w:line="420" w:lineRule="exact"/>
        <w:rPr>
          <w:rFonts w:hint="eastAsia" w:ascii="微软雅黑" w:hAnsi="微软雅黑" w:cs="微软雅黑"/>
          <w:bCs w:val="0"/>
          <w:sz w:val="24"/>
          <w:szCs w:val="24"/>
        </w:rPr>
      </w:pPr>
      <w:r/>
      <w:bookmarkEnd w:id="325"/>
      <w:r/>
      <w:bookmarkEnd w:id="326"/>
      <w:r/>
      <w:bookmarkEnd w:id="327"/>
      <w:r/>
      <w:bookmarkEnd w:id="358"/>
      <w:r/>
      <w:bookmarkStart w:id="359" w:name="_Toc29689"/>
      <w:r/>
      <w:bookmarkStart w:id="360" w:name="_Toc19015"/>
      <w:r>
        <w:rPr>
          <w:rFonts w:hint="eastAsia" w:ascii="微软雅黑" w:hAnsi="微软雅黑" w:cs="微软雅黑"/>
          <w:bCs w:val="0"/>
          <w:sz w:val="24"/>
          <w:szCs w:val="24"/>
        </w:rPr>
        <w:t xml:space="preserve">中小企业声明函</w:t>
      </w:r>
      <w:bookmarkEnd w:id="359"/>
      <w:r/>
      <w:bookmarkEnd w:id="360"/>
      <w:r>
        <w:rPr>
          <w:rFonts w:hint="eastAsia" w:ascii="微软雅黑" w:hAnsi="微软雅黑" w:cs="微软雅黑"/>
          <w:bCs w:val="0"/>
          <w:sz w:val="24"/>
          <w:szCs w:val="24"/>
        </w:rPr>
      </w:r>
      <w:r/>
    </w:p>
    <w:p>
      <w:pPr>
        <w:pStyle w:val="1063"/>
        <w:rPr>
          <w:rFonts w:hint="eastAsia"/>
          <w:b/>
          <w:bCs/>
          <w:color w:val="ff0000"/>
          <w:sz w:val="28"/>
          <w:szCs w:val="28"/>
        </w:rPr>
      </w:pPr>
      <w:r>
        <w:rPr>
          <w:rFonts w:hint="eastAsia"/>
          <w:b/>
          <w:bCs/>
          <w:color w:val="ff0000"/>
          <w:sz w:val="28"/>
          <w:szCs w:val="28"/>
        </w:rPr>
        <w:t xml:space="preserve">（如不属于中小企业，则无需提供此声明函）</w:t>
      </w:r>
      <w:r>
        <w:rPr>
          <w:rFonts w:hint="eastAsia"/>
          <w:b/>
          <w:bCs/>
          <w:color w:val="ff0000"/>
          <w:sz w:val="28"/>
          <w:szCs w:val="28"/>
        </w:rPr>
      </w:r>
      <w:r/>
    </w:p>
    <w:p>
      <w:pPr>
        <w:pStyle w:val="1063"/>
        <w:jc w:val="center"/>
        <w:spacing w:line="420" w:lineRule="exact"/>
        <w:rPr>
          <w:rFonts w:hint="eastAsia" w:ascii="微软雅黑" w:hAnsi="微软雅黑" w:cs="微软雅黑"/>
          <w:b/>
          <w:bCs/>
        </w:rPr>
      </w:pPr>
      <w:r/>
      <w:bookmarkStart w:id="361" w:name="_Toc10812"/>
      <w:r>
        <w:rPr>
          <w:rFonts w:hint="eastAsia" w:ascii="微软雅黑" w:hAnsi="微软雅黑" w:cs="微软雅黑"/>
          <w:b/>
          <w:bCs/>
        </w:rPr>
      </w:r>
      <w:r/>
    </w:p>
    <w:p>
      <w:pPr>
        <w:pStyle w:val="1114"/>
        <w:ind w:firstLine="420"/>
        <w:jc w:val="center"/>
        <w:spacing w:before="106" w:beforeAutospacing="0" w:after="106" w:afterAutospacing="0" w:line="30" w:lineRule="atLeast"/>
        <w:rPr>
          <w:rStyle w:val="1121"/>
          <w:rFonts w:ascii="微软雅黑" w:hAnsi="微软雅黑" w:eastAsia="微软雅黑" w:cs="微软雅黑"/>
          <w:sz w:val="21"/>
          <w:szCs w:val="21"/>
        </w:rPr>
      </w:pPr>
      <w:r/>
      <w:bookmarkEnd w:id="361"/>
      <w:r>
        <w:rPr>
          <w:rStyle w:val="1121"/>
          <w:rFonts w:hint="eastAsia" w:ascii="微软雅黑" w:hAnsi="微软雅黑" w:eastAsia="微软雅黑" w:cs="微软雅黑"/>
          <w:sz w:val="21"/>
          <w:szCs w:val="21"/>
        </w:rPr>
        <w:t xml:space="preserve">中小企业声明函（服务）</w:t>
      </w:r>
      <w:r>
        <w:rPr>
          <w:rStyle w:val="1121"/>
          <w:rFonts w:ascii="微软雅黑" w:hAnsi="微软雅黑" w:eastAsia="微软雅黑" w:cs="微软雅黑"/>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本公司（联合体）郑重声明，根据《政府采购促进中小企业发展管理办法》（财库(2020)46号）的规定，本公司（联合体）参加</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单位名称 </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sz w:val="21"/>
          <w:szCs w:val="21"/>
        </w:rPr>
        <w:t xml:space="preserve">的</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项目名称 </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sz w:val="21"/>
          <w:szCs w:val="21"/>
        </w:rPr>
        <w:t xml:space="preserve">采购活动，工程的施工单位全部为符合政策要求的中小企业（或者：服务全部为符合政策要求的中小企业承接）。相关企业（含联合体中的中小企业、签订分包意向协议的中小企业）的具体情况如下</w:t>
      </w:r>
      <w:r>
        <w:rPr>
          <w:rStyle w:val="1121"/>
          <w:rFonts w:ascii="微软雅黑" w:hAnsi="微软雅黑" w:eastAsia="微软雅黑" w:cs="微软雅黑"/>
          <w:b w:val="0"/>
          <w:bCs w:val="0"/>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1.</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标的名称</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，属于</w:t>
      </w:r>
      <w:r>
        <w:rPr>
          <w:rStyle w:val="1121"/>
          <w:rFonts w:hint="eastAsia" w:ascii="微软雅黑" w:hAnsi="微软雅黑" w:eastAsia="微软雅黑" w:cs="微软雅黑"/>
          <w:b w:val="0"/>
          <w:bCs w:val="0"/>
          <w:i/>
          <w:iCs/>
          <w:sz w:val="21"/>
          <w:szCs w:val="21"/>
          <w:u w:val="single"/>
        </w:rPr>
        <w:t xml:space="preserve">（    ）</w:t>
      </w:r>
      <w:r>
        <w:rPr>
          <w:rStyle w:val="1121"/>
          <w:rFonts w:hint="eastAsia" w:ascii="微软雅黑" w:hAnsi="微软雅黑" w:eastAsia="微软雅黑" w:cs="微软雅黑"/>
          <w:b w:val="0"/>
          <w:bCs w:val="0"/>
          <w:sz w:val="21"/>
          <w:szCs w:val="21"/>
        </w:rPr>
        <w:t xml:space="preserve">行业；承建（承接）企业为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（企业名称）</w:t>
      </w:r>
      <w:r>
        <w:rPr>
          <w:rStyle w:val="1121"/>
          <w:rFonts w:hint="eastAsia" w:ascii="微软雅黑" w:hAnsi="微软雅黑" w:eastAsia="微软雅黑" w:cs="微软雅黑"/>
          <w:b w:val="0"/>
          <w:bCs w:val="0"/>
          <w:sz w:val="21"/>
          <w:szCs w:val="21"/>
        </w:rPr>
        <w:t xml:space="preserve">，从业人员</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人，营业收入为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万元，资产总额为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万元</w:t>
      </w:r>
      <w:r>
        <w:rPr>
          <w:rStyle w:val="1121"/>
          <w:rFonts w:hint="eastAsia" w:ascii="微软雅黑" w:hAnsi="微软雅黑" w:eastAsia="微软雅黑" w:cs="微软雅黑"/>
          <w:b w:val="0"/>
          <w:bCs w:val="0"/>
          <w:sz w:val="21"/>
          <w:szCs w:val="21"/>
          <w:vertAlign w:val="superscript"/>
        </w:rPr>
        <w:t xml:space="preserve">1</w:t>
      </w:r>
      <w:r>
        <w:rPr>
          <w:rStyle w:val="1121"/>
          <w:rFonts w:hint="eastAsia" w:ascii="微软雅黑" w:hAnsi="微软雅黑" w:eastAsia="微软雅黑" w:cs="微软雅黑"/>
          <w:b w:val="0"/>
          <w:bCs w:val="0"/>
          <w:sz w:val="21"/>
          <w:szCs w:val="21"/>
        </w:rPr>
        <w:t xml:space="preserve">，属于</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i/>
          <w:iCs/>
          <w:sz w:val="21"/>
          <w:szCs w:val="21"/>
          <w:u w:val="single"/>
        </w:rPr>
        <w:t xml:space="preserve">中型企业、小型企业、微型企业</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sz w:val="21"/>
          <w:szCs w:val="21"/>
        </w:rPr>
        <w:t xml:space="preserve">；</w:t>
      </w:r>
      <w:r>
        <w:rPr>
          <w:rStyle w:val="1121"/>
          <w:rFonts w:ascii="微软雅黑" w:hAnsi="微软雅黑" w:eastAsia="微软雅黑" w:cs="微软雅黑"/>
          <w:b w:val="0"/>
          <w:bCs w:val="0"/>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2.</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标的名称</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，属于</w:t>
      </w:r>
      <w:r>
        <w:rPr>
          <w:rStyle w:val="1121"/>
          <w:rFonts w:hint="eastAsia" w:ascii="微软雅黑" w:hAnsi="微软雅黑" w:eastAsia="微软雅黑" w:cs="微软雅黑"/>
          <w:b w:val="0"/>
          <w:bCs w:val="0"/>
          <w:i/>
          <w:iCs/>
          <w:sz w:val="21"/>
          <w:szCs w:val="21"/>
          <w:u w:val="single"/>
        </w:rPr>
        <w:t xml:space="preserve">（       ）</w:t>
      </w:r>
      <w:r>
        <w:rPr>
          <w:rStyle w:val="1121"/>
          <w:rFonts w:hint="eastAsia" w:ascii="微软雅黑" w:hAnsi="微软雅黑" w:eastAsia="微软雅黑" w:cs="微软雅黑"/>
          <w:b w:val="0"/>
          <w:bCs w:val="0"/>
          <w:sz w:val="21"/>
          <w:szCs w:val="21"/>
        </w:rPr>
        <w:t xml:space="preserve">行业；承建（承接）企业为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i/>
          <w:iCs/>
          <w:sz w:val="21"/>
          <w:szCs w:val="21"/>
          <w:u w:val="single"/>
        </w:rPr>
        <w:t xml:space="preserve">（企业名称）</w:t>
      </w:r>
      <w:r>
        <w:rPr>
          <w:rStyle w:val="1121"/>
          <w:rFonts w:hint="eastAsia" w:ascii="微软雅黑" w:hAnsi="微软雅黑" w:eastAsia="微软雅黑" w:cs="微软雅黑"/>
          <w:b w:val="0"/>
          <w:bCs w:val="0"/>
          <w:sz w:val="21"/>
          <w:szCs w:val="21"/>
        </w:rPr>
        <w:t xml:space="preserve">，从业人员</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人，营业收入为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万元，资产总额为</w:t>
      </w:r>
      <w:r>
        <w:rPr>
          <w:rStyle w:val="1121"/>
          <w:rFonts w:hint="eastAsia" w:ascii="微软雅黑" w:hAnsi="微软雅黑" w:eastAsia="微软雅黑" w:cs="微软雅黑"/>
          <w:b w:val="0"/>
          <w:bCs w:val="0"/>
          <w:sz w:val="21"/>
          <w:szCs w:val="21"/>
          <w:u w:val="single"/>
        </w:rPr>
        <w:t xml:space="preserve">     </w:t>
      </w:r>
      <w:r>
        <w:rPr>
          <w:rStyle w:val="1121"/>
          <w:rFonts w:hint="eastAsia" w:ascii="微软雅黑" w:hAnsi="微软雅黑" w:eastAsia="微软雅黑" w:cs="微软雅黑"/>
          <w:b w:val="0"/>
          <w:bCs w:val="0"/>
          <w:sz w:val="21"/>
          <w:szCs w:val="21"/>
        </w:rPr>
        <w:t xml:space="preserve">万元</w:t>
      </w:r>
      <w:r>
        <w:rPr>
          <w:rStyle w:val="1121"/>
          <w:rFonts w:hint="eastAsia" w:ascii="微软雅黑" w:hAnsi="微软雅黑" w:eastAsia="微软雅黑" w:cs="微软雅黑"/>
          <w:b w:val="0"/>
          <w:bCs w:val="0"/>
          <w:sz w:val="21"/>
          <w:szCs w:val="21"/>
          <w:vertAlign w:val="superscript"/>
        </w:rPr>
        <w:t xml:space="preserve">1</w:t>
      </w:r>
      <w:r>
        <w:rPr>
          <w:rStyle w:val="1121"/>
          <w:rFonts w:hint="eastAsia" w:ascii="微软雅黑" w:hAnsi="微软雅黑" w:eastAsia="微软雅黑" w:cs="微软雅黑"/>
          <w:b w:val="0"/>
          <w:bCs w:val="0"/>
          <w:sz w:val="21"/>
          <w:szCs w:val="21"/>
        </w:rPr>
        <w:t xml:space="preserve">，属于</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i/>
          <w:iCs/>
          <w:sz w:val="21"/>
          <w:szCs w:val="21"/>
          <w:u w:val="single"/>
        </w:rPr>
        <w:t xml:space="preserve">中型企业、小型企业、微型企业</w:t>
      </w:r>
      <w:r>
        <w:rPr>
          <w:rStyle w:val="1121"/>
          <w:rFonts w:hint="eastAsia" w:ascii="微软雅黑" w:hAnsi="微软雅黑" w:eastAsia="微软雅黑" w:cs="微软雅黑"/>
          <w:b w:val="0"/>
          <w:bCs w:val="0"/>
          <w:sz w:val="21"/>
          <w:szCs w:val="21"/>
          <w:u w:val="single"/>
        </w:rPr>
        <w:t xml:space="preserve">）</w:t>
      </w:r>
      <w:r>
        <w:rPr>
          <w:rStyle w:val="1121"/>
          <w:rFonts w:hint="eastAsia" w:ascii="微软雅黑" w:hAnsi="微软雅黑" w:eastAsia="微软雅黑" w:cs="微软雅黑"/>
          <w:b w:val="0"/>
          <w:bCs w:val="0"/>
          <w:sz w:val="21"/>
          <w:szCs w:val="21"/>
        </w:rPr>
        <w:t xml:space="preserve">；</w:t>
      </w:r>
      <w:r>
        <w:rPr>
          <w:rStyle w:val="1121"/>
          <w:rFonts w:ascii="微软雅黑" w:hAnsi="微软雅黑" w:eastAsia="微软雅黑" w:cs="微软雅黑"/>
          <w:b w:val="0"/>
          <w:bCs w:val="0"/>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w:t>
      </w:r>
      <w:r>
        <w:rPr>
          <w:rStyle w:val="1121"/>
          <w:rFonts w:ascii="微软雅黑" w:hAnsi="微软雅黑" w:eastAsia="微软雅黑" w:cs="微软雅黑"/>
          <w:b w:val="0"/>
          <w:bCs w:val="0"/>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以上企业，不属于大企业的分支机构，不存在控股股东为大企业的情形，也不存在与大企业的负责人为同一人的情形。</w:t>
      </w:r>
      <w:r>
        <w:rPr>
          <w:rStyle w:val="1121"/>
          <w:rFonts w:ascii="微软雅黑" w:hAnsi="微软雅黑" w:eastAsia="微软雅黑" w:cs="微软雅黑"/>
          <w:b w:val="0"/>
          <w:bCs w:val="0"/>
          <w:sz w:val="21"/>
          <w:szCs w:val="21"/>
        </w:rPr>
      </w:r>
      <w:r/>
    </w:p>
    <w:p>
      <w:pPr>
        <w:pStyle w:val="1114"/>
        <w:ind w:firstLine="420"/>
        <w:spacing w:before="0" w:beforeAutospacing="0" w:after="0" w:afterAutospacing="0" w:line="440" w:lineRule="exact"/>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本企业对上述声明内容的真实性负责。如有虚假，将依法承担相应责任。</w:t>
      </w:r>
      <w:r>
        <w:rPr>
          <w:rStyle w:val="1121"/>
          <w:rFonts w:ascii="微软雅黑" w:hAnsi="微软雅黑" w:eastAsia="微软雅黑" w:cs="微软雅黑"/>
          <w:b w:val="0"/>
          <w:bCs w:val="0"/>
          <w:sz w:val="21"/>
          <w:szCs w:val="21"/>
        </w:rPr>
      </w:r>
      <w:r/>
    </w:p>
    <w:p>
      <w:pPr>
        <w:pStyle w:val="1114"/>
        <w:ind w:firstLine="5460"/>
        <w:spacing w:before="0" w:beforeAutospacing="0" w:after="0" w:afterAutospacing="0"/>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企业名称(盖章)：</w:t>
      </w:r>
      <w:r>
        <w:rPr>
          <w:rStyle w:val="1121"/>
          <w:rFonts w:ascii="微软雅黑" w:hAnsi="微软雅黑" w:eastAsia="微软雅黑" w:cs="微软雅黑"/>
          <w:b w:val="0"/>
          <w:bCs w:val="0"/>
          <w:sz w:val="21"/>
          <w:szCs w:val="21"/>
        </w:rPr>
      </w:r>
      <w:r/>
    </w:p>
    <w:p>
      <w:pPr>
        <w:pStyle w:val="1114"/>
        <w:ind w:firstLine="5460"/>
        <w:spacing w:before="0" w:beforeAutospacing="0" w:after="0" w:afterAutospacing="0"/>
        <w:rPr>
          <w:rStyle w:val="1121"/>
          <w:rFonts w:ascii="微软雅黑" w:hAnsi="微软雅黑" w:eastAsia="微软雅黑" w:cs="微软雅黑"/>
          <w:b w:val="0"/>
          <w:bCs w:val="0"/>
          <w:sz w:val="21"/>
          <w:szCs w:val="21"/>
        </w:rPr>
      </w:pPr>
      <w:r>
        <w:rPr>
          <w:rStyle w:val="1121"/>
          <w:rFonts w:hint="eastAsia" w:ascii="微软雅黑" w:hAnsi="微软雅黑" w:eastAsia="微软雅黑" w:cs="微软雅黑"/>
          <w:b w:val="0"/>
          <w:bCs w:val="0"/>
          <w:sz w:val="21"/>
          <w:szCs w:val="21"/>
        </w:rPr>
        <w:t xml:space="preserve">日期：</w:t>
      </w:r>
      <w:r>
        <w:rPr>
          <w:rStyle w:val="1121"/>
          <w:rFonts w:ascii="微软雅黑" w:hAnsi="微软雅黑" w:eastAsia="微软雅黑" w:cs="微软雅黑"/>
          <w:b w:val="0"/>
          <w:bCs w:val="0"/>
          <w:sz w:val="21"/>
          <w:szCs w:val="21"/>
        </w:rPr>
      </w:r>
      <w:r/>
    </w:p>
    <w:p>
      <w:pPr>
        <w:pStyle w:val="1114"/>
        <w:spacing w:before="0" w:beforeAutospacing="0" w:after="0" w:afterAutospacing="0"/>
        <w:rPr>
          <w:rStyle w:val="1121"/>
          <w:rFonts w:ascii="微软雅黑" w:hAnsi="微软雅黑" w:eastAsia="微软雅黑" w:cs="微软雅黑"/>
          <w:b w:val="0"/>
          <w:bCs w:val="0"/>
          <w:sz w:val="21"/>
          <w:szCs w:val="21"/>
        </w:rPr>
      </w:pPr>
      <w:r>
        <w:rPr>
          <w:rStyle w:val="1121"/>
          <w:rFonts w:ascii="微软雅黑" w:hAnsi="微软雅黑" w:eastAsia="微软雅黑" w:cs="微软雅黑"/>
          <w:b w:val="0"/>
          <w:bCs w:val="0"/>
          <w:sz w:val="21"/>
          <w:szCs w:val="21"/>
        </w:rPr>
      </w:r>
      <w:r/>
    </w:p>
    <w:p>
      <w:pPr>
        <w:pStyle w:val="1114"/>
        <w:spacing w:before="0" w:beforeAutospacing="0" w:after="0" w:afterAutospacing="0"/>
        <w:rPr>
          <w:rStyle w:val="1121"/>
          <w:rFonts w:ascii="微软雅黑" w:hAnsi="微软雅黑" w:eastAsia="微软雅黑" w:cs="微软雅黑"/>
          <w:b w:val="0"/>
          <w:bCs w:val="0"/>
          <w:sz w:val="18"/>
          <w:szCs w:val="18"/>
        </w:rPr>
      </w:pPr>
      <w:r>
        <w:rPr>
          <w:rStyle w:val="1121"/>
          <w:rFonts w:hint="eastAsia" w:ascii="微软雅黑" w:hAnsi="微软雅黑" w:eastAsia="微软雅黑" w:cs="微软雅黑"/>
          <w:b w:val="0"/>
          <w:bCs w:val="0"/>
          <w:sz w:val="18"/>
          <w:szCs w:val="18"/>
        </w:rPr>
        <w:t xml:space="preserve">注：①从业人员、营业收入、资产总额填报上一年度数据，无上一年度数据的新成立企业可不填报。</w:t>
      </w:r>
      <w:r>
        <w:rPr>
          <w:rStyle w:val="1121"/>
          <w:rFonts w:ascii="微软雅黑" w:hAnsi="微软雅黑" w:eastAsia="微软雅黑" w:cs="微软雅黑"/>
          <w:b w:val="0"/>
          <w:bCs w:val="0"/>
          <w:sz w:val="18"/>
          <w:szCs w:val="18"/>
        </w:rPr>
      </w:r>
      <w:r/>
    </w:p>
    <w:p>
      <w:pPr>
        <w:pStyle w:val="1063"/>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pStyle w:val="1063"/>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1063"/>
        <w:rPr>
          <w:rFonts w:hint="eastAsia" w:ascii="微软雅黑" w:hAnsi="微软雅黑" w:cs="微软雅黑"/>
        </w:rPr>
      </w:pPr>
      <w:r>
        <w:rPr>
          <w:rFonts w:hint="eastAsia" w:ascii="微软雅黑" w:hAnsi="微软雅黑" w:cs="微软雅黑"/>
        </w:rPr>
      </w:r>
      <w:r/>
    </w:p>
    <w:p>
      <w:pPr>
        <w:pStyle w:val="1063"/>
        <w:rPr>
          <w:rFonts w:hint="eastAsia" w:ascii="微软雅黑" w:hAnsi="微软雅黑" w:cs="微软雅黑"/>
        </w:rPr>
      </w:pPr>
      <w:r>
        <w:rPr>
          <w:rFonts w:hint="eastAsia" w:ascii="微软雅黑" w:hAnsi="微软雅黑" w:cs="微软雅黑"/>
        </w:rPr>
      </w:r>
      <w:r/>
    </w:p>
    <w:p>
      <w:pPr>
        <w:pStyle w:val="1063"/>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362" w:name="_Toc17448"/>
      <w:r/>
      <w:bookmarkStart w:id="363" w:name="_Toc25461"/>
      <w:r/>
      <w:bookmarkStart w:id="364"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362"/>
      <w:r>
        <w:rPr>
          <w:rFonts w:ascii="微软雅黑" w:hAnsi="微软雅黑" w:cs="微软雅黑"/>
          <w:b/>
          <w:bCs/>
          <w:szCs w:val="21"/>
        </w:rPr>
      </w:r>
      <w:r/>
    </w:p>
    <w:p>
      <w:pPr>
        <w:pStyle w:val="1084"/>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ascii="微软雅黑" w:hAnsi="微软雅黑" w:eastAsia="微软雅黑" w:cs="微软雅黑"/>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63"/>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707" w:type="dxa"/>
            <w:vAlign w:val="top"/>
            <w:textDirection w:val="lrTb"/>
            <w:noWrap w:val="false"/>
          </w:tcPr>
          <w:p>
            <w:pPr>
              <w:pStyle w:val="1063"/>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063"/>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063"/>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063"/>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063"/>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683" w:type="dxa"/>
            <w:vAlign w:val="center"/>
            <w:textDirection w:val="lrTb"/>
            <w:noWrap w:val="false"/>
          </w:tcPr>
          <w:p>
            <w:pPr>
              <w:pStyle w:val="1168"/>
              <w:jc w:val="left"/>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rPr>
                <w:rFonts w:hint="eastAsia" w:ascii="微软雅黑" w:hAnsi="微软雅黑" w:eastAsia="微软雅黑" w:cs="微软雅黑"/>
                <w:b/>
                <w:szCs w:val="21"/>
              </w:rPr>
            </w:r>
            <w:r/>
          </w:p>
        </w:tc>
        <w:tc>
          <w:tcPr>
            <w:tcW w:w="1707" w:type="dxa"/>
            <w:vAlign w:val="top"/>
            <w:textDirection w:val="lrTb"/>
            <w:noWrap w:val="false"/>
          </w:tcPr>
          <w:p>
            <w:pPr>
              <w:pStyle w:val="1168"/>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147"/>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r>
            <w:r/>
          </w:p>
          <w:p>
            <w:pPr>
              <w:pStyle w:val="1168"/>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t xml:space="preserve">零售业</w:t>
            </w:r>
            <w:r>
              <w:rPr>
                <w:rFonts w:hint="eastAsia" w:ascii="微软雅黑" w:hAnsi="微软雅黑" w:eastAsia="微软雅黑" w:cs="微软雅黑"/>
                <w:b/>
                <w:bCs/>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bCs/>
                <w:szCs w:val="21"/>
              </w:rPr>
            </w:pPr>
            <w:r>
              <w:rPr>
                <w:rFonts w:hint="eastAsia" w:ascii="微软雅黑" w:hAnsi="微软雅黑" w:cs="微软雅黑"/>
                <w:b/>
                <w:bCs/>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2"/>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w:t>
            </w:r>
            <w:r>
              <w:rPr>
                <w:rFonts w:hint="eastAsia" w:ascii="微软雅黑" w:hAnsi="微软雅黑" w:eastAsia="微软雅黑" w:cs="微软雅黑"/>
                <w:b/>
                <w:szCs w:val="21"/>
              </w:rPr>
              <w:t xml:space="preserve">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4"/>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168"/>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68"/>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63"/>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textDirection w:val="lrTb"/>
            <w:noWrap w:val="false"/>
          </w:tcPr>
          <w:p>
            <w:pPr>
              <w:pStyle w:val="1168"/>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rPr>
                <w:rFonts w:hint="eastAsia" w:ascii="微软雅黑" w:hAnsi="微软雅黑" w:eastAsia="微软雅黑" w:cs="微软雅黑"/>
                <w:b/>
                <w:szCs w:val="21"/>
              </w:rPr>
            </w:r>
            <w:r/>
          </w:p>
        </w:tc>
        <w:tc>
          <w:tcPr>
            <w:tcW w:w="170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68"/>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bl>
    <w:p>
      <w:pPr>
        <w:pStyle w:val="1073"/>
        <w:ind w:firstLine="376"/>
        <w:spacing w:line="400" w:lineRule="exact"/>
        <w:rPr>
          <w:rFonts w:hint="eastAsia"/>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rPr>
      </w:r>
      <w:r/>
    </w:p>
    <w:p>
      <w:pPr>
        <w:pStyle w:val="1066"/>
        <w:spacing w:line="420" w:lineRule="exact"/>
        <w:rPr>
          <w:rFonts w:hint="eastAsia" w:ascii="微软雅黑" w:hAnsi="微软雅黑" w:cs="微软雅黑"/>
          <w:bCs w:val="0"/>
          <w:sz w:val="24"/>
          <w:szCs w:val="24"/>
        </w:rPr>
      </w:pPr>
      <w:r/>
      <w:bookmarkStart w:id="365" w:name="_Toc9330"/>
      <w:r/>
      <w:bookmarkStart w:id="366" w:name="_Toc7316"/>
      <w:r>
        <w:rPr>
          <w:rFonts w:hint="eastAsia" w:ascii="微软雅黑" w:hAnsi="微软雅黑" w:cs="微软雅黑"/>
          <w:bCs w:val="0"/>
          <w:sz w:val="24"/>
          <w:szCs w:val="24"/>
        </w:rPr>
        <w:t xml:space="preserve">残疾人福利性单位声明函</w:t>
      </w:r>
      <w:bookmarkEnd w:id="363"/>
      <w:r/>
      <w:bookmarkEnd w:id="364"/>
      <w:r/>
      <w:bookmarkEnd w:id="365"/>
      <w:r/>
      <w:bookmarkEnd w:id="366"/>
      <w:r>
        <w:rPr>
          <w:rFonts w:hint="eastAsia" w:ascii="微软雅黑" w:hAnsi="微软雅黑" w:cs="微软雅黑"/>
          <w:bCs w:val="0"/>
          <w:sz w:val="24"/>
          <w:szCs w:val="24"/>
        </w:rPr>
      </w:r>
      <w:r/>
    </w:p>
    <w:p>
      <w:pPr>
        <w:pStyle w:val="1063"/>
        <w:rPr>
          <w:rFonts w:hint="eastAsia"/>
          <w:b/>
          <w:bCs/>
          <w:color w:val="ff0000"/>
          <w:sz w:val="28"/>
          <w:szCs w:val="28"/>
        </w:rPr>
      </w:pPr>
      <w:r>
        <w:rPr>
          <w:rFonts w:hint="eastAsia"/>
          <w:b/>
          <w:bCs/>
          <w:color w:val="ff0000"/>
          <w:sz w:val="28"/>
          <w:szCs w:val="28"/>
        </w:rPr>
        <w:t xml:space="preserve">（如不属于残疾人福利性单位，则无需提供此声明函）</w:t>
      </w:r>
      <w:r>
        <w:rPr>
          <w:rFonts w:hint="eastAsia"/>
          <w:b/>
          <w:bCs/>
          <w:color w:val="ff0000"/>
          <w:sz w:val="28"/>
          <w:szCs w:val="28"/>
        </w:rPr>
      </w:r>
      <w:r/>
    </w:p>
    <w:p>
      <w:pPr>
        <w:pStyle w:val="1063"/>
        <w:rPr>
          <w:rFonts w:hint="eastAsia"/>
        </w:rPr>
      </w:pPr>
      <w:r>
        <w:rPr>
          <w:rFonts w:hint="eastAsia"/>
        </w:rPr>
      </w:r>
      <w:r/>
    </w:p>
    <w:p>
      <w:pPr>
        <w:pStyle w:val="1114"/>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111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111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111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111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Calibri Light">
    <w:panose1 w:val="020F0302020204030204"/>
  </w:font>
  <w:font w:name="华文细黑">
    <w:panose1 w:val="02010600040101010101"/>
  </w:font>
  <w:font w:name="Courier New">
    <w:panose1 w:val="02070309020205020404"/>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rPr>
                              <w:rFonts w:hint="eastAsia"/>
                              <w:lang w:val="en-US" w:eastAsia="zh-CN"/>
                            </w:rPr>
                            <w:t xml:space="preserve">55</w:t>
                          </w:r>
                          <w:r>
                            <w:t xml:space="preserve"> 页</w:t>
                          </w:r>
                          <w:r/>
                        </w:p>
                        <w:p>
                          <w:pPr>
                            <w:pStyle w:val="106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rPr>
                        <w:rFonts w:hint="eastAsia"/>
                        <w:lang w:val="en-US" w:eastAsia="zh-CN"/>
                      </w:rPr>
                      <w:t xml:space="preserve">55</w:t>
                    </w:r>
                    <w:r>
                      <w:t xml:space="preserve"> 页</w:t>
                    </w:r>
                    <w:r/>
                  </w:p>
                  <w:p>
                    <w:pPr>
                      <w:pStyle w:val="1063"/>
                    </w:pPr>
                    <w:r/>
                    <w:r/>
                  </w:p>
                </w:txbxContent>
              </v:textbox>
            </v:shape>
          </w:pict>
        </mc:Fallback>
      </mc:AlternateContent>
    </w: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lang w:val="en-US" w:eastAsia="zh-CN"/>
                            </w:rPr>
                            <w:t xml:space="preserve">55</w:t>
                          </w:r>
                          <w:r>
                            <w:t xml:space="preserve"> 页</w:t>
                          </w:r>
                          <w:r/>
                        </w:p>
                        <w:p>
                          <w:pPr>
                            <w:pStyle w:val="106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lang w:val="en-US" w:eastAsia="zh-CN"/>
                      </w:rPr>
                      <w:t xml:space="preserve">55</w:t>
                    </w:r>
                    <w:r>
                      <w:t xml:space="preserve"> 页</w:t>
                    </w:r>
                    <w:r/>
                  </w:p>
                  <w:p>
                    <w:pPr>
                      <w:pStyle w:val="106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w:t>
                          </w:r>
                          <w:r>
                            <w:rPr>
                              <w:rFonts w:hint="eastAsia"/>
                              <w:lang w:val="en-US" w:eastAsia="zh-CN"/>
                            </w:rPr>
                            <w:t xml:space="preserve">55</w:t>
                          </w:r>
                          <w:r>
                            <w:t xml:space="preserve"> 页</w:t>
                          </w:r>
                          <w:r/>
                        </w:p>
                        <w:p>
                          <w:pPr>
                            <w:pStyle w:val="106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w:t>
                    </w:r>
                    <w:r>
                      <w:rPr>
                        <w:rFonts w:hint="eastAsia"/>
                        <w:lang w:val="en-US" w:eastAsia="zh-CN"/>
                      </w:rPr>
                      <w:t xml:space="preserve">55</w:t>
                    </w:r>
                    <w:r>
                      <w:t xml:space="preserve"> 页</w:t>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JSHC-2026040262B5</w:t>
    </w:r>
    <w:r>
      <w:rPr>
        <w:rFonts w:hint="eastAsia" w:ascii="微软雅黑" w:hAnsi="微软雅黑" w:cs="微软雅黑"/>
        <w:sz w:val="22"/>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widowControl/>
      <w:rPr>
        <w:rFonts w:hint="eastAsia"/>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JSHC-2026040262B5</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00"/>
      <w:isLgl w:val="false"/>
      <w:suff w:val="tab"/>
      <w:lvlText w:val=""/>
      <w:lvlJc w:val="left"/>
      <w:pPr>
        <w:pStyle w:val="1063"/>
        <w:ind w:left="360" w:hanging="360"/>
        <w:tabs>
          <w:tab w:val="num" w:pos="360" w:leader="none"/>
        </w:tabs>
      </w:pPr>
      <w:rPr>
        <w:rFonts w:ascii="Symbol" w:hAnsi="Symbol"/>
      </w:rPr>
    </w:lvl>
    <w:lvl w:ilvl="1">
      <w:start w:val="1"/>
      <w:numFmt w:val="bullet"/>
      <w:isLgl w:val="false"/>
      <w:suff w:val="tab"/>
      <w:lvlText w:val="o"/>
      <w:lvlJc w:val="left"/>
      <w:pPr>
        <w:pStyle w:val="1063"/>
        <w:ind w:left="1080" w:hanging="360"/>
      </w:pPr>
      <w:rPr>
        <w:rFonts w:ascii="Courier New" w:hAnsi="Courier New" w:cs="Courier New"/>
      </w:rPr>
    </w:lvl>
    <w:lvl w:ilvl="2">
      <w:start w:val="1"/>
      <w:numFmt w:val="bullet"/>
      <w:isLgl w:val="false"/>
      <w:suff w:val="tab"/>
      <w:lvlText w:val=""/>
      <w:lvlJc w:val="left"/>
      <w:pPr>
        <w:pStyle w:val="1063"/>
        <w:ind w:left="1800" w:hanging="360"/>
      </w:pPr>
      <w:rPr>
        <w:rFonts w:ascii="Wingdings" w:hAnsi="Wingdings"/>
      </w:rPr>
    </w:lvl>
    <w:lvl w:ilvl="3">
      <w:start w:val="1"/>
      <w:numFmt w:val="bullet"/>
      <w:isLgl w:val="false"/>
      <w:suff w:val="tab"/>
      <w:lvlText w:val=""/>
      <w:lvlJc w:val="left"/>
      <w:pPr>
        <w:pStyle w:val="1063"/>
        <w:ind w:left="2520" w:hanging="360"/>
      </w:pPr>
      <w:rPr>
        <w:rFonts w:ascii="Symbol" w:hAnsi="Symbol"/>
      </w:rPr>
    </w:lvl>
    <w:lvl w:ilvl="4">
      <w:start w:val="1"/>
      <w:numFmt w:val="bullet"/>
      <w:isLgl w:val="false"/>
      <w:suff w:val="tab"/>
      <w:lvlText w:val="o"/>
      <w:lvlJc w:val="left"/>
      <w:pPr>
        <w:pStyle w:val="1063"/>
        <w:ind w:left="3240" w:hanging="360"/>
      </w:pPr>
      <w:rPr>
        <w:rFonts w:ascii="Courier New" w:hAnsi="Courier New" w:cs="Courier New"/>
      </w:rPr>
    </w:lvl>
    <w:lvl w:ilvl="5">
      <w:start w:val="1"/>
      <w:numFmt w:val="bullet"/>
      <w:isLgl w:val="false"/>
      <w:suff w:val="tab"/>
      <w:lvlText w:val=""/>
      <w:lvlJc w:val="left"/>
      <w:pPr>
        <w:pStyle w:val="1063"/>
        <w:ind w:left="3960" w:hanging="360"/>
      </w:pPr>
      <w:rPr>
        <w:rFonts w:ascii="Wingdings" w:hAnsi="Wingdings"/>
      </w:rPr>
    </w:lvl>
    <w:lvl w:ilvl="6">
      <w:start w:val="1"/>
      <w:numFmt w:val="bullet"/>
      <w:isLgl w:val="false"/>
      <w:suff w:val="tab"/>
      <w:lvlText w:val=""/>
      <w:lvlJc w:val="left"/>
      <w:pPr>
        <w:pStyle w:val="1063"/>
        <w:ind w:left="4680" w:hanging="360"/>
      </w:pPr>
      <w:rPr>
        <w:rFonts w:ascii="Symbol" w:hAnsi="Symbol"/>
      </w:rPr>
    </w:lvl>
    <w:lvl w:ilvl="7">
      <w:start w:val="1"/>
      <w:numFmt w:val="bullet"/>
      <w:isLgl w:val="false"/>
      <w:suff w:val="tab"/>
      <w:lvlText w:val="o"/>
      <w:lvlJc w:val="left"/>
      <w:pPr>
        <w:pStyle w:val="1063"/>
        <w:ind w:left="5400" w:hanging="360"/>
      </w:pPr>
      <w:rPr>
        <w:rFonts w:ascii="Courier New" w:hAnsi="Courier New" w:cs="Courier New"/>
      </w:rPr>
    </w:lvl>
    <w:lvl w:ilvl="8">
      <w:start w:val="1"/>
      <w:numFmt w:val="bullet"/>
      <w:isLgl w:val="false"/>
      <w:suff w:val="tab"/>
      <w:lvlText w:val=""/>
      <w:lvlJc w:val="left"/>
      <w:pPr>
        <w:pStyle w:val="1063"/>
        <w:ind w:left="6120" w:hanging="360"/>
      </w:pPr>
      <w:rPr>
        <w:rFonts w:ascii="Wingdings" w:hAnsi="Wingdings"/>
      </w:rPr>
    </w:lvl>
  </w:abstractNum>
  <w:abstractNum w:abstractNumId="8">
    <w:multiLevelType w:val="hybridMultilevel"/>
    <w:lvl w:ilvl="0">
      <w:start w:val="6"/>
      <w:numFmt w:val="chineseCounting"/>
      <w:isLgl w:val="false"/>
      <w:suff w:val="nothing"/>
      <w:lvlText w:val="%1、"/>
      <w:lvlJc w:val="left"/>
      <w:pPr>
        <w:pStyle w:val="1063"/>
      </w:pPr>
      <w:rPr>
        <w:rFonts w:hint="eastAsia"/>
      </w:rPr>
    </w:lvl>
    <w:lvl w:ilvl="1">
      <w:start w:val="1"/>
      <w:numFmt w:val="bullet"/>
      <w:isLgl w:val="false"/>
      <w:suff w:val="tab"/>
      <w:lvlText w:val="o"/>
      <w:lvlJc w:val="left"/>
      <w:pPr>
        <w:pStyle w:val="1063"/>
        <w:ind w:left="1440" w:hanging="360"/>
      </w:pPr>
      <w:rPr>
        <w:rFonts w:ascii="Courier New" w:hAnsi="Courier New" w:eastAsia="Courier New" w:cs="Courier New"/>
      </w:rPr>
    </w:lvl>
    <w:lvl w:ilvl="2">
      <w:start w:val="1"/>
      <w:numFmt w:val="bullet"/>
      <w:isLgl w:val="false"/>
      <w:suff w:val="tab"/>
      <w:lvlText w:val="§"/>
      <w:lvlJc w:val="left"/>
      <w:pPr>
        <w:pStyle w:val="1063"/>
        <w:ind w:left="2160" w:hanging="360"/>
      </w:pPr>
      <w:rPr>
        <w:rFonts w:ascii="Wingdings" w:hAnsi="Wingdings" w:eastAsia="Wingdings" w:cs="Wingdings"/>
      </w:rPr>
    </w:lvl>
    <w:lvl w:ilvl="3">
      <w:start w:val="1"/>
      <w:numFmt w:val="bullet"/>
      <w:isLgl w:val="false"/>
      <w:suff w:val="tab"/>
      <w:lvlText w:val="·"/>
      <w:lvlJc w:val="left"/>
      <w:pPr>
        <w:pStyle w:val="1063"/>
        <w:ind w:left="2880" w:hanging="360"/>
      </w:pPr>
      <w:rPr>
        <w:rFonts w:ascii="Symbol" w:hAnsi="Symbol" w:eastAsia="Symbol" w:cs="Symbol"/>
      </w:rPr>
    </w:lvl>
    <w:lvl w:ilvl="4">
      <w:start w:val="1"/>
      <w:numFmt w:val="bullet"/>
      <w:isLgl w:val="false"/>
      <w:suff w:val="tab"/>
      <w:lvlText w:val="o"/>
      <w:lvlJc w:val="left"/>
      <w:pPr>
        <w:pStyle w:val="1063"/>
        <w:ind w:left="3600" w:hanging="360"/>
      </w:pPr>
      <w:rPr>
        <w:rFonts w:ascii="Courier New" w:hAnsi="Courier New" w:eastAsia="Courier New" w:cs="Courier New"/>
      </w:rPr>
    </w:lvl>
    <w:lvl w:ilvl="5">
      <w:start w:val="1"/>
      <w:numFmt w:val="bullet"/>
      <w:isLgl w:val="false"/>
      <w:suff w:val="tab"/>
      <w:lvlText w:val="§"/>
      <w:lvlJc w:val="left"/>
      <w:pPr>
        <w:pStyle w:val="1063"/>
        <w:ind w:left="4320" w:hanging="360"/>
      </w:pPr>
      <w:rPr>
        <w:rFonts w:ascii="Wingdings" w:hAnsi="Wingdings" w:eastAsia="Wingdings" w:cs="Wingdings"/>
      </w:rPr>
    </w:lvl>
    <w:lvl w:ilvl="6">
      <w:start w:val="1"/>
      <w:numFmt w:val="bullet"/>
      <w:isLgl w:val="false"/>
      <w:suff w:val="tab"/>
      <w:lvlText w:val="·"/>
      <w:lvlJc w:val="left"/>
      <w:pPr>
        <w:pStyle w:val="1063"/>
        <w:ind w:left="5040" w:hanging="360"/>
      </w:pPr>
      <w:rPr>
        <w:rFonts w:ascii="Symbol" w:hAnsi="Symbol" w:eastAsia="Symbol" w:cs="Symbol"/>
      </w:rPr>
    </w:lvl>
    <w:lvl w:ilvl="7">
      <w:start w:val="1"/>
      <w:numFmt w:val="bullet"/>
      <w:isLgl w:val="false"/>
      <w:suff w:val="tab"/>
      <w:lvlText w:val="o"/>
      <w:lvlJc w:val="left"/>
      <w:pPr>
        <w:pStyle w:val="1063"/>
        <w:ind w:left="5760" w:hanging="360"/>
      </w:pPr>
      <w:rPr>
        <w:rFonts w:ascii="Courier New" w:hAnsi="Courier New" w:eastAsia="Courier New" w:cs="Courier New"/>
      </w:rPr>
    </w:lvl>
    <w:lvl w:ilvl="8">
      <w:start w:val="1"/>
      <w:numFmt w:val="bullet"/>
      <w:isLgl w:val="false"/>
      <w:suff w:val="tab"/>
      <w:lvlText w:val="§"/>
      <w:lvlJc w:val="left"/>
      <w:pPr>
        <w:pStyle w:val="1063"/>
        <w:ind w:left="6480" w:hanging="360"/>
      </w:pPr>
      <w:rPr>
        <w:rFonts w:ascii="Wingdings" w:hAnsi="Wingdings" w:eastAsia="Wingdings" w:cs="Wingdings"/>
      </w:rPr>
    </w:lvl>
  </w:abstractNum>
  <w:abstractNum w:abstractNumId="9">
    <w:multiLevelType w:val="hybridMultilevel"/>
    <w:lvl w:ilvl="0">
      <w:start w:val="1"/>
      <w:numFmt w:val="decimal"/>
      <w:pStyle w:val="1207"/>
      <w:isLgl w:val="false"/>
      <w:suff w:val="tab"/>
      <w:lvlText w:val="%1."/>
      <w:lvlJc w:val="left"/>
      <w:pPr>
        <w:pStyle w:val="1063"/>
        <w:tabs>
          <w:tab w:val="num" w:pos="360" w:leader="none"/>
        </w:tabs>
      </w:pPr>
      <w:rPr>
        <w:rFonts w:hint="eastAsia"/>
      </w:rPr>
    </w:lvl>
    <w:lvl w:ilvl="1">
      <w:start w:val="1"/>
      <w:numFmt w:val="decimal"/>
      <w:pStyle w:val="1203"/>
      <w:isLgl w:val="false"/>
      <w:suff w:val="tab"/>
      <w:lvlText w:val="%1.%2"/>
      <w:lvlJc w:val="left"/>
      <w:pPr>
        <w:pStyle w:val="1063"/>
        <w:tabs>
          <w:tab w:val="num" w:pos="720" w:leader="none"/>
        </w:tabs>
      </w:pPr>
      <w:rPr>
        <w:rFonts w:hint="eastAsia"/>
        <w:b w:val="0"/>
        <w:bCs w:val="0"/>
        <w:i w:val="0"/>
        <w:iCs w:val="0"/>
      </w:rPr>
    </w:lvl>
    <w:lvl w:ilvl="2">
      <w:start w:val="1"/>
      <w:numFmt w:val="decimal"/>
      <w:pStyle w:val="1176"/>
      <w:isLgl w:val="false"/>
      <w:suff w:val="tab"/>
      <w:lvlText w:val="%1.%2.%3"/>
      <w:lvlJc w:val="left"/>
      <w:pPr>
        <w:pStyle w:val="1063"/>
        <w:tabs>
          <w:tab w:val="num" w:pos="720" w:leader="none"/>
        </w:tabs>
      </w:pPr>
      <w:rPr>
        <w:rFonts w:hint="eastAsia"/>
      </w:rPr>
    </w:lvl>
    <w:lvl w:ilvl="3">
      <w:start w:val="1"/>
      <w:numFmt w:val="decimal"/>
      <w:isLgl w:val="false"/>
      <w:suff w:val="tab"/>
      <w:lvlText w:val="%1.%2.%3.%4."/>
      <w:lvlJc w:val="left"/>
      <w:pPr>
        <w:pStyle w:val="1063"/>
        <w:ind w:left="851" w:hanging="851"/>
        <w:tabs>
          <w:tab w:val="num" w:pos="851" w:leader="none"/>
        </w:tabs>
      </w:pPr>
      <w:rPr>
        <w:rFonts w:hint="eastAsia"/>
      </w:rPr>
    </w:lvl>
    <w:lvl w:ilvl="4">
      <w:start w:val="1"/>
      <w:numFmt w:val="decimal"/>
      <w:isLgl w:val="false"/>
      <w:suff w:val="tab"/>
      <w:lvlText w:val="%1.%2.%3.%4.%5."/>
      <w:lvlJc w:val="left"/>
      <w:pPr>
        <w:pStyle w:val="1063"/>
        <w:ind w:left="992" w:hanging="992"/>
        <w:tabs>
          <w:tab w:val="num" w:pos="992" w:leader="none"/>
        </w:tabs>
      </w:pPr>
      <w:rPr>
        <w:rFonts w:hint="eastAsia"/>
      </w:rPr>
    </w:lvl>
    <w:lvl w:ilvl="5">
      <w:start w:val="1"/>
      <w:numFmt w:val="decimal"/>
      <w:isLgl w:val="false"/>
      <w:suff w:val="tab"/>
      <w:lvlText w:val="%1.%2.%3.%4.%5.%6."/>
      <w:lvlJc w:val="left"/>
      <w:pPr>
        <w:pStyle w:val="1063"/>
        <w:ind w:left="1134" w:hanging="1134"/>
        <w:tabs>
          <w:tab w:val="num" w:pos="1134" w:leader="none"/>
        </w:tabs>
      </w:pPr>
      <w:rPr>
        <w:rFonts w:hint="eastAsia"/>
      </w:rPr>
    </w:lvl>
    <w:lvl w:ilvl="6">
      <w:start w:val="1"/>
      <w:numFmt w:val="decimal"/>
      <w:isLgl w:val="false"/>
      <w:suff w:val="tab"/>
      <w:lvlText w:val="%1.%2.%3.%4.%5.%6.%7."/>
      <w:lvlJc w:val="left"/>
      <w:pPr>
        <w:pStyle w:val="1063"/>
        <w:ind w:left="1276" w:hanging="1276"/>
        <w:tabs>
          <w:tab w:val="num" w:pos="1276" w:leader="none"/>
        </w:tabs>
      </w:pPr>
      <w:rPr>
        <w:rFonts w:hint="eastAsia"/>
      </w:rPr>
    </w:lvl>
    <w:lvl w:ilvl="7">
      <w:start w:val="1"/>
      <w:numFmt w:val="decimal"/>
      <w:isLgl w:val="false"/>
      <w:suff w:val="tab"/>
      <w:lvlText w:val="%1.%2.%3.%4.%5.%6.%7.%8."/>
      <w:lvlJc w:val="left"/>
      <w:pPr>
        <w:pStyle w:val="1063"/>
        <w:ind w:left="1418" w:hanging="1418"/>
        <w:tabs>
          <w:tab w:val="num" w:pos="1418" w:leader="none"/>
        </w:tabs>
      </w:pPr>
      <w:rPr>
        <w:rFonts w:hint="eastAsia"/>
      </w:rPr>
    </w:lvl>
    <w:lvl w:ilvl="8">
      <w:start w:val="1"/>
      <w:numFmt w:val="decimal"/>
      <w:isLgl w:val="false"/>
      <w:suff w:val="tab"/>
      <w:lvlText w:val="%1.%2.%3.%4.%5.%6.%7.%8.%9."/>
      <w:lvlJc w:val="left"/>
      <w:pPr>
        <w:pStyle w:val="1063"/>
        <w:ind w:left="1559" w:hanging="1559"/>
        <w:tabs>
          <w:tab w:val="num" w:pos="1559" w:leader="none"/>
        </w:tabs>
      </w:pPr>
      <w:rPr>
        <w:rFonts w:hint="eastAsia"/>
      </w:rPr>
    </w:lvl>
  </w:abstractNum>
  <w:abstractNum w:abstractNumId="10">
    <w:multiLevelType w:val="hybridMultilevel"/>
    <w:lvl w:ilvl="0">
      <w:start w:val="1"/>
      <w:numFmt w:val="lowerLetter"/>
      <w:pStyle w:val="1079"/>
      <w:isLgl w:val="false"/>
      <w:suff w:val="tab"/>
      <w:lvlText w:val="%1)"/>
      <w:lvlJc w:val="left"/>
      <w:pPr>
        <w:pStyle w:val="1063"/>
        <w:ind w:left="990" w:hanging="360"/>
        <w:tabs>
          <w:tab w:val="num" w:pos="990" w:leader="none"/>
        </w:tabs>
      </w:pPr>
      <w:rPr>
        <w:rFonts w:hint="eastAsia"/>
      </w:rPr>
    </w:lvl>
    <w:lvl w:ilvl="1">
      <w:start w:val="1"/>
      <w:numFmt w:val="lowerLetter"/>
      <w:pStyle w:val="1163"/>
      <w:isLgl w:val="false"/>
      <w:suff w:val="tab"/>
      <w:lvlText w:val="%2)"/>
      <w:lvlJc w:val="left"/>
      <w:pPr>
        <w:pStyle w:val="1063"/>
        <w:ind w:left="1470" w:hanging="420"/>
        <w:tabs>
          <w:tab w:val="num" w:pos="1470" w:leader="none"/>
        </w:tabs>
      </w:pPr>
    </w:lvl>
    <w:lvl w:ilvl="2">
      <w:start w:val="1"/>
      <w:numFmt w:val="lowerRoman"/>
      <w:isLgl w:val="false"/>
      <w:suff w:val="tab"/>
      <w:lvlText w:val="%3."/>
      <w:lvlJc w:val="right"/>
      <w:pPr>
        <w:pStyle w:val="1063"/>
        <w:ind w:left="1890" w:hanging="420"/>
        <w:tabs>
          <w:tab w:val="num" w:pos="1890" w:leader="none"/>
        </w:tabs>
      </w:pPr>
    </w:lvl>
    <w:lvl w:ilvl="3">
      <w:start w:val="1"/>
      <w:numFmt w:val="decimal"/>
      <w:isLgl w:val="false"/>
      <w:suff w:val="tab"/>
      <w:lvlText w:val="%4."/>
      <w:lvlJc w:val="left"/>
      <w:pPr>
        <w:pStyle w:val="1063"/>
        <w:ind w:left="2310" w:hanging="420"/>
        <w:tabs>
          <w:tab w:val="num" w:pos="2310" w:leader="none"/>
        </w:tabs>
      </w:pPr>
    </w:lvl>
    <w:lvl w:ilvl="4">
      <w:start w:val="1"/>
      <w:numFmt w:val="lowerLetter"/>
      <w:isLgl w:val="false"/>
      <w:suff w:val="tab"/>
      <w:lvlText w:val="%5)"/>
      <w:lvlJc w:val="left"/>
      <w:pPr>
        <w:pStyle w:val="1063"/>
        <w:ind w:left="2730" w:hanging="420"/>
        <w:tabs>
          <w:tab w:val="num" w:pos="2730" w:leader="none"/>
        </w:tabs>
      </w:pPr>
    </w:lvl>
    <w:lvl w:ilvl="5">
      <w:start w:val="1"/>
      <w:numFmt w:val="lowerRoman"/>
      <w:isLgl w:val="false"/>
      <w:suff w:val="tab"/>
      <w:lvlText w:val="%6."/>
      <w:lvlJc w:val="right"/>
      <w:pPr>
        <w:pStyle w:val="1063"/>
        <w:ind w:left="3150" w:hanging="420"/>
        <w:tabs>
          <w:tab w:val="num" w:pos="3150" w:leader="none"/>
        </w:tabs>
      </w:pPr>
    </w:lvl>
    <w:lvl w:ilvl="6">
      <w:start w:val="1"/>
      <w:numFmt w:val="decimal"/>
      <w:isLgl w:val="false"/>
      <w:suff w:val="tab"/>
      <w:lvlText w:val="%7."/>
      <w:lvlJc w:val="left"/>
      <w:pPr>
        <w:pStyle w:val="1063"/>
        <w:ind w:left="3570" w:hanging="420"/>
        <w:tabs>
          <w:tab w:val="num" w:pos="3570" w:leader="none"/>
        </w:tabs>
      </w:pPr>
    </w:lvl>
    <w:lvl w:ilvl="7">
      <w:start w:val="1"/>
      <w:numFmt w:val="lowerLetter"/>
      <w:isLgl w:val="false"/>
      <w:suff w:val="tab"/>
      <w:lvlText w:val="%8)"/>
      <w:lvlJc w:val="left"/>
      <w:pPr>
        <w:pStyle w:val="1063"/>
        <w:ind w:left="3990" w:hanging="420"/>
        <w:tabs>
          <w:tab w:val="num" w:pos="3990" w:leader="none"/>
        </w:tabs>
      </w:pPr>
    </w:lvl>
    <w:lvl w:ilvl="8">
      <w:start w:val="1"/>
      <w:numFmt w:val="lowerRoman"/>
      <w:isLgl w:val="false"/>
      <w:suff w:val="tab"/>
      <w:lvlText w:val="%9."/>
      <w:lvlJc w:val="right"/>
      <w:pPr>
        <w:pStyle w:val="1063"/>
        <w:ind w:left="4410" w:hanging="420"/>
        <w:tabs>
          <w:tab w:val="num" w:pos="4410" w:leader="none"/>
        </w:tabs>
      </w:pPr>
    </w:lvl>
  </w:abstractNum>
  <w:abstractNum w:abstractNumId="11">
    <w:multiLevelType w:val="hybridMultilevel"/>
    <w:lvl w:ilvl="0">
      <w:start w:val="4"/>
      <w:numFmt w:val="chineseCounting"/>
      <w:isLgl w:val="false"/>
      <w:suff w:val="space"/>
      <w:lvlText w:val="第%1章"/>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8"/>
      <w:isLgl w:val="false"/>
      <w:suff w:val="tab"/>
      <w:lvlText w:val="%1注："/>
      <w:lvlJc w:val="left"/>
      <w:pPr>
        <w:pStyle w:val="1063"/>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63"/>
        <w:ind w:left="780" w:hanging="360"/>
        <w:tabs>
          <w:tab w:val="num" w:pos="780" w:leader="none"/>
        </w:tabs>
      </w:pPr>
      <w:rPr>
        <w:rFonts w:hint="eastAsia"/>
      </w:rPr>
    </w:lvl>
    <w:lvl w:ilvl="2">
      <w:start w:val="1"/>
      <w:numFmt w:val="lowerRoman"/>
      <w:isLgl w:val="false"/>
      <w:suff w:val="tab"/>
      <w:lvlText w:val="%3."/>
      <w:lvlJc w:val="right"/>
      <w:pPr>
        <w:pStyle w:val="1063"/>
        <w:ind w:left="1260" w:hanging="420"/>
        <w:tabs>
          <w:tab w:val="num" w:pos="1260" w:leader="none"/>
        </w:tabs>
      </w:pPr>
    </w:lvl>
    <w:lvl w:ilvl="3">
      <w:start w:val="1"/>
      <w:numFmt w:val="decimal"/>
      <w:isLgl w:val="false"/>
      <w:suff w:val="tab"/>
      <w:lvlText w:val="%4."/>
      <w:lvlJc w:val="left"/>
      <w:pPr>
        <w:pStyle w:val="1063"/>
        <w:ind w:left="1680" w:hanging="420"/>
        <w:tabs>
          <w:tab w:val="num" w:pos="1680" w:leader="none"/>
        </w:tabs>
      </w:pPr>
    </w:lvl>
    <w:lvl w:ilvl="4">
      <w:start w:val="1"/>
      <w:numFmt w:val="lowerLetter"/>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63"/>
        <w:ind w:left="420" w:hanging="420"/>
      </w:pPr>
      <w:rPr>
        <w:rFonts w:hint="eastAsia"/>
      </w:rPr>
    </w:lvl>
    <w:lvl w:ilvl="1">
      <w:start w:val="1"/>
      <w:numFmt w:val="lowerLetter"/>
      <w:isLgl w:val="false"/>
      <w:suff w:val="tab"/>
      <w:lvlText w:val="%2)"/>
      <w:lvlJc w:val="left"/>
      <w:pPr>
        <w:pStyle w:val="1063"/>
        <w:ind w:left="840" w:hanging="420"/>
      </w:p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14">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7"/>
  </w:num>
  <w:num w:numId="4">
    <w:abstractNumId w:val="12"/>
  </w:num>
  <w:num w:numId="5">
    <w:abstractNumId w:val="8"/>
  </w:num>
  <w:num w:numId="6">
    <w:abstractNumId w:val="15"/>
  </w:num>
  <w:num w:numId="7">
    <w:abstractNumId w:val="3"/>
  </w:num>
  <w:num w:numId="8">
    <w:abstractNumId w:val="0"/>
  </w:num>
  <w:num w:numId="9">
    <w:abstractNumId w:val="2"/>
  </w:num>
  <w:num w:numId="10">
    <w:abstractNumId w:val="4"/>
  </w:num>
  <w:num w:numId="11">
    <w:abstractNumId w:val="1"/>
  </w:num>
  <w:num w:numId="12">
    <w:abstractNumId w:val="11"/>
  </w:num>
  <w:num w:numId="13">
    <w:abstractNumId w:val="5"/>
  </w:num>
  <w:num w:numId="14">
    <w:abstractNumId w:val="6"/>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1063"/>
    <w:next w:val="1063"/>
    <w:link w:val="887"/>
    <w:uiPriority w:val="9"/>
    <w:qFormat/>
    <w:pPr>
      <w:keepLines/>
      <w:keepNext/>
      <w:spacing w:before="480" w:after="200"/>
      <w:outlineLvl w:val="0"/>
    </w:pPr>
    <w:rPr>
      <w:rFonts w:ascii="Arial" w:hAnsi="Arial" w:eastAsia="Arial" w:cs="Arial"/>
      <w:sz w:val="40"/>
      <w:szCs w:val="40"/>
    </w:rPr>
  </w:style>
  <w:style w:type="character" w:styleId="887">
    <w:name w:val="Heading 1 Char"/>
    <w:link w:val="886"/>
    <w:uiPriority w:val="9"/>
    <w:rPr>
      <w:rFonts w:ascii="Arial" w:hAnsi="Arial" w:eastAsia="Arial" w:cs="Arial"/>
      <w:sz w:val="40"/>
      <w:szCs w:val="40"/>
    </w:rPr>
  </w:style>
  <w:style w:type="paragraph" w:styleId="888">
    <w:name w:val="Heading 2"/>
    <w:basedOn w:val="1063"/>
    <w:next w:val="1063"/>
    <w:link w:val="889"/>
    <w:uiPriority w:val="9"/>
    <w:unhideWhenUsed/>
    <w:qFormat/>
    <w:pPr>
      <w:keepLines/>
      <w:keepNext/>
      <w:spacing w:before="360" w:after="200"/>
      <w:outlineLvl w:val="1"/>
    </w:pPr>
    <w:rPr>
      <w:rFonts w:ascii="Arial" w:hAnsi="Arial" w:eastAsia="Arial" w:cs="Arial"/>
      <w:sz w:val="34"/>
    </w:rPr>
  </w:style>
  <w:style w:type="character" w:styleId="889">
    <w:name w:val="Heading 2 Char"/>
    <w:link w:val="888"/>
    <w:uiPriority w:val="9"/>
    <w:rPr>
      <w:rFonts w:ascii="Arial" w:hAnsi="Arial" w:eastAsia="Arial" w:cs="Arial"/>
      <w:sz w:val="34"/>
    </w:rPr>
  </w:style>
  <w:style w:type="paragraph" w:styleId="890">
    <w:name w:val="Heading 3"/>
    <w:basedOn w:val="1063"/>
    <w:next w:val="1063"/>
    <w:link w:val="891"/>
    <w:uiPriority w:val="9"/>
    <w:unhideWhenUsed/>
    <w:qFormat/>
    <w:pPr>
      <w:keepLines/>
      <w:keepNext/>
      <w:spacing w:before="320" w:after="200"/>
      <w:outlineLvl w:val="2"/>
    </w:pPr>
    <w:rPr>
      <w:rFonts w:ascii="Arial" w:hAnsi="Arial" w:eastAsia="Arial" w:cs="Arial"/>
      <w:sz w:val="30"/>
      <w:szCs w:val="30"/>
    </w:rPr>
  </w:style>
  <w:style w:type="character" w:styleId="891">
    <w:name w:val="Heading 3 Char"/>
    <w:link w:val="890"/>
    <w:uiPriority w:val="9"/>
    <w:rPr>
      <w:rFonts w:ascii="Arial" w:hAnsi="Arial" w:eastAsia="Arial" w:cs="Arial"/>
      <w:sz w:val="30"/>
      <w:szCs w:val="30"/>
    </w:rPr>
  </w:style>
  <w:style w:type="paragraph" w:styleId="892">
    <w:name w:val="Heading 4"/>
    <w:basedOn w:val="1063"/>
    <w:next w:val="1063"/>
    <w:link w:val="893"/>
    <w:uiPriority w:val="9"/>
    <w:unhideWhenUsed/>
    <w:qFormat/>
    <w:pPr>
      <w:keepLines/>
      <w:keepNext/>
      <w:spacing w:before="320" w:after="200"/>
      <w:outlineLvl w:val="3"/>
    </w:pPr>
    <w:rPr>
      <w:rFonts w:ascii="Arial" w:hAnsi="Arial" w:eastAsia="Arial" w:cs="Arial"/>
      <w:b/>
      <w:bCs/>
      <w:sz w:val="26"/>
      <w:szCs w:val="26"/>
    </w:rPr>
  </w:style>
  <w:style w:type="character" w:styleId="893">
    <w:name w:val="Heading 4 Char"/>
    <w:link w:val="892"/>
    <w:uiPriority w:val="9"/>
    <w:rPr>
      <w:rFonts w:ascii="Arial" w:hAnsi="Arial" w:eastAsia="Arial" w:cs="Arial"/>
      <w:b/>
      <w:bCs/>
      <w:sz w:val="26"/>
      <w:szCs w:val="26"/>
    </w:rPr>
  </w:style>
  <w:style w:type="paragraph" w:styleId="894">
    <w:name w:val="Heading 5"/>
    <w:basedOn w:val="1063"/>
    <w:next w:val="1063"/>
    <w:link w:val="895"/>
    <w:uiPriority w:val="9"/>
    <w:unhideWhenUsed/>
    <w:qFormat/>
    <w:pPr>
      <w:keepLines/>
      <w:keepNext/>
      <w:spacing w:before="320" w:after="200"/>
      <w:outlineLvl w:val="4"/>
    </w:pPr>
    <w:rPr>
      <w:rFonts w:ascii="Arial" w:hAnsi="Arial" w:eastAsia="Arial" w:cs="Arial"/>
      <w:b/>
      <w:bCs/>
      <w:sz w:val="24"/>
      <w:szCs w:val="24"/>
    </w:rPr>
  </w:style>
  <w:style w:type="character" w:styleId="895">
    <w:name w:val="Heading 5 Char"/>
    <w:link w:val="894"/>
    <w:uiPriority w:val="9"/>
    <w:rPr>
      <w:rFonts w:ascii="Arial" w:hAnsi="Arial" w:eastAsia="Arial" w:cs="Arial"/>
      <w:b/>
      <w:bCs/>
      <w:sz w:val="24"/>
      <w:szCs w:val="24"/>
    </w:rPr>
  </w:style>
  <w:style w:type="paragraph" w:styleId="896">
    <w:name w:val="Heading 6"/>
    <w:basedOn w:val="1063"/>
    <w:next w:val="1063"/>
    <w:link w:val="897"/>
    <w:uiPriority w:val="9"/>
    <w:unhideWhenUsed/>
    <w:qFormat/>
    <w:pPr>
      <w:keepLines/>
      <w:keepNext/>
      <w:spacing w:before="320" w:after="200"/>
      <w:outlineLvl w:val="5"/>
    </w:pPr>
    <w:rPr>
      <w:rFonts w:ascii="Arial" w:hAnsi="Arial" w:eastAsia="Arial" w:cs="Arial"/>
      <w:b/>
      <w:bCs/>
      <w:sz w:val="22"/>
      <w:szCs w:val="22"/>
    </w:rPr>
  </w:style>
  <w:style w:type="character" w:styleId="897">
    <w:name w:val="Heading 6 Char"/>
    <w:link w:val="896"/>
    <w:uiPriority w:val="9"/>
    <w:rPr>
      <w:rFonts w:ascii="Arial" w:hAnsi="Arial" w:eastAsia="Arial" w:cs="Arial"/>
      <w:b/>
      <w:bCs/>
      <w:sz w:val="22"/>
      <w:szCs w:val="22"/>
    </w:rPr>
  </w:style>
  <w:style w:type="paragraph" w:styleId="898">
    <w:name w:val="Heading 7"/>
    <w:basedOn w:val="1063"/>
    <w:next w:val="1063"/>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name w:val="Heading 7 Char"/>
    <w:link w:val="898"/>
    <w:uiPriority w:val="9"/>
    <w:rPr>
      <w:rFonts w:ascii="Arial" w:hAnsi="Arial" w:eastAsia="Arial" w:cs="Arial"/>
      <w:b/>
      <w:bCs/>
      <w:i/>
      <w:iCs/>
      <w:sz w:val="22"/>
      <w:szCs w:val="22"/>
    </w:rPr>
  </w:style>
  <w:style w:type="paragraph" w:styleId="900">
    <w:name w:val="Heading 8"/>
    <w:basedOn w:val="1063"/>
    <w:next w:val="1063"/>
    <w:link w:val="901"/>
    <w:uiPriority w:val="9"/>
    <w:unhideWhenUsed/>
    <w:qFormat/>
    <w:pPr>
      <w:keepLines/>
      <w:keepNext/>
      <w:spacing w:before="320" w:after="200"/>
      <w:outlineLvl w:val="7"/>
    </w:pPr>
    <w:rPr>
      <w:rFonts w:ascii="Arial" w:hAnsi="Arial" w:eastAsia="Arial" w:cs="Arial"/>
      <w:i/>
      <w:iCs/>
      <w:sz w:val="22"/>
      <w:szCs w:val="22"/>
    </w:rPr>
  </w:style>
  <w:style w:type="character" w:styleId="901">
    <w:name w:val="Heading 8 Char"/>
    <w:link w:val="900"/>
    <w:uiPriority w:val="9"/>
    <w:rPr>
      <w:rFonts w:ascii="Arial" w:hAnsi="Arial" w:eastAsia="Arial" w:cs="Arial"/>
      <w:i/>
      <w:iCs/>
      <w:sz w:val="22"/>
      <w:szCs w:val="22"/>
    </w:rPr>
  </w:style>
  <w:style w:type="paragraph" w:styleId="902">
    <w:name w:val="Heading 9"/>
    <w:basedOn w:val="1063"/>
    <w:next w:val="1063"/>
    <w:link w:val="903"/>
    <w:uiPriority w:val="9"/>
    <w:unhideWhenUsed/>
    <w:qFormat/>
    <w:pPr>
      <w:keepLines/>
      <w:keepNext/>
      <w:spacing w:before="320" w:after="200"/>
      <w:outlineLvl w:val="8"/>
    </w:pPr>
    <w:rPr>
      <w:rFonts w:ascii="Arial" w:hAnsi="Arial" w:eastAsia="Arial" w:cs="Arial"/>
      <w:i/>
      <w:iCs/>
      <w:sz w:val="21"/>
      <w:szCs w:val="21"/>
    </w:rPr>
  </w:style>
  <w:style w:type="character" w:styleId="903">
    <w:name w:val="Heading 9 Char"/>
    <w:link w:val="902"/>
    <w:uiPriority w:val="9"/>
    <w:rPr>
      <w:rFonts w:ascii="Arial" w:hAnsi="Arial" w:eastAsia="Arial" w:cs="Arial"/>
      <w:i/>
      <w:iCs/>
      <w:sz w:val="21"/>
      <w:szCs w:val="21"/>
    </w:rPr>
  </w:style>
  <w:style w:type="paragraph" w:styleId="904">
    <w:name w:val="No Spacing"/>
    <w:uiPriority w:val="1"/>
    <w:qFormat/>
    <w:pPr>
      <w:spacing w:before="0" w:after="0" w:line="240" w:lineRule="auto"/>
    </w:p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rFonts w:eastAsia="微软雅黑"/>
      <w:sz w:val="21"/>
      <w:szCs w:val="22"/>
      <w:lang w:val="en-US" w:eastAsia="zh-CN" w:bidi="ar-SA"/>
    </w:rPr>
  </w:style>
  <w:style w:type="paragraph" w:styleId="1064">
    <w:name w:val="标题 1"/>
    <w:basedOn w:val="1063"/>
    <w:next w:val="1063"/>
    <w:link w:val="1071"/>
    <w:qFormat/>
    <w:pPr>
      <w:jc w:val="center"/>
      <w:keepLines/>
      <w:keepNext/>
      <w:spacing w:before="340" w:after="330" w:line="240" w:lineRule="auto"/>
      <w:outlineLvl w:val="0"/>
    </w:pPr>
    <w:rPr>
      <w:b/>
      <w:bCs/>
      <w:sz w:val="32"/>
      <w:szCs w:val="44"/>
    </w:rPr>
  </w:style>
  <w:style w:type="paragraph" w:styleId="1065">
    <w:name w:val="标题 2"/>
    <w:basedOn w:val="1064"/>
    <w:next w:val="1073"/>
    <w:link w:val="1072"/>
    <w:qFormat/>
    <w:pPr>
      <w:jc w:val="center"/>
      <w:keepLines/>
      <w:keepNext/>
      <w:spacing w:before="260" w:after="260" w:line="240" w:lineRule="auto"/>
      <w:outlineLvl w:val="1"/>
    </w:pPr>
    <w:rPr>
      <w:rFonts w:ascii="Cambria" w:hAnsi="Cambria"/>
      <w:b w:val="0"/>
      <w:bCs w:val="0"/>
      <w:sz w:val="28"/>
      <w:szCs w:val="32"/>
    </w:rPr>
  </w:style>
  <w:style w:type="paragraph" w:styleId="1066">
    <w:name w:val="标题 3"/>
    <w:basedOn w:val="1063"/>
    <w:next w:val="1063"/>
    <w:link w:val="1074"/>
    <w:qFormat/>
    <w:pPr>
      <w:jc w:val="center"/>
      <w:keepLines/>
      <w:keepNext/>
      <w:spacing w:before="260" w:after="260" w:line="416" w:lineRule="auto"/>
      <w:outlineLvl w:val="2"/>
    </w:pPr>
    <w:rPr>
      <w:bCs/>
      <w:sz w:val="28"/>
      <w:szCs w:val="32"/>
    </w:rPr>
  </w:style>
  <w:style w:type="paragraph" w:styleId="1067">
    <w:name w:val="标题 4"/>
    <w:basedOn w:val="1063"/>
    <w:next w:val="1063"/>
    <w:link w:val="1075"/>
    <w:qFormat/>
    <w:pPr>
      <w:keepLines/>
      <w:keepNext/>
      <w:spacing w:line="360" w:lineRule="auto"/>
      <w:outlineLvl w:val="3"/>
    </w:pPr>
    <w:rPr>
      <w:rFonts w:ascii="Arial" w:hAnsi="Arial" w:eastAsia="宋体"/>
      <w:b/>
      <w:bCs/>
      <w:sz w:val="24"/>
      <w:szCs w:val="28"/>
    </w:rPr>
  </w:style>
  <w:style w:type="paragraph" w:styleId="1068">
    <w:name w:val="标题 5"/>
    <w:basedOn w:val="1063"/>
    <w:next w:val="1063"/>
    <w:link w:val="1076"/>
    <w:qFormat/>
    <w:pPr>
      <w:keepLines/>
      <w:keepNext/>
      <w:spacing w:before="280" w:after="290" w:line="376" w:lineRule="auto"/>
      <w:outlineLvl w:val="4"/>
    </w:pPr>
    <w:rPr>
      <w:rFonts w:eastAsia="宋体"/>
      <w:b/>
      <w:bCs/>
      <w:sz w:val="28"/>
      <w:szCs w:val="28"/>
    </w:rPr>
  </w:style>
  <w:style w:type="character" w:styleId="1069">
    <w:name w:val="默认段落字体"/>
    <w:next w:val="1069"/>
    <w:link w:val="1063"/>
    <w:uiPriority w:val="1"/>
    <w:unhideWhenUsed/>
  </w:style>
  <w:style w:type="table" w:styleId="1070">
    <w:name w:val="普通表格"/>
    <w:next w:val="1070"/>
    <w:link w:val="1063"/>
    <w:uiPriority w:val="99"/>
    <w:unhideWhenUsed/>
    <w:qFormat/>
    <w:tblPr/>
  </w:style>
  <w:style w:type="character" w:styleId="1071">
    <w:name w:val="标题 1 字符"/>
    <w:next w:val="1071"/>
    <w:link w:val="1064"/>
    <w:rPr>
      <w:rFonts w:ascii="Calibri" w:hAnsi="Calibri" w:eastAsia="微软雅黑"/>
      <w:b/>
      <w:bCs/>
      <w:sz w:val="32"/>
      <w:szCs w:val="44"/>
    </w:rPr>
  </w:style>
  <w:style w:type="character" w:styleId="1072">
    <w:name w:val="标题 2 字符"/>
    <w:next w:val="1072"/>
    <w:link w:val="1065"/>
    <w:rPr>
      <w:rFonts w:ascii="Cambria" w:hAnsi="Cambria" w:eastAsia="微软雅黑" w:cs="Times New Roman"/>
      <w:b/>
      <w:bCs/>
      <w:sz w:val="28"/>
      <w:szCs w:val="32"/>
    </w:rPr>
  </w:style>
  <w:style w:type="paragraph" w:styleId="1073">
    <w:name w:val="正文缩进"/>
    <w:basedOn w:val="1063"/>
    <w:next w:val="1063"/>
    <w:link w:val="1063"/>
    <w:pPr>
      <w:ind w:firstLine="420"/>
      <w:jc w:val="left"/>
      <w:spacing w:line="360" w:lineRule="atLeast"/>
    </w:pPr>
    <w:rPr>
      <w:rFonts w:ascii="Times New Roman" w:hAnsi="Times New Roman" w:eastAsia="宋体" w:cs="Times New Roman"/>
      <w:szCs w:val="21"/>
    </w:rPr>
  </w:style>
  <w:style w:type="character" w:styleId="1074">
    <w:name w:val="标题 3 字符"/>
    <w:next w:val="1074"/>
    <w:link w:val="1066"/>
    <w:rPr>
      <w:rFonts w:ascii="Calibri" w:hAnsi="Calibri" w:eastAsia="微软雅黑" w:cs="Times New Roman"/>
      <w:b w:val="0"/>
      <w:bCs/>
      <w:sz w:val="28"/>
      <w:szCs w:val="32"/>
    </w:rPr>
  </w:style>
  <w:style w:type="character" w:styleId="1075">
    <w:name w:val="标题 4 字符"/>
    <w:next w:val="1075"/>
    <w:link w:val="1067"/>
    <w:rPr>
      <w:rFonts w:ascii="Arial" w:hAnsi="Arial"/>
      <w:b/>
      <w:bCs/>
      <w:sz w:val="24"/>
      <w:szCs w:val="28"/>
    </w:rPr>
  </w:style>
  <w:style w:type="character" w:styleId="1076">
    <w:name w:val="标题 5 字符"/>
    <w:next w:val="1076"/>
    <w:link w:val="1068"/>
    <w:rPr>
      <w:rFonts w:ascii="Calibri" w:hAnsi="Calibri"/>
      <w:b/>
      <w:bCs/>
      <w:sz w:val="28"/>
      <w:szCs w:val="28"/>
    </w:rPr>
  </w:style>
  <w:style w:type="paragraph" w:styleId="1077">
    <w:name w:val="目录 7"/>
    <w:basedOn w:val="1063"/>
    <w:next w:val="1063"/>
    <w:link w:val="1063"/>
    <w:pPr>
      <w:ind w:left="2520"/>
    </w:pPr>
    <w:rPr>
      <w:szCs w:val="24"/>
    </w:rPr>
  </w:style>
  <w:style w:type="paragraph" w:styleId="1078">
    <w:name w:val="题注"/>
    <w:basedOn w:val="1063"/>
    <w:next w:val="1063"/>
    <w:link w:val="1063"/>
    <w:uiPriority w:val="35"/>
    <w:qFormat/>
    <w:rPr>
      <w:rFonts w:ascii="Cambria" w:hAnsi="Cambria" w:eastAsia="黑体" w:cs="Times New Roman"/>
      <w:sz w:val="20"/>
      <w:szCs w:val="20"/>
    </w:rPr>
  </w:style>
  <w:style w:type="paragraph" w:styleId="1079">
    <w:name w:val="列表项目符号"/>
    <w:basedOn w:val="1063"/>
    <w:next w:val="1079"/>
    <w:link w:val="1063"/>
    <w:pPr>
      <w:numPr>
        <w:ilvl w:val="0"/>
        <w:numId w:val="1"/>
      </w:numPr>
      <w:spacing w:line="360" w:lineRule="atLeast"/>
      <w:tabs>
        <w:tab w:val="left" w:pos="360" w:leader="none"/>
        <w:tab w:val="left" w:pos="990" w:leader="none"/>
      </w:tabs>
    </w:pPr>
    <w:rPr>
      <w:rFonts w:ascii="Arial" w:hAnsi="Arial"/>
      <w:szCs w:val="21"/>
    </w:rPr>
  </w:style>
  <w:style w:type="paragraph" w:styleId="1080">
    <w:name w:val="文档结构图"/>
    <w:basedOn w:val="1063"/>
    <w:next w:val="1080"/>
    <w:link w:val="1081"/>
    <w:rPr>
      <w:rFonts w:ascii="宋体" w:hAnsi="Times New Roman" w:eastAsia="宋体"/>
      <w:sz w:val="18"/>
      <w:szCs w:val="18"/>
    </w:rPr>
  </w:style>
  <w:style w:type="character" w:styleId="1081">
    <w:name w:val="文档结构图 字符"/>
    <w:next w:val="1081"/>
    <w:link w:val="1080"/>
    <w:rPr>
      <w:rFonts w:ascii="宋体"/>
      <w:sz w:val="18"/>
      <w:szCs w:val="18"/>
    </w:rPr>
  </w:style>
  <w:style w:type="paragraph" w:styleId="1082">
    <w:name w:val="批注文字"/>
    <w:basedOn w:val="1063"/>
    <w:next w:val="1082"/>
    <w:link w:val="1083"/>
    <w:semiHidden/>
    <w:pPr>
      <w:jc w:val="left"/>
    </w:pPr>
    <w:rPr>
      <w:rFonts w:ascii="Times New Roman" w:hAnsi="Times New Roman" w:eastAsia="宋体"/>
      <w:sz w:val="20"/>
      <w:szCs w:val="21"/>
    </w:rPr>
  </w:style>
  <w:style w:type="character" w:styleId="1083">
    <w:name w:val="批注文字 字符"/>
    <w:next w:val="1083"/>
    <w:link w:val="1082"/>
    <w:semiHidden/>
    <w:rPr>
      <w:rFonts w:ascii="Times New Roman" w:hAnsi="Times New Roman" w:eastAsia="宋体" w:cs="Times New Roman"/>
      <w:szCs w:val="21"/>
    </w:rPr>
  </w:style>
  <w:style w:type="paragraph" w:styleId="1084">
    <w:name w:val="正文文本"/>
    <w:basedOn w:val="1063"/>
    <w:next w:val="1086"/>
    <w:link w:val="1085"/>
    <w:rPr>
      <w:rFonts w:ascii="仿宋_GB2312" w:hAnsi="宋体" w:eastAsia="仿宋_GB2312"/>
      <w:sz w:val="24"/>
      <w:szCs w:val="24"/>
    </w:rPr>
  </w:style>
  <w:style w:type="character" w:styleId="1085">
    <w:name w:val="正文文本 字符"/>
    <w:next w:val="1085"/>
    <w:link w:val="1084"/>
    <w:rPr>
      <w:rFonts w:ascii="仿宋_GB2312" w:hAnsi="宋体" w:eastAsia="仿宋_GB2312" w:cs="仿宋_GB2312"/>
      <w:sz w:val="24"/>
      <w:szCs w:val="24"/>
    </w:rPr>
  </w:style>
  <w:style w:type="paragraph" w:styleId="1086">
    <w:name w:val="Default"/>
    <w:next w:val="1087"/>
    <w:link w:val="1063"/>
    <w:qFormat/>
    <w:pPr>
      <w:widowControl w:val="off"/>
    </w:pPr>
    <w:rPr>
      <w:rFonts w:ascii="宋体" w:cs="宋体"/>
      <w:color w:val="000000"/>
      <w:sz w:val="24"/>
      <w:szCs w:val="24"/>
      <w:lang w:val="en-US" w:eastAsia="zh-CN" w:bidi="ar-SA"/>
    </w:rPr>
  </w:style>
  <w:style w:type="paragraph" w:styleId="1087">
    <w:name w:val="明显引用"/>
    <w:basedOn w:val="1063"/>
    <w:next w:val="1063"/>
    <w:link w:val="1063"/>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088">
    <w:name w:val="正文文本缩进"/>
    <w:basedOn w:val="1063"/>
    <w:next w:val="1090"/>
    <w:link w:val="1089"/>
    <w:pPr>
      <w:ind w:firstLine="403"/>
      <w:spacing w:line="440" w:lineRule="exact"/>
    </w:pPr>
    <w:rPr>
      <w:rFonts w:ascii="宋体" w:hAnsi="宋体" w:eastAsia="宋体"/>
      <w:sz w:val="20"/>
      <w:szCs w:val="21"/>
    </w:rPr>
  </w:style>
  <w:style w:type="character" w:styleId="1089">
    <w:name w:val="正文文本缩进 字符"/>
    <w:next w:val="1089"/>
    <w:link w:val="1088"/>
    <w:rPr>
      <w:rFonts w:ascii="宋体" w:hAnsi="宋体" w:eastAsia="宋体" w:cs="宋体"/>
      <w:szCs w:val="21"/>
    </w:rPr>
  </w:style>
  <w:style w:type="paragraph" w:styleId="1090">
    <w:name w:val="寄信人地址"/>
    <w:basedOn w:val="1063"/>
    <w:next w:val="1090"/>
    <w:link w:val="1063"/>
    <w:qFormat/>
    <w:rPr>
      <w:rFonts w:ascii="Arial" w:hAnsi="Arial" w:eastAsia="宋体" w:cs="Times New Roman"/>
    </w:rPr>
  </w:style>
  <w:style w:type="paragraph" w:styleId="1091">
    <w:name w:val="文本块"/>
    <w:basedOn w:val="1063"/>
    <w:next w:val="1063"/>
    <w:link w:val="1063"/>
    <w:uiPriority w:val="99"/>
    <w:unhideWhenUsed/>
    <w:pPr>
      <w:ind w:left="1440" w:right="1440"/>
      <w:spacing w:after="120"/>
    </w:pPr>
  </w:style>
  <w:style w:type="paragraph" w:styleId="1092">
    <w:name w:val="索引 4"/>
    <w:basedOn w:val="1063"/>
    <w:next w:val="1063"/>
    <w:link w:val="1063"/>
    <w:uiPriority w:val="99"/>
    <w:unhideWhenUsed/>
    <w:pPr>
      <w:ind w:left="600"/>
    </w:pPr>
    <w:rPr>
      <w:rFonts w:ascii="Verdana" w:hAnsi="Verdana"/>
      <w:szCs w:val="20"/>
    </w:rPr>
  </w:style>
  <w:style w:type="paragraph" w:styleId="1093">
    <w:name w:val="目录 5"/>
    <w:basedOn w:val="1063"/>
    <w:next w:val="1063"/>
    <w:link w:val="1063"/>
    <w:pPr>
      <w:ind w:left="1680"/>
    </w:pPr>
    <w:rPr>
      <w:szCs w:val="24"/>
    </w:rPr>
  </w:style>
  <w:style w:type="paragraph" w:styleId="1094">
    <w:name w:val="目录 3"/>
    <w:basedOn w:val="1063"/>
    <w:next w:val="1063"/>
    <w:link w:val="1063"/>
    <w:uiPriority w:val="39"/>
    <w:unhideWhenUsed/>
    <w:pPr>
      <w:ind w:left="840"/>
      <w:spacing w:line="360" w:lineRule="exact"/>
    </w:pPr>
    <w:rPr>
      <w:rFonts w:ascii="Calibri" w:hAnsi="Calibri" w:eastAsia="微软雅黑" w:cs="Times New Roman"/>
    </w:rPr>
  </w:style>
  <w:style w:type="paragraph" w:styleId="1095">
    <w:name w:val="纯文本"/>
    <w:basedOn w:val="1063"/>
    <w:next w:val="1095"/>
    <w:link w:val="1096"/>
    <w:qFormat/>
    <w:rPr>
      <w:rFonts w:ascii="宋体" w:hAnsi="Courier New" w:eastAsia="宋体"/>
      <w:sz w:val="28"/>
      <w:szCs w:val="28"/>
    </w:rPr>
  </w:style>
  <w:style w:type="character" w:styleId="1096">
    <w:name w:val="纯文本 字符"/>
    <w:next w:val="1096"/>
    <w:link w:val="1095"/>
    <w:qFormat/>
    <w:rPr>
      <w:rFonts w:ascii="宋体" w:hAnsi="Courier New" w:eastAsia="宋体" w:cs="宋体"/>
      <w:sz w:val="28"/>
      <w:szCs w:val="28"/>
    </w:rPr>
  </w:style>
  <w:style w:type="paragraph" w:styleId="1097">
    <w:name w:val="目录 8"/>
    <w:basedOn w:val="1063"/>
    <w:next w:val="1063"/>
    <w:link w:val="1063"/>
    <w:pPr>
      <w:ind w:left="2940"/>
    </w:pPr>
    <w:rPr>
      <w:szCs w:val="24"/>
    </w:rPr>
  </w:style>
  <w:style w:type="paragraph" w:styleId="1098">
    <w:name w:val="日期"/>
    <w:basedOn w:val="1063"/>
    <w:next w:val="1063"/>
    <w:link w:val="1099"/>
    <w:pPr>
      <w:ind w:left="100"/>
    </w:pPr>
    <w:rPr>
      <w:rFonts w:ascii="Times New Roman" w:hAnsi="Times New Roman" w:eastAsia="宋体"/>
      <w:sz w:val="20"/>
      <w:szCs w:val="21"/>
    </w:rPr>
  </w:style>
  <w:style w:type="character" w:styleId="1099">
    <w:name w:val="日期 字符"/>
    <w:next w:val="1099"/>
    <w:link w:val="1098"/>
    <w:rPr>
      <w:rFonts w:ascii="Times New Roman" w:hAnsi="Times New Roman" w:eastAsia="宋体" w:cs="Times New Roman"/>
      <w:szCs w:val="21"/>
    </w:rPr>
  </w:style>
  <w:style w:type="paragraph" w:styleId="1100">
    <w:name w:val="正文文本缩进 2"/>
    <w:basedOn w:val="1063"/>
    <w:next w:val="1100"/>
    <w:link w:val="1101"/>
    <w:pPr>
      <w:ind w:firstLine="420"/>
      <w:spacing w:line="440" w:lineRule="exact"/>
    </w:pPr>
    <w:rPr>
      <w:rFonts w:ascii="宋体" w:hAnsi="宋体" w:eastAsia="宋体"/>
      <w:sz w:val="20"/>
      <w:szCs w:val="21"/>
    </w:rPr>
  </w:style>
  <w:style w:type="character" w:styleId="1101">
    <w:name w:val="正文文本缩进 2 字符"/>
    <w:next w:val="1101"/>
    <w:link w:val="1100"/>
    <w:rPr>
      <w:rFonts w:ascii="宋体" w:hAnsi="宋体" w:eastAsia="宋体" w:cs="宋体"/>
      <w:szCs w:val="21"/>
    </w:rPr>
  </w:style>
  <w:style w:type="paragraph" w:styleId="1102">
    <w:name w:val="批注框文本"/>
    <w:basedOn w:val="1063"/>
    <w:next w:val="1102"/>
    <w:link w:val="1103"/>
    <w:semiHidden/>
    <w:rPr>
      <w:rFonts w:ascii="Times New Roman" w:hAnsi="Times New Roman" w:eastAsia="宋体"/>
      <w:sz w:val="18"/>
      <w:szCs w:val="18"/>
    </w:rPr>
  </w:style>
  <w:style w:type="character" w:styleId="1103">
    <w:name w:val="批注框文本 字符"/>
    <w:next w:val="1103"/>
    <w:link w:val="1102"/>
    <w:semiHidden/>
    <w:rPr>
      <w:rFonts w:ascii="Times New Roman" w:hAnsi="Times New Roman" w:eastAsia="宋体" w:cs="Times New Roman"/>
      <w:sz w:val="18"/>
      <w:szCs w:val="18"/>
    </w:rPr>
  </w:style>
  <w:style w:type="paragraph" w:styleId="1104">
    <w:name w:val="页脚"/>
    <w:basedOn w:val="1063"/>
    <w:next w:val="1104"/>
    <w:link w:val="1105"/>
    <w:uiPriority w:val="99"/>
    <w:unhideWhenUsed/>
    <w:pPr>
      <w:jc w:val="left"/>
      <w:tabs>
        <w:tab w:val="center" w:pos="4153" w:leader="none"/>
        <w:tab w:val="right" w:pos="8306" w:leader="none"/>
      </w:tabs>
    </w:pPr>
    <w:rPr>
      <w:rFonts w:ascii="宋体" w:hAnsi="Times New Roman" w:eastAsia="宋体"/>
      <w:sz w:val="18"/>
      <w:szCs w:val="18"/>
    </w:rPr>
  </w:style>
  <w:style w:type="character" w:styleId="1105">
    <w:name w:val="页脚 字符"/>
    <w:next w:val="1105"/>
    <w:link w:val="1104"/>
    <w:uiPriority w:val="99"/>
    <w:rPr>
      <w:rFonts w:ascii="宋体" w:hAnsi="Times New Roman" w:eastAsia="宋体" w:cs="Times New Roman"/>
      <w:sz w:val="18"/>
      <w:szCs w:val="18"/>
    </w:rPr>
  </w:style>
  <w:style w:type="paragraph" w:styleId="1106">
    <w:name w:val="页眉"/>
    <w:basedOn w:val="1063"/>
    <w:next w:val="1106"/>
    <w:link w:val="1107"/>
    <w:uiPriority w:val="99"/>
    <w:unhideWhenUsed/>
    <w:pPr>
      <w:jc w:val="center"/>
      <w:tabs>
        <w:tab w:val="center" w:pos="4153" w:leader="none"/>
        <w:tab w:val="right" w:pos="8306" w:leader="none"/>
      </w:tabs>
      <w:pBdr>
        <w:bottom w:val="single" w:color="000000" w:sz="6" w:space="1"/>
      </w:pBdr>
    </w:pPr>
    <w:rPr>
      <w:rFonts w:ascii="宋体" w:hAnsi="Times New Roman" w:eastAsia="宋体"/>
      <w:sz w:val="18"/>
      <w:szCs w:val="18"/>
    </w:rPr>
  </w:style>
  <w:style w:type="character" w:styleId="1107">
    <w:name w:val="页眉 字符"/>
    <w:next w:val="1107"/>
    <w:link w:val="1106"/>
    <w:uiPriority w:val="99"/>
    <w:rPr>
      <w:rFonts w:ascii="宋体" w:hAnsi="Times New Roman" w:eastAsia="宋体" w:cs="Times New Roman"/>
      <w:sz w:val="18"/>
      <w:szCs w:val="18"/>
    </w:rPr>
  </w:style>
  <w:style w:type="paragraph" w:styleId="1108">
    <w:name w:val="目录 1"/>
    <w:basedOn w:val="1063"/>
    <w:next w:val="1063"/>
    <w:link w:val="1063"/>
    <w:uiPriority w:val="39"/>
    <w:unhideWhenUsed/>
    <w:pPr>
      <w:spacing w:line="360" w:lineRule="exact"/>
    </w:pPr>
    <w:rPr>
      <w:rFonts w:ascii="Calibri" w:hAnsi="Calibri" w:cs="Times New Roman"/>
      <w:b/>
    </w:rPr>
  </w:style>
  <w:style w:type="paragraph" w:styleId="1109">
    <w:name w:val="目录 4"/>
    <w:basedOn w:val="1063"/>
    <w:next w:val="1063"/>
    <w:link w:val="1063"/>
    <w:pPr>
      <w:ind w:left="1260"/>
    </w:pPr>
    <w:rPr>
      <w:szCs w:val="24"/>
    </w:rPr>
  </w:style>
  <w:style w:type="paragraph" w:styleId="1110">
    <w:name w:val="目录 6"/>
    <w:basedOn w:val="1063"/>
    <w:next w:val="1063"/>
    <w:link w:val="1063"/>
    <w:pPr>
      <w:ind w:left="2100"/>
    </w:pPr>
    <w:rPr>
      <w:szCs w:val="24"/>
    </w:rPr>
  </w:style>
  <w:style w:type="paragraph" w:styleId="1111">
    <w:name w:val="目录 2"/>
    <w:basedOn w:val="1063"/>
    <w:next w:val="1063"/>
    <w:link w:val="1063"/>
    <w:uiPriority w:val="39"/>
    <w:unhideWhenUsed/>
    <w:pPr>
      <w:ind w:left="420"/>
      <w:spacing w:line="360" w:lineRule="exact"/>
    </w:pPr>
    <w:rPr>
      <w:rFonts w:ascii="Calibri" w:hAnsi="Calibri" w:eastAsia="微软雅黑" w:cs="Times New Roman"/>
    </w:rPr>
  </w:style>
  <w:style w:type="paragraph" w:styleId="1112">
    <w:name w:val="目录 9"/>
    <w:basedOn w:val="1063"/>
    <w:next w:val="1063"/>
    <w:link w:val="1063"/>
    <w:pPr>
      <w:ind w:left="3360"/>
    </w:pPr>
    <w:rPr>
      <w:szCs w:val="24"/>
    </w:rPr>
  </w:style>
  <w:style w:type="paragraph" w:styleId="1113">
    <w:name w:val="正文文本 2"/>
    <w:basedOn w:val="1063"/>
    <w:next w:val="1113"/>
    <w:link w:val="1063"/>
    <w:qFormat/>
    <w:pPr>
      <w:jc w:val="both"/>
      <w:spacing w:after="0"/>
      <w:widowControl w:val="off"/>
    </w:pPr>
    <w:rPr>
      <w:rFonts w:ascii="华文细黑" w:hAnsi="华文细黑" w:eastAsia="华文细黑" w:cs="Times New Roman"/>
      <w:b/>
      <w:bCs/>
      <w:sz w:val="24"/>
      <w:szCs w:val="20"/>
    </w:rPr>
  </w:style>
  <w:style w:type="paragraph" w:styleId="1114">
    <w:name w:val="普通(网站)"/>
    <w:basedOn w:val="1063"/>
    <w:next w:val="1114"/>
    <w:link w:val="1063"/>
    <w:unhideWhenUsed/>
    <w:pPr>
      <w:jc w:val="left"/>
      <w:spacing w:before="100" w:beforeAutospacing="1" w:after="100" w:afterAutospacing="1"/>
      <w:widowControl/>
    </w:pPr>
    <w:rPr>
      <w:rFonts w:ascii="宋体" w:hAnsi="宋体" w:eastAsia="宋体" w:cs="宋体"/>
      <w:sz w:val="24"/>
      <w:szCs w:val="24"/>
    </w:rPr>
  </w:style>
  <w:style w:type="paragraph" w:styleId="1115">
    <w:name w:val="标题"/>
    <w:basedOn w:val="1063"/>
    <w:next w:val="1063"/>
    <w:link w:val="1063"/>
    <w:qFormat/>
    <w:pPr>
      <w:jc w:val="center"/>
      <w:spacing w:before="240" w:after="60"/>
      <w:outlineLvl w:val="0"/>
    </w:pPr>
    <w:rPr>
      <w:rFonts w:ascii="Calibri Light" w:hAnsi="Calibri Light"/>
      <w:b/>
      <w:bCs/>
      <w:sz w:val="32"/>
      <w:szCs w:val="32"/>
      <w:lang w:val="zh-CN" w:eastAsia="zh-CN"/>
    </w:rPr>
  </w:style>
  <w:style w:type="paragraph" w:styleId="1116">
    <w:name w:val="批注主题"/>
    <w:basedOn w:val="1082"/>
    <w:next w:val="1082"/>
    <w:link w:val="1117"/>
    <w:uiPriority w:val="99"/>
    <w:unhideWhenUsed/>
    <w:rPr>
      <w:b/>
      <w:bCs/>
      <w:sz w:val="21"/>
      <w:szCs w:val="22"/>
    </w:rPr>
  </w:style>
  <w:style w:type="character" w:styleId="1117">
    <w:name w:val="批注主题 字符"/>
    <w:next w:val="1117"/>
    <w:link w:val="1116"/>
    <w:uiPriority w:val="99"/>
    <w:semiHidden/>
    <w:rPr>
      <w:rFonts w:ascii="Times New Roman" w:hAnsi="Times New Roman" w:eastAsia="宋体" w:cs="Times New Roman"/>
      <w:b/>
      <w:bCs/>
      <w:sz w:val="21"/>
      <w:szCs w:val="22"/>
    </w:rPr>
  </w:style>
  <w:style w:type="paragraph" w:styleId="1118">
    <w:name w:val="正文首行缩进"/>
    <w:basedOn w:val="1084"/>
    <w:next w:val="1118"/>
    <w:link w:val="1063"/>
    <w:qFormat/>
    <w:pPr>
      <w:ind w:firstLine="420"/>
    </w:pPr>
  </w:style>
  <w:style w:type="paragraph" w:styleId="1119">
    <w:name w:val="正文首行缩进 2"/>
    <w:basedOn w:val="1088"/>
    <w:next w:val="1063"/>
    <w:link w:val="1063"/>
    <w:qFormat/>
    <w:pPr>
      <w:ind w:firstLine="420"/>
      <w:jc w:val="both"/>
      <w:widowControl w:val="off"/>
    </w:pPr>
    <w:rPr>
      <w:rFonts w:ascii="Calibri" w:hAnsi="Calibri" w:eastAsia="宋体" w:cs="Calibri"/>
      <w:sz w:val="21"/>
      <w:szCs w:val="21"/>
    </w:rPr>
  </w:style>
  <w:style w:type="table" w:styleId="1120">
    <w:name w:val="网格型"/>
    <w:basedOn w:val="1070"/>
    <w:next w:val="1120"/>
    <w:link w:val="1063"/>
    <w:tblPr/>
  </w:style>
  <w:style w:type="character" w:styleId="1121">
    <w:name w:val="要点"/>
    <w:next w:val="1121"/>
    <w:link w:val="1063"/>
    <w:qFormat/>
    <w:rPr>
      <w:b/>
      <w:bCs/>
    </w:rPr>
  </w:style>
  <w:style w:type="character" w:styleId="1122">
    <w:name w:val="页码"/>
    <w:next w:val="1122"/>
    <w:link w:val="1063"/>
  </w:style>
  <w:style w:type="character" w:styleId="1123">
    <w:name w:val="已访问的超链接"/>
    <w:next w:val="1123"/>
    <w:link w:val="1063"/>
    <w:uiPriority w:val="99"/>
    <w:rPr>
      <w:color w:val="000000"/>
      <w:sz w:val="18"/>
      <w:szCs w:val="18"/>
      <w:u w:val="none"/>
    </w:rPr>
  </w:style>
  <w:style w:type="character" w:styleId="1124">
    <w:name w:val="强调"/>
    <w:next w:val="1124"/>
    <w:link w:val="1063"/>
    <w:uiPriority w:val="20"/>
    <w:qFormat/>
    <w:rPr>
      <w:i/>
      <w:iCs/>
    </w:rPr>
  </w:style>
  <w:style w:type="character" w:styleId="1125">
    <w:name w:val="超链接"/>
    <w:next w:val="1125"/>
    <w:link w:val="1063"/>
    <w:uiPriority w:val="99"/>
    <w:rPr>
      <w:color w:val="000000"/>
      <w:sz w:val="18"/>
      <w:szCs w:val="18"/>
      <w:u w:val="none"/>
    </w:rPr>
  </w:style>
  <w:style w:type="character" w:styleId="1126">
    <w:name w:val="批注引用"/>
    <w:next w:val="1126"/>
    <w:link w:val="1063"/>
    <w:semiHidden/>
    <w:rPr>
      <w:sz w:val="21"/>
      <w:szCs w:val="21"/>
    </w:rPr>
  </w:style>
  <w:style w:type="paragraph" w:styleId="1127">
    <w:name w:val="BodyText1"/>
    <w:basedOn w:val="1063"/>
    <w:next w:val="1127"/>
    <w:link w:val="1063"/>
    <w:qFormat/>
    <w:pPr>
      <w:spacing w:after="120"/>
    </w:pPr>
    <w:rPr>
      <w:rFonts w:ascii="Calibri" w:hAnsi="Calibri"/>
      <w:sz w:val="20"/>
      <w:szCs w:val="24"/>
    </w:rPr>
  </w:style>
  <w:style w:type="paragraph" w:styleId="1128">
    <w:name w:val="正文文本缩进1"/>
    <w:basedOn w:val="1063"/>
    <w:next w:val="1129"/>
    <w:link w:val="1063"/>
    <w:qFormat/>
    <w:pPr>
      <w:ind w:firstLine="576"/>
    </w:pPr>
    <w:rPr>
      <w:b/>
      <w:sz w:val="30"/>
    </w:rPr>
  </w:style>
  <w:style w:type="paragraph" w:styleId="1129">
    <w:name w:val="寄信人地址1"/>
    <w:basedOn w:val="1063"/>
    <w:next w:val="1129"/>
    <w:link w:val="1063"/>
    <w:qFormat/>
    <w:rPr>
      <w:rFonts w:ascii="Arial" w:hAnsi="Arial"/>
    </w:rPr>
  </w:style>
  <w:style w:type="paragraph" w:styleId="1130">
    <w:name w:val="首行缩进"/>
    <w:basedOn w:val="1063"/>
    <w:next w:val="1130"/>
    <w:link w:val="1063"/>
    <w:uiPriority w:val="99"/>
    <w:qFormat/>
    <w:pPr>
      <w:ind w:left="0" w:firstLine="0"/>
      <w:spacing w:line="400" w:lineRule="exact"/>
    </w:pPr>
    <w:rPr>
      <w:szCs w:val="20"/>
      <w:lang w:val="zh-CN"/>
    </w:rPr>
  </w:style>
  <w:style w:type="character" w:styleId="1131">
    <w:name w:val="不明显强调"/>
    <w:next w:val="1131"/>
    <w:link w:val="1063"/>
    <w:uiPriority w:val="19"/>
    <w:qFormat/>
    <w:rPr>
      <w:i/>
      <w:iCs/>
      <w:color w:val="808080"/>
    </w:rPr>
  </w:style>
  <w:style w:type="character" w:styleId="1132">
    <w:name w:val="font51"/>
    <w:next w:val="1132"/>
    <w:link w:val="1063"/>
    <w:qFormat/>
    <w:rPr>
      <w:rFonts w:hint="eastAsia" w:ascii="宋体" w:hAnsi="宋体" w:eastAsia="宋体" w:cs="宋体"/>
      <w:color w:val="000000"/>
      <w:sz w:val="21"/>
      <w:szCs w:val="21"/>
      <w:u w:val="none"/>
    </w:rPr>
  </w:style>
  <w:style w:type="character" w:styleId="1133">
    <w:name w:val="layui-laypage-curr"/>
    <w:next w:val="1133"/>
    <w:link w:val="1063"/>
  </w:style>
  <w:style w:type="character" w:styleId="1134">
    <w:name w:val="文档结构图 Char1"/>
    <w:next w:val="1134"/>
    <w:link w:val="1063"/>
    <w:uiPriority w:val="99"/>
    <w:semiHidden/>
    <w:rPr>
      <w:rFonts w:ascii="宋体"/>
      <w:sz w:val="18"/>
      <w:szCs w:val="18"/>
    </w:rPr>
  </w:style>
  <w:style w:type="character" w:styleId="1135">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35"/>
    <w:link w:val="1063"/>
    <w:rPr>
      <w:rFonts w:ascii="宋体" w:hAnsi="Courier New" w:eastAsia="宋体"/>
      <w:sz w:val="24"/>
      <w:lang w:val="en-US" w:eastAsia="zh-CN" w:bidi="ar-SA"/>
    </w:rPr>
  </w:style>
  <w:style w:type="character" w:styleId="1136">
    <w:name w:val="gpa"/>
    <w:next w:val="1136"/>
    <w:link w:val="1063"/>
    <w:rPr>
      <w:rFonts w:ascii="Arial" w:hAnsi="Arial" w:cs="Arial"/>
      <w:sz w:val="15"/>
      <w:szCs w:val="15"/>
    </w:rPr>
  </w:style>
  <w:style w:type="character" w:styleId="1137">
    <w:name w:val="displayarti"/>
    <w:next w:val="1137"/>
    <w:link w:val="1063"/>
    <w:rPr>
      <w:color w:val="ffffff"/>
      <w:shd w:val="clear" w:color="auto" w:fill="a00000"/>
    </w:rPr>
  </w:style>
  <w:style w:type="character" w:styleId="1138">
    <w:name w:val="font01"/>
    <w:next w:val="1138"/>
    <w:link w:val="1063"/>
    <w:qFormat/>
    <w:rPr>
      <w:rFonts w:ascii="Calibri" w:hAnsi="Calibri" w:cs="Calibri"/>
      <w:color w:val="000000"/>
      <w:sz w:val="21"/>
      <w:szCs w:val="21"/>
      <w:u w:val="none"/>
    </w:rPr>
  </w:style>
  <w:style w:type="character" w:styleId="1139">
    <w:name w:val="1page sec3 Char,Footer-Even Char,FtrF Char,fo Char,footer odd Char,odd Char,footer Final Char Char"/>
    <w:next w:val="1139"/>
    <w:link w:val="1063"/>
    <w:rPr>
      <w:rFonts w:eastAsia="宋体"/>
      <w:sz w:val="18"/>
      <w:szCs w:val="18"/>
      <w:lang w:val="en-US" w:eastAsia="zh-CN" w:bidi="ar-SA"/>
    </w:rPr>
  </w:style>
  <w:style w:type="character" w:styleId="1140">
    <w:name w:val="apple-style-span"/>
    <w:next w:val="1140"/>
    <w:link w:val="1063"/>
  </w:style>
  <w:style w:type="character" w:styleId="1141">
    <w:name w:val="selected"/>
    <w:next w:val="1141"/>
    <w:link w:val="1063"/>
    <w:rPr>
      <w:shd w:val="clear" w:color="auto" w:fill="b00006"/>
    </w:rPr>
  </w:style>
  <w:style w:type="character" w:styleId="1142">
    <w:name w:val="hover12"/>
    <w:next w:val="1142"/>
    <w:link w:val="1063"/>
  </w:style>
  <w:style w:type="character" w:styleId="1143">
    <w:name w:val="_Style 6"/>
    <w:next w:val="1143"/>
    <w:link w:val="1063"/>
    <w:uiPriority w:val="19"/>
    <w:qFormat/>
    <w:rPr>
      <w:i/>
      <w:iCs/>
      <w:color w:val="808080"/>
    </w:rPr>
  </w:style>
  <w:style w:type="character" w:styleId="1144">
    <w:name w:val="Char Char5"/>
    <w:next w:val="1144"/>
    <w:link w:val="1063"/>
    <w:rPr>
      <w:rFonts w:ascii="宋体" w:hAnsi="Courier New" w:eastAsia="宋体" w:cs="宋体"/>
      <w:sz w:val="28"/>
      <w:szCs w:val="28"/>
      <w:lang w:val="en-US" w:eastAsia="zh-CN"/>
    </w:rPr>
  </w:style>
  <w:style w:type="character" w:styleId="1145">
    <w:name w:val="z-窗体顶端 字符"/>
    <w:next w:val="1145"/>
    <w:link w:val="1146"/>
    <w:uiPriority w:val="99"/>
    <w:semiHidden/>
    <w:rPr>
      <w:rFonts w:ascii="Arial" w:hAnsi="Arial" w:eastAsia="宋体" w:cs="Arial"/>
      <w:vanish/>
      <w:sz w:val="16"/>
      <w:szCs w:val="16"/>
    </w:rPr>
  </w:style>
  <w:style w:type="paragraph" w:styleId="1146">
    <w:name w:val="z-窗体顶端"/>
    <w:basedOn w:val="1063"/>
    <w:next w:val="1063"/>
    <w:link w:val="1145"/>
    <w:uiPriority w:val="99"/>
    <w:unhideWhenUsed/>
    <w:pPr>
      <w:jc w:val="center"/>
      <w:widowControl/>
      <w:pBdr>
        <w:bottom w:val="single" w:color="000000" w:sz="6" w:space="1"/>
      </w:pBdr>
    </w:pPr>
    <w:rPr>
      <w:rFonts w:ascii="Arial" w:hAnsi="Arial" w:eastAsia="宋体"/>
      <w:vanish/>
      <w:sz w:val="16"/>
      <w:szCs w:val="16"/>
    </w:rPr>
  </w:style>
  <w:style w:type="character" w:styleId="1147">
    <w:name w:val="label"/>
    <w:next w:val="1147"/>
    <w:link w:val="1063"/>
    <w:rPr>
      <w:color w:val="999999"/>
    </w:rPr>
  </w:style>
  <w:style w:type="character" w:styleId="1148">
    <w:name w:val="正文文字 Char Char,正文文字 Char1,bt Char,body text Char,?y????×? Char,上海中望标准正文文字 Char,ändrad Char,b Char Char"/>
    <w:next w:val="1148"/>
    <w:link w:val="1063"/>
    <w:rPr>
      <w:rFonts w:ascii="仿宋_GB2312" w:hAnsi="宋体" w:eastAsia="仿宋_GB2312" w:cs="仿宋_GB2312"/>
      <w:sz w:val="24"/>
      <w:szCs w:val="24"/>
    </w:rPr>
  </w:style>
  <w:style w:type="character" w:styleId="1149">
    <w:name w:val=" Char Char13"/>
    <w:next w:val="1149"/>
    <w:link w:val="1063"/>
    <w:rPr>
      <w:b/>
      <w:bCs/>
      <w:sz w:val="44"/>
      <w:szCs w:val="44"/>
    </w:rPr>
  </w:style>
  <w:style w:type="character" w:styleId="1150">
    <w:name w:val="z-窗体底端 字符"/>
    <w:next w:val="1150"/>
    <w:link w:val="1151"/>
    <w:uiPriority w:val="99"/>
    <w:semiHidden/>
    <w:rPr>
      <w:rFonts w:ascii="Arial" w:hAnsi="Arial" w:eastAsia="宋体" w:cs="Arial"/>
      <w:vanish/>
      <w:sz w:val="16"/>
      <w:szCs w:val="16"/>
    </w:rPr>
  </w:style>
  <w:style w:type="paragraph" w:styleId="1151">
    <w:name w:val="z-窗体底端"/>
    <w:basedOn w:val="1063"/>
    <w:next w:val="1063"/>
    <w:link w:val="1150"/>
    <w:uiPriority w:val="99"/>
    <w:unhideWhenUsed/>
    <w:pPr>
      <w:jc w:val="center"/>
      <w:widowControl/>
      <w:pBdr>
        <w:top w:val="single" w:color="000000" w:sz="6" w:space="1"/>
      </w:pBdr>
    </w:pPr>
    <w:rPr>
      <w:rFonts w:ascii="Arial" w:hAnsi="Arial" w:eastAsia="宋体"/>
      <w:vanish/>
      <w:sz w:val="16"/>
      <w:szCs w:val="16"/>
    </w:rPr>
  </w:style>
  <w:style w:type="paragraph" w:styleId="1152">
    <w:name w:val="标题 （小）"/>
    <w:basedOn w:val="1115"/>
    <w:next w:val="1152"/>
    <w:link w:val="1063"/>
    <w:qFormat/>
    <w:pPr>
      <w:spacing w:line="480" w:lineRule="auto"/>
      <w:outlineLvl w:val="9"/>
    </w:pPr>
    <w:rPr>
      <w:rFonts w:ascii="华文新魏" w:hAnsi="Arial" w:eastAsia="华文新魏" w:cs="Arial"/>
      <w:szCs w:val="44"/>
    </w:rPr>
  </w:style>
  <w:style w:type="paragraph" w:styleId="1153">
    <w:name w:val="Char"/>
    <w:basedOn w:val="1063"/>
    <w:next w:val="1153"/>
    <w:link w:val="1063"/>
    <w:pPr>
      <w:jc w:val="left"/>
      <w:spacing w:after="160" w:line="240" w:lineRule="exact"/>
      <w:widowControl/>
    </w:pPr>
    <w:rPr>
      <w:rFonts w:ascii="Verdana" w:hAnsi="Verdana" w:eastAsia="宋体" w:cs="Verdana"/>
      <w:sz w:val="18"/>
      <w:szCs w:val="18"/>
      <w:lang w:eastAsia="en-US"/>
    </w:rPr>
  </w:style>
  <w:style w:type="paragraph" w:styleId="1154">
    <w:name w:val="xl92"/>
    <w:basedOn w:val="1063"/>
    <w:next w:val="1154"/>
    <w:link w:val="106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55">
    <w:name w:val="xl87"/>
    <w:basedOn w:val="1063"/>
    <w:next w:val="1155"/>
    <w:link w:val="1063"/>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56">
    <w:name w:val="font8"/>
    <w:basedOn w:val="1063"/>
    <w:next w:val="1156"/>
    <w:link w:val="1063"/>
    <w:pPr>
      <w:jc w:val="left"/>
      <w:spacing w:before="100" w:beforeAutospacing="1" w:after="100" w:afterAutospacing="1"/>
      <w:widowControl/>
    </w:pPr>
    <w:rPr>
      <w:rFonts w:ascii="宋体" w:hAnsi="宋体" w:cs="宋体"/>
      <w:b/>
      <w:bCs/>
      <w:color w:val="000000"/>
      <w:szCs w:val="21"/>
    </w:rPr>
  </w:style>
  <w:style w:type="paragraph" w:styleId="1157">
    <w:name w:val="font13"/>
    <w:basedOn w:val="1063"/>
    <w:next w:val="1157"/>
    <w:link w:val="1063"/>
    <w:pPr>
      <w:jc w:val="left"/>
      <w:spacing w:before="100" w:beforeAutospacing="1" w:after="100" w:afterAutospacing="1"/>
      <w:widowControl/>
    </w:pPr>
    <w:rPr>
      <w:rFonts w:ascii="宋体" w:hAnsi="宋体" w:cs="宋体"/>
      <w:sz w:val="18"/>
      <w:szCs w:val="18"/>
    </w:rPr>
  </w:style>
  <w:style w:type="paragraph" w:styleId="1158">
    <w:name w:val="前言、引言标题"/>
    <w:next w:val="1063"/>
    <w:link w:val="1063"/>
    <w:pPr>
      <w:jc w:val="center"/>
      <w:spacing w:before="640" w:after="560"/>
      <w:shd w:val="clear" w:color="ffffff" w:fill="ffffff"/>
      <w:outlineLvl w:val="0"/>
    </w:pPr>
    <w:rPr>
      <w:rFonts w:ascii="黑体" w:eastAsia="黑体" w:cs="黑体"/>
      <w:sz w:val="32"/>
      <w:szCs w:val="32"/>
      <w:lang w:val="en-US" w:eastAsia="zh-CN" w:bidi="ar-SA"/>
    </w:rPr>
  </w:style>
  <w:style w:type="paragraph" w:styleId="1159">
    <w:name w:val="xl108"/>
    <w:basedOn w:val="1063"/>
    <w:next w:val="1159"/>
    <w:link w:val="10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font10"/>
    <w:basedOn w:val="1063"/>
    <w:next w:val="1160"/>
    <w:link w:val="1063"/>
    <w:pPr>
      <w:jc w:val="left"/>
      <w:spacing w:before="100" w:beforeAutospacing="1" w:after="100" w:afterAutospacing="1"/>
      <w:widowControl/>
    </w:pPr>
    <w:rPr>
      <w:rFonts w:ascii="宋体" w:hAnsi="宋体" w:cs="宋体"/>
      <w:color w:val="000000"/>
      <w:sz w:val="22"/>
    </w:rPr>
  </w:style>
  <w:style w:type="paragraph" w:styleId="1161">
    <w:name w:val="xl91"/>
    <w:basedOn w:val="1063"/>
    <w:next w:val="1161"/>
    <w:link w:val="1063"/>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62">
    <w:name w:val="xl74"/>
    <w:basedOn w:val="1063"/>
    <w:next w:val="1162"/>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63">
    <w:name w:val="程序1.1"/>
    <w:next w:val="1163"/>
    <w:link w:val="1063"/>
    <w:pPr>
      <w:numPr>
        <w:ilvl w:val="1"/>
        <w:numId w:val="1"/>
      </w:numPr>
      <w:tabs>
        <w:tab w:val="left" w:pos="359" w:leader="none"/>
        <w:tab w:val="left" w:pos="990" w:leader="none"/>
      </w:tabs>
    </w:pPr>
    <w:rPr>
      <w:sz w:val="21"/>
      <w:szCs w:val="21"/>
      <w:lang w:val="en-US" w:eastAsia="zh-CN" w:bidi="ar-SA"/>
    </w:rPr>
  </w:style>
  <w:style w:type="paragraph" w:styleId="1164">
    <w:name w:val="_Style 2"/>
    <w:basedOn w:val="1063"/>
    <w:next w:val="1164"/>
    <w:link w:val="1063"/>
    <w:qFormat/>
    <w:pPr>
      <w:ind w:firstLine="420"/>
    </w:pPr>
    <w:rPr>
      <w:rFonts w:ascii="Calibri" w:hAnsi="Calibri"/>
    </w:rPr>
  </w:style>
  <w:style w:type="paragraph" w:styleId="1165">
    <w:name w:val="xl72"/>
    <w:basedOn w:val="1063"/>
    <w:next w:val="1165"/>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6">
    <w:name w:val="xl89"/>
    <w:basedOn w:val="1063"/>
    <w:next w:val="1166"/>
    <w:link w:val="1063"/>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67">
    <w:name w:val="xl69"/>
    <w:basedOn w:val="1063"/>
    <w:next w:val="1167"/>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name w:val="Table Paragraph"/>
    <w:basedOn w:val="1063"/>
    <w:next w:val="1168"/>
    <w:link w:val="1063"/>
    <w:uiPriority w:val="1"/>
    <w:qFormat/>
    <w:rPr>
      <w:rFonts w:ascii="宋体" w:hAnsi="宋体" w:eastAsia="宋体" w:cs="宋体"/>
      <w:lang w:val="zh-CN" w:eastAsia="zh-CN" w:bidi="zh-CN"/>
    </w:rPr>
  </w:style>
  <w:style w:type="paragraph" w:styleId="1169">
    <w:name w:val="xl70"/>
    <w:basedOn w:val="1063"/>
    <w:next w:val="1169"/>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70">
    <w:name w:val="List Paragraph1"/>
    <w:basedOn w:val="1063"/>
    <w:next w:val="1170"/>
    <w:link w:val="1063"/>
    <w:uiPriority w:val="34"/>
    <w:qFormat/>
    <w:pPr>
      <w:ind w:firstLine="420"/>
    </w:pPr>
    <w:rPr>
      <w:rFonts w:ascii="Calibri" w:hAnsi="Calibri" w:eastAsia="宋体" w:cs="Times New Roman"/>
      <w:szCs w:val="22"/>
    </w:rPr>
  </w:style>
  <w:style w:type="paragraph" w:styleId="1171">
    <w:name w:val="xl83"/>
    <w:basedOn w:val="1063"/>
    <w:next w:val="1171"/>
    <w:link w:val="1063"/>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172">
    <w:name w:val="列表段落"/>
    <w:basedOn w:val="1063"/>
    <w:next w:val="1172"/>
    <w:link w:val="1063"/>
    <w:qFormat/>
    <w:pPr>
      <w:ind w:firstLine="420"/>
    </w:pPr>
    <w:rPr>
      <w:szCs w:val="24"/>
    </w:rPr>
  </w:style>
  <w:style w:type="paragraph" w:styleId="1173">
    <w:name w:val="xl68"/>
    <w:basedOn w:val="1063"/>
    <w:next w:val="1173"/>
    <w:link w:val="10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74">
    <w:name w:val=" Char Char"/>
    <w:basedOn w:val="1063"/>
    <w:next w:val="1174"/>
    <w:link w:val="1063"/>
    <w:pPr>
      <w:tabs>
        <w:tab w:val="left" w:pos="360" w:leader="none"/>
      </w:tabs>
    </w:pPr>
    <w:rPr>
      <w:sz w:val="24"/>
      <w:szCs w:val="24"/>
    </w:rPr>
  </w:style>
  <w:style w:type="paragraph" w:styleId="1175">
    <w:name w:val="xl81"/>
    <w:basedOn w:val="1063"/>
    <w:next w:val="1175"/>
    <w:link w:val="1063"/>
    <w:pPr>
      <w:jc w:val="left"/>
      <w:spacing w:before="100" w:beforeAutospacing="1" w:after="100" w:afterAutospacing="1"/>
      <w:widowControl/>
      <w:pBdr>
        <w:left w:val="single" w:color="000000" w:sz="4" w:space="0"/>
        <w:right w:val="single" w:color="000000" w:sz="4" w:space="0"/>
      </w:pBdr>
    </w:pPr>
    <w:rPr>
      <w:sz w:val="20"/>
      <w:szCs w:val="20"/>
    </w:rPr>
  </w:style>
  <w:style w:type="paragraph" w:styleId="1176">
    <w:name w:val="字母编号"/>
    <w:next w:val="1176"/>
    <w:link w:val="1063"/>
    <w:pPr>
      <w:numPr>
        <w:ilvl w:val="2"/>
        <w:numId w:val="2"/>
      </w:numPr>
      <w:tabs>
        <w:tab w:val="left" w:pos="360" w:leader="none"/>
      </w:tabs>
    </w:pPr>
    <w:rPr>
      <w:sz w:val="21"/>
      <w:szCs w:val="21"/>
      <w:lang w:val="en-US" w:eastAsia="zh-CN" w:bidi="ar-SA"/>
    </w:rPr>
  </w:style>
  <w:style w:type="paragraph" w:styleId="1177">
    <w:name w:val="xl103"/>
    <w:basedOn w:val="1063"/>
    <w:next w:val="1177"/>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78">
    <w:name w:val="BodyTextIndent1"/>
    <w:basedOn w:val="1063"/>
    <w:next w:val="1179"/>
    <w:link w:val="1063"/>
    <w:qFormat/>
    <w:pPr>
      <w:ind w:firstLine="403"/>
      <w:spacing w:line="440" w:lineRule="exact"/>
    </w:pPr>
    <w:rPr>
      <w:rFonts w:ascii="宋体" w:hAnsi="宋体" w:eastAsia="宋体"/>
      <w:szCs w:val="21"/>
    </w:rPr>
  </w:style>
  <w:style w:type="paragraph" w:styleId="1179">
    <w:name w:val="EnvelopeReturn1"/>
    <w:basedOn w:val="1063"/>
    <w:next w:val="1179"/>
    <w:link w:val="1063"/>
    <w:qFormat/>
    <w:rPr>
      <w:rFonts w:ascii="Arial" w:hAnsi="Arial"/>
    </w:rPr>
  </w:style>
  <w:style w:type="paragraph" w:styleId="1180">
    <w:name w:val="xl112"/>
    <w:basedOn w:val="1063"/>
    <w:next w:val="1180"/>
    <w:link w:val="1063"/>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81">
    <w:name w:val="xl82"/>
    <w:basedOn w:val="1063"/>
    <w:next w:val="1181"/>
    <w:link w:val="10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182">
    <w:name w:val="xl85"/>
    <w:basedOn w:val="1063"/>
    <w:next w:val="1182"/>
    <w:link w:val="1063"/>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83">
    <w:name w:val="xl86"/>
    <w:basedOn w:val="1063"/>
    <w:next w:val="1183"/>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84">
    <w:name w:val="段"/>
    <w:next w:val="1184"/>
    <w:link w:val="1063"/>
    <w:pPr>
      <w:ind w:firstLine="200"/>
      <w:jc w:val="both"/>
    </w:pPr>
    <w:rPr>
      <w:rFonts w:ascii="宋体" w:cs="宋体"/>
      <w:sz w:val="21"/>
      <w:szCs w:val="21"/>
      <w:lang w:val="en-US" w:eastAsia="zh-CN" w:bidi="ar-SA"/>
    </w:rPr>
  </w:style>
  <w:style w:type="paragraph" w:styleId="1185">
    <w:name w:val="修订"/>
    <w:next w:val="1185"/>
    <w:link w:val="1063"/>
    <w:uiPriority w:val="99"/>
    <w:unhideWhenUsed/>
    <w:rPr>
      <w:rFonts w:eastAsia="微软雅黑"/>
      <w:sz w:val="21"/>
      <w:szCs w:val="22"/>
      <w:lang w:val="en-US" w:eastAsia="zh-CN" w:bidi="ar-SA"/>
    </w:rPr>
  </w:style>
  <w:style w:type="paragraph" w:styleId="1186">
    <w:name w:val="xl102"/>
    <w:basedOn w:val="1063"/>
    <w:next w:val="1186"/>
    <w:link w:val="10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87">
    <w:name w:val="三级条标题"/>
    <w:basedOn w:val="1188"/>
    <w:next w:val="1063"/>
    <w:link w:val="1063"/>
    <w:pPr>
      <w:outlineLvl w:val="4"/>
    </w:pPr>
  </w:style>
  <w:style w:type="paragraph" w:styleId="1188">
    <w:name w:val="二级条标题"/>
    <w:basedOn w:val="1189"/>
    <w:next w:val="1063"/>
    <w:link w:val="1063"/>
    <w:pPr>
      <w:outlineLvl w:val="3"/>
    </w:pPr>
  </w:style>
  <w:style w:type="paragraph" w:styleId="1189">
    <w:name w:val="一级条标题"/>
    <w:next w:val="1063"/>
    <w:link w:val="1063"/>
    <w:pPr>
      <w:outlineLvl w:val="2"/>
    </w:pPr>
    <w:rPr>
      <w:rFonts w:eastAsia="黑体"/>
      <w:sz w:val="21"/>
      <w:szCs w:val="21"/>
      <w:lang w:val="en-US" w:eastAsia="zh-CN" w:bidi="ar-SA"/>
    </w:rPr>
  </w:style>
  <w:style w:type="paragraph" w:styleId="1190">
    <w:name w:val="四级条标题"/>
    <w:basedOn w:val="1187"/>
    <w:next w:val="1063"/>
    <w:link w:val="1063"/>
    <w:pPr>
      <w:outlineLvl w:val="5"/>
    </w:pPr>
  </w:style>
  <w:style w:type="paragraph" w:styleId="1191">
    <w:name w:val="BodyText1I21"/>
    <w:basedOn w:val="1178"/>
    <w:next w:val="1063"/>
    <w:link w:val="1063"/>
    <w:qFormat/>
    <w:pPr>
      <w:ind w:firstLine="420"/>
    </w:pPr>
    <w:rPr>
      <w:rFonts w:ascii="Calibri" w:hAnsi="Calibri"/>
    </w:rPr>
  </w:style>
  <w:style w:type="paragraph" w:styleId="1192">
    <w:name w:val="xl65"/>
    <w:basedOn w:val="1063"/>
    <w:next w:val="1192"/>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93">
    <w:name w:val="xl106"/>
    <w:basedOn w:val="1063"/>
    <w:next w:val="1193"/>
    <w:link w:val="1063"/>
    <w:pPr>
      <w:jc w:val="left"/>
      <w:spacing w:before="100" w:beforeAutospacing="1" w:after="100" w:afterAutospacing="1"/>
      <w:widowControl/>
      <w:pBdr>
        <w:top w:val="single" w:color="000000" w:sz="4" w:space="0"/>
      </w:pBdr>
    </w:pPr>
    <w:rPr>
      <w:rFonts w:ascii="宋体" w:hAnsi="宋体" w:cs="宋体"/>
      <w:b/>
      <w:bCs/>
      <w:szCs w:val="21"/>
    </w:rPr>
  </w:style>
  <w:style w:type="paragraph" w:styleId="1194">
    <w:name w:val="xl80"/>
    <w:basedOn w:val="1063"/>
    <w:next w:val="1194"/>
    <w:link w:val="1063"/>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95">
    <w:name w:val="xl76"/>
    <w:basedOn w:val="1063"/>
    <w:next w:val="1195"/>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6">
    <w:name w:val="正文 New New New New New New New New New New New New New New New New New New New"/>
    <w:next w:val="1196"/>
    <w:link w:val="1063"/>
    <w:qFormat/>
    <w:pPr>
      <w:jc w:val="both"/>
      <w:widowControl w:val="off"/>
    </w:pPr>
    <w:rPr>
      <w:sz w:val="28"/>
      <w:szCs w:val="24"/>
      <w:lang w:val="en-US" w:eastAsia="zh-CN" w:bidi="ar-SA"/>
    </w:rPr>
  </w:style>
  <w:style w:type="paragraph" w:styleId="1197">
    <w:name w:val="xl73"/>
    <w:basedOn w:val="1063"/>
    <w:next w:val="1197"/>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name w:val="xl84"/>
    <w:basedOn w:val="1063"/>
    <w:next w:val="1198"/>
    <w:link w:val="10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199">
    <w:name w:val="正文宋体4"/>
    <w:basedOn w:val="1063"/>
    <w:next w:val="1199"/>
    <w:link w:val="1063"/>
    <w:pPr>
      <w:ind w:firstLine="359"/>
      <w:tabs>
        <w:tab w:val="left" w:pos="0" w:leader="none"/>
      </w:tabs>
    </w:pPr>
    <w:rPr>
      <w:rFonts w:ascii="仿宋_GB2312" w:eastAsia="仿宋_GB2312"/>
      <w:b/>
      <w:color w:val="000000"/>
      <w:sz w:val="24"/>
      <w:szCs w:val="24"/>
    </w:rPr>
  </w:style>
  <w:style w:type="paragraph" w:styleId="1200">
    <w:name w:val="Standard"/>
    <w:next w:val="1200"/>
    <w:link w:val="1063"/>
    <w:pPr>
      <w:numPr>
        <w:ilvl w:val="0"/>
        <w:numId w:val="3"/>
      </w:numPr>
      <w:ind w:left="0" w:firstLine="0"/>
      <w:widowControl w:val="off"/>
      <w:tabs>
        <w:tab w:val="clear" w:pos="360" w:leader="none"/>
      </w:tabs>
    </w:pPr>
    <w:rPr>
      <w:rFonts w:ascii="Arial" w:hAnsi="Arial" w:eastAsia="Times New Roman"/>
      <w:lang w:val="de-DE" w:eastAsia="zh-CN" w:bidi="ar-SA"/>
    </w:rPr>
  </w:style>
  <w:style w:type="paragraph" w:styleId="1201">
    <w:name w:val="font7"/>
    <w:basedOn w:val="1063"/>
    <w:next w:val="1201"/>
    <w:link w:val="1063"/>
    <w:pPr>
      <w:jc w:val="left"/>
      <w:spacing w:before="100" w:beforeAutospacing="1" w:after="100" w:afterAutospacing="1"/>
      <w:widowControl/>
    </w:pPr>
    <w:rPr>
      <w:b/>
      <w:bCs/>
      <w:color w:val="000000"/>
      <w:szCs w:val="21"/>
    </w:rPr>
  </w:style>
  <w:style w:type="paragraph" w:styleId="1202">
    <w:name w:val="xl107"/>
    <w:basedOn w:val="1063"/>
    <w:next w:val="1202"/>
    <w:link w:val="1063"/>
    <w:pPr>
      <w:jc w:val="left"/>
      <w:spacing w:before="100" w:beforeAutospacing="1" w:after="100" w:afterAutospacing="1"/>
      <w:widowControl/>
      <w:pBdr>
        <w:bottom w:val="single" w:color="000000" w:sz="4" w:space="0"/>
      </w:pBdr>
    </w:pPr>
    <w:rPr>
      <w:rFonts w:ascii="宋体" w:hAnsi="宋体" w:cs="宋体"/>
      <w:b/>
      <w:bCs/>
      <w:szCs w:val="21"/>
    </w:rPr>
  </w:style>
  <w:style w:type="paragraph" w:styleId="1203">
    <w:name w:val="程序1.1.1"/>
    <w:next w:val="1203"/>
    <w:link w:val="1063"/>
    <w:pPr>
      <w:numPr>
        <w:ilvl w:val="1"/>
        <w:numId w:val="2"/>
      </w:numPr>
      <w:tabs>
        <w:tab w:val="left" w:pos="360" w:leader="none"/>
        <w:tab w:val="left" w:pos="525" w:leader="none"/>
      </w:tabs>
    </w:pPr>
    <w:rPr>
      <w:sz w:val="21"/>
      <w:szCs w:val="21"/>
      <w:lang w:val="en-US" w:eastAsia="zh-CN" w:bidi="ar-SA"/>
    </w:rPr>
  </w:style>
  <w:style w:type="paragraph" w:styleId="1204">
    <w:name w:val="正文（文本）"/>
    <w:next w:val="1204"/>
    <w:link w:val="1063"/>
    <w:qFormat/>
    <w:pPr>
      <w:jc w:val="center"/>
      <w:spacing w:line="360" w:lineRule="auto"/>
      <w:widowControl w:val="off"/>
    </w:pPr>
    <w:rPr>
      <w:rFonts w:hAnsi="宋体"/>
      <w:sz w:val="28"/>
      <w:szCs w:val="28"/>
      <w:lang w:val="en-US" w:eastAsia="zh-CN" w:bidi="ar-SA"/>
    </w:rPr>
  </w:style>
  <w:style w:type="paragraph" w:styleId="1205">
    <w:name w:val="xl109"/>
    <w:basedOn w:val="1063"/>
    <w:next w:val="1205"/>
    <w:link w:val="106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06">
    <w:name w:val="tc"/>
    <w:basedOn w:val="1063"/>
    <w:next w:val="1206"/>
    <w:link w:val="1063"/>
    <w:pPr>
      <w:jc w:val="center"/>
    </w:pPr>
    <w:rPr>
      <w:szCs w:val="24"/>
    </w:rPr>
  </w:style>
  <w:style w:type="paragraph" w:styleId="1207">
    <w:name w:val="程序1"/>
    <w:next w:val="1063"/>
    <w:link w:val="1063"/>
    <w:pPr>
      <w:numPr>
        <w:ilvl w:val="0"/>
        <w:numId w:val="2"/>
      </w:numPr>
      <w:ind w:left="360" w:hanging="360"/>
      <w:tabs>
        <w:tab w:val="left" w:pos="360" w:leader="none"/>
      </w:tabs>
    </w:pPr>
    <w:rPr>
      <w:b/>
      <w:bCs/>
      <w:sz w:val="24"/>
      <w:szCs w:val="24"/>
      <w:lang w:val="en-US" w:eastAsia="zh-CN" w:bidi="ar-SA"/>
    </w:rPr>
  </w:style>
  <w:style w:type="paragraph" w:styleId="1208">
    <w:name w:val="注："/>
    <w:next w:val="1063"/>
    <w:link w:val="1063"/>
    <w:pPr>
      <w:numPr>
        <w:ilvl w:val="0"/>
        <w:numId w:val="4"/>
      </w:numPr>
      <w:jc w:val="both"/>
      <w:widowControl w:val="off"/>
      <w:tabs>
        <w:tab w:val="left" w:pos="1140" w:leader="none"/>
      </w:tabs>
    </w:pPr>
    <w:rPr>
      <w:rFonts w:ascii="宋体" w:cs="宋体"/>
      <w:sz w:val="18"/>
      <w:szCs w:val="18"/>
      <w:lang w:val="en-US" w:eastAsia="zh-CN" w:bidi="ar-SA"/>
    </w:rPr>
  </w:style>
  <w:style w:type="paragraph" w:styleId="1209">
    <w:name w:val="xl97"/>
    <w:basedOn w:val="1063"/>
    <w:next w:val="1209"/>
    <w:link w:val="1063"/>
    <w:pPr>
      <w:jc w:val="left"/>
      <w:spacing w:before="100" w:beforeAutospacing="1" w:after="100" w:afterAutospacing="1"/>
      <w:widowControl/>
    </w:pPr>
    <w:rPr>
      <w:rFonts w:ascii="宋体" w:hAnsi="宋体" w:cs="宋体"/>
      <w:szCs w:val="21"/>
    </w:rPr>
  </w:style>
  <w:style w:type="paragraph" w:styleId="1210">
    <w:name w:val="TOC 标题"/>
    <w:basedOn w:val="1064"/>
    <w:next w:val="1063"/>
    <w:link w:val="1063"/>
    <w:uiPriority w:val="39"/>
    <w:qFormat/>
    <w:pPr>
      <w:jc w:val="left"/>
      <w:spacing w:before="480" w:after="0" w:line="276" w:lineRule="auto"/>
      <w:widowControl/>
      <w:outlineLvl w:val="9"/>
    </w:pPr>
    <w:rPr>
      <w:rFonts w:ascii="Cambria" w:hAnsi="Cambria"/>
      <w:color w:val="365f91"/>
      <w:sz w:val="28"/>
      <w:szCs w:val="28"/>
    </w:rPr>
  </w:style>
  <w:style w:type="paragraph" w:styleId="1211">
    <w:name w:val="xl100"/>
    <w:basedOn w:val="1063"/>
    <w:next w:val="1211"/>
    <w:link w:val="10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12">
    <w:name w:val="xl78"/>
    <w:basedOn w:val="1063"/>
    <w:next w:val="1212"/>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3">
    <w:name w:val="xl66"/>
    <w:basedOn w:val="1063"/>
    <w:next w:val="1213"/>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4">
    <w:name w:val="xl77"/>
    <w:basedOn w:val="1063"/>
    <w:next w:val="1214"/>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name w:val="列出段落3"/>
    <w:basedOn w:val="1063"/>
    <w:next w:val="1215"/>
    <w:link w:val="1063"/>
    <w:uiPriority w:val="34"/>
    <w:qFormat/>
    <w:pPr>
      <w:ind w:firstLine="200"/>
      <w:spacing w:line="360" w:lineRule="auto"/>
      <w:widowControl/>
    </w:pPr>
    <w:rPr>
      <w:rFonts w:ascii="Calibri" w:hAnsi="Calibri"/>
      <w:sz w:val="24"/>
    </w:rPr>
  </w:style>
  <w:style w:type="paragraph" w:styleId="1216">
    <w:name w:val="xl111"/>
    <w:basedOn w:val="1063"/>
    <w:next w:val="1216"/>
    <w:link w:val="1063"/>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17">
    <w:name w:val="xl95"/>
    <w:basedOn w:val="1063"/>
    <w:next w:val="1217"/>
    <w:link w:val="1063"/>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18">
    <w:name w:val="List Paragraph"/>
    <w:basedOn w:val="1063"/>
    <w:next w:val="1218"/>
    <w:link w:val="1063"/>
    <w:uiPriority w:val="34"/>
    <w:qFormat/>
    <w:pPr>
      <w:ind w:firstLine="420"/>
    </w:pPr>
    <w:rPr>
      <w:rFonts w:ascii="Calibri" w:hAnsi="Calibri"/>
    </w:rPr>
  </w:style>
  <w:style w:type="paragraph" w:styleId="1219">
    <w:name w:val="font11"/>
    <w:basedOn w:val="1063"/>
    <w:next w:val="1219"/>
    <w:link w:val="1063"/>
    <w:pPr>
      <w:jc w:val="left"/>
      <w:spacing w:before="100" w:beforeAutospacing="1" w:after="100" w:afterAutospacing="1"/>
      <w:widowControl/>
    </w:pPr>
    <w:rPr>
      <w:rFonts w:ascii="宋体" w:hAnsi="宋体" w:cs="宋体"/>
      <w:color w:val="000000"/>
      <w:sz w:val="18"/>
      <w:szCs w:val="18"/>
    </w:rPr>
  </w:style>
  <w:style w:type="paragraph" w:styleId="1220">
    <w:name w:val="xl101"/>
    <w:basedOn w:val="1063"/>
    <w:next w:val="1220"/>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1">
    <w:name w:val="xl104"/>
    <w:basedOn w:val="1063"/>
    <w:next w:val="1221"/>
    <w:link w:val="1063"/>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22">
    <w:name w:val="xl67"/>
    <w:basedOn w:val="1063"/>
    <w:next w:val="1222"/>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23">
    <w:name w:val="font6"/>
    <w:basedOn w:val="1063"/>
    <w:next w:val="1223"/>
    <w:link w:val="1063"/>
    <w:pPr>
      <w:jc w:val="left"/>
      <w:spacing w:before="100" w:beforeAutospacing="1" w:after="100" w:afterAutospacing="1"/>
      <w:widowControl/>
    </w:pPr>
    <w:rPr>
      <w:color w:val="000000"/>
      <w:szCs w:val="21"/>
    </w:rPr>
  </w:style>
  <w:style w:type="paragraph" w:styleId="1224">
    <w:name w:val="正文 A"/>
    <w:next w:val="1224"/>
    <w:link w:val="1063"/>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25">
    <w:name w:val="Char1"/>
    <w:basedOn w:val="1063"/>
    <w:next w:val="1225"/>
    <w:link w:val="1063"/>
    <w:pPr>
      <w:jc w:val="left"/>
      <w:spacing w:after="160" w:line="240" w:lineRule="exact"/>
      <w:widowControl/>
    </w:pPr>
    <w:rPr>
      <w:rFonts w:ascii="Verdana" w:hAnsi="Verdana" w:eastAsia="宋体" w:cs="Verdana"/>
      <w:sz w:val="18"/>
      <w:szCs w:val="18"/>
      <w:lang w:eastAsia="en-US"/>
    </w:rPr>
  </w:style>
  <w:style w:type="paragraph" w:styleId="1226">
    <w:name w:val="reader-word-layer"/>
    <w:basedOn w:val="1063"/>
    <w:next w:val="1226"/>
    <w:link w:val="1063"/>
    <w:pPr>
      <w:jc w:val="left"/>
      <w:spacing w:before="100" w:beforeAutospacing="1" w:after="100" w:afterAutospacing="1"/>
      <w:widowControl/>
    </w:pPr>
    <w:rPr>
      <w:rFonts w:ascii="宋体" w:hAnsi="宋体" w:cs="宋体"/>
      <w:sz w:val="24"/>
      <w:szCs w:val="24"/>
    </w:rPr>
  </w:style>
  <w:style w:type="paragraph" w:styleId="1227">
    <w:name w:val="xl110"/>
    <w:basedOn w:val="1063"/>
    <w:next w:val="1227"/>
    <w:link w:val="1063"/>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28">
    <w:name w:val="xl96"/>
    <w:basedOn w:val="1063"/>
    <w:next w:val="1228"/>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29">
    <w:name w:val="font9"/>
    <w:basedOn w:val="1063"/>
    <w:next w:val="1229"/>
    <w:link w:val="1063"/>
    <w:pPr>
      <w:jc w:val="left"/>
      <w:spacing w:before="100" w:beforeAutospacing="1" w:after="100" w:afterAutospacing="1"/>
      <w:widowControl/>
    </w:pPr>
    <w:rPr>
      <w:rFonts w:ascii="宋体" w:hAnsi="宋体" w:cs="宋体"/>
      <w:color w:val="000000"/>
      <w:szCs w:val="21"/>
    </w:rPr>
  </w:style>
  <w:style w:type="paragraph" w:styleId="1230">
    <w:name w:val="font12"/>
    <w:basedOn w:val="1063"/>
    <w:next w:val="1230"/>
    <w:link w:val="1063"/>
    <w:pPr>
      <w:jc w:val="left"/>
      <w:spacing w:before="100" w:beforeAutospacing="1" w:after="100" w:afterAutospacing="1"/>
      <w:widowControl/>
    </w:pPr>
    <w:rPr>
      <w:rFonts w:ascii="宋体" w:hAnsi="宋体" w:cs="宋体"/>
      <w:color w:val="000000"/>
      <w:sz w:val="20"/>
      <w:szCs w:val="20"/>
    </w:rPr>
  </w:style>
  <w:style w:type="paragraph" w:styleId="1231">
    <w:name w:val="xl98"/>
    <w:basedOn w:val="1063"/>
    <w:next w:val="1231"/>
    <w:link w:val="1063"/>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32">
    <w:name w:val="xl75"/>
    <w:basedOn w:val="1063"/>
    <w:next w:val="1232"/>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33">
    <w:name w:val="xl88"/>
    <w:basedOn w:val="1063"/>
    <w:next w:val="1233"/>
    <w:link w:val="1063"/>
    <w:pPr>
      <w:jc w:val="left"/>
      <w:spacing w:before="100" w:beforeAutospacing="1" w:after="100" w:afterAutospacing="1"/>
      <w:widowControl/>
      <w:pBdr>
        <w:top w:val="single" w:color="000000" w:sz="4" w:space="0"/>
        <w:bottom w:val="single" w:color="000000" w:sz="4" w:space="0"/>
      </w:pBdr>
    </w:pPr>
    <w:rPr>
      <w:b/>
      <w:bCs/>
      <w:szCs w:val="21"/>
    </w:rPr>
  </w:style>
  <w:style w:type="paragraph" w:styleId="1234">
    <w:name w:val="xl71"/>
    <w:basedOn w:val="1063"/>
    <w:next w:val="1234"/>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35">
    <w:name w:val="五级条标题"/>
    <w:basedOn w:val="1190"/>
    <w:next w:val="1063"/>
    <w:link w:val="1063"/>
    <w:pPr>
      <w:outlineLvl w:val="6"/>
    </w:pPr>
  </w:style>
  <w:style w:type="paragraph" w:styleId="1236">
    <w:name w:val="标准称谓"/>
    <w:next w:val="1063"/>
    <w:link w:val="1063"/>
    <w:pPr>
      <w:jc w:val="both"/>
      <w:spacing w:line="240" w:lineRule="atLeast"/>
      <w:widowControl w:val="off"/>
      <w:framePr w:w="9638" w:h="754" w:vSpace="180" w:hSpace="180" w:wrap="around" w:vAnchor="page" w:hAnchor="margin" w:xAlign="center" w:y="2127" w:hRule="exact"/>
    </w:pPr>
    <w:rPr>
      <w:rFonts w:ascii="宋体" w:cs="宋体"/>
      <w:b/>
      <w:bCs/>
      <w:spacing w:val="20"/>
      <w:sz w:val="52"/>
      <w:szCs w:val="52"/>
      <w:lang w:val="en-US" w:eastAsia="zh-CN" w:bidi="ar-SA"/>
    </w:rPr>
  </w:style>
  <w:style w:type="paragraph" w:styleId="1237">
    <w:name w:val="font14"/>
    <w:basedOn w:val="1063"/>
    <w:next w:val="1237"/>
    <w:link w:val="1063"/>
    <w:pPr>
      <w:jc w:val="left"/>
      <w:spacing w:before="100" w:beforeAutospacing="1" w:after="100" w:afterAutospacing="1"/>
      <w:widowControl/>
    </w:pPr>
    <w:rPr>
      <w:rFonts w:ascii="宋体" w:hAnsi="宋体" w:cs="宋体"/>
      <w:color w:val="000000"/>
      <w:szCs w:val="21"/>
    </w:rPr>
  </w:style>
  <w:style w:type="paragraph" w:styleId="1238">
    <w:name w:val=" Char1"/>
    <w:basedOn w:val="1063"/>
    <w:next w:val="1238"/>
    <w:link w:val="1063"/>
    <w:rPr>
      <w:rFonts w:ascii="仿宋_GB2312" w:eastAsia="仿宋_GB2312"/>
      <w:b/>
      <w:sz w:val="32"/>
      <w:szCs w:val="32"/>
    </w:rPr>
  </w:style>
  <w:style w:type="paragraph" w:styleId="1239">
    <w:name w:val="font5"/>
    <w:basedOn w:val="1063"/>
    <w:next w:val="1239"/>
    <w:link w:val="1063"/>
    <w:pPr>
      <w:jc w:val="left"/>
      <w:spacing w:before="100" w:beforeAutospacing="1" w:after="100" w:afterAutospacing="1"/>
      <w:widowControl/>
    </w:pPr>
    <w:rPr>
      <w:color w:val="000000"/>
      <w:sz w:val="20"/>
      <w:szCs w:val="20"/>
    </w:rPr>
  </w:style>
  <w:style w:type="paragraph" w:styleId="1240">
    <w:name w:val="xl93"/>
    <w:basedOn w:val="1063"/>
    <w:next w:val="1240"/>
    <w:link w:val="1063"/>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41">
    <w:name w:val="xl94"/>
    <w:basedOn w:val="1063"/>
    <w:next w:val="1241"/>
    <w:link w:val="1063"/>
    <w:pPr>
      <w:jc w:val="center"/>
      <w:spacing w:before="100" w:beforeAutospacing="1" w:after="100" w:afterAutospacing="1"/>
      <w:widowControl/>
      <w:pBdr>
        <w:left w:val="single" w:color="000000" w:sz="4" w:space="0"/>
        <w:right w:val="single" w:color="000000" w:sz="4" w:space="0"/>
      </w:pBdr>
    </w:pPr>
    <w:rPr>
      <w:szCs w:val="21"/>
    </w:rPr>
  </w:style>
  <w:style w:type="paragraph" w:styleId="1242">
    <w:name w:val="xl79"/>
    <w:basedOn w:val="1063"/>
    <w:next w:val="1242"/>
    <w:link w:val="1063"/>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43">
    <w:name w:val="xl105"/>
    <w:basedOn w:val="1063"/>
    <w:next w:val="1243"/>
    <w:link w:val="1063"/>
    <w:pPr>
      <w:jc w:val="left"/>
      <w:spacing w:before="100" w:beforeAutospacing="1" w:after="100" w:afterAutospacing="1"/>
      <w:widowControl/>
    </w:pPr>
    <w:rPr>
      <w:rFonts w:ascii="宋体" w:hAnsi="宋体" w:cs="宋体"/>
      <w:sz w:val="20"/>
      <w:szCs w:val="20"/>
    </w:rPr>
  </w:style>
  <w:style w:type="paragraph" w:styleId="1244">
    <w:name w:val="章标题"/>
    <w:next w:val="1063"/>
    <w:link w:val="1063"/>
    <w:pPr>
      <w:jc w:val="both"/>
      <w:outlineLvl w:val="1"/>
    </w:pPr>
    <w:rPr>
      <w:rFonts w:ascii="黑体" w:eastAsia="黑体" w:cs="黑体"/>
      <w:sz w:val="21"/>
      <w:szCs w:val="21"/>
      <w:lang w:val="en-US" w:eastAsia="zh-CN" w:bidi="ar-SA"/>
    </w:rPr>
  </w:style>
  <w:style w:type="paragraph" w:styleId="1245">
    <w:name w:val="xl90"/>
    <w:basedOn w:val="1063"/>
    <w:next w:val="1245"/>
    <w:link w:val="10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6">
    <w:name w:val="列出段落1"/>
    <w:basedOn w:val="1063"/>
    <w:next w:val="1246"/>
    <w:link w:val="1063"/>
    <w:uiPriority w:val="34"/>
    <w:qFormat/>
    <w:pPr>
      <w:ind w:firstLine="420"/>
      <w:spacing w:before="156" w:after="156" w:line="360" w:lineRule="auto"/>
    </w:pPr>
    <w:rPr>
      <w:rFonts w:ascii="Calibri" w:hAnsi="Calibri" w:cs="Calibri"/>
      <w:lang w:eastAsia="ar-SA"/>
    </w:rPr>
  </w:style>
  <w:style w:type="paragraph" w:styleId="1247">
    <w:name w:val="xl99"/>
    <w:basedOn w:val="1063"/>
    <w:next w:val="1247"/>
    <w:link w:val="10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character" w:styleId="1248">
    <w:name w:val="font31"/>
    <w:next w:val="1248"/>
    <w:link w:val="1063"/>
    <w:rPr>
      <w:rFonts w:hint="eastAsia" w:ascii="宋体" w:hAnsi="宋体" w:eastAsia="宋体" w:cs="宋体"/>
      <w:i w:val="0"/>
      <w:iCs w:val="0"/>
      <w:color w:val="000000"/>
      <w:sz w:val="21"/>
      <w:szCs w:val="21"/>
      <w:u w:val="none"/>
    </w:rPr>
  </w:style>
  <w:style w:type="paragraph" w:styleId="1249">
    <w:name w:val="Normal1"/>
    <w:next w:val="1063"/>
    <w:link w:val="1063"/>
    <w:uiPriority w:val="99"/>
    <w:pPr>
      <w:jc w:val="both"/>
      <w:widowControl w:val="off"/>
    </w:pPr>
    <w:rPr>
      <w:sz w:val="21"/>
      <w:szCs w:val="21"/>
      <w:lang w:val="en-US" w:eastAsia="zh-CN" w:bidi="ar-SA"/>
    </w:rPr>
  </w:style>
  <w:style w:type="paragraph" w:styleId="1250">
    <w:name w:val="二级目录"/>
    <w:next w:val="1063"/>
    <w:link w:val="1063"/>
    <w:uiPriority w:val="99"/>
    <w:pPr>
      <w:ind w:left="907" w:hanging="907"/>
      <w:tabs>
        <w:tab w:val="left" w:pos="907" w:leader="none"/>
        <w:tab w:val="left" w:pos="1145" w:leader="none"/>
      </w:tabs>
      <w:outlineLvl w:val="1"/>
    </w:pPr>
    <w:rPr>
      <w:rFonts w:ascii="Calibri" w:hAnsi="Calibri"/>
      <w:b/>
      <w:sz w:val="30"/>
      <w:szCs w:val="28"/>
      <w:lang w:val="en-US" w:eastAsia="zh-CN" w:bidi="ar-SA"/>
    </w:rPr>
  </w:style>
  <w:style w:type="paragraph" w:styleId="1251">
    <w:name w:val="Body Text First Indent 21"/>
    <w:basedOn w:val="1063"/>
    <w:next w:val="1251"/>
    <w:link w:val="1063"/>
    <w:uiPriority w:val="99"/>
    <w:qFormat/>
    <w:pPr>
      <w:ind w:firstLine="420"/>
      <w:spacing w:before="100" w:beforeAutospacing="1" w:line="360" w:lineRule="auto"/>
    </w:pPr>
    <w:rPr>
      <w:rFonts w:ascii="宋体" w:hAnsi="宋体"/>
      <w:sz w:val="20"/>
      <w:szCs w:val="20"/>
    </w:rPr>
  </w:style>
  <w:style w:type="paragraph" w:styleId="1252">
    <w:name w:val="无间隔"/>
    <w:next w:val="1252"/>
    <w:link w:val="1063"/>
    <w:uiPriority w:val="99"/>
    <w:qFormat/>
    <w:pPr>
      <w:jc w:val="both"/>
      <w:widowControl w:val="off"/>
    </w:pPr>
    <w:rPr>
      <w:rFonts w:ascii="Calibri" w:hAnsi="Calibri"/>
      <w:sz w:val="21"/>
      <w:szCs w:val="24"/>
      <w:lang w:val="en-US" w:eastAsia="zh-CN" w:bidi="ar-SA"/>
    </w:rPr>
  </w:style>
  <w:style w:type="paragraph" w:styleId="1253">
    <w:name w:val="标题 21"/>
    <w:basedOn w:val="1063"/>
    <w:next w:val="1063"/>
    <w:link w:val="1063"/>
    <w:qFormat/>
    <w:pPr>
      <w:jc w:val="center"/>
      <w:keepLines/>
      <w:keepNext/>
      <w:spacing w:before="260" w:after="260"/>
      <w:outlineLvl w:val="1"/>
    </w:pPr>
    <w:rPr>
      <w:rFonts w:ascii="Cambria" w:hAnsi="Cambria"/>
      <w:b/>
      <w:bCs/>
      <w:sz w:val="28"/>
      <w:szCs w:val="32"/>
    </w:rPr>
  </w:style>
  <w:style w:type="paragraph" w:styleId="1254">
    <w:name w:val="标题 31"/>
    <w:basedOn w:val="1063"/>
    <w:next w:val="1255"/>
    <w:link w:val="1063"/>
    <w:qFormat/>
    <w:pPr>
      <w:jc w:val="left"/>
      <w:keepLines/>
      <w:keepNext/>
      <w:spacing w:line="440" w:lineRule="exact"/>
      <w:outlineLvl w:val="2"/>
    </w:pPr>
    <w:rPr>
      <w:b/>
      <w:bCs/>
      <w:szCs w:val="32"/>
    </w:rPr>
  </w:style>
  <w:style w:type="paragraph" w:styleId="1255">
    <w:name w:val="正文缩进1"/>
    <w:basedOn w:val="1063"/>
    <w:next w:val="1255"/>
    <w:link w:val="1063"/>
    <w:qFormat/>
    <w:pPr>
      <w:ind w:firstLine="420"/>
      <w:jc w:val="left"/>
      <w:spacing w:line="360" w:lineRule="atLeast"/>
    </w:pPr>
    <w:rPr>
      <w:rFonts w:eastAsia="宋体"/>
      <w:szCs w:val="21"/>
    </w:rPr>
  </w:style>
  <w:style w:type="character" w:styleId="1256" w:default="1">
    <w:name w:val="Default Paragraph Font"/>
    <w:uiPriority w:val="1"/>
    <w:semiHidden/>
    <w:unhideWhenUsed/>
  </w:style>
  <w:style w:type="numbering" w:styleId="1257" w:default="1">
    <w:name w:val="No List"/>
    <w:uiPriority w:val="99"/>
    <w:semiHidden/>
    <w:unhideWhenUsed/>
  </w:style>
  <w:style w:type="table" w:styleId="12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倪莲蕾</cp:lastModifiedBy>
  <cp:revision>11</cp:revision>
  <dcterms:created xsi:type="dcterms:W3CDTF">2024-06-03T06:29:00Z</dcterms:created>
  <dcterms:modified xsi:type="dcterms:W3CDTF">2026-07-17T07:31:03Z</dcterms:modified>
</cp:coreProperties>
</file>