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江苏省2026年度水土流失动态监测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项目编号：JSZC-320000-HWZX-G2026-0404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（0675-266JOC004411）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采购人：江苏省水文水资源勘测局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招标代理：江苏海外集团国际工程咨询有限公司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2026年07月22日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投标邀请书（招标公告）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江苏省2026年度水土流失动态监测的潜在投标人应在苏采云系统注册登记成功后系统内免费下载获取采购文件，并于2026年08月13日09点30分（北京时间）前提交响应文件。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b/>
          <w:color w:val="000000"/>
          <w:sz w:val="21"/>
        </w:rPr>
        <w:t xml:space="preserve">JSZC-320000-HWZX-G2026-0404（0675-266JOC004411）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b/>
          <w:color w:val="000000"/>
          <w:sz w:val="21"/>
        </w:rPr>
        <w:t xml:space="preserve">江苏省2026年度水土流失动态监测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rPr>
          <w:rFonts w:ascii="SimSun" w:hAnsi="SimSun" w:eastAsia="SimSun" w:cs="SimSun"/>
          <w:b/>
          <w:color w:val="000000"/>
          <w:sz w:val="21"/>
        </w:rPr>
        <w:t xml:space="preserve">130万元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rPr>
          <w:rFonts w:ascii="SimSun" w:hAnsi="SimSun" w:eastAsia="SimSun" w:cs="SimSun"/>
          <w:b/>
          <w:color w:val="000000"/>
          <w:sz w:val="21"/>
        </w:rPr>
        <w:t xml:space="preserve">128万元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2026年度水土流失动态监测技术要求，基于全国水土流失动态监测协同解译与模型计算平台V1.0和地理信息系统软件，利用高分辨率遥感影像，采用遥感监测与野外复核相结合的方法，完成省级监测区共94个县级行政区（除丰县、沛县）遥感影像预处理、遥感解译与专题信息提取工作，协助采购人开展解译图斑的野外复核，协助采购人开展土壤侵蚀模数计算和强度判定、结果统计、成果报告编制和数据上报，综合评价水土流失现状和防治效果，开展年度水土流失动态变化分析，对重点区域与重点对象开展水土流失专题深度分析。根据以县级行政区为单元的水土</w:t>
      </w:r>
      <w:r>
        <w:rPr>
          <w:rFonts w:ascii="SimSun" w:hAnsi="SimSun" w:eastAsia="SimSun" w:cs="SimSun"/>
          <w:color w:val="000000"/>
          <w:sz w:val="21"/>
        </w:rPr>
        <w:t xml:space="preserve">流失动态监测成果，按照小流域的矢量边界进行土地利用、土壤侵蚀和人为水土流失的重新裁切统计（包括电子数据、专题图表等）。根据水利部相关要求，完成水土流失图斑落地及综合制图工作。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收集相关资料，完成林下植被盖度调查数据分析，科学论证植被覆盖与生物措施因子（B）优化方案。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根据水利部水土保持监测中心关于印发《暴雨水土保持调查技术指南（试行）》的通知（水保监函〔2023〕第164号）等文件要求，完成小流域典型暴雨水土流失调查工作。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合同履行期限：合同签订之日起10个月。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（2）具有良好的商业信誉和健全的财务会计制度；（提供上一年度的经审计的财务报告或会计报表，含资产负债表、利润表等，成立不满一年不需提供）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（4）有依法缴纳税收和社会保障资金的良好记录；（提供参加本次政府采购活动近六个月内最近一个月的依法缴纳税收和社会保障资金的相关材料）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2、落实政府采购政策满足的资格要求：本项目为非预留份额的采购项目或采购包，执行价格扣除优惠政策。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地点：苏采云系统注册登记成功后系统内免费下载</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文件接收截止时间、开标时间：2026年08月13日09点30分（北京时间）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地点：江苏省政府采购管理交易系统（苏采云）（以下简称“苏采云”）（网址：http://jszfcg.jsczt.cn/）网上开标大厅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1、拒绝下述供应商参加本次采购活动：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2、是否接受进口产品：本项目不接受。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3、项目所属行业：其他未列明行业。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4、潜在供应商访问电子招标响应交易平台的网络地址和方法：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4.2潜在供应商访问“苏采云”系统的网络地址和方法：“苏采云”系统的网址：http://jszfcg.jsczt.cn/。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4.3“CA数字证书”的获取：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 数字证书”，CA办理指南及“苏采云”操作手册可至江苏省政府采购网―办事指南-资料下载中心下载。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通过苏采云系统首页的“苏采云控件驱动下载”，选择“政务CA、方正签章控件驱动安装包及安装说明”下载安装，具体安装方法详见下载文件内的《安装说明》。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4.4采购文件（后缀名为“.kedt”）、供应商操作手册及政府采购客户端工具可通过“苏采云”系统--已报名项目--报名详情页面内相应链接进行下载。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4.5采购人或采购代理机构将数据电文形式的采购文件加载至“苏采云”系统，供潜在供应商下载或者查阅。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4.6请潜在供应商提前安装相应的控件（详见《江苏省政府采购管理交易系统（苏采云）供应商操作手册》）并使用谷歌浏览器登录“苏采云”系统参与不见面开评标。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w:t>
      </w:r>
      <w:r>
        <w:rPr>
          <w:rFonts w:ascii="SimSun" w:hAnsi="SimSun" w:eastAsia="SimSun" w:cs="SimSun"/>
          <w:color w:val="000000"/>
          <w:sz w:val="21"/>
        </w:rPr>
        <w:t xml:space="preserve">投标平台发生故障，导致无法按时完成投标文件解密或开、评标工作无法进行的，可根据实际情况相应延迟解密时间或调整开、评标时间。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名称：江苏省水文水资源勘测局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地址：南京市上海路5号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联系方式：025-86338531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名称：江苏海外集团国际工程咨询有限公司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地址：南京市建邺区云龙山路58号大唐科技大厦A座高区15楼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项目联系人：孙夏卉、韩心雨、陶冉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电话：025-84795991、025-84795941</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w:t>
      </w:r>
      <w:r>
        <w:rPr>
          <w:rFonts w:ascii="SimSun" w:hAnsi="SimSun" w:eastAsia="SimSun" w:cs="SimSun"/>
          <w:b/>
          <w:color w:val="000000"/>
          <w:sz w:val="44"/>
          <w:u w:val="none"/>
        </w:rPr>
        <w:t xml:space="preserve">投标人须知</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投标人须知前附表：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7109"/>
      </w:tblGrid>
      <w:tr>
        <w:trPr>
          <w:trHeight w:val="4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序号及名称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2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1、招标项目概况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rPr>
                <w:rFonts w:ascii="SimSun" w:hAnsi="SimSun" w:eastAsia="SimSun" w:cs="SimSun"/>
                <w:color w:val="000000"/>
                <w:sz w:val="21"/>
                <w:u w:val="single"/>
              </w:rPr>
              <w:t xml:space="preserve">江苏省水文水资源勘测局</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w:t>
            </w:r>
            <w:r>
              <w:rPr>
                <w:rFonts w:ascii="SimSun" w:hAnsi="SimSun" w:eastAsia="SimSun" w:cs="SimSun"/>
                <w:color w:val="000000"/>
                <w:sz w:val="21"/>
                <w:u w:val="single"/>
              </w:rPr>
              <w:t xml:space="preserve">江苏海外集团国际工程咨询有限公司</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江苏省2026年度水土流失动态监测</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项目概况：具体详见采购清单及招标文件第四章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资金来源：财政资金</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w:t>
            </w:r>
            <w:r>
              <w:rPr>
                <w:rFonts w:ascii="SimSun" w:hAnsi="SimSun" w:eastAsia="SimSun" w:cs="SimSun"/>
                <w:color w:val="000000"/>
                <w:sz w:val="21"/>
                <w:u w:val="single"/>
              </w:rPr>
              <w:t xml:space="preserve">合同签订之日起10个月。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（1）第一章：投标邀请书（招标公告）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（2）第二章：投标人须知</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（3）第三章：评标标准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（4）第四章：招标项目的采购清单及技术要求</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（5）第五章：合同主要条款及格式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（6）第六章：投标文件格式及附件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（一）《中华人民共和国政府采购法》第二十二条规定的条件，并提供相关证明文件: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（2）具有良好的商业信誉和健全的财务会计制度；（提供上一年度的经审计的财务报告或会计报表，含资产负债表、利润表等，成立不满一年不需提供）</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（4）有依法缴纳税收和社会保障资金的良好记录；（提供参加本次政府采购活动近六个月内最近一个月的依法缴纳税收和社会保障资金的相关材料）</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（5）参加政府采购活动前三年内，在经营活动中没有重大违法记录；（提供书面声明）</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（二）采购人根据采购项目的特殊要求规定的特定条件，并提供相关证明文件：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（三）拒绝下述供应商参加本次采购活动：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（2）供应商单位负责人为同一人或者存在直接控股、管理关系的不同供应商，不得参加同一合同项下的政府采购活动。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（3）拒绝列入失信被执行人、重大税收违法案件当事人名单、政府采购严重违法失信行为记录名单的供应商参与政府采购活动。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4、招标文件澄清和修改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（1）采购人可以在投标截止时间前，以书面形式对招标文件进行必要的澄清或修改。投标人可以在投标截止时间前15日，以书面形式要求采购人对招标文件作出澄清。</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(2)投标人收到采购人的澄清或修改文件后2日内，应以书面形式向采购人确认。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应提交联合体协议书、联合体各方资格条件证明文件、其他____________</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6、踏勘现场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□采购人组织踏勘现场</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采购人不组织踏勘现场。投标人可自行踏勘，一切费用及后果由投标人自行承担。</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7、最高投标限价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□无最高投标限价</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有最高投标限价，为</w:t>
            </w:r>
            <w:r>
              <w:rPr>
                <w:rFonts w:ascii="SimSun" w:hAnsi="SimSun" w:eastAsia="SimSun" w:cs="SimSun"/>
                <w:color w:val="000000"/>
                <w:sz w:val="21"/>
                <w:u w:val="single"/>
              </w:rPr>
              <w:t xml:space="preserve">__128万元__</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投标截止时间后90日</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10、投标文件接收截止时间及地点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截止时间（同开标时间）：详见招标公告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接收地点：“苏采云”政府采购交易系统网上开标大厅</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“苏采云”政府采购交易系统。本项目需要使用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数字证书制作、上传电子投标文件完成电子投标，请供应商在参加投标活动前办理好</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数字证书申领及电子签章等操作。</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、评标时间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08</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09</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分（北京时间）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地点：南京市建邺区云龙山路</w:t>
            </w:r>
            <w:r>
              <w:rPr>
                <w:rFonts w:ascii="Times New Roman" w:hAnsi="Times New Roman" w:eastAsia="Times New Roman" w:cs="Times New Roman"/>
                <w:color w:val="000000"/>
                <w:sz w:val="21"/>
              </w:rPr>
              <w:t xml:space="preserve">58</w:t>
            </w:r>
            <w:r>
              <w:rPr>
                <w:rFonts w:ascii="SimSun" w:hAnsi="SimSun" w:eastAsia="SimSun" w:cs="SimSun"/>
                <w:color w:val="000000"/>
                <w:sz w:val="21"/>
              </w:rPr>
              <w:t xml:space="preserve">号大唐科技大厦</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座高区</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楼评标会议室</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评标委员会由5人或5人以上单数组成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14、评标方法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综合评分法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□经评审的最低投标价法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□其他_____________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中标人为: 1人。</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1.1《中华人民共和国政府采购法》《政府采购货物和服务招标投标管理办法》等有关法律、规章和规定等。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3、货物和服务、用户或使用单位定义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3.1“货物和服务”指本招标文件中所述产品及相关服务。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3.2“用户或使用单位”是指使用货物及接受服务的单位。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政府采购促进中小企业发展，小企业（含小型、微型企业）提供的产品和服务在评标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4.5提供的产品属于信息安全产品的，供应商应当选择经国家认证的信息安全产品投标，并提供由中国信息安全认证中心按国家标准认证颁发的有效认证证书复印件。</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4.6提供的产品属于政府强制采购节能产品的，供应商应当选择依据国家标准中二级能效（水效）指标认证的节能产品投标，并提供有效的节能产品认证证书复印件。</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4.7提供的产品属于环境标志产品的,供应商应当选择依据相关标准的最新版本认证的环境标志产品投标,并提供有效的环境标志产品认证证书复印件。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6、招标文件的澄清、补充或修改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6.1代理机构对已发出的招标文件进行必要澄清、补充或者修改的，将在招标文件要求提交投标文件截止时间</w:t>
      </w:r>
      <w:r>
        <w:rPr>
          <w:rFonts w:ascii="SimSun" w:hAnsi="SimSun" w:eastAsia="SimSun" w:cs="SimSun"/>
          <w:b/>
          <w:color w:val="000000"/>
          <w:sz w:val="21"/>
          <w:u w:val="single"/>
        </w:rPr>
        <w:t xml:space="preserve">十五日</w:t>
      </w:r>
      <w:r>
        <w:rPr>
          <w:rFonts w:ascii="SimSun" w:hAnsi="SimSun" w:eastAsia="SimSun" w:cs="SimSun"/>
          <w:color w:val="000000"/>
          <w:sz w:val="21"/>
        </w:rPr>
        <w:t xml:space="preserve">前，在原招标公告媒体发布更正公告，该澄清、补充或者修改的内容为招标文件的组成部分。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6.2代理机构在招标文件要求提交投标文件截止时间前，有权决定延长投标截止时间和开标时间，并在原采购信息发布媒体上发布变更公告。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6.3投标人应在投标截止时间前，关注原公告媒体有关本项目的更正公告，根据更正公告内容自行决定是否需要重新制作和提交投标文件，并承担由此产生的相应责任。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7.3投标人应用人民币报价。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7.4投标文件应字迹清楚、内容齐全、不得涂改。如有修改，修改处须有投标人公章或投标专用章和法定代表人或其授权的投标人代表签字。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7.5投标文件应按照招标文件规定的顺序编制目录，由于编排混乱导致投标文件被误读或查找不到，责任由投标人承担。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8.1投标人应当根据招标文件要求编制投标文件，投标文件应对招标文件提出的要求和条件作出实质性响应，并在《商务条款偏离表》和《技术规格偏离表》等处逐条标明满足与否。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8.2投标文件由商务部分、技术部分、价格部分以及其他部分组成。</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8.3</w:t>
      </w:r>
      <w:r>
        <w:rPr>
          <w:rFonts w:ascii="SimSun" w:hAnsi="SimSun" w:eastAsia="SimSun" w:cs="SimSun"/>
          <w:b/>
          <w:color w:val="000000"/>
          <w:sz w:val="21"/>
          <w:u w:val="single"/>
        </w:rPr>
        <w:t xml:space="preserve">投标人如同时参与多个分包（标段）招标，则应按分包（标段）分别制作投标文件。</w:t>
      </w:r>
      <w:r>
        <w:rPr>
          <w:rFonts w:ascii="Times New Roman" w:hAnsi="Times New Roman" w:eastAsia="Times New Roman" w:cs="Times New Roman"/>
          <w:b/>
          <w:color w:val="000000"/>
          <w:sz w:val="21"/>
        </w:rPr>
        <w:t xml:space="preserve">8.4</w:t>
      </w:r>
      <w:r>
        <w:rPr>
          <w:rFonts w:ascii="SimSun" w:hAnsi="SimSun" w:eastAsia="SimSun" w:cs="SimSun"/>
          <w:b/>
          <w:color w:val="000000"/>
          <w:sz w:val="21"/>
        </w:rPr>
        <w:t xml:space="preserve">如标书制作工具中格式和内容与“江苏政府采购网”发布的招标文件不一致，以“江苏政府采购网”发布的招标文件为准。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9.1商务部分是证明投标人有资格参加投标和中标后有能力履行合同的文件，这些文件应满足招标的要求，包括但不限于下列文件：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（2）法定代表人授权委托书及委托代理人的身份证明文件的复印件；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（3）第一章投标邀请书中 3.1《中华人民共和国政府采购法》规定的资格条件证明文件；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（4）第一章投标邀请书中 3.2 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（1）技术说明和服务方案；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11.1价格部分是对货物和服务价格构成的说明，招标文件如没有特别说明的话，对每一项货物和服务仅接受一个价格。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11.2报价应包含本次招标项目有关的所有费用，以及技术资料、支付给员工的工资和国家强制缴纳的各种社会保障资金，以及投标人认为需要的其他费用等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11.3投标人的任何错漏、优惠、竞争性报价不得作为减轻责任、减少货物和服务、增加收费、降低质量的理由。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投标人应在《开标一览表》《投标分项报价》等标明投标货物或服务的单价、总价以及分项报价。投标人系</w:t>
      </w:r>
      <w:r>
        <w:rPr>
          <w:rFonts w:ascii="SimSun" w:hAnsi="SimSun" w:eastAsia="SimSun" w:cs="SimSun"/>
          <w:b/>
          <w:color w:val="000000"/>
          <w:sz w:val="21"/>
        </w:rPr>
        <w:t xml:space="preserve">中小企业（含小型、微型企业），并提供本企业制造的货物、承担的工程或者服务，</w:t>
      </w:r>
      <w:r>
        <w:rPr>
          <w:rFonts w:ascii="SimSun" w:hAnsi="SimSun" w:eastAsia="SimSun" w:cs="SimSun"/>
          <w:color w:val="000000"/>
          <w:sz w:val="21"/>
        </w:rPr>
        <w:t xml:space="preserve">或者提供其他中小企业制造的货物，须在《开标一览表》《投标分项报价》中注明。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12.1其他部分由投标人根据编制投标文件需要提供的其他相关文件。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13、投标保证金（不作要求）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15.1除投标人对错处做必要修改外，投标文件不得行间插字、涂改或增删。如有修改错漏处，必须由法定代表人或其授权代表签字或盖章。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16.1投标人应承担所有与准备和参加投标有关的费用，无论采购结果如何，代理机构和采购人在任何情况下均无义务和责任承担这些费用。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w:t>
      </w:r>
      <w:r>
        <w:rPr>
          <w:rFonts w:ascii="SimSun" w:hAnsi="SimSun" w:eastAsia="SimSun" w:cs="SimSun"/>
          <w:color w:val="000000"/>
          <w:sz w:val="21"/>
        </w:rPr>
        <w:t xml:space="preserve">如有招标代理费、专家评审费或公证费等相关服务费用，均由采购人支付。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代理服务费参照国家计委计价格（2002）1980号文标准执行，按照《招标代理服务收费管理暂行办法》文件标准的50%报价，低于3000元的按照3000元收取。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专家评审费按照《关于规范江苏省政府采购专家评审费标准的通知》（苏财购【2016】48号）标准执行。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17.1投标人应当按照《操作手册》规定，在招标公告规定的投标截止时间前制作并上传电子投标文件。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17.2投标人应充分考虑网络环境、网络带宽等因素可能对投标产生的影响，如因投标人自身原因造成的电子投标文件上传不成功的，按照无效投标处理。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17.3代理机构可以按照规定，通过修改招标文件酌情延长投标截止时间，在此情况下，投标人的所有权利和义务均以延长后新的截止时间为准。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18.1代理机构拒绝接收投标截止时间后上传的任何投标文件。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w:t>
      </w:r>
      <w:r>
        <w:rPr>
          <w:rFonts w:ascii="SimSun" w:hAnsi="SimSun" w:eastAsia="SimSun" w:cs="SimSun"/>
          <w:color w:val="000000"/>
          <w:sz w:val="21"/>
        </w:rPr>
        <w:t xml:space="preserve">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w:t>
      </w:r>
      <w:r>
        <w:rPr>
          <w:rFonts w:ascii="SimSun" w:hAnsi="SimSun" w:eastAsia="SimSun" w:cs="SimSun"/>
          <w:color w:val="000000"/>
          <w:sz w:val="21"/>
        </w:rPr>
        <w:t xml:space="preserve">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w:t>
      </w:r>
      <w:r>
        <w:rPr>
          <w:rFonts w:ascii="SimSun" w:hAnsi="SimSun" w:eastAsia="SimSun" w:cs="SimSun"/>
          <w:color w:val="000000"/>
          <w:sz w:val="21"/>
        </w:rPr>
        <w:t xml:space="preserve">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w:t>
      </w:r>
      <w:r>
        <w:rPr>
          <w:rFonts w:ascii="SimSun" w:hAnsi="SimSun" w:eastAsia="SimSun" w:cs="SimSun"/>
          <w:color w:val="000000"/>
          <w:sz w:val="21"/>
        </w:rPr>
        <w:t xml:space="preserve">在投标截止时间至招标文件中规定的投标有效期满之间的这段时间内，投标人不得撤回其投标。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20.1投标人之间不得相互串通投标报价，不得妨碍其他投标人的公平竞争，不得损害采购人和其他投标人的合法权益。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20.2投标人不得以向代理机构工作人员、评标委员会成员行贿或者采取其他不正当手段谋取中标。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投标人如果对开标过程和开标结果有疑义，</w:t>
      </w:r>
      <w:r>
        <w:rPr>
          <w:rFonts w:ascii="SimSun" w:hAnsi="SimSun" w:eastAsia="SimSun" w:cs="SimSun"/>
          <w:b/>
          <w:color w:val="000000"/>
          <w:sz w:val="21"/>
        </w:rPr>
        <w:t xml:space="preserve">应当根据《操作手册》规定提出，苏采云系统中《开标记录表》公布后</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rPr>
          <w:rFonts w:ascii="SimSun" w:hAnsi="SimSun" w:eastAsia="SimSun" w:cs="SimSun"/>
          <w:color w:val="000000"/>
          <w:sz w:val="21"/>
        </w:rPr>
        <w:t xml:space="preserve">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22.1评标组织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评标工作由代理机构负责组织，具体评标事务由依法组建的评标委员会负责，并独立履行下列职责：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（1）审查投标文件是否符合招标文件要求，并作出评价；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（2）要求投标供应商对投标文件有关事项作出解释或者澄清；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（3）推荐中标候选供应商名单，或者按照招标文件规定直接确定中标供应商；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（4）向代理机构或者有关部门报告非法干预评标工作的行为。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依据法律法规和招标文件的规定，由采购人、代理机构对投标文件中的资格证明文件进行审查，并将资格审查的结论向评委会进行反馈。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22.2.2投标文件的符合性检查</w:t>
      </w:r>
      <w:r>
        <w:rPr>
          <w:rFonts w:ascii="SimSun" w:hAnsi="SimSun" w:eastAsia="SimSun" w:cs="SimSun"/>
          <w:color w:val="000000"/>
          <w:sz w:val="21"/>
        </w:rPr>
        <w:t xml:space="preserve">。依据招标文件规定，从投标文件的有效性、完整性和对招标文件的响应程度进行审查，以确定是否对招标文件的实质性要求作出响应。</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color w:val="000000"/>
          <w:sz w:val="21"/>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评委会将对确定为实质性响应的投标进行进一步审核，看其是否有计算上或累加上的算术错误，修正错误的原则如下：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★同时出现两种以上不一致的，按照前款规定的顺序修正。修正后的报价经投标人确认后产生约束力，投标人不确认的，其投标无效。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22.2.5</w:t>
      </w:r>
      <w:r>
        <w:rPr>
          <w:rFonts w:ascii="SimSun" w:hAnsi="SimSun" w:eastAsia="SimSun" w:cs="SimSun"/>
          <w:b/>
          <w:color w:val="000000"/>
          <w:sz w:val="21"/>
        </w:rPr>
        <w:t xml:space="preserve">投标人在开、评标全过程中应保持通讯畅通，及时登录苏采云系统查阅、答复相关信息，并安排专人与代理机构及评委会联系。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22.2.6</w:t>
      </w:r>
      <w:r>
        <w:rPr>
          <w:rFonts w:ascii="SimSun" w:hAnsi="SimSun" w:eastAsia="SimSun" w:cs="SimSun"/>
          <w:b/>
          <w:color w:val="000000"/>
          <w:sz w:val="21"/>
        </w:rPr>
        <w:t xml:space="preserve">有下列情况之一的，按照无效投标处理：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）投标人不具备招标文件中规定资格要求；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）不符合招标文件中实质性要求和条件；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）服务承诺、服务期限和付款条件未响应招标要求的；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）如有授权，未提供合法、有效的授权委托书原件；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）不符合法律、法规和招标文件规定的其他要求。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无效投标的判定，必须经评标委员会半数以上成员通过。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22.2.7</w:t>
      </w:r>
      <w:r>
        <w:rPr>
          <w:rFonts w:ascii="SimSun" w:hAnsi="SimSun" w:eastAsia="SimSun" w:cs="SimSun"/>
          <w:b/>
          <w:color w:val="000000"/>
          <w:sz w:val="21"/>
        </w:rPr>
        <w:t xml:space="preserve">实质性要求是指本招标文件中用“必须”或“应（应当）”等其他文字说明以及加注“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”或“★”号部分的要求。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22.2.8</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）因重大变故，采购任务取消的；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）因苏采云系统故障造成开标不成功。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22.2.9</w:t>
      </w:r>
      <w:r>
        <w:rPr>
          <w:rFonts w:ascii="SimSun" w:hAnsi="SimSun" w:eastAsia="SimSun" w:cs="SimSun"/>
          <w:color w:val="000000"/>
          <w:sz w:val="21"/>
        </w:rPr>
        <w:t xml:space="preserve">在评标期间，出现符合专业条件的供应商或者对招标文件作出实质性响应的供应商不足三家情形的，比照</w:t>
      </w:r>
      <w:r>
        <w:rPr>
          <w:rFonts w:ascii="Times New Roman" w:hAnsi="Times New Roman" w:eastAsia="Times New Roman" w:cs="Times New Roman"/>
          <w:b/>
          <w:color w:val="000000"/>
          <w:sz w:val="21"/>
        </w:rPr>
        <w:t xml:space="preserve">21.5</w:t>
      </w:r>
      <w:r>
        <w:rPr>
          <w:rFonts w:ascii="SimSun" w:hAnsi="SimSun" w:eastAsia="SimSun" w:cs="SimSun"/>
          <w:color w:val="000000"/>
          <w:sz w:val="21"/>
        </w:rPr>
        <w:t xml:space="preserve">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22.2.10</w:t>
      </w:r>
      <w:r>
        <w:rPr>
          <w:rFonts w:ascii="SimSun" w:hAnsi="SimSun" w:eastAsia="SimSun" w:cs="SimSun"/>
          <w:b/>
          <w:color w:val="000000"/>
          <w:sz w:val="21"/>
        </w:rPr>
        <w:t xml:space="preserve">澄清有关问题</w:t>
      </w:r>
      <w:r>
        <w:rPr>
          <w:rFonts w:ascii="SimSun" w:hAnsi="SimSun" w:eastAsia="SimSun" w:cs="SimSun"/>
          <w:color w:val="000000"/>
          <w:sz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w:t>
      </w:r>
      <w:r>
        <w:rPr>
          <w:rFonts w:ascii="SimSun" w:hAnsi="SimSun" w:eastAsia="SimSun" w:cs="SimSun"/>
          <w:b/>
          <w:color w:val="000000"/>
          <w:sz w:val="21"/>
        </w:rPr>
        <w:t xml:space="preserve">比较与评价。</w:t>
      </w:r>
      <w:r>
        <w:rPr>
          <w:rFonts w:ascii="SimSun" w:hAnsi="SimSun" w:eastAsia="SimSun" w:cs="SimSun"/>
          <w:color w:val="000000"/>
          <w:sz w:val="21"/>
        </w:rPr>
        <w:t xml:space="preserve">按照招标文件中规定的评标方法和标准，对资格性检查和符合性检查合格的投标文件进行商务和技术评估，综合比较与评价。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22.3.1</w:t>
      </w:r>
      <w:r>
        <w:rPr>
          <w:rFonts w:ascii="SimSun" w:hAnsi="SimSun" w:eastAsia="SimSun" w:cs="SimSun"/>
          <w:color w:val="000000"/>
          <w:sz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22.3.2</w:t>
      </w:r>
      <w:r>
        <w:rPr>
          <w:rFonts w:ascii="SimSun" w:hAnsi="SimSun" w:eastAsia="SimSun" w:cs="SimSun"/>
          <w:color w:val="000000"/>
          <w:sz w:val="21"/>
        </w:rPr>
        <w:t xml:space="preserve">综合评分的主要因素是：价格、技术、服务、业绩、履约能力等；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22.3.3评分标准详见第三章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综合比较与评价后按照得分高低顺序对供应商进行排列。得分相同的，按投标报价由低到高顺序排列。得分且投标报价相同的，按技术指标优劣顺序排列。评标委员会将推荐评审得分最高的供应商为排名第一的中标候选人，供采购人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23.2中标供应商确定后，将中标结果在原招标公告发布媒体进行公告，公告期为1个工作日，公告的同时向中标供应商发出中标通知书。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23.3中标通知书对采购人和中标供应商具有同等法律效力。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23.4中标通知书发出后，采购人或中标供应商拒绝签订合同的，拒绝签订合同的一方应至少向另一方支付为招标、投标所发生的有关费用和双方商定的其他补偿。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23.5中标通知书发出后，中标供应商无正当理由不与采购人签订合同的</w:t>
      </w:r>
      <w:r>
        <w:rPr>
          <w:rFonts w:ascii="SimSun" w:hAnsi="SimSun" w:eastAsia="SimSun" w:cs="SimSun"/>
          <w:color w:val="000000"/>
          <w:sz w:val="21"/>
        </w:rPr>
        <w:t xml:space="preserve">，</w:t>
      </w:r>
      <w:r>
        <w:rPr>
          <w:rFonts w:ascii="SimSun" w:hAnsi="SimSun" w:eastAsia="SimSun" w:cs="SimSun"/>
          <w:b/>
          <w:color w:val="000000"/>
          <w:sz w:val="21"/>
        </w:rPr>
        <w:t xml:space="preserve">由财政部门将其列入不良行为记录名单，在一至三年内禁止参加政府采购活动，并予以通报。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23.7代理机构对未中标的投标人不作未中标原因的解释。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23.8所有投标文件不论中标与否，代理机构均不退回。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25.3凡是与审查、澄清、评价和比较投标的有关资料等，均不向投标人及与评标无关的其他人员透露。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26.2采购人不得向中标供应商提出任何不合理的要求作为签订合同的条件，不得与中标供应商私下订立背离合同实质性内容的协议。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26.3中标供应商因不可抗力或者自身原因不能履行政府采购合同的，采购人可以视情与排位在中标供应商之后第一位的中标候选供应商签订政府采购合同，以此类推。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26.4政府采购合同履行中，采购人需追加与合同标的相同的货物的，在不改变合同其他条款的前提下，可以与供应商协商签订补充合同，但所有补充合同的采购金额不得超过原合同采购金额的百分之十。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27.1供应商对采购活动事项有疑问的，可以向代理机构提出询问，代理机构将依法作出答复，但答复的内容不涉及商业秘密</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27.2供应商认为采购文件、采购过程和成交结果使自己的合法权益受到损害的，可以在知道或者应当知道其权益受到损害之日起七个工作日内，将质疑文件原件送达代理机构。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27.3质疑文件应包括以下主要内容，并按照“谁主张、谁举证”的原则，附上相关证明材料。否则，代理机构不予受理：</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（1）质疑项目名称、项目编号、包号、招标公告发布时间、开标时间；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（2）具体的质疑事项及法律依据（具体条款）；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相关证明文件或证明材料，如果涉及产品功能或技术指标的，应出具相关制造商的证明文件（友情提示：供应商全部产品线中没有满足技术需求要求的产品才可以对采购产品提出质疑，并提出修改理由和修改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（4）质疑供应商名称、地址、联系方式（包括手机、传真号码）；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27.4质疑供应商是指直接参加本项目采购活动的供应商；</w:t>
      </w:r>
      <w:r>
        <w:rPr>
          <w:rFonts w:ascii="SimSun" w:hAnsi="SimSun" w:eastAsia="SimSun" w:cs="SimSun"/>
          <w:b/>
          <w:color w:val="000000"/>
          <w:sz w:val="21"/>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28.1质疑投标人对代理机构的答复不满意，或代理机构未在规定的时间内作出答复的，可以在答复期满后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向采购人同级财政部门投诉。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w:t>
      </w:r>
      <w:r>
        <w:rPr>
          <w:rFonts w:ascii="SimSun" w:hAnsi="SimSun" w:eastAsia="SimSun" w:cs="SimSun"/>
          <w:b/>
          <w:color w:val="000000"/>
          <w:sz w:val="44"/>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以下内容是对本招标文件“第二章投标人须知”第</w:t>
      </w:r>
      <w:r>
        <w:rPr>
          <w:rFonts w:ascii="SimSun" w:hAnsi="SimSun" w:eastAsia="SimSun" w:cs="SimSun"/>
          <w:b/>
          <w:color w:val="000000"/>
          <w:sz w:val="21"/>
        </w:rPr>
        <w:t xml:space="preserve">22.3.3条</w:t>
      </w:r>
      <w:r>
        <w:rPr>
          <w:rFonts w:ascii="SimSun" w:hAnsi="SimSun" w:eastAsia="SimSun" w:cs="SimSun"/>
          <w:color w:val="000000"/>
          <w:sz w:val="21"/>
        </w:rPr>
        <w:t xml:space="preserve">有关内容的具体化和补充。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即在最大限度地满足招标文件实质性要求前提下，按照招标文件中规定的各项因素进行综合评审，按评审后得分由高到低顺序排列，得分相同的，按报价由低到高顺序排列，得分且报价相同的，按技术方案优劣顺序排列，评标总得分最高的投标人作为第一中标候选供应商或者中标供应商的评标方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016"/>
        <w:gridCol w:w="992"/>
        <w:gridCol w:w="5035"/>
        <w:gridCol w:w="827"/>
      </w:tblGrid>
      <w:tr>
        <w:trPr>
          <w:trHeight w:val="5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价格分采用低价优先法计算，即满足招标文件要求且投标报价最低的为评标基准价，其价格分为满分。其他投标人的价格分统一按照下列公式计算：投标报价得分=（评标基准价/投标报价）×25（小数点保留2位）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启动异常低价审查的情形和具体要求：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(一)评审过程中出现下列情形之一的，评审委员会应当启动异常低价响应审查程序: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1.响应报价低于全部通过符合性审查供应商响应报价平均值50%的，即响应报价&lt;全部通过符合性审查供应商响应报价平均值×50%；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2.响应报价低于通过符合性审查的次低报价供应商响应报价50%的，即响应报价&lt;通过符合性审查的次低报价供应商响应报价×50%；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3.响应报价低于采购项目最高限价45%的，即响应报价&lt;采购项目最高限价×45%；</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tc>
      </w:tr>
      <w:tr>
        <w:trPr>
          <w:trHeight w:val="9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监测实施方案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（44分）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监测工作的总体方案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总体方案完整、详细、科学、合理、可操作性强，得6分；方案完整、科学合理性得4分；方案完整性一般、具备可操作性得2分。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75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工作内容合理全面细致科学得5分；内容合理全面得3分；内容不全面得1分。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6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野外调查方案全面科学合理，切实可行得5分；调查方案全面，基本可行得3分；调查方案不全面得1分。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安排</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进度满足招标文件要求，分项、分专业安排合理，各部分任务及其完成时间明确，进度保证措施切实可行得6分；进度安排较合理，保证措施可行得4分；进度安排合理性得2分。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工作成果与保障措施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投标人根据项目需求分析提交的工作成果方案完整全面，质量满足要求得5分；成果方案完整，基本满足质量要求得3分；成果方案合理得1分。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9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质量控制方案明确合理，质量保证措施完备科学，切实可行，投标人对提交的成果有严格的审核流程得5分；质量控制方案合理，保证措施可行得3分；质量控制方案合理得1分。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对项目的重点难点分析及对策措施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根据投标人对本项目重点难点的分析的准确性和针对性进行评分，重点难点分析准确全面、科学合理、针对性强得6分；重点难点分析准确、针对性强得4分；重点难点分析基本准确得2分。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9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根据投标人针对本项目重点难点提出的具体对策措施的可行性、可靠性进行评分，全面科学、切实可行、针对性强、措施有力得6分，针对性强、措施可行得4分，措施基本可行2分。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9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投标人的履约能力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投标人2023年1月1日以来（以合同签订时间为准）独立承担水土流失动态监测项目的，省级项目每个得3分，市县级项目每个得2分，最多得6分。</w:t>
            </w:r>
            <w:r/>
          </w:p>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同时提供某同一项目的中标通知书、合同首页和盖章页、成果报告封面和责任页、经验收组或专家组签字或盖章确认的验收意见或鉴定书等相关业绩完成证明材料复印件，作为一个完整业绩，缺任意一项或中标通知书、合同、成果、完成证明不是同一项目，则该业绩无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投标人投入的技术人员实力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投标人拟投入本项目的项目负责人，2023年1月1日以来担任过水土流失动态监测项目的项目负责人，每担任1个项目得3分，最多得6分。</w:t>
            </w:r>
            <w:r/>
          </w:p>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同时提供某同一项目的合同首页和盖章页、成果报告封面和责任页、经验收组或专家组签字或盖章确认的验收意见或鉴定书等相关业绩完成证明材料复印件，作为一个完整业绩，缺任意一项或完成业绩项目负责人不是本项目拟担任的项目负责人的，则该业绩无效，不得分。提供的业绩证明材料未见项目负责人姓名和任职情况的，须附有原发包人出具的相关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9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①投标人投入本项目人员具有本科及以上学历，且为水土保持或遥感、测绘、地理信息系统与制图专业，每有一个人为0.5分，最高为5分。其中，水土保持专业人员不少于4个，否则不得分。</w:t>
            </w:r>
            <w:r/>
          </w:p>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②项目组人员具有无人机驾驶技能，每一个得1分，最高得2分。</w:t>
            </w:r>
            <w:r/>
          </w:p>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（需提供学历、无人机驾驶技能证书作为证明材料）。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9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投标人投入本项目的人员组织机构框图清晰完整，内部职责分工明确，合同履行过程中保证主要参与人员稳定有措施，切实可行得5分；投入人员稳定，措施可行得3分；人员分工不明确1分。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9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承诺项目投入人员不少于8人得3分，项目投入人员15人及以上的得5分（提供投标人为其缴纳近3个月（2026年3月-2026年5月）社保证明材料）。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承诺中标后能提供本地化服务，在本地驻场人员不少于3人，办公场所和驻场产生的费用由投标人承担（提供加盖投标人公章的承诺书，否则不得分）。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2.1、对小微企业生产的产品给予投标价的10.00%价格扣除，用扣除后的价格参与评审。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2.3、小企业（含小型、微型企业）应当同时符合以下条件：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（1）投标人为小企业，且符合中小企业划分标准；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3.1.本项目对监狱和戒毒企业（简称监狱企业），给予10%的价格扣除，用扣除后的价格参与评审。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4.1.本项目对残疾人福利性单位，给予10%的价格扣除，用扣除后的价格参与评审。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6、所有认证、证明和业绩除上表要求外均须提供有效的证明材料复印件加盖公章，原件备查。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2026年度水土流失动态监测技术要求，基于全国水土流失动态监测协同解译与模型计算平台V1.0和地理信息系统软件，利用高分辨率遥感影像，采用遥感监测与野外复核相结合的方法，完成省级监测区共94个县级行政区（除丰县、沛县）遥感影像预处理、遥感解译与专题信息提取工作，协助采购人开展解译图斑的野外复核，协助采购人开展土壤侵蚀模数计算和强度判定、结果统计、成果报告编制和数据上报，综合评价水土流失现状和防治效果，开展年度水土流失动态变化分析，对重点区域与重点对象开展水土流失专题深度分析。根据以县级行政区为单元的水土</w:t>
      </w:r>
      <w:r>
        <w:rPr>
          <w:rFonts w:ascii="SimSun" w:hAnsi="SimSun" w:eastAsia="SimSun" w:cs="SimSun"/>
          <w:color w:val="000000"/>
          <w:sz w:val="24"/>
        </w:rPr>
        <w:t xml:space="preserve">流失动态监测成果，按照小流域的矢量边界进行土地利用、土壤侵蚀和人为水土流失的重新裁切统计（包括电子数据、专题图表等）。根据水利部相关要求，完成水土流失图斑落地及综合制图工作。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收集相关资料，完成林下植被盖度调查数据分析，科学论证植被覆盖与生物措施因子（B）优化方案。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根据水利部水土保持监测中心关于印发《暴雨水土保持调查技术指南（试行）》的通知（水保监函〔2023〕第164号）等文件要求，完成小流域典型暴雨水土流失调查工作。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一、工作任务及内容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1.1省级监测区域水土流失动态监测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1.1.1基础资料收集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按照水利部水土保持监测中心2026年区域水土流失动态监测技术要求，收集整理基础地理数据、土地利用数据、计算NDVI的遥感影像、水土保持重点工程资料和人为水土流失资料等，基础数据有变化的需在成果报告中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1.1.2解译标志建立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遥感影像解译前，应根据监测对象和遥感影像的空间分辨率、时项、色调和几何特征等，结合外业调查，建立解译标志。解译标志应有具有代表性、实用性。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应采用遥感影像、典型调查与实地对照的方法，分别建立土地利用和水土保持措施遥感解译标志。每个县级行政区域土地利用和水土保持措施的解译标志应不少于1套，历史解译标志库可参考使用。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应在野外调查的过程中进一步验证解译标志，并根据实地情况进行修改和补充。解译标志记录格式满足相关规定要求。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1.1.3信息提取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基于遥感影像，结合解译标志，提取土地利用类型和面积，水土保持措施类型、面积或数量。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地利用、水土保持措施的解译种类见《2025年度水土流失动态监测技术指南》等相关技术规定，以县级行政区为单元，对照自然资源部门土地利用统计数据，检查解译合理性。基于遥感影像和生产建设项目信息化监管成果等，提取生产建设项目扰动信息，包括项目名称、项目编号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（1）土地利用和水土保持措施的解译最小图斑为10×10个像元，点状水土保持工程措施按点上图，现状水土保持工程措施按线上图，属性表填写规范、完整。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（2）道路或河道的最小解译宽度为3个像元。解译时，保证道路水系的连通，道路与水系交叉，以水系连通为主。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（3）应抽取不少于总图斑数的10%进行解译结果自查，解译结果判对率应不小于90%。关注变化图斑。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1.1.4野外验证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野外验证工作包括：解译标志检验和补充、专题信息验证、解译中疑难点解决、强烈以上土壤侵蚀图斑现场调查复核、侵蚀评价成果中不合理及流失面积增加较多区域复核等。中标人负责协助采购人开展解译图斑的野外复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（1）在每个全国水土保持区划三级区（江苏涉及6个），选择林地、园地和草地，现场调查验证郁闭度和盖度，并拍摄现场照片，调查成果应不少于1套。现场调查验证结果用于验证计算的植被覆盖度。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（2）对于梯田措施，开展梯田类型、梯田标准和质量、损毁程度、开垦利用方式等调查野外验证,并记录。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为扰动地块实地调查验证的地块数量应不小于人为扰动地块总数的2%（其中新增人为扰动地块实地调查验证的地块数量不低于50%），应按项目类型、地形地貌、生产建设阶段和扰动方式、区域分布等选择典型的扰动地块或项目进行现场调查验证，结果用于类比分析或校核基于影像提取的人为扰动地块侵蚀强度结果。同时，结合收集的生产建设项目水土保持方案等资料和现场调查，进一步核实生产建设项目扰动图斑的相关信息。对人为扰动地块土壤侵蚀强度进行野外复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省级监测区域内94个县级行政区，分别随机选择土地利用发生变化的图斑（不少于25个），进行土壤侵蚀强度变化、水土保持功能变化情况的调查复核；对于年度土地利用未发生变化的图斑（不少于25个，重点选择土地利用为耕地、园地、草地、林地的图斑，原则上耕地和园地应占50%以上）进行土壤侵蚀强度变化和治理修复成效的调查复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用重点或典型抽样的方法对水土流失治理项目实施区域、工程集中区域、典型措施分布区域开展外业调查，重点调查水土保持措施类型、实施年份、面积或数量、措施完好程度、防治效果等。野外调查验证图斑应尽可能覆盖不同项目实施区域。同时，根据水土保持措施外业调查结果，补充完善土壤侵蚀地块水土保持措施（含工程、生物措施）属性赋值，提高各类水土保持措施识别程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（6）落地图斑复核。根据水利部水土流失图斑及其强度划定技术方案，复核图斑水土流失状况及防治情况，包括水土流失面积、强度及变化情况，以及防治措施类型、面积与治理成效。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（7）野外核查图斑应不少于总图斑数的0.5%，对于解译中的疑难点，应抽取不少于总图斑数1%的样本进行验证。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1.1.5解译图斑抽查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对所承担的省级监测区域土地利用和水土保持措施图斑解译准确率进行自查，并接受采购人和对应流域机构的随机抽查，流域机构抽查比例不少于10%的县级行政区，每县不少于200个图斑。采购人酌情增加抽查比例，并对抽查中发现的错误图斑和存疑图斑修改情况进行二次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1.1.6水力侵蚀计算与分析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（1）侵蚀因子计算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降雨侵蚀力因子R、土壤可蚀性因子K根据水利部统一要求更新或沿用，坡度S、坡长L因子根据《区域水土流失动态监测技术规定（试行）》计算，植被覆盖与生物措施因子B、水土保持工程措施因子E和耕作措施因子根据《2025年度水土流失动态监测技术指南》要求计算或赋值。因子的优化、调整需报采购人、复核的流域机构和水利部监测中心同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（2）土壤侵蚀模数计算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全国水土流失动态监测协同解译与模型计算平台V1.0和地理信息系统软件，利用土壤侵蚀因子计算值，运用中国土壤流失方程CSLE，对降雨侵蚀力因子R、土壤可蚀性因子K、坡长因子L、坡度因子S、植被覆盖与生物措施因子B、工程措施因子E、耕作措施因子T进行栅格乘积运算，得到每个栅格的土壤侵蚀模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（3）人为扰动地块侵蚀强度评价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根据人为扰动地块平均坡度和解译的措施或覆盖状况，判定其土壤侵蚀强度，其中，地块平均坡度＜5°且林草（或苫盖、硬化）措施面积占比≥50%的，其侵蚀强度判定为微度；林草（或苫盖、硬化）措施面积占比＜50%的，为轻度。遥感影像解译时，应对林草（或苫盖、硬化）措施进行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对于山区、丘陵区、风沙区的人为扰动地块，应叠加DEM，提取原地面平均坡度，根据遥感影像和水土保持措施实施情况，合理判断侵蚀强度。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地块原地面平均坡度5-15°为中度，15-30°为强烈，30°以上为极强烈。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对选定的典型人为扰动地块，根据所处地貌类型、区域以及水土流失治理度等指标，采用综合评判方法，评价人为扰动地块侵蚀强度，并基于水土流失治理情况，分析人为扰动地块的地表覆盖、林草植物措施、工程措施实施面积及其水土流失面积减少或强度降低等治理恢复情况，判定指标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人为扰动地块土壤侵蚀强度判定指标表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086350" cy="32194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017179" name=""/>
                        <pic:cNvPicPr>
                          <a:picLocks noChangeAspect="1"/>
                        </pic:cNvPicPr>
                        <pic:nvPr/>
                      </pic:nvPicPr>
                      <pic:blipFill>
                        <a:blip/>
                        <a:stretch/>
                      </pic:blipFill>
                      <pic:spPr bwMode="auto">
                        <a:xfrm>
                          <a:off x="0" y="0"/>
                          <a:ext cx="5086350" cy="32194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0.5pt;height:253.5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381625" cy="12287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466529" name=""/>
                        <pic:cNvPicPr>
                          <a:picLocks noChangeAspect="1"/>
                        </pic:cNvPicPr>
                        <pic:nvPr/>
                      </pic:nvPicPr>
                      <pic:blipFill>
                        <a:blip/>
                        <a:stretch/>
                      </pic:blipFill>
                      <pic:spPr bwMode="auto">
                        <a:xfrm>
                          <a:off x="0" y="0"/>
                          <a:ext cx="5381624" cy="1228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3.8pt;height:96.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基于收集到的最新一期（当年或上年度末）经外业复核后更新过扰动类型和建设状态信息的生产建设项目信息化监管解译图斑矢量数据，获取当年正在扰动的生产建设项目信息，主要包括生产建设项目地块位置点信息、项目名称和项目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当年解译的人为扰动地块（即53地块），通过与生产建设项目地块位置点信息叠加、拼接等方法，将人为扰动地块分别标识为生产建设项目扰动地块和其他人为扰动地块，并将生产建设项目扰动地块链接项目名称、项目编号等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区分新增扰动（指相较于上年度，本监测年新增的人为扰动地块）和存量扰动（指上年度和本监测年均为人为扰动的地块），分别统计生产建设项目扰动地块、其他人为扰动地块的图斑数量、面积及其比例。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④根据典型扰动地块或项目现场调查及其土壤侵蚀强度评价结果，采用类比分析的方法，辅助评判或校核基于影像提取的人为扰动地块侵蚀强度结果。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利用收集到的生产建设项目扰动图斑位置、范围、现场照片等资料，辅助开展人为扰动地块（地块面积一般大于1公顷）侵蚀强度评价与结果校核。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基于实地调查的典型扰动地块治理恢复情况，以及信息化监管等相关资料，采用类比法，估算县级行政区人为扰动地块（区分生产建设项目和活动扰动图斑两种类型）的地表覆盖率、水土流失治理度，分析评价水土流失面积减少、强度降低等治理恢复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治理恢复面积一般包括一下情形：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较上一年，人为扰动用地转移出去的土地面积中，扣除经土壤侵蚀模数计算仍为轻度以上侵蚀的土地面积；较上一年，未发生土地利用类型变化的人为扰动用地中，恢复治理且侵蚀强度评价为微度的土地面积；较上一年，新增人为扰动用地中，已采取恢复治理措施且侵蚀强度评价为微度的土地面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（4）土壤侵蚀强度评价和水土流失面积统计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土壤侵蚀分类分级标准》等技术标准，评价每个栅格的土壤侵蚀强度。人为扰动地块直接采用其土壤侵蚀强度评价结果，并转为栅格图层（重采样为10m），与其它土地利用类型的土壤侵蚀计算栅格图层融合形成土壤侵蚀专题图层，用于评价侵蚀强度和水土流失面积统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（5）水土流失面积综合分析计算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对于发生水力侵蚀、风力侵蚀和冻融侵蚀的栅格，应基于各种类型侵蚀强度的评价结果，综合分析确定县级行政区的水土流失面积。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1.1.7结果统计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（1）土地利用情况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县级行政区土地利用解译成果，分别统计不同统计单元的土地利用面积比例，以及不同坡度等级耕地和不同类型梯田面积。基于县级行政区土地利用矢量图，通过接边和矢量拼接等，制作生成不同统计单元土地利用专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（2）植被覆盖情况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县级行政区土地利用解译成果、DEM，以及监测上一年植被最茂盛时期（如南方地区的第13期，北方地区的第14期）的植被覆盖度监测成果，按覆盖度、不同坡度分级，分别统计园地、林地、草地的面积。基于县级行政区植被覆盖度栅格或矢量图，按照不同统计单元，通过融合、拼接等，制作生成不同统计单元植被覆盖度专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（3）土壤侵蚀状况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县级行政区土地利用解译和土壤侵蚀计算或评价结果，按侵蚀类型、不同土地利用、分坡度等级耕地和不同类型梯田、人为扰动、分坡度等级和不同植被覆盖度（园地、林地、草地）分别统计各侵蚀强度等级对应的面积、比例，以及极强烈和剧烈侵蚀面积、比例；在此基础上，分别统计水土流失面积及其比例。基于县级行政区土壤侵蚀栅格或矢量图，按不同统计单元，通过融合、拼接等，形成土壤侵蚀专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（4）水土保持措施情况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县级行政区水土保持措施解译成果，按水土保持措施类型，分别统计措施工程量，如面积、长度、个数等。基于县级行政区水土保持措施分布矢量图、水土保持项目区矢量图，按不同统计单元，通过接边和矢量拼接，形成水土保持措施专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（5）人为扰动地块情况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县级行政区人为扰动地块解译及土壤侵蚀强度评价成果，分别统计不同单元的人为扰动地块数量、面积，及其对应的土壤侵蚀类型、面积、强度和治理恢复情况等。基于县级行政区人为扰动地块及其土壤侵蚀矢量图，按不同统计单元，通过接边和矢量拼接，形成人为扰动地块专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（6）小流域土壤侵蚀情况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县级行政区土地利用情况和土壤侵蚀情况，分别统计3510个小流域的土地利用面积及比例、各侵蚀强度等级对应的面积及比例、人为扰动面积及比例，在此基础上，统计水土流失面积及其比例。基于县级行政区土壤侵蚀栅格图或矢量图，以小流域为统计单元，制作生成土地利用、土壤侵蚀和人为扰动地块的矢量数据与专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1.1.8动态变化分析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基于年度监测成果和不同动态变化对比分析周期，分别对土地利用、植被覆盖度、土壤侵蚀、水土保持措施、人为扰动地块等进行动态变化分析。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县级行政区应按年度或对比分析周期，进行土地利用、土壤侵蚀的空间转移矩阵分析，并分析变化原因。县级行政区以上其他统计单元一般进行转移矩阵统计分析。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1.1.9专题图制作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按《水利水电工程制图标准 水土保持图》（SL73.6-2015）和《区域水土流失动态监测技术规定》等规范中有关制图的规定，制作1:5万比例尺标准分幅的土地利用、植被覆盖度、土壤侵蚀、水土保持措施等专题图件；以及适当比例尺的市、县级行政区土地利用、植被覆盖、土壤侵蚀、水土保持措施等专题图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1.1.10成果要求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交的成果必须满足2026年水土流失动态监测最新技术文件的要求，并按照甲方要求提交成果，成果可分为基础（原始）数据、中间（计算）数据、成果数据、技术报告和工作报告5大类，提交形式为纸质版、电子版成果和数据载体（移动硬盘等）。包括但不限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（1）基础（原始）数据主要包括遥感影像类、基础地理类、土地利用类、水土保持工程类、生产建设扰动类、野外调查类和气象水文类等数据。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（2）中间（计算）数据主要包括土地利用类、植被覆盖度类、土壤侵蚀类、水土保持措施类、人为扰动地块类、土壤侵蚀因子优化调整方案等数据。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（3）成果数据以县级行政区为单位进行，主要包括土地利用类、植被覆盖度类、土壤侵蚀类、水土保持措施类、人为扰动地块类、深度分析成果等数据。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（4）应按不同的整编对象和范围分别整理，编写形成年度水土流失动态监测成果报告、图斑落地及综合制图成果报告。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果的绘图要求、电子数据文件格式、图例颜色、样式、监测成果整（汇）编要求等，需符合《水土流失动态监测数据分类及标准（试行）》（水保监〔2023〕34号）等技术文件的要求，并录入《江苏省水土保持监测与管理信息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开展水土流失图斑落地及综合制图工作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根据水利部水土流失图斑及其强度划定、综合制图等相关工作要求，开展水土流失图斑落地及综合制图工作。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林下盖度观测数据分析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收集相关资料，完成林下植被盖度调查数据分析，科学论证植被覆盖与生物措施因子（B）优化方案。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重点区域与重点对象水土流专题深度分析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全国水土保持区划、国家重点生态功能区、重点防治区、重点支流或主要水系流域、重点关注区域为评价尺度，针对全省不同土地利用类型、不同坡度等级耕地、园林草地、人为扰动用地、梯田等水土流失特征开展专题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暴雨水土流失专项调查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水利部水土保持监测中心关于印发《暴雨水土保持调查技术指南（试行）》的通知（水保监函〔2023〕第164号）和《水利部水土保持监测中心关于做好2024年度典型暴雨水土流失专项调查的通知》（水保监函〔2024〕90号）等文件要求，完成小流域典型暴雨水土流失调查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二、提交成果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1、江苏省2026年度省级监测区域水土流失动态监测成果报告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2、江苏省2026年度省级监测区域土地利用情况、变化分析统计表及专题图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3、江苏省2026年度省级监测区域植被覆盖度情况、变化分析统计表及专题图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4、江苏省2026年度省级监测区域土壤侵蚀情况、变化分析统计表及专题图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5、江苏省2026年度省级监测区域水土保持措施情况、变化分析统计表及专题图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6、江苏省2026年度省级监测区域人为扰动地块情况、变化分析统计表及专题图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7、江苏省2026年度小流域土地利用情况统计表及专题图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8、江苏省2026年度小流域土壤侵蚀情况统计表及专题图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9、江苏省2026年度小流域人为扰动地块情况统计表及专题图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10、江苏省水土流失图斑落地及综合制图成果报告、统计表及专题图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11、江苏省林下植被盖度调查数据分析报告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12、江苏省重点区域与重点对象水土流失分析报告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13、江苏省典型暴雨水土流失调查报告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三、工作依据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（1）《第二次全国土地调查技术规程》（TD/T 1014-2007）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（2）《水土保持遥感监测技术规范》（SL592-2012）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（3）《土地利用现状分类》（GB/T 21010-2007）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（4）《第二次全国土地调查数据库建设技术规范》（国务院第二次全国土地调查领导小组办公室，2007年）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（5）《基础地理信息数字产品1:10000、1:50000数字高程模型》（CH/T 1008-2001）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（6）《数字测绘成果质量检查与验收》（GB/T 18316-2008）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（7）《遥感影像平面图制作规范》（GB/T 15968-2008）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（8）《第一次全国水利普查培训教材之六水土保持情况普查》（国务院第一次全国水利普查领导小组办公室，2010）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（9）《全国水土流失动态监测与公告项目监测成果整编规范》（水利部水土保持监测中心）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（10）《水土流失动态监测优化技术方案》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（11）《水利部办公厅关于做好年度水土流失动态监测工作的通知》（办水保[2018]77号）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（12）《全国水土流失动态监测实施方案（2023—2027年）》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（13）《2025年度水土流失动态监测技术指南》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（14）2026年水土流失动态监测技术要求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四、质量要求与质量控制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2026年度水土流失动态监测技术要求等技术规定和相关技术标准的要求，工作流程严格质量控制，通过内部审查、审核环节，严格过程和成果质量管理，加强成果合理性分析。采购人对动态监测实施方案及监测成果组织专家审查，要求存疑图斑全部进行现场核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遥感解译与信息提取质量控制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图斑内业抽查比例不低于总图斑数量的10%。土地利用类型、水土保持措施分类准确，解译准确率90%以上。避免出现复合图斑（即图斑属性不单一），满足10×10个像元最小解译图斑要求的边界勾绘准确率90%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（2）野外验证中应重点关注土地利用或水土保持措施发生变化的图斑。抽查比例不低于总图斑数的0.5%，边界和属性准确率不低于90%。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土地利用、梯田措施解译结果与现有资料对比有较大差异（土地利用类型面积两者相差大于±10%，梯田措施面积两者相差大于±10%）的，野外验证比例不低于总图斑数的1%，差异较集中的区域应作为重点关注对象进行现场验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（4）提取信息校核前，应进行拓扑检查，消除控制、重叠、缝隙、细碎图斑（对应实际地物面积小于200m</w:t>
      </w:r>
      <w:r>
        <w:rPr>
          <w:rFonts w:ascii="SimSun" w:hAnsi="SimSun" w:eastAsia="SimSun" w:cs="SimSun"/>
          <w:color w:val="000000"/>
          <w:sz w:val="24"/>
          <w:vertAlign w:val="superscript"/>
        </w:rPr>
        <w:t xml:space="preserve">2</w:t>
      </w:r>
      <w:r>
        <w:rPr>
          <w:rFonts w:ascii="SimSun" w:hAnsi="SimSun" w:eastAsia="SimSun" w:cs="SimSun"/>
          <w:color w:val="000000"/>
          <w:sz w:val="24"/>
        </w:rPr>
        <w:t xml:space="preserve">的变化图斑和小于400m</w:t>
      </w:r>
      <w:r>
        <w:rPr>
          <w:rFonts w:ascii="SimSun" w:hAnsi="SimSun" w:eastAsia="SimSun" w:cs="SimSun"/>
          <w:color w:val="000000"/>
          <w:sz w:val="24"/>
          <w:vertAlign w:val="superscript"/>
        </w:rPr>
        <w:t xml:space="preserve">2</w:t>
      </w:r>
      <w:r>
        <w:rPr>
          <w:rFonts w:ascii="SimSun" w:hAnsi="SimSun" w:eastAsia="SimSun" w:cs="SimSun"/>
          <w:color w:val="000000"/>
          <w:sz w:val="24"/>
        </w:rPr>
        <w:t xml:space="preserve">的其他图斑）等拓扑错误。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（5）土地利用、水土保持措施等年际变化图斑漏判率、错判率均低于5%，且形成专题图层。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（6）人为扰动地块漏判率、错判率均低于人为扰动地块总数的5%。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土壤侵蚀计算质量控制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（1）因子计算基础数据、阈值设定与计算方法正确。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（2）因子图层数据时空分辨率、精度、格式与成果制备等符合相关技术要求。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（3）因子计算结果的取值范围、空间分布特征等符合区域实际。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（4）植被覆盖与生物措施因子、林下植被盖度等因子调查与计算，要满足区域计算的精度要求，结果合理。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（5）林草地区域坡度因子S取值范围为≤5.43，林草地区域以外的坡度因子S的取值范围为≤9.99。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结果统计与动态变化分析质量控制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（1）土壤侵蚀分类、面积、强度分布等特征，与监测区域自然特征、水土流失综合治理、生态文明建设、预防保护以及生态移民、经济社会发展等综合分析结果相符，科学可靠。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（2）极强烈、剧烈等侵蚀强度分布进行现场复核，符合实际情况。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（3）专题图图面的县级行政区面积应以民政部公布的面积作为标准面积进行校正。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（4）不同统计单元汇总形成的空间数据应进行拓扑检查，并处理接边等问题。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（5）统计表中的面积与比例应闭合，统计表内、表间无逻辑错误。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（6）空间数据与统计结果对应，避免图表不一致。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（7）土壤侵蚀面积、强度、分布及其动态变化等，与监测区域土地利用结果及其调整情况、生产建设活动扰动等分析结果相符。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（8）土壤侵蚀动态变化规律、空间分布等与解译结果、因子变化结果等基本一致。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省级监测区域水土流失动态监测数据源、工作流程、工作内容、技术路线、成果要求和时间节点需根据2026年度水土流失动态监测工作技术要求进行相应调整，严格执行，满足流域机构和水利部审查要求。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监测成果需通过采购人、江苏省水利厅、水利部等部门组织的审核、复核（审查、咨询等会议相关费用由中标人承担），并按照修改意见进行完善，直至水利部发布年度最终成果。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五、进度要求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本项目工期10个月。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（1）中标人拿到中标通知书后20天内完成合同签订和基础资料收集整理，根据水利部的时间节点要求，完成以下工作。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（2）完成遥感解译与专题信息提取、野外复核，并提交相应成果，通过流域机构组织的遥感解译和专题信息提取阶段质量控制。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（3）完成土壤侵蚀模数计算与强度判定、水土流失消长分析，提交汇总成果并通过采购人组织的专家审查。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（4）年度水土流失动态监测成果通过流域机构组织的复核，复核完善后提交。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（5）其他专题成果审查及合同验收。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（6）根据流域机构和水利部要求完成后续工作，直至水利部发布年度最终成果。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动态监测成果需通过采购人、江苏省水利厅、水利部等部门组织的审核、复核，并按照修改意见进行完善后提交，并录入《江苏省水土保持监测与管理信息系统》。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  银行汇付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（2）支付时间和额度：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第一期 通过实施方案审查后支付合同价款的30%；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第二期 成果通过水利部组织的遥感解译和专题信息提取阶段质量控制，提交按专家意见修改的成果后，支付合同价款的40%；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第三期 成果通过水利部组织的复核，提交按照审查意见修改的成果后，支付合同价款的30%；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第四期 通过合同验收，提交按复核意见修改完善后的纸质和电子成果后，退还履约保证金。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乙方应无条件接受甲方及其上级部门就本项目资金使用管理情况的审计。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八、质保期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项目质保期为验收后一年，质保期内需配合甲方完成其他项目相关工作。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报价时应考虑合同明示或暗示的所有责任、义务和一般风险，并将这部分费用包含在投标报价中。除合同另有规定外，投标人所报价格一概不予调整。分项报价表中明示的所有项目的费用，以及其他一切为实现本项目目标所需的各项费用均应包含在投标报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负责办理为执行本招标文件规定义务而投入的机具设备和运输工具的财产保险、人身保险、第三者责任险、设备材料运输险、包装物的保险及其他相关险种，保险费由投标人承担并支付，并包含在投标分项报价表各项的综合单价中，采购人不再单独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（3）根据国家相关规定，凡要求投标人办理的一切手续（包括投标和中标后的各种手续）均由投标人自行调查并办理，并承担一切费用。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除合同另有规定外，在投标截止日前28天当时所依据的国家法律、行政法规、国务院有关部门的规章以及工程所在地的省、自治区、直辖市的地方法规和规章中规定应由中标人缴纳的税金和其它费用均应计入单价、合价和总报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以下为中标后签定本项目合同的通用条款，中标人不得提出实质性的修改，关于专用条款将由采购人与中标人结合本项目具体情况协商后签订。</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rPr>
          <w:rFonts w:ascii="SimSun" w:hAnsi="SimSun" w:eastAsia="SimSun" w:cs="SimSun"/>
          <w:b/>
          <w:color w:val="000000"/>
          <w:sz w:val="24"/>
        </w:rPr>
        <w:t xml:space="preserve">采购合同（项目编号）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江苏省水文水资源勘测局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w:t>
      </w:r>
      <w:r>
        <w:rPr>
          <w:rFonts w:ascii="SimSun" w:hAnsi="SimSun" w:eastAsia="SimSun" w:cs="SimSun"/>
          <w:color w:val="000000"/>
          <w:sz w:val="24"/>
        </w:rPr>
        <w:t xml:space="preserve">项目公开招标（竞争性谈判，竞争性磋商、单一来源谈判）的结果，签署本合同。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产品/服务内容：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服务期限：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补充条款：</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本合同金额为（大写）：_________________圆整（￥__________元）人民币。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本合同价款包含所有乙方提供合同约定产品和服务的报酬，乙方提供合同中产品和服务过程中产生的其他费用均由乙方承担，甲方在上述合同价款之外不再向乙方支付其他任何费用。</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3.1乙方应按采购文件规定的时间向甲方提供有关技术资料。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乙方保证所交付标的的所有权完全属于乙方且无任何抵押、查封等产权瑕疵。</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6.1在合同签订后14天内，乙方需采取电汇、网银或保函形式缴纳履约保证金，金额为合同总价的5%。</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6.2乙方提交全部最终成果并通过合同验收后，退还履约保证金。</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七、转包或分包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7.1本合同范围内产品或服务，应由乙方直接供应，不得转让他人供应；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除非得到甲方的书面同意，乙方不得部分分包给他人供应。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7.3如有转让和未经甲方同意的分包行为，甲方有权给予终止合同。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八、质保期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质保期</w:t>
      </w:r>
      <w:r>
        <w:rPr>
          <w:rFonts w:ascii="SimSun" w:hAnsi="SimSun" w:eastAsia="SimSun" w:cs="SimSun"/>
          <w:color w:val="000000"/>
          <w:sz w:val="24"/>
          <w:u w:val="single"/>
        </w:rPr>
        <w:t xml:space="preserve">     </w:t>
      </w:r>
      <w:r>
        <w:rPr>
          <w:rFonts w:ascii="SimSun" w:hAnsi="SimSun" w:eastAsia="SimSun" w:cs="SimSun"/>
          <w:color w:val="000000"/>
          <w:sz w:val="24"/>
        </w:rPr>
        <w:t xml:space="preserve">年。（自项目验收合格之日起计）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九、交付期、交付方式及交付地点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9.1交付期：_________。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9.2交付方式：_________。</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9.3交付地点：_________。</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十、合同款支付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10.1付款方式：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w:t>
      </w:r>
      <w:r>
        <w:rPr>
          <w:rFonts w:ascii="SimSun" w:hAnsi="SimSun" w:eastAsia="SimSun" w:cs="SimSun"/>
          <w:color w:val="000000"/>
          <w:sz w:val="24"/>
          <w:u w:val="single"/>
        </w:rPr>
        <w:t xml:space="preserve">  银行汇付      </w:t>
      </w: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（2）支付时间和额度：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第一期 通过实施方案审查后支付合同价款的30%；</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第二期 成果通过水利部组织的遥感解译和专题信息提取阶段质量控制，提交按专家意见修改的成果后，支付合同价款的40%；</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第三期 成果通过水利部组织的复核，提交按照审查意见修改的成果后，支付合同价款的30%；</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第四期 通过合同验收，提交按复核意见修改完善后的纸质和电子成果后，退还履约保证金。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乙方应无条件接受甲方及其上级部门就本项目资金使用管理情况的审计。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十一、税费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本合同执行中相关的一切税费均由乙方负担。</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十二、质量保证及售后服务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12.1乙方应按采购文件规定和响应文件承诺的性能、技术要求、质量标准向甲方提供产品或服务。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12.2乙方提供的产品或服务在质保期内因其本身出现质量问题，根据实际情况，经双方协商，可按以下办法处理：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（1）更换：由乙方承担所发生的全部费用。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（2）合同终止处理：合同终止，并退还甲方支付的合同款，同时应承担由此产生的所有费用，甲方不承担发生任何费用。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12.3如在使用过程中发生质量问题，乙方在接到甲方通知后在</w:t>
      </w:r>
      <w:r>
        <w:rPr>
          <w:rFonts w:ascii="SimSun" w:hAnsi="SimSun" w:eastAsia="SimSun" w:cs="SimSun"/>
          <w:color w:val="000000"/>
          <w:sz w:val="24"/>
          <w:u w:val="single"/>
        </w:rPr>
        <w:t xml:space="preserve">     </w:t>
      </w:r>
      <w:r>
        <w:rPr>
          <w:rFonts w:ascii="SimSun" w:hAnsi="SimSun" w:eastAsia="SimSun" w:cs="SimSun"/>
          <w:color w:val="000000"/>
          <w:sz w:val="24"/>
        </w:rPr>
        <w:t xml:space="preserve">小时内到达甲方现场。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12.4在质保期内，乙方应对产品或服务出现的质量及安全问题负责处理解决并承担一切费用。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12.5合同标的对质量保证和售后服务另有要求的，按采购文件中的相关要求处理。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十三、验收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13.1甲方对乙方提交的产品或服务依据采购文件上的项目需求要求、乙方响应文件及国家有关质量标准进行验收。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13.2乙方交货前应对产品或服务作出全面检查和对验收文件进行整理，并列出清单，作为甲方验收和使用的技术条件依据，检验的结果应随服务一起提交甲方。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13.3甲方对乙方提供的产品或服务在使用前，乙方需负责培训甲方的使用操作人员，并协助甲方一起试用，直到符合技术要求，甲方才做最终验收。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13.4对技术复杂的产品或服务，甲方可请国家认可的专业检测机构参与初步验收及最终验收，并由其出具质量检测报告。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13.5验收时乙方必须在现场，验收完毕后作出验收结果报告；采购文件规定以外的验收费用由甲乙双方协商解决。</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13.6合同标的对验收另有要求的，按采购文件中的相关要求执行。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十四、合同内容的交付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14.1乙方应保证合同标的安全运达甲方指定地点。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使用说明书、质量检验证明书一并提交甲方。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乙方在合同标的交付甲方48小时前通知甲方准备接收。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合同标的在交付甲方前发生的风险均由乙方负责。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合同标的在规定的交付期限内由乙方送达甲方指定的地点视为交付，乙方同时需通知甲方已送达；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14.6合同标的对交付另有要求的，按采购文件中的相关要求执行。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十五、违约责任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甲方无正当理由拒收的，甲方向乙方偿付拒收货款总值的百分之五违约金。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甲方无故逾期验收和办理合同款支付手续的,甲方应按逾期付款总额每日万分之五向乙方支付违约金。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乙方逾期交付合同标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十六、不可抗力事件处理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在合同有效期内，任何一方因不可抗力事件导致不能履行合同，则合同履行期延长，其延长期与不可抗力影响期相同。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不可抗力事件发生后，应立即通知对方，并寄送有关权威机构出具的证明。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不可抗力事件延续120天以上，双方应通过友好协商，确定是否继续履行合同。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十七、诉讼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双方在执行合同中所发生的一切争议，应通过协商解决。如协商不成，可向合同签订地法院起诉，合同签订地在此约定为南京市。</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十八、合同生效及其它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合同经双方法定代表人或授权委托代表人签字并加盖单位公章后生效。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18.2本合同未尽事宜，遵照《中华人民共和国民法典》有关条文执行。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本合同正本一式三份，具有同等法律效力，甲方、乙方、及财政监管部门各执一份。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甲方：乙方：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地址：地址：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联系电话：联系电话：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      年  月  日</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廉政合同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甲方（发包人）：</w:t>
      </w:r>
      <w:r>
        <w:rPr>
          <w:rFonts w:ascii="SimSun" w:hAnsi="SimSun" w:eastAsia="SimSun" w:cs="SimSun"/>
          <w:color w:val="000000"/>
          <w:sz w:val="24"/>
          <w:u w:val="single"/>
        </w:rPr>
        <w:t xml:space="preserve">江苏省水文水资源勘测局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乙方（承包人）：</w:t>
      </w:r>
      <w:r>
        <w:rPr>
          <w:rFonts w:ascii="SimSun" w:hAnsi="SimSun" w:eastAsia="SimSun" w:cs="SimSun"/>
          <w:b/>
          <w:color w:val="000000"/>
          <w:sz w:val="24"/>
          <w:u w:val="single"/>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为贯彻落实党中央、国务院《关于实行党风廉政建设责任制的规定》，进一步加强项目实施过程的党风廉政建设，经甲、乙双方协商一致，自愿签订以下廉政合同。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w:t>
      </w:r>
      <w:r>
        <w:rPr>
          <w:rFonts w:ascii="SimSun" w:hAnsi="SimSun" w:eastAsia="SimSun" w:cs="SimSun"/>
          <w:color w:val="000000"/>
          <w:sz w:val="24"/>
        </w:rPr>
        <w:t xml:space="preserve"> 甲、乙双方的权利和义务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（一）严格遵守党和国家有关法规及党风廉政建设各项规定，严格执行中央八项规定和省委十项规定精神。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w:t>
      </w:r>
      <w:r>
        <w:rPr>
          <w:rFonts w:ascii="SimSun" w:hAnsi="SimSun" w:eastAsia="SimSun" w:cs="SimSun"/>
          <w:b/>
          <w:color w:val="000000"/>
          <w:sz w:val="24"/>
          <w:u w:val="single"/>
        </w:rPr>
        <w:t xml:space="preserve"> （项目合同（项目编号：）</w:t>
      </w:r>
      <w:r>
        <w:rPr>
          <w:rFonts w:ascii="SimSun" w:hAnsi="SimSun" w:eastAsia="SimSun" w:cs="SimSun"/>
          <w:color w:val="000000"/>
          <w:sz w:val="24"/>
        </w:rPr>
        <w:t xml:space="preserve">各项规定，自觉按合同办事。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（三）双方的业务活动坚持公开、公正、公平、诚信的原则（法律认定的商业秘密和合同文件另有规定除外），严禁损害国家和集体利益、违反工程建设管理规章制度。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（四）建立健全并严格执行党风廉政建设各项制度，开展反腐倡廉宣传教育，加强对本方工作人员的监督检查。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w:t>
      </w:r>
      <w:r>
        <w:rPr>
          <w:rFonts w:ascii="SimSun" w:hAnsi="SimSun" w:eastAsia="SimSun" w:cs="SimSun"/>
          <w:color w:val="000000"/>
          <w:sz w:val="24"/>
        </w:rPr>
        <w:t xml:space="preserve">甲方在廉政建设方面的义务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及其工作人员不准在乙方处安插亲友及介绍销售设备、材料，不得指定需购物资设备的销售单位或部门；不得违反规定干预乙方的项目分包；不得挤占、截留、挪用合同款或超进度拨付合同款；严禁私设小金库。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（二）甲方及其工作人员不准利用职务之便索要或接受乙方的现金、有价证券、支付凭证及收受干股，或以赌博等交易形式非法收受乙方财物。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（三）甲方及其工作人员不准让乙方报销应由乙方或个人支付的费用；不准利用职务便利为乙方谋取不当利益。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（四）甲方工作人员不准要求或者接受乙方可能影响公正执行公务的宴请。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（五）甲方及其工作人员不准要求或者接受乙方为其住房装修、婚丧嫁娶、特定关系人（近亲属及其它共同利益关系的人）国内和出国（境）旅游提供方便。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（六）甲方及其工作人员不准利用职务之便为乙方谋取利益之前或之后，约定在其离职后收受乙方财物，并在离职后收受。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（七）甲方及其工作人员不准要求或者收受乙方住房、汽车等物品，不准收受乙方为其以明显低于市场价购置住房或以劣换优、以借为名占用乙方住房。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（八）甲方及其工作人员不准要求或者接受乙方以给特定关系人安排工作为名，使特定关系人不实际工作却获取薪酬；不准违反规定从事与乙方实施项目有关的材料设备供应、分包等经济活动。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（九）甲方及其工作人员不准在与乙方有直接利害关系的企事业单位兼职、兼职取酬、投资入股、经商办企业以及从事有偿中介活动。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（十）甲方或工作人员不得利用职务便利为乙方谋取利益，由乙方出资 “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乙方在廉政建设方面义务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（一）乙方不准以任何形式向甲方及其工作人员馈赠现金、有价证券、支付凭证及赠送干股，或以赌博等交易形式非法赠送甲方财物。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（二）乙方不准以任何名义为甲方及其工作人员报销应由甲方或个人支付的费用。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（三）乙方不准以任何理由邀请甲方工作人员参加对承接的项目有影响的宴请及娱乐活动。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（四）乙方不准为甲方工作人员住房装修、婚丧嫁娶、特定关系人国内和出国（境）旅游提供方便；不准为乙方工作人员的特定关系人以安排工作为名，使其不实际工作却获取薪酬。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（五）乙方不准赠送甲方工作人员住房、汽车等物品，不准为其以明显低于市场价购置住房或以劣换优、以借为名赠送住房。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（六）乙方不准违反规定将承建的施工项目分包或非法转包。</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  违约责任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（一）甲方若违反本《廉政合同》有关规定的，对违纪违规人员，由甲方主管部门依据有关规定查处，构成犯罪的移交司法机关处理，给乙方造成的损失，按有关规定予以赔偿。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若违反本《廉政合同》有关规定的，将按省水利厅信用考核管理有关规定进行查处，并将有关不良行为记录到企业信用档案。对违纪违规人员，由乙方主管部门或行业管理部门依据有关规定查处，构成犯罪的移交司法机关处理，给甲方造成的损失，按有关规定予以赔偿。</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督查单位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双方约定：自愿接受</w:t>
      </w:r>
      <w:r>
        <w:rPr>
          <w:rFonts w:ascii="SimSun" w:hAnsi="SimSun" w:eastAsia="SimSun" w:cs="SimSun"/>
          <w:color w:val="000000"/>
          <w:sz w:val="24"/>
          <w:u w:val="single"/>
        </w:rPr>
        <w:t xml:space="preserve">  江苏省水文水资源勘测局纪律监督室 </w:t>
      </w:r>
      <w:r>
        <w:rPr>
          <w:rFonts w:ascii="SimSun" w:hAnsi="SimSun" w:eastAsia="SimSun" w:cs="SimSun"/>
          <w:color w:val="000000"/>
          <w:sz w:val="24"/>
        </w:rPr>
        <w:t xml:space="preserve">对合同执行情况的监督检查，甲、乙双方应积极配合督查单位的检查，包括提供有关资料和财务账册凭证，接受本合同规定范围内的裁定意见。</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检查方式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履约情况由督查单位主持，甲、乙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本合同有效期为自合同签订之日起至该项目验收后止</w:t>
      </w:r>
      <w:r>
        <w:rPr>
          <w:rFonts w:ascii="SimSun" w:hAnsi="SimSun" w:eastAsia="SimSun" w:cs="SimSun"/>
          <w:b/>
          <w:color w:val="000000"/>
          <w:sz w:val="24"/>
        </w:rPr>
        <w:t xml:space="preserve">。</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w:t>
      </w:r>
      <w:r>
        <w:rPr>
          <w:rFonts w:ascii="SimSun" w:hAnsi="SimSun" w:eastAsia="SimSun" w:cs="SimSun"/>
          <w:color w:val="000000"/>
          <w:sz w:val="24"/>
        </w:rPr>
        <w:t xml:space="preserve">  本合同一式</w:t>
      </w:r>
      <w:r>
        <w:rPr>
          <w:rFonts w:ascii="SimSun" w:hAnsi="SimSun" w:eastAsia="SimSun" w:cs="SimSun"/>
          <w:b/>
          <w:color w:val="000000"/>
          <w:sz w:val="24"/>
          <w:u w:val="single"/>
        </w:rPr>
        <w:t xml:space="preserve">叁</w:t>
      </w:r>
      <w:r>
        <w:rPr>
          <w:rFonts w:ascii="SimSun" w:hAnsi="SimSun" w:eastAsia="SimSun" w:cs="SimSun"/>
          <w:color w:val="000000"/>
          <w:sz w:val="24"/>
        </w:rPr>
        <w:t xml:space="preserve">份，承、发包双方各执</w:t>
      </w:r>
      <w:r>
        <w:rPr>
          <w:rFonts w:ascii="SimSun" w:hAnsi="SimSun" w:eastAsia="SimSun" w:cs="SimSun"/>
          <w:b/>
          <w:color w:val="000000"/>
          <w:sz w:val="24"/>
          <w:u w:val="single"/>
        </w:rPr>
        <w:t xml:space="preserve">壹</w:t>
      </w:r>
      <w:r>
        <w:rPr>
          <w:rFonts w:ascii="SimSun" w:hAnsi="SimSun" w:eastAsia="SimSun" w:cs="SimSun"/>
          <w:color w:val="000000"/>
          <w:sz w:val="24"/>
        </w:rPr>
        <w:t xml:space="preserve">份，送交督查单位</w:t>
      </w:r>
      <w:r>
        <w:rPr>
          <w:rFonts w:ascii="SimSun" w:hAnsi="SimSun" w:eastAsia="SimSun" w:cs="SimSun"/>
          <w:b/>
          <w:color w:val="000000"/>
          <w:sz w:val="24"/>
          <w:u w:val="single"/>
        </w:rPr>
        <w:t xml:space="preserve">壹</w:t>
      </w:r>
      <w:r>
        <w:rPr>
          <w:rFonts w:ascii="SimSun" w:hAnsi="SimSun" w:eastAsia="SimSun" w:cs="SimSun"/>
          <w:color w:val="000000"/>
          <w:sz w:val="24"/>
        </w:rPr>
        <w:t xml:space="preserve">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发包人:(盖章)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或授权代理人:(签名)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承包人:(盖章)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或授权代理人:(签名)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督查单位：(盖章)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 表 人：(签名)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第六章投标文件格式及附件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21"/>
        <w:gridCol w:w="4395"/>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致：江苏省水文水资源勘测局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147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2、按招标要求，我们的投标总报价为（大写）</w:t>
      </w:r>
      <w:r>
        <w:rPr>
          <w:rFonts w:ascii="SimSun" w:hAnsi="SimSun" w:eastAsia="SimSun" w:cs="SimSun"/>
          <w:b/>
          <w:color w:val="000000"/>
          <w:sz w:val="21"/>
          <w:u w:val="single"/>
        </w:rPr>
        <w:t xml:space="preserve">             </w:t>
      </w:r>
      <w:r>
        <w:rPr>
          <w:rFonts w:ascii="SimSun" w:hAnsi="SimSun" w:eastAsia="SimSun" w:cs="SimSun"/>
          <w:color w:val="000000"/>
          <w:sz w:val="21"/>
        </w:rPr>
        <w:t xml:space="preserve">元人民币。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（满足招标文件要求或填写优于招标要求的时间）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项目负责人：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的情形的，我们将酌情决定是否参加当场变更的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致：江苏省水文水资源勘测局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项目名称、包号</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    年  月  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8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                   </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附法定代表及授权委托人的身份证的复印件: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开标一览表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3"/>
        <w:gridCol w:w="6719"/>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                     大写：</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是否属于小微型企业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是否属于监狱和戒毒企业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是否属于残疾人福利性单位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rPr>
          <w:rFonts w:ascii="SimSun" w:hAnsi="SimSun" w:eastAsia="SimSun" w:cs="SimSun"/>
          <w:color w:val="000000"/>
          <w:sz w:val="21"/>
          <w:u w:val="single"/>
        </w:rPr>
        <w:t xml:space="preserve">                                                  </w:t>
      </w:r>
      <w:r/>
    </w:p>
    <w:p>
      <w:pPr>
        <w:ind w:left="945" w:right="0" w:hanging="9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说明：1.在“供应商是否属于小和微型企业”栏后“是”或“否”上打“√”。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2.在“供应商是否属于残疾人福利性单位”栏后“是”或“否”上打“√”。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3.在“供应商是否属于监狱企业”栏后“是”或“否”上打“√”。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采购人对每一项货物和服务仅接受一个价格，不得填报有选择性报价方案。若有优惠条款须注明，但不得影响报价，影响产品整体功能。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分项报价表（格式自拟）</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3118"/>
        <w:gridCol w:w="1276"/>
        <w:gridCol w:w="1254"/>
        <w:gridCol w:w="1660"/>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附件四、资格证明文件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（2）具有良好的商业信誉和健全的财务会计制度；（提供上一年度的经审计的财务报告或会计报表，含资产负债表、利润表等，成立不满一年不需提供）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（4）有依法缴纳税收和社会保障资金的良好记录；（提供参加本次政府采购活动近六个月内最近一个月的依法缴纳税收和社会保障资金的相关材料）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2.落实政府采购政策需满足的资格要求：本项目为非预留份额的采购项目或采购包，执行价格扣除优惠政策。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（1）未被“信用中国”网站（www.creditchina.gov.cn）列入失信被执行人、重大税收违法案件当事人名单、政府采购严重失信行为记录名单（提供信用中国、中国政府采购网等网站查询截图）。</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    月    日</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致：江苏省水文水资源勘测局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 </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在下划线上如实填写：有或没有</w:t>
      </w:r>
      <w:r>
        <w:rPr>
          <w:rFonts w:ascii="SimSun" w:hAnsi="SimSun" w:eastAsia="SimSun" w:cs="SimSun"/>
          <w:color w:val="000000"/>
          <w:sz w:val="21"/>
        </w:rPr>
        <w:t xml:space="preserve">）重大违法记录。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514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附件七：采购实施方案</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（包括规划分析、技术路线与方法、规划总体方案、人员组织、进度安排、质量控制、服务方案等，格式自拟）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0" w:firstLine="0"/>
        <w:jc w:val="right"/>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附件八、质量保证及服务承诺</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质量保证及服务承诺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我公司就江苏省2026年度水土流失动态监测质量保证及服务承诺如下：</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（供应商自拟）</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商务条款偏离表格式</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906"/>
        <w:gridCol w:w="1149"/>
        <w:gridCol w:w="119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8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技术条款偏离表格式</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1606"/>
        <w:gridCol w:w="2677"/>
        <w:gridCol w:w="1470"/>
        <w:gridCol w:w="1742"/>
        <w:gridCol w:w="1101"/>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1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8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招标项目要求提供的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技术或服务要求</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rPr>
          <w:rFonts w:ascii="SimSun" w:hAnsi="SimSun" w:eastAsia="SimSun" w:cs="SimSun"/>
          <w:b/>
          <w:color w:val="000000"/>
          <w:sz w:val="24"/>
          <w:u w:val="single"/>
        </w:rPr>
        <w:t xml:space="preserve">                                     </w:t>
      </w:r>
      <w:r>
        <w:rPr>
          <w:rFonts w:ascii="SimSun" w:hAnsi="SimSun" w:eastAsia="SimSun" w:cs="SimSun"/>
          <w:b/>
          <w:color w:val="000000"/>
          <w:sz w:val="24"/>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附件十一、企业声明函格式（如不属于则不需提供）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本公司</w:t>
      </w:r>
      <w:r>
        <w:rPr>
          <w:rFonts w:ascii="SimSun" w:hAnsi="SimSun" w:eastAsia="SimSun" w:cs="SimSun"/>
          <w:color w:val="000000"/>
          <w:sz w:val="21"/>
        </w:rPr>
        <w:t xml:space="preserve">（联合体</w:t>
      </w:r>
      <w:r>
        <w:rPr>
          <w:rFonts w:ascii="SimSun" w:hAnsi="SimSun" w:eastAsia="SimSun" w:cs="SimSun"/>
          <w:color w:val="000000"/>
          <w:spacing w:val="-5"/>
          <w:sz w:val="21"/>
        </w:rPr>
        <w:t xml:space="preserve">）</w:t>
      </w:r>
      <w:r>
        <w:rPr>
          <w:rFonts w:ascii="SimSun" w:hAnsi="SimSun" w:eastAsia="SimSun" w:cs="SimSun"/>
          <w:color w:val="000000"/>
          <w:spacing w:val="-2"/>
          <w:sz w:val="21"/>
        </w:rPr>
        <w:t xml:space="preserve">郑重声明，根据《政府采购促进中小</w:t>
      </w:r>
      <w:r>
        <w:rPr>
          <w:rFonts w:ascii="SimSun" w:hAnsi="SimSun" w:eastAsia="SimSun" w:cs="SimSun"/>
          <w:color w:val="000000"/>
          <w:spacing w:val="-18"/>
          <w:sz w:val="21"/>
        </w:rPr>
        <w:t xml:space="preserve">企业发展管理办法》</w:t>
      </w:r>
      <w:r>
        <w:rPr>
          <w:rFonts w:ascii="SimSun" w:hAnsi="SimSun" w:eastAsia="SimSun" w:cs="SimSun"/>
          <w:color w:val="000000"/>
          <w:sz w:val="21"/>
        </w:rPr>
        <w:t xml:space="preserve">（</w:t>
      </w:r>
      <w:r>
        <w:rPr>
          <w:rFonts w:ascii="SimSun" w:hAnsi="SimSun" w:eastAsia="SimSun" w:cs="SimSun"/>
          <w:color w:val="000000"/>
          <w:spacing w:val="5"/>
          <w:sz w:val="21"/>
        </w:rPr>
        <w:t xml:space="preserve">财库</w:t>
      </w:r>
      <w:r>
        <w:rPr>
          <w:rFonts w:ascii="SimSun" w:hAnsi="SimSun" w:eastAsia="SimSun" w:cs="SimSun"/>
          <w:color w:val="000000"/>
          <w:sz w:val="21"/>
        </w:rPr>
        <w:t xml:space="preserve">﹝2020﹞46</w:t>
      </w:r>
      <w:r>
        <w:rPr>
          <w:rFonts w:ascii="SimSun" w:hAnsi="SimSun" w:eastAsia="SimSun" w:cs="SimSun"/>
          <w:color w:val="000000"/>
          <w:spacing w:val="-38"/>
          <w:sz w:val="21"/>
        </w:rPr>
        <w:t xml:space="preserve"> 号</w:t>
      </w:r>
      <w:r>
        <w:rPr>
          <w:rFonts w:ascii="SimSun" w:hAnsi="SimSun" w:eastAsia="SimSun" w:cs="SimSun"/>
          <w:color w:val="000000"/>
          <w:spacing w:val="5"/>
          <w:sz w:val="21"/>
        </w:rPr>
        <w:t xml:space="preserve">）</w:t>
      </w:r>
      <w:r>
        <w:rPr>
          <w:rFonts w:ascii="SimSun" w:hAnsi="SimSun" w:eastAsia="SimSun" w:cs="SimSun"/>
          <w:color w:val="000000"/>
          <w:sz w:val="21"/>
        </w:rPr>
        <w:t xml:space="preserve">的规定，本公</w:t>
      </w:r>
      <w:r>
        <w:rPr>
          <w:rFonts w:ascii="SimSun" w:hAnsi="SimSun" w:eastAsia="SimSun" w:cs="SimSun"/>
          <w:color w:val="000000"/>
          <w:spacing w:val="-3"/>
          <w:sz w:val="21"/>
        </w:rPr>
        <w:t xml:space="preserve">司（联合体）参加（单位名称）的（项目名称）采购活动，服务全部由符合政策要求的中小企业承接。相关企业（含联合体中的中小企业、签订分包意向协议的中小企业）的具体情况如下：</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w:t>
      </w:r>
      <w:r>
        <w:rPr>
          <w:rFonts w:ascii="SimSun" w:hAnsi="SimSun" w:eastAsia="SimSun" w:cs="SimSun"/>
          <w:color w:val="000000"/>
          <w:spacing w:val="-3"/>
          <w:sz w:val="21"/>
          <w:u w:val="single"/>
        </w:rPr>
        <w:t xml:space="preserve">（标的名称）</w:t>
      </w:r>
      <w:r>
        <w:rPr>
          <w:rFonts w:ascii="SimSun" w:hAnsi="SimSun" w:eastAsia="SimSun" w:cs="SimSun"/>
          <w:color w:val="000000"/>
          <w:spacing w:val="-3"/>
          <w:sz w:val="21"/>
        </w:rPr>
        <w:t xml:space="preserve">，属于</w:t>
      </w:r>
      <w:r>
        <w:rPr>
          <w:rFonts w:ascii="SimSun" w:hAnsi="SimSun" w:eastAsia="SimSun" w:cs="SimSun"/>
          <w:color w:val="000000"/>
          <w:spacing w:val="-3"/>
          <w:sz w:val="21"/>
          <w:u w:val="single"/>
        </w:rPr>
        <w:t xml:space="preserve">（其他未列明行业）</w:t>
      </w:r>
      <w:r>
        <w:rPr>
          <w:rFonts w:ascii="SimSun" w:hAnsi="SimSun" w:eastAsia="SimSun" w:cs="SimSun"/>
          <w:color w:val="000000"/>
          <w:spacing w:val="-3"/>
          <w:sz w:val="21"/>
        </w:rPr>
        <w:t xml:space="preserve">；承接企业为</w:t>
      </w:r>
      <w:r>
        <w:rPr>
          <w:rFonts w:ascii="SimSun" w:hAnsi="SimSun" w:eastAsia="SimSun" w:cs="SimSun"/>
          <w:color w:val="000000"/>
          <w:spacing w:val="-3"/>
          <w:sz w:val="21"/>
          <w:u w:val="single"/>
        </w:rPr>
        <w:t xml:space="preserve">（企业名称）</w:t>
      </w:r>
      <w:r>
        <w:rPr>
          <w:rFonts w:ascii="SimSun" w:hAnsi="SimSun" w:eastAsia="SimSun" w:cs="SimSun"/>
          <w:color w:val="000000"/>
          <w:spacing w:val="-3"/>
          <w:sz w:val="21"/>
        </w:rPr>
        <w:t xml:space="preserve">，从业人员 </w:t>
      </w:r>
      <w:r>
        <w:rPr>
          <w:rFonts w:ascii="SimSun" w:hAnsi="SimSun" w:eastAsia="SimSun" w:cs="SimSun"/>
          <w:color w:val="000000"/>
          <w:spacing w:val="-3"/>
          <w:sz w:val="21"/>
          <w:u w:val="single"/>
        </w:rPr>
        <w:tab/>
      </w:r>
      <w:r>
        <w:rPr>
          <w:rFonts w:ascii="SimSun" w:hAnsi="SimSun" w:eastAsia="SimSun" w:cs="SimSun"/>
          <w:color w:val="000000"/>
          <w:spacing w:val="-3"/>
          <w:sz w:val="21"/>
        </w:rPr>
        <w:t xml:space="preserve">人，营业收入为 </w:t>
      </w:r>
      <w:r>
        <w:rPr>
          <w:rFonts w:ascii="SimSun" w:hAnsi="SimSun" w:eastAsia="SimSun" w:cs="SimSun"/>
          <w:color w:val="000000"/>
          <w:spacing w:val="-3"/>
          <w:sz w:val="21"/>
          <w:u w:val="single"/>
        </w:rPr>
        <w:tab/>
        <w:t xml:space="preserve">   </w:t>
      </w:r>
      <w:r>
        <w:rPr>
          <w:rFonts w:ascii="SimSun" w:hAnsi="SimSun" w:eastAsia="SimSun" w:cs="SimSun"/>
          <w:color w:val="000000"/>
          <w:spacing w:val="-3"/>
          <w:sz w:val="21"/>
        </w:rPr>
        <w:t xml:space="preserve">万元，资产总额为</w:t>
      </w:r>
      <w:r>
        <w:rPr>
          <w:rFonts w:ascii="SimSun" w:hAnsi="SimSun" w:eastAsia="SimSun" w:cs="SimSun"/>
          <w:color w:val="000000"/>
          <w:spacing w:val="-3"/>
          <w:sz w:val="21"/>
          <w:u w:val="single"/>
        </w:rPr>
        <w:t xml:space="preserve"> </w:t>
        <w:tab/>
        <w:t xml:space="preserve">     </w:t>
      </w:r>
      <w:r>
        <w:rPr>
          <w:rFonts w:ascii="SimSun" w:hAnsi="SimSun" w:eastAsia="SimSun" w:cs="SimSun"/>
          <w:color w:val="000000"/>
          <w:spacing w:val="-3"/>
          <w:sz w:val="21"/>
        </w:rPr>
        <w:t xml:space="preserve">万元，属于</w:t>
      </w:r>
      <w:r>
        <w:rPr>
          <w:rFonts w:ascii="SimSun" w:hAnsi="SimSun" w:eastAsia="SimSun" w:cs="SimSun"/>
          <w:color w:val="000000"/>
          <w:spacing w:val="-3"/>
          <w:sz w:val="21"/>
          <w:u w:val="single"/>
        </w:rPr>
        <w:t xml:space="preserve">（中型企业、小型企业、微型企业）</w:t>
      </w:r>
      <w:r>
        <w:rPr>
          <w:rFonts w:ascii="SimSun" w:hAnsi="SimSun" w:eastAsia="SimSun" w:cs="SimSun"/>
          <w:color w:val="000000"/>
          <w:spacing w:val="-3"/>
          <w:sz w:val="21"/>
        </w:rPr>
        <w:t xml:space="preserve">；</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2.</w:t>
      </w:r>
      <w:r>
        <w:rPr>
          <w:rFonts w:ascii="SimSun" w:hAnsi="SimSun" w:eastAsia="SimSun" w:cs="SimSun"/>
          <w:color w:val="000000"/>
          <w:spacing w:val="-3"/>
          <w:sz w:val="21"/>
          <w:u w:val="single"/>
        </w:rPr>
        <w:t xml:space="preserve">（标的名称）</w:t>
      </w:r>
      <w:r>
        <w:rPr>
          <w:rFonts w:ascii="SimSun" w:hAnsi="SimSun" w:eastAsia="SimSun" w:cs="SimSun"/>
          <w:color w:val="000000"/>
          <w:spacing w:val="-3"/>
          <w:sz w:val="21"/>
        </w:rPr>
        <w:t xml:space="preserve">，属于</w:t>
      </w:r>
      <w:r>
        <w:rPr>
          <w:rFonts w:ascii="SimSun" w:hAnsi="SimSun" w:eastAsia="SimSun" w:cs="SimSun"/>
          <w:color w:val="000000"/>
          <w:spacing w:val="-3"/>
          <w:sz w:val="21"/>
          <w:u w:val="single"/>
        </w:rPr>
        <w:t xml:space="preserve">（其他未列明行业）</w:t>
      </w:r>
      <w:r>
        <w:rPr>
          <w:rFonts w:ascii="SimSun" w:hAnsi="SimSun" w:eastAsia="SimSun" w:cs="SimSun"/>
          <w:color w:val="000000"/>
          <w:spacing w:val="-3"/>
          <w:sz w:val="21"/>
        </w:rPr>
        <w:t xml:space="preserve">；承接企业为</w:t>
      </w:r>
      <w:r>
        <w:rPr>
          <w:rFonts w:ascii="SimSun" w:hAnsi="SimSun" w:eastAsia="SimSun" w:cs="SimSun"/>
          <w:color w:val="000000"/>
          <w:spacing w:val="-3"/>
          <w:sz w:val="21"/>
          <w:u w:val="single"/>
        </w:rPr>
        <w:t xml:space="preserve">（企业名称）</w:t>
      </w:r>
      <w:r>
        <w:rPr>
          <w:rFonts w:ascii="SimSun" w:hAnsi="SimSun" w:eastAsia="SimSun" w:cs="SimSun"/>
          <w:color w:val="000000"/>
          <w:spacing w:val="-3"/>
          <w:sz w:val="21"/>
        </w:rPr>
        <w:t xml:space="preserve">，从业人员 </w:t>
      </w:r>
      <w:r>
        <w:rPr>
          <w:rFonts w:ascii="SimSun" w:hAnsi="SimSun" w:eastAsia="SimSun" w:cs="SimSun"/>
          <w:color w:val="000000"/>
          <w:spacing w:val="-3"/>
          <w:sz w:val="21"/>
          <w:u w:val="single"/>
        </w:rPr>
        <w:tab/>
        <w:t xml:space="preserve">  </w:t>
      </w:r>
      <w:r>
        <w:rPr>
          <w:rFonts w:ascii="SimSun" w:hAnsi="SimSun" w:eastAsia="SimSun" w:cs="SimSun"/>
          <w:color w:val="000000"/>
          <w:spacing w:val="-3"/>
          <w:sz w:val="21"/>
        </w:rPr>
        <w:t xml:space="preserve">人，营业收入为 </w:t>
      </w:r>
      <w:r>
        <w:rPr>
          <w:rFonts w:ascii="SimSun" w:hAnsi="SimSun" w:eastAsia="SimSun" w:cs="SimSun"/>
          <w:color w:val="000000"/>
          <w:spacing w:val="-3"/>
          <w:sz w:val="21"/>
          <w:u w:val="single"/>
        </w:rPr>
        <w:tab/>
      </w:r>
      <w:r>
        <w:rPr>
          <w:rFonts w:ascii="SimSun" w:hAnsi="SimSun" w:eastAsia="SimSun" w:cs="SimSun"/>
          <w:color w:val="000000"/>
          <w:spacing w:val="-3"/>
          <w:sz w:val="21"/>
        </w:rPr>
        <w:t xml:space="preserve">万元，资产总额为</w:t>
      </w:r>
      <w:r>
        <w:rPr>
          <w:rFonts w:ascii="SimSun" w:hAnsi="SimSun" w:eastAsia="SimSun" w:cs="SimSun"/>
          <w:color w:val="000000"/>
          <w:spacing w:val="-3"/>
          <w:sz w:val="21"/>
          <w:u w:val="single"/>
        </w:rPr>
        <w:t xml:space="preserve"> </w:t>
        <w:tab/>
        <w:t xml:space="preserve">   </w:t>
      </w:r>
      <w:r>
        <w:rPr>
          <w:rFonts w:ascii="SimSun" w:hAnsi="SimSun" w:eastAsia="SimSun" w:cs="SimSun"/>
          <w:color w:val="000000"/>
          <w:spacing w:val="-3"/>
          <w:sz w:val="21"/>
        </w:rPr>
        <w:t xml:space="preserve">万元，属于</w:t>
      </w:r>
      <w:r>
        <w:rPr>
          <w:rFonts w:ascii="SimSun" w:hAnsi="SimSun" w:eastAsia="SimSun" w:cs="SimSun"/>
          <w:color w:val="000000"/>
          <w:spacing w:val="-3"/>
          <w:sz w:val="21"/>
          <w:u w:val="single"/>
        </w:rPr>
        <w:t xml:space="preserve">（中型企业、小型企业、微型企业）</w:t>
      </w:r>
      <w:r>
        <w:rPr>
          <w:rFonts w:ascii="SimSun" w:hAnsi="SimSun" w:eastAsia="SimSun" w:cs="SimSun"/>
          <w:color w:val="000000"/>
          <w:spacing w:val="-3"/>
          <w:sz w:val="21"/>
        </w:rPr>
        <w:t xml:space="preserve">；</w:t>
      </w:r>
      <w:r/>
    </w:p>
    <w:p>
      <w:pPr>
        <w:ind w:left="0" w:right="0" w:firstLine="376"/>
        <w:spacing w:before="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以上企业，不属于大企业的分支机构，不存在控股股东为大企业的情形，也不存在与大企业的负责人为同一人的情形。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本企业对上述声明内容的真实性负责。如有虚假，将依法承担相应责任。</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政府采购节能产品政策</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1、根据财政部、国家发展改革委《节能产品政府采购实施意见》，投标产品属于政府采购的节能产品（最小计算单位为品目），对相应产品的价格给予 5%的扣除，用扣除后的价格参与评审。</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2、评标委员会根据供应商填制的《节能产品报价表》，计算其所投节能产品（最小计算单位为品目）享受价格折扣部分的多少。</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4、投标产品（最小计算单位为品目）如为节能产品的，供应商需提供产品及型号在“中国政府采购网 </w:t>
      </w:r>
      <w:hyperlink r:id="rId8" w:tooltip="http://www.ccgp.gov.cn/" w:history="1">
        <w:r>
          <w:rPr>
            <w:rStyle w:val="794"/>
            <w:rFonts w:ascii="SimSun" w:hAnsi="SimSun" w:eastAsia="SimSun" w:cs="SimSun"/>
            <w:color w:val="0000ee"/>
            <w:sz w:val="21"/>
            <w:u w:val="none"/>
          </w:rPr>
          <w:t xml:space="preserve">http://www.ccgp.gov.cn”</w:t>
        </w:r>
      </w:hyperlink>
      <w:r>
        <w:rPr>
          <w:rFonts w:ascii="SimSun" w:hAnsi="SimSun" w:eastAsia="SimSun" w:cs="SimSun"/>
          <w:color w:val="000000"/>
          <w:sz w:val="21"/>
        </w:rPr>
        <w:t xml:space="preserve">等官方网站“节能、环保产品查</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询系统”网页截图，且以提供的证书复印件为准，如未提供，将不做价格扣除。</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5、投标供应商必须保证使用节能产品参加投标的真实性，如出现虚假响应，一经查实，将按照采购文件具体规定进行处理。</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6、节能产品报价表</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供应商名称（盖单位章）：</w:t>
        <w:tab/>
        <w:t xml:space="preserve">项目编号：</w:t>
      </w:r>
      <w:r/>
    </w:p>
    <w:p>
      <w:pPr>
        <w:ind w:left="3470" w:right="0" w:firstLine="0"/>
        <w:jc w:val="both"/>
        <w:spacing w:before="0" w:after="0" w:line="20" w:lineRule="atLeast"/>
        <w:tabs>
          <w:tab w:val="left" w:pos="69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
        </w:rPr>
        <w:t xml:space="preserve"> </w:t>
        <mc:AlternateContent>
          <mc:Choice Requires="wpg">
            <w:drawing>
              <wp:inline xmlns:wp="http://schemas.openxmlformats.org/drawingml/2006/wordprocessingDrawing" distT="0" distB="0" distL="0" distR="0">
                <wp:extent cx="1390650" cy="190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287660"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9.5pt;height:1.5pt;mso-wrap-distance-left:0.0pt;mso-wrap-distance-top:0.0pt;mso-wrap-distance-right:0.0pt;mso-wrap-distance-bottom:0.0pt;" stroked="false">
                <v:path textboxrect="0,0,0,0"/>
              </v:shape>
            </w:pict>
          </mc:Fallback>
        </mc:AlternateContent>
        <w:tab/>
        <mc:AlternateContent>
          <mc:Choice Requires="wpg">
            <w:drawing>
              <wp:inline xmlns:wp="http://schemas.openxmlformats.org/drawingml/2006/wordprocessingDrawing" distT="0" distB="0" distL="0" distR="0">
                <wp:extent cx="1390650" cy="190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039694"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9.5pt;height:1.5pt;mso-wrap-distance-left:0.0pt;mso-wrap-distance-top:0.0pt;mso-wrap-distance-right:0.0pt;mso-wrap-distance-bottom:0.0pt;" stroked="false">
                <v:path textboxrect="0,0,0,0"/>
              </v:shape>
            </w:pict>
          </mc:Fallback>
        </mc:AlternateContent>
      </w:r>
      <w:r/>
    </w:p>
    <w:p>
      <w:pPr>
        <w:ind w:left="0" w:right="0" w:firstLine="0"/>
        <w:jc w:val="center"/>
        <w:spacing w:before="6"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16"/>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6"/>
        <w:gridCol w:w="589"/>
        <w:gridCol w:w="1105"/>
        <w:gridCol w:w="821"/>
        <w:gridCol w:w="1445"/>
        <w:gridCol w:w="2568"/>
        <w:gridCol w:w="947"/>
        <w:gridCol w:w="1044"/>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品目序号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原产地和制造商名称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节能标志认证证书号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90"/>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686" w:right="0" w:firstLine="0"/>
        <w:jc w:val="center"/>
        <w:spacing w:before="1" w:after="21"/>
        <w:tabs>
          <w:tab w:val="left" w:pos="5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法定代表人或其委托代理人（签字）：</w:t>
      </w:r>
      <w:r/>
    </w:p>
    <w:p>
      <w:pPr>
        <w:ind w:left="8213" w:right="-559" w:firstLine="0"/>
        <w:jc w:val="center"/>
        <w:spacing w:before="0" w:after="0" w:line="2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2"/>
          <w:sz w:val="2"/>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rPr>
          <w:rFonts w:ascii="SimSun" w:hAnsi="SimSun" w:eastAsia="SimSun" w:cs="SimSun"/>
          <w:color w:val="000000"/>
          <w:sz w:val="18"/>
        </w:rPr>
        <w:t xml:space="preserve">）</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附件十二、投标需要的其他证明文件及材料</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投标需要的其他证明文件及材料（如有）</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Wingdings 2">
    <w:panose1 w:val="05020102010507070707"/>
  </w:font>
  <w:font w:name="SimSun">
    <w:panose1 w:val="0201060003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陶冉</cp:lastModifiedBy>
  <cp:revision>2</cp:revision>
  <dcterms:created xsi:type="dcterms:W3CDTF">2026-07-22T03:43:51Z</dcterms:created>
  <dcterms:modified xsi:type="dcterms:W3CDTF">2026-07-22T07:20:59Z</dcterms:modified>
</cp:coreProperties>
</file>