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643"/>
        <w:spacing w:line="480" w:lineRule="auto"/>
        <w:rPr>
          <w:rFonts w:ascii="黑体" w:hAnsi="Arial" w:eastAsia="黑体"/>
          <w:b/>
          <w:color w:val="000000"/>
          <w:sz w:val="44"/>
          <w:szCs w:val="21"/>
          <w:highlight w:val="none"/>
        </w:rPr>
      </w:pPr>
      <w:r>
        <w:rPr>
          <w:rFonts w:hint="eastAsia" w:ascii="Arial" w:hAnsi="Arial"/>
          <w:b/>
          <w:bCs/>
          <w:color w:val="000000"/>
          <w:sz w:val="32"/>
          <w:szCs w:val="24"/>
        </w:rPr>
        <w:t xml:space="preserve">项</w:t>
      </w:r>
      <w:r>
        <w:rPr>
          <w:rFonts w:hint="eastAsia" w:ascii="Arial" w:hAnsi="Arial"/>
          <w:b/>
          <w:bCs/>
          <w:color w:val="000000"/>
          <w:sz w:val="32"/>
          <w:szCs w:val="24"/>
          <w:highlight w:val="none"/>
        </w:rPr>
        <w:t xml:space="preserve">目名称：算力服务增租项目（专门面向中小企业）</w:t>
      </w:r>
      <w:r/>
    </w:p>
    <w:p>
      <w:pPr>
        <w:ind w:firstLine="643"/>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项目编号：JSZC-320700-JZCG-G2026-0086</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left"/>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p>
    <w:p>
      <w:pPr>
        <w:jc w:val="center"/>
        <w:spacing w:before="120" w:after="120" w:line="360" w:lineRule="auto"/>
      </w:pPr>
      <w:r>
        <w:rPr>
          <w:rFonts w:hint="eastAsia" w:ascii="Arial" w:hAnsi="Arial"/>
          <w:b/>
          <w:bCs/>
          <w:color w:val="000000"/>
          <w:sz w:val="32"/>
          <w:szCs w:val="24"/>
          <w:highlight w:val="none"/>
        </w:rPr>
        <w:t xml:space="preserve">2025年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69"/>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9"/>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9"/>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869"/>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869"/>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p>
    <w:p>
      <w:pPr>
        <w:pStyle w:val="869"/>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p>
    <w:p>
      <w:pPr>
        <w:jc w:val="left"/>
        <w:widowControl/>
        <w:rPr>
          <w:rFonts w:ascii="黑体" w:hAnsi="黑体" w:eastAsia="黑体"/>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受连云港市大数据管理中心的委托，连云港市公共资源交易中心就算力服务增租项目（专门面向中小企业）（JSZC-320700-JZCG-G2026-0086）进行公开招标采购，欢迎符合条件的供应商投标。</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rPr>
              <w:t xml:space="preserve">算力服务增租项目招标项目的潜在投标人应在江苏政府采购网自行免费下载招标文件，并于2026年</w:t>
            </w:r>
            <w:r>
              <w:rPr>
                <w:rFonts w:hint="eastAsia"/>
                <w:sz w:val="24"/>
                <w:szCs w:val="24"/>
                <w:highlight w:val="none"/>
                <w:lang w:val="en-US" w:eastAsia="zh-CN"/>
              </w:rPr>
              <w:t xml:space="preserve">8</w:t>
            </w:r>
            <w:r>
              <w:rPr>
                <w:rFonts w:hint="eastAsia"/>
                <w:sz w:val="24"/>
                <w:szCs w:val="24"/>
                <w:highlight w:val="none"/>
              </w:rPr>
              <w:t xml:space="preserve">月31</w:t>
            </w:r>
            <w:r>
              <w:rPr>
                <w:rFonts w:hint="eastAsia"/>
                <w:sz w:val="24"/>
                <w:szCs w:val="24"/>
                <w:highlight w:val="none"/>
              </w:rPr>
              <w:t xml:space="preserve">日10:30:00（北京时间）前递交（上传）投标文件。</w:t>
            </w:r>
            <w:r/>
          </w:p>
        </w:tc>
      </w:tr>
    </w:tbl>
    <w:p>
      <w:pPr>
        <w:pStyle w:val="848"/>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项目编号：JSZC-320700-JZCG-G2026-0086</w:t>
      </w:r>
      <w:r/>
    </w:p>
    <w:p>
      <w:pPr>
        <w:ind w:firstLine="480"/>
        <w:jc w:val="left"/>
        <w:spacing w:line="500" w:lineRule="exact"/>
        <w:rPr>
          <w:sz w:val="24"/>
          <w:szCs w:val="24"/>
          <w:highlight w:val="none"/>
        </w:rPr>
      </w:pPr>
      <w:r>
        <w:rPr>
          <w:rFonts w:hint="eastAsia"/>
          <w:sz w:val="24"/>
          <w:szCs w:val="24"/>
          <w:highlight w:val="none"/>
        </w:rPr>
        <w:t xml:space="preserve">项目名称：算力服务增租项目（专门面向中小企业）</w:t>
      </w:r>
      <w:r/>
    </w:p>
    <w:p>
      <w:pPr>
        <w:ind w:firstLine="480"/>
        <w:jc w:val="left"/>
        <w:spacing w:line="500" w:lineRule="exact"/>
        <w:rPr>
          <w:sz w:val="24"/>
          <w:szCs w:val="24"/>
          <w:highlight w:val="none"/>
        </w:rPr>
      </w:pPr>
      <w:r>
        <w:rPr>
          <w:rFonts w:hint="eastAsia"/>
          <w:sz w:val="24"/>
          <w:szCs w:val="24"/>
          <w:highlight w:val="none"/>
        </w:rPr>
        <w:t xml:space="preserve">预算金额：284.1万元</w:t>
      </w:r>
      <w:r/>
    </w:p>
    <w:p>
      <w:pPr>
        <w:ind w:firstLine="480"/>
        <w:jc w:val="left"/>
        <w:spacing w:line="500" w:lineRule="exact"/>
        <w:rPr>
          <w:sz w:val="24"/>
          <w:szCs w:val="24"/>
          <w:highlight w:val="none"/>
        </w:rPr>
      </w:pPr>
      <w:r>
        <w:rPr>
          <w:rFonts w:hint="eastAsia"/>
          <w:sz w:val="24"/>
          <w:szCs w:val="24"/>
          <w:highlight w:val="none"/>
        </w:rPr>
        <w:t xml:space="preserve">最高限价：284.1万元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spacing w:line="500" w:lineRule="exact"/>
        <w:rPr>
          <w:rFonts w:hint="eastAsia"/>
          <w:sz w:val="24"/>
          <w:szCs w:val="24"/>
          <w:highlight w:val="none"/>
        </w:rPr>
      </w:pPr>
      <w:r>
        <w:rPr>
          <w:rFonts w:hint="eastAsia"/>
          <w:sz w:val="24"/>
          <w:szCs w:val="24"/>
          <w:highlight w:val="none"/>
        </w:rPr>
        <w:t xml:space="preserve">采购需求：为深入推进“数字连云港”数字化建设工作，夯实市域数字经济与智慧政务发展算力根基。当前全市现有算力底座资源，已无法适配人工智能场景规模化落地、通用智能模型迭代部署、多领域智慧应用扩容升级的发展需求。为补齐算力资源短板、提升全市算力基础底座承载能力，依托现有已租赁的算力资源基础，开展算力服务增租工作，持续完善全市算力基础设施体系，为数字连云港高质量建设提供核心算力支撑。本次项目拟新增租赁2台</w:t>
      </w:r>
      <w:r>
        <w:rPr>
          <w:rFonts w:hint="eastAsia"/>
          <w:sz w:val="24"/>
          <w:szCs w:val="24"/>
          <w:highlight w:val="none"/>
          <w:lang w:val="en-US" w:eastAsia="zh-CN"/>
        </w:rPr>
        <w:t xml:space="preserve">通过安全可靠测评的</w:t>
      </w:r>
      <w:r>
        <w:rPr>
          <w:rFonts w:hint="eastAsia"/>
          <w:sz w:val="24"/>
          <w:szCs w:val="24"/>
          <w:highlight w:val="none"/>
        </w:rPr>
        <w:t xml:space="preserve">算力服务器，服务租期为三年。设备核心配置要求如下：单台服务器搭载</w:t>
      </w:r>
      <w:r>
        <w:rPr>
          <w:rFonts w:hint="eastAsia"/>
          <w:sz w:val="24"/>
          <w:szCs w:val="24"/>
          <w:highlight w:val="none"/>
          <w:lang w:val="en-US" w:eastAsia="zh-CN"/>
        </w:rPr>
        <w:t xml:space="preserve">通过安全可靠测评的</w:t>
      </w:r>
      <w:r>
        <w:rPr>
          <w:rFonts w:hint="eastAsia"/>
          <w:sz w:val="24"/>
          <w:szCs w:val="24"/>
          <w:highlight w:val="none"/>
        </w:rPr>
        <w:t xml:space="preserve">AI加速算力模组数量不少于8个，单个模组FP16半精度峰值算力≥280 TFLOPS，保障通用AI模型高效部署、运算及迭代运行。</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rPr>
        <w:t xml:space="preserve">合同履行</w:t>
      </w:r>
      <w:r>
        <w:rPr>
          <w:rFonts w:hint="eastAsia"/>
          <w:sz w:val="24"/>
          <w:szCs w:val="24"/>
          <w:highlight w:val="none"/>
        </w:rPr>
        <w:t xml:space="preserve">期限：合同签订后45天内完成租赁设备软硬件的安装调试要求，并通过验收，验收通过后提供3年算力服务。</w:t>
      </w:r>
      <w:r/>
    </w:p>
    <w:p>
      <w:pPr>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p>
    <w:p>
      <w:pPr>
        <w:pStyle w:val="84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highlight w:val="none"/>
        </w:rPr>
      </w:pPr>
      <w:r>
        <w:rPr>
          <w:rFonts w:hint="eastAsia"/>
          <w:sz w:val="24"/>
          <w:szCs w:val="24"/>
        </w:rPr>
        <w:t xml:space="preserve">（二）落实政府采购政策需满足的资格要求：</w:t>
      </w:r>
      <w:r>
        <w:rPr>
          <w:rFonts w:hint="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4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w:t>
      </w:r>
      <w:r>
        <w:rPr>
          <w:rFonts w:hint="eastAsia" w:ascii="宋体" w:hAnsi="宋体"/>
          <w:sz w:val="24"/>
          <w:szCs w:val="24"/>
          <w:highlight w:val="none"/>
        </w:rPr>
        <w:t xml:space="preserve">日起至</w:t>
      </w:r>
      <w:r>
        <w:rPr>
          <w:rFonts w:ascii="宋体" w:hAnsi="宋体" w:eastAsia="宋体" w:cs="宋体"/>
          <w:color w:val="000000"/>
          <w:sz w:val="24"/>
        </w:rPr>
        <w:t xml:space="preserve">2026年8月17日（北京时间）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w:t>
      </w:r>
      <w:r>
        <w:rPr>
          <w:rFonts w:hint="eastAsia"/>
          <w:sz w:val="24"/>
          <w:szCs w:val="24"/>
          <w:highlight w:val="none"/>
        </w:rPr>
        <w:t xml:space="preserve">时间：2026年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31</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称：连云港市大数据管理中心</w:t>
      </w:r>
      <w:r/>
    </w:p>
    <w:p>
      <w:pPr>
        <w:ind w:firstLine="480"/>
        <w:jc w:val="left"/>
        <w:spacing w:line="500" w:lineRule="exact"/>
        <w:rPr>
          <w:sz w:val="24"/>
          <w:szCs w:val="24"/>
        </w:rPr>
      </w:pPr>
      <w:r>
        <w:rPr>
          <w:rFonts w:hint="eastAsia"/>
          <w:sz w:val="24"/>
          <w:szCs w:val="24"/>
        </w:rPr>
        <w:t xml:space="preserve">地    址：连云港市海州区凌州东路9号1号楼452室</w:t>
      </w:r>
      <w:r/>
    </w:p>
    <w:p>
      <w:pPr>
        <w:ind w:firstLine="480"/>
        <w:jc w:val="left"/>
        <w:spacing w:line="500" w:lineRule="exact"/>
        <w:rPr>
          <w:sz w:val="24"/>
          <w:szCs w:val="24"/>
        </w:rPr>
      </w:pPr>
      <w:r>
        <w:rPr>
          <w:rFonts w:hint="eastAsia"/>
          <w:sz w:val="24"/>
          <w:szCs w:val="24"/>
        </w:rPr>
        <w:t xml:space="preserve">联 系 人：仲工</w:t>
      </w:r>
      <w:r/>
    </w:p>
    <w:p>
      <w:pPr>
        <w:ind w:firstLine="480"/>
        <w:jc w:val="left"/>
        <w:spacing w:line="500" w:lineRule="exact"/>
        <w:rPr>
          <w:sz w:val="24"/>
          <w:szCs w:val="24"/>
        </w:rPr>
      </w:pPr>
      <w:r>
        <w:rPr>
          <w:rFonts w:hint="eastAsia"/>
          <w:sz w:val="24"/>
          <w:szCs w:val="24"/>
        </w:rPr>
        <w:t xml:space="preserve">联系电话：0518-85826028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highlight w:val="none"/>
        </w:rPr>
        <w:t xml:space="preserve">419</w:t>
      </w:r>
      <w:r>
        <w:rPr>
          <w:rFonts w:hint="eastAsia"/>
          <w:sz w:val="24"/>
          <w:szCs w:val="24"/>
        </w:rPr>
        <w:t xml:space="preserve">室</w:t>
      </w:r>
      <w:r/>
    </w:p>
    <w:p>
      <w:pPr>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朱工</w:t>
      </w:r>
      <w:r/>
    </w:p>
    <w:p>
      <w:pPr>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0518-85868206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项目联系人：仲工</w:t>
      </w:r>
      <w:r/>
    </w:p>
    <w:p>
      <w:pPr>
        <w:ind w:firstLine="480"/>
        <w:jc w:val="left"/>
        <w:spacing w:line="500" w:lineRule="exact"/>
        <w:rPr>
          <w:sz w:val="24"/>
          <w:szCs w:val="24"/>
        </w:rPr>
      </w:pPr>
      <w:r>
        <w:rPr>
          <w:rFonts w:hint="eastAsia"/>
          <w:sz w:val="24"/>
          <w:szCs w:val="24"/>
        </w:rPr>
        <w:t xml:space="preserve">电      话：0518-85826028</w:t>
      </w:r>
      <w:r>
        <w:rPr>
          <w:sz w:val="24"/>
          <w:szCs w:val="24"/>
        </w:rPr>
        <w:t xml:space="preserve"> </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4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8"/>
        <w:spacing w:before="0" w:after="0" w:line="360" w:lineRule="auto"/>
        <w:rPr>
          <w:rFonts w:ascii="黑体" w:hAnsi="黑体" w:eastAsia="黑体"/>
          <w:b w:val="0"/>
        </w:rPr>
      </w:pPr>
      <w:r>
        <w:rPr>
          <w:rFonts w:hint="eastAsia" w:ascii="黑体" w:hAnsi="黑体" w:eastAsia="黑体"/>
          <w:b w:val="0"/>
        </w:rPr>
        <w:t xml:space="preserve">一、总则</w:t>
      </w:r>
      <w:r/>
    </w:p>
    <w:p>
      <w:pPr>
        <w:pStyle w:val="84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4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8"/>
        <w:spacing w:before="0" w:after="0" w:line="360" w:lineRule="auto"/>
        <w:rPr>
          <w:rFonts w:ascii="黑体" w:hAnsi="黑体" w:eastAsia="黑体"/>
          <w:b w:val="0"/>
        </w:rPr>
      </w:pPr>
      <w:r>
        <w:rPr>
          <w:rFonts w:hint="eastAsia" w:ascii="黑体" w:hAnsi="黑体" w:eastAsia="黑体"/>
          <w:b w:val="0"/>
        </w:rPr>
        <w:t xml:space="preserve">二、招标文件</w:t>
      </w:r>
      <w:r/>
    </w:p>
    <w:p>
      <w:pPr>
        <w:pStyle w:val="84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rFonts w:hint="eastAsia"/>
          <w:sz w:val="24"/>
          <w:szCs w:val="24"/>
          <w:highlight w:val="none"/>
        </w:rPr>
      </w:pPr>
      <w:r>
        <w:rPr>
          <w:rFonts w:hint="eastAsia"/>
          <w:sz w:val="24"/>
          <w:szCs w:val="24"/>
          <w:highlight w:val="none"/>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b/>
          <w:bCs/>
          <w:sz w:val="28"/>
          <w:szCs w:val="28"/>
          <w:highlight w:val="none"/>
        </w:rPr>
        <w:outlineLvl w:val="2"/>
      </w:pPr>
      <w:r>
        <w:rPr>
          <w:rFonts w:hint="eastAsia"/>
          <w:b/>
          <w:bCs/>
          <w:sz w:val="28"/>
          <w:szCs w:val="28"/>
          <w:highlight w:val="none"/>
        </w:rPr>
        <w:t xml:space="preserve">10.暗标编制要求</w:t>
      </w:r>
      <w:r/>
    </w:p>
    <w:p>
      <w:pPr>
        <w:ind w:firstLine="480"/>
        <w:spacing w:line="500" w:lineRule="exact"/>
        <w:rPr>
          <w:rFonts w:hint="eastAsia" w:ascii="宋体" w:hAnsi="宋体" w:cs="Calibri"/>
          <w:bCs/>
          <w:color w:val="000000"/>
          <w:sz w:val="24"/>
          <w:szCs w:val="24"/>
          <w:highlight w:val="none"/>
        </w:rPr>
      </w:pPr>
      <w:r>
        <w:rPr>
          <w:rFonts w:hint="eastAsia" w:ascii="宋体" w:hAnsi="宋体" w:cs="Calibri"/>
          <w:bCs/>
          <w:color w:val="000000"/>
          <w:sz w:val="24"/>
          <w:szCs w:val="24"/>
          <w:highlight w:val="none"/>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highlight w:val="none"/>
        </w:rPr>
        <w:t xml:space="preserve">投标人独享的企业标准或编号</w:t>
      </w:r>
      <w:r>
        <w:rPr>
          <w:rFonts w:hint="eastAsia" w:ascii="宋体" w:hAnsi="宋体" w:cs="Calibri"/>
          <w:bCs/>
          <w:color w:val="000000"/>
          <w:sz w:val="24"/>
          <w:szCs w:val="24"/>
          <w:highlight w:val="none"/>
        </w:rPr>
        <w:t xml:space="preserve">等内容；</w:t>
      </w:r>
      <w:r>
        <w:rPr>
          <w:rFonts w:hint="eastAsia" w:ascii="宋体" w:hAnsi="宋体"/>
          <w:b/>
          <w:color w:val="ff0000"/>
          <w:sz w:val="24"/>
          <w:szCs w:val="21"/>
          <w:highlight w:val="none"/>
        </w:rPr>
        <w:t xml:space="preserve">不得出现能显示企业特征或批注、底纹、阴影、水印等提示性的标记或标识；</w:t>
      </w:r>
      <w:r>
        <w:rPr>
          <w:rFonts w:hint="eastAsia" w:ascii="宋体" w:hAnsi="宋体" w:cs="Calibri"/>
          <w:bCs/>
          <w:color w:val="000000"/>
          <w:sz w:val="24"/>
          <w:szCs w:val="24"/>
          <w:highlight w:val="none"/>
        </w:rPr>
        <w:t xml:space="preserve">不得出现以前所承担过的项目名称，不得作任何标识或暗示该供应商单位名称或人员姓名的标记，</w:t>
      </w:r>
      <w:r>
        <w:rPr>
          <w:rFonts w:ascii="宋体" w:hAnsi="宋体" w:cs="Calibri"/>
          <w:bCs/>
          <w:color w:val="000000"/>
          <w:sz w:val="24"/>
          <w:szCs w:val="24"/>
          <w:highlight w:val="none"/>
        </w:rPr>
        <w:t xml:space="preserve">相关人员姓名应以职务或职称代替</w:t>
      </w:r>
      <w:r>
        <w:rPr>
          <w:rFonts w:hint="eastAsia" w:ascii="宋体" w:hAnsi="宋体" w:cs="Calibri"/>
          <w:bCs/>
          <w:color w:val="000000"/>
          <w:sz w:val="24"/>
          <w:szCs w:val="24"/>
          <w:highlight w:val="none"/>
        </w:rPr>
        <w:t xml:space="preserve">。</w:t>
      </w:r>
      <w:r/>
    </w:p>
    <w:p>
      <w:pPr>
        <w:ind w:firstLine="480"/>
        <w:spacing w:line="360" w:lineRule="auto"/>
        <w:widowControl/>
        <w:rPr>
          <w:rFonts w:hint="eastAsia"/>
          <w:sz w:val="24"/>
          <w:szCs w:val="24"/>
          <w:highlight w:val="none"/>
        </w:rPr>
      </w:pPr>
      <w:r>
        <w:rPr>
          <w:rFonts w:hint="eastAsia" w:ascii="宋体" w:hAnsi="宋体" w:cs="Calibri"/>
          <w:bCs/>
          <w:color w:val="000000"/>
          <w:sz w:val="24"/>
          <w:szCs w:val="24"/>
          <w:highlight w:val="none"/>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49"/>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49"/>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49"/>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49"/>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p>
    <w:p>
      <w:pPr>
        <w:pStyle w:val="849"/>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49"/>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49"/>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49"/>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9"/>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49"/>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49"/>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49"/>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4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9"/>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49"/>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49"/>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49"/>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49"/>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500" w:lineRule="exact"/>
        <w:rPr>
          <w:sz w:val="24"/>
          <w:szCs w:val="24"/>
        </w:rPr>
      </w:pPr>
      <w:r>
        <w:rPr>
          <w:rFonts w:hint="eastAsia"/>
          <w:sz w:val="24"/>
          <w:szCs w:val="24"/>
        </w:rPr>
        <w:t xml:space="preserve">27.1 投标文件审查分为资格审查和符合性审查。</w:t>
      </w:r>
      <w:r/>
    </w:p>
    <w:p>
      <w:pPr>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27.1.2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sz w:val="24"/>
          <w:szCs w:val="24"/>
        </w:rPr>
      </w:pPr>
      <w:r>
        <w:rPr>
          <w:rFonts w:hint="eastAsia"/>
          <w:sz w:val="24"/>
          <w:szCs w:val="24"/>
        </w:rPr>
        <w:t xml:space="preserve">27.1.3政府采购异常低价审查：</w:t>
      </w:r>
      <w:r/>
    </w:p>
    <w:p>
      <w:pPr>
        <w:pStyle w:val="870"/>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70"/>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w:t>
      </w:r>
      <w:r>
        <w:rPr>
          <w:rFonts w:hint="eastAsia" w:ascii="宋体" w:hAnsi="宋体" w:cs="宋体"/>
          <w:color w:val="000000"/>
          <w:szCs w:val="24"/>
          <w:highlight w:val="yellow"/>
        </w:rPr>
        <w:t xml:space="preserve">50</w:t>
      </w:r>
      <w:r>
        <w:rPr>
          <w:rFonts w:hint="eastAsia" w:ascii="宋体" w:hAnsi="宋体" w:cs="宋体"/>
          <w:color w:val="000000"/>
          <w:szCs w:val="24"/>
        </w:rPr>
        <w:t xml:space="preserve">%的，即投标(响应)报价&lt;全部通过符合性审查供应商投标(响应)报价平均值×</w:t>
      </w:r>
      <w:r>
        <w:rPr>
          <w:rFonts w:hint="eastAsia" w:ascii="宋体" w:hAnsi="宋体" w:cs="宋体"/>
          <w:color w:val="000000"/>
          <w:szCs w:val="24"/>
          <w:highlight w:val="yellow"/>
        </w:rPr>
        <w:t xml:space="preserve">50%</w:t>
      </w:r>
      <w:r>
        <w:rPr>
          <w:rFonts w:hint="eastAsia" w:ascii="宋体" w:hAnsi="宋体" w:cs="宋体"/>
          <w:color w:val="000000"/>
          <w:szCs w:val="24"/>
        </w:rPr>
        <w:t xml:space="preserve">；</w:t>
      </w:r>
      <w:r/>
    </w:p>
    <w:p>
      <w:pPr>
        <w:pStyle w:val="870"/>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w:t>
      </w:r>
      <w:r>
        <w:rPr>
          <w:rFonts w:hint="eastAsia" w:ascii="宋体" w:hAnsi="宋体" w:cs="宋体"/>
          <w:color w:val="000000"/>
          <w:szCs w:val="24"/>
          <w:highlight w:val="yellow"/>
        </w:rPr>
        <w:t xml:space="preserve">50%</w:t>
      </w:r>
      <w:r>
        <w:rPr>
          <w:rFonts w:hint="eastAsia" w:ascii="宋体" w:hAnsi="宋体" w:cs="宋体"/>
          <w:color w:val="000000"/>
          <w:szCs w:val="24"/>
        </w:rPr>
        <w:t xml:space="preserve">的，即投标(响应)报价&lt;通过符合性审查的次低报价供应商投标(响应)报价×</w:t>
      </w:r>
      <w:r>
        <w:rPr>
          <w:rFonts w:hint="eastAsia" w:ascii="宋体" w:hAnsi="宋体" w:cs="宋体"/>
          <w:color w:val="000000"/>
          <w:szCs w:val="24"/>
          <w:highlight w:val="yellow"/>
        </w:rPr>
        <w:t xml:space="preserve">50%</w:t>
      </w:r>
      <w:r>
        <w:rPr>
          <w:rFonts w:hint="eastAsia" w:ascii="宋体" w:hAnsi="宋体" w:cs="宋体"/>
          <w:color w:val="000000"/>
          <w:szCs w:val="24"/>
        </w:rPr>
        <w:t xml:space="preserve">；</w:t>
      </w:r>
      <w:r/>
    </w:p>
    <w:p>
      <w:pPr>
        <w:pStyle w:val="870"/>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3.投标(响应)报价低于采购项目最高限价</w:t>
      </w:r>
      <w:r>
        <w:rPr>
          <w:rFonts w:hint="eastAsia" w:ascii="宋体" w:hAnsi="宋体" w:cs="宋体"/>
          <w:color w:val="000000"/>
          <w:szCs w:val="24"/>
          <w:highlight w:val="yellow"/>
        </w:rPr>
        <w:t xml:space="preserve">45%</w:t>
      </w:r>
      <w:r>
        <w:rPr>
          <w:rFonts w:hint="eastAsia" w:ascii="宋体" w:hAnsi="宋体" w:cs="宋体"/>
          <w:color w:val="000000"/>
          <w:szCs w:val="24"/>
        </w:rPr>
        <w:t xml:space="preserve">的，即投标(响应)报价&lt;采购项目最高限价×</w:t>
      </w:r>
      <w:r>
        <w:rPr>
          <w:rFonts w:hint="eastAsia" w:ascii="宋体" w:hAnsi="宋体" w:cs="宋体"/>
          <w:color w:val="000000"/>
          <w:szCs w:val="24"/>
          <w:highlight w:val="yellow"/>
        </w:rPr>
        <w:t xml:space="preserve">45%</w:t>
      </w:r>
      <w:r>
        <w:rPr>
          <w:rFonts w:hint="eastAsia" w:ascii="宋体" w:hAnsi="宋体" w:cs="宋体"/>
          <w:color w:val="000000"/>
          <w:szCs w:val="24"/>
        </w:rPr>
        <w:t xml:space="preserve">；</w:t>
      </w:r>
      <w:r/>
    </w:p>
    <w:p>
      <w:pPr>
        <w:pStyle w:val="870"/>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70"/>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9"/>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48"/>
        <w:spacing w:before="0" w:after="0" w:line="360" w:lineRule="auto"/>
        <w:rPr>
          <w:rFonts w:ascii="黑体" w:hAnsi="黑体" w:eastAsia="黑体"/>
          <w:b w:val="0"/>
        </w:rPr>
      </w:pPr>
      <w:r>
        <w:rPr>
          <w:rFonts w:hint="eastAsia" w:ascii="黑体" w:hAnsi="黑体" w:eastAsia="黑体"/>
          <w:b w:val="0"/>
        </w:rPr>
        <w:t xml:space="preserve">六、定标</w:t>
      </w:r>
      <w:r/>
    </w:p>
    <w:p>
      <w:pPr>
        <w:pStyle w:val="849"/>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9"/>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48"/>
        <w:spacing w:before="0" w:after="0" w:line="360" w:lineRule="auto"/>
        <w:rPr>
          <w:rFonts w:ascii="黑体" w:hAnsi="黑体" w:eastAsia="黑体"/>
          <w:b w:val="0"/>
        </w:rPr>
      </w:pPr>
      <w:r>
        <w:rPr>
          <w:rFonts w:hint="eastAsia" w:ascii="黑体" w:hAnsi="黑体" w:eastAsia="黑体"/>
          <w:b w:val="0"/>
        </w:rPr>
        <w:t xml:space="preserve">七、授予合同</w:t>
      </w:r>
      <w:r/>
    </w:p>
    <w:p>
      <w:pPr>
        <w:pStyle w:val="849"/>
        <w:ind w:firstLine="562"/>
        <w:jc w:val="left"/>
        <w:spacing w:before="0" w:after="0" w:line="360" w:lineRule="auto"/>
        <w:rPr>
          <w:sz w:val="28"/>
          <w:szCs w:val="28"/>
        </w:rPr>
      </w:pPr>
      <w:r>
        <w:rPr>
          <w:rFonts w:hint="eastAsia"/>
          <w:sz w:val="28"/>
          <w:szCs w:val="28"/>
        </w:rPr>
        <w:t xml:space="preserve">31、履约保证金</w:t>
      </w:r>
      <w:r/>
    </w:p>
    <w:p>
      <w:pPr>
        <w:ind w:firstLine="480"/>
        <w:jc w:val="left"/>
        <w:spacing w:line="500" w:lineRule="exact"/>
        <w:rPr>
          <w:sz w:val="24"/>
          <w:szCs w:val="24"/>
        </w:rPr>
      </w:pPr>
      <w:r>
        <w:rPr>
          <w:rFonts w:hint="eastAsia"/>
          <w:sz w:val="24"/>
          <w:szCs w:val="24"/>
        </w:rPr>
        <w:t xml:space="preserve">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31.3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31.4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49"/>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49"/>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9"/>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4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9"/>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9"/>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9"/>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4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9"/>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ind w:firstLine="482"/>
        <w:spacing w:line="500" w:lineRule="exact"/>
        <w:rPr>
          <w:rFonts w:hint="eastAsia"/>
          <w:b/>
          <w:bCs/>
          <w:sz w:val="24"/>
          <w:szCs w:val="24"/>
          <w:highlight w:val="none"/>
        </w:rPr>
      </w:pPr>
      <w:r>
        <w:rPr>
          <w:rFonts w:hint="eastAsia"/>
          <w:b/>
          <w:bCs/>
          <w:sz w:val="24"/>
          <w:szCs w:val="24"/>
          <w:highlight w:val="none"/>
        </w:rPr>
        <w:t xml:space="preserve">39、采购本国产品的支持政策</w:t>
      </w:r>
      <w:r/>
    </w:p>
    <w:p>
      <w:pPr>
        <w:ind w:firstLine="480"/>
        <w:jc w:val="left"/>
        <w:spacing w:line="500" w:lineRule="exact"/>
        <w:rPr>
          <w:rFonts w:eastAsia="宋体" w:cs="Times New Roman"/>
          <w:sz w:val="24"/>
          <w:szCs w:val="24"/>
          <w:lang w:val="en-US" w:eastAsia="zh-CN"/>
        </w:rPr>
      </w:pPr>
      <w:r>
        <w:rPr>
          <w:rFonts w:hint="eastAsia" w:eastAsia="宋体" w:cs="Times New Roman"/>
          <w:sz w:val="24"/>
          <w:szCs w:val="24"/>
          <w:lang w:val="en-US" w:eastAsia="zh-CN"/>
        </w:rPr>
        <w:t xml:space="preserve">根据《国务院办公厅关于在政府采购中实施本国产品标准及相关政策的通知》（国办发〔2025〕34号），本项目不涉及货物，不执行本国产品价格评审优惠。</w:t>
      </w:r>
      <w:r/>
    </w:p>
    <w:p>
      <w:pPr>
        <w:pStyle w:val="849"/>
        <w:ind w:firstLine="562"/>
        <w:jc w:val="left"/>
        <w:spacing w:before="0" w:after="0" w:line="360" w:lineRule="auto"/>
        <w:rPr>
          <w:sz w:val="28"/>
          <w:szCs w:val="28"/>
        </w:rPr>
      </w:pP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9"/>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sz w:val="24"/>
          <w:szCs w:val="24"/>
        </w:rPr>
      </w:pPr>
      <w:r>
        <w:rPr>
          <w:rFonts w:hint="eastAsia"/>
          <w:sz w:val="24"/>
          <w:szCs w:val="24"/>
          <w:highlight w:val="yellow"/>
        </w:rPr>
        <w:t xml:space="preserve">（备注：项目经办人应提醒采购人注意，采购项目涉及采购标的的知识产权归属、处理的，如订购、设计、定制开发的信息化建设项目等，应当约定知识产权的归属和处理方式。招标文件交采购人确认后正式发布前删除该备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highlight w:val="non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租赁和商务服务业</w:t>
      </w:r>
      <w:r>
        <w:rPr>
          <w:rFonts w:hint="eastAsia"/>
          <w:sz w:val="24"/>
          <w:szCs w:val="24"/>
          <w:highlight w:val="none"/>
        </w:rPr>
        <w:t xml:space="preserve">。</w:t>
      </w:r>
      <w:r/>
    </w:p>
    <w:p>
      <w:pPr>
        <w:ind w:firstLine="48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根据《关于印发中小企业划型标准规定的通知》（工信部联企业〔2011〕300号）规定，租赁和商务服务业</w:t>
      </w:r>
      <w:r>
        <w:rPr>
          <w:rFonts w:hint="eastAsia" w:ascii="宋体" w:hAnsi="宋体"/>
          <w:color w:val="000000"/>
          <w:sz w:val="24"/>
          <w:szCs w:val="24"/>
          <w:highlight w:val="none"/>
        </w:rPr>
        <w:t xml:space="preserve">行业划型标准：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rFonts w:hint="eastAsia"/>
                <w:sz w:val="24"/>
                <w:szCs w:val="24"/>
              </w:rPr>
            </w:pPr>
            <w:r>
              <w:rPr>
                <w:rFonts w:hint="eastAsia"/>
                <w:sz w:val="24"/>
                <w:szCs w:val="24"/>
              </w:rPr>
              <w:t xml:space="preserve">1</w:t>
            </w:r>
            <w:r/>
          </w:p>
        </w:tc>
        <w:tc>
          <w:tcPr>
            <w:tcW w:w="7689" w:type="dxa"/>
            <w:vAlign w:val="top"/>
            <w:textDirection w:val="lrTb"/>
            <w:noWrap w:val="false"/>
          </w:tcPr>
          <w:p>
            <w:pPr>
              <w:spacing w:line="360" w:lineRule="auto"/>
              <w:rPr>
                <w:rFonts w:hint="eastAsia" w:ascii="新宋体" w:hAnsi="新宋体" w:eastAsia="新宋体" w:cs="宋体"/>
                <w:b w:val="0"/>
                <w:bCs w:val="0"/>
                <w:i/>
                <w:iCs/>
                <w:sz w:val="24"/>
                <w:szCs w:val="24"/>
                <w:u w:val="single"/>
                <w:lang w:bidi="ar"/>
              </w:rPr>
            </w:pPr>
            <w:r>
              <w:rPr>
                <w:rFonts w:hint="eastAsia" w:ascii="新宋体" w:hAnsi="新宋体" w:eastAsia="新宋体" w:cs="宋体"/>
                <w:b w:val="0"/>
                <w:bCs w:val="0"/>
                <w:i/>
                <w:iCs/>
                <w:sz w:val="24"/>
                <w:szCs w:val="24"/>
                <w:u w:val="single"/>
                <w:lang w:bidi="ar"/>
              </w:rPr>
              <w:t xml:space="preserve">CPU:配置≥4颗</w:t>
            </w:r>
            <w:r>
              <w:rPr>
                <w:rFonts w:hint="eastAsia" w:ascii="新宋体" w:hAnsi="新宋体" w:eastAsia="新宋体" w:cs="宋体"/>
                <w:b w:val="0"/>
                <w:bCs w:val="0"/>
                <w:i/>
                <w:iCs/>
                <w:sz w:val="24"/>
                <w:szCs w:val="24"/>
                <w:u w:val="single"/>
                <w:lang w:val="en-US" w:eastAsia="zh-CN" w:bidi="ar"/>
              </w:rPr>
              <w:t xml:space="preserve"> </w:t>
            </w:r>
            <w:r>
              <w:rPr>
                <w:rFonts w:hint="eastAsia" w:ascii="新宋体" w:hAnsi="新宋体" w:eastAsia="新宋体" w:cs="宋体"/>
                <w:b w:val="0"/>
                <w:bCs w:val="0"/>
                <w:i/>
                <w:iCs/>
                <w:sz w:val="24"/>
                <w:szCs w:val="24"/>
                <w:u w:val="single"/>
                <w:lang w:bidi="ar"/>
              </w:rPr>
              <w:t xml:space="preserve">ARM 架构服务器处理器，单颗核心数≥48，主频≥2.6GHz；</w:t>
            </w:r>
            <w:r/>
          </w:p>
        </w:tc>
      </w:tr>
      <w:tr>
        <w:trPr>
          <w:jc w:val="center"/>
        </w:trPr>
        <w:tc>
          <w:tcPr>
            <w:tcW w:w="816" w:type="dxa"/>
            <w:vAlign w:val="top"/>
            <w:textDirection w:val="lrTb"/>
            <w:noWrap w:val="false"/>
          </w:tcPr>
          <w:p>
            <w:pPr>
              <w:jc w:val="center"/>
              <w:spacing w:line="500" w:lineRule="exact"/>
              <w:rPr>
                <w:rFonts w:hint="eastAsia"/>
                <w:sz w:val="24"/>
                <w:szCs w:val="24"/>
              </w:rPr>
            </w:pPr>
            <w:r>
              <w:rPr>
                <w:rFonts w:hint="eastAsia"/>
                <w:sz w:val="24"/>
                <w:szCs w:val="24"/>
              </w:rPr>
              <w:t xml:space="preserve">2</w:t>
            </w:r>
            <w:r/>
          </w:p>
        </w:tc>
        <w:tc>
          <w:tcPr>
            <w:tcW w:w="7689" w:type="dxa"/>
            <w:vAlign w:val="top"/>
            <w:textDirection w:val="lrTb"/>
            <w:noWrap w:val="false"/>
          </w:tcPr>
          <w:p>
            <w:pPr>
              <w:spacing w:line="360" w:lineRule="auto"/>
              <w:rPr>
                <w:rFonts w:hint="eastAsia" w:ascii="新宋体" w:hAnsi="新宋体" w:eastAsia="新宋体" w:cs="宋体"/>
                <w:b w:val="0"/>
                <w:bCs w:val="0"/>
                <w:i/>
                <w:iCs/>
                <w:sz w:val="24"/>
                <w:szCs w:val="24"/>
                <w:u w:val="single"/>
                <w:lang w:bidi="ar"/>
              </w:rPr>
            </w:pPr>
            <w:r>
              <w:rPr>
                <w:rFonts w:hint="eastAsia" w:ascii="新宋体" w:hAnsi="新宋体" w:eastAsia="新宋体" w:cs="宋体"/>
                <w:b w:val="0"/>
                <w:bCs w:val="0"/>
                <w:i/>
                <w:iCs/>
                <w:sz w:val="24"/>
                <w:szCs w:val="24"/>
                <w:u w:val="single"/>
                <w:lang w:bidi="ar"/>
              </w:rPr>
              <w:t xml:space="preserve">内存:配置≥1024GB DDR4内存，内存插槽数量不少于 32 个，支持内存扩展至最大 2TB 容量，内存速率不低于 3200MHz；</w:t>
            </w:r>
            <w:r/>
          </w:p>
        </w:tc>
      </w:tr>
      <w:tr>
        <w:trPr>
          <w:jc w:val="center"/>
        </w:trPr>
        <w:tc>
          <w:tcPr>
            <w:tcW w:w="816" w:type="dxa"/>
            <w:vAlign w:val="top"/>
            <w:textDirection w:val="lrTb"/>
            <w:noWrap w:val="false"/>
          </w:tcPr>
          <w:p>
            <w:pPr>
              <w:jc w:val="center"/>
              <w:spacing w:line="500" w:lineRule="exact"/>
              <w:rPr>
                <w:rFonts w:hint="eastAsia"/>
                <w:sz w:val="24"/>
                <w:szCs w:val="24"/>
              </w:rPr>
            </w:pPr>
            <w:r>
              <w:rPr>
                <w:rFonts w:hint="eastAsia"/>
                <w:sz w:val="24"/>
                <w:szCs w:val="24"/>
              </w:rPr>
              <w:t xml:space="preserve">3</w:t>
            </w:r>
            <w:r/>
          </w:p>
        </w:tc>
        <w:tc>
          <w:tcPr>
            <w:tcW w:w="7689" w:type="dxa"/>
            <w:vAlign w:val="top"/>
            <w:textDirection w:val="lrTb"/>
            <w:noWrap w:val="false"/>
          </w:tcPr>
          <w:p>
            <w:pPr>
              <w:spacing w:line="360" w:lineRule="auto"/>
              <w:rPr>
                <w:rFonts w:hint="eastAsia" w:ascii="新宋体" w:hAnsi="新宋体" w:eastAsia="新宋体" w:cs="宋体"/>
                <w:b w:val="0"/>
                <w:bCs w:val="0"/>
                <w:i/>
                <w:iCs/>
                <w:sz w:val="24"/>
                <w:szCs w:val="24"/>
                <w:u w:val="single"/>
                <w:lang w:bidi="ar"/>
              </w:rPr>
            </w:pPr>
            <w:r>
              <w:rPr>
                <w:rFonts w:hint="eastAsia" w:ascii="新宋体" w:hAnsi="新宋体" w:eastAsia="新宋体" w:cs="宋体"/>
                <w:b w:val="0"/>
                <w:bCs w:val="0"/>
                <w:i/>
                <w:iCs/>
                <w:sz w:val="24"/>
                <w:szCs w:val="24"/>
                <w:u w:val="single"/>
                <w:lang w:bidi="ar"/>
              </w:rPr>
              <w:t xml:space="preserve">硬盘:2块960G SSD 硬盘单元，4块3.84TB NVME SSD 硬盘单元；</w:t>
            </w:r>
            <w:r/>
          </w:p>
        </w:tc>
      </w:tr>
      <w:tr>
        <w:trPr>
          <w:jc w:val="center"/>
        </w:trPr>
        <w:tc>
          <w:tcPr>
            <w:tcW w:w="816" w:type="dxa"/>
            <w:vAlign w:val="top"/>
            <w:textDirection w:val="lrTb"/>
            <w:noWrap w:val="false"/>
          </w:tcPr>
          <w:p>
            <w:pPr>
              <w:jc w:val="center"/>
              <w:spacing w:line="500" w:lineRule="exact"/>
              <w:rPr>
                <w:rFonts w:hint="eastAsia"/>
                <w:sz w:val="24"/>
                <w:szCs w:val="24"/>
              </w:rPr>
            </w:pPr>
            <w:r>
              <w:rPr>
                <w:rFonts w:hint="eastAsia"/>
                <w:sz w:val="24"/>
                <w:szCs w:val="24"/>
              </w:rPr>
              <w:t xml:space="preserve">4</w:t>
            </w:r>
            <w:r/>
          </w:p>
        </w:tc>
        <w:tc>
          <w:tcPr>
            <w:tcW w:w="7689" w:type="dxa"/>
            <w:vAlign w:val="top"/>
            <w:textDirection w:val="lrTb"/>
            <w:noWrap w:val="false"/>
          </w:tcPr>
          <w:p>
            <w:pPr>
              <w:spacing w:line="360" w:lineRule="auto"/>
              <w:rPr>
                <w:rFonts w:hint="eastAsia" w:ascii="新宋体" w:hAnsi="新宋体" w:eastAsia="新宋体" w:cs="宋体"/>
                <w:b w:val="0"/>
                <w:bCs w:val="0"/>
                <w:i/>
                <w:iCs/>
                <w:sz w:val="24"/>
                <w:szCs w:val="24"/>
                <w:u w:val="single"/>
                <w:lang w:eastAsia="zh-CN" w:bidi="ar"/>
              </w:rPr>
            </w:pPr>
            <w:r>
              <w:rPr>
                <w:rFonts w:hint="eastAsia" w:ascii="新宋体" w:hAnsi="新宋体" w:eastAsia="新宋体" w:cs="宋体"/>
                <w:b w:val="0"/>
                <w:bCs w:val="0"/>
                <w:i/>
                <w:iCs/>
                <w:sz w:val="24"/>
                <w:szCs w:val="24"/>
                <w:u w:val="single"/>
                <w:lang w:bidi="ar"/>
              </w:rPr>
              <w:t xml:space="preserve">AI算力：配置≥8个AI加速算力模组，任单模组FP16半精度峰值算力≥280TFLOPS；单颗AI芯片搭载HBM高速显存容量≥64GB，整机AI 芯片HBM显存总容量≥512GB</w:t>
            </w:r>
            <w:r>
              <w:rPr>
                <w:rFonts w:hint="eastAsia" w:ascii="新宋体" w:hAnsi="新宋体" w:eastAsia="新宋体" w:cs="宋体"/>
                <w:b w:val="0"/>
                <w:bCs w:val="0"/>
                <w:i/>
                <w:iCs/>
                <w:sz w:val="24"/>
                <w:szCs w:val="24"/>
                <w:u w:val="single"/>
                <w:lang w:eastAsia="zh-CN" w:bidi="ar"/>
              </w:rPr>
              <w:t xml:space="preserve">；</w:t>
            </w:r>
            <w:r/>
          </w:p>
        </w:tc>
      </w:tr>
      <w:tr>
        <w:trPr>
          <w:jc w:val="center"/>
        </w:trPr>
        <w:tc>
          <w:tcPr>
            <w:tcW w:w="816" w:type="dxa"/>
            <w:vAlign w:val="top"/>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5</w:t>
            </w:r>
            <w:r/>
          </w:p>
        </w:tc>
        <w:tc>
          <w:tcPr>
            <w:tcW w:w="7689" w:type="dxa"/>
            <w:vAlign w:val="top"/>
            <w:textDirection w:val="lrTb"/>
            <w:noWrap w:val="false"/>
          </w:tcPr>
          <w:p>
            <w:pPr>
              <w:spacing w:line="360" w:lineRule="auto"/>
              <w:rPr>
                <w:rFonts w:hint="eastAsia" w:ascii="新宋体" w:hAnsi="新宋体" w:eastAsia="新宋体" w:cs="宋体"/>
                <w:b/>
                <w:bCs/>
                <w:i/>
                <w:iCs/>
                <w:sz w:val="24"/>
                <w:szCs w:val="24"/>
                <w:u w:val="single"/>
                <w:lang w:bidi="ar"/>
              </w:rPr>
            </w:pPr>
            <w:r>
              <w:rPr>
                <w:rFonts w:hint="eastAsia" w:ascii="新宋体" w:hAnsi="新宋体" w:eastAsia="新宋体" w:cs="宋体"/>
                <w:i/>
                <w:iCs/>
                <w:color w:val="000000"/>
                <w:sz w:val="24"/>
                <w:szCs w:val="24"/>
                <w:highlight w:val="none"/>
                <w:u w:val="single"/>
                <w:lang w:val="en-US" w:eastAsia="zh-CN"/>
              </w:rPr>
              <w:t xml:space="preserve">投标人承诺：</w:t>
            </w:r>
            <w:r>
              <w:rPr>
                <w:rFonts w:hint="eastAsia" w:ascii="新宋体" w:hAnsi="新宋体" w:eastAsia="新宋体" w:cs="宋体"/>
                <w:i/>
                <w:iCs/>
                <w:color w:val="000000"/>
                <w:sz w:val="24"/>
                <w:szCs w:val="24"/>
                <w:highlight w:val="none"/>
                <w:u w:val="single"/>
              </w:rPr>
              <w:t xml:space="preserve">服务期间，产生的电费、运维费、线路费等费用，包含在</w:t>
            </w:r>
            <w:r>
              <w:rPr>
                <w:rFonts w:hint="eastAsia" w:ascii="新宋体" w:hAnsi="新宋体" w:eastAsia="新宋体" w:cs="宋体"/>
                <w:i/>
                <w:iCs/>
                <w:color w:val="000000"/>
                <w:sz w:val="24"/>
                <w:szCs w:val="24"/>
                <w:highlight w:val="none"/>
                <w:u w:val="single"/>
                <w:lang w:val="en-US" w:eastAsia="zh-CN"/>
              </w:rPr>
              <w:t xml:space="preserve">预算范围内</w:t>
            </w:r>
            <w:r>
              <w:rPr>
                <w:rFonts w:hint="eastAsia" w:ascii="新宋体" w:hAnsi="新宋体" w:eastAsia="新宋体" w:cs="宋体"/>
                <w:i/>
                <w:iCs/>
                <w:color w:val="000000"/>
                <w:sz w:val="24"/>
                <w:szCs w:val="24"/>
                <w:highlight w:val="none"/>
                <w:u w:val="single"/>
              </w:rPr>
              <w:t xml:space="preserve">，</w:t>
            </w:r>
            <w:r>
              <w:rPr>
                <w:rFonts w:hint="eastAsia" w:ascii="新宋体" w:hAnsi="新宋体" w:eastAsia="新宋体" w:cs="宋体"/>
                <w:i/>
                <w:iCs/>
                <w:color w:val="000000"/>
                <w:sz w:val="24"/>
                <w:szCs w:val="24"/>
                <w:highlight w:val="none"/>
                <w:u w:val="single"/>
                <w:lang w:val="en-US" w:eastAsia="zh-CN"/>
              </w:rPr>
              <w:t xml:space="preserve">采购人</w:t>
            </w:r>
            <w:r>
              <w:rPr>
                <w:rFonts w:hint="eastAsia" w:ascii="新宋体" w:hAnsi="新宋体" w:eastAsia="新宋体" w:cs="宋体"/>
                <w:i/>
                <w:iCs/>
                <w:color w:val="000000"/>
                <w:sz w:val="24"/>
                <w:szCs w:val="24"/>
                <w:highlight w:val="none"/>
                <w:u w:val="single"/>
              </w:rPr>
              <w:t xml:space="preserve">不再另行计算支付。</w:t>
            </w:r>
            <w:r>
              <w:rPr>
                <w:rFonts w:hint="eastAsia" w:ascii="新宋体" w:hAnsi="新宋体" w:eastAsia="新宋体" w:cs="宋体"/>
                <w:b/>
                <w:bCs/>
                <w:i/>
                <w:iCs/>
                <w:color w:val="000000"/>
                <w:sz w:val="24"/>
                <w:szCs w:val="24"/>
                <w:highlight w:val="none"/>
                <w:u w:val="single"/>
              </w:rPr>
              <w:t xml:space="preserve">（投标文件中提供承诺函并加盖投标人公章）</w:t>
            </w:r>
            <w:r/>
          </w:p>
        </w:tc>
      </w:tr>
      <w:tr>
        <w:trPr>
          <w:jc w:val="center"/>
        </w:trPr>
        <w:tc>
          <w:tcPr>
            <w:tcW w:w="816" w:type="dxa"/>
            <w:vAlign w:val="top"/>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6</w:t>
            </w:r>
            <w:r/>
          </w:p>
        </w:tc>
        <w:tc>
          <w:tcPr>
            <w:tcW w:w="7689" w:type="dxa"/>
            <w:vAlign w:val="top"/>
            <w:textDirection w:val="lrTb"/>
            <w:noWrap w:val="false"/>
          </w:tcPr>
          <w:p>
            <w:pPr>
              <w:spacing w:line="360" w:lineRule="auto"/>
              <w:rPr>
                <w:b w:val="0"/>
                <w:bCs w:val="0"/>
                <w:sz w:val="24"/>
                <w:szCs w:val="24"/>
              </w:rPr>
            </w:pPr>
            <w:r>
              <w:rPr>
                <w:rFonts w:hint="eastAsia" w:ascii="新宋体" w:hAnsi="新宋体" w:eastAsia="新宋体" w:cs="宋体"/>
                <w:b w:val="0"/>
                <w:bCs w:val="0"/>
                <w:i/>
                <w:iCs/>
                <w:sz w:val="24"/>
                <w:szCs w:val="24"/>
                <w:u w:val="single"/>
                <w:lang w:bidi="ar"/>
              </w:rPr>
              <w:t xml:space="preserve">合同履行期限：</w:t>
            </w:r>
            <w:r>
              <w:rPr>
                <w:rFonts w:hint="eastAsia" w:ascii="新宋体" w:hAnsi="新宋体" w:eastAsia="新宋体" w:cs="宋体"/>
                <w:b w:val="0"/>
                <w:bCs w:val="0"/>
                <w:i/>
                <w:iCs/>
                <w:sz w:val="24"/>
                <w:szCs w:val="24"/>
                <w:u w:val="single"/>
                <w:lang w:val="zh-CN" w:bidi="ar"/>
              </w:rPr>
              <w:t xml:space="preserve">合同签订后45天内完成租赁设备软硬件的安装调试要求，并通过验收，验收通过后提供</w:t>
            </w:r>
            <w:r>
              <w:rPr>
                <w:rFonts w:hint="eastAsia" w:ascii="新宋体" w:hAnsi="新宋体" w:eastAsia="新宋体" w:cs="宋体"/>
                <w:b w:val="0"/>
                <w:bCs w:val="0"/>
                <w:i/>
                <w:iCs/>
                <w:sz w:val="24"/>
                <w:szCs w:val="24"/>
                <w:u w:val="single"/>
                <w:lang w:bidi="ar"/>
              </w:rPr>
              <w:t xml:space="preserve">3</w:t>
            </w:r>
            <w:r>
              <w:rPr>
                <w:rFonts w:hint="eastAsia" w:ascii="新宋体" w:hAnsi="新宋体" w:eastAsia="新宋体" w:cs="宋体"/>
                <w:b w:val="0"/>
                <w:bCs w:val="0"/>
                <w:i/>
                <w:iCs/>
                <w:sz w:val="24"/>
                <w:szCs w:val="24"/>
                <w:u w:val="single"/>
                <w:lang w:val="zh-CN" w:bidi="ar"/>
              </w:rPr>
              <w:t xml:space="preserve">年算力服务。</w:t>
            </w:r>
            <w:r/>
          </w:p>
        </w:tc>
      </w:tr>
      <w:tr>
        <w:trPr>
          <w:jc w:val="center"/>
        </w:trPr>
        <w:tc>
          <w:tcPr>
            <w:tcW w:w="816" w:type="dxa"/>
            <w:vAlign w:val="top"/>
            <w:textDirection w:val="lrTb"/>
            <w:noWrap w:val="false"/>
          </w:tcPr>
          <w:p>
            <w:pPr>
              <w:jc w:val="center"/>
              <w:spacing w:line="500" w:lineRule="exact"/>
              <w:rPr>
                <w:rFonts w:hint="eastAsia" w:eastAsia="宋体"/>
                <w:sz w:val="24"/>
                <w:szCs w:val="24"/>
                <w:lang w:eastAsia="zh-CN"/>
              </w:rPr>
            </w:pPr>
            <w:r>
              <w:rPr>
                <w:rFonts w:hint="eastAsia"/>
                <w:sz w:val="24"/>
                <w:szCs w:val="24"/>
                <w:lang w:val="en-US" w:eastAsia="zh-CN"/>
              </w:rPr>
              <w:t xml:space="preserve">7</w:t>
            </w:r>
            <w:r/>
          </w:p>
        </w:tc>
        <w:tc>
          <w:tcPr>
            <w:tcW w:w="7689" w:type="dxa"/>
            <w:vAlign w:val="top"/>
            <w:textDirection w:val="lrTb"/>
            <w:noWrap w:val="false"/>
          </w:tcPr>
          <w:p>
            <w:pPr>
              <w:jc w:val="left"/>
              <w:spacing w:line="360" w:lineRule="auto"/>
              <w:rPr>
                <w:b w:val="0"/>
                <w:bCs w:val="0"/>
                <w:sz w:val="24"/>
                <w:szCs w:val="24"/>
              </w:rPr>
            </w:pPr>
            <w:r>
              <w:rPr>
                <w:rFonts w:ascii="新宋体" w:hAnsi="新宋体" w:eastAsia="新宋体" w:cs="新宋体"/>
                <w:i/>
                <w:color w:val="000000"/>
                <w:sz w:val="24"/>
                <w:u w:val="single"/>
              </w:rPr>
              <w:t xml:space="preserve">项目安装调试验收合格后，支付合同总金额的三分之一；第一年度算力服务验收合格后，支付合同总金额的三分之一；第二年度算力服务验收合格后，支付合同总金额的三分之一；第三年度算力服务仅做履约验收，不再支付合同款项。乙方须在每期付款前提供合法有效的正式发票，否则甲方有权顺延付款，且不承担逾期付款违约责任。</w:t>
            </w:r>
            <w:r/>
          </w:p>
        </w:tc>
      </w:tr>
    </w:tbl>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rPr>
        <w:t xml:space="preserve">为深入推进“数字连云港”数字化建设工作，夯实市域数字经济与智慧政务发展算力根基。当前全市现有算力底座资源，已无法适配人工智能场景规模化落地、通用智能模型迭代部署、多领域智慧应用扩容升级的发展需求。为补齐算力资源短板、提升全市算力基础底座承载能力，依托现有已租赁的算力资源基础，开展算力服务增租工作，持续完善全市算力基础设施体系，为数字连云港高质量建设提供核心算</w:t>
      </w:r>
      <w:bookmarkStart w:id="19" w:name="_GoBack"/>
      <w:r>
        <w:rPr>
          <w:rFonts w:hint="eastAsia" w:ascii="宋体" w:hAnsi="宋体"/>
          <w:color w:val="000000"/>
          <w:sz w:val="24"/>
          <w:szCs w:val="24"/>
          <w:highlight w:val="none"/>
        </w:rPr>
        <w:t xml:space="preserve">力支撑。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本次项目拟新增租赁2台</w:t>
      </w:r>
      <w:r>
        <w:rPr>
          <w:rFonts w:hint="eastAsia" w:ascii="宋体" w:hAnsi="宋体"/>
          <w:color w:val="000000"/>
          <w:sz w:val="24"/>
          <w:szCs w:val="24"/>
          <w:highlight w:val="none"/>
          <w:lang w:val="en-US" w:eastAsia="zh-CN"/>
        </w:rPr>
        <w:t xml:space="preserve">通过安全可靠测评的</w:t>
      </w:r>
      <w:r>
        <w:rPr>
          <w:rFonts w:hint="eastAsia" w:ascii="宋体" w:hAnsi="宋体"/>
          <w:color w:val="000000"/>
          <w:sz w:val="24"/>
          <w:szCs w:val="24"/>
          <w:highlight w:val="none"/>
        </w:rPr>
        <w:t xml:space="preserve">算力服务器，服务租期为三年。设备核心配置要求如下：单台服务器搭载</w:t>
      </w:r>
      <w:r>
        <w:rPr>
          <w:rFonts w:hint="eastAsia" w:ascii="宋体" w:hAnsi="宋体"/>
          <w:color w:val="000000"/>
          <w:sz w:val="24"/>
          <w:szCs w:val="24"/>
          <w:highlight w:val="none"/>
          <w:lang w:val="en-US" w:eastAsia="zh-CN"/>
        </w:rPr>
        <w:t xml:space="preserve">通过安全可靠测评的</w:t>
      </w:r>
      <w:r>
        <w:rPr>
          <w:rFonts w:hint="eastAsia" w:ascii="宋体" w:hAnsi="宋体"/>
          <w:color w:val="000000"/>
          <w:sz w:val="24"/>
          <w:szCs w:val="24"/>
          <w:highlight w:val="none"/>
        </w:rPr>
        <w:t xml:space="preserve">AI加速算力模组数量不少于8个，单个模组FP16半精度峰值算力≥280 TFLOPS，保障通用AI模型高效部署、运算及迭代运行。</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二、服务技术要求</w:t>
      </w:r>
      <w:r/>
    </w:p>
    <w:p>
      <w:pPr>
        <w:ind w:firstLine="480"/>
        <w:spacing w:line="360" w:lineRule="auto"/>
        <w:rPr>
          <w:sz w:val="24"/>
          <w:highlight w:val="none"/>
        </w:rPr>
      </w:pPr>
      <w:r>
        <w:rPr>
          <w:rFonts w:hint="eastAsia"/>
          <w:sz w:val="24"/>
          <w:highlight w:val="none"/>
        </w:rPr>
        <w:t xml:space="preserve">1、服务内容</w:t>
      </w:r>
      <w:r/>
    </w:p>
    <w:p>
      <w:pPr>
        <w:ind w:firstLine="480"/>
        <w:jc w:val="left"/>
        <w:spacing w:line="560" w:lineRule="exact"/>
        <w:tabs>
          <w:tab w:val="left" w:pos="900" w:leader="none"/>
        </w:tabs>
        <w:rPr>
          <w:rFonts w:ascii="新宋体" w:hAnsi="新宋体" w:eastAsia="新宋体"/>
          <w:sz w:val="24"/>
          <w:szCs w:val="24"/>
        </w:rPr>
      </w:pPr>
      <w:r>
        <w:rPr>
          <w:rFonts w:hint="eastAsia" w:ascii="新宋体" w:hAnsi="新宋体" w:eastAsia="新宋体"/>
          <w:sz w:val="24"/>
          <w:szCs w:val="24"/>
          <w:highlight w:val="none"/>
        </w:rPr>
        <w:t xml:space="preserve">内容包括新增租赁2台</w:t>
      </w:r>
      <w:r>
        <w:rPr>
          <w:rFonts w:hint="eastAsia" w:ascii="宋体" w:hAnsi="宋体"/>
          <w:color w:val="000000"/>
          <w:sz w:val="24"/>
          <w:szCs w:val="24"/>
          <w:highlight w:val="none"/>
          <w:lang w:val="en-US" w:eastAsia="zh-CN"/>
        </w:rPr>
        <w:t xml:space="preserve">通过安全可靠测评</w:t>
      </w:r>
      <w:r>
        <w:rPr>
          <w:rFonts w:hint="eastAsia" w:ascii="宋体" w:hAnsi="宋体"/>
          <w:color w:val="000000"/>
          <w:sz w:val="24"/>
          <w:szCs w:val="24"/>
          <w:highlight w:val="none"/>
          <w:lang w:val="en-US" w:eastAsia="zh-CN"/>
        </w:rPr>
        <w:t xml:space="preserve">的</w:t>
      </w:r>
      <w:r>
        <w:rPr>
          <w:rFonts w:hint="eastAsia" w:ascii="新宋体" w:hAnsi="新宋体" w:eastAsia="新宋体"/>
          <w:sz w:val="24"/>
          <w:szCs w:val="24"/>
          <w:highlight w:val="none"/>
        </w:rPr>
        <w:t xml:space="preserve">算力服务器，</w:t>
      </w:r>
      <w:bookmarkEnd w:id="19"/>
      <w:r>
        <w:rPr>
          <w:rFonts w:hint="eastAsia" w:ascii="新宋体" w:hAnsi="新宋体" w:eastAsia="新宋体"/>
          <w:sz w:val="24"/>
          <w:szCs w:val="24"/>
        </w:rPr>
        <w:t xml:space="preserve">服务租期为三年。具体服务内容如下：</w:t>
      </w:r>
      <w:r/>
    </w:p>
    <w:tbl>
      <w:tblPr>
        <w:tblStyle w:val="677"/>
        <w:tblW w:w="49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4506"/>
        <w:gridCol w:w="744"/>
        <w:gridCol w:w="913"/>
        <w:gridCol w:w="1428"/>
      </w:tblGrid>
      <w:tr>
        <w:trPr/>
        <w:tc>
          <w:tcPr>
            <w:tcW w:w="458" w:type="dxa"/>
            <w:vAlign w:val="center"/>
            <w:textDirection w:val="lrTb"/>
            <w:noWrap w:val="false"/>
          </w:tcPr>
          <w:p>
            <w:pPr>
              <w:jc w:val="center"/>
              <w:widowControl/>
              <w:rPr>
                <w:rFonts w:ascii="新宋体" w:hAnsi="新宋体" w:eastAsia="新宋体" w:cs="宋体"/>
                <w:b/>
                <w:bCs/>
                <w:szCs w:val="21"/>
              </w:rPr>
            </w:pPr>
            <w:r>
              <w:rPr>
                <w:rFonts w:hint="eastAsia" w:ascii="新宋体" w:hAnsi="新宋体" w:eastAsia="新宋体" w:cs="宋体"/>
                <w:b/>
                <w:bCs/>
                <w:szCs w:val="21"/>
              </w:rPr>
              <w:t xml:space="preserve">序号</w:t>
            </w:r>
            <w:r/>
          </w:p>
        </w:tc>
        <w:tc>
          <w:tcPr>
            <w:tcW w:w="2694" w:type="dxa"/>
            <w:vAlign w:val="center"/>
            <w:textDirection w:val="lrTb"/>
            <w:noWrap w:val="false"/>
          </w:tcPr>
          <w:p>
            <w:pPr>
              <w:jc w:val="center"/>
              <w:widowControl/>
              <w:rPr>
                <w:rFonts w:ascii="新宋体" w:hAnsi="新宋体" w:eastAsia="新宋体" w:cs="宋体"/>
                <w:b/>
                <w:bCs/>
                <w:szCs w:val="21"/>
              </w:rPr>
            </w:pPr>
            <w:r>
              <w:rPr>
                <w:rFonts w:hint="eastAsia" w:ascii="新宋体" w:hAnsi="新宋体" w:eastAsia="新宋体" w:cs="宋体"/>
                <w:b/>
                <w:bCs/>
                <w:szCs w:val="21"/>
              </w:rPr>
              <w:t xml:space="preserve">名称</w:t>
            </w:r>
            <w:r/>
          </w:p>
        </w:tc>
        <w:tc>
          <w:tcPr>
            <w:tcW w:w="445" w:type="dxa"/>
            <w:vAlign w:val="center"/>
            <w:textDirection w:val="lrTb"/>
            <w:noWrap w:val="false"/>
          </w:tcPr>
          <w:p>
            <w:pPr>
              <w:jc w:val="center"/>
              <w:widowControl/>
              <w:rPr>
                <w:rFonts w:ascii="新宋体" w:hAnsi="新宋体" w:eastAsia="新宋体" w:cs="宋体"/>
                <w:b/>
                <w:bCs/>
                <w:szCs w:val="21"/>
              </w:rPr>
            </w:pPr>
            <w:r>
              <w:rPr>
                <w:rFonts w:hint="eastAsia" w:ascii="新宋体" w:hAnsi="新宋体" w:eastAsia="新宋体" w:cs="宋体"/>
                <w:b/>
                <w:bCs/>
                <w:szCs w:val="21"/>
              </w:rPr>
              <w:t xml:space="preserve">数量</w:t>
            </w:r>
            <w:r/>
          </w:p>
        </w:tc>
        <w:tc>
          <w:tcPr>
            <w:tcW w:w="546" w:type="dxa"/>
            <w:vAlign w:val="center"/>
            <w:textDirection w:val="lrTb"/>
            <w:noWrap w:val="false"/>
          </w:tcPr>
          <w:p>
            <w:pPr>
              <w:jc w:val="center"/>
              <w:widowControl/>
              <w:rPr>
                <w:rFonts w:ascii="新宋体" w:hAnsi="新宋体" w:eastAsia="新宋体" w:cs="宋体"/>
                <w:b/>
                <w:bCs/>
                <w:szCs w:val="21"/>
              </w:rPr>
            </w:pPr>
            <w:r>
              <w:rPr>
                <w:rFonts w:hint="eastAsia" w:ascii="新宋体" w:hAnsi="新宋体" w:eastAsia="新宋体" w:cs="宋体"/>
                <w:b/>
                <w:bCs/>
                <w:szCs w:val="21"/>
              </w:rPr>
              <w:t xml:space="preserve">单位</w:t>
            </w:r>
            <w:r/>
          </w:p>
        </w:tc>
        <w:tc>
          <w:tcPr>
            <w:tcW w:w="853" w:type="dxa"/>
            <w:vAlign w:val="top"/>
            <w:textDirection w:val="lrTb"/>
            <w:noWrap w:val="false"/>
          </w:tcPr>
          <w:p>
            <w:pPr>
              <w:jc w:val="center"/>
              <w:widowControl/>
              <w:rPr>
                <w:rFonts w:ascii="新宋体" w:hAnsi="新宋体" w:eastAsia="新宋体" w:cs="宋体"/>
                <w:b/>
                <w:bCs/>
                <w:szCs w:val="21"/>
              </w:rPr>
            </w:pPr>
            <w:r>
              <w:rPr>
                <w:rFonts w:hint="eastAsia" w:ascii="新宋体" w:hAnsi="新宋体" w:eastAsia="新宋体" w:cs="宋体"/>
                <w:b/>
                <w:bCs/>
                <w:szCs w:val="21"/>
              </w:rPr>
              <w:t xml:space="preserve">所属行业</w:t>
            </w:r>
            <w:r/>
          </w:p>
        </w:tc>
      </w:tr>
      <w:tr>
        <w:trPr/>
        <w:tc>
          <w:tcPr>
            <w:tcW w:w="458" w:type="dxa"/>
            <w:vAlign w:val="center"/>
            <w:textDirection w:val="lrTb"/>
            <w:noWrap w:val="false"/>
          </w:tcPr>
          <w:p>
            <w:pPr>
              <w:jc w:val="center"/>
              <w:widowControl/>
              <w:rPr>
                <w:rFonts w:ascii="新宋体" w:hAnsi="新宋体" w:eastAsia="新宋体" w:cs="宋体"/>
                <w:szCs w:val="21"/>
              </w:rPr>
            </w:pPr>
            <w:r>
              <w:rPr>
                <w:rFonts w:hint="eastAsia" w:ascii="新宋体" w:hAnsi="新宋体" w:eastAsia="新宋体" w:cs="宋体"/>
                <w:szCs w:val="21"/>
              </w:rPr>
              <w:t xml:space="preserve">1</w:t>
            </w:r>
            <w:r/>
          </w:p>
        </w:tc>
        <w:tc>
          <w:tcPr>
            <w:tcW w:w="2694" w:type="dxa"/>
            <w:vAlign w:val="center"/>
            <w:textDirection w:val="lrTb"/>
            <w:noWrap/>
          </w:tcPr>
          <w:p>
            <w:pPr>
              <w:jc w:val="center"/>
              <w:widowControl/>
              <w:rPr>
                <w:rFonts w:ascii="新宋体" w:hAnsi="新宋体" w:eastAsia="新宋体" w:cs="宋体"/>
                <w:szCs w:val="21"/>
              </w:rPr>
            </w:pPr>
            <w:r>
              <w:rPr>
                <w:rFonts w:hint="eastAsia" w:ascii="新宋体" w:hAnsi="新宋体" w:eastAsia="新宋体" w:cs="宋体"/>
                <w:szCs w:val="21"/>
              </w:rPr>
              <w:t xml:space="preserve">算力服务器租赁（3年）（共2台）</w:t>
            </w:r>
            <w:r/>
          </w:p>
        </w:tc>
        <w:tc>
          <w:tcPr>
            <w:tcW w:w="445" w:type="dxa"/>
            <w:vAlign w:val="center"/>
            <w:textDirection w:val="lrTb"/>
            <w:noWrap/>
          </w:tcPr>
          <w:p>
            <w:pPr>
              <w:jc w:val="center"/>
              <w:widowControl/>
              <w:rPr>
                <w:rFonts w:ascii="新宋体" w:hAnsi="新宋体" w:eastAsia="新宋体" w:cs="宋体"/>
                <w:szCs w:val="21"/>
              </w:rPr>
            </w:pPr>
            <w:r>
              <w:rPr>
                <w:rFonts w:hint="eastAsia" w:ascii="新宋体" w:hAnsi="新宋体" w:eastAsia="新宋体" w:cs="宋体"/>
                <w:szCs w:val="21"/>
              </w:rPr>
              <w:t xml:space="preserve">1</w:t>
            </w:r>
            <w:r/>
          </w:p>
        </w:tc>
        <w:tc>
          <w:tcPr>
            <w:tcW w:w="546" w:type="dxa"/>
            <w:vAlign w:val="center"/>
            <w:textDirection w:val="lrTb"/>
            <w:noWrap/>
          </w:tcPr>
          <w:p>
            <w:pPr>
              <w:jc w:val="center"/>
              <w:widowControl/>
              <w:rPr>
                <w:rFonts w:ascii="新宋体" w:hAnsi="新宋体" w:eastAsia="新宋体" w:cs="宋体"/>
                <w:szCs w:val="21"/>
              </w:rPr>
            </w:pPr>
            <w:r>
              <w:rPr>
                <w:rFonts w:hint="eastAsia" w:ascii="新宋体" w:hAnsi="新宋体" w:eastAsia="新宋体" w:cs="宋体"/>
                <w:szCs w:val="21"/>
              </w:rPr>
              <w:t xml:space="preserve">项</w:t>
            </w:r>
            <w:r/>
          </w:p>
        </w:tc>
        <w:tc>
          <w:tcPr>
            <w:tcW w:w="853" w:type="dxa"/>
            <w:vAlign w:val="top"/>
            <w:textDirection w:val="lrTb"/>
            <w:noWrap w:val="false"/>
          </w:tcPr>
          <w:p>
            <w:pPr>
              <w:jc w:val="center"/>
              <w:widowControl/>
              <w:rPr>
                <w:rFonts w:ascii="新宋体" w:hAnsi="新宋体" w:eastAsia="新宋体" w:cs="宋体"/>
                <w:szCs w:val="21"/>
              </w:rPr>
            </w:pPr>
            <w:r>
              <w:rPr>
                <w:rFonts w:hint="eastAsia" w:ascii="新宋体" w:hAnsi="新宋体" w:eastAsia="新宋体" w:cs="宋体"/>
                <w:szCs w:val="21"/>
              </w:rPr>
              <w:t xml:space="preserve">租赁和商务服务业</w:t>
            </w:r>
            <w:r/>
          </w:p>
        </w:tc>
      </w:tr>
    </w:tbl>
    <w:p>
      <w:pPr>
        <w:ind w:firstLine="480"/>
        <w:spacing w:line="360" w:lineRule="auto"/>
        <w:rPr>
          <w:sz w:val="24"/>
        </w:rPr>
      </w:pPr>
      <w:r>
        <w:rPr>
          <w:rFonts w:hint="eastAsia"/>
          <w:sz w:val="24"/>
        </w:rPr>
        <w:t xml:space="preserve">2、服务技术要求</w:t>
      </w:r>
      <w:r/>
    </w:p>
    <w:tbl>
      <w:tblPr>
        <w:tblStyle w:val="6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1357"/>
        <w:gridCol w:w="6720"/>
      </w:tblGrid>
      <w:tr>
        <w:trPr/>
        <w:tc>
          <w:tcPr>
            <w:tcW w:w="261" w:type="dxa"/>
            <w:vAlign w:val="center"/>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序号</w:t>
            </w:r>
            <w:r/>
          </w:p>
        </w:tc>
        <w:tc>
          <w:tcPr>
            <w:tcW w:w="796" w:type="dxa"/>
            <w:vAlign w:val="center"/>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名称</w:t>
            </w:r>
            <w:r/>
          </w:p>
        </w:tc>
        <w:tc>
          <w:tcPr>
            <w:tcW w:w="3942" w:type="dxa"/>
            <w:vAlign w:val="top"/>
            <w:textDirection w:val="lrTb"/>
            <w:noWrap w:val="false"/>
          </w:tcPr>
          <w:p>
            <w:pPr>
              <w:jc w:val="center"/>
              <w:spacing w:line="276" w:lineRule="auto"/>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技术参数</w:t>
            </w:r>
            <w:r/>
          </w:p>
        </w:tc>
      </w:tr>
      <w:tr>
        <w:trPr/>
        <w:tc>
          <w:tcPr>
            <w:tcW w:w="261" w:type="dxa"/>
            <w:vAlign w:val="center"/>
            <w:textDirection w:val="lrTb"/>
            <w:noWrap w:val="false"/>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p>
        </w:tc>
        <w:tc>
          <w:tcPr>
            <w:tcW w:w="796" w:type="dxa"/>
            <w:vAlign w:val="center"/>
            <w:textDirection w:val="lrTb"/>
            <w:noWrap/>
          </w:tcPr>
          <w:p>
            <w:pPr>
              <w:jc w:val="center"/>
              <w:spacing w:line="276" w:lineRule="auto"/>
              <w:widowControl/>
              <w:rPr>
                <w:rFonts w:ascii="新宋体" w:hAnsi="新宋体" w:eastAsia="新宋体" w:cs="宋体"/>
                <w:color w:val="000000"/>
                <w:szCs w:val="21"/>
              </w:rPr>
            </w:pPr>
            <w:r>
              <w:rPr>
                <w:rFonts w:hint="eastAsia" w:ascii="新宋体" w:hAnsi="新宋体" w:eastAsia="新宋体" w:cs="宋体"/>
                <w:color w:val="000000"/>
                <w:szCs w:val="21"/>
              </w:rPr>
              <w:t xml:space="preserve">算力服务器租赁（3年）（共2台）</w:t>
            </w:r>
            <w:r/>
          </w:p>
        </w:tc>
        <w:tc>
          <w:tcPr>
            <w:tcW w:w="3942" w:type="dxa"/>
            <w:vAlign w:val="top"/>
            <w:textDirection w:val="lrTb"/>
            <w:noWrap w:val="false"/>
          </w:tcPr>
          <w:p>
            <w:pPr>
              <w:jc w:val="left"/>
              <w:spacing w:line="276" w:lineRule="auto"/>
              <w:widowControl/>
              <w:rPr>
                <w:rFonts w:hint="eastAsia" w:ascii="新宋体" w:hAnsi="新宋体" w:eastAsia="新宋体" w:cs="宋体"/>
                <w:i/>
                <w:iCs/>
                <w:color w:val="000000"/>
                <w:szCs w:val="21"/>
                <w:u w:val="single"/>
              </w:rPr>
            </w:pPr>
            <w:r>
              <w:rPr>
                <w:rFonts w:hint="eastAsia" w:ascii="新宋体" w:hAnsi="新宋体" w:eastAsia="新宋体" w:cs="宋体"/>
                <w:i/>
                <w:iCs/>
                <w:color w:val="000000"/>
                <w:szCs w:val="21"/>
                <w:u w:val="single"/>
              </w:rPr>
              <w:t xml:space="preserve">1、CPU:配置≥4颗</w:t>
            </w:r>
            <w:r>
              <w:rPr>
                <w:rFonts w:hint="eastAsia" w:ascii="新宋体" w:hAnsi="新宋体" w:eastAsia="新宋体" w:cs="宋体"/>
                <w:i/>
                <w:iCs/>
                <w:color w:val="000000"/>
                <w:szCs w:val="21"/>
                <w:u w:val="single"/>
                <w:lang w:val="en-US" w:eastAsia="zh-CN"/>
              </w:rPr>
              <w:t xml:space="preserve"> </w:t>
            </w:r>
            <w:r>
              <w:rPr>
                <w:rFonts w:hint="eastAsia" w:ascii="新宋体" w:hAnsi="新宋体" w:eastAsia="新宋体" w:cs="宋体"/>
                <w:i/>
                <w:iCs/>
                <w:color w:val="000000"/>
                <w:szCs w:val="21"/>
                <w:u w:val="single"/>
              </w:rPr>
              <w:t xml:space="preserve">ARM 架构服务器处理器，单颗核心数≥48，主频≥2.6GHz；</w:t>
            </w:r>
            <w:r/>
          </w:p>
          <w:p>
            <w:pPr>
              <w:jc w:val="left"/>
              <w:spacing w:line="276" w:lineRule="auto"/>
              <w:widowControl/>
              <w:rPr>
                <w:rFonts w:hint="eastAsia" w:ascii="新宋体" w:hAnsi="新宋体" w:eastAsia="新宋体" w:cs="宋体"/>
                <w:i/>
                <w:iCs/>
                <w:color w:val="000000"/>
                <w:szCs w:val="21"/>
                <w:u w:val="single"/>
              </w:rPr>
            </w:pPr>
            <w:r>
              <w:rPr>
                <w:rFonts w:hint="eastAsia" w:ascii="新宋体" w:hAnsi="新宋体" w:eastAsia="新宋体" w:cs="宋体"/>
                <w:i/>
                <w:iCs/>
                <w:color w:val="000000"/>
                <w:szCs w:val="21"/>
                <w:u w:val="single"/>
              </w:rPr>
              <w:t xml:space="preserve">2、内存:配置≥1024GB DDR4内存，内存插槽数量不少于 32 个，支持内存扩展至最大 2TB 容量，内存速率不低于 3200MHz；</w:t>
            </w:r>
            <w:r/>
          </w:p>
          <w:p>
            <w:pPr>
              <w:jc w:val="left"/>
              <w:spacing w:line="276" w:lineRule="auto"/>
              <w:widowControl/>
              <w:rPr>
                <w:rFonts w:hint="eastAsia" w:ascii="新宋体" w:hAnsi="新宋体" w:eastAsia="新宋体" w:cs="宋体"/>
                <w:i/>
                <w:iCs/>
                <w:color w:val="000000"/>
                <w:szCs w:val="21"/>
                <w:u w:val="single"/>
              </w:rPr>
            </w:pPr>
            <w:r>
              <w:rPr>
                <w:rFonts w:hint="eastAsia" w:ascii="新宋体" w:hAnsi="新宋体" w:eastAsia="新宋体" w:cs="宋体"/>
                <w:i/>
                <w:iCs/>
                <w:color w:val="000000"/>
                <w:szCs w:val="21"/>
                <w:u w:val="single"/>
              </w:rPr>
              <w:t xml:space="preserve">3、硬盘:2块960G SSD 硬盘单元，4块3.84TB NVME SSD 硬盘单元；</w:t>
            </w:r>
            <w:r/>
          </w:p>
          <w:p>
            <w:pPr>
              <w:jc w:val="left"/>
              <w:spacing w:line="276" w:lineRule="auto"/>
              <w:widowControl/>
              <w:rPr>
                <w:rFonts w:hint="eastAsia" w:ascii="新宋体" w:hAnsi="新宋体" w:cs="宋体"/>
                <w:i/>
                <w:iCs/>
                <w:color w:val="000000"/>
                <w:szCs w:val="21"/>
                <w:u w:val="single"/>
              </w:rPr>
            </w:pPr>
            <w:r>
              <w:rPr>
                <w:rFonts w:hint="eastAsia" w:ascii="新宋体" w:hAnsi="新宋体" w:eastAsia="新宋体" w:cs="宋体"/>
                <w:i/>
                <w:iCs/>
                <w:color w:val="000000"/>
                <w:szCs w:val="21"/>
                <w:u w:val="single"/>
              </w:rPr>
              <w:t xml:space="preserve">4、AI算力：配置≥8个</w:t>
            </w:r>
            <w:r>
              <w:rPr>
                <w:rFonts w:hint="eastAsia" w:ascii="新宋体" w:hAnsi="新宋体" w:eastAsia="新宋体" w:cs="宋体"/>
                <w:i/>
                <w:iCs/>
                <w:color w:val="000000"/>
                <w:szCs w:val="21"/>
                <w:u w:val="single"/>
                <w:lang w:val="en-US" w:eastAsia="zh-CN"/>
              </w:rPr>
              <w:t xml:space="preserve"> </w:t>
            </w:r>
            <w:r>
              <w:rPr>
                <w:rFonts w:hint="eastAsia" w:ascii="新宋体" w:hAnsi="新宋体" w:eastAsia="新宋体" w:cs="宋体"/>
                <w:i/>
                <w:iCs/>
                <w:color w:val="000000"/>
                <w:szCs w:val="21"/>
                <w:u w:val="single"/>
              </w:rPr>
              <w:t xml:space="preserve">AI 加速算力模组，任单模组 FP16 半精度峰值算力≥ 280 TFLOPS；单颗 AI 芯片搭载 HBM 高速显存容量≥ 64GB，整机 AI 芯片 HBM 显存总容量≥ 512GB；</w:t>
            </w:r>
            <w:r>
              <w:rPr>
                <w:rFonts w:hint="eastAsia" w:ascii="新宋体" w:hAnsi="新宋体" w:eastAsia="新宋体" w:cs="宋体"/>
                <w:i/>
                <w:iCs/>
                <w:color w:val="000000"/>
                <w:szCs w:val="21"/>
                <w:highlight w:val="none"/>
                <w:u w:val="single"/>
              </w:rPr>
              <w:t xml:space="preserve">支持多卡互联。</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5、单个AI芯片内存配置≥128GB HBM；</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6、整机AI芯片内存配置不低于1024G；</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宋体" w:hAnsi="宋体"/>
                <w:color w:val="000000"/>
                <w:szCs w:val="21"/>
              </w:rPr>
              <w:t xml:space="preserve">7</w:t>
            </w:r>
            <w:r>
              <w:rPr>
                <w:rFonts w:hint="eastAsia" w:ascii="新宋体" w:hAnsi="新宋体" w:eastAsia="新宋体" w:cs="宋体"/>
                <w:color w:val="000000"/>
                <w:szCs w:val="21"/>
              </w:rPr>
              <w:t xml:space="preserve">、配置≥4光口;</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8、配置≥4口10GE/25GE光口；</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9、配置≥8 口200GE RoCE 高速光接口；</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10、按需配置 200GE 多模光模块（QSFP56 SR4，850nm）；</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11、配置10G 多模光模块（850nm，传输距离 300m，LC 接口）；</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12、配套对应多模 MPO 光纤跳线，满足设备互联需求；</w:t>
            </w:r>
            <w:r/>
          </w:p>
          <w:p>
            <w:pPr>
              <w:jc w:val="left"/>
              <w:spacing w:line="276" w:lineRule="auto"/>
              <w:widowControl/>
              <w:rPr>
                <w:rFonts w:hint="eastAsia" w:ascii="新宋体" w:hAnsi="新宋体" w:eastAsia="新宋体" w:cs="宋体"/>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13、电源：配置≥4个2600W冗余电源模块；</w:t>
            </w:r>
            <w:r/>
          </w:p>
          <w:p>
            <w:pPr>
              <w:jc w:val="left"/>
              <w:spacing w:line="276" w:lineRule="auto"/>
              <w:widowControl/>
              <w:rPr>
                <w:rFonts w:hint="eastAsia" w:ascii="新宋体" w:hAnsi="新宋体" w:eastAsia="新宋体" w:cs="宋体"/>
                <w:color w:val="000000"/>
                <w:szCs w:val="21"/>
              </w:rPr>
            </w:pPr>
            <w:r>
              <w:rPr>
                <w:rFonts w:hint="eastAsia" w:ascii="新宋体" w:hAnsi="新宋体" w:eastAsia="新宋体" w:cs="宋体"/>
                <w:color w:val="000000"/>
                <w:szCs w:val="21"/>
              </w:rPr>
              <w:t xml:space="preserve">14、服务:服务期间提供质保服务，保障设备安全稳定运行，并提供设备上架等安装部署服务；</w:t>
            </w:r>
            <w:r/>
          </w:p>
          <w:p>
            <w:pPr>
              <w:jc w:val="left"/>
              <w:spacing w:line="276" w:lineRule="auto"/>
              <w:widowControl/>
              <w:rPr>
                <w:rFonts w:hint="eastAsia" w:ascii="新宋体" w:hAnsi="新宋体" w:eastAsia="新宋体" w:cs="宋体"/>
                <w:b/>
                <w:bCs/>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15、</w:t>
            </w:r>
            <w:r>
              <w:t xml:space="preserve">为保障项目货源供应，投标人承诺</w:t>
            </w:r>
            <w:r>
              <w:rPr>
                <w:rFonts w:hint="eastAsia" w:ascii="新宋体" w:hAnsi="新宋体" w:eastAsia="新宋体" w:cs="宋体"/>
                <w:color w:val="000000"/>
                <w:szCs w:val="21"/>
              </w:rPr>
              <w:t xml:space="preserve">在签订合同前针对本项目提供</w:t>
            </w:r>
            <w:r>
              <w:rPr>
                <w:rFonts w:hint="eastAsia" w:ascii="新宋体" w:hAnsi="新宋体" w:eastAsia="新宋体" w:cs="宋体"/>
                <w:color w:val="000000"/>
                <w:szCs w:val="21"/>
                <w:lang w:val="en-US" w:eastAsia="zh-CN"/>
              </w:rPr>
              <w:t xml:space="preserve">加盖</w:t>
            </w:r>
            <w:r>
              <w:rPr>
                <w:rFonts w:hint="eastAsia" w:ascii="新宋体" w:hAnsi="新宋体" w:eastAsia="新宋体" w:cs="宋体"/>
                <w:color w:val="000000"/>
                <w:szCs w:val="21"/>
              </w:rPr>
              <w:t xml:space="preserve">本次所投服务器厂商以及AI芯片厂商</w:t>
            </w:r>
            <w:r>
              <w:rPr>
                <w:rFonts w:hint="eastAsia" w:ascii="新宋体" w:hAnsi="新宋体" w:eastAsia="新宋体" w:cs="宋体"/>
                <w:color w:val="000000"/>
                <w:szCs w:val="21"/>
                <w:lang w:val="en-US" w:eastAsia="zh-CN"/>
              </w:rPr>
              <w:t xml:space="preserve">公章</w:t>
            </w:r>
            <w:r>
              <w:rPr>
                <w:rFonts w:hint="eastAsia" w:ascii="新宋体" w:hAnsi="新宋体" w:eastAsia="新宋体" w:cs="宋体"/>
                <w:color w:val="000000"/>
                <w:szCs w:val="21"/>
              </w:rPr>
              <w:t xml:space="preserve">的供应保障承诺函。</w:t>
            </w:r>
            <w:r>
              <w:rPr>
                <w:rFonts w:hint="eastAsia" w:ascii="新宋体" w:hAnsi="新宋体" w:eastAsia="新宋体" w:cs="宋体"/>
                <w:b/>
                <w:bCs/>
                <w:color w:val="000000"/>
                <w:szCs w:val="21"/>
              </w:rPr>
              <w:t xml:space="preserve">（投标文件中提供承诺函并加盖投标人公章）</w:t>
            </w:r>
            <w:r/>
          </w:p>
          <w:p>
            <w:pPr>
              <w:jc w:val="left"/>
              <w:spacing w:line="276" w:lineRule="auto"/>
              <w:widowControl/>
              <w:rPr>
                <w:rFonts w:hint="eastAsia" w:ascii="新宋体" w:hAnsi="新宋体" w:eastAsia="新宋体" w:cs="宋体"/>
                <w:b/>
                <w:bCs/>
                <w:color w:val="000000"/>
                <w:szCs w:val="21"/>
              </w:rPr>
            </w:pPr>
            <w:r>
              <w:rPr>
                <w:rFonts w:hint="eastAsia" w:ascii="宋体" w:hAnsi="宋体"/>
                <w:b/>
                <w:bCs/>
                <w:color w:val="000000"/>
                <w:szCs w:val="21"/>
              </w:rPr>
              <w:t xml:space="preserve">▲</w:t>
            </w:r>
            <w:r>
              <w:rPr>
                <w:rFonts w:hint="eastAsia" w:ascii="新宋体" w:hAnsi="新宋体" w:eastAsia="新宋体" w:cs="宋体"/>
                <w:color w:val="000000"/>
                <w:szCs w:val="21"/>
              </w:rPr>
              <w:t xml:space="preserve">16、投标人承诺：根据招标人要求按需灵活接入电子政务外网或互联网，能够与在用的算力资源互补，能够与我市政务云业务联通。结合现有安全设备做好网络规划，保障算力服务器接入和使用安全。安全管理需符合我省、市的电子政务外网、政务云相关管理办法。</w:t>
            </w:r>
            <w:r>
              <w:rPr>
                <w:rFonts w:hint="eastAsia" w:ascii="新宋体" w:hAnsi="新宋体" w:eastAsia="新宋体" w:cs="宋体"/>
                <w:b/>
                <w:bCs/>
                <w:color w:val="000000"/>
                <w:szCs w:val="21"/>
              </w:rPr>
              <w:t xml:space="preserve">（投标文件中提供承诺函并加盖投标人公章）</w:t>
            </w:r>
            <w:r/>
          </w:p>
          <w:p>
            <w:pPr>
              <w:jc w:val="left"/>
              <w:spacing w:line="276" w:lineRule="auto"/>
              <w:widowControl/>
              <w:rPr>
                <w:rFonts w:hint="eastAsia" w:ascii="新宋体" w:hAnsi="新宋体" w:eastAsia="新宋体" w:cs="宋体"/>
                <w:b/>
                <w:bCs/>
                <w:color w:val="000000"/>
                <w:szCs w:val="21"/>
                <w:highlight w:val="none"/>
              </w:rPr>
            </w:pPr>
            <w:r>
              <w:rPr>
                <w:rFonts w:hint="eastAsia" w:ascii="新宋体" w:hAnsi="新宋体" w:eastAsia="新宋体" w:cs="宋体"/>
                <w:i/>
                <w:iCs/>
                <w:color w:val="000000"/>
                <w:szCs w:val="21"/>
                <w:highlight w:val="none"/>
                <w:u w:val="single"/>
              </w:rPr>
              <w:t xml:space="preserve">17、</w:t>
            </w:r>
            <w:r>
              <w:rPr>
                <w:rFonts w:hint="eastAsia" w:ascii="新宋体" w:hAnsi="新宋体" w:eastAsia="新宋体" w:cs="宋体"/>
                <w:i/>
                <w:iCs/>
                <w:color w:val="000000"/>
                <w:szCs w:val="21"/>
                <w:highlight w:val="none"/>
                <w:u w:val="single"/>
                <w:lang w:val="en-US" w:eastAsia="zh-CN"/>
              </w:rPr>
              <w:t xml:space="preserve">投标人承诺：</w:t>
            </w:r>
            <w:r>
              <w:rPr>
                <w:rFonts w:hint="eastAsia" w:ascii="新宋体" w:hAnsi="新宋体" w:eastAsia="新宋体" w:cs="宋体"/>
                <w:i/>
                <w:iCs/>
                <w:color w:val="000000"/>
                <w:szCs w:val="21"/>
                <w:highlight w:val="none"/>
                <w:u w:val="single"/>
              </w:rPr>
              <w:t xml:space="preserve">服务期间，产生的电费、运维费、线路费等费用，包含在</w:t>
            </w:r>
            <w:r>
              <w:rPr>
                <w:rFonts w:hint="eastAsia" w:ascii="新宋体" w:hAnsi="新宋体" w:eastAsia="新宋体" w:cs="宋体"/>
                <w:i/>
                <w:iCs/>
                <w:color w:val="000000"/>
                <w:szCs w:val="21"/>
                <w:highlight w:val="none"/>
                <w:u w:val="single"/>
                <w:lang w:val="en-US" w:eastAsia="zh-CN"/>
              </w:rPr>
              <w:t xml:space="preserve">预算范围内</w:t>
            </w:r>
            <w:r>
              <w:rPr>
                <w:rFonts w:hint="eastAsia" w:ascii="新宋体" w:hAnsi="新宋体" w:eastAsia="新宋体" w:cs="宋体"/>
                <w:i/>
                <w:iCs/>
                <w:color w:val="000000"/>
                <w:szCs w:val="21"/>
                <w:highlight w:val="none"/>
                <w:u w:val="single"/>
              </w:rPr>
              <w:t xml:space="preserve">，</w:t>
            </w:r>
            <w:r>
              <w:rPr>
                <w:rFonts w:hint="eastAsia" w:ascii="新宋体" w:hAnsi="新宋体" w:eastAsia="新宋体" w:cs="宋体"/>
                <w:i/>
                <w:iCs/>
                <w:color w:val="000000"/>
                <w:szCs w:val="21"/>
                <w:highlight w:val="none"/>
                <w:u w:val="single"/>
                <w:lang w:val="en-US" w:eastAsia="zh-CN"/>
              </w:rPr>
              <w:t xml:space="preserve">采购人</w:t>
            </w:r>
            <w:r>
              <w:rPr>
                <w:rFonts w:hint="eastAsia" w:ascii="新宋体" w:hAnsi="新宋体" w:eastAsia="新宋体" w:cs="宋体"/>
                <w:i/>
                <w:iCs/>
                <w:color w:val="000000"/>
                <w:szCs w:val="21"/>
                <w:highlight w:val="none"/>
                <w:u w:val="single"/>
              </w:rPr>
              <w:t xml:space="preserve">不再另行计算支付。</w:t>
            </w:r>
            <w:r>
              <w:rPr>
                <w:rFonts w:hint="eastAsia" w:ascii="新宋体" w:hAnsi="新宋体" w:eastAsia="新宋体" w:cs="宋体"/>
                <w:b/>
                <w:bCs/>
                <w:i/>
                <w:iCs/>
                <w:color w:val="000000"/>
                <w:szCs w:val="21"/>
                <w:highlight w:val="none"/>
                <w:u w:val="single"/>
              </w:rPr>
              <w:t xml:space="preserve">（投标文件中提供承诺函并加盖投标人公章）</w:t>
            </w:r>
            <w:r/>
          </w:p>
          <w:p>
            <w:pPr>
              <w:jc w:val="left"/>
              <w:spacing w:line="276" w:lineRule="auto"/>
              <w:widowControl/>
              <w:rPr>
                <w:rFonts w:hint="eastAsia" w:ascii="新宋体" w:hAnsi="新宋体" w:eastAsia="新宋体" w:cs="宋体"/>
                <w:b/>
                <w:bCs/>
                <w:i/>
                <w:iCs/>
                <w:color w:val="000000"/>
                <w:szCs w:val="21"/>
                <w:u w:val="single"/>
              </w:rPr>
            </w:pPr>
            <w:r>
              <w:rPr>
                <w:rFonts w:hint="eastAsia" w:ascii="新宋体" w:hAnsi="新宋体" w:eastAsia="新宋体" w:cs="宋体"/>
                <w:color w:val="000000"/>
                <w:szCs w:val="21"/>
              </w:rPr>
              <w:t xml:space="preserve">18、服务期间，因供应商原因导致采购人服务中断，供应商应提供同类算力资源协助及时恢复采业务。因供应商原因导致采购人服务中断，每中断1次（单次中断时间超过1小时）扣除合同金额的千分之一；服务期间累计中断超过10次（不限制单次中断时间长度）的，采购人有权单方面终止服务，已发生的服务按天数占应服务天数的比例支付。 </w:t>
            </w:r>
            <w:r/>
          </w:p>
        </w:tc>
      </w:tr>
    </w:tbl>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p>
    <w:p>
      <w:pPr>
        <w:ind w:firstLine="480"/>
        <w:spacing w:line="360" w:lineRule="auto"/>
        <w:rPr>
          <w:rFonts w:hint="eastAsia"/>
          <w:sz w:val="24"/>
        </w:rPr>
      </w:pPr>
      <w:r>
        <w:rPr>
          <w:rFonts w:hint="eastAsia"/>
          <w:sz w:val="24"/>
        </w:rPr>
        <w:t xml:space="preserve">本项目最低配备服务人员不少于3人，包含项目负责人（项目经理）1名，项目组成员（项目技术人员）不少于2人。</w:t>
      </w:r>
      <w:r/>
    </w:p>
    <w:p>
      <w:pPr>
        <w:ind w:firstLine="480"/>
        <w:spacing w:line="360" w:lineRule="auto"/>
        <w:rPr>
          <w:rFonts w:hint="eastAsia"/>
          <w:sz w:val="24"/>
        </w:rPr>
      </w:pPr>
      <w:r>
        <w:rPr>
          <w:rFonts w:hint="eastAsia"/>
          <w:sz w:val="24"/>
        </w:rPr>
        <w:t xml:space="preserve">1、项目负责人职责：负责整个项目的计划、组织、指导和控制。确保项目按时、按质量完成，并与客户保持沟通，解决项目过程中的问题，从项目架构、技术要求和实施方法论上指导项目实施。</w:t>
      </w:r>
      <w:r/>
    </w:p>
    <w:p>
      <w:pPr>
        <w:ind w:firstLine="480"/>
        <w:spacing w:line="360" w:lineRule="auto"/>
        <w:rPr>
          <w:rFonts w:hint="eastAsia"/>
          <w:sz w:val="24"/>
        </w:rPr>
      </w:pPr>
      <w:r>
        <w:rPr>
          <w:rFonts w:hint="eastAsia"/>
          <w:sz w:val="24"/>
        </w:rPr>
        <w:t xml:space="preserve">2、技术人员职责：制定进度计划，控制项目质量，完成分析和实施工作。负责项目的设计规划和安装、调试、集成，保证系统运行安全，负责在试运行期间调试和优化，保证系统顺利上线。</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p>
    <w:p>
      <w:pPr>
        <w:ind w:firstLine="480"/>
        <w:spacing w:line="360" w:lineRule="auto"/>
        <w:rPr>
          <w:rFonts w:ascii="新宋体" w:hAnsi="新宋体" w:eastAsia="新宋体" w:cs="宋体"/>
          <w:b/>
          <w:bCs/>
          <w:i/>
          <w:iCs/>
          <w:sz w:val="24"/>
          <w:szCs w:val="24"/>
          <w:highlight w:val="yellow"/>
          <w:u w:val="single"/>
          <w:lang w:val="zh-CN"/>
        </w:rPr>
      </w:pPr>
      <w:r>
        <w:rPr>
          <w:rFonts w:hint="eastAsia" w:ascii="新宋体" w:hAnsi="新宋体" w:eastAsia="新宋体" w:cs="宋体"/>
          <w:b/>
          <w:bCs/>
          <w:i/>
          <w:iCs/>
          <w:sz w:val="24"/>
          <w:szCs w:val="24"/>
          <w:highlight w:val="yellow"/>
          <w:u w:val="single"/>
          <w:lang w:val="zh-CN" w:bidi="ar"/>
        </w:rPr>
        <w:t xml:space="preserve">合同签订后45天内完成租赁设备软硬件的安装调试要求，并通过验收，验收通过后提供</w:t>
      </w:r>
      <w:r>
        <w:rPr>
          <w:rFonts w:hint="eastAsia" w:ascii="新宋体" w:hAnsi="新宋体" w:eastAsia="新宋体" w:cs="宋体"/>
          <w:b/>
          <w:bCs/>
          <w:i/>
          <w:iCs/>
          <w:sz w:val="24"/>
          <w:szCs w:val="24"/>
          <w:highlight w:val="yellow"/>
          <w:u w:val="single"/>
          <w:lang w:bidi="ar"/>
        </w:rPr>
        <w:t xml:space="preserve">3</w:t>
      </w:r>
      <w:r>
        <w:rPr>
          <w:rFonts w:hint="eastAsia" w:ascii="新宋体" w:hAnsi="新宋体" w:eastAsia="新宋体" w:cs="宋体"/>
          <w:b/>
          <w:bCs/>
          <w:i/>
          <w:iCs/>
          <w:sz w:val="24"/>
          <w:szCs w:val="24"/>
          <w:highlight w:val="yellow"/>
          <w:u w:val="single"/>
          <w:lang w:val="zh-CN" w:bidi="ar"/>
        </w:rPr>
        <w:t xml:space="preserve">年算力服务。</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p>
    <w:p>
      <w:pPr>
        <w:ind w:firstLine="480"/>
        <w:spacing w:line="360" w:lineRule="auto"/>
        <w:rPr>
          <w:rFonts w:hint="eastAsia"/>
          <w:sz w:val="24"/>
        </w:rPr>
      </w:pPr>
      <w:r>
        <w:rPr>
          <w:rFonts w:hint="eastAsia"/>
          <w:sz w:val="24"/>
        </w:rPr>
        <w:t xml:space="preserve">本项目整体服务需严格遵循规范化、标准化、安全化实施准则，全面覆盖项目实施全流程、技术落地、质量管控、进度管理、风险防控、后期运维及合规管理等各项要求，具体服务标准如下：</w:t>
      </w:r>
      <w:r/>
    </w:p>
    <w:p>
      <w:pPr>
        <w:ind w:firstLine="480"/>
        <w:spacing w:line="360" w:lineRule="auto"/>
        <w:rPr>
          <w:rFonts w:hint="eastAsia"/>
          <w:sz w:val="24"/>
        </w:rPr>
      </w:pPr>
      <w:r>
        <w:rPr>
          <w:rFonts w:hint="eastAsia"/>
          <w:sz w:val="24"/>
          <w:lang w:val="en-US" w:eastAsia="zh-CN"/>
        </w:rPr>
        <w:t xml:space="preserve">1、</w:t>
      </w:r>
      <w:r>
        <w:rPr>
          <w:rFonts w:hint="eastAsia"/>
          <w:sz w:val="24"/>
        </w:rPr>
        <w:t xml:space="preserve">项目实施管理标准：投标人需充分理解本项目背景、现状及核心需求，确保平台功能设计完全贴合项目实际需求。项目全程落实科学化、合理化、可操作化的管理机制，建立健全项目管理运行体系，编制完整的项目实施方案，明确实施环境、人员组成、质量保证体系、进度安排、风险预防与管控措施、突发事件处置方案，细化各工作环节时间节点，保障项目有序落地。</w:t>
      </w:r>
      <w:r/>
    </w:p>
    <w:p>
      <w:pPr>
        <w:ind w:firstLine="480"/>
        <w:spacing w:line="360" w:lineRule="auto"/>
        <w:rPr>
          <w:rFonts w:hint="eastAsia"/>
          <w:sz w:val="24"/>
        </w:rPr>
      </w:pPr>
      <w:r>
        <w:rPr>
          <w:rFonts w:hint="eastAsia"/>
          <w:sz w:val="24"/>
          <w:lang w:val="en-US" w:eastAsia="zh-CN"/>
        </w:rPr>
        <w:t xml:space="preserve">2、</w:t>
      </w:r>
      <w:r>
        <w:rPr>
          <w:rFonts w:hint="eastAsia"/>
          <w:sz w:val="24"/>
        </w:rPr>
        <w:t xml:space="preserve">技术落地与现场施工标准：设备进场前，中标供应商须提交专业详尽的项目技术方案，包含网络规划、落地实施方案、系统优化方案，同时明确项目实施全过程的节点控制、质量管控及现场管理规范。设备安装、调试期间，必须全力保障原有业务连续性，若出现非计划内业务中断事故，由中标供应商承担全部对应责任。</w:t>
      </w:r>
      <w:r/>
    </w:p>
    <w:p>
      <w:pPr>
        <w:ind w:firstLine="480"/>
        <w:spacing w:line="360" w:lineRule="auto"/>
        <w:rPr>
          <w:rFonts w:hint="eastAsia"/>
          <w:sz w:val="24"/>
        </w:rPr>
      </w:pPr>
      <w:r>
        <w:rPr>
          <w:rFonts w:hint="eastAsia"/>
          <w:sz w:val="24"/>
          <w:lang w:val="en-US" w:eastAsia="zh-CN"/>
        </w:rPr>
        <w:t xml:space="preserve">3、</w:t>
      </w:r>
      <w:r>
        <w:rPr>
          <w:rFonts w:hint="eastAsia"/>
          <w:sz w:val="24"/>
        </w:rPr>
        <w:t xml:space="preserve">数据安全与资料交付标准：项目实施全过程严格恪守数据保密性、安全性、可靠性要求，所有数据操作全程留痕、可追溯，实现规范化管控。同时需严格按照采购人要求，完整交付涵盖AI平台软硬件在内的全套项目技术文档，确保资料齐全、规范、可用。</w:t>
      </w:r>
      <w:r/>
    </w:p>
    <w:p>
      <w:pPr>
        <w:ind w:firstLine="480"/>
        <w:spacing w:line="360" w:lineRule="auto"/>
        <w:rPr>
          <w:rFonts w:hint="eastAsia"/>
          <w:sz w:val="24"/>
        </w:rPr>
      </w:pPr>
      <w:r>
        <w:rPr>
          <w:rFonts w:hint="eastAsia"/>
          <w:sz w:val="24"/>
          <w:lang w:val="en-US" w:eastAsia="zh-CN"/>
        </w:rPr>
        <w:t xml:space="preserve">4、</w:t>
      </w:r>
      <w:r>
        <w:rPr>
          <w:rFonts w:hint="eastAsia"/>
          <w:sz w:val="24"/>
        </w:rPr>
        <w:t xml:space="preserve">入场合规管理标准：中标供应商正式入场开展项目工作前，必须配合采购人完成企业资质、从业人员资质的全面核验工作。若核验过程中发现存在虚假应标等违规情形，采购人有权向相关部门上报，并依法追究中标供应商的相关责任。</w:t>
      </w:r>
      <w:r/>
    </w:p>
    <w:p>
      <w:pPr>
        <w:ind w:firstLine="480"/>
        <w:spacing w:line="360" w:lineRule="auto"/>
        <w:rPr>
          <w:rFonts w:hint="eastAsia" w:eastAsia="宋体"/>
          <w:sz w:val="24"/>
          <w:lang w:val="en-US" w:eastAsia="zh-CN"/>
        </w:rPr>
      </w:pPr>
      <w:r>
        <w:rPr>
          <w:rFonts w:hint="eastAsia"/>
          <w:sz w:val="24"/>
          <w:lang w:val="en-US" w:eastAsia="zh-CN"/>
        </w:rPr>
        <w:t xml:space="preserve">5、</w:t>
      </w:r>
      <w:r>
        <w:rPr>
          <w:rFonts w:hint="eastAsia"/>
          <w:sz w:val="24"/>
        </w:rPr>
        <w:t xml:space="preserve">运维巡检服务标准：项目交付后，中标供应商需提供常态化系统运维巡检服务，定期开展远程巡检工作，全面核查系统运行状态、故障报警情况、设备使用状况，主动排查各类软件故障，及时协调、处置系统问题，并定期向采购人汇报系统运维整体情况</w:t>
      </w:r>
      <w:r>
        <w:rPr>
          <w:rFonts w:hint="eastAsia"/>
          <w:sz w:val="24"/>
          <w:lang w:eastAsia="zh-CN"/>
        </w:rPr>
        <w:t xml:space="preserve">。</w:t>
      </w:r>
      <w:r/>
    </w:p>
    <w:p>
      <w:pPr>
        <w:ind w:firstLine="480"/>
        <w:spacing w:line="360" w:lineRule="auto"/>
        <w:rPr>
          <w:rFonts w:hint="eastAsia"/>
          <w:sz w:val="24"/>
        </w:rPr>
      </w:pPr>
      <w:r>
        <w:rPr>
          <w:rFonts w:hint="eastAsia"/>
          <w:sz w:val="24"/>
          <w:lang w:val="en-US" w:eastAsia="zh-CN"/>
        </w:rPr>
        <w:t xml:space="preserve">6、</w:t>
      </w:r>
      <w:r>
        <w:rPr>
          <w:rFonts w:hint="eastAsia"/>
          <w:sz w:val="24"/>
        </w:rPr>
        <w:t xml:space="preserve">安全保障服务标准：中标供应商需具备完善的系统平台数据安全管理与保障能力，针对本项目系统平台制定系统性、全方位的数据安全解决方案，提供常态化、专业化的安全保障服务，全面守护项目系统运行及数据安全。</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p>
    <w:p>
      <w:pPr>
        <w:ind w:firstLine="480"/>
        <w:spacing w:line="360" w:lineRule="auto"/>
        <w:rPr>
          <w:rFonts w:hint="eastAsia"/>
          <w:sz w:val="24"/>
        </w:rPr>
      </w:pPr>
      <w:r>
        <w:rPr>
          <w:rFonts w:hint="eastAsia"/>
          <w:sz w:val="24"/>
        </w:rPr>
        <w:t xml:space="preserve">1、培训内容及目的：对采购人单位相关使用人员进行全面的技术培训，主要内容侧重于系统的使用及系统的基本维护、常见问题及解决办法等，保证使用人员能独立进行日常维护管理和简易故障处理等工作，以便所使用的软件产品能够正常、安全地运行。 </w:t>
      </w:r>
      <w:r/>
    </w:p>
    <w:p>
      <w:pPr>
        <w:ind w:firstLine="480"/>
        <w:spacing w:line="360" w:lineRule="auto"/>
        <w:rPr>
          <w:rFonts w:hint="eastAsia"/>
          <w:sz w:val="24"/>
        </w:rPr>
      </w:pPr>
      <w:r>
        <w:rPr>
          <w:rFonts w:hint="eastAsia"/>
          <w:sz w:val="24"/>
        </w:rPr>
        <w:t xml:space="preserve">2、培训对象：为系统管理员和系统使用人员，中标人需提供培训教材，并提供理论与实操相结合的多样化培训方式。采购人负责对培训质量的监控，并有权对培训内容提出改正意见。</w:t>
      </w:r>
      <w:r/>
    </w:p>
    <w:p>
      <w:pPr>
        <w:ind w:firstLine="480"/>
        <w:spacing w:line="360" w:lineRule="auto"/>
        <w:rPr>
          <w:sz w:val="24"/>
        </w:rPr>
      </w:pPr>
      <w:r>
        <w:rPr>
          <w:rFonts w:hint="eastAsia"/>
          <w:sz w:val="24"/>
        </w:rPr>
        <w:t xml:space="preserve">3、培训方式：培训方式采用集中培训、现场培训相结合的方式，针对不同层次的人员，开设不同的培训课程和确定培训方式。</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七、履约验收</w:t>
      </w:r>
      <w:r/>
    </w:p>
    <w:p>
      <w:pPr>
        <w:ind w:firstLine="480"/>
        <w:spacing w:line="360" w:lineRule="auto"/>
        <w:rPr>
          <w:rFonts w:hint="eastAsia"/>
          <w:sz w:val="24"/>
        </w:rPr>
      </w:pPr>
      <w:r>
        <w:rPr>
          <w:rFonts w:hint="eastAsia"/>
          <w:sz w:val="24"/>
        </w:rPr>
        <w:t xml:space="preserve">1、服务期完成，招标人对中标人提交的产品或服务依据招标文件上的项目需求要求、中标人响应文件及国家有关质量标准进行验收。</w:t>
      </w:r>
      <w:r/>
    </w:p>
    <w:p>
      <w:pPr>
        <w:ind w:firstLine="480"/>
        <w:spacing w:line="360" w:lineRule="auto"/>
        <w:rPr>
          <w:rFonts w:hint="eastAsia"/>
          <w:sz w:val="24"/>
        </w:rPr>
      </w:pPr>
      <w:r>
        <w:rPr>
          <w:rFonts w:hint="eastAsia"/>
          <w:sz w:val="24"/>
        </w:rPr>
        <w:t xml:space="preserve">2、中标人交付前应对产品或服务做出全面检查和对验收文件进行整理，并列出清单，作为采购人验收和使用的技术条件依据，检验的结果应随服务一起提交甲方。</w:t>
      </w:r>
      <w:r/>
    </w:p>
    <w:p>
      <w:pPr>
        <w:ind w:firstLine="480"/>
        <w:spacing w:line="360" w:lineRule="auto"/>
        <w:rPr>
          <w:rFonts w:hint="eastAsia"/>
          <w:sz w:val="24"/>
        </w:rPr>
      </w:pPr>
      <w:r>
        <w:rPr>
          <w:rFonts w:hint="eastAsia"/>
          <w:sz w:val="24"/>
        </w:rPr>
        <w:t xml:space="preserve">3、招标人对中标人提供的产品或服务在使用前，中标人需负责培训采购人的使用操作人员，并协助甲方一起试用，直到符合技术要求，采购人才做最终验收。</w:t>
      </w:r>
      <w:r/>
    </w:p>
    <w:p>
      <w:pPr>
        <w:ind w:firstLine="480"/>
        <w:spacing w:line="360" w:lineRule="auto"/>
        <w:rPr>
          <w:rFonts w:hint="eastAsia"/>
          <w:sz w:val="24"/>
        </w:rPr>
      </w:pPr>
      <w:r>
        <w:rPr>
          <w:rFonts w:hint="eastAsia"/>
          <w:sz w:val="24"/>
        </w:rPr>
        <w:t xml:space="preserve">4、招标人可请系统使用人员或组织业内专家进行项目验收，并出具验收报告。</w:t>
      </w:r>
      <w:r/>
    </w:p>
    <w:p>
      <w:pPr>
        <w:ind w:firstLine="480"/>
        <w:spacing w:line="360" w:lineRule="auto"/>
        <w:rPr>
          <w:rFonts w:hint="eastAsia"/>
          <w:sz w:val="24"/>
          <w:highlight w:val="yellow"/>
        </w:rPr>
      </w:pPr>
      <w:r>
        <w:rPr>
          <w:rFonts w:hint="eastAsia"/>
          <w:sz w:val="24"/>
        </w:rPr>
        <w:t xml:space="preserve">5、验收时中标人必须在现场，验收完毕后作出验收结果报告；招标文件规定以外的验收费用由招标人及中标人双方协商解决。</w:t>
      </w:r>
      <w:r/>
    </w:p>
    <w:p>
      <w:pPr>
        <w:ind w:firstLine="562"/>
        <w:spacing w:line="360" w:lineRule="auto"/>
        <w:rPr>
          <w:rFonts w:ascii="Times New Roman" w:hAnsi="Times New Roman"/>
          <w:b/>
          <w:sz w:val="28"/>
          <w:szCs w:val="28"/>
        </w:rPr>
      </w:pPr>
      <w:r/>
      <w:bookmarkStart w:id="4" w:name="_Toc155796360"/>
      <w:r>
        <w:rPr>
          <w:rFonts w:hint="eastAsia" w:ascii="Times New Roman" w:hAnsi="Times New Roman"/>
          <w:b/>
          <w:sz w:val="28"/>
          <w:szCs w:val="28"/>
        </w:rPr>
        <w:t xml:space="preserve">八、付款方式与履约保证金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1、付款方式</w:t>
      </w:r>
      <w:r/>
    </w:p>
    <w:p>
      <w:pPr>
        <w:ind w:firstLine="480"/>
        <w:jc w:val="left"/>
        <w:spacing w:line="360" w:lineRule="auto"/>
        <w:rPr>
          <w:rFonts w:ascii="新宋体" w:hAnsi="新宋体" w:eastAsia="新宋体" w:cs="宋体"/>
          <w:b w:val="0"/>
          <w:bCs w:val="0"/>
          <w:i/>
          <w:iCs/>
          <w:sz w:val="24"/>
          <w:szCs w:val="24"/>
          <w:highlight w:val="none"/>
          <w:u w:val="single"/>
          <w:lang w:val="en-US" w:eastAsia="zh-CN" w:bidi="ar"/>
        </w:rPr>
      </w:pPr>
      <w:r>
        <w:rPr>
          <w:rFonts w:hint="eastAsia" w:ascii="新宋体" w:hAnsi="新宋体" w:eastAsia="新宋体" w:cs="宋体"/>
          <w:b w:val="0"/>
          <w:bCs w:val="0"/>
          <w:i/>
          <w:iCs/>
          <w:sz w:val="24"/>
          <w:szCs w:val="24"/>
          <w:highlight w:val="none"/>
          <w:u w:val="single"/>
          <w:lang w:val="zh-CN" w:bidi="ar"/>
        </w:rPr>
        <w:t xml:space="preserve">项目安装调试验收合格后，支付合同总金额的三分之一；第一年度算力服务验收合格后，支付合同总金额的三分之一；第二年度算力服务验收合格后，支付合同总金额的三分之一；第三年度算力服务仅做履约验收，不再支付合同款项。乙方须在每期付款前提供合法有效的正式发票，否则甲方有权顺延付款，且不承担逾期付款违约责任。</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pPr>
      <w:r>
        <w:rPr>
          <w:rFonts w:hint="eastAsia" w:ascii="宋体" w:hAnsi="宋体"/>
          <w:sz w:val="24"/>
          <w:szCs w:val="24"/>
        </w:rPr>
        <w:t xml:space="preserve">本项目不收取履约保证金。</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九、报价要求</w:t>
      </w:r>
      <w:r/>
    </w:p>
    <w:p>
      <w:pPr>
        <w:ind w:firstLine="480"/>
        <w:spacing w:line="360" w:lineRule="auto"/>
        <w:rPr>
          <w:rFonts w:hint="eastAsia"/>
          <w:sz w:val="24"/>
        </w:rPr>
      </w:pPr>
      <w:r>
        <w:rPr>
          <w:rFonts w:hint="eastAsia"/>
          <w:sz w:val="24"/>
        </w:rPr>
        <w:t xml:space="preserve">1、报价币种为人民币，项目报价不得超过预算价。</w:t>
      </w:r>
      <w:r/>
    </w:p>
    <w:p>
      <w:pPr>
        <w:ind w:firstLine="480"/>
        <w:spacing w:line="360" w:lineRule="auto"/>
        <w:rPr>
          <w:rFonts w:hint="eastAsia"/>
          <w:sz w:val="24"/>
        </w:rPr>
      </w:pPr>
      <w:r>
        <w:rPr>
          <w:rFonts w:hint="eastAsia"/>
          <w:sz w:val="24"/>
        </w:rPr>
        <w:t xml:space="preserve">2、报价除标的物的价款外还应包括开发、安装、测试、验收、培训、人工费用、管理、质保、税费、利润、完成合同所需的工作开支，政策性文件规定及合同包含的所有风险、责任和管理等各项全部费用。合同履约期内不因国家提高最低工资标准、保险金比例等政策调整因素而调整合同价。</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847"/>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投标报价得分=（评标基准价／投标报价）×15分</w:t>
      </w:r>
      <w:r/>
    </w:p>
    <w:p>
      <w:pPr>
        <w:ind w:firstLine="480"/>
        <w:jc w:val="left"/>
        <w:spacing w:line="500" w:lineRule="exact"/>
        <w:rPr>
          <w:sz w:val="24"/>
          <w:szCs w:val="24"/>
        </w:rPr>
      </w:pPr>
      <w:r>
        <w:rPr>
          <w:rFonts w:hint="eastAsia"/>
          <w:sz w:val="24"/>
          <w:szCs w:val="24"/>
        </w:rPr>
        <w:t xml:space="preserve">（2）技术分（16分）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服务方案</w:t>
            </w:r>
            <w:r/>
          </w:p>
          <w:p>
            <w:pPr>
              <w:jc w:val="center"/>
              <w:spacing w:line="360" w:lineRule="auto"/>
              <w:widowControl/>
            </w:pPr>
            <w:r>
              <w:rPr>
                <w:rFonts w:hint="eastAsia" w:ascii="宋体" w:hAnsi="宋体" w:cs="宋体"/>
                <w:sz w:val="24"/>
                <w:szCs w:val="24"/>
              </w:rPr>
              <w:t xml:space="preserve">（8分）</w:t>
            </w:r>
            <w:r/>
          </w:p>
        </w:tc>
        <w:tc>
          <w:tcPr>
            <w:tcW w:w="6845" w:type="dxa"/>
            <w:vAlign w:val="center"/>
            <w:textDirection w:val="lrTb"/>
            <w:noWrap w:val="false"/>
          </w:tcPr>
          <w:p>
            <w:pPr>
              <w:jc w:val="left"/>
              <w:spacing w:line="360" w:lineRule="auto"/>
              <w:widowControl/>
              <w:rPr>
                <w:rFonts w:ascii="宋体" w:hAnsi="宋体" w:cs="新宋体"/>
                <w:color w:val="000000"/>
                <w:sz w:val="24"/>
                <w:szCs w:val="24"/>
              </w:rPr>
            </w:pPr>
            <w:r>
              <w:rPr>
                <w:rFonts w:hint="eastAsia" w:ascii="宋体" w:hAnsi="宋体" w:cs="新宋体"/>
                <w:color w:val="000000"/>
                <w:sz w:val="24"/>
                <w:szCs w:val="24"/>
              </w:rPr>
              <w:t xml:space="preserve">投标人根据项目需求提供服务方案，内容包括但不限于响应时间、故障解决、应急处理方案、专业技术人员保障等。</w:t>
            </w:r>
            <w:r/>
          </w:p>
          <w:p>
            <w:pPr>
              <w:jc w:val="left"/>
              <w:spacing w:line="360" w:lineRule="auto"/>
              <w:widowControl/>
              <w:rPr>
                <w:rFonts w:ascii="宋体" w:hAnsi="宋体" w:cs="新宋体"/>
                <w:color w:val="000000"/>
                <w:sz w:val="24"/>
                <w:szCs w:val="24"/>
              </w:rPr>
            </w:pPr>
            <w:r>
              <w:rPr>
                <w:rFonts w:hint="eastAsia" w:ascii="宋体" w:hAnsi="宋体" w:cs="新宋体"/>
                <w:color w:val="000000"/>
                <w:sz w:val="24"/>
                <w:szCs w:val="24"/>
              </w:rPr>
              <w:t xml:space="preserve">方案内容完整度高，充分响应故障解决时间，应急处理方案和技术保障能力完善度高，对项目需求满足度高的得8分；</w:t>
            </w:r>
            <w:r/>
          </w:p>
          <w:p>
            <w:pPr>
              <w:jc w:val="left"/>
              <w:spacing w:line="360" w:lineRule="auto"/>
              <w:widowControl/>
              <w:rPr>
                <w:rFonts w:ascii="宋体" w:hAnsi="宋体" w:cs="新宋体"/>
                <w:color w:val="000000"/>
                <w:sz w:val="24"/>
                <w:szCs w:val="24"/>
              </w:rPr>
            </w:pPr>
            <w:r>
              <w:rPr>
                <w:rFonts w:hint="eastAsia" w:ascii="宋体" w:hAnsi="宋体" w:cs="新宋体"/>
                <w:color w:val="000000"/>
                <w:sz w:val="24"/>
                <w:szCs w:val="24"/>
              </w:rPr>
              <w:t xml:space="preserve">方案内容完整度较高，基本能响应故障解决时间，应急处理方案和技术保障能力完善度较高，对项目需求满足度较高的得6分；</w:t>
            </w:r>
            <w:r/>
          </w:p>
          <w:p>
            <w:pPr>
              <w:pStyle w:val="857"/>
              <w:ind w:firstLine="480"/>
            </w:pPr>
            <w:r>
              <w:rPr>
                <w:rFonts w:hint="eastAsia" w:ascii="宋体" w:hAnsi="宋体" w:cs="新宋体"/>
                <w:color w:val="000000"/>
                <w:sz w:val="24"/>
              </w:rPr>
              <w:t xml:space="preserve">方案内容有较多缺项，内容简单粗糙，有对应措施但可实施性不强，基本能够满足项目需求的得4分；</w:t>
            </w:r>
            <w:r>
              <w:rPr>
                <w:rFonts w:hint="eastAsia" w:ascii="宋体" w:hAnsi="宋体" w:cs="新宋体"/>
                <w:color w:val="000000"/>
                <w:sz w:val="24"/>
              </w:rPr>
              <w:br w:type="textWrapping" w:clear="all"/>
            </w:r>
            <w:r>
              <w:rPr>
                <w:rFonts w:hint="eastAsia" w:ascii="宋体" w:hAnsi="宋体" w:cs="新宋体"/>
                <w:b/>
                <w:color w:val="000000"/>
                <w:sz w:val="24"/>
              </w:rPr>
              <w:t xml:space="preserve">该项未见阐述该项不得分。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培训方案</w:t>
            </w:r>
            <w:r/>
          </w:p>
          <w:p>
            <w:pPr>
              <w:jc w:val="center"/>
              <w:spacing w:line="360" w:lineRule="auto"/>
              <w:widowControl/>
            </w:pPr>
            <w:r>
              <w:rPr>
                <w:rFonts w:hint="eastAsia" w:ascii="宋体" w:hAnsi="宋体" w:cs="宋体"/>
                <w:sz w:val="24"/>
                <w:szCs w:val="24"/>
              </w:rPr>
              <w:t xml:space="preserve">（8分）</w:t>
            </w:r>
            <w:r/>
          </w:p>
        </w:tc>
        <w:tc>
          <w:tcPr>
            <w:tcW w:w="6845"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投标人根据项目需求提供培训方案，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技术培训方案内容详实，课程设置合理、可操作性强，培训方式多样化的得 8分；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技术培训方案内容较详实，课程设置较合理，可操作性较强，培训方式固定的得6分；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技术培训方案内容简单粗糙，课程设置及培训方式单一，可操作不强的得4分；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s="宋体"/>
                <w:b/>
                <w:color w:val="000000"/>
                <w:sz w:val="24"/>
                <w:szCs w:val="24"/>
              </w:rPr>
              <w:t xml:space="preserve">该项未见阐述不得分。</w:t>
            </w:r>
            <w:r/>
          </w:p>
        </w:tc>
      </w:tr>
    </w:tbl>
    <w:p>
      <w:pPr>
        <w:ind w:firstLine="480"/>
        <w:jc w:val="left"/>
        <w:spacing w:line="500" w:lineRule="exact"/>
        <w:rPr>
          <w:sz w:val="24"/>
          <w:szCs w:val="24"/>
        </w:rPr>
      </w:pPr>
      <w:r>
        <w:rPr>
          <w:rFonts w:hint="eastAsia"/>
          <w:sz w:val="24"/>
          <w:szCs w:val="24"/>
        </w:rPr>
        <w:t xml:space="preserve">（3）商务分（69分）</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技术</w:t>
            </w:r>
            <w:r>
              <w:rPr>
                <w:rFonts w:hint="eastAsia" w:ascii="宋体" w:hAnsi="宋体"/>
                <w:sz w:val="24"/>
                <w:szCs w:val="24"/>
              </w:rPr>
              <w:t xml:space="preserve">参数</w:t>
            </w:r>
            <w:r>
              <w:rPr>
                <w:rFonts w:ascii="宋体" w:hAnsi="宋体"/>
                <w:sz w:val="24"/>
                <w:szCs w:val="24"/>
              </w:rPr>
              <w:t xml:space="preserve">响应</w:t>
            </w:r>
            <w:r/>
          </w:p>
          <w:p>
            <w:pPr>
              <w:jc w:val="center"/>
              <w:spacing w:line="360" w:lineRule="auto"/>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分）</w:t>
            </w:r>
            <w:r/>
          </w:p>
        </w:tc>
        <w:tc>
          <w:tcPr>
            <w:tcW w:w="6845" w:type="dxa"/>
            <w:vAlign w:val="center"/>
            <w:textDirection w:val="lrTb"/>
            <w:noWrap w:val="false"/>
          </w:tcPr>
          <w:p>
            <w:pPr>
              <w:spacing w:line="360" w:lineRule="auto"/>
              <w:rPr>
                <w:rFonts w:ascii="宋体" w:hAnsi="宋体"/>
                <w:bCs/>
                <w:sz w:val="24"/>
                <w:szCs w:val="24"/>
                <w:lang w:val="zh-CN"/>
              </w:rPr>
            </w:pPr>
            <w:r>
              <w:rPr>
                <w:rFonts w:hint="eastAsia" w:ascii="宋体" w:hAnsi="宋体" w:cs="宋体"/>
                <w:sz w:val="24"/>
                <w:szCs w:val="24"/>
              </w:rPr>
              <w:t xml:space="preserve">本项技术参数响应基准分为3</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bCs/>
                <w:sz w:val="24"/>
                <w:szCs w:val="24"/>
                <w:lang w:val="zh-CN"/>
              </w:rPr>
              <w:t xml:space="preserve">标注“▲”项的功能指标及技术参数每有一项负偏离扣</w:t>
            </w:r>
            <w:r>
              <w:rPr>
                <w:rFonts w:hint="eastAsia" w:ascii="宋体" w:hAnsi="宋体"/>
                <w:bCs/>
                <w:sz w:val="24"/>
                <w:szCs w:val="24"/>
              </w:rPr>
              <w:t xml:space="preserve">3</w:t>
            </w:r>
            <w:r>
              <w:rPr>
                <w:rFonts w:hint="eastAsia" w:ascii="宋体" w:hAnsi="宋体"/>
                <w:bCs/>
                <w:sz w:val="24"/>
                <w:szCs w:val="24"/>
                <w:lang w:val="zh-CN"/>
              </w:rPr>
              <w:t xml:space="preserve">分，扣完为止。</w:t>
            </w:r>
            <w:r/>
          </w:p>
          <w:p>
            <w:pPr>
              <w:spacing w:line="360" w:lineRule="auto"/>
            </w:pPr>
            <w:r>
              <w:rPr>
                <w:rFonts w:hint="eastAsia" w:ascii="宋体" w:hAnsi="宋体" w:cs="宋体"/>
                <w:b/>
                <w:bCs/>
                <w:sz w:val="24"/>
                <w:szCs w:val="24"/>
              </w:rPr>
              <w:t xml:space="preserve">注：</w:t>
            </w:r>
            <w:r>
              <w:rPr>
                <w:rFonts w:hint="eastAsia" w:ascii="宋体" w:hAnsi="宋体"/>
                <w:b/>
                <w:bCs/>
                <w:sz w:val="24"/>
                <w:szCs w:val="24"/>
                <w:lang w:val="zh-CN"/>
              </w:rPr>
              <w:t xml:space="preserve">投标文件中详细填写技术要求响应及偏离表，须逐条响应。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660" w:type="dxa"/>
            <w:vAlign w:val="center"/>
            <w:textDirection w:val="lrTb"/>
            <w:noWrap w:val="false"/>
          </w:tcPr>
          <w:p>
            <w:pPr>
              <w:jc w:val="center"/>
              <w:spacing w:line="440" w:lineRule="atLeast"/>
              <w:rPr>
                <w:rFonts w:ascii="宋体" w:hAnsi="宋体" w:cs="宋体"/>
                <w:sz w:val="24"/>
                <w:szCs w:val="24"/>
              </w:rPr>
            </w:pPr>
            <w:r>
              <w:rPr>
                <w:rFonts w:hint="eastAsia" w:ascii="宋体" w:hAnsi="宋体" w:cs="宋体"/>
                <w:sz w:val="24"/>
                <w:szCs w:val="24"/>
              </w:rPr>
              <w:t xml:space="preserve">业绩</w:t>
            </w:r>
            <w:r/>
          </w:p>
          <w:p>
            <w:pPr>
              <w:jc w:val="center"/>
              <w:spacing w:line="440" w:lineRule="atLeast"/>
            </w:pPr>
            <w:r>
              <w:rPr>
                <w:rFonts w:hint="eastAsia" w:ascii="宋体" w:hAnsi="宋体" w:cs="宋体"/>
                <w:sz w:val="24"/>
                <w:szCs w:val="24"/>
              </w:rPr>
              <w:t xml:space="preserve">（16分）</w:t>
            </w:r>
            <w:r/>
          </w:p>
        </w:tc>
        <w:tc>
          <w:tcPr>
            <w:tcW w:w="6845" w:type="dxa"/>
            <w:vAlign w:val="center"/>
            <w:textDirection w:val="lrTb"/>
            <w:noWrap w:val="false"/>
          </w:tcPr>
          <w:p>
            <w:pPr>
              <w:jc w:val="left"/>
              <w:spacing w:line="440" w:lineRule="atLeast"/>
              <w:rPr>
                <w:rFonts w:ascii="宋体" w:hAnsi="宋体" w:cs="宋体"/>
                <w:color w:val="000000"/>
                <w:sz w:val="24"/>
                <w:szCs w:val="24"/>
              </w:rPr>
            </w:pPr>
            <w:r>
              <w:rPr>
                <w:rFonts w:hint="eastAsia" w:ascii="宋体" w:hAnsi="宋体" w:cs="宋体"/>
                <w:color w:val="000000"/>
                <w:sz w:val="24"/>
                <w:szCs w:val="24"/>
              </w:rPr>
              <w:t xml:space="preserve">投标人</w:t>
            </w:r>
            <w:r>
              <w:rPr>
                <w:rFonts w:hint="eastAsia" w:ascii="宋体"/>
                <w:sz w:val="24"/>
                <w:szCs w:val="24"/>
              </w:rPr>
              <w:t xml:space="preserve">自202</w:t>
            </w:r>
            <w:r>
              <w:rPr>
                <w:rFonts w:ascii="宋体"/>
                <w:sz w:val="24"/>
                <w:szCs w:val="24"/>
              </w:rPr>
              <w:t xml:space="preserve">3</w:t>
            </w:r>
            <w:r>
              <w:rPr>
                <w:rFonts w:hint="eastAsia" w:ascii="宋体"/>
                <w:sz w:val="24"/>
                <w:szCs w:val="24"/>
              </w:rPr>
              <w:t xml:space="preserve">年1月1日（含）以来，以合同签订时间为准，</w:t>
            </w:r>
            <w:r>
              <w:rPr>
                <w:rFonts w:hint="eastAsia" w:ascii="宋体" w:hAnsi="宋体" w:cs="宋体"/>
                <w:color w:val="000000"/>
                <w:sz w:val="24"/>
                <w:szCs w:val="24"/>
              </w:rPr>
              <w:t xml:space="preserve">承担过类似算力租赁业绩的，每提供一个业绩得4分，本项最高16分。</w:t>
            </w:r>
            <w:r/>
          </w:p>
          <w:p>
            <w:pPr>
              <w:jc w:val="left"/>
              <w:spacing w:line="440" w:lineRule="atLeast"/>
            </w:pPr>
            <w:r>
              <w:rPr>
                <w:rFonts w:hint="eastAsia" w:ascii="宋体" w:hAnsi="宋体" w:cs="宋体"/>
                <w:b/>
                <w:bCs/>
                <w:sz w:val="24"/>
                <w:szCs w:val="24"/>
              </w:rPr>
              <w:t xml:space="preserve">注：投标文件中提供合同复印件、扫描件或电子件，合同必须能清晰反映需要明示的内容等，否则不予认可。</w:t>
            </w:r>
            <w:r/>
          </w:p>
        </w:tc>
      </w:tr>
      <w:tr>
        <w:trPr>
          <w:jc w:val="center"/>
          <w:trHeight w:val="621"/>
        </w:trPr>
        <w:tc>
          <w:tcPr>
            <w:tcW w:w="1660" w:type="dxa"/>
            <w:vAlign w:val="center"/>
            <w:textDirection w:val="lrTb"/>
            <w:noWrap w:val="false"/>
          </w:tcPr>
          <w:p>
            <w:pPr>
              <w:jc w:val="center"/>
              <w:spacing w:line="440" w:lineRule="atLeast"/>
              <w:widowControl/>
            </w:pPr>
            <w:r>
              <w:rPr>
                <w:rFonts w:hint="eastAsia" w:ascii="宋体" w:hAnsi="宋体" w:cs="宋体"/>
                <w:color w:val="000000"/>
                <w:sz w:val="24"/>
                <w:szCs w:val="24"/>
              </w:rPr>
              <w:t xml:space="preserve">项目实施保障（9分）</w:t>
            </w:r>
            <w:r/>
          </w:p>
        </w:tc>
        <w:tc>
          <w:tcPr>
            <w:tcW w:w="6845" w:type="dxa"/>
            <w:vAlign w:val="center"/>
            <w:textDirection w:val="lrTb"/>
            <w:noWrap w:val="false"/>
          </w:tcPr>
          <w:p>
            <w:pPr>
              <w:jc w:val="left"/>
              <w:spacing w:line="440" w:lineRule="atLeast"/>
              <w:widowControl/>
              <w:rPr>
                <w:rFonts w:ascii="宋体" w:hAnsi="宋体" w:cs="宋体"/>
                <w:color w:val="000000"/>
                <w:sz w:val="24"/>
                <w:szCs w:val="24"/>
              </w:rPr>
            </w:pPr>
            <w:r>
              <w:rPr>
                <w:rFonts w:hint="eastAsia" w:ascii="宋体" w:hAnsi="宋体" w:cs="宋体"/>
                <w:color w:val="000000"/>
                <w:sz w:val="24"/>
                <w:szCs w:val="24"/>
              </w:rPr>
              <w:t xml:space="preserve">1、投标人具有有效的质量管理体系认证证书的得3分；</w:t>
            </w:r>
            <w:r/>
          </w:p>
          <w:p>
            <w:pPr>
              <w:jc w:val="left"/>
              <w:spacing w:line="440" w:lineRule="atLeast"/>
              <w:widowControl/>
              <w:rPr>
                <w:rFonts w:ascii="宋体" w:hAnsi="宋体" w:cs="宋体"/>
                <w:color w:val="000000"/>
                <w:sz w:val="24"/>
                <w:szCs w:val="24"/>
              </w:rPr>
            </w:pPr>
            <w:r>
              <w:rPr>
                <w:rFonts w:hint="eastAsia" w:ascii="宋体" w:hAnsi="宋体" w:cs="宋体"/>
                <w:color w:val="000000"/>
                <w:sz w:val="24"/>
                <w:szCs w:val="24"/>
              </w:rPr>
              <w:t xml:space="preserve">2、投标人具有有效的信息安全管理体系认证证书的得3分；</w:t>
            </w:r>
            <w:r/>
          </w:p>
          <w:p>
            <w:pPr>
              <w:jc w:val="left"/>
              <w:spacing w:line="440" w:lineRule="atLeast"/>
              <w:widowControl/>
              <w:rPr>
                <w:rFonts w:ascii="宋体" w:hAnsi="宋体" w:cs="宋体"/>
                <w:color w:val="000000"/>
                <w:sz w:val="24"/>
                <w:szCs w:val="24"/>
              </w:rPr>
            </w:pPr>
            <w:r>
              <w:rPr>
                <w:rFonts w:hint="eastAsia" w:ascii="宋体" w:hAnsi="宋体" w:cs="宋体"/>
                <w:color w:val="000000"/>
                <w:sz w:val="24"/>
                <w:szCs w:val="24"/>
              </w:rPr>
              <w:t xml:space="preserve">3、投标人具有有效的信息技术服务管理体系认证证书的得3分；</w:t>
            </w:r>
            <w:r/>
          </w:p>
          <w:p>
            <w:pPr>
              <w:jc w:val="left"/>
              <w:spacing w:line="440" w:lineRule="atLeast"/>
              <w:widowControl/>
            </w:pPr>
            <w:r>
              <w:rPr>
                <w:rFonts w:hint="eastAsia" w:ascii="宋体" w:hAnsi="宋体" w:cs="宋体"/>
                <w:b/>
                <w:bCs/>
                <w:color w:val="000000"/>
                <w:sz w:val="24"/>
                <w:szCs w:val="24"/>
              </w:rPr>
              <w:t xml:space="preserve">注：以上1-3项投标</w:t>
            </w:r>
            <w:r>
              <w:rPr>
                <w:rFonts w:hint="eastAsia" w:ascii="宋体" w:hAnsi="宋体" w:cs="宋体"/>
                <w:b/>
                <w:bCs/>
                <w:sz w:val="24"/>
                <w:szCs w:val="24"/>
              </w:rPr>
              <w:t xml:space="preserve">文件中需提供有效的证书复印件并加盖投标人公章，未提供不得分。</w:t>
            </w:r>
            <w:r/>
          </w:p>
        </w:tc>
      </w:tr>
      <w:tr>
        <w:trPr>
          <w:jc w:val="center"/>
          <w:trHeight w:val="621"/>
        </w:trPr>
        <w:tc>
          <w:tcPr>
            <w:tcW w:w="1660" w:type="dxa"/>
            <w:vAlign w:val="center"/>
            <w:textDirection w:val="lrTb"/>
            <w:noWrap w:val="false"/>
          </w:tcPr>
          <w:p>
            <w:pPr>
              <w:jc w:val="center"/>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项目团队成员</w:t>
            </w:r>
            <w:r/>
          </w:p>
          <w:p>
            <w:pPr>
              <w:jc w:val="center"/>
              <w:spacing w:line="440" w:lineRule="atLeast"/>
              <w:widowControl/>
              <w:rPr>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分）</w:t>
            </w:r>
            <w:r/>
          </w:p>
        </w:tc>
        <w:tc>
          <w:tcPr>
            <w:tcW w:w="6845" w:type="dxa"/>
            <w:vAlign w:val="center"/>
            <w:textDirection w:val="lrTb"/>
            <w:noWrap w:val="false"/>
          </w:tcPr>
          <w:p>
            <w:pPr>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1、投标人拟派项目负责人具备网络规划设计师的，得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p>
            <w:pPr>
              <w:jc w:val="left"/>
              <w:spacing w:line="44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、投标人拟投入项目组人员（项目负责人除外）具有系统集成项目管理工程师证书的、信息安全工程师证书的，每提供一类证书得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分。本项一人多证不重复得分。</w:t>
            </w:r>
            <w:r/>
          </w:p>
          <w:p>
            <w:pPr>
              <w:jc w:val="left"/>
              <w:spacing w:line="440" w:lineRule="atLeast"/>
              <w:widowControl/>
              <w:rPr>
                <w:highlight w:val="none"/>
              </w:rPr>
            </w:pPr>
            <w:r>
              <w:rPr>
                <w:rFonts w:hint="eastAsia" w:ascii="宋体" w:hAnsi="宋体" w:cs="宋体"/>
                <w:b/>
                <w:bCs/>
                <w:color w:val="000000"/>
                <w:sz w:val="24"/>
                <w:szCs w:val="24"/>
                <w:highlight w:val="none"/>
              </w:rPr>
              <w:t xml:space="preserve">注：以上1-</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项投标文件中提供有效相关证书扫描件及202</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年1月（含）以来任意1个月由投标人为其缴纳的社保证明材料，并加盖投标人公章，未提供不得分</w:t>
            </w:r>
            <w:r/>
          </w:p>
        </w:tc>
      </w:tr>
    </w:tbl>
    <w:p>
      <w:pPr>
        <w:jc w:val="left"/>
        <w:widowControl/>
        <w:rPr>
          <w:sz w:val="24"/>
          <w:szCs w:val="24"/>
        </w:rPr>
      </w:pPr>
      <w:r>
        <w:rPr>
          <w:sz w:val="24"/>
          <w:szCs w:val="24"/>
        </w:rPr>
        <w:br w:type="page" w:clear="all"/>
      </w:r>
      <w:r/>
    </w:p>
    <w:p>
      <w:pPr>
        <w:pStyle w:val="847"/>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rFonts w:hint="eastAsia"/>
          <w:sz w:val="24"/>
          <w:szCs w:val="24"/>
          <w:u w:val="single"/>
        </w:rPr>
      </w:pPr>
      <w:r>
        <w:rPr>
          <w:rFonts w:hint="eastAsia"/>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pPr>
      <w:r>
        <w:rPr>
          <w:rFonts w:hint="eastAsia" w:ascii="宋体" w:hAnsi="宋体"/>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pPr>
        <w:jc w:val="left"/>
        <w:keepLines/>
        <w:keepNext/>
        <w:spacing w:before="360" w:after="200" w:line="360" w:lineRule="auto"/>
        <w:rPr>
          <w:rFonts w:hint="eastAsia" w:ascii="Arial" w:hAnsi="Arial" w:cs="Arial"/>
          <w:b/>
          <w:bCs/>
          <w:i/>
          <w:iCs/>
          <w:sz w:val="36"/>
          <w:highlight w:val="green"/>
          <w:u w:val="single"/>
        </w:rPr>
        <w:outlineLvl w:val="1"/>
      </w:pPr>
      <w:r>
        <w:rPr>
          <w:rFonts w:hint="eastAsia" w:ascii="Arial" w:hAnsi="Arial" w:cs="Arial"/>
          <w:b/>
          <w:bCs/>
          <w:i/>
          <w:iCs/>
          <w:sz w:val="36"/>
          <w:highlight w:val="green"/>
          <w:u w:val="single"/>
        </w:rPr>
        <w:t xml:space="preserve">十五、关于符合本国产品标准的声明函（分包号：**）</w:t>
      </w:r>
      <w:r/>
    </w:p>
    <w:p>
      <w:pPr>
        <w:pStyle w:val="87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0"/>
        <w:ind w:firstLine="420"/>
        <w:spacing w:before="0" w:beforeAutospacing="0" w:after="0" w:afterAutospacing="0" w:line="360" w:lineRule="auto"/>
        <w:rPr>
          <w:rFonts w:hint="eastAsia"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1.</w:t>
      </w:r>
      <w:r>
        <w:rPr>
          <w:rStyle w:val="874"/>
          <w:rFonts w:hint="eastAsia" w:ascii="宋体" w:hAnsi="宋体" w:cs="宋体"/>
          <w:i w:val="0"/>
          <w:szCs w:val="24"/>
          <w:highlight w:val="green"/>
          <w:u w:val="single"/>
          <w:shd w:val="clear" w:color="auto" w:fill="ffffff"/>
        </w:rPr>
        <w:t xml:space="preserve">（产品名称1）</w:t>
      </w:r>
      <w:r>
        <w:rPr>
          <w:rStyle w:val="874"/>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874"/>
          <w:rFonts w:hint="eastAsia" w:ascii="宋体" w:hAnsi="宋体" w:cs="宋体"/>
          <w:i w:val="0"/>
          <w:szCs w:val="24"/>
          <w:highlight w:val="green"/>
          <w:u w:val="single"/>
          <w:shd w:val="clear" w:color="auto" w:fill="ffffff"/>
        </w:rPr>
        <w:t xml:space="preserve">（厂名）</w:t>
      </w:r>
      <w:r>
        <w:rPr>
          <w:rStyle w:val="874"/>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874"/>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874"/>
          <w:rFonts w:hint="eastAsia" w:ascii="宋体" w:hAnsi="宋体" w:cs="宋体"/>
          <w:i w:val="0"/>
          <w:szCs w:val="24"/>
          <w:highlight w:val="green"/>
          <w:u w:val="single"/>
          <w:shd w:val="clear" w:color="auto" w:fill="ffffff"/>
        </w:rPr>
        <w:t xml:space="preserve">（产品名称1） </w:t>
      </w:r>
      <w:r>
        <w:rPr>
          <w:rFonts w:hint="eastAsia" w:ascii="宋体" w:hAnsi="宋体" w:cs="宋体"/>
          <w:szCs w:val="24"/>
          <w:highlight w:val="green"/>
          <w:shd w:val="clear" w:color="auto" w:fill="ffffff"/>
        </w:rPr>
        <w:t xml:space="preserve">的中国境内生产的组件成本占比≥</w:t>
      </w:r>
      <w:r>
        <w:rPr>
          <w:rStyle w:val="874"/>
          <w:rFonts w:hint="eastAsia" w:ascii="宋体" w:hAnsi="宋体" w:cs="宋体"/>
          <w:i w:val="0"/>
          <w:szCs w:val="24"/>
          <w:highlight w:val="green"/>
          <w:u w:val="single"/>
          <w:shd w:val="clear" w:color="auto" w:fill="ffffff"/>
        </w:rPr>
        <w:t xml:space="preserve">（规定比例）</w:t>
      </w:r>
      <w:r>
        <w:rPr>
          <w:rStyle w:val="874"/>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Style w:val="874"/>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874"/>
          <w:rFonts w:hint="eastAsia" w:ascii="宋体" w:hAnsi="宋体" w:cs="宋体"/>
          <w:i w:val="0"/>
          <w:szCs w:val="24"/>
          <w:highlight w:val="green"/>
          <w:u w:val="single"/>
          <w:shd w:val="clear" w:color="auto" w:fill="ffffff"/>
        </w:rPr>
        <w:t xml:space="preserve">（关键组件）</w:t>
      </w:r>
      <w:r>
        <w:rPr>
          <w:rStyle w:val="874"/>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Style w:val="874"/>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874"/>
          <w:rFonts w:hint="eastAsia" w:ascii="宋体" w:hAnsi="宋体" w:cs="宋体"/>
          <w:i w:val="0"/>
          <w:szCs w:val="24"/>
          <w:highlight w:val="green"/>
          <w:u w:val="single"/>
          <w:shd w:val="clear" w:color="auto" w:fill="ffffff"/>
        </w:rPr>
        <w:t xml:space="preserve">（关键工序）</w:t>
      </w:r>
      <w:r>
        <w:rPr>
          <w:rStyle w:val="874"/>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p>
    <w:p>
      <w:pPr>
        <w:pStyle w:val="87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2.</w:t>
      </w:r>
      <w:r>
        <w:rPr>
          <w:rStyle w:val="874"/>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874"/>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874"/>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874"/>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的中国境内生产的组件成本占比≥</w:t>
      </w:r>
      <w:r>
        <w:rPr>
          <w:rStyle w:val="874"/>
          <w:rFonts w:hint="eastAsia" w:ascii="宋体" w:hAnsi="宋体" w:cs="宋体"/>
          <w:i w:val="0"/>
          <w:szCs w:val="24"/>
          <w:highlight w:val="green"/>
          <w:u w:val="single"/>
          <w:shd w:val="clear" w:color="auto" w:fill="ffffff"/>
        </w:rPr>
        <w:t xml:space="preserve">（规定比例）</w:t>
      </w:r>
      <w:r>
        <w:rPr>
          <w:rFonts w:hint="eastAsia" w:ascii="宋体" w:hAnsi="宋体" w:cs="宋体"/>
          <w:szCs w:val="24"/>
          <w:highlight w:val="green"/>
          <w:shd w:val="clear" w:color="auto" w:fill="ffffff"/>
        </w:rPr>
        <w:t xml:space="preserve">。</w:t>
      </w:r>
      <w:r>
        <w:rPr>
          <w:rStyle w:val="874"/>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w:t>
      </w:r>
      <w:r>
        <w:rPr>
          <w:rStyle w:val="874"/>
          <w:rFonts w:hint="eastAsia" w:ascii="宋体" w:hAnsi="宋体" w:cs="宋体"/>
          <w:i w:val="0"/>
          <w:szCs w:val="24"/>
          <w:highlight w:val="green"/>
          <w:u w:val="single"/>
          <w:shd w:val="clear" w:color="auto" w:fill="ffffff"/>
        </w:rPr>
        <w:t xml:space="preserve">（关键组件）</w:t>
      </w:r>
      <w:r>
        <w:rPr>
          <w:rFonts w:hint="eastAsia" w:ascii="宋体" w:hAnsi="宋体" w:cs="宋体"/>
          <w:szCs w:val="24"/>
          <w:highlight w:val="green"/>
          <w:shd w:val="clear" w:color="auto" w:fill="ffffff"/>
        </w:rPr>
        <w:t xml:space="preserve">在中国境内生产。</w:t>
      </w:r>
      <w:r>
        <w:rPr>
          <w:rStyle w:val="874"/>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874"/>
          <w:rFonts w:hint="eastAsia" w:ascii="宋体" w:hAnsi="宋体" w:cs="宋体"/>
          <w:i w:val="0"/>
          <w:szCs w:val="24"/>
          <w:highlight w:val="green"/>
          <w:u w:val="single"/>
          <w:shd w:val="clear" w:color="auto" w:fill="ffffff"/>
        </w:rPr>
        <w:t xml:space="preserve">（关键工序）</w:t>
      </w:r>
      <w:r>
        <w:rPr>
          <w:rFonts w:hint="eastAsia" w:ascii="宋体" w:hAnsi="宋体" w:cs="宋体"/>
          <w:szCs w:val="24"/>
          <w:highlight w:val="green"/>
          <w:shd w:val="clear" w:color="auto" w:fill="ffffff"/>
        </w:rPr>
        <w:t xml:space="preserve">在中国境内完成。</w:t>
      </w:r>
      <w:r/>
    </w:p>
    <w:p>
      <w:pPr>
        <w:pStyle w:val="87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w:t>
      </w:r>
      <w:r/>
    </w:p>
    <w:p>
      <w:pPr>
        <w:pStyle w:val="87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本公司（单位）对上述声明内容的真实性负责。如有虚假，愿承担相应法律责任。</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w:r>
      <w:r/>
    </w:p>
    <w:p>
      <w:pPr>
        <w:pStyle w:val="870"/>
        <w:ind w:right="480" w:firstLine="37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公司（单位）名称（盖章）：　        </w:t>
      </w:r>
      <w:r/>
    </w:p>
    <w:p>
      <w:pPr>
        <w:pStyle w:val="870"/>
        <w:jc w:val="center"/>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                                日期：　   年　  月　  日         </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__________________</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1.产品如有型号，请在“产品名称”栏一并填写。</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2.生产厂名与厂址应与生产厂营业执照载明的相关信息保持一致。</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3.该产品的中国境内生产的组件成本占比相关要求实施前，“规定比例”栏可不填，下同。</w:t>
      </w:r>
      <w:r/>
    </w:p>
    <w:p>
      <w:pPr>
        <w:pStyle w:val="87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4.该产品的关键组件要求实施前，“关键组件”栏可不填，下同。</w:t>
      </w:r>
      <w:r/>
    </w:p>
    <w:p>
      <w:pPr>
        <w:pStyle w:val="870"/>
        <w:spacing w:before="30" w:beforeAutospacing="0" w:after="30" w:afterAutospacing="0" w:line="360" w:lineRule="auto"/>
        <w:rPr>
          <w:rFonts w:hint="eastAsia"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green"/>
          <w:shd w:val="clear" w:color="auto" w:fill="ffffff"/>
        </w:rPr>
      </w:pPr>
      <w:r>
        <w:rPr>
          <w:rFonts w:hint="eastAsia" w:ascii="宋体" w:hAnsi="宋体" w:cs="宋体"/>
          <w:sz w:val="24"/>
          <w:szCs w:val="24"/>
          <w:highlight w:val="green"/>
          <w:shd w:val="clear" w:color="auto" w:fill="ffffff"/>
        </w:rPr>
        <w:t xml:space="preserve">6.用斜线划除的地方无需填写。</w:t>
      </w:r>
      <w:r/>
    </w:p>
    <w:p>
      <w:pPr>
        <w:jc w:val="left"/>
        <w:spacing w:line="360" w:lineRule="auto"/>
        <w:rPr>
          <w:rFonts w:hint="eastAsia"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p>
    <w:p>
      <w:pPr>
        <w:pStyle w:val="870"/>
        <w:spacing w:before="0" w:beforeAutospacing="0" w:after="150" w:afterAutospacing="0" w:line="27" w:lineRule="atLeast"/>
        <w:shd w:val="clear" w:color="auto" w:fill="ffffff"/>
        <w:widowControl/>
        <w:rPr>
          <w:rFonts w:hint="eastAsia" w:ascii="宋体" w:hAnsi="宋体" w:cs="宋体"/>
          <w:color w:val="333333"/>
          <w:szCs w:val="24"/>
          <w:highlight w:val="green"/>
          <w:shd w:val="clear" w:color="auto" w:fill="ffffff"/>
        </w:rPr>
      </w:pPr>
      <w:r>
        <w:rPr>
          <w:rFonts w:hint="eastAsia" w:ascii="宋体" w:hAnsi="宋体" w:cs="宋体"/>
          <w:color w:val="333333"/>
          <w:szCs w:val="24"/>
          <w:highlight w:val="green"/>
          <w:shd w:val="clear" w:color="auto" w:fill="ffffff"/>
        </w:rPr>
        <w:t xml:space="preserve">8.供应商提供虚假《声明函》、虚假证明文件谋取中标的，依照《中华人民共和国政府采购法》等法律法规规定追究相应责任。</w:t>
      </w:r>
      <w:r/>
    </w:p>
    <w:p>
      <w:pPr>
        <w:pStyle w:val="870"/>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十七、商务要求响应及偏离表（分包号：**）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6580838"/>
            <w:r/>
            <w:bookmarkEnd w:id="7"/>
            <w:r/>
            <w:bookmarkStart w:id="8" w:name="_Hlt26671343"/>
            <w:r/>
            <w:bookmarkEnd w:id="8"/>
            <w:r/>
            <w:bookmarkStart w:id="9" w:name="_Hlt26955064"/>
            <w:r/>
            <w:bookmarkEnd w:id="9"/>
            <w:r/>
            <w:bookmarkStart w:id="10" w:name="_Hlt26955056"/>
            <w:r/>
            <w:bookmarkEnd w:id="10"/>
            <w:r/>
            <w:bookmarkStart w:id="11" w:name="_Hlt26609391"/>
            <w:r/>
            <w:bookmarkEnd w:id="11"/>
            <w:r/>
            <w:bookmarkStart w:id="12" w:name="_Hlt26782999"/>
            <w:r/>
            <w:bookmarkEnd w:id="12"/>
            <w:r/>
            <w:bookmarkStart w:id="13" w:name="_Hlt26671372"/>
            <w:r/>
            <w:bookmarkEnd w:id="13"/>
            <w:r/>
            <w:bookmarkStart w:id="14" w:name="_Hlt24879081"/>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5" w:name="_Hlt26671374"/>
      <w:r/>
      <w:bookmarkEnd w:id="15"/>
      <w:r/>
      <w:bookmarkStart w:id="16" w:name="_Hlt26955066"/>
      <w:r/>
      <w:bookmarkEnd w:id="16"/>
      <w:r/>
      <w:bookmarkStart w:id="17" w:name="_Hlt26609389"/>
      <w:r/>
      <w:bookmarkEnd w:id="17"/>
      <w:r/>
      <w:bookmarkStart w:id="18" w:name="_格式2__法定代表人授权书"/>
      <w:r/>
      <w:bookmarkEnd w:id="18"/>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rPr>
          <w:rFonts w:ascii="宋体" w:hAnsi="宋体"/>
          <w:color w:val="000000"/>
          <w:sz w:val="24"/>
          <w:szCs w:val="24"/>
        </w:rPr>
      </w:pPr>
      <w:r>
        <w:rPr>
          <w:rFonts w:hint="eastAsia" w:ascii="宋体" w:hAnsi="宋体" w:cs="宋体"/>
          <w:bCs/>
          <w:i/>
          <w:color w:val="000000"/>
          <w:sz w:val="36"/>
          <w:szCs w:val="36"/>
          <w:u w:val="single"/>
        </w:rPr>
        <w:t xml:space="preserve">二十一、开标一览表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 </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招标编号：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投标人名称</w:t>
            </w:r>
            <w:r/>
          </w:p>
        </w:tc>
        <w:tc>
          <w:tcPr>
            <w:tcW w:w="2841"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优惠率（%）</w:t>
            </w:r>
            <w:r/>
          </w:p>
        </w:tc>
        <w:tc>
          <w:tcPr>
            <w:tcW w:w="2841"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备注</w:t>
            </w:r>
            <w:r/>
          </w:p>
        </w:tc>
      </w:tr>
      <w:tr>
        <w:trPr>
          <w:jc w:val="center"/>
        </w:trPr>
        <w:tc>
          <w:tcPr>
            <w:tcW w:w="2840" w:type="dxa"/>
            <w:vAlign w:val="top"/>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c>
          <w:tcPr>
            <w:tcW w:w="2841" w:type="dxa"/>
            <w:vAlign w:val="top"/>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c>
          <w:tcPr>
            <w:tcW w:w="2841" w:type="dxa"/>
            <w:vAlign w:val="top"/>
            <w:textDirection w:val="lrTb"/>
            <w:noWrap w:val="false"/>
          </w:tcPr>
          <w:p>
            <w:pPr>
              <w:spacing w:line="500" w:lineRule="exact"/>
              <w:rPr>
                <w:rFonts w:ascii="宋体" w:hAnsi="宋体"/>
                <w:color w:val="000000"/>
                <w:sz w:val="24"/>
                <w:szCs w:val="24"/>
              </w:rPr>
            </w:pPr>
            <w:r>
              <w:rPr>
                <w:rFonts w:ascii="宋体" w:hAnsi="宋体"/>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rPr>
          <w:rFonts w:ascii="宋体" w:hAnsi="宋体"/>
          <w:color w:val="000000"/>
          <w:sz w:val="24"/>
          <w:szCs w:val="24"/>
          <w:highlight w:val="yellow"/>
        </w:rPr>
      </w:pPr>
      <w:r>
        <w:rPr>
          <w:rFonts w:hint="eastAsia" w:ascii="宋体" w:hAnsi="宋体"/>
          <w:color w:val="000000"/>
          <w:sz w:val="24"/>
          <w:szCs w:val="24"/>
          <w:highlight w:val="yellow"/>
        </w:rPr>
        <w:t xml:space="preserve">（备注：优惠率报价时选用，确定后该备注删除。）</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ind w:firstLine="480"/>
        <w:spacing w:line="500" w:lineRule="exact"/>
        <w:rPr>
          <w:rFonts w:ascii="宋体" w:hAnsi="宋体"/>
          <w:bCs/>
          <w:color w:val="000000"/>
          <w:sz w:val="24"/>
          <w:szCs w:val="21"/>
        </w:rPr>
      </w:pPr>
      <w:r>
        <w:rPr>
          <w:rFonts w:hint="eastAsia" w:ascii="宋体" w:hAnsi="宋体"/>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新宋体">
    <w:panose1 w:val="0201060903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fldChar w:fldCharType="begin"/>
    </w:r>
    <w:r>
      <w:instrText xml:space="preserve"> PAGE   \* MERGEFORMAT </w:instrText>
    </w:r>
    <w:r>
      <w:fldChar w:fldCharType="separate"/>
    </w:r>
    <w:r>
      <w:rPr>
        <w:lang w:val="zh-CN"/>
      </w:rPr>
      <w:t xml:space="preserve">36</w:t>
    </w:r>
    <w:r>
      <w:rPr>
        <w:lang w:val="zh-CN"/>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76"/>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699"/>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0"/>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1"/>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2"/>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3"/>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4"/>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7"/>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rPr>
  </w:style>
  <w:style w:type="paragraph" w:styleId="680">
    <w:name w:val="toc 5"/>
    <w:basedOn w:val="666"/>
    <w:next w:val="666"/>
    <w:uiPriority w:val="39"/>
    <w:unhideWhenUsed/>
    <w:qFormat/>
    <w:pPr>
      <w:ind w:left="1134" w:right="0" w:firstLine="0"/>
      <w:spacing w:after="57"/>
    </w:pPr>
  </w:style>
  <w:style w:type="paragraph" w:styleId="681">
    <w:name w:val="toc 3"/>
    <w:basedOn w:val="666"/>
    <w:next w:val="666"/>
    <w:uiPriority w:val="39"/>
    <w:unhideWhenUsed/>
    <w:qFormat/>
    <w:pPr>
      <w:ind w:left="567" w:right="0" w:firstLine="0"/>
      <w:spacing w:after="57"/>
    </w:pPr>
  </w:style>
  <w:style w:type="paragraph" w:styleId="682">
    <w:name w:val="toc 8"/>
    <w:basedOn w:val="666"/>
    <w:next w:val="666"/>
    <w:uiPriority w:val="39"/>
    <w:unhideWhenUsed/>
    <w:qFormat/>
    <w:pPr>
      <w:ind w:left="1984" w:right="0" w:firstLine="0"/>
      <w:spacing w:after="57"/>
    </w:pPr>
  </w:style>
  <w:style w:type="paragraph" w:styleId="683">
    <w:name w:val="endnote text"/>
    <w:basedOn w:val="666"/>
    <w:link w:val="845"/>
    <w:uiPriority w:val="99"/>
    <w:semiHidden/>
    <w:unhideWhenUsed/>
    <w:qFormat/>
    <w:pPr>
      <w:spacing w:after="0" w:line="240" w:lineRule="auto"/>
    </w:pPr>
    <w:rPr>
      <w:sz w:val="20"/>
    </w:rPr>
  </w:style>
  <w:style w:type="paragraph" w:styleId="684">
    <w:name w:val="Footer"/>
    <w:basedOn w:val="666"/>
    <w:link w:val="718"/>
    <w:uiPriority w:val="99"/>
    <w:unhideWhenUsed/>
    <w:qFormat/>
    <w:pPr>
      <w:spacing w:after="0" w:line="240" w:lineRule="auto"/>
      <w:tabs>
        <w:tab w:val="center" w:pos="7143" w:leader="none"/>
        <w:tab w:val="right" w:pos="14287" w:leader="none"/>
      </w:tabs>
    </w:pPr>
  </w:style>
  <w:style w:type="paragraph" w:styleId="685">
    <w:name w:val="Header"/>
    <w:basedOn w:val="666"/>
    <w:link w:val="716"/>
    <w:uiPriority w:val="99"/>
    <w:unhideWhenUsed/>
    <w:qFormat/>
    <w:pPr>
      <w:spacing w:after="0" w:line="240" w:lineRule="auto"/>
      <w:tabs>
        <w:tab w:val="center" w:pos="7143" w:leader="none"/>
        <w:tab w:val="right" w:pos="14287" w:leader="none"/>
      </w:tabs>
    </w:pPr>
  </w:style>
  <w:style w:type="paragraph" w:styleId="686">
    <w:name w:val="toc 1"/>
    <w:basedOn w:val="666"/>
    <w:next w:val="666"/>
    <w:uiPriority w:val="39"/>
    <w:unhideWhenUsed/>
    <w:qFormat/>
    <w:pPr>
      <w:ind w:left="0" w:right="0" w:firstLine="0"/>
      <w:spacing w:after="57"/>
    </w:pPr>
  </w:style>
  <w:style w:type="paragraph" w:styleId="687">
    <w:name w:val="toc 4"/>
    <w:basedOn w:val="666"/>
    <w:next w:val="666"/>
    <w:uiPriority w:val="39"/>
    <w:unhideWhenUsed/>
    <w:qFormat/>
    <w:pPr>
      <w:ind w:left="850" w:right="0" w:firstLine="0"/>
      <w:spacing w:after="57"/>
    </w:pPr>
  </w:style>
  <w:style w:type="paragraph" w:styleId="688">
    <w:name w:val="Subtitle"/>
    <w:basedOn w:val="666"/>
    <w:next w:val="666"/>
    <w:link w:val="711"/>
    <w:uiPriority w:val="11"/>
    <w:qFormat/>
    <w:pPr>
      <w:spacing w:before="200" w:after="200"/>
    </w:pPr>
    <w:rPr>
      <w:sz w:val="24"/>
      <w:szCs w:val="24"/>
    </w:rPr>
  </w:style>
  <w:style w:type="paragraph" w:styleId="689">
    <w:name w:val="footnote text"/>
    <w:basedOn w:val="666"/>
    <w:link w:val="844"/>
    <w:uiPriority w:val="99"/>
    <w:semiHidden/>
    <w:unhideWhenUsed/>
    <w:qFormat/>
    <w:pPr>
      <w:spacing w:after="40" w:line="240" w:lineRule="auto"/>
    </w:pPr>
    <w:rPr>
      <w:sz w:val="18"/>
    </w:rPr>
  </w:style>
  <w:style w:type="paragraph" w:styleId="690">
    <w:name w:val="toc 6"/>
    <w:basedOn w:val="666"/>
    <w:next w:val="666"/>
    <w:uiPriority w:val="39"/>
    <w:unhideWhenUsed/>
    <w:qFormat/>
    <w:pPr>
      <w:ind w:left="1417" w:right="0" w:firstLine="0"/>
      <w:spacing w:after="57"/>
    </w:pPr>
  </w:style>
  <w:style w:type="paragraph" w:styleId="691">
    <w:name w:val="table of figures"/>
    <w:basedOn w:val="666"/>
    <w:next w:val="666"/>
    <w:uiPriority w:val="99"/>
    <w:unhideWhenUsed/>
    <w:qFormat/>
    <w:pPr>
      <w:spacing w:after="0" w:afterAutospacing="0"/>
    </w:pPr>
  </w:style>
  <w:style w:type="paragraph" w:styleId="692">
    <w:name w:val="toc 2"/>
    <w:basedOn w:val="666"/>
    <w:next w:val="666"/>
    <w:uiPriority w:val="39"/>
    <w:unhideWhenUsed/>
    <w:qFormat/>
    <w:pPr>
      <w:ind w:left="283" w:right="0" w:firstLine="0"/>
      <w:spacing w:after="57"/>
    </w:pPr>
  </w:style>
  <w:style w:type="paragraph" w:styleId="693">
    <w:name w:val="toc 9"/>
    <w:basedOn w:val="666"/>
    <w:next w:val="666"/>
    <w:uiPriority w:val="39"/>
    <w:unhideWhenUsed/>
    <w:qFormat/>
    <w:pPr>
      <w:ind w:left="2268" w:right="0" w:firstLine="0"/>
      <w:spacing w:after="57"/>
    </w:pPr>
  </w:style>
  <w:style w:type="paragraph" w:styleId="694">
    <w:name w:val="Title"/>
    <w:basedOn w:val="666"/>
    <w:next w:val="666"/>
    <w:link w:val="710"/>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rPr>
      <w:color w:val="0000ff" w:themeColor="hyperlink"/>
      <w:u w:val="single"/>
    </w:rPr>
  </w:style>
  <w:style w:type="character" w:styleId="698">
    <w:name w:val="footnote reference"/>
    <w:uiPriority w:val="99"/>
    <w:unhideWhenUsed/>
    <w:qFormat/>
    <w:rPr>
      <w:vertAlign w:val="superscript"/>
    </w:rPr>
  </w:style>
  <w:style w:type="character" w:styleId="699" w:customStyle="1">
    <w:name w:val="Heading 1 Char"/>
    <w:link w:val="667"/>
    <w:uiPriority w:val="9"/>
    <w:rPr>
      <w:rFonts w:ascii="Arial" w:hAnsi="Arial" w:eastAsia="Arial" w:cs="Arial"/>
      <w:sz w:val="40"/>
      <w:szCs w:val="40"/>
    </w:rPr>
  </w:style>
  <w:style w:type="character" w:styleId="700" w:customStyle="1">
    <w:name w:val="Heading 2 Char"/>
    <w:link w:val="668"/>
    <w:uiPriority w:val="9"/>
    <w:qFormat/>
    <w:rPr>
      <w:rFonts w:ascii="Arial" w:hAnsi="Arial" w:eastAsia="Arial" w:cs="Arial"/>
      <w:sz w:val="34"/>
    </w:rPr>
  </w:style>
  <w:style w:type="character" w:styleId="701" w:customStyle="1">
    <w:name w:val="Heading 3 Char"/>
    <w:link w:val="669"/>
    <w:uiPriority w:val="9"/>
    <w:qFormat/>
    <w:rPr>
      <w:rFonts w:ascii="Arial" w:hAnsi="Arial" w:eastAsia="Arial" w:cs="Arial"/>
      <w:sz w:val="30"/>
      <w:szCs w:val="30"/>
    </w:rPr>
  </w:style>
  <w:style w:type="character" w:styleId="702" w:customStyle="1">
    <w:name w:val="Heading 4 Char"/>
    <w:link w:val="670"/>
    <w:uiPriority w:val="9"/>
    <w:qFormat/>
    <w:rPr>
      <w:rFonts w:ascii="Arial" w:hAnsi="Arial" w:eastAsia="Arial" w:cs="Arial"/>
      <w:b/>
      <w:bCs/>
      <w:sz w:val="26"/>
      <w:szCs w:val="26"/>
    </w:rPr>
  </w:style>
  <w:style w:type="character" w:styleId="703" w:customStyle="1">
    <w:name w:val="Heading 5 Char"/>
    <w:link w:val="671"/>
    <w:uiPriority w:val="9"/>
    <w:qFormat/>
    <w:rPr>
      <w:rFonts w:ascii="Arial" w:hAnsi="Arial" w:eastAsia="Arial" w:cs="Arial"/>
      <w:b/>
      <w:bCs/>
      <w:sz w:val="24"/>
      <w:szCs w:val="24"/>
    </w:rPr>
  </w:style>
  <w:style w:type="character" w:styleId="704" w:customStyle="1">
    <w:name w:val="Heading 6 Char"/>
    <w:link w:val="672"/>
    <w:uiPriority w:val="9"/>
    <w:qFormat/>
    <w:rPr>
      <w:rFonts w:ascii="Arial" w:hAnsi="Arial" w:eastAsia="Arial" w:cs="Arial"/>
      <w:b/>
      <w:bCs/>
      <w:sz w:val="22"/>
      <w:szCs w:val="22"/>
    </w:rPr>
  </w:style>
  <w:style w:type="character" w:styleId="705" w:customStyle="1">
    <w:name w:val="Heading 7 Char"/>
    <w:link w:val="673"/>
    <w:uiPriority w:val="9"/>
    <w:qFormat/>
    <w:rPr>
      <w:rFonts w:ascii="Arial" w:hAnsi="Arial" w:eastAsia="Arial" w:cs="Arial"/>
      <w:b/>
      <w:bCs/>
      <w:i/>
      <w:iCs/>
      <w:sz w:val="22"/>
      <w:szCs w:val="22"/>
    </w:rPr>
  </w:style>
  <w:style w:type="character" w:styleId="706" w:customStyle="1">
    <w:name w:val="Heading 8 Char"/>
    <w:link w:val="674"/>
    <w:uiPriority w:val="9"/>
    <w:qFormat/>
    <w:rPr>
      <w:rFonts w:ascii="Arial" w:hAnsi="Arial" w:eastAsia="Arial" w:cs="Arial"/>
      <w:i/>
      <w:iCs/>
      <w:sz w:val="22"/>
      <w:szCs w:val="22"/>
    </w:rPr>
  </w:style>
  <w:style w:type="character" w:styleId="707" w:customStyle="1">
    <w:name w:val="Heading 9 Char"/>
    <w:link w:val="675"/>
    <w:uiPriority w:val="9"/>
    <w:qFormat/>
    <w:rPr>
      <w:rFonts w:ascii="Arial" w:hAnsi="Arial" w:eastAsia="Arial" w:cs="Arial"/>
      <w:i/>
      <w:iCs/>
      <w:sz w:val="21"/>
      <w:szCs w:val="21"/>
    </w:rPr>
  </w:style>
  <w:style w:type="paragraph" w:styleId="708">
    <w:name w:val="List Paragraph"/>
    <w:basedOn w:val="666"/>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94"/>
    <w:uiPriority w:val="10"/>
    <w:qFormat/>
    <w:rPr>
      <w:sz w:val="48"/>
      <w:szCs w:val="48"/>
    </w:rPr>
  </w:style>
  <w:style w:type="character" w:styleId="711" w:customStyle="1">
    <w:name w:val="Subtitle Char"/>
    <w:link w:val="688"/>
    <w:uiPriority w:val="11"/>
    <w:qFormat/>
    <w:rPr>
      <w:sz w:val="24"/>
      <w:szCs w:val="24"/>
    </w:rPr>
  </w:style>
  <w:style w:type="paragraph" w:styleId="712">
    <w:name w:val="Quote"/>
    <w:basedOn w:val="666"/>
    <w:next w:val="666"/>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6"/>
    <w:next w:val="6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5"/>
    <w:uiPriority w:val="99"/>
    <w:qFormat/>
  </w:style>
  <w:style w:type="character" w:styleId="717" w:customStyle="1">
    <w:name w:val="Footer Char"/>
    <w:link w:val="684"/>
    <w:uiPriority w:val="99"/>
    <w:qFormat/>
  </w:style>
  <w:style w:type="character" w:styleId="718" w:customStyle="1">
    <w:name w:val="Caption Char"/>
    <w:link w:val="684"/>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9"/>
    <w:uiPriority w:val="99"/>
    <w:rPr>
      <w:sz w:val="18"/>
    </w:rPr>
  </w:style>
  <w:style w:type="character" w:styleId="845" w:customStyle="1">
    <w:name w:val="Endnote Text Char"/>
    <w:link w:val="683"/>
    <w:uiPriority w:val="99"/>
    <w:qFormat/>
    <w:rPr>
      <w:sz w:val="20"/>
    </w:rPr>
  </w:style>
  <w:style w:type="paragraph" w:styleId="846" w:customStyle="1">
    <w:name w:val="TOC Heading"/>
    <w:uiPriority w:val="39"/>
    <w:unhideWhenUsed/>
    <w:rPr>
      <w:rFonts w:hint="default" w:ascii="Times New Roman" w:hAnsi="Times New Roman" w:eastAsia="宋体" w:cs="Times New Roman"/>
    </w:rPr>
  </w:style>
  <w:style w:type="paragraph" w:styleId="847" w:customStyle="1">
    <w:name w:val="标题 11"/>
    <w:basedOn w:val="666"/>
    <w:next w:val="666"/>
    <w:link w:val="852"/>
    <w:uiPriority w:val="9"/>
    <w:qFormat/>
    <w:pPr>
      <w:keepLines/>
      <w:keepNext/>
      <w:spacing w:before="340" w:after="330" w:line="578" w:lineRule="auto"/>
      <w:outlineLvl w:val="0"/>
    </w:pPr>
    <w:rPr>
      <w:b/>
      <w:bCs/>
      <w:sz w:val="44"/>
      <w:szCs w:val="44"/>
    </w:rPr>
  </w:style>
  <w:style w:type="paragraph" w:styleId="848" w:customStyle="1">
    <w:name w:val="标题 21"/>
    <w:basedOn w:val="666"/>
    <w:next w:val="666"/>
    <w:link w:val="85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9" w:customStyle="1">
    <w:name w:val="标题 31"/>
    <w:basedOn w:val="666"/>
    <w:next w:val="666"/>
    <w:link w:val="854"/>
    <w:uiPriority w:val="9"/>
    <w:qFormat/>
    <w:pPr>
      <w:keepLines/>
      <w:keepNext/>
      <w:spacing w:before="260" w:after="260" w:line="416" w:lineRule="auto"/>
      <w:outlineLvl w:val="2"/>
    </w:pPr>
    <w:rPr>
      <w:b/>
      <w:bCs/>
      <w:sz w:val="32"/>
      <w:szCs w:val="32"/>
    </w:rPr>
  </w:style>
  <w:style w:type="character" w:styleId="850" w:customStyle="1">
    <w:name w:val="默认段落字体1"/>
    <w:link w:val="666"/>
    <w:uiPriority w:val="1"/>
    <w:unhideWhenUsed/>
    <w:qFormat/>
  </w:style>
  <w:style w:type="table" w:styleId="85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52" w:customStyle="1">
    <w:name w:val="标题 1 Char"/>
    <w:basedOn w:val="850"/>
    <w:link w:val="847"/>
    <w:uiPriority w:val="9"/>
    <w:qFormat/>
    <w:rPr>
      <w:b/>
      <w:bCs/>
      <w:sz w:val="44"/>
      <w:szCs w:val="44"/>
    </w:rPr>
  </w:style>
  <w:style w:type="character" w:styleId="853" w:customStyle="1">
    <w:name w:val="标题 2 Char"/>
    <w:basedOn w:val="850"/>
    <w:link w:val="848"/>
    <w:uiPriority w:val="9"/>
    <w:qFormat/>
    <w:rPr>
      <w:rFonts w:ascii="Cambria" w:hAnsi="Cambria" w:eastAsia="宋体" w:cs="Times New Roman"/>
      <w:b/>
      <w:bCs/>
      <w:sz w:val="32"/>
      <w:szCs w:val="32"/>
    </w:rPr>
  </w:style>
  <w:style w:type="character" w:styleId="854" w:customStyle="1">
    <w:name w:val="标题 3 Char"/>
    <w:basedOn w:val="850"/>
    <w:link w:val="849"/>
    <w:uiPriority w:val="9"/>
    <w:qFormat/>
    <w:rPr>
      <w:b/>
      <w:bCs/>
      <w:sz w:val="32"/>
      <w:szCs w:val="32"/>
    </w:rPr>
  </w:style>
  <w:style w:type="paragraph" w:styleId="855" w:customStyle="1">
    <w:name w:val="文档结构图1"/>
    <w:basedOn w:val="666"/>
    <w:link w:val="856"/>
    <w:uiPriority w:val="99"/>
    <w:unhideWhenUsed/>
    <w:qFormat/>
    <w:rPr>
      <w:rFonts w:ascii="宋体" w:eastAsia="宋体"/>
      <w:sz w:val="18"/>
      <w:szCs w:val="18"/>
    </w:rPr>
  </w:style>
  <w:style w:type="character" w:styleId="856" w:customStyle="1">
    <w:name w:val="文档结构图 Char"/>
    <w:basedOn w:val="850"/>
    <w:link w:val="855"/>
    <w:uiPriority w:val="99"/>
    <w:semiHidden/>
    <w:qFormat/>
    <w:rPr>
      <w:rFonts w:ascii="宋体" w:eastAsia="宋体"/>
      <w:sz w:val="18"/>
      <w:szCs w:val="18"/>
    </w:rPr>
  </w:style>
  <w:style w:type="paragraph" w:styleId="857" w:customStyle="1">
    <w:name w:val="批注文字1"/>
    <w:basedOn w:val="666"/>
    <w:link w:val="858"/>
    <w:uiPriority w:val="0"/>
    <w:qFormat/>
    <w:pPr>
      <w:ind w:firstLine="922"/>
      <w:jc w:val="left"/>
      <w:spacing w:line="360" w:lineRule="auto"/>
    </w:pPr>
    <w:rPr>
      <w:rFonts w:ascii="Times New Roman" w:hAnsi="Times New Roman" w:eastAsia="宋体" w:cs="Times New Roman"/>
      <w:szCs w:val="24"/>
    </w:rPr>
  </w:style>
  <w:style w:type="character" w:styleId="858" w:customStyle="1">
    <w:name w:val="批注文字 Char"/>
    <w:basedOn w:val="850"/>
    <w:link w:val="857"/>
    <w:uiPriority w:val="0"/>
    <w:qFormat/>
    <w:rPr>
      <w:rFonts w:ascii="Times New Roman" w:hAnsi="Times New Roman" w:eastAsia="宋体" w:cs="Times New Roman"/>
      <w:szCs w:val="24"/>
    </w:rPr>
  </w:style>
  <w:style w:type="paragraph" w:styleId="859" w:customStyle="1">
    <w:name w:val="纯文本1"/>
    <w:basedOn w:val="666"/>
    <w:link w:val="860"/>
    <w:uiPriority w:val="0"/>
    <w:qFormat/>
    <w:rPr>
      <w:rFonts w:ascii="宋体" w:hAnsi="Courier New" w:eastAsia="宋体" w:cs="Times New Roman"/>
      <w:szCs w:val="20"/>
    </w:rPr>
  </w:style>
  <w:style w:type="character" w:styleId="860" w:customStyle="1">
    <w:name w:val="纯文本 Char"/>
    <w:basedOn w:val="850"/>
    <w:link w:val="859"/>
    <w:uiPriority w:val="0"/>
    <w:qFormat/>
    <w:rPr>
      <w:rFonts w:ascii="宋体" w:hAnsi="Courier New" w:eastAsia="宋体" w:cs="Times New Roman"/>
      <w:szCs w:val="20"/>
    </w:rPr>
  </w:style>
  <w:style w:type="paragraph" w:styleId="861" w:customStyle="1">
    <w:name w:val="日期1"/>
    <w:basedOn w:val="666"/>
    <w:next w:val="666"/>
    <w:link w:val="862"/>
    <w:uiPriority w:val="99"/>
    <w:unhideWhenUsed/>
    <w:qFormat/>
    <w:pPr>
      <w:ind w:left="100"/>
    </w:pPr>
  </w:style>
  <w:style w:type="character" w:styleId="862" w:customStyle="1">
    <w:name w:val="日期 Char"/>
    <w:basedOn w:val="850"/>
    <w:link w:val="861"/>
    <w:uiPriority w:val="99"/>
    <w:semiHidden/>
    <w:qFormat/>
  </w:style>
  <w:style w:type="paragraph" w:styleId="863" w:customStyle="1">
    <w:name w:val="批注框文本1"/>
    <w:basedOn w:val="666"/>
    <w:link w:val="864"/>
    <w:uiPriority w:val="99"/>
    <w:unhideWhenUsed/>
    <w:qFormat/>
    <w:rPr>
      <w:sz w:val="18"/>
      <w:szCs w:val="18"/>
    </w:rPr>
  </w:style>
  <w:style w:type="character" w:styleId="864" w:customStyle="1">
    <w:name w:val="批注框文本 Char"/>
    <w:basedOn w:val="850"/>
    <w:link w:val="863"/>
    <w:uiPriority w:val="99"/>
    <w:semiHidden/>
    <w:qFormat/>
    <w:rPr>
      <w:sz w:val="18"/>
      <w:szCs w:val="18"/>
    </w:rPr>
  </w:style>
  <w:style w:type="paragraph" w:styleId="865" w:customStyle="1">
    <w:name w:val="页脚1"/>
    <w:basedOn w:val="666"/>
    <w:link w:val="866"/>
    <w:uiPriority w:val="99"/>
    <w:unhideWhenUsed/>
    <w:qFormat/>
    <w:pPr>
      <w:jc w:val="left"/>
      <w:tabs>
        <w:tab w:val="center" w:pos="4153" w:leader="none"/>
        <w:tab w:val="right" w:pos="8306" w:leader="none"/>
      </w:tabs>
    </w:pPr>
    <w:rPr>
      <w:sz w:val="18"/>
      <w:szCs w:val="18"/>
    </w:rPr>
  </w:style>
  <w:style w:type="character" w:styleId="866" w:customStyle="1">
    <w:name w:val="页脚 Char"/>
    <w:basedOn w:val="850"/>
    <w:link w:val="865"/>
    <w:uiPriority w:val="99"/>
    <w:qFormat/>
    <w:rPr>
      <w:sz w:val="18"/>
      <w:szCs w:val="18"/>
    </w:rPr>
  </w:style>
  <w:style w:type="paragraph" w:styleId="867" w:customStyle="1">
    <w:name w:val="页眉1"/>
    <w:basedOn w:val="666"/>
    <w:link w:val="8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8" w:customStyle="1">
    <w:name w:val="页眉 Char"/>
    <w:basedOn w:val="850"/>
    <w:link w:val="867"/>
    <w:uiPriority w:val="99"/>
    <w:semiHidden/>
    <w:qFormat/>
    <w:rPr>
      <w:sz w:val="18"/>
      <w:szCs w:val="18"/>
    </w:rPr>
  </w:style>
  <w:style w:type="paragraph" w:styleId="869" w:customStyle="1">
    <w:name w:val="目录 11"/>
    <w:basedOn w:val="666"/>
    <w:next w:val="666"/>
    <w:uiPriority w:val="39"/>
    <w:unhideWhenUsed/>
    <w:qFormat/>
  </w:style>
  <w:style w:type="paragraph" w:styleId="870" w:customStyle="1">
    <w:name w:val="普通(网站)1"/>
    <w:basedOn w:val="666"/>
    <w:uiPriority w:val="99"/>
    <w:unhideWhenUsed/>
    <w:qFormat/>
    <w:pPr>
      <w:ind w:left="0" w:right="0"/>
      <w:jc w:val="left"/>
      <w:spacing w:before="100" w:beforeAutospacing="1" w:after="100" w:afterAutospacing="1"/>
    </w:pPr>
    <w:rPr>
      <w:sz w:val="24"/>
      <w:lang w:val="en-US" w:eastAsia="zh-CN" w:bidi="ar"/>
    </w:rPr>
  </w:style>
  <w:style w:type="paragraph" w:styleId="871" w:customStyle="1">
    <w:name w:val="批注主题1"/>
    <w:basedOn w:val="857"/>
    <w:next w:val="857"/>
    <w:link w:val="872"/>
    <w:uiPriority w:val="99"/>
    <w:unhideWhenUsed/>
    <w:qFormat/>
    <w:pPr>
      <w:ind w:firstLine="0"/>
      <w:spacing w:line="240" w:lineRule="auto"/>
    </w:pPr>
    <w:rPr>
      <w:rFonts w:ascii="Calibri" w:hAnsi="Calibri"/>
      <w:b/>
      <w:bCs/>
      <w:szCs w:val="22"/>
    </w:rPr>
  </w:style>
  <w:style w:type="character" w:styleId="872" w:customStyle="1">
    <w:name w:val="批注主题 Char"/>
    <w:basedOn w:val="858"/>
    <w:link w:val="871"/>
    <w:uiPriority w:val="99"/>
    <w:semiHidden/>
    <w:qFormat/>
    <w:rPr>
      <w:rFonts w:ascii="Calibri" w:hAnsi="Calibri"/>
      <w:b/>
      <w:bCs/>
      <w:sz w:val="21"/>
      <w:szCs w:val="22"/>
    </w:rPr>
  </w:style>
  <w:style w:type="table" w:styleId="873" w:customStyle="1">
    <w:name w:val="网格型1"/>
    <w:basedOn w:val="851"/>
    <w:uiPriority w:val="59"/>
    <w:qFormat/>
    <w:tblPr/>
  </w:style>
  <w:style w:type="character" w:styleId="874" w:customStyle="1">
    <w:name w:val="强调1"/>
    <w:link w:val="666"/>
    <w:uiPriority w:val="0"/>
    <w:qFormat/>
    <w:rPr>
      <w:i/>
    </w:rPr>
  </w:style>
  <w:style w:type="character" w:styleId="875" w:customStyle="1">
    <w:name w:val="超链接1"/>
    <w:link w:val="666"/>
    <w:uiPriority w:val="99"/>
    <w:qFormat/>
    <w:rPr>
      <w:color w:val="0000ff"/>
      <w:u w:val="none"/>
    </w:rPr>
  </w:style>
  <w:style w:type="character" w:styleId="876" w:customStyle="1">
    <w:name w:val="批注引用1"/>
    <w:link w:val="666"/>
    <w:uiPriority w:val="0"/>
    <w:qFormat/>
    <w:rPr>
      <w:sz w:val="21"/>
      <w:szCs w:val="21"/>
    </w:rPr>
  </w:style>
  <w:style w:type="paragraph" w:styleId="877" w:customStyle="1">
    <w:name w:val="Default"/>
    <w:link w:val="878"/>
    <w:uiPriority w:val="99"/>
    <w:qFormat/>
    <w:pPr>
      <w:widowControl w:val="off"/>
    </w:pPr>
    <w:rPr>
      <w:rFonts w:hint="default" w:ascii="MS Mincho" w:hAnsi="Calibri" w:eastAsia="宋体" w:cs="Times New Roman"/>
      <w:color w:val="000000"/>
      <w:szCs w:val="24"/>
      <w:lang w:bidi="ar-SA"/>
    </w:rPr>
  </w:style>
  <w:style w:type="character" w:styleId="878" w:customStyle="1">
    <w:name w:val="Default Char"/>
    <w:link w:val="877"/>
    <w:uiPriority w:val="99"/>
    <w:qFormat/>
    <w:rPr>
      <w:rFonts w:ascii="MS Mincho" w:hAnsi="Calibri"/>
      <w:color w:val="000000"/>
      <w:szCs w:val="24"/>
      <w:lang w:bidi="ar-SA"/>
    </w:rPr>
  </w:style>
  <w:style w:type="paragraph" w:styleId="879" w:customStyle="1">
    <w:name w:val="正文首行缩进11"/>
    <w:basedOn w:val="880"/>
    <w:uiPriority w:val="0"/>
    <w:qFormat/>
    <w:pPr>
      <w:ind w:firstLine="200"/>
      <w:spacing w:line="360" w:lineRule="auto"/>
    </w:pPr>
    <w:rPr>
      <w:rFonts w:ascii="仿宋_GB2312" w:hAnsi="Times New Roman" w:eastAsia="仿宋_GB2312"/>
      <w:sz w:val="30"/>
      <w:szCs w:val="30"/>
    </w:rPr>
  </w:style>
  <w:style w:type="paragraph" w:styleId="880" w:customStyle="1">
    <w:name w:val="正文文本11"/>
    <w:basedOn w:val="666"/>
    <w:next w:val="666"/>
    <w:uiPriority w:val="0"/>
    <w:qFormat/>
    <w:rPr>
      <w:rFonts w:ascii="楷体_GB2312" w:hAnsi="Arial" w:eastAsia="楷体_GB2312"/>
      <w:sz w:val="28"/>
      <w:szCs w:val="28"/>
      <w:lang w:eastAsia="en-US"/>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8</cp:revision>
  <dcterms:created xsi:type="dcterms:W3CDTF">2024-08-14T05:18:00Z</dcterms:created>
  <dcterms:modified xsi:type="dcterms:W3CDTF">2026-08-10T00:43:05Z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585AED1F4FBF402F9F602EB1357B52E3_12</vt:lpwstr>
  </property>
  <property fmtid="{D5CDD505-2E9C-101B-9397-08002B2CF9AE}" pid="4" name="KSOTemplateDocerSaveRecord">
    <vt:lpwstr>eyJoZGlkIjoiOTYzYmFlMjYyNzUwNWYxNmE3MjZlNzc1NjliMGE3ZTkiLCJ1c2VySWQiOiIyMDI4NzU5In0=</vt:lpwstr>
  </property>
</Properties>
</file>