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32" w:hanging="1900"/>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rPr>
        <w:t xml:space="preserve">合同能源管理服务项目</w:t>
      </w:r>
      <w:r/>
    </w:p>
    <w:p>
      <w:pPr>
        <w:ind w:left="2832" w:hanging="1900"/>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项目编号：</w:t>
      </w:r>
      <w:r>
        <w:rPr>
          <w:rFonts w:hint="eastAsia" w:ascii="宋体" w:hAnsi="宋体"/>
          <w:bCs/>
          <w:color w:val="auto"/>
          <w:sz w:val="36"/>
          <w:szCs w:val="36"/>
          <w:highlight w:val="none"/>
        </w:rPr>
        <w:t xml:space="preserve">JSZC-320400-CTZB-G2026-0090</w:t>
      </w:r>
      <w:r/>
    </w:p>
    <w:p>
      <w:pPr>
        <w:ind w:left="2832" w:hanging="1900"/>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rPr>
        <w:t xml:space="preserve">常州市肿瘤医院</w:t>
      </w:r>
      <w:r/>
    </w:p>
    <w:p>
      <w:pPr>
        <w:ind w:left="2832" w:hanging="1900"/>
        <w:jc w:val="left"/>
        <w:spacing w:line="360" w:lineRule="auto"/>
        <w:tabs>
          <w:tab w:val="left" w:pos="3240" w:leader="none"/>
          <w:tab w:val="left" w:pos="3420" w:leader="none"/>
        </w:tabs>
        <w:rPr>
          <w:rFonts w:ascii="宋体" w:hAnsi="宋体"/>
          <w:b/>
          <w:color w:val="auto"/>
          <w:sz w:val="72"/>
          <w:highlight w:val="none"/>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常州市城投建设工程招标有限公司</w:t>
      </w:r>
      <w:r/>
    </w:p>
    <w:p>
      <w:pPr>
        <w:jc w:val="center"/>
        <w:spacing w:line="360" w:lineRule="auto"/>
        <w:rPr>
          <w:rFonts w:ascii="宋体" w:hAnsi="宋体"/>
          <w:b/>
          <w:color w:val="auto"/>
          <w:sz w:val="36"/>
          <w:szCs w:val="36"/>
          <w:highlight w:val="none"/>
        </w:rPr>
        <w:outlineLvl w:val="0"/>
      </w:pPr>
      <w:r/>
      <w:bookmarkStart w:id="0" w:name="_Toc99301418"/>
      <w:r/>
      <w:r/>
    </w:p>
    <w:p>
      <w:pPr>
        <w:jc w:val="center"/>
        <w:spacing w:line="360" w:lineRule="auto"/>
        <w:rPr>
          <w:rFonts w:ascii="宋体" w:hAnsi="宋体"/>
          <w:b/>
          <w:color w:val="auto"/>
          <w:sz w:val="44"/>
          <w:szCs w:val="44"/>
          <w:highlight w:val="none"/>
        </w:rPr>
        <w:outlineLvl w:val="0"/>
      </w:pPr>
      <w:r>
        <w:rPr>
          <w:rFonts w:ascii="宋体" w:hAnsi="宋体"/>
          <w:b/>
          <w:color w:val="auto"/>
          <w:sz w:val="44"/>
          <w:szCs w:val="44"/>
          <w:highlight w:val="none"/>
        </w:rPr>
        <w:t xml:space="preserve">目      录</w:t>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1064"/>
        <w:spacing w:line="720" w:lineRule="auto"/>
        <w:rPr>
          <w:b w:val="0"/>
          <w:color w:val="auto"/>
          <w:sz w:val="32"/>
          <w:szCs w:val="32"/>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p>
    <w:p>
      <w:pPr>
        <w:pStyle w:val="1064"/>
        <w:spacing w:line="720" w:lineRule="auto"/>
        <w:rPr>
          <w:b w:val="0"/>
          <w:color w:val="auto"/>
          <w:sz w:val="32"/>
          <w:szCs w:val="3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1087"/>
          <w:color w:val="auto"/>
          <w:sz w:val="32"/>
          <w:szCs w:val="32"/>
          <w:highlight w:val="none"/>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_Toc99301419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1064"/>
        <w:spacing w:line="720" w:lineRule="auto"/>
        <w:rPr>
          <w:b w:val="0"/>
          <w:color w:val="auto"/>
          <w:sz w:val="32"/>
          <w:szCs w:val="3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1087"/>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_Toc99301420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1064"/>
        <w:spacing w:line="720" w:lineRule="auto"/>
        <w:rPr>
          <w:b w:val="0"/>
          <w:color w:val="auto"/>
          <w:sz w:val="32"/>
          <w:szCs w:val="3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1087"/>
          <w:color w:val="auto"/>
          <w:sz w:val="32"/>
          <w:szCs w:val="32"/>
          <w:highlight w:val="none"/>
        </w:rPr>
        <w:t xml:space="preserve">第三章   资</w:t>
      </w:r>
      <w:bookmarkStart w:id="1" w:name="_Hlt100754117"/>
      <w:r>
        <w:rPr>
          <w:rStyle w:val="1087"/>
          <w:color w:val="auto"/>
          <w:sz w:val="32"/>
          <w:szCs w:val="32"/>
          <w:highlight w:val="none"/>
        </w:rPr>
        <w:t xml:space="preserve">格</w:t>
      </w:r>
      <w:bookmarkEnd w:id="1"/>
      <w:r>
        <w:rPr>
          <w:rStyle w:val="1087"/>
          <w:color w:val="auto"/>
          <w:sz w:val="32"/>
          <w:szCs w:val="32"/>
          <w:highlight w:val="none"/>
        </w:rPr>
        <w:t xml:space="preserve">审查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_Toc99301421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1064"/>
        <w:spacing w:line="720" w:lineRule="auto"/>
        <w:rPr>
          <w:b w:val="0"/>
          <w:color w:val="auto"/>
          <w:sz w:val="32"/>
          <w:szCs w:val="3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1087"/>
          <w:color w:val="auto"/>
          <w:sz w:val="32"/>
          <w:szCs w:val="32"/>
          <w:highlight w:val="none"/>
        </w:rPr>
        <w:t xml:space="preserve">第四章   评标程序、评标方法和评标标准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_Toc99301423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1064"/>
        <w:spacing w:line="720" w:lineRule="auto"/>
        <w:rPr>
          <w:b w:val="0"/>
          <w:color w:val="auto"/>
          <w:sz w:val="32"/>
          <w:szCs w:val="3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1087"/>
          <w:color w:val="auto"/>
          <w:sz w:val="32"/>
          <w:szCs w:val="32"/>
          <w:highlight w:val="none"/>
        </w:rPr>
        <w:t xml:space="preserve">第五章   采购</w:t>
      </w:r>
      <w:bookmarkStart w:id="2" w:name="_Hlt100754102"/>
      <w:r/>
      <w:bookmarkStart w:id="3" w:name="_Hlt100754103"/>
      <w:r>
        <w:rPr>
          <w:rStyle w:val="1087"/>
          <w:color w:val="auto"/>
          <w:sz w:val="32"/>
          <w:szCs w:val="32"/>
          <w:highlight w:val="none"/>
        </w:rPr>
        <w:t xml:space="preserve">需</w:t>
      </w:r>
      <w:bookmarkEnd w:id="2"/>
      <w:r/>
      <w:bookmarkEnd w:id="3"/>
      <w:r>
        <w:rPr>
          <w:rStyle w:val="1087"/>
          <w:color w:val="auto"/>
          <w:sz w:val="32"/>
          <w:szCs w:val="32"/>
          <w:highlight w:val="none"/>
        </w:rPr>
        <w:t xml:space="preserve">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_Toc99301424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color w:val="auto"/>
          <w:sz w:val="32"/>
          <w:szCs w:val="32"/>
          <w:highlight w:val="none"/>
        </w:rPr>
        <w:fldChar w:fldCharType="end"/>
      </w:r>
      <w:r/>
    </w:p>
    <w:p>
      <w:pPr>
        <w:pStyle w:val="1064"/>
        <w:spacing w:line="720" w:lineRule="auto"/>
        <w:rPr>
          <w:b w:val="0"/>
          <w:color w:val="auto"/>
          <w:sz w:val="32"/>
          <w:szCs w:val="3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1087"/>
          <w:color w:val="auto"/>
          <w:sz w:val="32"/>
          <w:szCs w:val="32"/>
          <w:highlight w:val="none"/>
        </w:rPr>
        <w:t xml:space="preserve">第六章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_Toc99301425 \h </w:instrText>
      </w:r>
      <w:r>
        <w:rPr>
          <w:color w:val="auto"/>
          <w:sz w:val="32"/>
          <w:szCs w:val="32"/>
          <w:highlight w:val="none"/>
        </w:rPr>
        <w:fldChar w:fldCharType="separate"/>
      </w:r>
      <w:r>
        <w:rPr>
          <w:color w:val="auto"/>
          <w:sz w:val="32"/>
          <w:szCs w:val="32"/>
          <w:highlight w:val="none"/>
        </w:rPr>
        <w:t xml:space="preserve">78</w:t>
      </w:r>
      <w:r>
        <w:rPr>
          <w:color w:val="auto"/>
          <w:sz w:val="32"/>
          <w:szCs w:val="32"/>
          <w:highlight w:val="none"/>
        </w:rPr>
        <w:fldChar w:fldCharType="end"/>
      </w:r>
      <w:r>
        <w:rPr>
          <w:color w:val="auto"/>
          <w:sz w:val="32"/>
          <w:szCs w:val="32"/>
          <w:highlight w:val="none"/>
        </w:rPr>
        <w:fldChar w:fldCharType="end"/>
      </w:r>
      <w:r/>
    </w:p>
    <w:p>
      <w:pPr>
        <w:pStyle w:val="1064"/>
        <w:spacing w:line="720" w:lineRule="auto"/>
        <w:rPr>
          <w:b w:val="0"/>
          <w:color w:val="auto"/>
          <w:sz w:val="32"/>
          <w:szCs w:val="3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1087"/>
          <w:color w:val="auto"/>
          <w:sz w:val="32"/>
          <w:szCs w:val="32"/>
          <w:highlight w:val="none"/>
        </w:rPr>
        <w:t xml:space="preserve">第七章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_Toc99301426 \h </w:instrText>
      </w:r>
      <w:r>
        <w:rPr>
          <w:color w:val="auto"/>
          <w:sz w:val="32"/>
          <w:szCs w:val="32"/>
          <w:highlight w:val="none"/>
        </w:rPr>
        <w:fldChar w:fldCharType="separate"/>
      </w:r>
      <w:r>
        <w:rPr>
          <w:color w:val="auto"/>
          <w:sz w:val="32"/>
          <w:szCs w:val="32"/>
          <w:highlight w:val="none"/>
        </w:rPr>
        <w:t xml:space="preserve">78</w:t>
      </w:r>
      <w:r>
        <w:rPr>
          <w:color w:val="auto"/>
          <w:sz w:val="32"/>
          <w:szCs w:val="32"/>
          <w:highlight w:val="none"/>
        </w:rPr>
        <w:fldChar w:fldCharType="end"/>
      </w:r>
      <w:r>
        <w:rPr>
          <w:color w:val="auto"/>
          <w:sz w:val="32"/>
          <w:szCs w:val="32"/>
          <w:highlight w:val="none"/>
        </w:rPr>
        <w:fldChar w:fldCharType="end"/>
      </w:r>
      <w:r/>
    </w:p>
    <w:p>
      <w:pPr>
        <w:pStyle w:val="1064"/>
        <w:spacing w:line="720" w:lineRule="auto"/>
        <w:rPr>
          <w:b w:val="0"/>
          <w:color w:val="auto"/>
          <w:highlight w:val="none"/>
        </w:rPr>
      </w:pPr>
      <w:r>
        <w:rPr>
          <w:b w:val="0"/>
          <w:color w:val="auto"/>
          <w:sz w:val="32"/>
          <w:szCs w:val="32"/>
          <w:highlight w:val="none"/>
        </w:rPr>
        <w:fldChar w:fldCharType="end"/>
      </w:r>
      <w:r/>
    </w:p>
    <w:p>
      <w:pPr>
        <w:jc w:val="center"/>
        <w:spacing w:line="360" w:lineRule="auto"/>
        <w:rPr>
          <w:rFonts w:ascii="宋体" w:hAnsi="宋体"/>
          <w:b/>
          <w:color w:val="auto"/>
          <w:sz w:val="36"/>
          <w:szCs w:val="36"/>
          <w:highlight w:val="none"/>
        </w:rPr>
        <w:outlineLvl w:val="0"/>
      </w:pPr>
      <w:r>
        <w:rPr>
          <w:rFonts w:ascii="宋体" w:hAnsi="宋体"/>
          <w:color w:val="auto"/>
          <w:sz w:val="24"/>
          <w:highlight w:val="none"/>
        </w:rPr>
        <w:br w:type="page" w:clear="all"/>
      </w:r>
      <w:bookmarkStart w:id="4" w:name="_Toc99301419"/>
      <w:r>
        <w:rPr>
          <w:rFonts w:ascii="宋体" w:hAnsi="宋体"/>
          <w:b/>
          <w:color w:val="auto"/>
          <w:sz w:val="36"/>
          <w:szCs w:val="36"/>
          <w:highlight w:val="none"/>
        </w:rPr>
        <w:t xml:space="preserve">第一章   投标邀请</w:t>
      </w:r>
      <w:bookmarkEnd w:id="4"/>
      <w:r/>
      <w:r/>
    </w:p>
    <w:p>
      <w:pPr>
        <w:ind w:firstLine="640"/>
        <w:spacing w:line="360" w:lineRule="auto"/>
        <w:rPr>
          <w:rFonts w:ascii="仿宋" w:hAnsi="仿宋" w:eastAsia="仿宋"/>
          <w:color w:val="auto"/>
          <w:sz w:val="32"/>
          <w:szCs w:val="32"/>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32"/>
          <w:szCs w:val="32"/>
          <w:highlight w:val="none"/>
        </w:rPr>
        <w:t xml:space="preserve">项目概况</w:t>
      </w:r>
      <w:r/>
    </w:p>
    <w:p>
      <w:pPr>
        <w:ind w:firstLine="640"/>
        <w:spacing w:line="360" w:lineRule="auto"/>
        <w:rPr>
          <w:rFonts w:ascii="仿宋" w:hAnsi="仿宋" w:eastAsia="仿宋"/>
          <w:color w:val="auto"/>
          <w:sz w:val="32"/>
          <w:szCs w:val="32"/>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32"/>
          <w:szCs w:val="32"/>
          <w:highlight w:val="none"/>
        </w:rPr>
        <w:t xml:space="preserve">常州市肿瘤医院合同能源管理服务项目的潜在投标人应在“苏采云”政府采购一体化平台获取招标文件，并于</w:t>
      </w:r>
      <w:r>
        <w:rPr>
          <w:rFonts w:ascii="FangSong" w:hAnsi="FangSong" w:eastAsia="FangSong" w:cs="FangSong"/>
          <w:b/>
          <w:color w:val="000000"/>
          <w:sz w:val="32"/>
        </w:rPr>
        <w:t xml:space="preserve">2026年08月03日14点00分（北京时间）</w:t>
      </w:r>
      <w:r>
        <w:rPr>
          <w:rFonts w:hint="eastAsia" w:ascii="仿宋" w:hAnsi="仿宋" w:eastAsia="仿宋"/>
          <w:bCs/>
          <w:color w:val="auto"/>
          <w:sz w:val="32"/>
          <w:szCs w:val="32"/>
          <w:highlight w:val="none"/>
        </w:rPr>
        <w:t xml:space="preserve">前递交投标</w:t>
      </w:r>
      <w:r>
        <w:rPr>
          <w:rFonts w:ascii="仿宋" w:hAnsi="仿宋" w:eastAsia="仿宋"/>
          <w:bCs/>
          <w:color w:val="auto"/>
          <w:sz w:val="32"/>
          <w:szCs w:val="32"/>
          <w:highlight w:val="none"/>
        </w:rPr>
        <w:t xml:space="preserve">文件</w:t>
      </w:r>
      <w:r>
        <w:rPr>
          <w:rFonts w:hint="eastAsia" w:ascii="仿宋" w:hAnsi="仿宋" w:eastAsia="仿宋"/>
          <w:color w:val="auto"/>
          <w:sz w:val="32"/>
          <w:szCs w:val="32"/>
          <w:highlight w:val="none"/>
        </w:rPr>
        <w:t xml:space="preserve">。</w:t>
      </w:r>
      <w:r/>
    </w:p>
    <w:p>
      <w:pPr>
        <w:pStyle w:val="1033"/>
        <w:ind w:firstLine="643"/>
        <w:jc w:val="left"/>
        <w:spacing w:line="360" w:lineRule="auto"/>
        <w:rPr>
          <w:rFonts w:ascii="仿宋" w:hAnsi="仿宋" w:eastAsia="仿宋"/>
          <w:color w:val="auto"/>
          <w:sz w:val="32"/>
          <w:szCs w:val="32"/>
          <w:highlight w:val="none"/>
        </w:rPr>
      </w:pPr>
      <w:r/>
      <w:bookmarkStart w:id="5" w:name="_Toc28359079"/>
      <w:r/>
      <w:bookmarkStart w:id="6" w:name="_Toc28359002"/>
      <w:r/>
      <w:bookmarkStart w:id="7" w:name="_Toc35393621"/>
      <w:r/>
      <w:bookmarkStart w:id="8" w:name="_Toc35393790"/>
      <w:r/>
      <w:bookmarkStart w:id="9" w:name="_Hlk24379207"/>
      <w:r>
        <w:rPr>
          <w:rFonts w:ascii="仿宋" w:hAnsi="仿宋" w:eastAsia="仿宋"/>
          <w:color w:val="auto"/>
          <w:sz w:val="32"/>
          <w:szCs w:val="32"/>
          <w:highlight w:val="none"/>
        </w:rPr>
        <w:t xml:space="preserve">一、项目基本情况</w:t>
      </w:r>
      <w:bookmarkEnd w:id="5"/>
      <w:r/>
      <w:bookmarkEnd w:id="6"/>
      <w:r/>
      <w:bookmarkEnd w:id="7"/>
      <w:r/>
      <w:bookmarkEnd w:id="8"/>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1.项目编号：</w:t>
      </w:r>
      <w:r>
        <w:rPr>
          <w:rFonts w:hint="eastAsia" w:ascii="仿宋" w:hAnsi="仿宋" w:eastAsia="仿宋"/>
          <w:color w:val="auto"/>
          <w:sz w:val="32"/>
          <w:szCs w:val="32"/>
          <w:highlight w:val="none"/>
        </w:rPr>
        <w:t xml:space="preserve">JSZC-320400-CTZB-G2026-0090</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2.项目名称：</w:t>
      </w:r>
      <w:r>
        <w:rPr>
          <w:rFonts w:hint="eastAsia" w:ascii="仿宋" w:hAnsi="仿宋" w:eastAsia="仿宋"/>
          <w:color w:val="auto"/>
          <w:sz w:val="32"/>
          <w:szCs w:val="32"/>
          <w:highlight w:val="none"/>
        </w:rPr>
        <w:t xml:space="preserve">常州市肿瘤医院合同能源管理服务项目</w:t>
      </w:r>
      <w:bookmarkEnd w:id="9"/>
      <w:r/>
      <w:r/>
    </w:p>
    <w:p>
      <w:pPr>
        <w:ind w:firstLine="640"/>
        <w:spacing w:line="360" w:lineRule="auto"/>
        <w:rPr>
          <w:rFonts w:hint="default" w:ascii="仿宋" w:hAnsi="仿宋" w:eastAsia="仿宋"/>
          <w:color w:val="auto"/>
          <w:sz w:val="32"/>
          <w:szCs w:val="32"/>
          <w:highlight w:val="none"/>
          <w:lang w:val="en-US" w:eastAsia="zh-CN"/>
        </w:rPr>
      </w:pPr>
      <w:r>
        <w:rPr>
          <w:rFonts w:ascii="仿宋" w:hAnsi="仿宋" w:eastAsia="仿宋"/>
          <w:color w:val="auto"/>
          <w:sz w:val="32"/>
          <w:szCs w:val="32"/>
          <w:highlight w:val="none"/>
        </w:rPr>
        <w:t xml:space="preserve">3.项目预算金额：</w:t>
      </w:r>
      <w:r>
        <w:rPr>
          <w:rFonts w:hint="eastAsia" w:ascii="仿宋" w:hAnsi="仿宋" w:eastAsia="仿宋"/>
          <w:color w:val="auto"/>
          <w:sz w:val="32"/>
          <w:szCs w:val="32"/>
          <w:highlight w:val="none"/>
          <w:lang w:val="en-US" w:eastAsia="zh-CN"/>
        </w:rPr>
        <w:t xml:space="preserve">11400万元（10年）</w:t>
      </w:r>
      <w:r/>
    </w:p>
    <w:p>
      <w:pPr>
        <w:ind w:firstLine="640"/>
        <w:spacing w:line="360" w:lineRule="auto"/>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4.</w:t>
      </w:r>
      <w:r>
        <w:rPr>
          <w:rFonts w:ascii="仿宋" w:hAnsi="仿宋" w:eastAsia="仿宋"/>
          <w:b/>
          <w:bCs/>
          <w:color w:val="auto"/>
          <w:sz w:val="32"/>
          <w:szCs w:val="32"/>
          <w:highlight w:val="none"/>
        </w:rPr>
        <w:t xml:space="preserve">项目最高限价（如有）：</w:t>
      </w:r>
      <w:r>
        <w:rPr>
          <w:rFonts w:hint="eastAsia" w:ascii="仿宋" w:hAnsi="仿宋" w:eastAsia="仿宋"/>
          <w:b/>
          <w:bCs/>
          <w:color w:val="auto"/>
          <w:sz w:val="32"/>
          <w:szCs w:val="32"/>
          <w:highlight w:val="none"/>
          <w:lang w:val="en-US" w:eastAsia="zh-CN"/>
        </w:rPr>
        <w:t xml:space="preserve">11000万元,其中能源托管费用9800万元（能源托管费用980万元/年，每年固定），</w:t>
      </w:r>
      <w:r>
        <w:rPr>
          <w:rFonts w:hint="eastAsia" w:ascii="仿宋" w:hAnsi="仿宋" w:eastAsia="仿宋"/>
          <w:b/>
          <w:bCs/>
          <w:color w:val="auto"/>
          <w:sz w:val="32"/>
          <w:szCs w:val="32"/>
          <w:highlight w:val="none"/>
          <w:lang w:val="en-US" w:eastAsia="zh-CN"/>
        </w:rPr>
        <w:t xml:space="preserve">运维托管费用总价1200万元（即120万元/年，每年固定）</w:t>
      </w:r>
      <w:r>
        <w:rPr>
          <w:rFonts w:hint="eastAsia" w:ascii="仿宋" w:hAnsi="仿宋" w:eastAsia="仿宋"/>
          <w:b/>
          <w:bCs/>
          <w:color w:val="auto"/>
          <w:sz w:val="32"/>
          <w:szCs w:val="32"/>
          <w:highlight w:val="none"/>
          <w:lang w:val="en-US" w:eastAsia="zh-CN"/>
        </w:rPr>
        <w:t xml:space="preserve">。</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5</w:t>
      </w:r>
      <w:r>
        <w:rPr>
          <w:rFonts w:ascii="仿宋" w:hAnsi="仿宋" w:eastAsia="仿宋"/>
          <w:color w:val="auto"/>
          <w:sz w:val="32"/>
          <w:szCs w:val="32"/>
          <w:highlight w:val="none"/>
        </w:rPr>
        <w:t xml:space="preserve">.采购需求：</w:t>
      </w:r>
      <w:r/>
    </w:p>
    <w:tbl>
      <w:tblPr>
        <w:tblStyle w:val="10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706"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包号</w:t>
            </w:r>
            <w:r/>
          </w:p>
        </w:tc>
        <w:tc>
          <w:tcPr>
            <w:tcW w:w="1556"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标的名称</w:t>
            </w:r>
            <w:r/>
          </w:p>
        </w:tc>
        <w:tc>
          <w:tcPr>
            <w:tcW w:w="1701"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采购包预算金额</w:t>
            </w:r>
            <w:r/>
          </w:p>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（万元）</w:t>
            </w:r>
            <w:r/>
          </w:p>
        </w:tc>
        <w:tc>
          <w:tcPr>
            <w:tcW w:w="996"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数量</w:t>
            </w:r>
            <w:r/>
          </w:p>
        </w:tc>
        <w:tc>
          <w:tcPr>
            <w:tcW w:w="4277" w:type="dxa"/>
            <w:vAlign w:val="center"/>
            <w:textDirection w:val="lrTb"/>
            <w:noWrap w:val="false"/>
          </w:tcPr>
          <w:p>
            <w:pPr>
              <w:jc w:val="center"/>
              <w:rPr>
                <w:rFonts w:ascii="仿宋" w:hAnsi="仿宋" w:eastAsia="仿宋"/>
                <w:color w:val="auto"/>
                <w:sz w:val="32"/>
                <w:szCs w:val="32"/>
                <w:highlight w:val="none"/>
              </w:rPr>
            </w:pPr>
            <w:r>
              <w:rPr>
                <w:rFonts w:ascii="仿宋" w:hAnsi="仿宋" w:eastAsia="仿宋"/>
                <w:color w:val="auto"/>
                <w:sz w:val="32"/>
                <w:szCs w:val="32"/>
                <w:highlight w:val="none"/>
              </w:rPr>
              <w:t xml:space="preserve">简要技术需求或服务要求</w:t>
            </w:r>
            <w:r/>
          </w:p>
        </w:tc>
      </w:tr>
      <w:tr>
        <w:trPr>
          <w:trHeight w:val="454"/>
        </w:trPr>
        <w:tc>
          <w:tcPr>
            <w:tcW w:w="706"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01</w:t>
            </w:r>
            <w:r/>
          </w:p>
        </w:tc>
        <w:tc>
          <w:tcPr>
            <w:tcW w:w="1556" w:type="dxa"/>
            <w:vAlign w:val="center"/>
            <w:textDirection w:val="lrTb"/>
            <w:noWrap w:val="false"/>
          </w:tcPr>
          <w:p>
            <w:pPr>
              <w:jc w:val="center"/>
              <w:rPr>
                <w:rFonts w:ascii="仿宋" w:hAnsi="仿宋" w:eastAsia="仿宋"/>
                <w:bCs/>
                <w:color w:val="auto"/>
                <w:sz w:val="32"/>
                <w:szCs w:val="32"/>
                <w:highlight w:val="none"/>
              </w:rPr>
            </w:pPr>
            <w:r>
              <w:rPr>
                <w:rFonts w:hint="eastAsia" w:ascii="仿宋" w:hAnsi="仿宋" w:eastAsia="仿宋"/>
                <w:color w:val="auto"/>
                <w:sz w:val="32"/>
                <w:szCs w:val="32"/>
                <w:highlight w:val="none"/>
              </w:rPr>
              <w:t xml:space="preserve">合同能源管理服务</w:t>
            </w:r>
            <w:r/>
          </w:p>
        </w:tc>
        <w:tc>
          <w:tcPr>
            <w:tcW w:w="1701" w:type="dxa"/>
            <w:vAlign w:val="center"/>
            <w:textDirection w:val="lrTb"/>
            <w:noWrap w:val="false"/>
          </w:tcPr>
          <w:p>
            <w:pPr>
              <w:jc w:val="center"/>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 </w:t>
            </w:r>
            <w:r/>
          </w:p>
        </w:tc>
        <w:tc>
          <w:tcPr>
            <w:tcW w:w="996" w:type="dxa"/>
            <w:vAlign w:val="center"/>
            <w:textDirection w:val="lrTb"/>
            <w:noWrap w:val="false"/>
          </w:tcPr>
          <w:p>
            <w:pPr>
              <w:jc w:val="center"/>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10年</w:t>
            </w:r>
            <w:r/>
          </w:p>
        </w:tc>
        <w:tc>
          <w:tcPr>
            <w:tcW w:w="4277" w:type="dxa"/>
            <w:vAlign w:val="center"/>
            <w:textDirection w:val="lrTb"/>
            <w:noWrap w:val="false"/>
          </w:tcPr>
          <w:p>
            <w:pPr>
              <w:jc w:val="lef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鉴于医院当前现状，拟委托专业综</w:t>
            </w:r>
            <w:r>
              <w:rPr>
                <w:rFonts w:hint="eastAsia" w:ascii="仿宋" w:hAnsi="仿宋" w:eastAsia="仿宋"/>
                <w:color w:val="auto"/>
                <w:sz w:val="32"/>
                <w:szCs w:val="32"/>
                <w:highlight w:val="none"/>
              </w:rPr>
              <w:t xml:space="preserve">合能源服务公司，采用能源费用托管型合同能源管理方式，利用国内外最新能源及信息技术发展成果，统筹推进常州市肿瘤医院实现能源利用高效化、清洁化、智能化、数字化。本次项目目标是通过实施包括技术、管理专业化能源一揽子解决方案，实现能源费用管控、综合能源逐步降低、机电运行安全提升。采购人负责缴纳合同期内实际产生的水、电、天然气能耗费用（如有政策调整，按相关政策调整，由双方协商后确定相关费用及缴费形式），按照约定定期与中标人对合同期内的能源服务费用和后勤运维服务费用进行结算，并由中标人负责合同期内的节能改造和运维管理。</w:t>
            </w:r>
            <w:r/>
          </w:p>
        </w:tc>
      </w:tr>
    </w:tbl>
    <w:p>
      <w:pPr>
        <w:ind w:firstLine="640"/>
        <w:spacing w:line="360" w:lineRule="auto"/>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6</w:t>
      </w:r>
      <w:r>
        <w:rPr>
          <w:rFonts w:ascii="仿宋" w:hAnsi="仿宋" w:eastAsia="仿宋"/>
          <w:color w:val="auto"/>
          <w:sz w:val="32"/>
          <w:szCs w:val="32"/>
          <w:highlight w:val="none"/>
        </w:rPr>
        <w:t xml:space="preserve">.</w:t>
      </w:r>
      <w:r>
        <w:rPr>
          <w:rFonts w:hint="eastAsia" w:ascii="仿宋" w:hAnsi="仿宋" w:eastAsia="仿宋"/>
          <w:color w:val="auto"/>
          <w:sz w:val="32"/>
          <w:szCs w:val="32"/>
          <w:highlight w:val="none"/>
        </w:rPr>
        <w:t xml:space="preserve">合同履行期限：10年</w:t>
      </w:r>
      <w:r>
        <w:rPr>
          <w:rFonts w:hint="eastAsia" w:ascii="仿宋" w:hAnsi="仿宋" w:eastAsia="仿宋"/>
          <w:color w:val="auto"/>
          <w:sz w:val="32"/>
          <w:szCs w:val="32"/>
          <w:highlight w:val="none"/>
          <w:lang w:eastAsia="zh-CN"/>
        </w:rPr>
        <w:t xml:space="preserve">。</w:t>
      </w:r>
      <w:r>
        <w:rPr>
          <w:rFonts w:hint="eastAsia" w:ascii="仿宋" w:hAnsi="仿宋" w:eastAsia="仿宋"/>
          <w:color w:val="auto"/>
          <w:sz w:val="32"/>
          <w:szCs w:val="32"/>
          <w:highlight w:val="none"/>
          <w:lang w:val="en-US" w:eastAsia="zh-CN"/>
        </w:rPr>
        <w:t xml:space="preserve">（其中，能源管理的起算时间为合同签订后平台部署及节能技改建设期完成并通过验收投入使用之日；后勤运维托管服务的起始时间不得早于2027年1月1日）</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7</w:t>
      </w:r>
      <w:r>
        <w:rPr>
          <w:rFonts w:ascii="仿宋" w:hAnsi="仿宋" w:eastAsia="仿宋"/>
          <w:color w:val="auto"/>
          <w:sz w:val="32"/>
          <w:szCs w:val="32"/>
          <w:highlight w:val="none"/>
        </w:rPr>
        <w:t xml:space="preserve">.本项目是否接受联合体投标：□是  ■否。</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ascii="仿宋" w:hAnsi="仿宋" w:eastAsia="仿宋"/>
          <w:color w:val="auto"/>
          <w:sz w:val="32"/>
          <w:szCs w:val="32"/>
          <w:highlight w:val="none"/>
        </w:rPr>
        <w:t xml:space="preserve">本项目是否接受</w:t>
      </w:r>
      <w:r>
        <w:rPr>
          <w:rFonts w:hint="eastAsia" w:ascii="仿宋" w:hAnsi="仿宋" w:eastAsia="仿宋"/>
          <w:color w:val="auto"/>
          <w:sz w:val="32"/>
          <w:szCs w:val="32"/>
          <w:highlight w:val="none"/>
        </w:rPr>
        <w:t xml:space="preserve">进口产品</w:t>
      </w:r>
      <w:r>
        <w:rPr>
          <w:rFonts w:ascii="仿宋" w:hAnsi="仿宋" w:eastAsia="仿宋"/>
          <w:color w:val="auto"/>
          <w:sz w:val="32"/>
          <w:szCs w:val="32"/>
          <w:highlight w:val="none"/>
        </w:rPr>
        <w:t xml:space="preserve">投标：□是  ■否。</w:t>
      </w:r>
      <w:r/>
    </w:p>
    <w:p>
      <w:pPr>
        <w:pStyle w:val="1033"/>
        <w:ind w:firstLine="643"/>
        <w:jc w:val="left"/>
        <w:spacing w:before="0" w:line="360" w:lineRule="auto"/>
        <w:rPr>
          <w:rFonts w:ascii="仿宋" w:hAnsi="仿宋" w:eastAsia="仿宋"/>
          <w:color w:val="auto"/>
          <w:sz w:val="32"/>
          <w:szCs w:val="32"/>
          <w:highlight w:val="none"/>
        </w:rPr>
      </w:pPr>
      <w:r/>
      <w:bookmarkStart w:id="10" w:name="_Toc28359080"/>
      <w:r/>
      <w:bookmarkStart w:id="11" w:name="_Toc28359003"/>
      <w:r/>
      <w:bookmarkStart w:id="12" w:name="_Toc35393622"/>
      <w:r/>
      <w:bookmarkStart w:id="13" w:name="_Toc35393791"/>
      <w:r>
        <w:rPr>
          <w:rFonts w:ascii="仿宋" w:hAnsi="仿宋" w:eastAsia="仿宋"/>
          <w:color w:val="auto"/>
          <w:sz w:val="32"/>
          <w:szCs w:val="32"/>
          <w:highlight w:val="none"/>
        </w:rPr>
        <w:t xml:space="preserve">二、申请人的资格要求（须同时满足）</w:t>
      </w:r>
      <w:bookmarkEnd w:id="10"/>
      <w:r/>
      <w:bookmarkEnd w:id="11"/>
      <w:r/>
      <w:bookmarkEnd w:id="12"/>
      <w:r/>
      <w:bookmarkEnd w:id="13"/>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1.满足《中华人民共和国政府采购法》第二十二条规定</w:t>
      </w:r>
      <w:r>
        <w:rPr>
          <w:rFonts w:hint="eastAsia" w:ascii="仿宋" w:hAnsi="仿宋" w:eastAsia="仿宋"/>
          <w:color w:val="auto"/>
          <w:sz w:val="32"/>
          <w:szCs w:val="32"/>
          <w:highlight w:val="none"/>
        </w:rPr>
        <w:t xml:space="preserve">以及下列情形：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olor w:val="auto"/>
          <w:sz w:val="32"/>
          <w:szCs w:val="32"/>
          <w:highlight w:val="none"/>
        </w:rPr>
      </w:pPr>
      <w:r/>
      <w:bookmarkStart w:id="14" w:name="_Toc28359004"/>
      <w:r/>
      <w:bookmarkStart w:id="15" w:name="_Toc28359081"/>
      <w:r>
        <w:rPr>
          <w:rFonts w:ascii="仿宋" w:hAnsi="仿宋" w:eastAsia="仿宋"/>
          <w:color w:val="auto"/>
          <w:sz w:val="32"/>
          <w:szCs w:val="32"/>
          <w:highlight w:val="none"/>
        </w:rPr>
        <w:t xml:space="preserve">2.落实政府采购政策需满足的资格要求：</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2.1 中小企业政策</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本项目不专门面向中小企业预留采购份额。</w:t>
      </w:r>
      <w:r/>
    </w:p>
    <w:p>
      <w:pPr>
        <w:ind w:firstLine="640"/>
        <w:spacing w:line="360" w:lineRule="auto"/>
        <w:rPr>
          <w:rFonts w:ascii="仿宋" w:hAnsi="仿宋" w:eastAsia="仿宋"/>
          <w:b/>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本项目专门面向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中小 □小微企业  采购。即：</w:t>
      </w:r>
      <w:r>
        <w:rPr>
          <w:rFonts w:ascii="仿宋" w:hAnsi="仿宋" w:eastAsia="仿宋"/>
          <w:b/>
          <w:color w:val="auto"/>
          <w:sz w:val="32"/>
          <w:szCs w:val="32"/>
          <w:highlight w:val="none"/>
        </w:rPr>
        <w:t xml:space="preserve">提供的服务全部由符合政策要求的中小/小微企业承接。</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□本项目预留部分采购项目预算专门面向中小企业采购。</w:t>
      </w:r>
      <w:r>
        <w:rPr>
          <w:rFonts w:ascii="仿宋" w:hAnsi="仿宋" w:eastAsia="仿宋"/>
          <w:b/>
          <w:color w:val="auto"/>
          <w:sz w:val="32"/>
          <w:szCs w:val="32"/>
          <w:highlight w:val="none"/>
        </w:rPr>
        <w:t xml:space="preserve">对于预留份额，提供的货物由符合政策要求的中小企业制造、服务由符合政策要求的中小企业承接。</w:t>
      </w:r>
      <w:r>
        <w:rPr>
          <w:rFonts w:ascii="仿宋" w:hAnsi="仿宋" w:eastAsia="仿宋"/>
          <w:color w:val="auto"/>
          <w:sz w:val="32"/>
          <w:szCs w:val="32"/>
          <w:highlight w:val="none"/>
        </w:rPr>
        <w:t xml:space="preserve">预留份额通过以下措施进行：</w:t>
      </w:r>
      <w:r>
        <w:rPr>
          <w:rFonts w:hint="eastAsia" w:ascii="仿宋" w:hAnsi="仿宋" w:eastAsia="仿宋"/>
          <w:b/>
          <w:color w:val="auto"/>
          <w:sz w:val="32"/>
          <w:szCs w:val="32"/>
          <w:highlight w:val="none"/>
        </w:rPr>
        <w:t xml:space="preserve">获得采购合同的投标人应承诺将采购项目中不低于40%的金额分包给一家或多家中小企业。</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2.2 其它落实政府采购政策的资格要求（如有）：</w:t>
      </w:r>
      <w:r>
        <w:rPr>
          <w:rFonts w:hint="eastAsia" w:ascii="仿宋" w:hAnsi="仿宋" w:eastAsia="仿宋"/>
          <w:color w:val="auto"/>
          <w:sz w:val="32"/>
          <w:szCs w:val="32"/>
          <w:highlight w:val="none"/>
          <w:u w:val="single"/>
        </w:rPr>
        <w:t xml:space="preserve">/</w:t>
      </w:r>
      <w:r>
        <w:rPr>
          <w:rFonts w:hint="eastAsia" w:ascii="仿宋" w:hAnsi="仿宋" w:eastAsia="仿宋"/>
          <w:color w:val="auto"/>
          <w:sz w:val="32"/>
          <w:szCs w:val="32"/>
          <w:highlight w:val="none"/>
        </w:rPr>
        <w:t xml:space="preserve">。</w:t>
      </w:r>
      <w:r/>
    </w:p>
    <w:p>
      <w:pPr>
        <w:ind w:firstLine="640"/>
        <w:spacing w:line="360" w:lineRule="auto"/>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3.1本项目是否接受分支机构参与投标：□是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3.3其他特定资格要求：</w:t>
      </w:r>
      <w:r>
        <w:rPr>
          <w:rFonts w:hint="eastAsia" w:ascii="仿宋" w:hAnsi="仿宋" w:eastAsia="仿宋"/>
          <w:color w:val="auto"/>
          <w:sz w:val="32"/>
          <w:szCs w:val="32"/>
          <w:highlight w:val="none"/>
          <w:u w:val="single"/>
        </w:rPr>
        <w:t xml:space="preserve">无</w:t>
      </w:r>
      <w:r>
        <w:rPr>
          <w:rFonts w:hint="eastAsia" w:ascii="仿宋" w:hAnsi="仿宋" w:eastAsia="仿宋"/>
          <w:color w:val="auto"/>
          <w:sz w:val="32"/>
          <w:szCs w:val="32"/>
          <w:highlight w:val="none"/>
        </w:rPr>
        <w:t xml:space="preserve">。</w:t>
      </w:r>
      <w:bookmarkEnd w:id="14"/>
      <w:r/>
      <w:bookmarkEnd w:id="15"/>
      <w:r/>
      <w:r/>
    </w:p>
    <w:p>
      <w:pPr>
        <w:pStyle w:val="1033"/>
        <w:ind w:firstLine="643"/>
        <w:jc w:val="left"/>
        <w:spacing w:before="0" w:line="360" w:lineRule="auto"/>
        <w:widowControl/>
        <w:rPr>
          <w:rFonts w:ascii="仿宋" w:hAnsi="仿宋" w:eastAsia="仿宋"/>
          <w:color w:val="auto"/>
          <w:sz w:val="32"/>
          <w:szCs w:val="32"/>
          <w:highlight w:val="none"/>
        </w:rPr>
      </w:pPr>
      <w:r/>
      <w:bookmarkStart w:id="16" w:name="_Toc35393792"/>
      <w:r/>
      <w:bookmarkStart w:id="17" w:name="_Toc35393623"/>
      <w:r>
        <w:rPr>
          <w:rFonts w:ascii="仿宋" w:hAnsi="仿宋" w:eastAsia="仿宋"/>
          <w:color w:val="auto"/>
          <w:sz w:val="32"/>
          <w:szCs w:val="32"/>
          <w:highlight w:val="none"/>
        </w:rPr>
        <w:t xml:space="preserve">三、获取招标文件</w:t>
      </w:r>
      <w:bookmarkEnd w:id="16"/>
      <w:r/>
      <w:bookmarkEnd w:id="17"/>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1.时间：</w:t>
      </w:r>
      <w:r>
        <w:rPr>
          <w:rFonts w:hint="eastAsia" w:ascii="仿宋" w:hAnsi="仿宋" w:eastAsia="仿宋"/>
          <w:color w:val="auto"/>
          <w:sz w:val="32"/>
          <w:szCs w:val="32"/>
          <w:highlight w:val="none"/>
          <w:lang w:val="en-US" w:eastAsia="zh-CN"/>
        </w:rPr>
        <w:t xml:space="preserve">2026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07</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13</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rPr>
        <w:t xml:space="preserve">至</w:t>
      </w:r>
      <w:r>
        <w:rPr>
          <w:rFonts w:hint="eastAsia" w:ascii="仿宋" w:hAnsi="仿宋" w:eastAsia="仿宋"/>
          <w:color w:val="auto"/>
          <w:sz w:val="32"/>
          <w:szCs w:val="32"/>
          <w:highlight w:val="none"/>
          <w:lang w:val="en-US" w:eastAsia="zh-CN"/>
        </w:rPr>
        <w:t xml:space="preserve">2026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07</w:t>
      </w:r>
      <w:r>
        <w:rPr>
          <w:rFonts w:hint="eastAsia" w:ascii="仿宋" w:hAnsi="仿宋" w:eastAsia="仿宋" w:cs="宋体"/>
          <w:color w:val="auto"/>
          <w:sz w:val="32"/>
          <w:szCs w:val="32"/>
          <w:highlight w:val="none"/>
        </w:rPr>
        <w:t xml:space="preserve">月20</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rPr>
        <w:t xml:space="preserve">（北京时间）。</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2.地点：</w:t>
      </w:r>
      <w:r>
        <w:rPr>
          <w:rFonts w:hint="eastAsia" w:ascii="仿宋" w:hAnsi="仿宋" w:eastAsia="仿宋"/>
          <w:color w:val="auto"/>
          <w:sz w:val="32"/>
          <w:szCs w:val="32"/>
          <w:highlight w:val="none"/>
        </w:rPr>
        <w:t xml:space="preserve">“苏采云”政府采购一体化平台。</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3.方式：</w:t>
      </w:r>
      <w:r>
        <w:rPr>
          <w:rFonts w:hint="eastAsia" w:ascii="仿宋" w:hAnsi="仿宋" w:eastAsia="仿宋"/>
          <w:color w:val="auto"/>
          <w:sz w:val="32"/>
          <w:szCs w:val="32"/>
          <w:highlight w:val="none"/>
        </w:rPr>
        <w:t xml:space="preserve">“苏采云”政府采购一体化平台自行免费下载</w:t>
      </w:r>
      <w:r>
        <w:rPr>
          <w:rFonts w:ascii="Calibri" w:hAnsi="Calibri" w:eastAsia="仿宋" w:cs="Calibri"/>
          <w:color w:val="auto"/>
          <w:sz w:val="32"/>
          <w:szCs w:val="32"/>
          <w:highlight w:val="none"/>
        </w:rPr>
        <w:t xml:space="preserve"> </w:t>
      </w:r>
      <w:r>
        <w:rPr>
          <w:rFonts w:hint="eastAsia" w:ascii="Calibri" w:hAnsi="Calibri" w:eastAsia="仿宋" w:cs="Calibri"/>
          <w:color w:val="auto"/>
          <w:sz w:val="32"/>
          <w:szCs w:val="32"/>
          <w:highlight w:val="none"/>
        </w:rPr>
        <w:t xml:space="preserve">。</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4.售价：</w:t>
      </w:r>
      <w:r>
        <w:rPr>
          <w:rFonts w:hint="eastAsia" w:ascii="仿宋" w:hAnsi="仿宋" w:eastAsia="仿宋"/>
          <w:color w:val="auto"/>
          <w:sz w:val="32"/>
          <w:szCs w:val="32"/>
          <w:highlight w:val="none"/>
        </w:rPr>
        <w:t xml:space="preserve">0元</w:t>
      </w:r>
      <w:r>
        <w:rPr>
          <w:rFonts w:ascii="仿宋" w:hAnsi="仿宋" w:eastAsia="仿宋"/>
          <w:color w:val="auto"/>
          <w:sz w:val="32"/>
          <w:szCs w:val="32"/>
          <w:highlight w:val="none"/>
        </w:rPr>
        <w:t xml:space="preserve">。</w:t>
      </w:r>
      <w:r/>
    </w:p>
    <w:p>
      <w:pPr>
        <w:pStyle w:val="1033"/>
        <w:ind w:firstLine="643"/>
        <w:jc w:val="left"/>
        <w:spacing w:before="0" w:line="360" w:lineRule="auto"/>
        <w:widowControl/>
        <w:rPr>
          <w:rFonts w:ascii="仿宋" w:hAnsi="仿宋" w:eastAsia="仿宋"/>
          <w:color w:val="auto"/>
          <w:sz w:val="32"/>
          <w:szCs w:val="32"/>
          <w:highlight w:val="none"/>
        </w:rPr>
      </w:pPr>
      <w:r/>
      <w:bookmarkStart w:id="18" w:name="_Toc28359005"/>
      <w:r/>
      <w:bookmarkStart w:id="19" w:name="_Toc28359082"/>
      <w:r/>
      <w:bookmarkStart w:id="20" w:name="_Toc35393793"/>
      <w:r/>
      <w:bookmarkStart w:id="21" w:name="_Toc35393624"/>
      <w:r>
        <w:rPr>
          <w:rFonts w:ascii="仿宋" w:hAnsi="仿宋" w:eastAsia="仿宋"/>
          <w:color w:val="auto"/>
          <w:sz w:val="32"/>
          <w:szCs w:val="32"/>
          <w:highlight w:val="none"/>
        </w:rPr>
        <w:t xml:space="preserve">四、提交投标文件</w:t>
      </w:r>
      <w:bookmarkEnd w:id="18"/>
      <w:r/>
      <w:bookmarkEnd w:id="19"/>
      <w:r>
        <w:rPr>
          <w:rFonts w:ascii="仿宋" w:hAnsi="仿宋" w:eastAsia="仿宋"/>
          <w:color w:val="auto"/>
          <w:sz w:val="32"/>
          <w:szCs w:val="32"/>
          <w:highlight w:val="none"/>
        </w:rPr>
        <w:t xml:space="preserve">截止时间、开标时间和地点</w:t>
      </w:r>
      <w:bookmarkEnd w:id="20"/>
      <w:r/>
      <w:bookmarkEnd w:id="21"/>
      <w:r/>
      <w:r/>
    </w:p>
    <w:p>
      <w:pPr>
        <w:ind w:firstLine="640"/>
        <w:spacing w:line="360" w:lineRule="auto"/>
        <w:rPr>
          <w:rFonts w:ascii="仿宋" w:hAnsi="仿宋" w:eastAsia="仿宋"/>
          <w:bCs/>
          <w:color w:val="auto"/>
          <w:sz w:val="32"/>
          <w:szCs w:val="32"/>
          <w:highlight w:val="none"/>
          <w:u w:val="single"/>
        </w:rPr>
      </w:pPr>
      <w:r>
        <w:rPr>
          <w:rFonts w:ascii="仿宋" w:hAnsi="仿宋" w:eastAsia="仿宋"/>
          <w:color w:val="auto"/>
          <w:sz w:val="32"/>
          <w:szCs w:val="32"/>
          <w:highlight w:val="none"/>
        </w:rPr>
        <w:t xml:space="preserve">投标截止时间、开标时间：</w:t>
      </w:r>
      <w:r>
        <w:rPr>
          <w:rFonts w:ascii="FangSong" w:hAnsi="FangSong" w:eastAsia="FangSong" w:cs="FangSong"/>
          <w:b/>
          <w:color w:val="000000"/>
          <w:sz w:val="32"/>
        </w:rPr>
        <w:t xml:space="preserve">2026年08月03日14点00分（北京时间）</w:t>
      </w:r>
      <w:r>
        <w:rPr>
          <w:rFonts w:ascii="仿宋" w:hAnsi="仿宋" w:eastAsia="仿宋"/>
          <w:iCs/>
          <w:color w:val="auto"/>
          <w:sz w:val="32"/>
          <w:szCs w:val="32"/>
          <w:highlight w:val="none"/>
        </w:rPr>
        <w:t xml:space="preserve">。</w:t>
      </w:r>
      <w:r/>
    </w:p>
    <w:p>
      <w:pPr>
        <w:ind w:firstLine="640"/>
        <w:spacing w:line="360" w:lineRule="auto"/>
        <w:rPr>
          <w:rFonts w:ascii="仿宋" w:hAnsi="仿宋" w:eastAsia="仿宋"/>
          <w:b/>
          <w:bCs/>
          <w:color w:val="auto"/>
          <w:sz w:val="32"/>
          <w:szCs w:val="32"/>
          <w:highlight w:val="none"/>
        </w:rPr>
      </w:pPr>
      <w:r>
        <w:rPr>
          <w:rFonts w:ascii="仿宋" w:hAnsi="仿宋" w:eastAsia="仿宋"/>
          <w:color w:val="auto"/>
          <w:sz w:val="32"/>
          <w:szCs w:val="32"/>
          <w:highlight w:val="none"/>
        </w:rPr>
        <w:t xml:space="preserve">地点：</w:t>
      </w:r>
      <w:r>
        <w:rPr>
          <w:rFonts w:hint="eastAsia" w:ascii="仿宋" w:hAnsi="仿宋" w:eastAsia="仿宋"/>
          <w:color w:val="auto"/>
          <w:sz w:val="32"/>
          <w:szCs w:val="32"/>
          <w:highlight w:val="none"/>
        </w:rPr>
        <w:t xml:space="preserve">“苏采云”政府采购一体化平台。</w:t>
      </w:r>
      <w:r/>
    </w:p>
    <w:p>
      <w:pPr>
        <w:pStyle w:val="1033"/>
        <w:ind w:firstLine="643"/>
        <w:jc w:val="left"/>
        <w:spacing w:before="0" w:line="360" w:lineRule="auto"/>
        <w:rPr>
          <w:rFonts w:ascii="仿宋" w:hAnsi="仿宋" w:eastAsia="仿宋"/>
          <w:color w:val="auto"/>
          <w:sz w:val="32"/>
          <w:szCs w:val="32"/>
          <w:highlight w:val="none"/>
        </w:rPr>
      </w:pPr>
      <w:r/>
      <w:bookmarkStart w:id="22" w:name="_Toc28359084"/>
      <w:r/>
      <w:bookmarkStart w:id="23" w:name="_Toc28359007"/>
      <w:r/>
      <w:bookmarkStart w:id="24" w:name="_Toc35393625"/>
      <w:r/>
      <w:bookmarkStart w:id="25" w:name="_Toc35393794"/>
      <w:r>
        <w:rPr>
          <w:rFonts w:ascii="仿宋" w:hAnsi="仿宋" w:eastAsia="仿宋"/>
          <w:color w:val="auto"/>
          <w:sz w:val="32"/>
          <w:szCs w:val="32"/>
          <w:highlight w:val="none"/>
        </w:rPr>
        <w:t xml:space="preserve">五、公告期限</w:t>
      </w:r>
      <w:bookmarkEnd w:id="22"/>
      <w:r/>
      <w:bookmarkEnd w:id="23"/>
      <w:r/>
      <w:bookmarkEnd w:id="24"/>
      <w:r/>
      <w:bookmarkEnd w:id="25"/>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自本公告发布之日起5个工作日。</w:t>
      </w:r>
      <w:r/>
    </w:p>
    <w:p>
      <w:pPr>
        <w:pStyle w:val="1033"/>
        <w:ind w:firstLine="643"/>
        <w:jc w:val="left"/>
        <w:spacing w:before="0" w:line="360" w:lineRule="auto"/>
        <w:rPr>
          <w:rFonts w:ascii="仿宋" w:hAnsi="仿宋" w:eastAsia="仿宋"/>
          <w:color w:val="auto"/>
          <w:sz w:val="32"/>
          <w:szCs w:val="32"/>
          <w:highlight w:val="none"/>
        </w:rPr>
      </w:pPr>
      <w:r/>
      <w:bookmarkStart w:id="26" w:name="_Toc35393795"/>
      <w:r/>
      <w:bookmarkStart w:id="27" w:name="_Toc35393626"/>
      <w:r>
        <w:rPr>
          <w:rFonts w:ascii="仿宋" w:hAnsi="仿宋" w:eastAsia="仿宋"/>
          <w:color w:val="auto"/>
          <w:sz w:val="32"/>
          <w:szCs w:val="32"/>
          <w:highlight w:val="none"/>
        </w:rPr>
        <w:t xml:space="preserve">六、其他补充事宜</w:t>
      </w:r>
      <w:bookmarkEnd w:id="26"/>
      <w:r/>
      <w:bookmarkEnd w:id="27"/>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1.本项目需要落实的政府采购政策：</w:t>
      </w:r>
      <w:r>
        <w:rPr>
          <w:rFonts w:hint="eastAsia" w:ascii="仿宋" w:hAnsi="仿宋" w:eastAsia="仿宋"/>
          <w:color w:val="auto"/>
          <w:sz w:val="32"/>
          <w:szCs w:val="32"/>
          <w:highlight w:val="none"/>
          <w:u w:val="single"/>
        </w:rPr>
        <w:t xml:space="preserve">/</w:t>
      </w:r>
      <w:r>
        <w:rPr>
          <w:rFonts w:ascii="仿宋" w:hAnsi="仿宋" w:eastAsia="仿宋"/>
          <w:color w:val="auto"/>
          <w:sz w:val="32"/>
          <w:szCs w:val="32"/>
          <w:highlight w:val="none"/>
        </w:rPr>
        <w:t xml:space="preserve">。 </w:t>
      </w:r>
      <w:r/>
    </w:p>
    <w:p>
      <w:pPr>
        <w:ind w:firstLine="640"/>
        <w:jc w:val="left"/>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w:t>
      </w:r>
      <w:r>
        <w:rPr>
          <w:rFonts w:hint="eastAsia" w:ascii="仿宋" w:hAnsi="仿宋" w:eastAsia="仿宋"/>
          <w:color w:val="auto"/>
          <w:sz w:val="32"/>
          <w:szCs w:val="32"/>
          <w:highlight w:val="none"/>
        </w:rPr>
        <w:t xml:space="preserve">根据省财政厅《关</w:t>
      </w:r>
      <w:r>
        <w:rPr>
          <w:rFonts w:hint="eastAsia" w:ascii="仿宋" w:hAnsi="仿宋" w:eastAsia="仿宋"/>
          <w:color w:val="auto"/>
          <w:sz w:val="32"/>
          <w:szCs w:val="3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ascii="仿宋" w:hAnsi="仿宋" w:eastAsia="仿宋"/>
          <w:color w:val="auto"/>
          <w:sz w:val="32"/>
          <w:szCs w:val="32"/>
          <w:highlight w:val="none"/>
          <w:lang w:val="zh-TW"/>
        </w:rPr>
      </w:pPr>
      <w:r>
        <w:rPr>
          <w:rFonts w:hint="eastAsia" w:ascii="仿宋" w:hAnsi="仿宋" w:eastAsia="仿宋"/>
          <w:color w:val="auto"/>
          <w:sz w:val="32"/>
          <w:szCs w:val="32"/>
          <w:highlight w:val="none"/>
        </w:rPr>
        <w:t xml:space="preserve">3</w:t>
      </w:r>
      <w:r>
        <w:rPr>
          <w:rFonts w:hint="eastAsia" w:ascii="仿宋" w:hAnsi="仿宋" w:eastAsia="仿宋"/>
          <w:color w:val="auto"/>
          <w:sz w:val="32"/>
          <w:szCs w:val="32"/>
          <w:highlight w:val="none"/>
          <w:lang w:val="zh-TW"/>
        </w:rPr>
        <w:t xml:space="preserve">.关于常州市中小企业政府采购信用融资：</w:t>
      </w:r>
      <w:r/>
    </w:p>
    <w:p>
      <w:pPr>
        <w:ind w:firstLine="640"/>
        <w:spacing w:line="360" w:lineRule="auto"/>
        <w:rPr>
          <w:rFonts w:ascii="仿宋" w:hAnsi="仿宋" w:eastAsia="仿宋"/>
          <w:color w:val="auto"/>
          <w:sz w:val="32"/>
          <w:szCs w:val="32"/>
          <w:highlight w:val="none"/>
          <w:lang w:val="zh-TW"/>
        </w:rPr>
      </w:pPr>
      <w:r>
        <w:rPr>
          <w:rFonts w:hint="eastAsia" w:ascii="仿宋" w:hAnsi="仿宋" w:eastAsia="仿宋"/>
          <w:color w:val="auto"/>
          <w:sz w:val="32"/>
          <w:szCs w:val="32"/>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33"/>
        <w:ind w:firstLine="643"/>
        <w:jc w:val="left"/>
        <w:spacing w:before="0" w:line="360" w:lineRule="auto"/>
        <w:rPr>
          <w:rFonts w:ascii="仿宋" w:hAnsi="仿宋" w:eastAsia="仿宋"/>
          <w:color w:val="auto"/>
          <w:sz w:val="32"/>
          <w:szCs w:val="32"/>
          <w:highlight w:val="none"/>
        </w:rPr>
      </w:pPr>
      <w:r/>
      <w:bookmarkStart w:id="28" w:name="_Toc28359008"/>
      <w:r/>
      <w:bookmarkStart w:id="29" w:name="_Toc35393627"/>
      <w:r/>
      <w:bookmarkStart w:id="30" w:name="_Toc28359085"/>
      <w:r/>
      <w:bookmarkStart w:id="31" w:name="_Toc35393796"/>
      <w:r>
        <w:rPr>
          <w:rFonts w:ascii="仿宋" w:hAnsi="仿宋" w:eastAsia="仿宋"/>
          <w:color w:val="auto"/>
          <w:sz w:val="32"/>
          <w:szCs w:val="32"/>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ascii="仿宋" w:hAnsi="仿宋" w:eastAsia="仿宋"/>
          <w:b/>
          <w:color w:val="auto"/>
          <w:sz w:val="32"/>
          <w:szCs w:val="32"/>
          <w:highlight w:val="none"/>
        </w:rPr>
      </w:pPr>
      <w:r>
        <w:rPr>
          <w:rFonts w:ascii="仿宋" w:hAnsi="仿宋" w:eastAsia="仿宋"/>
          <w:b/>
          <w:color w:val="auto"/>
          <w:sz w:val="32"/>
          <w:szCs w:val="32"/>
          <w:highlight w:val="none"/>
        </w:rPr>
        <w:t xml:space="preserve">1.采购人信息</w:t>
      </w:r>
      <w:r/>
    </w:p>
    <w:p>
      <w:pPr>
        <w:ind w:firstLine="640"/>
        <w:spacing w:line="360" w:lineRule="auto"/>
        <w:rPr>
          <w:rFonts w:ascii="仿宋" w:hAnsi="仿宋" w:eastAsia="仿宋"/>
          <w:color w:val="auto"/>
          <w:sz w:val="32"/>
          <w:szCs w:val="32"/>
          <w:highlight w:val="none"/>
          <w:lang w:val="zh-TW"/>
        </w:rPr>
      </w:pPr>
      <w:r/>
      <w:bookmarkStart w:id="32" w:name="_Toc28359086"/>
      <w:r/>
      <w:bookmarkStart w:id="33" w:name="_Toc28359009"/>
      <w:r>
        <w:rPr>
          <w:rFonts w:hint="eastAsia" w:ascii="仿宋" w:hAnsi="仿宋" w:eastAsia="仿宋"/>
          <w:color w:val="auto"/>
          <w:sz w:val="32"/>
          <w:szCs w:val="32"/>
          <w:highlight w:val="none"/>
          <w:lang w:val="zh-TW"/>
        </w:rPr>
        <w:t xml:space="preserve">名    称：</w:t>
      </w:r>
      <w:r>
        <w:rPr>
          <w:rFonts w:hint="eastAsia" w:ascii="仿宋" w:hAnsi="仿宋" w:eastAsia="仿宋"/>
          <w:color w:val="auto"/>
          <w:sz w:val="32"/>
          <w:szCs w:val="32"/>
          <w:highlight w:val="none"/>
        </w:rPr>
        <w:t xml:space="preserve">常州市肿瘤医院</w:t>
      </w:r>
      <w:r/>
    </w:p>
    <w:p>
      <w:pPr>
        <w:ind w:firstLine="640"/>
        <w:spacing w:line="360" w:lineRule="auto"/>
        <w:rPr>
          <w:rFonts w:ascii="仿宋" w:hAnsi="仿宋" w:eastAsia="仿宋"/>
          <w:color w:val="auto"/>
          <w:sz w:val="32"/>
          <w:szCs w:val="32"/>
          <w:highlight w:val="none"/>
          <w:lang w:val="zh-TW"/>
        </w:rPr>
      </w:pPr>
      <w:r>
        <w:rPr>
          <w:rFonts w:hint="eastAsia" w:ascii="仿宋" w:hAnsi="仿宋" w:eastAsia="仿宋"/>
          <w:color w:val="auto"/>
          <w:sz w:val="32"/>
          <w:szCs w:val="32"/>
          <w:highlight w:val="none"/>
          <w:lang w:val="zh-TW"/>
        </w:rPr>
        <w:t xml:space="preserve">地    址：常州市新北区红河路68号</w:t>
      </w:r>
      <w:r/>
    </w:p>
    <w:p>
      <w:pPr>
        <w:ind w:firstLine="640"/>
        <w:spacing w:line="360" w:lineRule="auto"/>
        <w:rPr>
          <w:rFonts w:ascii="仿宋" w:hAnsi="仿宋" w:eastAsia="仿宋"/>
          <w:color w:val="auto"/>
          <w:sz w:val="32"/>
          <w:szCs w:val="32"/>
          <w:highlight w:val="none"/>
          <w:lang w:val="zh-TW"/>
        </w:rPr>
      </w:pPr>
      <w:r>
        <w:rPr>
          <w:rFonts w:hint="eastAsia" w:ascii="仿宋" w:hAnsi="仿宋" w:eastAsia="仿宋"/>
          <w:color w:val="auto"/>
          <w:sz w:val="32"/>
          <w:szCs w:val="32"/>
          <w:highlight w:val="none"/>
          <w:lang w:val="zh-TW"/>
        </w:rPr>
        <w:t xml:space="preserve">联系方式：刘老师 0519-69807043</w:t>
      </w:r>
      <w:r/>
    </w:p>
    <w:p>
      <w:pPr>
        <w:ind w:firstLine="643"/>
        <w:jc w:val="left"/>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2.采购代理机构信息</w:t>
      </w:r>
      <w:bookmarkEnd w:id="32"/>
      <w:r/>
      <w:bookmarkEnd w:id="33"/>
      <w:r/>
      <w:r/>
    </w:p>
    <w:p>
      <w:pPr>
        <w:ind w:firstLine="640"/>
        <w:spacing w:line="360" w:lineRule="auto"/>
        <w:rPr>
          <w:rFonts w:ascii="仿宋" w:hAnsi="仿宋" w:eastAsia="仿宋"/>
          <w:color w:val="auto"/>
          <w:sz w:val="32"/>
          <w:szCs w:val="32"/>
          <w:highlight w:val="none"/>
        </w:rPr>
      </w:pPr>
      <w:r/>
      <w:bookmarkStart w:id="34" w:name="_Toc28359010"/>
      <w:r/>
      <w:bookmarkStart w:id="35" w:name="_Toc28359087"/>
      <w:r>
        <w:rPr>
          <w:rFonts w:hint="eastAsia" w:ascii="仿宋" w:hAnsi="仿宋" w:eastAsia="仿宋"/>
          <w:color w:val="auto"/>
          <w:sz w:val="32"/>
          <w:szCs w:val="32"/>
          <w:highlight w:val="none"/>
        </w:rPr>
        <w:t xml:space="preserve">名    称：常州市城投建设工程招标有限公司</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地    址：常州市新北区通江中路396号中创大厦4楼</w:t>
      </w:r>
      <w:r/>
    </w:p>
    <w:p>
      <w:pPr>
        <w:ind w:firstLine="640"/>
        <w:spacing w:line="360" w:lineRule="auto"/>
        <w:rPr>
          <w:rFonts w:ascii="仿宋" w:hAnsi="仿宋" w:eastAsia="仿宋"/>
          <w:b/>
          <w:color w:val="auto"/>
          <w:sz w:val="32"/>
          <w:szCs w:val="32"/>
          <w:highlight w:val="none"/>
        </w:rPr>
      </w:pPr>
      <w:r>
        <w:rPr>
          <w:rFonts w:hint="eastAsia" w:ascii="仿宋" w:hAnsi="仿宋" w:eastAsia="仿宋"/>
          <w:color w:val="auto"/>
          <w:sz w:val="32"/>
          <w:szCs w:val="32"/>
          <w:highlight w:val="none"/>
        </w:rPr>
        <w:t xml:space="preserve">联系方式：0519-81580101</w:t>
      </w:r>
      <w:r/>
    </w:p>
    <w:p>
      <w:pPr>
        <w:ind w:firstLine="643"/>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3.项目联系方式</w:t>
      </w:r>
      <w:bookmarkEnd w:id="34"/>
      <w:r/>
      <w:bookmarkEnd w:id="35"/>
      <w:r/>
      <w:r/>
    </w:p>
    <w:p>
      <w:pPr>
        <w:ind w:firstLine="640"/>
        <w:spacing w:line="360" w:lineRule="auto"/>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项目联系人：</w:t>
      </w:r>
      <w:r>
        <w:rPr>
          <w:rFonts w:hint="eastAsia" w:ascii="仿宋" w:hAnsi="仿宋" w:eastAsia="仿宋"/>
          <w:color w:val="auto"/>
          <w:sz w:val="32"/>
          <w:szCs w:val="32"/>
          <w:highlight w:val="none"/>
          <w:lang w:val="en-US" w:eastAsia="zh-CN"/>
        </w:rPr>
        <w:t xml:space="preserve">魏海玲</w:t>
      </w:r>
      <w:r/>
    </w:p>
    <w:p>
      <w:pPr>
        <w:ind w:firstLine="640"/>
        <w:spacing w:line="360" w:lineRule="auto"/>
        <w:rPr>
          <w:rFonts w:ascii="仿宋" w:hAnsi="仿宋" w:eastAsia="仿宋"/>
          <w:color w:val="auto"/>
          <w:sz w:val="24"/>
          <w:highlight w:val="none"/>
        </w:rPr>
      </w:pPr>
      <w:r>
        <w:rPr>
          <w:rFonts w:hint="eastAsia" w:ascii="仿宋" w:hAnsi="仿宋" w:eastAsia="仿宋"/>
          <w:color w:val="auto"/>
          <w:sz w:val="32"/>
          <w:szCs w:val="32"/>
          <w:highlight w:val="none"/>
        </w:rPr>
        <w:t xml:space="preserve">电      话：0519-81580152  81580191  81580192（转分机号</w:t>
      </w:r>
      <w:r>
        <w:rPr>
          <w:rFonts w:hint="eastAsia" w:ascii="仿宋" w:hAnsi="仿宋" w:eastAsia="仿宋"/>
          <w:color w:val="auto"/>
          <w:sz w:val="32"/>
          <w:szCs w:val="32"/>
          <w:highlight w:val="none"/>
          <w:lang w:val="en-US" w:eastAsia="zh-CN"/>
        </w:rPr>
        <w:t xml:space="preserve">6033</w:t>
      </w:r>
      <w:r>
        <w:rPr>
          <w:rFonts w:hint="eastAsia" w:ascii="仿宋" w:hAnsi="仿宋" w:eastAsia="仿宋"/>
          <w:color w:val="auto"/>
          <w:sz w:val="32"/>
          <w:szCs w:val="32"/>
          <w:highlight w:val="none"/>
        </w:rPr>
        <w:t xml:space="preserve">）</w:t>
      </w:r>
      <w:bookmarkStart w:id="925" w:name="_GoBack"/>
      <w:r/>
      <w:bookmarkEnd w:id="925"/>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36" w:name="_Toc127151777"/>
      <w:r/>
      <w:bookmarkStart w:id="37" w:name="_Toc265228423"/>
      <w:r/>
      <w:bookmarkStart w:id="38" w:name="_Toc353873938"/>
      <w:r/>
      <w:bookmarkStart w:id="39" w:name="_Toc226965856"/>
      <w:r/>
      <w:bookmarkStart w:id="40" w:name="_Toc353825548"/>
      <w:r/>
      <w:bookmarkStart w:id="41" w:name="_Toc305158854"/>
      <w:r/>
      <w:bookmarkStart w:id="42" w:name="_Toc127161488"/>
      <w:r/>
      <w:bookmarkStart w:id="43" w:name="_Toc305158928"/>
      <w:r/>
      <w:bookmarkStart w:id="44" w:name="_Toc195842950"/>
      <w:r/>
      <w:bookmarkStart w:id="45" w:name="_Toc99301420"/>
      <w:r/>
      <w:bookmarkStart w:id="46" w:name="_Toc512937850"/>
      <w:r/>
      <w:bookmarkStart w:id="47" w:name="_Toc264969275"/>
      <w:r/>
      <w:bookmarkStart w:id="48" w:name="_Toc150774783"/>
      <w:r>
        <w:rPr>
          <w:rFonts w:ascii="宋体" w:hAnsi="宋体"/>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33"/>
        <w:spacing w:before="0" w:line="360" w:lineRule="auto"/>
        <w:tabs>
          <w:tab w:val="center" w:pos="4592" w:leader="none"/>
          <w:tab w:val="left" w:pos="7860" w:leader="none"/>
        </w:tabs>
        <w:rPr>
          <w:rFonts w:ascii="宋体" w:hAnsi="宋体" w:eastAsia="宋体"/>
          <w:color w:val="auto"/>
          <w:sz w:val="28"/>
          <w:highlight w:val="none"/>
        </w:rPr>
      </w:pPr>
      <w:r/>
      <w:bookmarkStart w:id="49" w:name="_Toc150774619"/>
      <w:r/>
      <w:bookmarkStart w:id="50" w:name="_Toc142311021"/>
      <w:r/>
      <w:bookmarkStart w:id="51" w:name="_Toc164229214"/>
      <w:r/>
      <w:bookmarkStart w:id="52" w:name="_Toc150774724"/>
      <w:r/>
      <w:bookmarkStart w:id="53" w:name="_Toc226965792"/>
      <w:r/>
      <w:bookmarkStart w:id="54" w:name="_Toc520356144"/>
      <w:r/>
      <w:bookmarkStart w:id="55" w:name="_Toc164351613"/>
      <w:r/>
      <w:bookmarkStart w:id="56" w:name="_Toc164608633"/>
      <w:r/>
      <w:bookmarkStart w:id="57" w:name="_Toc150480757"/>
      <w:r/>
      <w:bookmarkStart w:id="58" w:name="_Toc164608788"/>
      <w:r/>
      <w:bookmarkStart w:id="59" w:name="_Toc127151720"/>
      <w:r/>
      <w:bookmarkStart w:id="60" w:name="_Toc195842884"/>
      <w:r/>
      <w:bookmarkStart w:id="61" w:name="_Toc151193907"/>
      <w:r/>
      <w:bookmarkStart w:id="62" w:name="_Toc127151519"/>
      <w:r/>
      <w:bookmarkStart w:id="63" w:name="_Toc127161433"/>
      <w:r/>
      <w:bookmarkStart w:id="64" w:name="_Toc151193761"/>
      <w:r/>
      <w:bookmarkStart w:id="65" w:name="_Toc164229360"/>
      <w:r/>
      <w:bookmarkStart w:id="66" w:name="_Toc151190146"/>
      <w:r/>
      <w:bookmarkStart w:id="67" w:name="_Toc151193617"/>
      <w:r/>
      <w:bookmarkStart w:id="68" w:name="_Toc226337215"/>
      <w:r/>
      <w:bookmarkStart w:id="69" w:name="_Toc226965709"/>
      <w:r/>
      <w:bookmarkStart w:id="70" w:name="_Toc150509270"/>
      <w:r/>
      <w:bookmarkStart w:id="71" w:name="_Toc226309763"/>
      <w:r/>
      <w:bookmarkStart w:id="72" w:name="_Toc151193689"/>
      <w:r/>
      <w:bookmarkStart w:id="73" w:name="_Toc149720812"/>
      <w:r/>
      <w:bookmarkStart w:id="74" w:name="_Toc151193833"/>
      <w:r>
        <w:rPr>
          <w:rFonts w:ascii="宋体" w:hAnsi="宋体" w:eastAsia="宋体"/>
          <w:color w:val="auto"/>
          <w:sz w:val="28"/>
          <w:highlight w:val="none"/>
        </w:rPr>
        <w:t xml:space="preserve">投标人须知资料表</w:t>
      </w:r>
      <w:r/>
    </w:p>
    <w:p>
      <w:pPr>
        <w:jc w:val="center"/>
        <w:rPr>
          <w:rFonts w:ascii="宋体" w:hAnsi="宋体"/>
          <w:b/>
          <w:color w:val="auto"/>
          <w:sz w:val="28"/>
          <w:szCs w:val="28"/>
          <w:highlight w:val="none"/>
        </w:rPr>
      </w:pPr>
      <w:r>
        <w:rPr>
          <w:rFonts w:ascii="宋体" w:hAnsi="宋体"/>
          <w:b/>
          <w:color w:val="auto"/>
          <w:sz w:val="28"/>
          <w:szCs w:val="28"/>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10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540"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2.3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2.4</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056"/>
              <w:rPr>
                <w:rFonts w:hint="default"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关于核心产品本项目__包不适用。</w:t>
            </w:r>
            <w:r/>
          </w:p>
          <w:p>
            <w:pPr>
              <w:pStyle w:val="1056"/>
              <w:rPr>
                <w:rFonts w:hint="default" w:hAnsi="宋体" w:cs="宋体"/>
                <w:color w:val="auto"/>
                <w:sz w:val="24"/>
                <w:szCs w:val="24"/>
                <w:highlight w:val="none"/>
              </w:rPr>
            </w:pPr>
            <w:r>
              <w:rPr>
                <w:rFonts w:hAnsi="宋体" w:cs="宋体"/>
                <w:color w:val="auto"/>
                <w:sz w:val="24"/>
                <w:szCs w:val="24"/>
                <w:highlight w:val="none"/>
              </w:rPr>
              <w:t xml:space="preserve">□本项目__包为单一产品采购项目。</w:t>
            </w:r>
            <w:r/>
          </w:p>
          <w:p>
            <w:pPr>
              <w:jc w:val="left"/>
              <w:rPr>
                <w:rFonts w:ascii="宋体" w:hAnsi="宋体" w:cs="宋体"/>
                <w:color w:val="auto"/>
                <w:sz w:val="24"/>
                <w:highlight w:val="none"/>
              </w:rPr>
            </w:pPr>
            <w:r>
              <w:rPr>
                <w:rFonts w:hint="eastAsia" w:ascii="宋体" w:hAnsi="宋体" w:cs="宋体"/>
                <w:color w:val="auto"/>
                <w:sz w:val="24"/>
                <w:highlight w:val="none"/>
              </w:rPr>
              <w:t xml:space="preserve">本项目__包为非单一产品采购项目，核心产品为：____。</w:t>
            </w:r>
            <w:r/>
          </w:p>
        </w:tc>
      </w:tr>
      <w:tr>
        <w:trPr>
          <w:jc w:val="center"/>
          <w:trHeight w:val="20"/>
        </w:trPr>
        <w:tc>
          <w:tcPr>
            <w:tcW w:w="988" w:type="dxa"/>
            <w:vAlign w:val="center"/>
            <w:vMerge w:val="restart"/>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分</w:t>
            </w:r>
            <w:r/>
          </w:p>
          <w:p>
            <w:pPr>
              <w:pStyle w:val="1056"/>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highlight w:val="none"/>
                <w:u w:val="single"/>
              </w:rPr>
              <w:t xml:space="preserve">/</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056"/>
              <w:jc w:val="center"/>
              <w:rPr>
                <w:rFonts w:hint="default" w:hAnsi="宋体" w:cs="宋体"/>
                <w:color w:val="auto"/>
                <w:sz w:val="24"/>
                <w:szCs w:val="24"/>
                <w:highlight w:val="none"/>
              </w:rPr>
            </w:pPr>
            <w:r>
              <w:rPr>
                <w:rFonts w:hint="default" w:hAnsi="宋体" w:cs="宋体"/>
                <w:color w:val="auto"/>
                <w:sz w:val="24"/>
                <w:szCs w:val="24"/>
                <w:highlight w:val="none"/>
              </w:rPr>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4.1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ascii="宋体" w:hAnsi="宋体" w:cs="宋体"/>
                <w:color w:val="auto"/>
                <w:sz w:val="24"/>
                <w:highlight w:val="none"/>
              </w:rPr>
            </w:pPr>
            <w:r>
              <w:rPr>
                <w:rFonts w:hint="eastAsia" w:ascii="宋体" w:hAnsi="宋体" w:cs="宋体"/>
                <w:color w:val="auto"/>
                <w:sz w:val="24"/>
                <w:highlight w:val="none"/>
              </w:rPr>
              <w:t xml:space="preserve">■不需要</w:t>
            </w:r>
            <w:r/>
          </w:p>
          <w:p>
            <w:pPr>
              <w:jc w:val="left"/>
              <w:rPr>
                <w:rFonts w:ascii="宋体" w:hAnsi="宋体" w:cs="宋体"/>
                <w:color w:val="auto"/>
                <w:sz w:val="24"/>
                <w:highlight w:val="none"/>
              </w:rPr>
            </w:pPr>
            <w:r>
              <w:rPr>
                <w:rFonts w:hint="eastAsia" w:ascii="宋体" w:hAnsi="宋体" w:cs="宋体"/>
                <w:color w:val="auto"/>
                <w:sz w:val="24"/>
                <w:highlight w:val="none"/>
              </w:rPr>
              <w:t xml:space="preserve">□需要，具体要求如下：</w:t>
            </w:r>
            <w:r/>
          </w:p>
        </w:tc>
      </w:tr>
      <w:tr>
        <w:trPr>
          <w:jc w:val="center"/>
          <w:trHeight w:val="517"/>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5.2.5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本项目采购标的对应的中小企业划分标准所属行业：其他未列明行业</w:t>
            </w:r>
            <w:r/>
          </w:p>
        </w:tc>
      </w:tr>
      <w:tr>
        <w:trPr>
          <w:jc w:val="center"/>
          <w:trHeight w:val="517"/>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5.9</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ascii="宋体" w:hAnsi="宋体" w:cs="宋体"/>
                <w:color w:val="auto"/>
                <w:sz w:val="24"/>
                <w:highlight w:val="none"/>
              </w:rPr>
              <w:t xml:space="preserve">□</w:t>
            </w:r>
            <w:r>
              <w:rPr>
                <w:rFonts w:hint="eastAsia"/>
                <w:color w:val="auto"/>
                <w:sz w:val="24"/>
                <w:highlight w:val="none"/>
              </w:rPr>
              <w:t xml:space="preserve">适用 </w:t>
            </w:r>
            <w:r>
              <w:rPr>
                <w:rFonts w:hint="eastAsia" w:ascii="宋体" w:hAnsi="宋体" w:cs="宋体"/>
                <w:color w:val="auto"/>
                <w:sz w:val="24"/>
                <w:highlight w:val="none"/>
              </w:rPr>
              <w:t xml:space="preserve">■</w:t>
            </w:r>
            <w:r>
              <w:rPr>
                <w:rFonts w:hint="eastAsia"/>
                <w:color w:val="auto"/>
                <w:sz w:val="24"/>
                <w:highlight w:val="none"/>
              </w:rPr>
              <w:t xml:space="preserve">不适用。</w:t>
            </w:r>
            <w:r/>
          </w:p>
          <w:p>
            <w:pPr>
              <w:pStyle w:val="1033"/>
              <w:jc w:val="both"/>
              <w:keepLines w:val="0"/>
              <w:keepNext w:val="0"/>
              <w:spacing w:before="0" w:line="360" w:lineRule="exact"/>
              <w:shd w:val="clear" w:color="auto" w:fill="ffffff"/>
              <w:widowControl/>
              <w:rPr>
                <w:rFonts w:ascii="宋体" w:hAnsi="宋体" w:cs="宋体"/>
                <w:color w:val="auto"/>
                <w:sz w:val="24"/>
                <w:highlight w:val="non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br w:type="page" w:clear="all"/>
            </w:r>
            <w:r>
              <w:rPr>
                <w:rFonts w:hAnsi="宋体" w:cs="宋体"/>
                <w:color w:val="auto"/>
                <w:sz w:val="24"/>
                <w:szCs w:val="24"/>
                <w:highlight w:val="none"/>
              </w:rPr>
              <w:t xml:space="preserve">11.2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12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投标保证金</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13.1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25.5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26.1.1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询问送达形式：投标人对招标文件如有疑问，请将疑问于</w:t>
            </w:r>
            <w:r>
              <w:rPr>
                <w:rFonts w:hint="eastAsia" w:ascii="宋体" w:hAnsi="宋体" w:cs="宋体"/>
                <w:b/>
                <w:bCs/>
                <w:color w:val="auto"/>
                <w:sz w:val="24"/>
                <w:highlight w:val="none"/>
                <w:lang w:val="en-US" w:eastAsia="zh-CN"/>
              </w:rPr>
              <w:t xml:space="preserve">2026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07</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21</w:t>
            </w:r>
            <w:r>
              <w:rPr>
                <w:rFonts w:hint="eastAsia" w:ascii="宋体" w:hAnsi="宋体" w:cs="宋体"/>
                <w:b/>
                <w:color w:val="auto"/>
                <w:sz w:val="24"/>
                <w:highlight w:val="none"/>
              </w:rPr>
              <w:t xml:space="preserve">日11点00分</w:t>
            </w:r>
            <w:r>
              <w:rPr>
                <w:rFonts w:hint="eastAsia" w:ascii="宋体" w:hAnsi="宋体" w:cs="宋体"/>
                <w:color w:val="auto"/>
                <w:sz w:val="24"/>
                <w:highlight w:val="none"/>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26.3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联系部门：技术部；</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联系电话：0519-81580152  81580191  81580192（转分机号</w:t>
            </w:r>
            <w:r>
              <w:rPr>
                <w:rFonts w:hint="eastAsia" w:ascii="宋体" w:hAnsi="宋体" w:cs="宋体"/>
                <w:color w:val="auto"/>
                <w:sz w:val="24"/>
                <w:highlight w:val="none"/>
                <w:lang w:val="en-US" w:eastAsia="zh-CN"/>
              </w:rPr>
              <w:t xml:space="preserve">6033</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通讯地址：常州市城投建设工程招标有限公司（常州市新北区通江中路396号中创大厦4楼）。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56"/>
              <w:jc w:val="center"/>
              <w:rPr>
                <w:rFonts w:hint="default" w:hAnsi="宋体" w:cs="宋体"/>
                <w:color w:val="auto"/>
                <w:sz w:val="24"/>
                <w:szCs w:val="24"/>
                <w:highlight w:val="none"/>
              </w:rPr>
            </w:pPr>
            <w:r>
              <w:rPr>
                <w:rFonts w:hAnsi="宋体" w:cs="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（一）收费对象：</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ascii="宋体" w:hAnsi="宋体" w:cs="宋体"/>
                <w:color w:val="auto"/>
                <w:sz w:val="24"/>
                <w:highlight w:val="none"/>
              </w:rPr>
            </w:pPr>
            <w:r>
              <w:rPr>
                <w:rFonts w:hint="eastAsia" w:ascii="宋体" w:hAnsi="宋体" w:cs="宋体"/>
                <w:color w:val="auto"/>
                <w:sz w:val="24"/>
                <w:highlight w:val="none"/>
              </w:rPr>
              <w:t xml:space="preserve">■中标人</w:t>
            </w:r>
            <w:r/>
          </w:p>
          <w:p>
            <w:pPr>
              <w:jc w:val="left"/>
              <w:rPr>
                <w:rFonts w:ascii="宋体" w:hAnsi="宋体" w:cs="宋体"/>
                <w:b/>
                <w:color w:val="auto"/>
                <w:sz w:val="24"/>
                <w:highlight w:val="none"/>
              </w:rPr>
            </w:pPr>
            <w:r>
              <w:rPr>
                <w:rFonts w:hint="eastAsia" w:ascii="宋体" w:hAnsi="宋体" w:cs="宋体"/>
                <w:b/>
                <w:color w:val="auto"/>
                <w:sz w:val="24"/>
                <w:highlight w:val="none"/>
              </w:rPr>
              <w:t xml:space="preserve">（二）收费标准：</w:t>
            </w:r>
            <w:r/>
          </w:p>
          <w:tbl>
            <w:tblPr>
              <w:tblStyle w:val="1042"/>
              <w:tblW w:w="5430"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auto" w:sz="4" w:space="0"/>
                    <w:left w:val="single" w:color="auto" w:sz="4" w:space="0"/>
                    <w:bottom w:val="single" w:color="auto" w:sz="4" w:space="0"/>
                    <w:right w:val="single" w:color="auto" w:sz="4" w:space="0"/>
                  </w:tcBorders>
                  <w:tcW w:w="3023" w:type="dxa"/>
                  <w:textDirection w:val="lrTb"/>
                  <w:noWrap w:val="false"/>
                </w:tcPr>
                <w:p>
                  <w:pPr>
                    <w:ind w:firstLine="945"/>
                    <w:spacing w:line="440" w:lineRule="exact"/>
                    <w:rPr>
                      <w:rFonts w:ascii="宋体" w:hAnsi="宋体" w:cs="宋体"/>
                      <w:bCs/>
                      <w:color w:val="auto"/>
                      <w:sz w:val="24"/>
                      <w:highlight w:val="none"/>
                    </w:rPr>
                  </w:pPr>
                  <w:r>
                    <w:rPr>
                      <w:rFonts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-5080</wp:posOffset>
                            </wp:positionV>
                            <wp:extent cx="1506855" cy="1675130"/>
                            <wp:effectExtent l="3810" t="3175" r="13335" b="17145"/>
                            <wp:wrapNone/>
                            <wp:docPr id="7"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xy;visibility:visible;" from="27.0pt,-0.4pt" to="145.6pt,131.5pt" filled="f" strokecolor="#000000" strokeweight="0.75pt"/>
                        </w:pict>
                      </mc:Fallback>
                    </mc:AlternateContent>
                  </w:r>
                  <w:r>
                    <w:rPr>
                      <w:rFonts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8"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color w:val="auto"/>
                      <w:sz w:val="24"/>
                      <w:highlight w:val="none"/>
                    </w:rPr>
                    <w:t xml:space="preserve">服</w:t>
                  </w:r>
                  <w:r/>
                </w:p>
                <w:p>
                  <w:pPr>
                    <w:ind w:firstLine="24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费　　　   务</w:t>
                  </w:r>
                  <w:r/>
                </w:p>
                <w:p>
                  <w:pPr>
                    <w:ind w:firstLine="1260"/>
                    <w:spacing w:line="440" w:lineRule="exact"/>
                    <w:rPr>
                      <w:rFonts w:ascii="宋体" w:hAnsi="宋体" w:cs="宋体"/>
                      <w:bCs/>
                      <w:color w:val="auto"/>
                      <w:sz w:val="24"/>
                      <w:highlight w:val="none"/>
                    </w:rPr>
                  </w:pPr>
                  <w:r>
                    <w:rPr>
                      <w:rFonts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-83185</wp:posOffset>
                            </wp:positionH>
                            <wp:positionV relativeFrom="paragraph">
                              <wp:posOffset>90805</wp:posOffset>
                            </wp:positionV>
                            <wp:extent cx="1932940" cy="1020445"/>
                            <wp:effectExtent l="2540" t="4445" r="7620" b="3810"/>
                            <wp:wrapNone/>
                            <wp:docPr id="9" name="Line 46"/>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flip:xy;visibility:visible;" from="-6.5pt,7.1pt" to="145.6pt,87.5pt" filled="f" strokecolor="#000000" strokeweight="0.75pt"/>
                        </w:pict>
                      </mc:Fallback>
                    </mc:AlternateContent>
                  </w:r>
                  <w:r>
                    <w:rPr>
                      <w:rFonts w:hint="eastAsia" w:ascii="宋体" w:hAnsi="宋体" w:cs="宋体"/>
                      <w:bCs/>
                      <w:color w:val="auto"/>
                      <w:sz w:val="24"/>
                      <w:highlight w:val="none"/>
                    </w:rPr>
                    <w:t xml:space="preserve">　   类</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率　       型</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成交金额（万元）</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服务类</w:t>
                  </w:r>
                  <w:r/>
                </w:p>
              </w:tc>
            </w:tr>
            <w:tr>
              <w:trPr/>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100（含，下同）以下</w:t>
                  </w:r>
                  <w:r/>
                </w:p>
              </w:tc>
              <w:tc>
                <w:tcPr>
                  <w:tcBorders>
                    <w:top w:val="single" w:color="auto" w:sz="4" w:space="0"/>
                    <w:left w:val="single" w:color="auto" w:sz="4" w:space="0"/>
                    <w:bottom w:val="single" w:color="auto" w:sz="4" w:space="0"/>
                    <w:right w:val="single" w:color="auto" w:sz="4" w:space="0"/>
                  </w:tcBorders>
                  <w:tcW w:w="2407"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1.5%</w:t>
                  </w:r>
                  <w:r/>
                </w:p>
              </w:tc>
            </w:tr>
            <w:tr>
              <w:trPr/>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100-500</w:t>
                  </w:r>
                  <w:r/>
                </w:p>
              </w:tc>
              <w:tc>
                <w:tcPr>
                  <w:tcBorders>
                    <w:top w:val="single" w:color="auto" w:sz="4" w:space="0"/>
                    <w:left w:val="single" w:color="auto" w:sz="4" w:space="0"/>
                    <w:bottom w:val="single" w:color="auto" w:sz="4" w:space="0"/>
                    <w:right w:val="single" w:color="auto" w:sz="4" w:space="0"/>
                  </w:tcBorders>
                  <w:tcW w:w="2407"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0.8%</w:t>
                  </w:r>
                  <w:r/>
                </w:p>
              </w:tc>
            </w:tr>
            <w:tr>
              <w:trPr/>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500—1000</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0.45%</w:t>
                  </w:r>
                  <w:r/>
                </w:p>
              </w:tc>
            </w:tr>
            <w:tr>
              <w:trPr/>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1000-5000</w:t>
                  </w:r>
                  <w:r/>
                </w:p>
              </w:tc>
              <w:tc>
                <w:tcPr>
                  <w:tcBorders>
                    <w:top w:val="single" w:color="auto" w:sz="4" w:space="0"/>
                    <w:left w:val="single" w:color="auto" w:sz="4" w:space="0"/>
                    <w:bottom w:val="single" w:color="auto" w:sz="4" w:space="0"/>
                    <w:right w:val="single" w:color="auto" w:sz="4" w:space="0"/>
                  </w:tcBorders>
                  <w:tcW w:w="2407"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0.25％</w:t>
                  </w:r>
                  <w:r/>
                </w:p>
              </w:tc>
            </w:tr>
            <w:tr>
              <w:trPr/>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5000-10000</w:t>
                  </w:r>
                  <w:r/>
                </w:p>
              </w:tc>
              <w:tc>
                <w:tcPr>
                  <w:tcBorders>
                    <w:top w:val="single" w:color="auto" w:sz="4" w:space="0"/>
                    <w:left w:val="single" w:color="auto" w:sz="4" w:space="0"/>
                    <w:bottom w:val="single" w:color="auto" w:sz="4" w:space="0"/>
                    <w:right w:val="single" w:color="auto" w:sz="4" w:space="0"/>
                  </w:tcBorders>
                  <w:tcW w:w="2407"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0.1％</w:t>
                  </w:r>
                  <w:r/>
                </w:p>
              </w:tc>
            </w:tr>
            <w:tr>
              <w:trPr/>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10000-100000</w:t>
                  </w:r>
                  <w:r/>
                </w:p>
              </w:tc>
              <w:tc>
                <w:tcPr>
                  <w:tcBorders>
                    <w:top w:val="single" w:color="auto" w:sz="4" w:space="0"/>
                    <w:left w:val="single" w:color="auto" w:sz="4" w:space="0"/>
                    <w:bottom w:val="single" w:color="auto" w:sz="4" w:space="0"/>
                    <w:right w:val="single" w:color="auto" w:sz="4" w:space="0"/>
                  </w:tcBorders>
                  <w:tcW w:w="2407"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0.05％</w:t>
                  </w:r>
                  <w:r/>
                </w:p>
              </w:tc>
            </w:tr>
            <w:tr>
              <w:trPr/>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按上述计算方法不足3000 元</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spacing w:line="360" w:lineRule="exact"/>
                    <w:rPr>
                      <w:rFonts w:ascii="宋体" w:hAnsi="宋体" w:cs="宋体"/>
                      <w:bCs/>
                      <w:color w:val="auto"/>
                      <w:sz w:val="24"/>
                      <w:highlight w:val="none"/>
                    </w:rPr>
                  </w:pPr>
                  <w:r>
                    <w:rPr>
                      <w:rFonts w:hint="eastAsia" w:ascii="宋体" w:hAnsi="宋体" w:cs="宋体"/>
                      <w:color w:val="auto"/>
                      <w:sz w:val="24"/>
                      <w:highlight w:val="none"/>
                    </w:rPr>
                    <w:t xml:space="preserve">3000 元</w:t>
                  </w:r>
                  <w:r/>
                </w:p>
              </w:tc>
            </w:tr>
          </w:tbl>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代理费按差额定率累进法计算。 </w:t>
            </w:r>
            <w:r/>
          </w:p>
          <w:p>
            <w:pPr>
              <w:ind w:firstLine="480"/>
              <w:jc w:val="left"/>
              <w:rPr>
                <w:rFonts w:ascii="宋体" w:hAnsi="宋体" w:cs="宋体"/>
                <w:b/>
                <w:color w:val="auto"/>
                <w:sz w:val="24"/>
                <w:highlight w:val="none"/>
              </w:rPr>
            </w:pPr>
            <w:r>
              <w:rPr>
                <w:rFonts w:hint="eastAsia" w:ascii="宋体" w:hAnsi="宋体" w:cs="宋体"/>
                <w:color w:val="auto"/>
                <w:sz w:val="24"/>
                <w:highlight w:val="none"/>
              </w:rPr>
              <w:t xml:space="preserve">代理费</w:t>
            </w:r>
            <w:r>
              <w:rPr>
                <w:rFonts w:hint="eastAsia" w:ascii="宋体" w:hAnsi="宋体" w:cs="宋体"/>
                <w:b/>
                <w:color w:val="auto"/>
                <w:sz w:val="24"/>
                <w:highlight w:val="none"/>
              </w:rPr>
              <w:t xml:space="preserve">按照上述标准的60%收取。</w:t>
            </w:r>
            <w:r/>
          </w:p>
          <w:p>
            <w:pPr>
              <w:jc w:val="left"/>
              <w:rPr>
                <w:rFonts w:ascii="宋体" w:hAnsi="宋体" w:cs="宋体"/>
                <w:color w:val="auto"/>
                <w:sz w:val="24"/>
                <w:highlight w:val="none"/>
              </w:rPr>
            </w:pPr>
            <w:r>
              <w:rPr>
                <w:rFonts w:hint="eastAsia" w:ascii="宋体" w:hAnsi="宋体" w:cs="宋体"/>
                <w:b/>
                <w:color w:val="auto"/>
                <w:sz w:val="24"/>
                <w:highlight w:val="none"/>
              </w:rPr>
              <w:t xml:space="preserve">（3）缴纳时间：</w:t>
            </w:r>
            <w:r>
              <w:rPr>
                <w:rFonts w:hint="eastAsia" w:ascii="宋体" w:hAnsi="宋体" w:cs="宋体"/>
                <w:color w:val="auto"/>
                <w:sz w:val="24"/>
                <w:highlight w:val="none"/>
              </w:rPr>
              <w:t xml:space="preserve">中标人应在领取中标通知书时将代理费支付至常州市城投建设工程招标有限公司账户。</w:t>
            </w:r>
            <w:r/>
          </w:p>
          <w:p>
            <w:pPr>
              <w:ind w:firstLine="472"/>
              <w:jc w:val="left"/>
              <w:rPr>
                <w:rFonts w:ascii="宋体" w:hAnsi="宋体" w:cs="宋体"/>
                <w:color w:val="auto"/>
                <w:sz w:val="24"/>
                <w:highlight w:val="none"/>
              </w:rPr>
            </w:pPr>
            <w:r>
              <w:rPr>
                <w:rFonts w:hint="eastAsia" w:ascii="宋体" w:hAnsi="宋体" w:cs="宋体"/>
                <w:color w:val="auto"/>
                <w:sz w:val="24"/>
                <w:highlight w:val="none"/>
              </w:rPr>
              <w:t xml:space="preserve">收款单位：常州市城投建设工程招标有限公司</w:t>
            </w:r>
            <w:r/>
          </w:p>
          <w:p>
            <w:pPr>
              <w:ind w:firstLine="472"/>
              <w:jc w:val="left"/>
              <w:rPr>
                <w:rFonts w:ascii="宋体" w:hAnsi="宋体" w:cs="宋体"/>
                <w:color w:val="auto"/>
                <w:sz w:val="24"/>
                <w:highlight w:val="none"/>
              </w:rPr>
            </w:pPr>
            <w:r>
              <w:rPr>
                <w:rFonts w:hint="eastAsia" w:ascii="宋体" w:hAnsi="宋体" w:cs="宋体"/>
                <w:color w:val="auto"/>
                <w:sz w:val="24"/>
                <w:highlight w:val="none"/>
              </w:rPr>
              <w:t xml:space="preserve">开户银行：中国建设银行常州大成苑支行</w:t>
            </w:r>
            <w:r/>
          </w:p>
          <w:p>
            <w:pPr>
              <w:ind w:firstLine="472"/>
              <w:jc w:val="left"/>
              <w:rPr>
                <w:rFonts w:ascii="宋体" w:hAnsi="宋体" w:cs="宋体"/>
                <w:color w:val="auto"/>
                <w:sz w:val="24"/>
                <w:highlight w:val="none"/>
              </w:rPr>
            </w:pPr>
            <w:r>
              <w:rPr>
                <w:rFonts w:hint="eastAsia" w:ascii="宋体" w:hAnsi="宋体" w:cs="宋体"/>
                <w:color w:val="auto"/>
                <w:sz w:val="24"/>
                <w:highlight w:val="none"/>
              </w:rPr>
              <w:t xml:space="preserve">银行账号：32001624236052500905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56"/>
              <w:jc w:val="center"/>
              <w:rPr>
                <w:rFonts w:hint="default" w:hAnsi="宋体" w:cs="宋体"/>
                <w:color w:val="auto"/>
                <w:sz w:val="24"/>
                <w:szCs w:val="24"/>
                <w:highlight w:val="none"/>
              </w:rPr>
            </w:pPr>
            <w:r>
              <w:rPr>
                <w:rFonts w:hAnsi="宋体"/>
                <w:color w:val="auto"/>
                <w:sz w:val="24"/>
                <w:szCs w:val="24"/>
                <w:highlight w:val="none"/>
              </w:rPr>
              <w:t xml:space="preserve">2</w:t>
            </w:r>
            <w:r>
              <w:rPr>
                <w:rFonts w:hint="default"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ind w:firstLine="472"/>
              <w:jc w:val="left"/>
              <w:rPr>
                <w:rFonts w:ascii="宋体" w:hAnsi="宋体" w:cs="宋体"/>
                <w:b/>
                <w:color w:val="auto"/>
                <w:sz w:val="24"/>
                <w:highlight w:val="none"/>
              </w:rPr>
            </w:pPr>
            <w:r>
              <w:rPr>
                <w:rFonts w:hint="eastAsia"/>
                <w:color w:val="auto"/>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auto"/>
                <w:sz w:val="24"/>
                <w:highlight w:val="none"/>
              </w:rPr>
              <w:t xml:space="preserve">建设工程招标有限公司</w:t>
            </w:r>
            <w:r>
              <w:rPr>
                <w:rFonts w:hint="eastAsia"/>
                <w:color w:val="auto"/>
                <w:sz w:val="24"/>
                <w:highlight w:val="none"/>
              </w:rPr>
              <w:t xml:space="preserve">，联系方式见《第一章 投标邀请》）</w:t>
            </w:r>
            <w:r/>
          </w:p>
        </w:tc>
      </w:tr>
    </w:tbl>
    <w:p>
      <w:pPr>
        <w:jc w:val="both"/>
        <w:spacing w:line="360" w:lineRule="auto"/>
        <w:tabs>
          <w:tab w:val="left" w:pos="5580" w:leader="none"/>
        </w:tabs>
        <w:rPr>
          <w:rFonts w:ascii="宋体" w:hAnsi="宋体" w:cs="宋体"/>
          <w:color w:val="auto"/>
          <w:sz w:val="24"/>
          <w:highlight w:val="none"/>
        </w:rPr>
        <w:sectPr>
          <w:headerReference w:type="first" r:id="rId11"/>
          <w:footerReference w:type="default" r:id="rId21"/>
          <w:footnotePr/>
          <w:endnotePr/>
          <w:type w:val="nextColumn"/>
          <w:pgSz w:w="11907" w:h="16840" w:orient="portrait"/>
          <w:pgMar w:top="1418" w:right="1134" w:bottom="1418" w:left="1701" w:header="851" w:footer="851" w:gutter="0"/>
          <w:pgNumType w:start="0"/>
          <w:cols w:num="1" w:sep="0" w:space="720" w:equalWidth="1"/>
          <w:docGrid w:linePitch="360"/>
          <w:titlePg/>
        </w:sectPr>
      </w:pPr>
      <w:r>
        <w:rPr>
          <w:rFonts w:ascii="宋体" w:hAnsi="宋体" w:cs="宋体"/>
          <w:color w:val="auto"/>
          <w:sz w:val="24"/>
          <w:highlight w:val="none"/>
        </w:rPr>
      </w:r>
      <w:r/>
    </w:p>
    <w:p>
      <w:pPr>
        <w:jc w:val="center"/>
        <w:rPr>
          <w:rFonts w:ascii="宋体" w:hAnsi="宋体" w:cs="宋体"/>
          <w:b/>
          <w:color w:val="auto"/>
          <w:sz w:val="28"/>
          <w:szCs w:val="28"/>
          <w:highlight w:val="none"/>
        </w:rPr>
      </w:pPr>
      <w:r/>
      <w:bookmarkStart w:id="75" w:name="_Toc305158785"/>
      <w:r/>
      <w:bookmarkStart w:id="76" w:name="_Toc142311019"/>
      <w:r/>
      <w:bookmarkStart w:id="77" w:name="_Toc264969207"/>
      <w:r/>
      <w:bookmarkStart w:id="78" w:name="_Toc353825542"/>
      <w:r/>
      <w:bookmarkStart w:id="79" w:name="_Toc226337213"/>
      <w:r/>
      <w:bookmarkStart w:id="80" w:name="_Toc353873662"/>
      <w:r/>
      <w:bookmarkStart w:id="81" w:name="_Toc150480755"/>
      <w:r/>
      <w:bookmarkStart w:id="82" w:name="_Toc195842882"/>
      <w:r/>
      <w:bookmarkStart w:id="83" w:name="_Toc150774722"/>
      <w:r/>
      <w:bookmarkStart w:id="84" w:name="_Toc265228355"/>
      <w:r/>
      <w:bookmarkStart w:id="85" w:name="_Toc353873932"/>
      <w:r/>
      <w:bookmarkStart w:id="86" w:name="_Toc127151517"/>
      <w:r/>
      <w:bookmarkStart w:id="87" w:name="_Toc305158859"/>
      <w:r/>
      <w:bookmarkStart w:id="88" w:name="_Toc226965790"/>
      <w:r>
        <w:rPr>
          <w:rFonts w:hint="eastAsia" w:ascii="宋体" w:hAnsi="宋体" w:cs="宋体"/>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33"/>
        <w:jc w:val="left"/>
        <w:spacing w:before="0" w:line="360" w:lineRule="auto"/>
        <w:tabs>
          <w:tab w:val="center" w:pos="4592" w:leader="none"/>
          <w:tab w:val="left" w:pos="7860" w:leader="none"/>
        </w:tabs>
        <w:rPr>
          <w:rFonts w:ascii="宋体" w:hAnsi="宋体" w:eastAsia="宋体" w:cs="宋体"/>
          <w:color w:val="auto"/>
          <w:sz w:val="28"/>
          <w:highlight w:val="none"/>
        </w:rPr>
      </w:pPr>
      <w:r/>
      <w:bookmarkStart w:id="89" w:name="_Toc520356143"/>
      <w:r/>
      <w:bookmarkStart w:id="90" w:name="_Toc127151518"/>
      <w:r>
        <w:rPr>
          <w:rFonts w:hint="eastAsia" w:ascii="宋体" w:hAnsi="宋体" w:eastAsia="宋体" w:cs="宋体"/>
          <w:color w:val="auto"/>
          <w:sz w:val="28"/>
          <w:highlight w:val="none"/>
        </w:rPr>
        <w:tab/>
      </w:r>
      <w:bookmarkStart w:id="91" w:name="_Toc150774618"/>
      <w:r/>
      <w:bookmarkStart w:id="92" w:name="_Toc151190145"/>
      <w:r/>
      <w:bookmarkStart w:id="93" w:name="_Toc265228356"/>
      <w:r/>
      <w:bookmarkStart w:id="94" w:name="_Toc264969208"/>
      <w:r/>
      <w:bookmarkStart w:id="95" w:name="_Toc226337214"/>
      <w:r/>
      <w:bookmarkStart w:id="96" w:name="_Toc150509269"/>
      <w:r/>
      <w:bookmarkStart w:id="97" w:name="_Toc151193760"/>
      <w:r/>
      <w:bookmarkStart w:id="98" w:name="_Toc150774723"/>
      <w:r/>
      <w:bookmarkStart w:id="99" w:name="_Toc151193906"/>
      <w:r/>
      <w:bookmarkStart w:id="100" w:name="_Toc226309762"/>
      <w:r/>
      <w:bookmarkStart w:id="101" w:name="_Toc151193832"/>
      <w:r/>
      <w:bookmarkStart w:id="102" w:name="_Toc151193688"/>
      <w:r/>
      <w:bookmarkStart w:id="103" w:name="_Toc226965791"/>
      <w:r/>
      <w:bookmarkStart w:id="104" w:name="_Toc305158786"/>
      <w:r/>
      <w:bookmarkStart w:id="105" w:name="_Toc195842883"/>
      <w:r/>
      <w:bookmarkStart w:id="106" w:name="_Toc150480756"/>
      <w:r/>
      <w:bookmarkStart w:id="107" w:name="_Toc226965708"/>
      <w:r/>
      <w:bookmarkStart w:id="108" w:name="_Toc142311020"/>
      <w:r/>
      <w:bookmarkStart w:id="109" w:name="_Toc305158860"/>
      <w:r/>
      <w:bookmarkStart w:id="110" w:name="_Toc151193616"/>
      <w:r>
        <w:rPr>
          <w:rFonts w:hint="eastAsia" w:ascii="宋体" w:hAnsi="宋体" w:eastAsia="宋体" w:cs="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auto"/>
          <w:sz w:val="28"/>
          <w:highlight w:val="none"/>
        </w:rPr>
        <w:tab/>
      </w:r>
      <w:r/>
    </w:p>
    <w:p>
      <w:pPr>
        <w:numPr>
          <w:ilvl w:val="0"/>
          <w:numId w:val="1"/>
        </w:numPr>
        <w:ind w:left="0" w:firstLine="482"/>
        <w:spacing w:line="360" w:lineRule="auto"/>
        <w:tabs>
          <w:tab w:val="left" w:pos="360" w:leader="none"/>
          <w:tab w:val="clear" w:pos="900" w:leader="none"/>
        </w:tabs>
        <w:rPr>
          <w:rFonts w:ascii="宋体" w:hAnsi="宋体" w:cs="宋体"/>
          <w:b/>
          <w:color w:val="auto"/>
          <w:sz w:val="24"/>
          <w:highlight w:val="none"/>
        </w:rPr>
        <w:outlineLvl w:val="1"/>
      </w:pPr>
      <w:r/>
      <w:bookmarkStart w:id="111" w:name="_Toc305158787"/>
      <w:r/>
      <w:bookmarkStart w:id="112" w:name="_Toc264969209"/>
      <w:r/>
      <w:bookmarkStart w:id="113" w:name="_Toc305158861"/>
      <w:r/>
      <w:bookmarkStart w:id="114" w:name="_Toc265228357"/>
      <w:r>
        <w:rPr>
          <w:rFonts w:hint="eastAsia" w:ascii="宋体" w:hAnsi="宋体" w:cs="宋体"/>
          <w:b/>
          <w:color w:val="auto"/>
          <w:sz w:val="24"/>
          <w:highlight w:val="none"/>
        </w:rPr>
        <w:t xml:space="preserve">采购人、采购代理机构、投标人</w:t>
      </w:r>
      <w:bookmarkEnd w:id="111"/>
      <w:r/>
      <w:bookmarkEnd w:id="112"/>
      <w:r/>
      <w:bookmarkEnd w:id="113"/>
      <w:r/>
      <w:bookmarkEnd w:id="114"/>
      <w:r>
        <w:rPr>
          <w:rFonts w:hint="eastAsia" w:ascii="宋体" w:hAnsi="宋体" w:cs="宋体"/>
          <w:b/>
          <w:color w:val="auto"/>
          <w:sz w:val="24"/>
          <w:highlight w:val="none"/>
        </w:rPr>
        <w:t xml:space="preserve">、联合体</w:t>
      </w:r>
      <w:r/>
    </w:p>
    <w:p>
      <w:pPr>
        <w:numPr>
          <w:ilvl w:val="1"/>
          <w:numId w:val="1"/>
        </w:numPr>
        <w:ind w:left="0"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0"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1"/>
        </w:numPr>
        <w:ind w:left="0"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1"/>
        </w:numPr>
        <w:ind w:left="0" w:firstLine="482"/>
        <w:spacing w:line="360" w:lineRule="auto"/>
        <w:tabs>
          <w:tab w:val="left" w:pos="360" w:leader="none"/>
          <w:tab w:val="clear" w:pos="900" w:leader="none"/>
        </w:tabs>
        <w:rPr>
          <w:rFonts w:ascii="宋体" w:hAnsi="宋体" w:cs="宋体"/>
          <w:b/>
          <w:color w:val="auto"/>
          <w:sz w:val="24"/>
          <w:highlight w:val="none"/>
        </w:rPr>
        <w:outlineLvl w:val="1"/>
      </w:pPr>
      <w:r/>
      <w:bookmarkStart w:id="115" w:name="_Toc164229215"/>
      <w:r/>
      <w:bookmarkStart w:id="116" w:name="_Toc127151520"/>
      <w:r/>
      <w:bookmarkStart w:id="117" w:name="_Toc226337216"/>
      <w:r/>
      <w:bookmarkStart w:id="118" w:name="_Toc164351614"/>
      <w:r/>
      <w:bookmarkStart w:id="119" w:name="_Toc150509271"/>
      <w:r/>
      <w:bookmarkStart w:id="120" w:name="_Toc151193762"/>
      <w:r/>
      <w:bookmarkStart w:id="121" w:name="_Toc150774725"/>
      <w:r/>
      <w:bookmarkStart w:id="122" w:name="_Toc151190147"/>
      <w:r/>
      <w:bookmarkStart w:id="123" w:name="_Toc226965710"/>
      <w:r/>
      <w:bookmarkStart w:id="124" w:name="_Toc265228358"/>
      <w:r/>
      <w:bookmarkStart w:id="125" w:name="_Toc151193618"/>
      <w:r/>
      <w:bookmarkStart w:id="126" w:name="_Toc149720813"/>
      <w:r/>
      <w:bookmarkStart w:id="127" w:name="_Toc151193690"/>
      <w:r/>
      <w:bookmarkStart w:id="128" w:name="_Toc164229361"/>
      <w:r/>
      <w:bookmarkStart w:id="129" w:name="_Toc305158788"/>
      <w:r/>
      <w:bookmarkStart w:id="130" w:name="_Toc151193908"/>
      <w:r/>
      <w:bookmarkStart w:id="131" w:name="_Toc127161434"/>
      <w:r/>
      <w:bookmarkStart w:id="132" w:name="_Toc226309764"/>
      <w:r/>
      <w:bookmarkStart w:id="133" w:name="_Toc264969210"/>
      <w:r/>
      <w:bookmarkStart w:id="134" w:name="_Toc150480758"/>
      <w:r/>
      <w:bookmarkStart w:id="135" w:name="_Toc142311022"/>
      <w:r/>
      <w:bookmarkStart w:id="136" w:name="_Toc195842885"/>
      <w:r/>
      <w:bookmarkStart w:id="137" w:name="_Toc226965793"/>
      <w:r/>
      <w:bookmarkStart w:id="138" w:name="_Toc127151721"/>
      <w:r/>
      <w:bookmarkStart w:id="139" w:name="_Toc164608789"/>
      <w:r/>
      <w:bookmarkStart w:id="140" w:name="_Toc151193834"/>
      <w:r/>
      <w:bookmarkStart w:id="141" w:name="_Toc164608634"/>
      <w:r/>
      <w:bookmarkStart w:id="142" w:name="_Toc150774620"/>
      <w:r/>
      <w:bookmarkStart w:id="143" w:name="_Toc305158862"/>
      <w:r>
        <w:rPr>
          <w:rFonts w:hint="eastAsia" w:ascii="宋体" w:hAnsi="宋体" w:cs="宋体"/>
          <w:b/>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、项目属性、科研仪器设备采购、核心产品</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1"/>
        </w:numPr>
        <w:ind w:left="0"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1"/>
        </w:numPr>
        <w:ind w:left="0" w:firstLine="482"/>
        <w:spacing w:line="360" w:lineRule="auto"/>
        <w:tabs>
          <w:tab w:val="left" w:pos="360" w:leader="none"/>
          <w:tab w:val="clear" w:pos="90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现场考察、开标前答疑会</w:t>
      </w:r>
      <w:r/>
    </w:p>
    <w:p>
      <w:pPr>
        <w:numPr>
          <w:ilvl w:val="1"/>
          <w:numId w:val="1"/>
        </w:numPr>
        <w:ind w:left="0" w:firstLine="480"/>
        <w:spacing w:line="360" w:lineRule="auto"/>
        <w:tabs>
          <w:tab w:val="left" w:pos="1080" w:leader="none"/>
          <w:tab w:val="left" w:pos="2014" w:leader="none"/>
        </w:tabs>
        <w:rPr>
          <w:rFonts w:ascii="宋体" w:hAnsi="宋体" w:cs="宋体"/>
          <w:color w:val="auto"/>
          <w:sz w:val="28"/>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44" w:name="_Toc142311024"/>
      <w:r/>
      <w:bookmarkStart w:id="145" w:name="_Toc150774622"/>
      <w:r/>
      <w:bookmarkStart w:id="146" w:name="_Toc305158864"/>
      <w:r/>
      <w:bookmarkStart w:id="147" w:name="_Toc151190149"/>
      <w:r/>
      <w:bookmarkStart w:id="148" w:name="_Toc226337218"/>
      <w:r/>
      <w:bookmarkStart w:id="149" w:name="_Toc150480760"/>
      <w:r/>
      <w:bookmarkStart w:id="150" w:name="_Toc520356146"/>
      <w:r/>
      <w:bookmarkStart w:id="151" w:name="_Toc226965712"/>
      <w:r/>
      <w:bookmarkStart w:id="152" w:name="_Toc305158790"/>
      <w:r/>
      <w:bookmarkStart w:id="153" w:name="_Toc226309766"/>
      <w:r/>
      <w:bookmarkStart w:id="154" w:name="_Toc151193692"/>
      <w:r/>
      <w:bookmarkStart w:id="155" w:name="_Toc151193764"/>
      <w:r/>
      <w:bookmarkStart w:id="156" w:name="_Toc264969212"/>
      <w:r/>
      <w:bookmarkStart w:id="157" w:name="_Toc151193620"/>
      <w:r/>
      <w:bookmarkStart w:id="158" w:name="_Toc151193836"/>
      <w:r/>
      <w:bookmarkStart w:id="159" w:name="_Toc150509273"/>
      <w:r/>
      <w:bookmarkStart w:id="160" w:name="_Toc226965795"/>
      <w:r/>
      <w:bookmarkStart w:id="161" w:name="_Toc127151522"/>
      <w:r/>
      <w:bookmarkStart w:id="162" w:name="_Toc265228360"/>
      <w:r/>
      <w:bookmarkStart w:id="163" w:name="_Toc195842887"/>
      <w:r/>
      <w:bookmarkStart w:id="164" w:name="_Toc151193910"/>
      <w:r/>
      <w:bookmarkStart w:id="165" w:name="_Toc150774727"/>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0" w:firstLine="482"/>
        <w:spacing w:line="360" w:lineRule="auto"/>
        <w:tabs>
          <w:tab w:val="left" w:pos="360" w:leader="none"/>
          <w:tab w:val="clear" w:pos="90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样品</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1"/>
        </w:numPr>
        <w:ind w:left="0" w:firstLine="482"/>
        <w:spacing w:line="360" w:lineRule="auto"/>
        <w:tabs>
          <w:tab w:val="left" w:pos="360" w:leader="none"/>
          <w:tab w:val="clear" w:pos="900" w:leader="none"/>
        </w:tabs>
        <w:rPr>
          <w:rFonts w:ascii="宋体" w:hAnsi="宋体" w:cs="宋体"/>
          <w:color w:val="auto"/>
          <w:sz w:val="24"/>
          <w:highlight w:val="none"/>
        </w:rPr>
        <w:outlineLvl w:val="1"/>
      </w:pPr>
      <w:r>
        <w:rPr>
          <w:rFonts w:hint="eastAsia" w:ascii="宋体" w:hAnsi="宋体" w:cs="宋体"/>
          <w:b/>
          <w:color w:val="auto"/>
          <w:sz w:val="24"/>
          <w:highlight w:val="none"/>
        </w:rPr>
        <w:t xml:space="preserve">政府采购政策</w:t>
      </w:r>
      <w:r>
        <w:rPr>
          <w:rFonts w:hint="eastAsia" w:ascii="宋体" w:hAnsi="宋体" w:cs="宋体"/>
          <w:color w:val="auto"/>
          <w:sz w:val="24"/>
          <w:highlight w:val="none"/>
        </w:rPr>
        <w:t xml:space="preserve">（包括但不限于下列具体政策要求）</w:t>
      </w:r>
      <w:r/>
    </w:p>
    <w:p>
      <w:pPr>
        <w:numPr>
          <w:ilvl w:val="1"/>
          <w:numId w:val="1"/>
        </w:numPr>
        <w:ind w:left="0" w:firstLine="482"/>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进口产品</w:t>
      </w:r>
      <w:r/>
    </w:p>
    <w:p>
      <w:pPr>
        <w:numPr>
          <w:ilvl w:val="2"/>
          <w:numId w:val="1"/>
        </w:numPr>
        <w:ind w:left="0" w:firstLine="480"/>
        <w:spacing w:line="360" w:lineRule="auto"/>
        <w:tabs>
          <w:tab w:val="left" w:pos="1276"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0" w:firstLine="482"/>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中小企业、监狱企业及残疾人福利性单位</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280"/>
        <w:numPr>
          <w:ilvl w:val="0"/>
          <w:numId w:val="2"/>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0"/>
          <w:numId w:val="2"/>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0"/>
          <w:numId w:val="2"/>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0"/>
          <w:numId w:val="2"/>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0"/>
          <w:numId w:val="2"/>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1"/>
          <w:numId w:val="2"/>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1"/>
          <w:numId w:val="2"/>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2"/>
          <w:numId w:val="2"/>
        </w:numPr>
        <w:ind w:left="0" w:firstLine="480"/>
        <w:spacing w:line="360" w:lineRule="auto"/>
        <w:tabs>
          <w:tab w:val="left" w:pos="1276" w:leader="none"/>
          <w:tab w:val="clear"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2"/>
        </w:numPr>
        <w:ind w:left="0" w:firstLine="480"/>
        <w:spacing w:line="360" w:lineRule="auto"/>
        <w:tabs>
          <w:tab w:val="clear" w:pos="900" w:leader="none"/>
          <w:tab w:val="left" w:pos="1276" w:leader="none"/>
          <w:tab w:val="left" w:pos="1560" w:leader="none"/>
          <w:tab w:val="left" w:pos="203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0" w:firstLine="480"/>
        <w:spacing w:line="360" w:lineRule="auto"/>
        <w:tabs>
          <w:tab w:val="clear" w:pos="900" w:leader="none"/>
          <w:tab w:val="left" w:pos="1276" w:leader="none"/>
          <w:tab w:val="left" w:pos="1560" w:leader="none"/>
          <w:tab w:val="left" w:pos="203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
        </w:numPr>
        <w:ind w:left="0" w:firstLine="480"/>
        <w:spacing w:line="360" w:lineRule="auto"/>
        <w:tabs>
          <w:tab w:val="left" w:pos="1276" w:leader="none"/>
          <w:tab w:val="left" w:pos="1560" w:leader="none"/>
        </w:tabs>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ind w:left="0" w:firstLine="480"/>
        <w:spacing w:line="360" w:lineRule="auto"/>
        <w:tabs>
          <w:tab w:val="left" w:pos="1276" w:leader="none"/>
          <w:tab w:val="left" w:pos="1560" w:leader="none"/>
        </w:tabs>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280"/>
        <w:numPr>
          <w:ilvl w:val="2"/>
          <w:numId w:val="2"/>
        </w:numPr>
        <w:ind w:left="0" w:firstLine="480"/>
        <w:spacing w:line="360" w:lineRule="auto"/>
        <w:tabs>
          <w:tab w:val="left" w:pos="1276" w:leader="none"/>
          <w:tab w:val="left" w:pos="1560" w:leader="none"/>
          <w:tab w:val="clear" w:pos="1980"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0"/>
        <w:numPr>
          <w:ilvl w:val="2"/>
          <w:numId w:val="2"/>
        </w:numPr>
        <w:ind w:left="0" w:firstLine="480"/>
        <w:spacing w:line="360" w:lineRule="auto"/>
        <w:tabs>
          <w:tab w:val="left" w:pos="1276" w:leader="none"/>
          <w:tab w:val="left" w:pos="1560" w:leader="none"/>
          <w:tab w:val="clear" w:pos="1980"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1"/>
        </w:numPr>
        <w:ind w:left="0" w:firstLine="482"/>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政府采购节能产品、环境标志产品</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0" w:firstLine="482"/>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支持乡村产业振兴管理</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0" w:firstLine="482"/>
        <w:spacing w:line="360" w:lineRule="auto"/>
        <w:tabs>
          <w:tab w:val="left" w:pos="1080" w:leader="none"/>
          <w:tab w:val="left" w:pos="1276" w:leader="none"/>
        </w:tabs>
        <w:rPr>
          <w:rFonts w:ascii="宋体" w:hAnsi="宋体" w:cs="宋体"/>
          <w:b/>
          <w:color w:val="auto"/>
          <w:sz w:val="24"/>
          <w:highlight w:val="none"/>
        </w:rPr>
      </w:pPr>
      <w:r>
        <w:rPr>
          <w:rFonts w:hint="eastAsia" w:ascii="宋体" w:hAnsi="宋体" w:cs="宋体"/>
          <w:b/>
          <w:color w:val="auto"/>
          <w:sz w:val="24"/>
          <w:highlight w:val="none"/>
        </w:rPr>
        <w:t xml:space="preserve">正版软件</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0" w:firstLine="482"/>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信息安全产品</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所投产品属于《关于调整信息安全产品强制性认证实施要求的公告》（2009 年第33 号）范围的，采购经国家认证的信息安全产品，否则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。关于信息安全相关规定依据《关于信息安全产品实施政府采购的通知》（财库〔2010〕48 号）。</w:t>
      </w:r>
      <w:r/>
    </w:p>
    <w:p>
      <w:pPr>
        <w:numPr>
          <w:ilvl w:val="1"/>
          <w:numId w:val="1"/>
        </w:numPr>
        <w:ind w:left="0" w:firstLine="482"/>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政府采购创新产品政策</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绿色采购政策</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1"/>
        </w:numPr>
        <w:ind w:left="0" w:firstLine="480"/>
        <w:spacing w:line="360" w:lineRule="auto"/>
        <w:tabs>
          <w:tab w:val="left" w:pos="1276"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5.9采购本国产品的支持政策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投标费用</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ascii="宋体" w:hAnsi="宋体" w:cs="宋体"/>
          <w:color w:val="auto"/>
          <w:sz w:val="28"/>
          <w:highlight w:val="none"/>
        </w:rPr>
      </w:pPr>
      <w:r/>
      <w:bookmarkStart w:id="166" w:name="_1.8_计量单位"/>
      <w:r/>
      <w:bookmarkEnd w:id="166"/>
      <w:r/>
      <w:r/>
    </w:p>
    <w:p>
      <w:pPr>
        <w:pStyle w:val="1033"/>
        <w:ind w:firstLine="562"/>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167" w:name="_Toc151193911"/>
      <w:r/>
      <w:bookmarkStart w:id="168" w:name="_Toc142311025"/>
      <w:r/>
      <w:bookmarkStart w:id="169" w:name="_Toc151193693"/>
      <w:r/>
      <w:bookmarkStart w:id="170" w:name="_Toc195842888"/>
      <w:r/>
      <w:bookmarkStart w:id="171" w:name="_Toc164229218"/>
      <w:r/>
      <w:bookmarkStart w:id="172" w:name="_Toc164351617"/>
      <w:r/>
      <w:bookmarkStart w:id="173" w:name="_Toc164608637"/>
      <w:r/>
      <w:bookmarkStart w:id="174" w:name="_Toc226337219"/>
      <w:r/>
      <w:bookmarkStart w:id="175" w:name="_Toc265228361"/>
      <w:r/>
      <w:bookmarkStart w:id="176" w:name="_Toc150774623"/>
      <w:r/>
      <w:bookmarkStart w:id="177" w:name="_Toc127161437"/>
      <w:r/>
      <w:bookmarkStart w:id="178" w:name="_Toc151190150"/>
      <w:r/>
      <w:bookmarkStart w:id="179" w:name="_Toc164608792"/>
      <w:r/>
      <w:bookmarkStart w:id="180" w:name="_Toc520356147"/>
      <w:r/>
      <w:bookmarkStart w:id="181" w:name="_Toc164229364"/>
      <w:r/>
      <w:bookmarkStart w:id="182" w:name="_Toc150480761"/>
      <w:r/>
      <w:bookmarkStart w:id="183" w:name="_Toc226309767"/>
      <w:r/>
      <w:bookmarkStart w:id="184" w:name="_Toc264969213"/>
      <w:r/>
      <w:bookmarkStart w:id="185" w:name="_Toc305158865"/>
      <w:r/>
      <w:bookmarkStart w:id="186" w:name="_Toc149720816"/>
      <w:r/>
      <w:bookmarkStart w:id="187" w:name="_Toc226965796"/>
      <w:r/>
      <w:bookmarkStart w:id="188" w:name="_Toc127151724"/>
      <w:r/>
      <w:bookmarkStart w:id="189" w:name="_Toc151193837"/>
      <w:r/>
      <w:bookmarkStart w:id="190" w:name="_Toc151193621"/>
      <w:r/>
      <w:bookmarkStart w:id="191" w:name="_Toc151193765"/>
      <w:r/>
      <w:bookmarkStart w:id="192" w:name="_Toc226965713"/>
      <w:r/>
      <w:bookmarkStart w:id="193" w:name="_Toc150774728"/>
      <w:r/>
      <w:bookmarkStart w:id="194" w:name="_Toc150509274"/>
      <w:r/>
      <w:bookmarkStart w:id="195" w:name="_Toc305158791"/>
      <w:r/>
      <w:bookmarkStart w:id="196" w:name="_Toc127151523"/>
      <w:r>
        <w:rPr>
          <w:rFonts w:hint="eastAsia" w:ascii="宋体" w:hAnsi="宋体" w:cs="宋体"/>
          <w:b/>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auto"/>
          <w:sz w:val="24"/>
          <w:highlight w:val="none"/>
        </w:rPr>
        <w:t xml:space="preserve">成</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3"/>
        </w:numPr>
        <w:ind w:left="0" w:firstLine="480"/>
        <w:spacing w:line="360" w:lineRule="auto"/>
        <w:tabs>
          <w:tab w:val="left" w:pos="1418"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3"/>
        </w:numPr>
        <w:ind w:left="0" w:firstLine="480"/>
        <w:spacing w:line="360" w:lineRule="auto"/>
        <w:tabs>
          <w:tab w:val="left" w:pos="1418"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3"/>
        </w:numPr>
        <w:ind w:left="0" w:firstLine="480"/>
        <w:spacing w:line="360" w:lineRule="auto"/>
        <w:tabs>
          <w:tab w:val="left" w:pos="1418"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3"/>
        </w:numPr>
        <w:ind w:left="0" w:firstLine="480"/>
        <w:spacing w:line="360" w:lineRule="auto"/>
        <w:tabs>
          <w:tab w:val="left" w:pos="1418"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3"/>
        </w:numPr>
        <w:ind w:left="0" w:firstLine="480"/>
        <w:spacing w:line="360" w:lineRule="auto"/>
        <w:tabs>
          <w:tab w:val="left" w:pos="1418"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3"/>
        </w:numPr>
        <w:ind w:left="0" w:firstLine="480"/>
        <w:spacing w:line="360" w:lineRule="auto"/>
        <w:tabs>
          <w:tab w:val="left" w:pos="1418"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3"/>
        </w:numPr>
        <w:ind w:left="0" w:firstLine="480"/>
        <w:spacing w:line="360" w:lineRule="auto"/>
        <w:tabs>
          <w:tab w:val="left" w:pos="1418"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对招标文件的澄清或修改</w:t>
      </w:r>
      <w:r/>
    </w:p>
    <w:p>
      <w:pPr>
        <w:numPr>
          <w:ilvl w:val="1"/>
          <w:numId w:val="1"/>
        </w:numPr>
        <w:ind w:left="0"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1"/>
        </w:numPr>
        <w:ind w:left="0"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33"/>
        <w:ind w:firstLine="562"/>
        <w:spacing w:before="0" w:line="360" w:lineRule="auto"/>
        <w:rPr>
          <w:rFonts w:ascii="宋体" w:hAnsi="宋体" w:eastAsia="宋体" w:cs="宋体"/>
          <w:color w:val="auto"/>
          <w:sz w:val="28"/>
          <w:highlight w:val="none"/>
        </w:rPr>
      </w:pPr>
      <w:r/>
      <w:bookmarkStart w:id="197" w:name="_Toc516367020"/>
      <w:r/>
      <w:bookmarkStart w:id="198" w:name="_Toc264969216"/>
      <w:r/>
      <w:bookmarkStart w:id="199" w:name="_Toc265228364"/>
      <w:r/>
      <w:bookmarkStart w:id="200" w:name="_Toc226965799"/>
      <w:r/>
      <w:bookmarkStart w:id="201" w:name="_Toc520356150"/>
      <w:r/>
      <w:bookmarkStart w:id="202" w:name="_Toc151193840"/>
      <w:r/>
      <w:bookmarkStart w:id="203" w:name="_Toc151193768"/>
      <w:r/>
      <w:bookmarkStart w:id="204" w:name="_Toc226337222"/>
      <w:r/>
      <w:bookmarkStart w:id="205" w:name="_Toc150509277"/>
      <w:r/>
      <w:bookmarkStart w:id="206" w:name="_Toc151193914"/>
      <w:r/>
      <w:bookmarkStart w:id="207" w:name="_Toc150480764"/>
      <w:r/>
      <w:bookmarkStart w:id="208" w:name="_Toc142311028"/>
      <w:r/>
      <w:bookmarkStart w:id="209" w:name="_Toc127151526"/>
      <w:r/>
      <w:bookmarkStart w:id="210" w:name="_Toc226309770"/>
      <w:r/>
      <w:bookmarkStart w:id="211" w:name="_Toc151193696"/>
      <w:r/>
      <w:bookmarkStart w:id="212" w:name="_Toc226965716"/>
      <w:r/>
      <w:bookmarkStart w:id="213" w:name="_Toc151190153"/>
      <w:r/>
      <w:bookmarkStart w:id="214" w:name="_Toc151193624"/>
      <w:r/>
      <w:bookmarkStart w:id="215" w:name="_Toc195842891"/>
      <w:r/>
      <w:bookmarkStart w:id="216" w:name="_Toc150774626"/>
      <w:r/>
      <w:bookmarkStart w:id="217" w:name="_Toc150774731"/>
      <w:r/>
      <w:bookmarkStart w:id="218" w:name="_Toc305158794"/>
      <w:r/>
      <w:bookmarkStart w:id="219" w:name="_Toc305158868"/>
      <w:r>
        <w:rPr>
          <w:rFonts w:hint="eastAsia" w:ascii="宋体" w:hAnsi="宋体" w:eastAsia="宋体" w:cs="宋体"/>
          <w:color w:val="auto"/>
          <w:sz w:val="28"/>
          <w:highlight w:val="none"/>
        </w:rPr>
        <w:t xml:space="preserve">三   投标文件</w:t>
      </w:r>
      <w:bookmarkEnd w:id="197"/>
      <w:r>
        <w:rPr>
          <w:rFonts w:hint="eastAsia" w:ascii="宋体" w:hAnsi="宋体" w:eastAsia="宋体" w:cs="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220" w:name="_Toc149720820"/>
      <w:r/>
      <w:bookmarkStart w:id="221" w:name="_Toc164608641"/>
      <w:r/>
      <w:bookmarkStart w:id="222" w:name="_Toc164229368"/>
      <w:r/>
      <w:bookmarkStart w:id="223" w:name="_Toc164229222"/>
      <w:r/>
      <w:bookmarkStart w:id="224" w:name="_Toc151193769"/>
      <w:r/>
      <w:bookmarkStart w:id="225" w:name="_Toc226309771"/>
      <w:r/>
      <w:bookmarkStart w:id="226" w:name="_Toc265228365"/>
      <w:r/>
      <w:bookmarkStart w:id="227" w:name="_Toc151193915"/>
      <w:r/>
      <w:bookmarkStart w:id="228" w:name="_Toc516367021"/>
      <w:r/>
      <w:bookmarkStart w:id="229" w:name="_Toc127151728"/>
      <w:r/>
      <w:bookmarkStart w:id="230" w:name="_Toc226337223"/>
      <w:r/>
      <w:bookmarkStart w:id="231" w:name="_Toc195842892"/>
      <w:r/>
      <w:bookmarkStart w:id="232" w:name="_Toc151193625"/>
      <w:r/>
      <w:bookmarkStart w:id="233" w:name="_Toc520356151"/>
      <w:r/>
      <w:bookmarkStart w:id="234" w:name="_Toc150480765"/>
      <w:r/>
      <w:bookmarkStart w:id="235" w:name="_Toc151193841"/>
      <w:r/>
      <w:bookmarkStart w:id="236" w:name="_Toc264969217"/>
      <w:r/>
      <w:bookmarkStart w:id="237" w:name="_Toc151190154"/>
      <w:r/>
      <w:bookmarkStart w:id="238" w:name="_Toc151193697"/>
      <w:r/>
      <w:bookmarkStart w:id="239" w:name="_Toc142311029"/>
      <w:r/>
      <w:bookmarkStart w:id="240" w:name="_Toc127161441"/>
      <w:r/>
      <w:bookmarkStart w:id="241" w:name="_Toc127151527"/>
      <w:r/>
      <w:bookmarkStart w:id="242" w:name="_Toc150774732"/>
      <w:r/>
      <w:bookmarkStart w:id="243" w:name="_Toc164608796"/>
      <w:r/>
      <w:bookmarkStart w:id="244" w:name="_Toc164351621"/>
      <w:r/>
      <w:bookmarkStart w:id="245" w:name="_Toc150774627"/>
      <w:r/>
      <w:bookmarkStart w:id="246" w:name="_Toc226965717"/>
      <w:r/>
      <w:bookmarkStart w:id="247" w:name="_Toc226965800"/>
      <w:r/>
      <w:bookmarkStart w:id="248" w:name="_Toc305158869"/>
      <w:r/>
      <w:bookmarkStart w:id="249" w:name="_Toc150509278"/>
      <w:r/>
      <w:bookmarkStart w:id="250" w:name="_Toc305158795"/>
      <w:r>
        <w:rPr>
          <w:rFonts w:hint="eastAsia" w:ascii="宋体" w:hAnsi="宋体" w:cs="宋体"/>
          <w:b/>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auto"/>
          <w:sz w:val="24"/>
          <w:highlight w:val="none"/>
        </w:rPr>
        <w:t xml:space="preserve">及投标语言</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251" w:name="_Ref467306195"/>
      <w:r/>
      <w:bookmarkStart w:id="252" w:name="_Ref467306676"/>
      <w:r/>
      <w:bookmarkStart w:id="253" w:name="_Toc516367022"/>
      <w:r/>
      <w:bookmarkStart w:id="254" w:name="_Toc150509279"/>
      <w:r/>
      <w:bookmarkStart w:id="255" w:name="_Toc164608797"/>
      <w:r/>
      <w:bookmarkStart w:id="256" w:name="_Toc264969218"/>
      <w:r/>
      <w:bookmarkStart w:id="257" w:name="_Toc164351622"/>
      <w:r/>
      <w:bookmarkStart w:id="258" w:name="_Toc265228366"/>
      <w:r/>
      <w:bookmarkStart w:id="259" w:name="_Toc164229223"/>
      <w:r/>
      <w:bookmarkStart w:id="260" w:name="_Toc150774628"/>
      <w:r/>
      <w:bookmarkStart w:id="261" w:name="_Toc151193842"/>
      <w:r/>
      <w:bookmarkStart w:id="262" w:name="_Toc164608642"/>
      <w:r/>
      <w:bookmarkStart w:id="263" w:name="_Toc226309772"/>
      <w:r/>
      <w:bookmarkStart w:id="264" w:name="_Toc226965801"/>
      <w:r/>
      <w:bookmarkStart w:id="265" w:name="_Toc151193698"/>
      <w:r/>
      <w:bookmarkStart w:id="266" w:name="_Toc151190155"/>
      <w:r/>
      <w:bookmarkStart w:id="267" w:name="_Toc305158796"/>
      <w:r/>
      <w:bookmarkStart w:id="268" w:name="_Toc151193626"/>
      <w:r/>
      <w:bookmarkStart w:id="269" w:name="_Toc127161442"/>
      <w:r/>
      <w:bookmarkStart w:id="270" w:name="_Toc127151729"/>
      <w:r/>
      <w:bookmarkStart w:id="271" w:name="_Toc164229369"/>
      <w:r/>
      <w:bookmarkStart w:id="272" w:name="_Toc195842893"/>
      <w:r/>
      <w:bookmarkStart w:id="273" w:name="_Toc127151528"/>
      <w:r/>
      <w:bookmarkStart w:id="274" w:name="_Toc149720821"/>
      <w:r/>
      <w:bookmarkStart w:id="275" w:name="_Toc151193916"/>
      <w:r/>
      <w:bookmarkStart w:id="276" w:name="_Toc226337224"/>
      <w:r/>
      <w:bookmarkStart w:id="277" w:name="_Toc520356152"/>
      <w:r/>
      <w:bookmarkStart w:id="278" w:name="_Toc151193770"/>
      <w:r/>
      <w:bookmarkStart w:id="279" w:name="_Toc226965718"/>
      <w:r/>
      <w:bookmarkStart w:id="280" w:name="_Toc150774733"/>
      <w:r/>
      <w:bookmarkStart w:id="281" w:name="_Toc150480766"/>
      <w:r/>
      <w:bookmarkStart w:id="282" w:name="_Toc142311030"/>
      <w:r/>
      <w:bookmarkStart w:id="283" w:name="_Toc305158870"/>
      <w:r>
        <w:rPr>
          <w:rFonts w:hint="eastAsia" w:ascii="宋体" w:hAnsi="宋体" w:cs="宋体"/>
          <w:b/>
          <w:color w:val="auto"/>
          <w:sz w:val="24"/>
          <w:highlight w:val="none"/>
        </w:rPr>
        <w:t xml:space="preserve">投标文件</w:t>
      </w:r>
      <w:bookmarkEnd w:id="251"/>
      <w:r/>
      <w:bookmarkEnd w:id="252"/>
      <w:r/>
      <w:bookmarkEnd w:id="253"/>
      <w:r>
        <w:rPr>
          <w:rFonts w:hint="eastAsia" w:ascii="宋体" w:hAnsi="宋体" w:cs="宋体"/>
          <w:b/>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bookmarkStart w:id="284"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84"/>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285" w:name="_Toc142311032"/>
      <w:r/>
      <w:bookmarkStart w:id="286" w:name="_Toc164229225"/>
      <w:r/>
      <w:bookmarkStart w:id="287" w:name="_Toc164351624"/>
      <w:r/>
      <w:bookmarkStart w:id="288" w:name="_Toc127151530"/>
      <w:r/>
      <w:bookmarkStart w:id="289" w:name="_Toc151193844"/>
      <w:r/>
      <w:bookmarkStart w:id="290" w:name="_Toc164229371"/>
      <w:r/>
      <w:bookmarkStart w:id="291" w:name="_Toc150774735"/>
      <w:r/>
      <w:bookmarkStart w:id="292" w:name="_Toc151193918"/>
      <w:r/>
      <w:bookmarkStart w:id="293" w:name="_Toc164608644"/>
      <w:r/>
      <w:bookmarkStart w:id="294" w:name="_Toc520356155"/>
      <w:r/>
      <w:bookmarkStart w:id="295" w:name="_Toc127161444"/>
      <w:r/>
      <w:bookmarkStart w:id="296" w:name="_Toc150509281"/>
      <w:r/>
      <w:bookmarkStart w:id="297" w:name="_Toc127151731"/>
      <w:r/>
      <w:bookmarkStart w:id="298" w:name="_Toc151193700"/>
      <w:r/>
      <w:bookmarkStart w:id="299" w:name="_Toc151190157"/>
      <w:r/>
      <w:bookmarkStart w:id="300" w:name="_Toc195842895"/>
      <w:r/>
      <w:bookmarkStart w:id="301" w:name="_Toc150480768"/>
      <w:r/>
      <w:bookmarkStart w:id="302" w:name="_Toc151193772"/>
      <w:r/>
      <w:bookmarkStart w:id="303" w:name="_Toc150774630"/>
      <w:r/>
      <w:bookmarkStart w:id="304" w:name="_Toc149720823"/>
      <w:r/>
      <w:bookmarkStart w:id="305" w:name="_Toc164608799"/>
      <w:r/>
      <w:bookmarkStart w:id="306" w:name="_Toc151193628"/>
      <w:r>
        <w:rPr>
          <w:rFonts w:hint="eastAsia" w:ascii="宋体" w:hAnsi="宋体" w:cs="宋体"/>
          <w:b/>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307" w:name="_Toc305158873"/>
      <w:r/>
      <w:bookmarkStart w:id="308" w:name="_Toc195842896"/>
      <w:r/>
      <w:bookmarkStart w:id="309" w:name="_Toc150509282"/>
      <w:r/>
      <w:bookmarkStart w:id="310" w:name="_Toc149720824"/>
      <w:r/>
      <w:bookmarkStart w:id="311" w:name="_Toc164351625"/>
      <w:r/>
      <w:bookmarkStart w:id="312" w:name="_Toc151193701"/>
      <w:r/>
      <w:bookmarkStart w:id="313" w:name="_Toc150480769"/>
      <w:r/>
      <w:bookmarkStart w:id="314" w:name="_Toc164608800"/>
      <w:r/>
      <w:bookmarkStart w:id="315" w:name="_Ref467306513"/>
      <w:r/>
      <w:bookmarkStart w:id="316" w:name="_Toc164229372"/>
      <w:r/>
      <w:bookmarkStart w:id="317" w:name="_Toc265228369"/>
      <w:r/>
      <w:bookmarkStart w:id="318" w:name="_Toc151190158"/>
      <w:r/>
      <w:bookmarkStart w:id="319" w:name="_Toc305158799"/>
      <w:r/>
      <w:bookmarkStart w:id="320" w:name="_Toc226965804"/>
      <w:r/>
      <w:bookmarkStart w:id="321" w:name="_Toc151193845"/>
      <w:r/>
      <w:bookmarkStart w:id="322" w:name="_Toc226337227"/>
      <w:r/>
      <w:bookmarkStart w:id="323" w:name="_Toc151193629"/>
      <w:r/>
      <w:bookmarkStart w:id="324" w:name="_Toc226965721"/>
      <w:r/>
      <w:bookmarkStart w:id="325" w:name="_Toc142311033"/>
      <w:r/>
      <w:bookmarkStart w:id="326" w:name="_Toc151193773"/>
      <w:r/>
      <w:bookmarkStart w:id="327" w:name="_Toc127151732"/>
      <w:r/>
      <w:bookmarkStart w:id="328" w:name="_Toc127151531"/>
      <w:r/>
      <w:bookmarkStart w:id="329" w:name="_Toc164608645"/>
      <w:r/>
      <w:bookmarkStart w:id="330" w:name="_Toc264969221"/>
      <w:r/>
      <w:bookmarkStart w:id="331" w:name="_Toc150774631"/>
      <w:r/>
      <w:bookmarkStart w:id="332" w:name="_Toc226309775"/>
      <w:r/>
      <w:bookmarkStart w:id="333" w:name="_Toc164229226"/>
      <w:r/>
      <w:bookmarkStart w:id="334" w:name="_Toc127161445"/>
      <w:r/>
      <w:bookmarkStart w:id="335" w:name="_Toc150774736"/>
      <w:r/>
      <w:bookmarkStart w:id="336" w:name="_Toc520356156"/>
      <w:r/>
      <w:bookmarkStart w:id="337" w:name="_Toc151193919"/>
      <w:r>
        <w:rPr>
          <w:rFonts w:hint="eastAsia" w:ascii="宋体" w:hAnsi="宋体" w:cs="宋体"/>
          <w:b/>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根据江苏省和常州市的相关文件规定，免收投标保证金。</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338" w:name="_Toc151193630"/>
      <w:r/>
      <w:bookmarkStart w:id="339" w:name="_Toc305158874"/>
      <w:r/>
      <w:bookmarkStart w:id="340" w:name="_Toc195842897"/>
      <w:r/>
      <w:bookmarkStart w:id="341" w:name="_Toc164229227"/>
      <w:r/>
      <w:bookmarkStart w:id="342" w:name="_Toc150774737"/>
      <w:r/>
      <w:bookmarkStart w:id="343" w:name="_Toc226337228"/>
      <w:r/>
      <w:bookmarkStart w:id="344" w:name="_Toc226309776"/>
      <w:r/>
      <w:bookmarkStart w:id="345" w:name="_Toc164608801"/>
      <w:r/>
      <w:bookmarkStart w:id="346" w:name="_Toc150774632"/>
      <w:r/>
      <w:bookmarkStart w:id="347" w:name="_Toc264969222"/>
      <w:r/>
      <w:bookmarkStart w:id="348" w:name="_Toc164351626"/>
      <w:r/>
      <w:bookmarkStart w:id="349" w:name="_Toc142311034"/>
      <w:r/>
      <w:bookmarkStart w:id="350" w:name="_Toc265228370"/>
      <w:r/>
      <w:bookmarkStart w:id="351" w:name="_Toc520356157"/>
      <w:r/>
      <w:bookmarkStart w:id="352" w:name="_Toc151193702"/>
      <w:r/>
      <w:bookmarkStart w:id="353" w:name="_Toc151193774"/>
      <w:r/>
      <w:bookmarkStart w:id="354" w:name="_Toc305158800"/>
      <w:r/>
      <w:bookmarkStart w:id="355" w:name="_Toc127161446"/>
      <w:r/>
      <w:bookmarkStart w:id="356" w:name="_Toc127151532"/>
      <w:r/>
      <w:bookmarkStart w:id="357" w:name="_Toc149720825"/>
      <w:r/>
      <w:bookmarkStart w:id="358" w:name="_Toc151190159"/>
      <w:r/>
      <w:bookmarkStart w:id="359" w:name="_Toc226965805"/>
      <w:r/>
      <w:bookmarkStart w:id="360" w:name="_Toc151193846"/>
      <w:r/>
      <w:bookmarkStart w:id="361" w:name="_Toc150509283"/>
      <w:r/>
      <w:bookmarkStart w:id="362" w:name="_Toc151193920"/>
      <w:r/>
      <w:bookmarkStart w:id="363" w:name="_Toc150480770"/>
      <w:r/>
      <w:bookmarkStart w:id="364" w:name="_Toc127151733"/>
      <w:r/>
      <w:bookmarkStart w:id="365" w:name="_Toc164608646"/>
      <w:r/>
      <w:bookmarkStart w:id="366" w:name="_Toc164229373"/>
      <w:r/>
      <w:bookmarkStart w:id="367" w:name="_Toc226965722"/>
      <w:r>
        <w:rPr>
          <w:rFonts w:hint="eastAsia" w:ascii="宋体" w:hAnsi="宋体" w:cs="宋体"/>
          <w:b/>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368" w:name="_Toc150480771"/>
      <w:r/>
      <w:bookmarkStart w:id="369" w:name="_Toc142311035"/>
      <w:r/>
      <w:bookmarkStart w:id="370" w:name="_Toc151193921"/>
      <w:r/>
      <w:bookmarkStart w:id="371" w:name="_Toc127151533"/>
      <w:r/>
      <w:bookmarkStart w:id="372" w:name="_Toc151193847"/>
      <w:r/>
      <w:bookmarkStart w:id="373" w:name="_Toc164229228"/>
      <w:r/>
      <w:bookmarkStart w:id="374" w:name="_Toc164608647"/>
      <w:r/>
      <w:bookmarkStart w:id="375" w:name="_Toc264969223"/>
      <w:r/>
      <w:bookmarkStart w:id="376" w:name="_Toc226337229"/>
      <w:r/>
      <w:bookmarkStart w:id="377" w:name="_Toc150774738"/>
      <w:r/>
      <w:bookmarkStart w:id="378" w:name="_Toc226965806"/>
      <w:r/>
      <w:bookmarkStart w:id="379" w:name="_Toc305158875"/>
      <w:r/>
      <w:bookmarkStart w:id="380" w:name="_Toc226965723"/>
      <w:r/>
      <w:bookmarkStart w:id="381" w:name="_Toc520356158"/>
      <w:r/>
      <w:bookmarkStart w:id="382" w:name="_Toc151193703"/>
      <w:r/>
      <w:bookmarkStart w:id="383" w:name="_Toc151190160"/>
      <w:r/>
      <w:bookmarkStart w:id="384" w:name="_Toc265228371"/>
      <w:r/>
      <w:bookmarkStart w:id="385" w:name="_Toc127161447"/>
      <w:r/>
      <w:bookmarkStart w:id="386" w:name="_Toc150774633"/>
      <w:r/>
      <w:bookmarkStart w:id="387" w:name="_Toc164608802"/>
      <w:r/>
      <w:bookmarkStart w:id="388" w:name="_Toc226309777"/>
      <w:r/>
      <w:bookmarkStart w:id="389" w:name="_Toc127151734"/>
      <w:r/>
      <w:bookmarkStart w:id="390" w:name="_Toc305158801"/>
      <w:r/>
      <w:bookmarkStart w:id="391" w:name="_Toc151193631"/>
      <w:r/>
      <w:bookmarkStart w:id="392" w:name="_Toc149720826"/>
      <w:r/>
      <w:bookmarkStart w:id="393" w:name="_Toc195842898"/>
      <w:r/>
      <w:bookmarkStart w:id="394" w:name="_Toc150509284"/>
      <w:r/>
      <w:bookmarkStart w:id="395" w:name="_Toc151193775"/>
      <w:r/>
      <w:bookmarkStart w:id="396" w:name="_Toc164351627"/>
      <w:r/>
      <w:bookmarkStart w:id="397" w:name="_Toc164229374"/>
      <w:r>
        <w:rPr>
          <w:rFonts w:hint="eastAsia" w:ascii="宋体" w:hAnsi="宋体" w:cs="宋体"/>
          <w:b/>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auto"/>
          <w:sz w:val="24"/>
          <w:highlight w:val="none"/>
        </w:rPr>
        <w:t xml:space="preserve">、加盖公章</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bookmarkStart w:id="398" w:name="_Toc151193776"/>
      <w:r/>
      <w:bookmarkStart w:id="399" w:name="_Toc305158876"/>
      <w:r/>
      <w:bookmarkStart w:id="400" w:name="_Toc226309778"/>
      <w:r/>
      <w:bookmarkStart w:id="401" w:name="_Toc151193704"/>
      <w:r/>
      <w:bookmarkStart w:id="402" w:name="_Toc265228372"/>
      <w:r/>
      <w:bookmarkStart w:id="403" w:name="_Toc151193632"/>
      <w:r/>
      <w:bookmarkStart w:id="404" w:name="_Toc520356159"/>
      <w:r/>
      <w:bookmarkStart w:id="405" w:name="_Toc127151534"/>
      <w:r/>
      <w:bookmarkStart w:id="406" w:name="_Toc150774739"/>
      <w:r/>
      <w:bookmarkStart w:id="407" w:name="_Toc151193848"/>
      <w:r/>
      <w:bookmarkStart w:id="408" w:name="_Toc264969224"/>
      <w:r/>
      <w:bookmarkStart w:id="409" w:name="_Toc150509285"/>
      <w:r/>
      <w:bookmarkStart w:id="410" w:name="_Toc151190161"/>
      <w:r/>
      <w:bookmarkStart w:id="411" w:name="_Toc142311036"/>
      <w:r/>
      <w:bookmarkStart w:id="412" w:name="_Toc305158802"/>
      <w:r/>
      <w:bookmarkStart w:id="413" w:name="_Toc226337230"/>
      <w:r/>
      <w:bookmarkStart w:id="414" w:name="_Toc226965807"/>
      <w:r/>
      <w:bookmarkStart w:id="415" w:name="_Toc195842899"/>
      <w:r/>
      <w:bookmarkStart w:id="416" w:name="_Toc150480772"/>
      <w:r/>
      <w:bookmarkStart w:id="417" w:name="_Toc226965724"/>
      <w:r/>
      <w:bookmarkStart w:id="418" w:name="_Toc150774634"/>
      <w:r/>
      <w:bookmarkStart w:id="419" w:name="_Toc151193922"/>
      <w:r>
        <w:rPr>
          <w:rFonts w:hint="eastAsia" w:ascii="宋体" w:hAnsi="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ascii="宋体" w:hAnsi="宋体" w:cs="宋体"/>
          <w:color w:val="auto"/>
          <w:highlight w:val="none"/>
        </w:rPr>
      </w:pPr>
      <w:r>
        <w:rPr>
          <w:rFonts w:ascii="宋体" w:hAnsi="宋体" w:cs="宋体"/>
          <w:color w:val="auto"/>
          <w:highlight w:val="none"/>
        </w:rPr>
      </w:r>
      <w:r/>
    </w:p>
    <w:p>
      <w:pPr>
        <w:pStyle w:val="1033"/>
        <w:ind w:firstLine="562"/>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420" w:name="_Toc164608804"/>
      <w:r/>
      <w:bookmarkStart w:id="421" w:name="_Toc226965808"/>
      <w:r/>
      <w:bookmarkStart w:id="422" w:name="_Toc151193849"/>
      <w:r/>
      <w:bookmarkStart w:id="423" w:name="_Toc226309779"/>
      <w:r/>
      <w:bookmarkStart w:id="424" w:name="_Toc265228373"/>
      <w:r/>
      <w:bookmarkStart w:id="425" w:name="_Toc127151736"/>
      <w:r/>
      <w:bookmarkStart w:id="426" w:name="_Toc520356160"/>
      <w:r/>
      <w:bookmarkStart w:id="427" w:name="_Toc305158803"/>
      <w:r/>
      <w:bookmarkStart w:id="428" w:name="_Toc149720828"/>
      <w:r/>
      <w:bookmarkStart w:id="429" w:name="_Toc151193705"/>
      <w:r/>
      <w:bookmarkStart w:id="430" w:name="_Toc151193633"/>
      <w:r/>
      <w:bookmarkStart w:id="431" w:name="_Toc150509286"/>
      <w:r/>
      <w:bookmarkStart w:id="432" w:name="_Toc150774635"/>
      <w:r/>
      <w:bookmarkStart w:id="433" w:name="_Toc151190162"/>
      <w:r/>
      <w:bookmarkStart w:id="434" w:name="_Toc151193777"/>
      <w:r/>
      <w:bookmarkStart w:id="435" w:name="_Toc142311037"/>
      <w:r/>
      <w:bookmarkStart w:id="436" w:name="_Toc164351629"/>
      <w:r/>
      <w:bookmarkStart w:id="437" w:name="_Toc127151535"/>
      <w:r/>
      <w:bookmarkStart w:id="438" w:name="_Toc127161449"/>
      <w:r/>
      <w:bookmarkStart w:id="439" w:name="_Toc195842900"/>
      <w:r/>
      <w:bookmarkStart w:id="440" w:name="_Toc226965725"/>
      <w:r/>
      <w:bookmarkStart w:id="441" w:name="_Toc164608649"/>
      <w:r/>
      <w:bookmarkStart w:id="442" w:name="_Toc150774740"/>
      <w:r/>
      <w:bookmarkStart w:id="443" w:name="_Toc164229230"/>
      <w:r/>
      <w:bookmarkStart w:id="444" w:name="_Toc305158877"/>
      <w:r/>
      <w:bookmarkStart w:id="445" w:name="_Toc264969225"/>
      <w:r/>
      <w:bookmarkStart w:id="446" w:name="_Toc150480773"/>
      <w:r/>
      <w:bookmarkStart w:id="447" w:name="_Toc226337231"/>
      <w:r/>
      <w:bookmarkStart w:id="448" w:name="_Toc151193923"/>
      <w:r/>
      <w:bookmarkStart w:id="449" w:name="_Toc164229376"/>
      <w:r>
        <w:rPr>
          <w:rFonts w:hint="eastAsia" w:ascii="宋体" w:hAnsi="宋体" w:cs="宋体"/>
          <w:b/>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auto"/>
          <w:sz w:val="24"/>
          <w:highlight w:val="none"/>
        </w:rPr>
        <w:t xml:space="preserve">提交</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本项目使用政府采购一体化平台“苏采云”。投标人根据招标文件及政府采购一体化平台“苏采云”供应商操作手册要求编制、生成并提交电子投标文件。</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采购人及采购代理机构拒绝接受通过政府采购一体化平台“苏采云”以外任何形式提交的投标文件。</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450" w:name="_Toc150509287"/>
      <w:r/>
      <w:bookmarkStart w:id="451" w:name="_Toc151193924"/>
      <w:r/>
      <w:bookmarkStart w:id="452" w:name="_Toc151193634"/>
      <w:r/>
      <w:bookmarkStart w:id="453" w:name="_Toc226337232"/>
      <w:r/>
      <w:bookmarkStart w:id="454" w:name="_Toc151193778"/>
      <w:r/>
      <w:bookmarkStart w:id="455" w:name="_Toc164351630"/>
      <w:r/>
      <w:bookmarkStart w:id="456" w:name="_Toc226965726"/>
      <w:r/>
      <w:bookmarkStart w:id="457" w:name="_Toc164229231"/>
      <w:r/>
      <w:bookmarkStart w:id="458" w:name="_Toc150480774"/>
      <w:r/>
      <w:bookmarkStart w:id="459" w:name="_Toc265228374"/>
      <w:r/>
      <w:bookmarkStart w:id="460" w:name="_Toc149720829"/>
      <w:r/>
      <w:bookmarkStart w:id="461" w:name="_Toc264969226"/>
      <w:r/>
      <w:bookmarkStart w:id="462" w:name="_Toc226309780"/>
      <w:r/>
      <w:bookmarkStart w:id="463" w:name="_Toc305158804"/>
      <w:r/>
      <w:bookmarkStart w:id="464" w:name="_Toc151193850"/>
      <w:r/>
      <w:bookmarkStart w:id="465" w:name="_Toc150774741"/>
      <w:r/>
      <w:bookmarkStart w:id="466" w:name="_Toc127151536"/>
      <w:r/>
      <w:bookmarkStart w:id="467" w:name="_Toc164608805"/>
      <w:r/>
      <w:bookmarkStart w:id="468" w:name="_Toc164608650"/>
      <w:r/>
      <w:bookmarkStart w:id="469" w:name="_Toc195842901"/>
      <w:r/>
      <w:bookmarkStart w:id="470" w:name="_Toc164229377"/>
      <w:r/>
      <w:bookmarkStart w:id="471" w:name="_Toc127161450"/>
      <w:r/>
      <w:bookmarkStart w:id="472" w:name="_Toc142311038"/>
      <w:r/>
      <w:bookmarkStart w:id="473" w:name="_Toc226965809"/>
      <w:r/>
      <w:bookmarkStart w:id="474" w:name="_Toc151193706"/>
      <w:r/>
      <w:bookmarkStart w:id="475" w:name="_Toc127151737"/>
      <w:r/>
      <w:bookmarkStart w:id="476" w:name="_Toc150774636"/>
      <w:r/>
      <w:bookmarkStart w:id="477" w:name="_Toc151190163"/>
      <w:r/>
      <w:bookmarkStart w:id="478" w:name="_Toc520356161"/>
      <w:r/>
      <w:bookmarkStart w:id="479" w:name="_Toc305158878"/>
      <w:r>
        <w:rPr>
          <w:rFonts w:hint="eastAsia" w:ascii="宋体" w:hAnsi="宋体" w:cs="宋体"/>
          <w:b/>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auto"/>
          <w:sz w:val="24"/>
          <w:highlight w:val="none"/>
        </w:rPr>
        <w:t xml:space="preserve">时间</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投标人应在招标文件要求提交投标文件截止时间前，将电子投标文件提交至政府采购一体化平台“苏采云”。</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480" w:name="_Toc265228375"/>
      <w:r/>
      <w:bookmarkStart w:id="481" w:name="_Toc164351631"/>
      <w:r/>
      <w:bookmarkStart w:id="482" w:name="_Toc164229378"/>
      <w:r/>
      <w:bookmarkStart w:id="483" w:name="_Toc520356162"/>
      <w:r/>
      <w:bookmarkStart w:id="484" w:name="_Toc127151537"/>
      <w:r/>
      <w:bookmarkStart w:id="485" w:name="_Toc226965727"/>
      <w:r/>
      <w:bookmarkStart w:id="486" w:name="_Toc164229232"/>
      <w:r/>
      <w:bookmarkStart w:id="487" w:name="_Toc149720830"/>
      <w:r/>
      <w:bookmarkStart w:id="488" w:name="_Toc150509288"/>
      <w:r/>
      <w:bookmarkStart w:id="489" w:name="_Toc226309781"/>
      <w:r/>
      <w:bookmarkStart w:id="490" w:name="_Toc305158805"/>
      <w:r/>
      <w:bookmarkStart w:id="491" w:name="_Toc164608806"/>
      <w:r/>
      <w:bookmarkStart w:id="492" w:name="_Toc226965810"/>
      <w:r/>
      <w:bookmarkStart w:id="493" w:name="_Toc151193779"/>
      <w:r/>
      <w:bookmarkStart w:id="494" w:name="_Toc150480775"/>
      <w:r/>
      <w:bookmarkStart w:id="495" w:name="_Toc151193707"/>
      <w:r/>
      <w:bookmarkStart w:id="496" w:name="_Toc151193851"/>
      <w:r/>
      <w:bookmarkStart w:id="497" w:name="_Toc226337233"/>
      <w:r/>
      <w:bookmarkStart w:id="498" w:name="_Toc127151738"/>
      <w:r/>
      <w:bookmarkStart w:id="499" w:name="_Toc151190164"/>
      <w:r/>
      <w:bookmarkStart w:id="500" w:name="_Toc164608651"/>
      <w:r/>
      <w:bookmarkStart w:id="501" w:name="_Toc305158879"/>
      <w:r/>
      <w:bookmarkStart w:id="502" w:name="_Toc127161451"/>
      <w:r/>
      <w:bookmarkStart w:id="503" w:name="_Toc151193635"/>
      <w:r/>
      <w:bookmarkStart w:id="504" w:name="_Toc195842902"/>
      <w:r/>
      <w:bookmarkStart w:id="505" w:name="_Toc150774742"/>
      <w:r/>
      <w:bookmarkStart w:id="506" w:name="_Toc151193925"/>
      <w:r/>
      <w:bookmarkStart w:id="507" w:name="_Toc142311039"/>
      <w:r/>
      <w:bookmarkStart w:id="508" w:name="_Toc264969227"/>
      <w:r/>
      <w:bookmarkStart w:id="509" w:name="_Toc150774637"/>
      <w:r>
        <w:rPr>
          <w:rFonts w:hint="eastAsia" w:ascii="宋体" w:hAnsi="宋体" w:cs="宋体"/>
          <w:b/>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投标截止时间前，投标人可以通过政府采购一体化平台“苏采云”对所提交的投标文件进行补充、修改或者撤回。</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投标人对投标文件的补充、修改的内容应当按照招标文件要求签署、加盖公章，作为投标文件的组成部分。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33"/>
        <w:ind w:firstLine="562"/>
        <w:spacing w:before="0" w:line="360" w:lineRule="auto"/>
        <w:rPr>
          <w:rFonts w:ascii="宋体" w:hAnsi="宋体" w:eastAsia="宋体" w:cs="宋体"/>
          <w:color w:val="auto"/>
          <w:sz w:val="28"/>
          <w:highlight w:val="none"/>
        </w:rPr>
      </w:pPr>
      <w:r/>
      <w:bookmarkStart w:id="510" w:name="_Toc226309782"/>
      <w:r/>
      <w:bookmarkStart w:id="511" w:name="_Toc150509289"/>
      <w:r/>
      <w:bookmarkStart w:id="512" w:name="_Toc305158806"/>
      <w:r/>
      <w:bookmarkStart w:id="513" w:name="_Toc127151538"/>
      <w:r/>
      <w:bookmarkStart w:id="514" w:name="_Toc305158880"/>
      <w:r/>
      <w:bookmarkStart w:id="515" w:name="_Toc142311040"/>
      <w:r/>
      <w:bookmarkStart w:id="516" w:name="_Toc150774743"/>
      <w:r/>
      <w:bookmarkStart w:id="517" w:name="_Toc265228376"/>
      <w:r/>
      <w:bookmarkStart w:id="518" w:name="_Toc151193852"/>
      <w:r/>
      <w:bookmarkStart w:id="519" w:name="_Toc264969228"/>
      <w:r/>
      <w:bookmarkStart w:id="520" w:name="_Toc150480776"/>
      <w:r/>
      <w:bookmarkStart w:id="521" w:name="_Toc151193708"/>
      <w:r/>
      <w:bookmarkStart w:id="522" w:name="_Toc151193926"/>
      <w:r/>
      <w:bookmarkStart w:id="523" w:name="_Toc151190165"/>
      <w:r/>
      <w:bookmarkStart w:id="524" w:name="_Toc226965811"/>
      <w:r/>
      <w:bookmarkStart w:id="525" w:name="_Toc150774638"/>
      <w:r/>
      <w:bookmarkStart w:id="526" w:name="_Toc151193636"/>
      <w:r/>
      <w:bookmarkStart w:id="527" w:name="_Toc226965728"/>
      <w:r/>
      <w:bookmarkStart w:id="528" w:name="_Toc226337234"/>
      <w:r/>
      <w:bookmarkStart w:id="529" w:name="_Toc195842903"/>
      <w:r/>
      <w:bookmarkStart w:id="530" w:name="_Toc520356163"/>
      <w:r/>
      <w:bookmarkStart w:id="531" w:name="_Toc151193780"/>
      <w:r>
        <w:rPr>
          <w:rFonts w:hint="eastAsia" w:ascii="宋体" w:hAnsi="宋体" w:eastAsia="宋体" w:cs="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532" w:name="_Toc150774639"/>
      <w:r/>
      <w:bookmarkStart w:id="533" w:name="_Toc149720832"/>
      <w:r/>
      <w:bookmarkStart w:id="534" w:name="_Toc226965729"/>
      <w:r/>
      <w:bookmarkStart w:id="535" w:name="_Toc127151740"/>
      <w:r/>
      <w:bookmarkStart w:id="536" w:name="_Toc151193781"/>
      <w:r/>
      <w:bookmarkStart w:id="537" w:name="_Toc127151539"/>
      <w:r/>
      <w:bookmarkStart w:id="538" w:name="_Toc151193927"/>
      <w:r/>
      <w:bookmarkStart w:id="539" w:name="_Toc305158807"/>
      <w:r/>
      <w:bookmarkStart w:id="540" w:name="_Toc164608808"/>
      <w:r/>
      <w:bookmarkStart w:id="541" w:name="_Toc265228377"/>
      <w:r/>
      <w:bookmarkStart w:id="542" w:name="_Toc150774744"/>
      <w:r/>
      <w:bookmarkStart w:id="543" w:name="_Toc226965812"/>
      <w:r/>
      <w:bookmarkStart w:id="544" w:name="_Toc305158881"/>
      <w:r/>
      <w:bookmarkStart w:id="545" w:name="_Toc195842904"/>
      <w:r/>
      <w:bookmarkStart w:id="546" w:name="_Toc164229380"/>
      <w:r/>
      <w:bookmarkStart w:id="547" w:name="_Toc226337235"/>
      <w:r/>
      <w:bookmarkStart w:id="548" w:name="_Toc164608653"/>
      <w:r/>
      <w:bookmarkStart w:id="549" w:name="_Toc226309783"/>
      <w:r/>
      <w:bookmarkStart w:id="550" w:name="_Toc150480777"/>
      <w:r/>
      <w:bookmarkStart w:id="551" w:name="_Toc520356164"/>
      <w:r/>
      <w:bookmarkStart w:id="552" w:name="_Toc264969229"/>
      <w:r/>
      <w:bookmarkStart w:id="553" w:name="_Toc127161453"/>
      <w:r/>
      <w:bookmarkStart w:id="554" w:name="_Toc151190166"/>
      <w:r/>
      <w:bookmarkStart w:id="555" w:name="_Toc150509290"/>
      <w:r/>
      <w:bookmarkStart w:id="556" w:name="_Toc164229234"/>
      <w:r/>
      <w:bookmarkStart w:id="557" w:name="_Toc142311041"/>
      <w:r/>
      <w:bookmarkStart w:id="558" w:name="_Toc151193853"/>
      <w:r/>
      <w:bookmarkStart w:id="559" w:name="_Toc151193637"/>
      <w:r/>
      <w:bookmarkStart w:id="560" w:name="_Toc164351633"/>
      <w:r/>
      <w:bookmarkStart w:id="561" w:name="_Toc151193709"/>
      <w:r>
        <w:rPr>
          <w:rFonts w:hint="eastAsia" w:ascii="宋体" w:hAnsi="宋体" w:cs="宋体"/>
          <w:b/>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采购人或采购代理机构将按招标文件的规定，在投标截止时间的同一时间和招标文件预先确定的地点组织开标。</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投标人不足3家的，不予开标。</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208"/>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208"/>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208"/>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208"/>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资格审查</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见第三章《资格审查》。</w:t>
      </w:r>
      <w:bookmarkEnd w:id="562"/>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563" w:name="_Toc226965813"/>
      <w:r/>
      <w:bookmarkStart w:id="564" w:name="_Toc164608654"/>
      <w:r/>
      <w:bookmarkStart w:id="565" w:name="_Toc127151741"/>
      <w:r/>
      <w:bookmarkStart w:id="566" w:name="_Toc151193710"/>
      <w:r/>
      <w:bookmarkStart w:id="567" w:name="_Toc305158808"/>
      <w:r/>
      <w:bookmarkStart w:id="568" w:name="_Toc150480778"/>
      <w:r/>
      <w:bookmarkStart w:id="569" w:name="_Toc264969230"/>
      <w:r/>
      <w:bookmarkStart w:id="570" w:name="_Toc142311042"/>
      <w:r/>
      <w:bookmarkStart w:id="571" w:name="_Toc164608809"/>
      <w:r/>
      <w:bookmarkStart w:id="572" w:name="_Toc164351634"/>
      <w:r/>
      <w:bookmarkStart w:id="573" w:name="_Toc164229235"/>
      <w:r/>
      <w:bookmarkStart w:id="574" w:name="_Toc226309784"/>
      <w:r/>
      <w:bookmarkStart w:id="575" w:name="_Toc195842905"/>
      <w:r/>
      <w:bookmarkStart w:id="576" w:name="_Toc150509291"/>
      <w:r/>
      <w:bookmarkStart w:id="577" w:name="_Toc265228378"/>
      <w:r/>
      <w:bookmarkStart w:id="578" w:name="_Toc151193782"/>
      <w:r/>
      <w:bookmarkStart w:id="579" w:name="_Toc149720833"/>
      <w:r/>
      <w:bookmarkStart w:id="580" w:name="_Toc151190167"/>
      <w:r/>
      <w:bookmarkStart w:id="581" w:name="_Toc226337236"/>
      <w:r/>
      <w:bookmarkStart w:id="582" w:name="_Toc127161454"/>
      <w:r/>
      <w:bookmarkStart w:id="583" w:name="_Toc151193928"/>
      <w:r/>
      <w:bookmarkStart w:id="584" w:name="_Toc226965730"/>
      <w:r/>
      <w:bookmarkStart w:id="585" w:name="_Toc150774745"/>
      <w:r/>
      <w:bookmarkStart w:id="586" w:name="_Toc164229381"/>
      <w:r/>
      <w:bookmarkStart w:id="587" w:name="_Toc151193854"/>
      <w:r/>
      <w:bookmarkStart w:id="588" w:name="_Toc127151540"/>
      <w:r/>
      <w:bookmarkStart w:id="589" w:name="_Toc150774640"/>
      <w:r/>
      <w:bookmarkStart w:id="590" w:name="_Toc151193638"/>
      <w:r/>
      <w:bookmarkStart w:id="591" w:name="_Toc305158882"/>
      <w:r>
        <w:rPr>
          <w:rFonts w:hint="eastAsia" w:ascii="宋体" w:hAnsi="宋体" w:cs="宋体"/>
          <w:b/>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评标程序、评标方法和评标标准</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见第四章《评标程序、评标方法和评标标准》。</w:t>
      </w:r>
      <w:r/>
    </w:p>
    <w:p>
      <w:pPr>
        <w:ind w:firstLine="480"/>
        <w:spacing w:line="360" w:lineRule="auto"/>
        <w:tabs>
          <w:tab w:val="left" w:pos="36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1033"/>
        <w:ind w:firstLine="562"/>
        <w:spacing w:before="0" w:line="360" w:lineRule="auto"/>
        <w:rPr>
          <w:rFonts w:ascii="宋体" w:hAnsi="宋体" w:eastAsia="宋体" w:cs="宋体"/>
          <w:color w:val="auto"/>
          <w:sz w:val="28"/>
          <w:highlight w:val="none"/>
        </w:rPr>
      </w:pPr>
      <w:r/>
      <w:bookmarkStart w:id="594" w:name="_Toc142311047"/>
      <w:r/>
      <w:bookmarkStart w:id="595" w:name="_Toc305158813"/>
      <w:r/>
      <w:bookmarkStart w:id="596" w:name="_Toc265228383"/>
      <w:r/>
      <w:bookmarkStart w:id="597" w:name="_Toc226965818"/>
      <w:r/>
      <w:bookmarkStart w:id="598" w:name="_Toc150509296"/>
      <w:r/>
      <w:bookmarkStart w:id="599" w:name="_Toc151193933"/>
      <w:r/>
      <w:bookmarkStart w:id="600" w:name="_Toc226309789"/>
      <w:r/>
      <w:bookmarkStart w:id="601" w:name="_Toc226965735"/>
      <w:r/>
      <w:bookmarkStart w:id="602" w:name="_Toc151193715"/>
      <w:r/>
      <w:bookmarkStart w:id="603" w:name="_Toc151193787"/>
      <w:r/>
      <w:bookmarkStart w:id="604" w:name="_Toc151190172"/>
      <w:r/>
      <w:bookmarkStart w:id="605" w:name="_Toc151193859"/>
      <w:r/>
      <w:bookmarkStart w:id="606" w:name="_Toc127151545"/>
      <w:r/>
      <w:bookmarkStart w:id="607" w:name="_Toc150774645"/>
      <w:r/>
      <w:bookmarkStart w:id="608" w:name="_Toc226337241"/>
      <w:r/>
      <w:bookmarkStart w:id="609" w:name="_Toc150774750"/>
      <w:r/>
      <w:bookmarkStart w:id="610" w:name="_Toc264969235"/>
      <w:r/>
      <w:bookmarkStart w:id="611" w:name="_Toc151193643"/>
      <w:r/>
      <w:bookmarkStart w:id="612" w:name="_Toc195842910"/>
      <w:r/>
      <w:bookmarkStart w:id="613" w:name="_Toc150480783"/>
      <w:r/>
      <w:bookmarkStart w:id="614" w:name="_Toc305158887"/>
      <w:r>
        <w:rPr>
          <w:rFonts w:hint="eastAsia" w:ascii="宋体" w:hAnsi="宋体" w:eastAsia="宋体" w:cs="宋体"/>
          <w:color w:val="auto"/>
          <w:sz w:val="28"/>
          <w:highlight w:val="none"/>
        </w:rPr>
        <w:t xml:space="preserve">六   </w:t>
      </w:r>
      <w:bookmarkEnd w:id="593"/>
      <w:r>
        <w:rPr>
          <w:rFonts w:hint="eastAsia" w:ascii="宋体" w:hAnsi="宋体" w:eastAsia="宋体" w:cs="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226309791"/>
      <w:r/>
      <w:bookmarkStart w:id="617" w:name="_Toc151193717"/>
      <w:r/>
      <w:bookmarkStart w:id="618" w:name="_Toc164608816"/>
      <w:r/>
      <w:bookmarkStart w:id="619" w:name="_Toc151193861"/>
      <w:r/>
      <w:bookmarkStart w:id="620" w:name="_Toc127151748"/>
      <w:r/>
      <w:bookmarkStart w:id="621" w:name="_Toc305158815"/>
      <w:r/>
      <w:bookmarkStart w:id="622" w:name="_Toc127151547"/>
      <w:r/>
      <w:bookmarkStart w:id="623" w:name="_Toc151190174"/>
      <w:r/>
      <w:bookmarkStart w:id="624" w:name="_Toc265228385"/>
      <w:r/>
      <w:bookmarkStart w:id="625" w:name="_Toc150774752"/>
      <w:r/>
      <w:bookmarkStart w:id="626" w:name="_Toc305158889"/>
      <w:r/>
      <w:bookmarkStart w:id="627" w:name="_Toc164608661"/>
      <w:r/>
      <w:bookmarkStart w:id="628" w:name="_Toc195842912"/>
      <w:r/>
      <w:bookmarkStart w:id="629" w:name="_Toc150509298"/>
      <w:r/>
      <w:bookmarkStart w:id="630" w:name="_Toc151193645"/>
      <w:r/>
      <w:bookmarkStart w:id="631" w:name="_Toc164229388"/>
      <w:r/>
      <w:bookmarkStart w:id="632" w:name="_Toc226965737"/>
      <w:r/>
      <w:bookmarkStart w:id="633" w:name="_Toc264969237"/>
      <w:r/>
      <w:bookmarkStart w:id="634" w:name="_Toc149720840"/>
      <w:r/>
      <w:bookmarkStart w:id="635" w:name="_Toc164229242"/>
      <w:r/>
      <w:bookmarkStart w:id="636" w:name="_Toc150774647"/>
      <w:r/>
      <w:bookmarkStart w:id="637" w:name="_Toc151193935"/>
      <w:r/>
      <w:bookmarkStart w:id="638" w:name="_Toc151193789"/>
      <w:r/>
      <w:bookmarkStart w:id="639" w:name="_Toc226337243"/>
      <w:r/>
      <w:bookmarkStart w:id="640" w:name="_Toc142311049"/>
      <w:r/>
      <w:bookmarkStart w:id="641" w:name="_Toc127161461"/>
      <w:r/>
      <w:bookmarkStart w:id="642" w:name="_Toc150480785"/>
      <w:r/>
      <w:bookmarkStart w:id="643" w:name="_Toc164351641"/>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644" w:name="_Toc305158891"/>
      <w:r/>
      <w:bookmarkStart w:id="645" w:name="_Toc305158817"/>
      <w:r/>
      <w:bookmarkStart w:id="646" w:name="_Toc127161463"/>
      <w:r/>
      <w:bookmarkStart w:id="647" w:name="_Toc142311051"/>
      <w:r/>
      <w:bookmarkStart w:id="648" w:name="_Toc265228387"/>
      <w:r/>
      <w:bookmarkStart w:id="649" w:name="_Toc127151549"/>
      <w:r/>
      <w:bookmarkStart w:id="650" w:name="_Toc164608663"/>
      <w:r/>
      <w:bookmarkStart w:id="651" w:name="_Toc164351643"/>
      <w:r/>
      <w:bookmarkStart w:id="652" w:name="_Toc150774754"/>
      <w:r/>
      <w:bookmarkStart w:id="653" w:name="_Toc151193719"/>
      <w:r/>
      <w:bookmarkStart w:id="654" w:name="_Toc149720842"/>
      <w:r/>
      <w:bookmarkStart w:id="655" w:name="_Toc151193937"/>
      <w:r/>
      <w:bookmarkStart w:id="656" w:name="_Toc226337245"/>
      <w:r/>
      <w:bookmarkStart w:id="657" w:name="_Toc226965739"/>
      <w:r/>
      <w:bookmarkStart w:id="658" w:name="_Toc151193863"/>
      <w:r/>
      <w:bookmarkStart w:id="659" w:name="_Toc226309793"/>
      <w:r/>
      <w:bookmarkStart w:id="660" w:name="_Toc195842914"/>
      <w:r/>
      <w:bookmarkStart w:id="661" w:name="_Toc151193647"/>
      <w:r/>
      <w:bookmarkStart w:id="662" w:name="_Toc264969239"/>
      <w:r/>
      <w:bookmarkStart w:id="663" w:name="_Toc226965822"/>
      <w:r/>
      <w:bookmarkStart w:id="664" w:name="_Toc164608818"/>
      <w:r/>
      <w:bookmarkStart w:id="665" w:name="_Toc151190176"/>
      <w:r/>
      <w:bookmarkStart w:id="666" w:name="_Toc127151750"/>
      <w:r/>
      <w:bookmarkStart w:id="667" w:name="_Toc164229244"/>
      <w:r/>
      <w:bookmarkStart w:id="668" w:name="_Toc150774649"/>
      <w:r/>
      <w:bookmarkStart w:id="669" w:name="_Toc150480787"/>
      <w:r/>
      <w:bookmarkStart w:id="670" w:name="_Toc150509300"/>
      <w:r/>
      <w:bookmarkStart w:id="671" w:name="_Toc151193791"/>
      <w:r/>
      <w:bookmarkStart w:id="672" w:name="_Toc164229390"/>
      <w:r/>
      <w:bookmarkStart w:id="673" w:name="_Ref467307090"/>
      <w:r/>
      <w:bookmarkStart w:id="674" w:name="_Toc520356176"/>
      <w:r/>
      <w:bookmarkStart w:id="675" w:name="_Ref467306425"/>
      <w:r>
        <w:rPr>
          <w:rFonts w:hint="eastAsia" w:ascii="宋体" w:hAnsi="宋体" w:cs="宋体"/>
          <w:b/>
          <w:color w:val="auto"/>
          <w:sz w:val="24"/>
          <w:highlight w:val="none"/>
        </w:rPr>
        <w:t xml:space="preserve">中标公告与中标通知书</w:t>
      </w:r>
      <w:bookmarkEnd w:id="644"/>
      <w:r/>
      <w:bookmarkEnd w:id="645"/>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废标</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符合专业条件的供应商或者对招标文件作实质响应的供应商不足三家的；</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1"/>
        </w:numPr>
        <w:ind w:left="0" w:firstLine="488"/>
        <w:spacing w:line="360" w:lineRule="auto"/>
        <w:tabs>
          <w:tab w:val="left" w:pos="1276" w:leader="none"/>
        </w:tabs>
        <w:rPr>
          <w:rFonts w:ascii="宋体" w:hAnsi="宋体" w:cs="宋体"/>
          <w:color w:val="auto"/>
          <w:sz w:val="24"/>
          <w:highlight w:val="none"/>
        </w:rPr>
      </w:pP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bookmarkStart w:id="676" w:name="_Toc150774650"/>
      <w:r/>
      <w:bookmarkStart w:id="677" w:name="_Toc151193792"/>
      <w:r/>
      <w:bookmarkStart w:id="678" w:name="_Toc127161464"/>
      <w:r/>
      <w:bookmarkStart w:id="679" w:name="_Toc164608819"/>
      <w:r/>
      <w:bookmarkStart w:id="680" w:name="_Toc265228388"/>
      <w:r/>
      <w:bookmarkStart w:id="681" w:name="_Toc164608664"/>
      <w:r/>
      <w:bookmarkStart w:id="682" w:name="_Ref467307204"/>
      <w:r/>
      <w:bookmarkStart w:id="683" w:name="_Toc150480788"/>
      <w:r/>
      <w:bookmarkStart w:id="684" w:name="_Ref467307062"/>
      <w:r/>
      <w:bookmarkStart w:id="685" w:name="_Toc226337246"/>
      <w:r/>
      <w:bookmarkStart w:id="686" w:name="_Toc520356175"/>
      <w:r/>
      <w:bookmarkStart w:id="687" w:name="_Toc164351644"/>
      <w:r/>
      <w:bookmarkStart w:id="688" w:name="_Toc142311052"/>
      <w:r/>
      <w:bookmarkStart w:id="689" w:name="_Toc151193720"/>
      <w:r/>
      <w:bookmarkStart w:id="690" w:name="_Toc149720843"/>
      <w:r/>
      <w:bookmarkStart w:id="691" w:name="_Toc151193648"/>
      <w:r/>
      <w:bookmarkStart w:id="692" w:name="_Toc151190177"/>
      <w:r/>
      <w:bookmarkStart w:id="693" w:name="_Toc127151751"/>
      <w:r/>
      <w:bookmarkStart w:id="694" w:name="_Toc150774755"/>
      <w:r/>
      <w:bookmarkStart w:id="695" w:name="_Toc226309794"/>
      <w:r/>
      <w:bookmarkStart w:id="696" w:name="_Toc164229245"/>
      <w:r/>
      <w:bookmarkStart w:id="697" w:name="_Toc151193864"/>
      <w:r/>
      <w:bookmarkStart w:id="698" w:name="_Toc127151550"/>
      <w:r/>
      <w:bookmarkStart w:id="699" w:name="_Toc305158818"/>
      <w:r/>
      <w:bookmarkStart w:id="700" w:name="_Ref467306377"/>
      <w:r/>
      <w:bookmarkStart w:id="701" w:name="_Toc150509301"/>
      <w:r/>
      <w:bookmarkStart w:id="702" w:name="_Toc226965823"/>
      <w:r/>
      <w:bookmarkStart w:id="703" w:name="_Toc226965740"/>
      <w:r/>
      <w:bookmarkStart w:id="704" w:name="_Toc264969240"/>
      <w:r/>
      <w:bookmarkStart w:id="705" w:name="_Ref467306978"/>
      <w:r/>
      <w:bookmarkStart w:id="706" w:name="_Toc195842915"/>
      <w:r/>
      <w:bookmarkStart w:id="707" w:name="_Toc164229391"/>
      <w:r/>
      <w:bookmarkStart w:id="708" w:name="_Toc151193938"/>
      <w:r/>
      <w:bookmarkStart w:id="709" w:name="_Toc305158892"/>
      <w:r>
        <w:rPr>
          <w:rFonts w:hint="eastAsia" w:ascii="宋体" w:hAnsi="宋体" w:cs="宋体"/>
          <w:b/>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73"/>
      <w:r/>
      <w:bookmarkEnd w:id="674"/>
      <w:r/>
      <w:bookmarkEnd w:id="675"/>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询问与质疑</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1"/>
        </w:numPr>
        <w:ind w:left="0" w:firstLine="480"/>
        <w:spacing w:line="360" w:lineRule="auto"/>
        <w:tabs>
          <w:tab w:val="left" w:pos="1080" w:leader="none"/>
          <w:tab w:val="left" w:pos="1276"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ind w:left="0" w:firstLine="482"/>
        <w:spacing w:line="360" w:lineRule="auto"/>
        <w:tabs>
          <w:tab w:val="left" w:pos="1276" w:leader="none"/>
        </w:tabs>
        <w:rPr>
          <w:rFonts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87"/>
          <w:rFonts w:hint="eastAsia" w:ascii="宋体" w:hAnsi="宋体" w:cs="宋体"/>
          <w:color w:val="auto"/>
          <w:highlight w:val="none"/>
        </w:rPr>
        <w:t xml:space="preserve">http://gk</w:t>
      </w:r>
      <w:bookmarkStart w:id="710" w:name="_Hlt100654014"/>
      <w:r>
        <w:rPr>
          <w:rStyle w:val="1087"/>
          <w:rFonts w:hint="eastAsia" w:ascii="宋体" w:hAnsi="宋体" w:cs="宋体"/>
          <w:color w:val="auto"/>
          <w:highlight w:val="none"/>
        </w:rPr>
        <w:t xml:space="preserve">s</w:t>
      </w:r>
      <w:bookmarkEnd w:id="710"/>
      <w:r>
        <w:rPr>
          <w:rStyle w:val="1087"/>
          <w:rFonts w:hint="eastAsia" w:ascii="宋体" w:hAnsi="宋体" w:cs="宋体"/>
          <w:color w:val="auto"/>
          <w:highlight w:val="none"/>
        </w:rPr>
        <w:t xml:space="preserve">.m</w:t>
      </w:r>
      <w:bookmarkStart w:id="711" w:name="_Hlt100653994"/>
      <w:r/>
      <w:bookmarkStart w:id="712" w:name="_Hlt100653993"/>
      <w:r>
        <w:rPr>
          <w:rStyle w:val="1087"/>
          <w:rFonts w:hint="eastAsia" w:ascii="宋体" w:hAnsi="宋体" w:cs="宋体"/>
          <w:color w:val="auto"/>
          <w:highlight w:val="none"/>
        </w:rPr>
        <w:t xml:space="preserve">o</w:t>
      </w:r>
      <w:bookmarkEnd w:id="711"/>
      <w:r/>
      <w:bookmarkEnd w:id="712"/>
      <w:r>
        <w:rPr>
          <w:rStyle w:val="1087"/>
          <w:rFonts w:hint="eastAsia" w:ascii="宋体" w:hAnsi="宋体" w:cs="宋体"/>
          <w:color w:val="auto"/>
          <w:highlight w:val="none"/>
        </w:rPr>
        <w:t xml:space="preserve">f.gov.cn/ztztz/zhengfucaigouguanli/201802/t20180201_2804589.htm</w:t>
      </w:r>
      <w:r>
        <w:rPr>
          <w:rStyle w:val="1087"/>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1"/>
        </w:numPr>
        <w:ind w:left="0" w:firstLine="482"/>
        <w:spacing w:line="360" w:lineRule="auto"/>
        <w:tabs>
          <w:tab w:val="left" w:pos="36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代理费</w:t>
      </w:r>
      <w:r/>
    </w:p>
    <w:p>
      <w:pPr>
        <w:numPr>
          <w:ilvl w:val="1"/>
          <w:numId w:val="1"/>
        </w:numPr>
        <w:ind w:left="0"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36"/>
          <w:szCs w:val="36"/>
          <w:highlight w:val="none"/>
        </w:rPr>
        <w:outlineLvl w:val="0"/>
      </w:pPr>
      <w:r/>
      <w:bookmarkStart w:id="713" w:name="_Toc353825544"/>
      <w:r/>
      <w:bookmarkStart w:id="714" w:name="_Toc150480792"/>
      <w:r/>
      <w:bookmarkStart w:id="715" w:name="_Toc305158896"/>
      <w:r/>
      <w:bookmarkStart w:id="716" w:name="_Toc264969244"/>
      <w:r/>
      <w:bookmarkStart w:id="717" w:name="_Toc226337250"/>
      <w:r/>
      <w:bookmarkStart w:id="718" w:name="_Toc142311056"/>
      <w:r/>
      <w:bookmarkStart w:id="719" w:name="_Toc150774759"/>
      <w:r/>
      <w:bookmarkStart w:id="720" w:name="_Toc305158822"/>
      <w:r/>
      <w:bookmarkStart w:id="721" w:name="_Toc265228392"/>
      <w:r/>
      <w:bookmarkStart w:id="722" w:name="_Toc353873664"/>
      <w:r/>
      <w:bookmarkStart w:id="723" w:name="_Toc353873934"/>
      <w:r/>
      <w:bookmarkStart w:id="724" w:name="_Toc226965827"/>
      <w:r/>
      <w:bookmarkStart w:id="725" w:name="_Toc127151554"/>
      <w:r>
        <w:rPr>
          <w:rFonts w:hint="eastAsia" w:ascii="宋体" w:hAnsi="宋体" w:cs="宋体"/>
          <w:color w:val="auto"/>
          <w:sz w:val="24"/>
          <w:highlight w:val="none"/>
        </w:rPr>
        <w:br w:type="page" w:clear="all"/>
      </w:r>
      <w:bookmarkStart w:id="726" w:name="_Toc99301421"/>
      <w:r>
        <w:rPr>
          <w:rFonts w:hint="eastAsia" w:ascii="宋体" w:hAnsi="宋体" w:cs="宋体"/>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auto"/>
          <w:sz w:val="24"/>
          <w:highlight w:val="none"/>
        </w:rPr>
        <w:outlineLvl w:val="1"/>
      </w:pPr>
      <w:r/>
      <w:bookmarkStart w:id="728" w:name="_Toc99301422"/>
      <w:r>
        <w:rPr>
          <w:rFonts w:hint="eastAsia" w:ascii="宋体" w:hAnsi="宋体" w:cs="宋体"/>
          <w:b/>
          <w:color w:val="auto"/>
          <w:sz w:val="24"/>
          <w:highlight w:val="none"/>
        </w:rPr>
        <w:t xml:space="preserve">一、资格审查程序</w:t>
      </w:r>
      <w:bookmarkEnd w:id="728"/>
      <w:r/>
      <w:r/>
    </w:p>
    <w:p>
      <w:pPr>
        <w:numPr>
          <w:ilvl w:val="0"/>
          <w:numId w:val="4"/>
        </w:numPr>
        <w:ind w:left="0" w:firstLine="480"/>
        <w:spacing w:line="360" w:lineRule="auto"/>
        <w:tabs>
          <w:tab w:val="left" w:pos="284"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4"/>
        </w:numPr>
        <w:ind w:left="0" w:firstLine="480"/>
        <w:spacing w:line="360" w:lineRule="auto"/>
        <w:tabs>
          <w:tab w:val="left" w:pos="284"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4"/>
        </w:numPr>
        <w:ind w:left="0" w:firstLine="480"/>
        <w:spacing w:line="360" w:lineRule="auto"/>
        <w:tabs>
          <w:tab w:val="left" w:pos="284"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4"/>
        </w:numPr>
        <w:ind w:left="0" w:firstLine="480"/>
        <w:spacing w:line="360" w:lineRule="auto"/>
        <w:tabs>
          <w:tab w:val="left" w:pos="284"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tabs>
          <w:tab w:val="left" w:pos="360" w:leader="none"/>
          <w:tab w:val="left" w:pos="90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二、资格审查要求</w:t>
      </w:r>
      <w:r/>
    </w:p>
    <w:tbl>
      <w:tblPr>
        <w:tblStyle w:val="10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jc w:val="center"/>
              <w:tabs>
                <w:tab w:val="left" w:pos="1080" w:leader="none"/>
              </w:tabs>
              <w:rPr>
                <w:rFonts w:ascii="宋体" w:hAnsi="宋体" w:cs="宋体"/>
                <w:b/>
                <w:color w:val="auto"/>
                <w:sz w:val="24"/>
                <w:highlight w:val="none"/>
              </w:rPr>
            </w:pPr>
            <w:r/>
            <w:bookmarkStart w:id="729" w:name="_Hlt487972895"/>
            <w:r/>
            <w:bookmarkEnd w:id="729"/>
            <w:r>
              <w:rPr>
                <w:rFonts w:hint="eastAsia" w:ascii="宋体" w:hAnsi="宋体" w:cs="宋体"/>
                <w:b/>
                <w:color w:val="auto"/>
                <w:sz w:val="24"/>
                <w:highlight w:val="none"/>
              </w:rPr>
              <w:t xml:space="preserve">序号</w:t>
            </w:r>
            <w:r/>
          </w:p>
        </w:tc>
        <w:tc>
          <w:tcPr>
            <w:tcW w:w="1982"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4824"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638"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highlight w:val="none"/>
              </w:rPr>
              <w:t xml:space="preserve">www.creditchina.gov.cn</w:t>
            </w:r>
            <w:r>
              <w:rPr>
                <w:rFonts w:hint="eastAsia" w:ascii="宋体" w:hAnsi="宋体" w:cs="宋体"/>
                <w:color w:val="auto"/>
                <w:sz w:val="24"/>
                <w:highlight w:val="none"/>
              </w:rPr>
              <w:t xml:space="preserve">、</w:t>
            </w:r>
            <w:r>
              <w:rPr>
                <w:rFonts w:hint="eastAsia" w:ascii="宋体" w:hAnsi="宋体" w:cs="宋体"/>
                <w:color w:val="auto"/>
                <w:highlight w:val="none"/>
              </w:rPr>
              <w:t xml:space="preserve">www.ccgp.gov.cn</w:t>
            </w:r>
            <w:r>
              <w:rPr>
                <w:rFonts w:hint="eastAsia" w:ascii="宋体" w:hAnsi="宋体" w:cs="宋体"/>
                <w:color w:val="auto"/>
                <w:sz w:val="24"/>
                <w:highlight w:val="none"/>
              </w:rPr>
              <w:t xml:space="preserve">）；</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2-3</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1917"/>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是否接受联合体投标</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本项目不接受联合体投标，投标人不得为联合体。</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提供《联合协议》原件的电子件</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0"/>
        </w:trPr>
        <w:tc>
          <w:tcPr>
            <w:tcW w:w="84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3-2</w:t>
            </w:r>
            <w:r/>
          </w:p>
        </w:tc>
        <w:tc>
          <w:tcPr>
            <w:tcW w:w="1982"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482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163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ascii="宋体" w:hAnsi="宋体" w:cs="宋体"/>
          <w:color w:val="auto"/>
          <w:sz w:val="24"/>
          <w:highlight w:val="none"/>
        </w:rPr>
      </w:pPr>
      <w:r/>
      <w:bookmarkStart w:id="730" w:name="_Toc127151779"/>
      <w:r/>
      <w:bookmarkStart w:id="731" w:name="_Toc127161490"/>
      <w:r/>
      <w:bookmarkStart w:id="732" w:name="_Toc226965858"/>
      <w:r/>
      <w:bookmarkStart w:id="733" w:name="_Toc353873940"/>
      <w:r/>
      <w:bookmarkStart w:id="734" w:name="_Toc353825550"/>
      <w:r>
        <w:rPr>
          <w:rFonts w:hint="eastAsia" w:ascii="宋体" w:hAnsi="宋体" w:cs="宋体"/>
          <w:color w:val="auto"/>
          <w:sz w:val="24"/>
          <w:highlight w:val="none"/>
        </w:rPr>
        <w:br w:type="page" w:clear="all"/>
      </w:r>
      <w:r/>
    </w:p>
    <w:p>
      <w:pPr>
        <w:jc w:val="center"/>
        <w:spacing w:line="360" w:lineRule="auto"/>
        <w:rPr>
          <w:rFonts w:ascii="宋体" w:hAnsi="宋体" w:cs="宋体"/>
          <w:b/>
          <w:color w:val="auto"/>
          <w:sz w:val="36"/>
          <w:szCs w:val="36"/>
          <w:highlight w:val="none"/>
        </w:rPr>
        <w:outlineLvl w:val="0"/>
      </w:pPr>
      <w:r/>
      <w:bookmarkStart w:id="735" w:name="_Toc99301423"/>
      <w:r>
        <w:rPr>
          <w:rFonts w:hint="eastAsia" w:ascii="宋体" w:hAnsi="宋体" w:cs="宋体"/>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auto"/>
          <w:highlight w:val="none"/>
        </w:rPr>
        <w:outlineLvl w:val="1"/>
      </w:pPr>
      <w:r>
        <w:rPr>
          <w:rFonts w:hint="eastAsia" w:ascii="宋体" w:hAnsi="宋体" w:cs="宋体"/>
          <w:b/>
          <w:color w:val="auto"/>
          <w:sz w:val="24"/>
          <w:highlight w:val="none"/>
        </w:rPr>
        <w:t xml:space="preserve">一、评标程序</w:t>
      </w:r>
      <w:r/>
    </w:p>
    <w:p>
      <w:pPr>
        <w:numPr>
          <w:ilvl w:val="0"/>
          <w:numId w:val="5"/>
        </w:numPr>
        <w:ind w:left="0" w:firstLine="482"/>
        <w:spacing w:line="360" w:lineRule="auto"/>
        <w:tabs>
          <w:tab w:val="left" w:pos="360" w:leader="none"/>
          <w:tab w:val="left" w:pos="851" w:leader="none"/>
          <w:tab w:val="clear" w:pos="900" w:leader="none"/>
        </w:tabs>
        <w:rPr>
          <w:rFonts w:ascii="宋体" w:hAnsi="宋体" w:cs="宋体"/>
          <w:b/>
          <w:color w:val="auto"/>
          <w:sz w:val="24"/>
          <w:highlight w:val="none"/>
        </w:rPr>
        <w:outlineLvl w:val="1"/>
      </w:pPr>
      <w:r/>
      <w:bookmarkStart w:id="737" w:name="_Toc149720834"/>
      <w:r/>
      <w:bookmarkStart w:id="738" w:name="_Toc164608655"/>
      <w:r/>
      <w:bookmarkStart w:id="739" w:name="_Toc151193855"/>
      <w:r/>
      <w:bookmarkStart w:id="740" w:name="_Toc150774641"/>
      <w:r/>
      <w:bookmarkStart w:id="741" w:name="_Toc264969231"/>
      <w:r/>
      <w:bookmarkStart w:id="742" w:name="_Toc150774746"/>
      <w:r/>
      <w:bookmarkStart w:id="743" w:name="_Toc142311043"/>
      <w:r/>
      <w:bookmarkStart w:id="744" w:name="_Toc226337237"/>
      <w:r/>
      <w:bookmarkStart w:id="745" w:name="_Toc305158809"/>
      <w:r/>
      <w:bookmarkStart w:id="746" w:name="_Toc164351635"/>
      <w:r/>
      <w:bookmarkStart w:id="747" w:name="_Toc164229236"/>
      <w:r/>
      <w:bookmarkStart w:id="748" w:name="_Toc127151541"/>
      <w:r/>
      <w:bookmarkStart w:id="749" w:name="_Toc127151742"/>
      <w:r/>
      <w:bookmarkStart w:id="750" w:name="_Toc265228379"/>
      <w:r/>
      <w:bookmarkStart w:id="751" w:name="_Toc305158883"/>
      <w:r/>
      <w:bookmarkStart w:id="752" w:name="_Toc150509292"/>
      <w:r/>
      <w:bookmarkStart w:id="753" w:name="_Toc150480779"/>
      <w:r/>
      <w:bookmarkStart w:id="754" w:name="_Toc151193783"/>
      <w:r/>
      <w:bookmarkStart w:id="755" w:name="_Toc226965731"/>
      <w:r/>
      <w:bookmarkStart w:id="756" w:name="_Toc127161455"/>
      <w:r/>
      <w:bookmarkStart w:id="757" w:name="_Toc151193711"/>
      <w:r/>
      <w:bookmarkStart w:id="758" w:name="_Toc164229382"/>
      <w:r/>
      <w:bookmarkStart w:id="759" w:name="_Toc151193639"/>
      <w:r/>
      <w:bookmarkStart w:id="760" w:name="_Toc195842906"/>
      <w:r/>
      <w:bookmarkStart w:id="761" w:name="_Toc151190168"/>
      <w:r/>
      <w:bookmarkStart w:id="762" w:name="_Toc151193929"/>
      <w:r/>
      <w:bookmarkStart w:id="763" w:name="_Toc226965814"/>
      <w:r/>
      <w:bookmarkStart w:id="764" w:name="_Toc226309785"/>
      <w:r/>
      <w:bookmarkStart w:id="765" w:name="_Toc164608810"/>
      <w:r/>
      <w:bookmarkStart w:id="766" w:name="_Toc353873941"/>
      <w:r/>
      <w:bookmarkStart w:id="767" w:name="_Toc353825551"/>
      <w:r/>
      <w:bookmarkStart w:id="768" w:name="_Toc195842920"/>
      <w:r/>
      <w:bookmarkStart w:id="769" w:name="_Toc353873665"/>
      <w:r/>
      <w:bookmarkStart w:id="770" w:name="_Toc353825545"/>
      <w:r/>
      <w:bookmarkStart w:id="771" w:name="_Toc264969245"/>
      <w:r/>
      <w:bookmarkStart w:id="772" w:name="_Toc142311057"/>
      <w:r/>
      <w:bookmarkStart w:id="773" w:name="_Toc353873935"/>
      <w:r/>
      <w:bookmarkStart w:id="774" w:name="_Toc305158897"/>
      <w:r/>
      <w:bookmarkStart w:id="775" w:name="_Toc226337251"/>
      <w:r/>
      <w:bookmarkStart w:id="776" w:name="_Toc226965828"/>
      <w:r/>
      <w:bookmarkStart w:id="777" w:name="_Toc265228393"/>
      <w:r/>
      <w:bookmarkStart w:id="778" w:name="_Toc150480793"/>
      <w:r/>
      <w:bookmarkStart w:id="779" w:name="_Toc305158823"/>
      <w:r/>
      <w:bookmarkStart w:id="780" w:name="_Toc127151555"/>
      <w:r/>
      <w:bookmarkStart w:id="781" w:name="_Toc150774760"/>
      <w:r>
        <w:rPr>
          <w:rFonts w:hint="eastAsia" w:ascii="宋体" w:hAnsi="宋体" w:cs="宋体"/>
          <w:b/>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5"/>
        </w:numPr>
        <w:ind w:left="0" w:firstLine="480"/>
        <w:spacing w:line="360" w:lineRule="auto"/>
        <w:tabs>
          <w:tab w:val="left" w:pos="993" w:leader="none"/>
          <w:tab w:val="clear"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5"/>
        </w:numPr>
        <w:ind w:left="0" w:firstLine="480"/>
        <w:spacing w:line="360" w:lineRule="auto"/>
        <w:tabs>
          <w:tab w:val="left" w:pos="993" w:leader="none"/>
          <w:tab w:val="clear"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10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813"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6725"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投标函、法定代表人资格证明书、授权委托书和政府采购供应商信用承诺书</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按招标文件要求提供投标函、法定代表人资格证明书、授权委托书和政府采购供应商信用承诺书；</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投标完整性</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投标报价未超过招标文件中规定的项目/采购包预算金额或者项目/采购包最高限价；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投标文件未出现可选择性或可调整的报价（招标文件另有规定的除外）；</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投标文件满足招标文件第五章《采购需求》中★号条款要求的；</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按招标文件规定签订并提供分包意向协议原件的电子件的；（如有）</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串通投标</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（一）不同投标人的投标文件由同一单位或者个人编制（包含使用同一MAC地址的计算机制作电子响应文件的情形）；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（二）不同投标人委托同一单位或者个人办理投标事宜（包含使用同一MAC地址的计算机提交或者解密电子响应文件的情形）；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 性差异；</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（六）不同投标人的投标保证金从同一单位或者个人的账户转出；</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17</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75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w:t>
            </w:r>
            <w:r/>
          </w:p>
        </w:tc>
        <w:tc>
          <w:tcPr>
            <w:tcW w:w="181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672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6"/>
        </w:numPr>
        <w:spacing w:line="360" w:lineRule="auto"/>
        <w:tabs>
          <w:tab w:val="left" w:pos="1080" w:leader="none"/>
          <w:tab w:val="left" w:pos="1589" w:leader="none"/>
        </w:tabs>
        <w:rPr>
          <w:rFonts w:ascii="宋体" w:hAnsi="宋体" w:cs="宋体"/>
          <w:color w:val="auto"/>
          <w:sz w:val="24"/>
          <w:highlight w:val="none"/>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s="宋体"/>
          <w:color w:val="auto"/>
          <w:sz w:val="24"/>
          <w:highlight w:val="none"/>
        </w:rPr>
      </w:r>
      <w:r/>
    </w:p>
    <w:p>
      <w:pPr>
        <w:numPr>
          <w:ilvl w:val="0"/>
          <w:numId w:val="5"/>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投标文件有关事项的澄清或者说明</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5"/>
        </w:numPr>
        <w:ind w:left="0" w:firstLine="420"/>
        <w:spacing w:line="360" w:lineRule="auto"/>
        <w:tabs>
          <w:tab w:val="left" w:pos="0" w:leader="none"/>
          <w:tab w:val="left" w:pos="420" w:leader="none"/>
          <w:tab w:val="clear" w:pos="1589" w:leader="none"/>
        </w:tabs>
        <w:rPr>
          <w:rFonts w:ascii="宋体" w:hAnsi="宋体" w:cs="宋体"/>
          <w:color w:val="auto"/>
          <w:sz w:val="24"/>
          <w:highlight w:val="none"/>
        </w:rPr>
      </w:pPr>
      <w:r>
        <w:rPr>
          <w:rFonts w:hint="eastAsia" w:ascii="宋体" w:hAnsi="宋体" w:cs="宋体"/>
          <w:color w:val="auto"/>
          <w:sz w:val="24"/>
          <w:highlight w:val="none"/>
        </w:rPr>
        <w:t xml:space="preserve">评审过程中出现下列情形之一的，评标委员会应当启动异常低价响应审查程序：</w:t>
      </w:r>
      <w:r/>
    </w:p>
    <w:p>
      <w:pPr>
        <w:numPr>
          <w:ilvl w:val="2"/>
          <w:numId w:val="5"/>
        </w:numPr>
        <w:ind w:left="0" w:firstLine="420"/>
        <w:spacing w:line="360" w:lineRule="auto"/>
        <w:tabs>
          <w:tab w:val="left" w:pos="0" w:leader="none"/>
          <w:tab w:val="left" w:pos="420" w:leader="none"/>
          <w:tab w:val="clear" w:pos="1980" w:leader="none"/>
        </w:tabs>
        <w:rPr>
          <w:rFonts w:ascii="宋体" w:hAnsi="宋体" w:cs="宋体"/>
          <w:color w:val="auto"/>
          <w:sz w:val="24"/>
          <w:highlight w:val="none"/>
        </w:rPr>
      </w:pPr>
      <w:r>
        <w:rPr>
          <w:rFonts w:hint="eastAsia" w:ascii="宋体" w:hAnsi="宋体" w:cs="宋体"/>
          <w:color w:val="auto"/>
          <w:sz w:val="24"/>
          <w:highlight w:val="none"/>
        </w:rPr>
        <w:t xml:space="preserve">投标报价低于全部通过符合性审查供应商投标报价平均值50%的，即投标报价＜全部通过符合性审查供应商投标报价平均值×50%；</w:t>
      </w:r>
      <w:r/>
    </w:p>
    <w:p>
      <w:pPr>
        <w:numPr>
          <w:ilvl w:val="2"/>
          <w:numId w:val="5"/>
        </w:numPr>
        <w:ind w:left="0" w:firstLine="420"/>
        <w:spacing w:line="360" w:lineRule="auto"/>
        <w:tabs>
          <w:tab w:val="left" w:pos="0" w:leader="none"/>
          <w:tab w:val="left" w:pos="420" w:leader="none"/>
          <w:tab w:val="clear" w:pos="1980" w:leader="none"/>
        </w:tabs>
        <w:rPr>
          <w:rFonts w:ascii="宋体" w:hAnsi="宋体" w:cs="宋体"/>
          <w:color w:val="auto"/>
          <w:sz w:val="24"/>
          <w:highlight w:val="none"/>
        </w:rPr>
      </w:pPr>
      <w:r>
        <w:rPr>
          <w:rFonts w:hint="eastAsia" w:ascii="宋体" w:hAnsi="宋体" w:cs="宋体"/>
          <w:color w:val="auto"/>
          <w:sz w:val="24"/>
          <w:highlight w:val="none"/>
        </w:rPr>
        <w:t xml:space="preserve">投标报价低于通过符合性审查的次低报价供应商投标报价50%的，即投标报价＜通过符合性审查的次低报价供应商投标报价×50%；</w:t>
      </w:r>
      <w:r/>
    </w:p>
    <w:p>
      <w:pPr>
        <w:numPr>
          <w:ilvl w:val="2"/>
          <w:numId w:val="5"/>
        </w:numPr>
        <w:ind w:left="0" w:firstLine="420"/>
        <w:spacing w:line="360" w:lineRule="auto"/>
        <w:tabs>
          <w:tab w:val="left" w:pos="0" w:leader="none"/>
          <w:tab w:val="left" w:pos="420" w:leader="none"/>
          <w:tab w:val="clear" w:pos="1980" w:leader="none"/>
        </w:tabs>
        <w:rPr>
          <w:rFonts w:ascii="宋体" w:hAnsi="宋体" w:cs="宋体"/>
          <w:color w:val="auto"/>
          <w:sz w:val="24"/>
          <w:highlight w:val="none"/>
        </w:rPr>
      </w:pPr>
      <w:r>
        <w:rPr>
          <w:rFonts w:hint="eastAsia" w:ascii="宋体" w:hAnsi="宋体" w:cs="宋体"/>
          <w:color w:val="auto"/>
          <w:sz w:val="24"/>
          <w:highlight w:val="none"/>
        </w:rPr>
        <w:t xml:space="preserve">投标报价低于采购项目最高限价45%的，即投标报价＜采购项目最高限价×45%；</w:t>
      </w:r>
      <w:r/>
    </w:p>
    <w:p>
      <w:pPr>
        <w:numPr>
          <w:ilvl w:val="2"/>
          <w:numId w:val="5"/>
        </w:numPr>
        <w:ind w:left="0" w:firstLine="420"/>
        <w:spacing w:line="360" w:lineRule="auto"/>
        <w:tabs>
          <w:tab w:val="left" w:pos="0" w:leader="none"/>
          <w:tab w:val="left" w:pos="420" w:leader="none"/>
          <w:tab w:val="clear" w:pos="19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评标委员会基于专业判断，认为供应商报价过低，有可能影响产品质量或者不能诚信履约的其他情形。</w:t>
      </w:r>
      <w:r/>
    </w:p>
    <w:p>
      <w:pPr>
        <w:numPr>
          <w:ilvl w:val="1"/>
          <w:numId w:val="5"/>
        </w:numPr>
        <w:ind w:left="0" w:firstLine="480"/>
        <w:spacing w:line="360" w:lineRule="auto"/>
        <w:tabs>
          <w:tab w:val="left" w:pos="0" w:leader="none"/>
          <w:tab w:val="left" w:pos="567" w:leader="none"/>
          <w:tab w:val="left" w:pos="1134" w:leader="none"/>
          <w:tab w:val="clear"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5"/>
        </w:numPr>
        <w:ind w:left="0" w:firstLine="480"/>
        <w:spacing w:line="360" w:lineRule="auto"/>
        <w:tabs>
          <w:tab w:val="left" w:pos="0" w:leader="none"/>
          <w:tab w:val="left" w:pos="567" w:leader="none"/>
          <w:tab w:val="left" w:pos="1134" w:leader="none"/>
          <w:tab w:val="clear"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numPr>
          <w:ilvl w:val="1"/>
          <w:numId w:val="5"/>
        </w:numPr>
        <w:ind w:left="0" w:firstLine="480"/>
        <w:spacing w:line="360" w:lineRule="auto"/>
        <w:tabs>
          <w:tab w:val="left" w:pos="0" w:leader="none"/>
          <w:tab w:val="left" w:pos="567" w:leader="none"/>
          <w:tab w:val="left" w:pos="1134" w:leader="none"/>
          <w:tab w:val="clear" w:pos="1589"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1"/>
          <w:numId w:val="5"/>
        </w:numPr>
        <w:ind w:left="0" w:firstLine="480"/>
        <w:spacing w:line="360" w:lineRule="auto"/>
        <w:tabs>
          <w:tab w:val="left" w:pos="0" w:leader="none"/>
          <w:tab w:val="left" w:pos="567" w:leader="none"/>
          <w:tab w:val="left" w:pos="1134" w:leader="none"/>
          <w:tab w:val="clear" w:pos="1589" w:leader="none"/>
        </w:tabs>
        <w:rPr>
          <w:rFonts w:ascii="宋体" w:hAnsi="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5"/>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5"/>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5"/>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5"/>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5"/>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5"/>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5"/>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5"/>
        </w:numPr>
        <w:ind w:left="0" w:firstLine="482"/>
        <w:spacing w:line="360" w:lineRule="auto"/>
        <w:tabs>
          <w:tab w:val="left" w:pos="0" w:leader="none"/>
          <w:tab w:val="left" w:pos="567" w:leader="none"/>
          <w:tab w:val="left" w:pos="1134" w:leader="none"/>
        </w:tabs>
        <w:rPr>
          <w:rFonts w:ascii="宋体" w:hAnsi="宋体" w:cs="宋体"/>
          <w:color w:val="auto"/>
          <w:sz w:val="24"/>
          <w:highlight w:val="none"/>
        </w:rPr>
      </w:pPr>
      <w:r>
        <w:rPr>
          <w:rFonts w:hint="eastAsia" w:ascii="宋体" w:hAnsi="宋体" w:cs="宋体"/>
          <w:b/>
          <w:bCs/>
          <w:color w:val="auto"/>
          <w:sz w:val="24"/>
          <w:highlight w:val="none"/>
        </w:rPr>
        <w:t xml:space="preserve">落实政府采购政策的价格调整</w:t>
      </w:r>
      <w:r>
        <w:rPr>
          <w:rFonts w:hint="eastAsia" w:ascii="宋体" w:hAnsi="宋体" w:cs="宋体"/>
          <w:color w:val="auto"/>
          <w:sz w:val="24"/>
          <w:highlight w:val="none"/>
        </w:rPr>
        <w:t xml:space="preserve">：只有符合第二章《投标人须知》5.2、5.9条规定情形的，可以享受政府采购价格扶持政策，用扣除后的价格参加评审；否则，评标时价格不予扣除。</w:t>
      </w:r>
      <w:r/>
    </w:p>
    <w:p>
      <w:pPr>
        <w:numPr>
          <w:ilvl w:val="2"/>
          <w:numId w:val="5"/>
        </w:numPr>
        <w:ind w:left="0" w:firstLine="482"/>
        <w:spacing w:line="360" w:lineRule="auto"/>
        <w:tabs>
          <w:tab w:val="left" w:pos="0" w:leader="none"/>
          <w:tab w:val="left" w:pos="567" w:leader="none"/>
          <w:tab w:val="left" w:pos="1276" w:leader="none"/>
          <w:tab w:val="left" w:pos="1589" w:leader="none"/>
          <w:tab w:val="left" w:pos="2035" w:leader="none"/>
        </w:tabs>
        <w:rPr>
          <w:rFonts w:ascii="宋体" w:hAnsi="宋体" w:cs="宋体"/>
          <w:b/>
          <w:bCs/>
          <w:color w:val="auto"/>
          <w:sz w:val="24"/>
          <w:highlight w:val="none"/>
        </w:rPr>
      </w:pPr>
      <w:r>
        <w:rPr>
          <w:rFonts w:hint="eastAsia" w:ascii="宋体" w:hAnsi="宋体" w:cs="宋体"/>
          <w:b/>
          <w:color w:val="auto"/>
          <w:sz w:val="24"/>
          <w:highlight w:val="none"/>
        </w:rPr>
        <w:t xml:space="preserve">小微企业</w:t>
      </w:r>
      <w:r>
        <w:rPr>
          <w:rFonts w:hint="eastAsia" w:ascii="宋体" w:hAnsi="宋体" w:cs="宋体"/>
          <w:b/>
          <w:bCs/>
          <w:color w:val="auto"/>
          <w:sz w:val="24"/>
          <w:highlight w:val="none"/>
        </w:rPr>
        <w:t xml:space="preserve">价格扣除</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5"/>
        </w:numPr>
        <w:ind w:left="0" w:firstLine="482"/>
        <w:spacing w:line="360" w:lineRule="auto"/>
        <w:tabs>
          <w:tab w:val="left" w:pos="0" w:leader="none"/>
          <w:tab w:val="left" w:pos="567" w:leader="none"/>
          <w:tab w:val="left" w:pos="1276" w:leader="none"/>
          <w:tab w:val="left" w:pos="1589" w:leader="none"/>
          <w:tab w:val="left" w:pos="2035" w:leader="none"/>
        </w:tabs>
        <w:rPr>
          <w:rFonts w:ascii="宋体" w:hAnsi="宋体"/>
          <w:b/>
          <w:bCs/>
          <w:color w:val="auto"/>
          <w:sz w:val="24"/>
          <w:highlight w:val="none"/>
        </w:rPr>
      </w:pPr>
      <w:r>
        <w:rPr>
          <w:rFonts w:hint="eastAsia" w:ascii="宋体" w:hAnsi="宋体"/>
          <w:b/>
          <w:bCs/>
          <w:color w:val="auto"/>
          <w:sz w:val="24"/>
          <w:highlight w:val="none"/>
        </w:rPr>
        <w:t xml:space="preserve">采购本国产品的支持政策</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olor w:val="auto"/>
          <w:sz w:val="24"/>
          <w:highlight w:val="none"/>
        </w:rPr>
      </w:pP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olor w:val="auto"/>
          <w:sz w:val="24"/>
          <w:highlight w:val="none"/>
        </w:rPr>
      </w:pPr>
      <w:r>
        <w:rPr>
          <w:rFonts w:hint="eastAsia" w:ascii="宋体" w:hAnsi="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olor w:val="auto"/>
          <w:sz w:val="24"/>
          <w:highlight w:val="none"/>
        </w:rPr>
      </w:pPr>
      <w:r>
        <w:rPr>
          <w:rFonts w:hint="eastAsia" w:ascii="宋体" w:hAnsi="宋体"/>
          <w:color w:val="auto"/>
          <w:sz w:val="24"/>
          <w:highlight w:val="none"/>
        </w:rPr>
        <w:t xml:space="preserve">投标人需按照招标文件的要求提供《关于符合本国产品标准的声明函》（以下简称《声明函》），如不提供将不享受本国产品价格评审优惠。</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olor w:val="auto"/>
          <w:sz w:val="24"/>
          <w:highlight w:val="none"/>
        </w:rPr>
      </w:pPr>
      <w:r>
        <w:rPr>
          <w:rFonts w:hint="eastAsia" w:ascii="宋体" w:hAnsi="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5"/>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5"/>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投标文件的比较和评价</w:t>
      </w:r>
      <w:bookmarkEnd w:id="766"/>
      <w:r/>
      <w:bookmarkEnd w:id="767"/>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5"/>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5"/>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w:t>
      </w:r>
      <w:r/>
    </w:p>
    <w:p>
      <w:pPr>
        <w:numPr>
          <w:ilvl w:val="2"/>
          <w:numId w:val="5"/>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2"/>
          <w:numId w:val="5"/>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0"/>
          <w:numId w:val="5"/>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确定</w:t>
      </w:r>
      <w:bookmarkStart w:id="783" w:name="_Toc150774646"/>
      <w:r/>
      <w:bookmarkStart w:id="784" w:name="_Toc226309790"/>
      <w:r/>
      <w:bookmarkStart w:id="785" w:name="_Toc151190173"/>
      <w:r/>
      <w:bookmarkStart w:id="786" w:name="_Toc164351640"/>
      <w:r/>
      <w:bookmarkStart w:id="787" w:name="_Toc226965736"/>
      <w:r/>
      <w:bookmarkStart w:id="788" w:name="_Toc226337242"/>
      <w:r/>
      <w:bookmarkStart w:id="789" w:name="_Toc127151747"/>
      <w:r/>
      <w:bookmarkStart w:id="790" w:name="_Toc164229241"/>
      <w:r/>
      <w:bookmarkStart w:id="791" w:name="_Toc150774751"/>
      <w:r/>
      <w:bookmarkStart w:id="792" w:name="_Ref467307010"/>
      <w:r/>
      <w:bookmarkStart w:id="793" w:name="_Toc305158814"/>
      <w:r/>
      <w:bookmarkStart w:id="794" w:name="_Toc151193934"/>
      <w:r/>
      <w:bookmarkStart w:id="795" w:name="_Toc151193716"/>
      <w:r/>
      <w:bookmarkStart w:id="796" w:name="_Toc164608815"/>
      <w:r/>
      <w:bookmarkStart w:id="797" w:name="_Toc127161460"/>
      <w:r/>
      <w:bookmarkStart w:id="798" w:name="_Toc149720839"/>
      <w:r/>
      <w:bookmarkStart w:id="799" w:name="_Toc264969236"/>
      <w:r/>
      <w:bookmarkStart w:id="800" w:name="_Toc520356170"/>
      <w:r/>
      <w:bookmarkStart w:id="801" w:name="_Toc195842911"/>
      <w:r/>
      <w:bookmarkStart w:id="802" w:name="_Toc151193788"/>
      <w:r/>
      <w:bookmarkStart w:id="803" w:name="_Toc127151546"/>
      <w:r/>
      <w:bookmarkStart w:id="804" w:name="_Toc226965819"/>
      <w:r/>
      <w:bookmarkStart w:id="805" w:name="_Toc305158888"/>
      <w:r/>
      <w:bookmarkStart w:id="806" w:name="_Toc150509297"/>
      <w:r/>
      <w:bookmarkStart w:id="807" w:name="_Toc164229387"/>
      <w:r/>
      <w:bookmarkStart w:id="808" w:name="_Toc151193860"/>
      <w:r/>
      <w:bookmarkStart w:id="809" w:name="_Toc164608660"/>
      <w:r/>
      <w:bookmarkStart w:id="810" w:name="_Toc265228384"/>
      <w:r/>
      <w:bookmarkStart w:id="811" w:name="_Toc151193644"/>
      <w:r/>
      <w:bookmarkStart w:id="812" w:name="_Toc142311048"/>
      <w:r/>
      <w:bookmarkStart w:id="813" w:name="_Toc150480784"/>
      <w:r>
        <w:rPr>
          <w:rFonts w:hint="eastAsia" w:ascii="宋体" w:hAnsi="宋体" w:cs="宋体"/>
          <w:b/>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56"/>
        <w:ind w:firstLine="480"/>
        <w:spacing w:line="360" w:lineRule="auto"/>
        <w:tabs>
          <w:tab w:val="left" w:pos="0" w:leader="none"/>
          <w:tab w:val="left" w:pos="567" w:leader="none"/>
          <w:tab w:val="left" w:pos="2127" w:leader="none"/>
        </w:tabs>
        <w:rPr>
          <w:rFonts w:hint="default"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随机抽取</w:t>
      </w:r>
      <w:r/>
    </w:p>
    <w:p>
      <w:pPr>
        <w:pStyle w:val="1056"/>
        <w:ind w:firstLine="480"/>
        <w:spacing w:line="360" w:lineRule="auto"/>
        <w:tabs>
          <w:tab w:val="left" w:pos="0" w:leader="none"/>
          <w:tab w:val="left" w:pos="567" w:leader="none"/>
          <w:tab w:val="left" w:pos="2127" w:leader="none"/>
        </w:tabs>
        <w:rPr>
          <w:rFonts w:hint="default"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highlight w:val="none"/>
          <w:u w:val="single"/>
        </w:rPr>
        <w:t xml:space="preserve">/</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5"/>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highlight w:val="none"/>
        </w:rPr>
        <w:outlineLvl w:val="1"/>
      </w:pPr>
      <w:r>
        <w:rPr>
          <w:rFonts w:hint="eastAsia" w:ascii="宋体" w:hAnsi="宋体" w:cs="宋体"/>
          <w:b/>
          <w:color w:val="auto"/>
          <w:sz w:val="24"/>
          <w:highlight w:val="none"/>
        </w:rPr>
        <w:t xml:space="preserve">报告违法行为</w:t>
      </w:r>
      <w:r/>
    </w:p>
    <w:p>
      <w:pPr>
        <w:numPr>
          <w:ilvl w:val="1"/>
          <w:numId w:val="5"/>
        </w:numPr>
        <w:ind w:left="0" w:firstLine="480"/>
        <w:spacing w:line="360" w:lineRule="auto"/>
        <w:tabs>
          <w:tab w:val="left" w:pos="0" w:leader="none"/>
          <w:tab w:val="left" w:pos="567"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ascii="宋体" w:hAnsi="宋体"/>
          <w:b/>
          <w:color w:val="auto"/>
          <w:sz w:val="24"/>
          <w:highlight w:val="none"/>
        </w:rPr>
      </w:pPr>
      <w:r>
        <w:rPr>
          <w:rFonts w:ascii="宋体" w:hAnsi="宋体"/>
          <w:b/>
          <w:color w:val="auto"/>
          <w:sz w:val="24"/>
          <w:highlight w:val="none"/>
        </w:rPr>
        <w:br w:type="page" w:clear="all"/>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二、评标标准</w:t>
      </w:r>
      <w:r/>
    </w:p>
    <w:p>
      <w:pPr>
        <w:spacing w:line="360" w:lineRule="auto"/>
        <w:tabs>
          <w:tab w:val="left" w:pos="360" w:leader="none"/>
          <w:tab w:val="left" w:pos="900"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r>
      <w:r/>
    </w:p>
    <w:tbl>
      <w:tblPr>
        <w:tblStyle w:val="1042"/>
        <w:tblpPr w:horzAnchor="page" w:tblpX="1796" w:vertAnchor="text" w:tblpY="456"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
        <w:gridCol w:w="1202"/>
        <w:gridCol w:w="720"/>
        <w:gridCol w:w="3441"/>
        <w:gridCol w:w="2502"/>
      </w:tblGrid>
      <w:tr>
        <w:trPr/>
        <w:tc>
          <w:tcPr>
            <w:tcW w:w="648" w:type="dxa"/>
            <w:vAlign w:val="center"/>
            <w:textDirection w:val="lrTb"/>
            <w:noWrap w:val="false"/>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2"/>
            <w:tcW w:w="1214" w:type="dxa"/>
            <w:vAlign w:val="center"/>
            <w:textDirection w:val="lrTb"/>
            <w:noWrap w:val="false"/>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720" w:type="dxa"/>
            <w:vAlign w:val="center"/>
            <w:textDirection w:val="lrTb"/>
            <w:noWrap w:val="false"/>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3441" w:type="dxa"/>
            <w:vAlign w:val="center"/>
            <w:textDirection w:val="lrTb"/>
            <w:noWrap w:val="false"/>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2502" w:type="dxa"/>
            <w:vAlign w:val="center"/>
            <w:textDirection w:val="lrTb"/>
            <w:noWrap w:val="false"/>
          </w:tcPr>
          <w:p>
            <w:pPr>
              <w:pStyle w:val="1430"/>
              <w:spacing w:before="0" w:after="0"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631"/>
        </w:trPr>
        <w:tc>
          <w:tcPr>
            <w:tcW w:w="648" w:type="dxa"/>
            <w:vAlign w:val="center"/>
            <w:textDirection w:val="lrTb"/>
            <w:noWrap w:val="false"/>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满足招标文件要求且投标价格最低的投标报价为评标基准价，其价格分为满分。其他投标人的价格分统一按照下列公式计算：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投标报价得分＝（评标基准价/投标报价）×分值。</w:t>
            </w:r>
            <w:r/>
          </w:p>
        </w:tc>
        <w:tc>
          <w:tcPr>
            <w:tcW w:w="2502" w:type="dxa"/>
            <w:vAlign w:val="center"/>
            <w:textDirection w:val="lrTb"/>
            <w:noWrap w:val="false"/>
          </w:tcPr>
          <w:p>
            <w:pPr>
              <w:ind w:left="-38"/>
              <w:rPr>
                <w:rFonts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此处投标报价指经过报价修正，及因落实政府采购政策进行价格调整后的报价，详见第三章《评标方法和评标标准》2.4及2.5。</w:t>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主观分</w:t>
            </w:r>
            <w:r/>
          </w:p>
        </w:tc>
        <w:tc>
          <w:tcPr>
            <w:tcW w:w="720" w:type="dxa"/>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0</w:t>
            </w:r>
            <w:r/>
          </w:p>
        </w:tc>
        <w:tc>
          <w:tcPr>
            <w:tcW w:w="344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2.1</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现状分析及能耗诊断方案</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投标人提供现状分析及能耗诊断方案，包含现有建筑的现状分析、对建筑能耗、机电设备等基准指标性能的评价分析、对建筑现存问题分析等。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方案完整全面、科学合理、具备针对性及可行性，契合采购人实际需求的得5分；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方案基本完整，具备一定合理性、针对性及可行性，基本满足采购人实际需求的得3分；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2.2</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综合能源托管整体服务方案</w:t>
            </w:r>
            <w:r/>
          </w:p>
        </w:tc>
        <w:tc>
          <w:tcPr>
            <w:tcW w:w="720" w:type="dxa"/>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综合能源托管整体服务方案（至少包含服务模式、服务范围两部分），方案能体现医院后勤运维及能源管理现状在安全、管理、能耗、服务方面分析透彻、对医院现状、环境，深入了解医院耗能系统存在的问题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2.3</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高效制冷主机改造方案</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投标人提供高效制冷主机改造方案，包含节能措施、解决方案、节能产品设备性能、节能潜力分析等。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方案完整全面、科学合理、具备针对性及可行性，契合采购人实际需求的得5分；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方案基本完整，具备一定合理性、针对性及可行性，基本满足采购人实际需求的得3分；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2.4</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风冷热泵系统改造方案</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投标人提供风冷热泵系统改造方案，包含节能措施、解决方案、节能产品设备性能、节能潜力分析等。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方案完整全面、科学合理、具备针对性及可行性，契合采购人实际需求的得5分；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方案基本完整，具备一定合理性、针对性及可行性，基本满足采购人实际需求的得3分；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2.5</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生活热水系统改造方案</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投标人提供生活热水系统改造方案，包含节能措施、解决方案、节能产品设备性能、节能潜力分析等。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方案完整全面、科学合理、具备针对性及可行性，契合采购人实际需求的得5分；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方案基本完整，具备一定合理性、针对性及可行性，基本满足采购人实际需求的得3分；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2.6</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施工改造方案</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投标人提供施工改造方案，包含实施方案与现场配合、改造施工过程中的重难点描述及采取的针对性措施、质量保证措施、施工总体进度计划及保证措施、文明施工保证措施等。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方案完整全面、科学合理、具备针对性及可行性，契合采购人实际需求的得5分；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方案基本完整，具备一定合理性、针对性及可行性，基本满足采购人实际需求的得3分；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2.7</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运维服务方案</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投标人提供运维服务方案，包含详细的节能设备运行、维护保养、故障处理、技能培训等。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方案完整全面、科学合理、具备针对性及可行性，契合采购人实际需求的得5分；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方案基本完整，具备一定合理性、针对性及可行性，基本满足采购人实际需求的得3分；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2.8</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应急预案</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投标人提供应急预案，包含突发事件等各类特殊情况下的应急预案和紧急事件的具体措施等。</w:t>
            </w:r>
            <w:r/>
          </w:p>
          <w:p>
            <w:pPr>
              <w:rPr>
                <w:rFonts w:ascii="宋体" w:hAnsi="宋体" w:cs="宋体"/>
                <w:color w:val="auto"/>
                <w:sz w:val="24"/>
                <w:highlight w:val="none"/>
              </w:rPr>
            </w:pPr>
            <w:r>
              <w:rPr>
                <w:rFonts w:hint="eastAsia" w:ascii="宋体" w:hAnsi="宋体" w:cs="宋体"/>
                <w:color w:val="auto"/>
                <w:sz w:val="24"/>
                <w:highlight w:val="none"/>
              </w:rPr>
              <w:t xml:space="preserve">方案完整全面、科学合理、具备针对性及可行性，契合采购人实际需求的得5分；</w:t>
            </w:r>
            <w:r/>
          </w:p>
          <w:p>
            <w:pPr>
              <w:rPr>
                <w:rFonts w:ascii="宋体" w:hAnsi="宋体" w:cs="宋体"/>
                <w:color w:val="auto"/>
                <w:sz w:val="24"/>
                <w:highlight w:val="none"/>
              </w:rPr>
            </w:pPr>
            <w:r>
              <w:rPr>
                <w:rFonts w:hint="eastAsia" w:ascii="宋体" w:hAnsi="宋体" w:cs="宋体"/>
                <w:color w:val="auto"/>
                <w:sz w:val="24"/>
                <w:highlight w:val="none"/>
              </w:rPr>
              <w:t xml:space="preserve">方案基本完整，具备一定合理性、针对性及可行性，基本满足采购人实际需求的得3分；</w:t>
            </w:r>
            <w:r/>
          </w:p>
          <w:p>
            <w:pPr>
              <w:rPr>
                <w:rFonts w:ascii="宋体" w:hAnsi="宋体" w:cs="宋体"/>
                <w:color w:val="auto"/>
                <w:sz w:val="24"/>
                <w:highlight w:val="none"/>
              </w:rPr>
            </w:pPr>
            <w:r>
              <w:rPr>
                <w:rFonts w:hint="eastAsia" w:ascii="宋体" w:hAnsi="宋体" w:cs="宋体"/>
                <w:color w:val="auto"/>
                <w:sz w:val="24"/>
                <w:highlight w:val="none"/>
              </w:rPr>
              <w:t xml:space="preserve">方案完整性、合理性、针对性及可行性有所欠缺，与采购人实际需求存在差距的得1分；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未提供不得分。</w:t>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rHeight w:val="90"/>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客观分</w:t>
            </w:r>
            <w:r/>
          </w:p>
        </w:tc>
        <w:tc>
          <w:tcPr>
            <w:tcW w:w="72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50</w:t>
            </w:r>
            <w:r/>
          </w:p>
        </w:tc>
        <w:tc>
          <w:tcPr>
            <w:tcW w:w="3441"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502" w:type="dxa"/>
            <w:vAlign w:val="center"/>
            <w:textDirection w:val="lrTb"/>
            <w:noWrap w:val="false"/>
          </w:tcPr>
          <w:p>
            <w:pPr>
              <w:ind w:left="-38"/>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3.1</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业绩</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提供投标人自2023年1月1日以来承接的能源托管业绩，每有1项得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分，最高得12分。</w:t>
            </w:r>
            <w:r/>
          </w:p>
        </w:tc>
        <w:tc>
          <w:tcPr>
            <w:tcW w:w="250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1.时间以合同签订时间为准。</w:t>
            </w:r>
            <w:r/>
          </w:p>
          <w:p>
            <w:pPr>
              <w:rPr>
                <w:rFonts w:ascii="宋体" w:hAnsi="宋体" w:cs="宋体"/>
                <w:color w:val="auto"/>
                <w:sz w:val="24"/>
                <w:highlight w:val="none"/>
              </w:rPr>
            </w:pPr>
            <w:r>
              <w:rPr>
                <w:rFonts w:hint="eastAsia" w:ascii="宋体" w:hAnsi="宋体" w:cs="宋体"/>
                <w:color w:val="auto"/>
                <w:sz w:val="24"/>
                <w:highlight w:val="none"/>
              </w:rPr>
              <w:t xml:space="preserve">2.提供业绩合同关键页复印件，关键页包括但不限于</w:t>
            </w:r>
            <w:r>
              <w:rPr>
                <w:rFonts w:hint="eastAsia" w:ascii="宋体" w:hAnsi="宋体" w:cs="宋体"/>
                <w:b/>
                <w:bCs/>
                <w:color w:val="auto"/>
                <w:sz w:val="24"/>
                <w:highlight w:val="none"/>
              </w:rPr>
              <w:t xml:space="preserve">合同封面、合同内容、双方签字盖章页、合同签订时间等。</w:t>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3.2</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认证证书</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投标人具备有效期内的合同能源管理服务认证证书、节能技术服务认证证书、综合能源管理服务认证证书、信息技术服务管理体系认证证书、信息安全管理体系认证证书，每满足1项得2分，最高得10分。</w:t>
            </w:r>
            <w:r/>
          </w:p>
        </w:tc>
        <w:tc>
          <w:tcPr>
            <w:tcW w:w="250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提供证书复印件和监督管理委员会网站（www.cnca.gov.cn）查询状态为“有效”截图，缺项不得分</w:t>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3.3</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技改项目经理</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441"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拟派技改项目经理：</w:t>
            </w:r>
            <w:r/>
          </w:p>
          <w:p>
            <w:pPr>
              <w:jc w:val="left"/>
              <w:rPr>
                <w:rFonts w:ascii="宋体" w:hAnsi="宋体" w:cs="宋体"/>
                <w:color w:val="auto"/>
                <w:sz w:val="24"/>
                <w:highlight w:val="none"/>
              </w:rPr>
            </w:pPr>
            <w:r>
              <w:rPr>
                <w:rFonts w:hint="eastAsia" w:ascii="宋体" w:hAnsi="宋体" w:cs="宋体"/>
                <w:color w:val="auto"/>
                <w:sz w:val="24"/>
                <w:highlight w:val="none"/>
              </w:rPr>
              <w:t xml:space="preserve">1.具有暖通空调类高级工程师证书，得3分；</w:t>
            </w:r>
            <w:r/>
          </w:p>
          <w:p>
            <w:pPr>
              <w:rPr>
                <w:rFonts w:ascii="宋体" w:hAnsi="宋体" w:cs="宋体"/>
                <w:color w:val="auto"/>
                <w:sz w:val="24"/>
                <w:highlight w:val="none"/>
              </w:rPr>
            </w:pPr>
            <w:r>
              <w:rPr>
                <w:rFonts w:hint="eastAsia" w:ascii="宋体" w:hAnsi="宋体" w:cs="宋体"/>
                <w:color w:val="auto"/>
                <w:sz w:val="24"/>
                <w:highlight w:val="none"/>
              </w:rPr>
              <w:t xml:space="preserve">2.具有一级建造师得3分，二级建造师得1分；</w:t>
            </w:r>
            <w:r/>
          </w:p>
          <w:p>
            <w:pPr>
              <w:rPr>
                <w:rFonts w:ascii="宋体" w:hAnsi="宋体" w:cs="宋体"/>
                <w:color w:val="auto"/>
                <w:sz w:val="24"/>
                <w:highlight w:val="none"/>
              </w:rPr>
            </w:pPr>
            <w:r>
              <w:rPr>
                <w:rFonts w:hint="eastAsia" w:ascii="宋体" w:hAnsi="宋体" w:cs="宋体"/>
                <w:color w:val="auto"/>
                <w:sz w:val="24"/>
                <w:highlight w:val="none"/>
              </w:rPr>
              <w:t xml:space="preserve">本项限评1人，最高得6分。</w:t>
            </w:r>
            <w:r/>
          </w:p>
        </w:tc>
        <w:tc>
          <w:tcPr>
            <w:tcW w:w="2502" w:type="dxa"/>
            <w:vAlign w:val="center"/>
            <w:vMerge w:val="restart"/>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提供人员证书复印件和投标人2026年1月-5月中任意连续三个月为其缴纳的社保证明。</w:t>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3.4</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技改技术经理</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441"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拟派技改技术经理：</w:t>
            </w:r>
            <w:r/>
          </w:p>
          <w:p>
            <w:pPr>
              <w:jc w:val="left"/>
              <w:rPr>
                <w:rFonts w:ascii="宋体" w:hAnsi="宋体" w:cs="宋体"/>
                <w:color w:val="auto"/>
                <w:sz w:val="24"/>
                <w:highlight w:val="none"/>
              </w:rPr>
            </w:pPr>
            <w:r>
              <w:rPr>
                <w:rFonts w:hint="eastAsia" w:ascii="宋体" w:hAnsi="宋体" w:cs="宋体"/>
                <w:color w:val="auto"/>
                <w:sz w:val="24"/>
                <w:highlight w:val="none"/>
              </w:rPr>
              <w:t xml:space="preserve">1.具有高级工程师</w:t>
            </w:r>
            <w:r>
              <w:rPr>
                <w:rFonts w:hint="eastAsia" w:ascii="宋体" w:hAnsi="宋体" w:cs="宋体"/>
                <w:color w:val="auto"/>
                <w:sz w:val="24"/>
                <w:highlight w:val="none"/>
                <w:lang w:val="en-US" w:eastAsia="zh-CN"/>
              </w:rPr>
              <w:t xml:space="preserve">职称</w:t>
            </w:r>
            <w:r>
              <w:rPr>
                <w:rFonts w:hint="eastAsia" w:ascii="宋体" w:hAnsi="宋体" w:cs="宋体"/>
                <w:color w:val="auto"/>
                <w:sz w:val="24"/>
                <w:highlight w:val="none"/>
              </w:rPr>
              <w:t xml:space="preserve">证书，得3分；</w:t>
            </w:r>
            <w:r/>
          </w:p>
          <w:p>
            <w:pPr>
              <w:jc w:val="left"/>
              <w:rPr>
                <w:rFonts w:ascii="宋体" w:hAnsi="宋体" w:cs="宋体"/>
                <w:color w:val="auto"/>
                <w:sz w:val="24"/>
                <w:highlight w:val="none"/>
              </w:rPr>
            </w:pPr>
            <w:r>
              <w:rPr>
                <w:rFonts w:hint="eastAsia" w:ascii="宋体" w:hAnsi="宋体" w:cs="宋体"/>
                <w:color w:val="auto"/>
                <w:sz w:val="24"/>
                <w:highlight w:val="none"/>
              </w:rPr>
              <w:t xml:space="preserve">2.具有暖通空调类注册公用设备工程师证书，得3分；</w:t>
            </w:r>
            <w:r/>
          </w:p>
          <w:p>
            <w:pPr>
              <w:rPr>
                <w:rFonts w:ascii="宋体" w:hAnsi="宋体" w:cs="宋体"/>
                <w:color w:val="auto"/>
                <w:sz w:val="24"/>
                <w:highlight w:val="none"/>
              </w:rPr>
            </w:pPr>
            <w:r>
              <w:rPr>
                <w:rFonts w:hint="eastAsia" w:ascii="宋体" w:hAnsi="宋体" w:cs="宋体"/>
                <w:color w:val="auto"/>
                <w:sz w:val="24"/>
                <w:highlight w:val="none"/>
              </w:rPr>
              <w:t xml:space="preserve">本项限评1人，最高得6分。</w:t>
            </w:r>
            <w:r/>
          </w:p>
        </w:tc>
        <w:tc>
          <w:tcPr>
            <w:tcW w:w="2502"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3.5</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项目组其他成员</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441"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拟派项目组其他成员（不含技改项目经理、技改技术经理）：</w:t>
            </w:r>
            <w:r/>
          </w:p>
          <w:p>
            <w:pPr>
              <w:jc w:val="left"/>
              <w:rPr>
                <w:rFonts w:ascii="宋体" w:hAnsi="宋体" w:cs="宋体"/>
                <w:color w:val="auto"/>
                <w:sz w:val="24"/>
                <w:highlight w:val="none"/>
              </w:rPr>
            </w:pPr>
            <w:r>
              <w:rPr>
                <w:rFonts w:hint="eastAsia" w:ascii="宋体" w:hAnsi="宋体" w:cs="宋体"/>
                <w:color w:val="auto"/>
                <w:sz w:val="24"/>
                <w:highlight w:val="none"/>
              </w:rPr>
              <w:t xml:space="preserve">1.具有机电类中级及以上</w:t>
            </w:r>
            <w:r>
              <w:rPr>
                <w:rFonts w:hint="eastAsia" w:ascii="宋体" w:hAnsi="宋体" w:cs="宋体"/>
                <w:color w:val="auto"/>
                <w:sz w:val="24"/>
                <w:highlight w:val="none"/>
                <w:lang w:val="en-US" w:eastAsia="zh-CN"/>
              </w:rPr>
              <w:t xml:space="preserve">工程师职称证书</w:t>
            </w:r>
            <w:r>
              <w:rPr>
                <w:rFonts w:hint="eastAsia" w:ascii="宋体" w:hAnsi="宋体" w:cs="宋体"/>
                <w:color w:val="auto"/>
                <w:sz w:val="24"/>
                <w:highlight w:val="none"/>
              </w:rPr>
              <w:t xml:space="preserve">得2分；</w:t>
            </w:r>
            <w:r/>
          </w:p>
          <w:p>
            <w:pPr>
              <w:jc w:val="left"/>
              <w:rPr>
                <w:rFonts w:ascii="宋体" w:hAnsi="宋体" w:cs="宋体"/>
                <w:color w:val="auto"/>
                <w:sz w:val="24"/>
                <w:highlight w:val="none"/>
              </w:rPr>
            </w:pPr>
            <w:r>
              <w:rPr>
                <w:rFonts w:hint="eastAsia" w:ascii="宋体" w:hAnsi="宋体" w:cs="宋体"/>
                <w:color w:val="auto"/>
                <w:sz w:val="24"/>
                <w:highlight w:val="none"/>
              </w:rPr>
              <w:t xml:space="preserve">2.具有电气类中级及以上</w:t>
            </w:r>
            <w:r>
              <w:rPr>
                <w:rFonts w:hint="eastAsia" w:ascii="宋体" w:hAnsi="宋体" w:cs="宋体"/>
                <w:color w:val="auto"/>
                <w:sz w:val="24"/>
                <w:highlight w:val="none"/>
                <w:lang w:val="en-US" w:eastAsia="zh-CN"/>
              </w:rPr>
              <w:t xml:space="preserve">工程师职称证书</w:t>
            </w:r>
            <w:r>
              <w:rPr>
                <w:rFonts w:hint="eastAsia" w:ascii="宋体" w:hAnsi="宋体" w:cs="宋体"/>
                <w:color w:val="auto"/>
                <w:sz w:val="24"/>
                <w:highlight w:val="none"/>
              </w:rPr>
              <w:t xml:space="preserve">得2分；</w:t>
            </w:r>
            <w:r/>
          </w:p>
          <w:p>
            <w:pPr>
              <w:jc w:val="left"/>
              <w:rPr>
                <w:rFonts w:ascii="宋体" w:hAnsi="宋体" w:cs="宋体"/>
                <w:color w:val="auto"/>
                <w:sz w:val="24"/>
                <w:highlight w:val="none"/>
              </w:rPr>
            </w:pPr>
            <w:r>
              <w:rPr>
                <w:rFonts w:hint="eastAsia" w:ascii="宋体" w:hAnsi="宋体" w:cs="宋体"/>
                <w:color w:val="auto"/>
                <w:sz w:val="24"/>
                <w:highlight w:val="none"/>
              </w:rPr>
              <w:t xml:space="preserve">3.具有智能楼宇管理员三级及以上证书得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4.具有制冷设备维修工证书得2分；</w:t>
            </w:r>
            <w:r/>
          </w:p>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5.具有木工证书得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ascii="宋体" w:hAnsi="宋体" w:cs="宋体"/>
                <w:color w:val="auto"/>
                <w:sz w:val="24"/>
                <w:highlight w:val="none"/>
              </w:rPr>
            </w:pPr>
            <w:r>
              <w:rPr>
                <w:rFonts w:hint="eastAsia" w:ascii="宋体" w:hAnsi="宋体" w:cs="宋体"/>
                <w:color w:val="auto"/>
                <w:sz w:val="24"/>
                <w:highlight w:val="none"/>
              </w:rPr>
              <w:t xml:space="preserve">一人多证仅计取一次，最高得10分。</w:t>
            </w:r>
            <w:r/>
          </w:p>
        </w:tc>
        <w:tc>
          <w:tcPr>
            <w:tcW w:w="2502"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c>
          <w:tcPr>
            <w:tcW w:w="648"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3.6</w:t>
            </w:r>
            <w:r/>
          </w:p>
        </w:tc>
        <w:tc>
          <w:tcPr>
            <w:gridSpan w:val="2"/>
            <w:tcW w:w="1214"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演示项</w:t>
            </w:r>
            <w:r/>
          </w:p>
        </w:tc>
        <w:tc>
          <w:tcPr>
            <w:tcW w:w="720" w:type="dxa"/>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34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投标人根据招标文件"采购内容及技术要求”中“医院智慧管理运营平台建设”要求，演示以下功能要求（提供真实场景演示视频）：</w:t>
            </w:r>
            <w:r/>
          </w:p>
          <w:p>
            <w:pPr>
              <w:jc w:val="left"/>
              <w:rPr>
                <w:rFonts w:ascii="宋体" w:hAnsi="宋体" w:cs="宋体"/>
                <w:color w:val="auto"/>
                <w:sz w:val="24"/>
                <w:highlight w:val="none"/>
              </w:rPr>
            </w:pPr>
            <w:r>
              <w:rPr>
                <w:rFonts w:hint="eastAsia" w:ascii="宋体" w:hAnsi="宋体" w:cs="宋体"/>
                <w:color w:val="auto"/>
                <w:sz w:val="24"/>
                <w:highlight w:val="none"/>
              </w:rPr>
              <w:t xml:space="preserve">1.具有医院各科室用能统计排名功能，演示内容满足要求得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2.具有定额管理功能，演示内容满足要求得1分；</w:t>
            </w:r>
            <w:r/>
          </w:p>
          <w:p>
            <w:pPr>
              <w:jc w:val="left"/>
              <w:rPr>
                <w:rFonts w:ascii="宋体" w:hAnsi="宋体" w:cs="宋体"/>
                <w:color w:val="auto"/>
                <w:sz w:val="24"/>
                <w:highlight w:val="none"/>
              </w:rPr>
            </w:pPr>
            <w:r>
              <w:rPr>
                <w:rFonts w:hint="eastAsia" w:ascii="宋体" w:hAnsi="宋体" w:cs="宋体"/>
                <w:color w:val="auto"/>
                <w:sz w:val="24"/>
                <w:highlight w:val="none"/>
              </w:rPr>
              <w:t xml:space="preserve">3.具有平台具有能耗异常报警功能，演示内容满足要求得1分；</w:t>
            </w:r>
            <w:r/>
          </w:p>
          <w:p>
            <w:pPr>
              <w:rPr>
                <w:rFonts w:ascii="宋体" w:hAnsi="宋体" w:cs="宋体"/>
                <w:color w:val="auto"/>
                <w:sz w:val="24"/>
                <w:highlight w:val="none"/>
              </w:rPr>
            </w:pPr>
            <w:r>
              <w:rPr>
                <w:rFonts w:hint="eastAsia" w:ascii="宋体" w:hAnsi="宋体" w:cs="宋体"/>
                <w:color w:val="auto"/>
                <w:sz w:val="24"/>
                <w:highlight w:val="none"/>
              </w:rPr>
              <w:t xml:space="preserve">4.具有平台具有碳排计算功能，演示内容满足要求得1分。</w:t>
            </w:r>
            <w:r/>
          </w:p>
        </w:tc>
        <w:tc>
          <w:tcPr>
            <w:tcW w:w="2502" w:type="dxa"/>
            <w:vAlign w:val="center"/>
            <w:textDirection w:val="lrTb"/>
            <w:noWrap w:val="false"/>
          </w:tcPr>
          <w:p>
            <w:pPr>
              <w:rPr>
                <w:rFonts w:ascii="宋体" w:hAnsi="宋体" w:cs="宋体"/>
                <w:color w:val="auto"/>
                <w:sz w:val="24"/>
                <w:highlight w:val="none"/>
              </w:rPr>
            </w:pPr>
            <w:r>
              <w:rPr>
                <w:rFonts w:hint="eastAsia" w:ascii="宋体" w:hAnsi="宋体" w:cs="宋体"/>
                <w:b/>
                <w:bCs/>
                <w:color w:val="auto"/>
                <w:sz w:val="24"/>
                <w:highlight w:val="none"/>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r>
      <w:tr>
        <w:trPr/>
        <w:tc>
          <w:tcPr>
            <w:gridSpan w:val="2"/>
            <w:tcW w:w="660" w:type="dxa"/>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p>
        </w:tc>
        <w:tc>
          <w:tcPr>
            <w:tcW w:w="1202" w:type="dxa"/>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节能</w:t>
            </w:r>
            <w:r>
              <w:rPr>
                <w:rFonts w:hint="eastAsia" w:ascii="宋体" w:hAnsi="宋体" w:cs="宋体"/>
                <w:color w:val="auto"/>
                <w:sz w:val="24"/>
                <w:highlight w:val="none"/>
                <w:lang w:val="en-US" w:eastAsia="zh-CN"/>
              </w:rPr>
              <w:t xml:space="preserve">目标</w:t>
            </w:r>
            <w:r/>
          </w:p>
        </w:tc>
        <w:tc>
          <w:tcPr>
            <w:tcW w:w="720" w:type="dxa"/>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3441" w:type="dxa"/>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达到甲方节能目标要求，满足节能率不低于12%得2分。</w:t>
            </w:r>
            <w:r/>
          </w:p>
        </w:tc>
        <w:tc>
          <w:tcPr>
            <w:tcW w:w="250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提供承诺函</w:t>
            </w:r>
            <w:r/>
          </w:p>
        </w:tc>
      </w:tr>
      <w:tr>
        <w:trPr/>
        <w:tc>
          <w:tcPr>
            <w:gridSpan w:val="3"/>
            <w:tcW w:w="1862"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合计</w:t>
            </w:r>
            <w:r/>
          </w:p>
        </w:tc>
        <w:tc>
          <w:tcPr>
            <w:tcW w:w="720" w:type="dxa"/>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100</w:t>
            </w:r>
            <w:r/>
          </w:p>
        </w:tc>
        <w:tc>
          <w:tcPr>
            <w:gridSpan w:val="2"/>
            <w:tcW w:w="5943"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14" w:name="_Toc99301424"/>
      <w:r>
        <w:rPr>
          <w:rFonts w:ascii="宋体" w:hAnsi="宋体"/>
          <w:b/>
          <w:color w:val="auto"/>
          <w:sz w:val="36"/>
          <w:szCs w:val="36"/>
          <w:highlight w:val="none"/>
        </w:rPr>
        <w:t xml:space="preserve">第五章   采购需求</w:t>
      </w:r>
      <w:bookmarkEnd w:id="814"/>
      <w:r/>
      <w:r/>
    </w:p>
    <w:p>
      <w:pPr>
        <w:contextualSpacing/>
        <w:spacing w:line="360" w:lineRule="auto"/>
        <w:rPr>
          <w:rFonts w:ascii="宋体" w:hAnsi="宋体"/>
          <w:color w:val="auto"/>
          <w:sz w:val="24"/>
          <w:highlight w:val="none"/>
        </w:rPr>
      </w:pPr>
      <w:r>
        <w:rPr>
          <w:rFonts w:ascii="宋体" w:hAnsi="宋体"/>
          <w:color w:val="auto"/>
          <w:sz w:val="24"/>
          <w:highlight w:val="none"/>
        </w:rPr>
      </w:r>
      <w:r/>
    </w:p>
    <w:p>
      <w:pPr>
        <w:pStyle w:val="1280"/>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一、</w:t>
      </w:r>
      <w:r>
        <w:rPr>
          <w:rFonts w:hint="eastAsia" w:ascii="宋体" w:hAnsi="宋体"/>
          <w:b/>
          <w:color w:val="auto"/>
          <w:sz w:val="24"/>
          <w:szCs w:val="24"/>
          <w:highlight w:val="none"/>
        </w:rPr>
        <w:t xml:space="preserve">项目概况</w:t>
      </w:r>
      <w:r/>
    </w:p>
    <w:p>
      <w:pPr>
        <w:contextualSpacing/>
        <w:ind w:left="-2" w:firstLine="480"/>
        <w:spacing w:line="360" w:lineRule="auto"/>
        <w:tabs>
          <w:tab w:val="left" w:pos="567" w:leader="none"/>
        </w:tabs>
        <w:rPr>
          <w:rFonts w:ascii="宋体" w:hAnsi="宋体"/>
          <w:bCs/>
          <w:color w:val="auto"/>
          <w:sz w:val="24"/>
          <w:highlight w:val="none"/>
        </w:rPr>
      </w:pPr>
      <w:r>
        <w:rPr>
          <w:rFonts w:hint="eastAsia" w:ascii="宋体" w:hAnsi="宋体"/>
          <w:bCs/>
          <w:color w:val="auto"/>
          <w:sz w:val="24"/>
          <w:highlight w:val="none"/>
        </w:rPr>
        <w:t xml:space="preserve">（一）基本情况</w:t>
      </w:r>
      <w:r/>
    </w:p>
    <w:p>
      <w:pPr>
        <w:contextualSpacing/>
        <w:ind w:left="-2" w:firstLine="480"/>
        <w:spacing w:line="360" w:lineRule="auto"/>
        <w:tabs>
          <w:tab w:val="left" w:pos="567" w:leader="none"/>
        </w:tabs>
        <w:rPr>
          <w:rFonts w:ascii="宋体" w:hAnsi="宋体"/>
          <w:bCs/>
          <w:color w:val="auto"/>
          <w:sz w:val="24"/>
          <w:highlight w:val="none"/>
        </w:rPr>
      </w:pPr>
      <w:r>
        <w:rPr>
          <w:rFonts w:hint="eastAsia" w:ascii="宋体" w:hAnsi="宋体"/>
          <w:bCs/>
          <w:color w:val="auto"/>
          <w:sz w:val="24"/>
          <w:highlight w:val="none"/>
        </w:rPr>
        <w:t xml:space="preserve">1、项目名称：常州市肿瘤医院合同能源管理服务项目</w:t>
      </w:r>
      <w:r/>
    </w:p>
    <w:p>
      <w:pPr>
        <w:contextualSpacing/>
        <w:ind w:left="-2" w:firstLine="480"/>
        <w:spacing w:line="360" w:lineRule="auto"/>
        <w:tabs>
          <w:tab w:val="left" w:pos="567" w:leader="none"/>
        </w:tabs>
        <w:rPr>
          <w:rFonts w:ascii="宋体" w:hAnsi="宋体"/>
          <w:bCs/>
          <w:color w:val="auto"/>
          <w:sz w:val="24"/>
          <w:highlight w:val="none"/>
        </w:rPr>
      </w:pPr>
      <w:r>
        <w:rPr>
          <w:rFonts w:hint="eastAsia" w:ascii="宋体" w:hAnsi="宋体"/>
          <w:bCs/>
          <w:color w:val="auto"/>
          <w:sz w:val="24"/>
          <w:highlight w:val="none"/>
        </w:rPr>
        <w:t xml:space="preserve">2、项目内容：鉴于医院当前现状，拟委托专业综合能源服务公司，采用能源费用托管型合同能源管理方式，利用国内外最新能源及信息技术发展成果，统筹推进常州市肿瘤医院实现能源利用高效化、清洁化、智能化、数字化。本次项目目标是通过实施包括技术、管理专业化能源一揽子解决方案，实现能源费用管控、综合能源逐步降低、机电运行安全提升。按照约定定期与中标人对合同期内的能源服务费用和后勤运维服务费用进行结算，并由中标人负责合同期内的节能改造和运维管理。</w:t>
      </w:r>
      <w:r/>
    </w:p>
    <w:p>
      <w:pPr>
        <w:contextualSpacing/>
        <w:ind w:left="-2" w:firstLine="480"/>
        <w:spacing w:line="360" w:lineRule="auto"/>
        <w:tabs>
          <w:tab w:val="left" w:pos="567" w:leader="none"/>
        </w:tabs>
        <w:rPr>
          <w:rFonts w:ascii="宋体" w:hAnsi="宋体" w:cs="仿宋"/>
          <w:color w:val="auto"/>
          <w:spacing w:val="-4"/>
          <w:sz w:val="24"/>
          <w:highlight w:val="none"/>
        </w:rPr>
      </w:pPr>
      <w:r>
        <w:rPr>
          <w:rFonts w:hint="eastAsia" w:ascii="宋体" w:hAnsi="宋体"/>
          <w:bCs/>
          <w:color w:val="auto"/>
          <w:sz w:val="24"/>
          <w:highlight w:val="none"/>
        </w:rPr>
        <w:t xml:space="preserve">3、本项目费用组成：</w:t>
      </w:r>
      <w:r>
        <w:rPr>
          <w:rFonts w:hint="eastAsia" w:ascii="宋体" w:hAnsi="宋体" w:cs="仿宋"/>
          <w:color w:val="auto"/>
          <w:spacing w:val="-4"/>
          <w:sz w:val="24"/>
          <w:highlight w:val="none"/>
        </w:rPr>
        <w:t xml:space="preserve">能源托管费用包含电费、水费、天然气费；后勤运维托管服务费用包含托管周期内医院后勤设备中央空调、冷却塔、热泵空调、锅炉房班组值守运维和维修，以及综合维修（水、电、木工等）运维及维保服务。</w:t>
      </w:r>
      <w:r/>
    </w:p>
    <w:p>
      <w:pPr>
        <w:contextualSpacing/>
        <w:ind w:left="-2" w:firstLine="464"/>
        <w:spacing w:line="360" w:lineRule="auto"/>
        <w:tabs>
          <w:tab w:val="left" w:pos="567" w:leader="none"/>
        </w:tabs>
        <w:rPr>
          <w:rFonts w:hint="eastAsia" w:ascii="宋体" w:hAnsi="宋体" w:cs="仿宋"/>
          <w:color w:val="auto"/>
          <w:spacing w:val="-4"/>
          <w:sz w:val="24"/>
          <w:highlight w:val="none"/>
        </w:rPr>
      </w:pPr>
      <w:r>
        <w:rPr>
          <w:rFonts w:hint="eastAsia" w:ascii="宋体" w:hAnsi="宋体" w:cs="仿宋"/>
          <w:color w:val="auto"/>
          <w:spacing w:val="-4"/>
          <w:sz w:val="24"/>
          <w:highlight w:val="none"/>
          <w:lang w:val="en-US" w:eastAsia="zh-CN"/>
        </w:rPr>
        <w:t xml:space="preserve">3.1 </w:t>
      </w:r>
      <w:r>
        <w:rPr>
          <w:rFonts w:hint="eastAsia" w:ascii="宋体" w:hAnsi="宋体" w:cs="仿宋"/>
          <w:color w:val="auto"/>
          <w:spacing w:val="-4"/>
          <w:sz w:val="24"/>
          <w:highlight w:val="none"/>
        </w:rPr>
        <w:t xml:space="preserve">能源托管费用报价不能超过</w:t>
      </w:r>
      <w:r>
        <w:rPr>
          <w:rFonts w:hint="eastAsia" w:ascii="宋体" w:hAnsi="宋体" w:cs="仿宋"/>
          <w:color w:val="auto"/>
          <w:spacing w:val="-4"/>
          <w:sz w:val="24"/>
          <w:highlight w:val="none"/>
          <w:lang w:val="en-US" w:eastAsia="zh-CN"/>
        </w:rPr>
        <w:t xml:space="preserve">9800万元（即每年980万元）；</w:t>
      </w:r>
      <w:r/>
    </w:p>
    <w:p>
      <w:pPr>
        <w:contextualSpacing/>
        <w:ind w:left="-2" w:firstLine="464"/>
        <w:spacing w:line="360" w:lineRule="auto"/>
        <w:tabs>
          <w:tab w:val="left" w:pos="567" w:leader="none"/>
        </w:tabs>
        <w:rPr>
          <w:rFonts w:hint="eastAsia" w:ascii="宋体" w:hAnsi="宋体" w:eastAsia="宋体" w:cs="仿宋"/>
          <w:color w:val="auto"/>
          <w:spacing w:val="-4"/>
          <w:sz w:val="24"/>
          <w:highlight w:val="none"/>
          <w:lang w:eastAsia="zh-CN"/>
        </w:rPr>
      </w:pPr>
      <w:r>
        <w:rPr>
          <w:rFonts w:hint="eastAsia" w:ascii="宋体" w:hAnsi="宋体" w:cs="仿宋"/>
          <w:color w:val="auto"/>
          <w:spacing w:val="-4"/>
          <w:sz w:val="24"/>
          <w:highlight w:val="none"/>
          <w:lang w:val="en-US" w:eastAsia="zh-CN"/>
        </w:rPr>
        <w:t xml:space="preserve">3.2 </w:t>
      </w:r>
      <w:r>
        <w:rPr>
          <w:rFonts w:hint="eastAsia" w:ascii="宋体" w:hAnsi="宋体" w:cs="仿宋"/>
          <w:color w:val="auto"/>
          <w:spacing w:val="-4"/>
          <w:sz w:val="24"/>
          <w:highlight w:val="none"/>
        </w:rPr>
        <w:t xml:space="preserve">后勤运维托管服务费用报价不超过</w:t>
      </w:r>
      <w:r>
        <w:rPr>
          <w:rFonts w:hint="eastAsia" w:ascii="宋体" w:hAnsi="宋体" w:cs="仿宋"/>
          <w:color w:val="auto"/>
          <w:spacing w:val="-4"/>
          <w:sz w:val="24"/>
          <w:highlight w:val="none"/>
          <w:lang w:val="en-US" w:eastAsia="zh-CN"/>
        </w:rPr>
        <w:t xml:space="preserve">1200万元</w:t>
      </w:r>
      <w:r>
        <w:rPr>
          <w:rFonts w:hint="eastAsia" w:ascii="宋体" w:hAnsi="宋体" w:cs="仿宋"/>
          <w:color w:val="auto"/>
          <w:spacing w:val="-4"/>
          <w:sz w:val="24"/>
          <w:highlight w:val="none"/>
        </w:rPr>
        <w:t xml:space="preserve">（即</w:t>
      </w:r>
      <w:r>
        <w:rPr>
          <w:rFonts w:hint="eastAsia" w:ascii="宋体" w:hAnsi="宋体" w:cs="仿宋"/>
          <w:color w:val="auto"/>
          <w:spacing w:val="-4"/>
          <w:sz w:val="24"/>
          <w:highlight w:val="none"/>
          <w:lang w:val="en-US" w:eastAsia="zh-CN"/>
        </w:rPr>
        <w:t xml:space="preserve">每年120 </w:t>
      </w:r>
      <w:r>
        <w:rPr>
          <w:rFonts w:hint="eastAsia" w:ascii="宋体" w:hAnsi="宋体" w:cs="仿宋"/>
          <w:color w:val="auto"/>
          <w:spacing w:val="-4"/>
          <w:sz w:val="24"/>
          <w:highlight w:val="none"/>
        </w:rPr>
        <w:t xml:space="preserve">万元）</w:t>
      </w:r>
      <w:r>
        <w:rPr>
          <w:rFonts w:hint="eastAsia" w:ascii="宋体" w:hAnsi="宋体" w:cs="仿宋"/>
          <w:color w:val="auto"/>
          <w:spacing w:val="-4"/>
          <w:sz w:val="24"/>
          <w:highlight w:val="none"/>
          <w:lang w:eastAsia="zh-CN"/>
        </w:rPr>
        <w:t xml:space="preserve">。</w:t>
      </w:r>
      <w:r/>
    </w:p>
    <w:p>
      <w:pPr>
        <w:contextualSpacing/>
        <w:ind w:left="-2" w:firstLine="480"/>
        <w:spacing w:line="360" w:lineRule="auto"/>
        <w:tabs>
          <w:tab w:val="left" w:pos="567" w:leader="none"/>
        </w:tabs>
        <w:rPr>
          <w:rFonts w:ascii="宋体" w:hAnsi="宋体"/>
          <w:bCs/>
          <w:color w:val="auto"/>
          <w:sz w:val="24"/>
          <w:highlight w:val="none"/>
        </w:rPr>
      </w:pPr>
      <w:r>
        <w:rPr>
          <w:rFonts w:hint="eastAsia" w:ascii="宋体" w:hAnsi="宋体"/>
          <w:bCs/>
          <w:color w:val="auto"/>
          <w:sz w:val="24"/>
          <w:highlight w:val="none"/>
        </w:rPr>
        <w:t xml:space="preserve">（二）本项目涉及的术语和定义</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1、合同能源管理：节能服务公司与公共机构以合同形式约定能源托管项目的实施内容，节能服务公司向公共机构提供必要的服务，公共机构以节能效益，节能服务费或能源托管费支付节能服务公司的投入及其合理利润的节能服务机制。</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2、能源费用托管型合同能源管理：合同能源管理的一种形式。由用能单位委托综合能源服务公司进行能源系统的运行、管理、维护或（和）节能改造。用能单位根据能源基准确定的能源系统运行、管理、维护和能源使用的费用作为托管费用。综合能源服务公司通过科学的管理运行和节能技术的应用达到节约能源，减少费用支出或增加收益，获取合理的利润。托管范围可包括：电、气、煤、油、市政热力、水等项目所发生的费用，能源系统的运行、管理、维护维修费用（含人工、消耗性材料、工具）。</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3、节能服务公司：提供用能状况诊断、节能项目设计、融资、改造（施工、设备安装、调试）、运行管理等服务的专业化公司。</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4、能源基准：用作比较能源绩效的定量参考依据，反映了特定时间段的能源利用状况，可采用建筑能源审计所确定的基准期内、项目边界内建筑或各用能设备（系统）的能源消耗量作为能源绩效参数，也可作为能源绩效改进措施实施前后的参照来计算节能量。</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5、能源托管费用基数：能源托管项目根据能源基准和项目服务范围确定的年度能源托管费用，可包括能源费用基数和运行管理及维护费用基数等。其中，能源费用基数是指公共机构在基准期所花费的能源费用；运行管理及维护费用基数是指根据能源托管范围中所包含的能源系统运行、管理、维护维修范围确定的年度费用。</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6、建设期：节能服务公司完成改造（施工、设备安装、调试）并通过用能单位验收的期限。</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7、能源托管期：指节能服务公司向用能单位提供能源托管服务，用能单位向综合能源服务公司支付能源托管费用的期限。</w:t>
      </w:r>
      <w:r/>
    </w:p>
    <w:p>
      <w:pPr>
        <w:contextualSpacing/>
        <w:ind w:left="-2" w:firstLine="480"/>
        <w:spacing w:line="360" w:lineRule="auto"/>
        <w:tabs>
          <w:tab w:val="left" w:pos="567" w:leader="none"/>
        </w:tabs>
        <w:rPr>
          <w:rFonts w:ascii="宋体" w:hAnsi="宋体"/>
          <w:bCs/>
          <w:color w:val="auto"/>
          <w:sz w:val="24"/>
          <w:highlight w:val="none"/>
        </w:rPr>
      </w:pPr>
      <w:r>
        <w:rPr>
          <w:rFonts w:ascii="宋体" w:hAnsi="宋体"/>
          <w:bCs/>
          <w:color w:val="auto"/>
          <w:sz w:val="24"/>
          <w:highlight w:val="none"/>
        </w:rPr>
        <w:t xml:space="preserve">8、节能设备：指本项目下所有由综合能源服务公司采购并安装的设备、设施、仪器和系统等财产。</w:t>
      </w:r>
      <w:r/>
    </w:p>
    <w:p>
      <w:pPr>
        <w:pStyle w:val="1280"/>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二、商务要求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（一）服务期限及服务地点</w:t>
      </w:r>
      <w:r/>
    </w:p>
    <w:p>
      <w:pPr>
        <w:contextualSpacing/>
        <w:ind w:left="-2" w:firstLine="480"/>
        <w:spacing w:line="360" w:lineRule="auto"/>
        <w:tabs>
          <w:tab w:val="left" w:pos="567" w:leader="none"/>
        </w:tabs>
        <w:rPr>
          <w:rFonts w:hint="eastAsia" w:ascii="宋体" w:hAnsi="宋体"/>
          <w:color w:val="auto"/>
          <w:sz w:val="24"/>
          <w:highlight w:val="none"/>
          <w:lang w:val="en-US" w:eastAsia="zh-CN"/>
        </w:rPr>
      </w:pPr>
      <w:r>
        <w:rPr>
          <w:rFonts w:hint="eastAsia" w:ascii="宋体" w:hAnsi="宋体"/>
          <w:color w:val="auto"/>
          <w:sz w:val="24"/>
          <w:highlight w:val="none"/>
        </w:rPr>
        <w:t xml:space="preserve">1.服务期限：</w:t>
      </w:r>
      <w:r/>
    </w:p>
    <w:p>
      <w:pPr>
        <w:contextualSpacing/>
        <w:ind w:left="-2" w:firstLine="480"/>
        <w:spacing w:line="360" w:lineRule="auto"/>
        <w:tabs>
          <w:tab w:val="left" w:pos="567" w:leader="none"/>
        </w:tabs>
        <w:rPr>
          <w:rFonts w:hint="eastAsia" w:ascii="宋体" w:hAnsi="宋体"/>
          <w:color w:val="auto"/>
          <w:sz w:val="24"/>
          <w:highlight w:val="none"/>
        </w:rPr>
      </w:pPr>
      <w:r>
        <w:rPr>
          <w:rFonts w:hint="eastAsia" w:ascii="宋体" w:hAnsi="宋体"/>
          <w:color w:val="auto"/>
          <w:sz w:val="24"/>
          <w:highlight w:val="none"/>
        </w:rPr>
        <w:t xml:space="preserve">平台部署及节能技改建设期</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自签订合同能源管理合同之日起不超过1年。</w:t>
      </w:r>
      <w:r/>
    </w:p>
    <w:p>
      <w:pPr>
        <w:contextualSpacing/>
        <w:ind w:left="-2" w:firstLine="480"/>
        <w:spacing w:line="360" w:lineRule="auto"/>
        <w:tabs>
          <w:tab w:val="left" w:pos="567"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能源管理期：10年，自平台部署及节能技改建设期完成并通过验收投入使用之日。</w:t>
      </w:r>
      <w:r/>
    </w:p>
    <w:p>
      <w:pPr>
        <w:contextualSpacing/>
        <w:ind w:left="-2" w:firstLine="480"/>
        <w:spacing w:line="360" w:lineRule="auto"/>
        <w:tabs>
          <w:tab w:val="left" w:pos="567" w:leader="none"/>
        </w:tabs>
        <w:rPr>
          <w:rFonts w:hint="eastAsia" w:ascii="宋体" w:hAnsi="宋体"/>
          <w:color w:val="auto"/>
          <w:sz w:val="24"/>
          <w:highlight w:val="none"/>
          <w:lang w:val="en-US" w:eastAsia="zh-CN"/>
        </w:rPr>
      </w:pPr>
      <w:r>
        <w:rPr>
          <w:rFonts w:hint="eastAsia" w:ascii="宋体" w:hAnsi="宋体"/>
          <w:color w:val="auto"/>
          <w:sz w:val="24"/>
          <w:highlight w:val="none"/>
        </w:rPr>
        <w:t xml:space="preserve">后勤运维托管服务</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10年，托管服务的起始时间不得早于2027年1月1日。在技改实施期间，甲方有权通知运维人员提前进场。（注：因提前进场所产生的相关费用由供应商自行承担。）</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2.服务地点：常州市肿瘤医院院区内</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（二）考核要求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1.医院每月对能源托管工作及后勤运维服务质量进行全面考核，考核分为4大项，具体详见《常州市肿瘤医院能源托管服务管理考核评分标准》。考核为百分制，考核结果与作为对服务单位工作质量的奖惩依据。</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2.考核结果应用（考核发生的扣款从次月应付款中扣除）：</w:t>
      </w:r>
      <w:r/>
    </w:p>
    <w:p>
      <w:pPr>
        <w:contextualSpacing/>
        <w:ind w:left="-2" w:firstLine="72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考核得分达到85分（含）以上的，全额拨付；</w:t>
      </w:r>
      <w:r/>
    </w:p>
    <w:p>
      <w:pPr>
        <w:contextualSpacing/>
        <w:ind w:left="-2" w:firstLine="72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考核得分在75分（含）-85分（不含）的，扣除服务费5000元；</w:t>
      </w:r>
      <w:r/>
    </w:p>
    <w:p>
      <w:pPr>
        <w:contextualSpacing/>
        <w:ind w:left="-2" w:firstLine="72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考核得分低于75分（不含）的，扣除服务费10000元，约谈中标方项目负责人，责令改进服务质量；</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3.监督小组采用每季度例会的方式与能源托管公司召开工作会，对管理服务好的方面给予肯定，对管理服务不到位及存在问题及时指出。</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4.中标人负责向采购人提供季度、半年度、全年度的能耗运行分析报告。依据分析报告结果制定相应的管理对策或改造方案，保障医院能源供应，降低能源消耗。</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5.在托管期内，中标人指派管理专员对整个系统的运行策略进行全日制管理， 每季度提供运行指导策略书，保证按照设定策略运行。</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6.中标人的项目管理，经国、省、市相关部门及业主检查、考核、通知整改后仍达不到服务要求的，采购人有权进行在扣考核分的基础上再次处罚。</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下列情况每次扣除1000-5000元：</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（1）被国、省、市相关部门通报的。</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（2）能源托管方人员内部矛盾影响公共秩序的。</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7.《常州市肿瘤医院能源托管服务管理考核评分标准》（进场后，采购人有权根据实际情况优化相应细则）</w:t>
      </w:r>
      <w:r/>
    </w:p>
    <w:tbl>
      <w:tblPr>
        <w:tblStyle w:val="10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4813"/>
        <w:gridCol w:w="2357"/>
      </w:tblGrid>
      <w:tr>
        <w:trPr>
          <w:jc w:val="center"/>
          <w:trHeight w:val="510"/>
        </w:trPr>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内容与标准</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评分办法</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restart"/>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能源管理（40分）</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实际能耗≤基准能耗</w:t>
            </w:r>
            <w:r>
              <w:rPr>
                <w:rFonts w:hint="eastAsia" w:ascii="宋体" w:hAnsi="宋体" w:cs="宋体"/>
                <w:color w:val="auto"/>
                <w:spacing w:val="1"/>
                <w:sz w:val="24"/>
                <w:highlight w:val="none"/>
                <w:shd w:val="clear" w:color="auto" w:fill="ffffff"/>
                <w:lang w:eastAsia="zh-CN"/>
              </w:rPr>
              <w:t xml:space="preserve">，</w:t>
            </w:r>
            <w:r>
              <w:rPr>
                <w:rFonts w:hint="eastAsia" w:ascii="宋体" w:hAnsi="宋体" w:cs="宋体"/>
                <w:color w:val="auto"/>
                <w:spacing w:val="1"/>
                <w:sz w:val="24"/>
                <w:highlight w:val="none"/>
                <w:shd w:val="clear" w:color="auto" w:fill="ffffff"/>
                <w:lang w:val="en-US" w:eastAsia="zh-CN"/>
              </w:rPr>
              <w:t xml:space="preserve">达到或优于合同要求节能比例（12%）的不扣分</w:t>
            </w:r>
            <w:r>
              <w:rPr>
                <w:rFonts w:hint="eastAsia" w:ascii="宋体" w:hAnsi="宋体" w:cs="宋体"/>
                <w:color w:val="auto"/>
                <w:spacing w:val="1"/>
                <w:sz w:val="24"/>
                <w:highlight w:val="none"/>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每超1%扣1分，扣完为止</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节能措施执行率，节能改造、优化运行等计划完成率≥95%得满分；</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每低5%扣2分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能源数据准确性，能源计量数据采集完整、准确，误差≤1%；</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每发现1次重大数据缺失/错误扣2分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能效分析报告质量，按时提交月度能效分析报告，内容含问题诊断、改进建议；</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缺报/敷衍每次扣2分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设备运维保障（20分）</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设备完好率，关键设备（空调、锅炉、水泵、配电等）完好率≥98%得满分；</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每降1%扣2分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故障响应时效，一般故障 ≤2小时响应，重大故障（影响医疗）≤30分钟；</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每超时1次扣1分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故障重复率，同类设备月度重复故障≤2次；</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每超1次扣1分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服务质量（20分）</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统一着装、持证上岗、文明服务</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1项不合格扣1分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工单闭环率，运维工单按时闭环率≥95%；</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每低5%扣2分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应急演练参与度</w:t>
            </w:r>
            <w:r>
              <w:rPr>
                <w:rFonts w:hint="eastAsia" w:ascii="宋体" w:hAnsi="宋体" w:cs="宋体"/>
                <w:color w:val="auto"/>
                <w:sz w:val="24"/>
                <w:highlight w:val="none"/>
              </w:rPr>
              <w:t xml:space="preserve">，</w:t>
            </w:r>
            <w:r>
              <w:rPr>
                <w:rFonts w:hint="eastAsia" w:ascii="宋体" w:hAnsi="宋体" w:cs="宋体"/>
                <w:color w:val="auto"/>
                <w:spacing w:val="1"/>
                <w:sz w:val="24"/>
                <w:highlight w:val="none"/>
                <w:shd w:val="clear" w:color="auto" w:fill="ffffff"/>
              </w:rPr>
              <w:t xml:space="preserve">按要求参与消防、停电等应急演练</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缺勤1次扣1分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安全与合规</w:t>
            </w:r>
            <w:r/>
          </w:p>
          <w:p>
            <w:pPr>
              <w:jc w:val="center"/>
              <w:rPr>
                <w:rFonts w:ascii="宋体" w:hAnsi="宋体" w:cs="宋体"/>
                <w:color w:val="auto"/>
                <w:sz w:val="24"/>
                <w:highlight w:val="none"/>
              </w:rPr>
            </w:pPr>
            <w:r>
              <w:rPr>
                <w:rFonts w:hint="eastAsia" w:ascii="宋体" w:hAnsi="宋体" w:cs="宋体"/>
                <w:color w:val="auto"/>
                <w:sz w:val="24"/>
                <w:highlight w:val="none"/>
              </w:rPr>
              <w:t xml:space="preserve">（20）  </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安全生产事故</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发生一般安全事故扣4分，重大安全事故扣8分</w:t>
            </w:r>
            <w:r/>
          </w:p>
        </w:tc>
      </w:tr>
      <w:tr>
        <w:trPr>
          <w:jc w:val="center"/>
          <w:trHeight w:val="510"/>
        </w:trPr>
        <w:tc>
          <w:tcPr>
            <w:tcBorders>
              <w:top w:val="none" w:color="000000" w:sz="4" w:space="0"/>
              <w:left w:val="single" w:color="auto" w:sz="4" w:space="0"/>
              <w:bottom w:val="single" w:color="auto" w:sz="4" w:space="0"/>
              <w:right w:val="single" w:color="auto" w:sz="4" w:space="0"/>
            </w:tcBorders>
            <w:tcW w:w="1355"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特种设备合规，锅炉、压力容器等年检合格率100%；</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rPr>
                <w:rFonts w:ascii="宋体" w:hAnsi="宋体" w:cs="宋体"/>
                <w:color w:val="auto"/>
                <w:sz w:val="24"/>
                <w:highlight w:val="none"/>
              </w:rPr>
            </w:pPr>
            <w:r>
              <w:rPr>
                <w:rFonts w:hint="eastAsia" w:ascii="宋体" w:hAnsi="宋体" w:cs="宋体"/>
                <w:color w:val="auto"/>
                <w:spacing w:val="1"/>
                <w:sz w:val="24"/>
                <w:highlight w:val="none"/>
                <w:shd w:val="clear" w:color="auto" w:fill="ffffff"/>
              </w:rPr>
              <w:t xml:space="preserve">1项未检或不合格扣3分</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（三）付款方式及费用调整</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1.能源托管基准（</w:t>
      </w:r>
      <w:r>
        <w:rPr>
          <w:rFonts w:hint="eastAsia" w:ascii="宋体" w:hAnsi="宋体" w:cs="仿宋"/>
          <w:bCs/>
          <w:color w:val="auto"/>
          <w:sz w:val="24"/>
          <w:highlight w:val="none"/>
        </w:rPr>
        <w:t xml:space="preserve">用作比较能源绩效的定量参考依据</w:t>
      </w:r>
      <w:r>
        <w:rPr>
          <w:rFonts w:hint="eastAsia" w:ascii="宋体" w:hAnsi="宋体"/>
          <w:color w:val="auto"/>
          <w:sz w:val="24"/>
          <w:highlight w:val="none"/>
        </w:rPr>
        <w:t xml:space="preserve">）</w:t>
      </w:r>
      <w:r/>
    </w:p>
    <w:tbl>
      <w:tblPr>
        <w:tblStyle w:val="104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9"/>
        <w:gridCol w:w="2029"/>
        <w:gridCol w:w="1965"/>
        <w:gridCol w:w="2012"/>
      </w:tblGrid>
      <w:tr>
        <w:trPr>
          <w:trHeight w:val="580"/>
        </w:trPr>
        <w:tc>
          <w:tcPr>
            <w:tcBorders>
              <w:top w:val="single" w:color="auto" w:sz="4" w:space="0"/>
              <w:left w:val="single" w:color="auto" w:sz="4" w:space="0"/>
              <w:bottom w:val="single" w:color="auto" w:sz="4" w:space="0"/>
              <w:right w:val="single" w:color="auto" w:sz="4" w:space="0"/>
            </w:tcBorders>
            <w:tcW w:w="1477" w:type="pct"/>
            <w:vAlign w:val="center"/>
            <w:vMerge w:val="restart"/>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托管周期</w:t>
            </w:r>
            <w:r/>
          </w:p>
        </w:tc>
        <w:tc>
          <w:tcPr>
            <w:gridSpan w:val="3"/>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能源基准</w:t>
            </w:r>
            <w:r/>
          </w:p>
        </w:tc>
      </w:tr>
      <w:tr>
        <w:trPr>
          <w:trHeight w:val="1139"/>
        </w:trPr>
        <w:tc>
          <w:tcPr>
            <w:tcBorders>
              <w:top w:val="single" w:color="auto" w:sz="4" w:space="0"/>
              <w:left w:val="single" w:color="auto" w:sz="4" w:space="0"/>
              <w:bottom w:val="single" w:color="auto" w:sz="4" w:space="0"/>
              <w:right w:val="single" w:color="auto" w:sz="4" w:space="0"/>
            </w:tcBorders>
            <w:tcW w:w="1477" w:type="pct"/>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年度</w:t>
            </w:r>
            <w:r>
              <w:rPr>
                <w:rFonts w:hint="eastAsia" w:ascii="宋体" w:hAnsi="宋体" w:cs="宋体"/>
                <w:color w:val="auto"/>
                <w:sz w:val="24"/>
                <w:highlight w:val="none"/>
              </w:rPr>
              <w:t xml:space="preserve">基准用电量</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（kWh）</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年度</w:t>
            </w:r>
            <w:r>
              <w:rPr>
                <w:rFonts w:hint="eastAsia" w:ascii="宋体" w:hAnsi="宋体" w:cs="宋体"/>
                <w:color w:val="auto"/>
                <w:sz w:val="24"/>
                <w:highlight w:val="none"/>
              </w:rPr>
              <w:t xml:space="preserve">基准用气量</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（m³）</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年度</w:t>
            </w:r>
            <w:r>
              <w:rPr>
                <w:rFonts w:hint="eastAsia" w:ascii="宋体" w:hAnsi="宋体" w:cs="宋体"/>
                <w:color w:val="auto"/>
                <w:sz w:val="24"/>
                <w:highlight w:val="none"/>
              </w:rPr>
              <w:t xml:space="preserve">基准用水量</w:t>
            </w:r>
            <w:r/>
          </w:p>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（t）</w:t>
            </w:r>
            <w:r/>
          </w:p>
        </w:tc>
      </w:tr>
      <w:tr>
        <w:trPr>
          <w:trHeight w:val="394"/>
        </w:trPr>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基准</w:t>
            </w:r>
            <w:r>
              <w:rPr>
                <w:rFonts w:hint="eastAsia" w:ascii="宋体" w:hAnsi="宋体" w:cs="宋体"/>
                <w:color w:val="auto"/>
                <w:sz w:val="24"/>
                <w:highlight w:val="none"/>
              </w:rPr>
              <w:t xml:space="preserve">期能源基准</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9375425</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726055</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146370</w:t>
            </w:r>
            <w:r/>
          </w:p>
        </w:tc>
      </w:tr>
    </w:tbl>
    <w:p>
      <w:pPr>
        <w:contextualSpacing/>
        <w:ind w:left="-2" w:firstLine="480"/>
        <w:spacing w:line="360" w:lineRule="auto"/>
        <w:tabs>
          <w:tab w:val="left" w:pos="567" w:leader="none"/>
        </w:tabs>
        <w:rPr>
          <w:rFonts w:ascii="宋体" w:hAnsi="宋体"/>
          <w:color w:val="auto"/>
          <w:sz w:val="24"/>
          <w:highlight w:val="none"/>
        </w:rPr>
      </w:pPr>
      <w:r>
        <w:rPr>
          <w:rFonts w:ascii="宋体" w:hAnsi="宋体"/>
          <w:color w:val="auto"/>
          <w:sz w:val="24"/>
          <w:highlight w:val="none"/>
        </w:rPr>
        <w:t xml:space="preserve">2.付款条件</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2.1 托管能源费用</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2.1.1付款进度：能源托管期内，采购人委托中标人进行能源系统的运行、管理、维护和节能改造，</w:t>
      </w:r>
      <w:r>
        <w:rPr>
          <w:rFonts w:hint="eastAsia" w:ascii="宋体" w:hAnsi="宋体" w:cs="仿宋"/>
          <w:color w:val="auto"/>
          <w:sz w:val="24"/>
          <w:highlight w:val="none"/>
        </w:rPr>
        <w:t xml:space="preserve">按</w:t>
      </w:r>
      <w:r>
        <w:rPr>
          <w:rFonts w:hint="eastAsia" w:ascii="宋体" w:hAnsi="宋体" w:cs="仿宋"/>
          <w:color w:val="auto"/>
          <w:sz w:val="24"/>
          <w:highlight w:val="none"/>
          <w:lang w:val="en-US" w:eastAsia="zh-CN"/>
        </w:rPr>
        <w:t xml:space="preserve">月</w:t>
      </w:r>
      <w:r>
        <w:rPr>
          <w:rFonts w:hint="eastAsia" w:ascii="宋体" w:hAnsi="宋体" w:cs="仿宋"/>
          <w:color w:val="auto"/>
          <w:sz w:val="24"/>
          <w:highlight w:val="none"/>
        </w:rPr>
        <w:t xml:space="preserve">度支付能源托管费用（</w:t>
      </w:r>
      <w:r>
        <w:rPr>
          <w:rFonts w:hint="eastAsia" w:ascii="宋体" w:hAnsi="宋体"/>
          <w:color w:val="auto"/>
          <w:sz w:val="24"/>
          <w:highlight w:val="none"/>
        </w:rPr>
        <w:t xml:space="preserve">每个周期的能源服务费金额=</w:t>
      </w:r>
      <w:r>
        <w:rPr>
          <w:rFonts w:hint="eastAsia" w:ascii="宋体" w:hAnsi="宋体"/>
          <w:color w:val="auto"/>
          <w:sz w:val="24"/>
          <w:highlight w:val="none"/>
          <w:lang w:val="en-US" w:eastAsia="zh-CN"/>
        </w:rPr>
        <w:t xml:space="preserve">当年度</w:t>
      </w:r>
      <w:r>
        <w:rPr>
          <w:rFonts w:hint="eastAsia" w:ascii="宋体" w:hAnsi="宋体" w:cs="仿宋"/>
          <w:color w:val="auto"/>
          <w:sz w:val="24"/>
          <w:highlight w:val="none"/>
        </w:rPr>
        <w:t xml:space="preserve">托管能源</w:t>
      </w:r>
      <w:r>
        <w:rPr>
          <w:rFonts w:hint="eastAsia" w:ascii="宋体" w:hAnsi="宋体"/>
          <w:color w:val="auto"/>
          <w:sz w:val="24"/>
          <w:highlight w:val="none"/>
        </w:rPr>
        <w:t xml:space="preserve">费÷</w:t>
      </w:r>
      <w:r>
        <w:rPr>
          <w:rFonts w:hint="eastAsia" w:ascii="宋体" w:hAnsi="宋体"/>
          <w:color w:val="auto"/>
          <w:sz w:val="24"/>
          <w:highlight w:val="none"/>
          <w:lang w:val="en-US" w:eastAsia="zh-CN"/>
        </w:rPr>
        <w:t xml:space="preserve">12</w:t>
      </w:r>
      <w:r>
        <w:rPr>
          <w:rFonts w:hint="eastAsia" w:ascii="宋体" w:hAnsi="宋体" w:cs="仿宋"/>
          <w:color w:val="auto"/>
          <w:sz w:val="24"/>
          <w:highlight w:val="none"/>
        </w:rPr>
        <w:t xml:space="preserve">），托管期内产生的电费、燃气费、水费由中标人承担。</w:t>
      </w:r>
      <w:r>
        <w:rPr>
          <w:rFonts w:hint="eastAsia" w:ascii="宋体" w:hAnsi="宋体" w:cs="仿宋"/>
          <w:color w:val="auto"/>
          <w:sz w:val="24"/>
          <w:highlight w:val="none"/>
        </w:rPr>
        <w:t xml:space="preserve">采购人收到中标人开具增值税专用发票后15天内支付能源托管费用。</w:t>
      </w:r>
      <w:r/>
    </w:p>
    <w:p>
      <w:pPr>
        <w:ind w:firstLine="480"/>
        <w:spacing w:line="360" w:lineRule="exact"/>
        <w:rPr>
          <w:rFonts w:ascii="宋体" w:hAnsi="宋体" w:cs="仿宋"/>
          <w:strike w:val="0"/>
          <w:color w:val="auto"/>
          <w:sz w:val="24"/>
          <w:highlight w:val="none"/>
        </w:rPr>
      </w:pPr>
      <w:r>
        <w:rPr>
          <w:rFonts w:hint="eastAsia" w:ascii="宋体" w:hAnsi="宋体" w:cs="仿宋"/>
          <w:strike w:val="0"/>
          <w:color w:val="auto"/>
          <w:sz w:val="24"/>
          <w:highlight w:val="none"/>
        </w:rPr>
        <w:t xml:space="preserve">2.1.2</w:t>
      </w:r>
      <w:r>
        <w:rPr>
          <w:rFonts w:hint="eastAsia" w:ascii="宋体" w:hAnsi="宋体" w:cs="仿宋"/>
          <w:strike w:val="0"/>
          <w:color w:val="auto"/>
          <w:sz w:val="24"/>
          <w:highlight w:val="none"/>
          <w:lang w:val="en-US" w:eastAsia="zh-CN"/>
        </w:rPr>
        <w:t xml:space="preserve"> </w:t>
      </w:r>
      <w:r>
        <w:rPr>
          <w:rFonts w:hint="eastAsia" w:ascii="宋体" w:hAnsi="宋体" w:cs="仿宋"/>
          <w:strike w:val="0"/>
          <w:color w:val="auto"/>
          <w:sz w:val="24"/>
          <w:highlight w:val="none"/>
        </w:rPr>
        <w:t xml:space="preserve">能源基准单价如下：</w:t>
      </w:r>
      <w:r/>
    </w:p>
    <w:p>
      <w:pPr>
        <w:ind w:firstLine="480"/>
        <w:spacing w:line="360" w:lineRule="exact"/>
        <w:rPr>
          <w:rFonts w:ascii="宋体" w:hAnsi="宋体" w:cs="仿宋"/>
          <w:strike w:val="0"/>
          <w:color w:val="auto"/>
          <w:sz w:val="24"/>
          <w:highlight w:val="none"/>
        </w:rPr>
      </w:pPr>
      <w:r>
        <w:rPr>
          <w:rFonts w:hint="eastAsia" w:ascii="宋体" w:hAnsi="宋体" w:cs="仿宋"/>
          <w:strike w:val="0"/>
          <w:color w:val="auto"/>
          <w:sz w:val="24"/>
          <w:highlight w:val="none"/>
        </w:rPr>
        <w:t xml:space="preserve">（1）电单价：0.7元/kWh；</w:t>
      </w:r>
      <w:r/>
    </w:p>
    <w:p>
      <w:pPr>
        <w:ind w:firstLine="480"/>
        <w:spacing w:line="360" w:lineRule="exact"/>
        <w:rPr>
          <w:rFonts w:ascii="宋体" w:hAnsi="宋体" w:cs="仿宋"/>
          <w:strike w:val="0"/>
          <w:color w:val="auto"/>
          <w:sz w:val="24"/>
          <w:highlight w:val="none"/>
        </w:rPr>
      </w:pPr>
      <w:r>
        <w:rPr>
          <w:rFonts w:hint="eastAsia" w:ascii="宋体" w:hAnsi="宋体" w:cs="仿宋"/>
          <w:strike w:val="0"/>
          <w:color w:val="auto"/>
          <w:sz w:val="24"/>
          <w:highlight w:val="none"/>
        </w:rPr>
        <w:t xml:space="preserve">（2）水单价：3.93元/t；</w:t>
      </w:r>
      <w:r/>
    </w:p>
    <w:p>
      <w:pPr>
        <w:ind w:firstLine="480"/>
        <w:spacing w:line="360" w:lineRule="exact"/>
        <w:rPr>
          <w:rFonts w:ascii="宋体" w:hAnsi="宋体" w:cs="仿宋"/>
          <w:strike w:val="0"/>
          <w:color w:val="auto"/>
          <w:sz w:val="24"/>
          <w:highlight w:val="none"/>
        </w:rPr>
      </w:pPr>
      <w:r>
        <w:rPr>
          <w:rFonts w:hint="eastAsia" w:ascii="宋体" w:hAnsi="宋体" w:cs="仿宋"/>
          <w:strike w:val="0"/>
          <w:color w:val="auto"/>
          <w:sz w:val="24"/>
          <w:highlight w:val="none"/>
        </w:rPr>
        <w:t xml:space="preserve">（3）天然气单价：4.</w:t>
      </w:r>
      <w:r>
        <w:rPr>
          <w:rFonts w:hint="eastAsia" w:ascii="宋体" w:hAnsi="宋体" w:cs="仿宋"/>
          <w:strike w:val="0"/>
          <w:color w:val="auto"/>
          <w:sz w:val="24"/>
          <w:highlight w:val="none"/>
          <w:lang w:val="en-US" w:eastAsia="zh-CN"/>
        </w:rPr>
        <w:t xml:space="preserve">11</w:t>
      </w:r>
      <w:r>
        <w:rPr>
          <w:rFonts w:hint="eastAsia" w:ascii="宋体" w:hAnsi="宋体" w:cs="仿宋"/>
          <w:strike w:val="0"/>
          <w:color w:val="auto"/>
          <w:sz w:val="24"/>
          <w:highlight w:val="none"/>
        </w:rPr>
        <w:t xml:space="preserve">元/m³。</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2.2  托管运维服务费用：按</w:t>
      </w:r>
      <w:r>
        <w:rPr>
          <w:rFonts w:hint="eastAsia" w:ascii="宋体" w:hAnsi="宋体" w:cs="仿宋"/>
          <w:color w:val="auto"/>
          <w:sz w:val="24"/>
          <w:highlight w:val="none"/>
          <w:lang w:val="en-US" w:eastAsia="zh-CN"/>
        </w:rPr>
        <w:t xml:space="preserve">月</w:t>
      </w:r>
      <w:r>
        <w:rPr>
          <w:rFonts w:hint="eastAsia" w:ascii="宋体" w:hAnsi="宋体" w:cs="仿宋"/>
          <w:color w:val="auto"/>
          <w:sz w:val="24"/>
          <w:highlight w:val="none"/>
        </w:rPr>
        <w:t xml:space="preserve">支付，采购人根据考核结果支付托管运维服务费用（</w:t>
      </w:r>
      <w:r>
        <w:rPr>
          <w:rFonts w:hint="eastAsia" w:ascii="宋体" w:hAnsi="宋体"/>
          <w:color w:val="auto"/>
          <w:sz w:val="24"/>
          <w:highlight w:val="none"/>
        </w:rPr>
        <w:t xml:space="preserve">每个周期的</w:t>
      </w:r>
      <w:r>
        <w:rPr>
          <w:rFonts w:hint="eastAsia" w:ascii="宋体" w:hAnsi="宋体" w:cs="仿宋"/>
          <w:color w:val="auto"/>
          <w:sz w:val="24"/>
          <w:highlight w:val="none"/>
        </w:rPr>
        <w:t xml:space="preserve">运维</w:t>
      </w:r>
      <w:r>
        <w:rPr>
          <w:rFonts w:hint="eastAsia" w:ascii="宋体" w:hAnsi="宋体"/>
          <w:color w:val="auto"/>
          <w:sz w:val="24"/>
          <w:highlight w:val="none"/>
        </w:rPr>
        <w:t xml:space="preserve">服务费金额=10年</w:t>
      </w:r>
      <w:r>
        <w:rPr>
          <w:rFonts w:hint="eastAsia" w:ascii="宋体" w:hAnsi="宋体" w:cs="仿宋"/>
          <w:color w:val="auto"/>
          <w:sz w:val="24"/>
          <w:highlight w:val="none"/>
        </w:rPr>
        <w:t xml:space="preserve">托管运维服务</w:t>
      </w:r>
      <w:r>
        <w:rPr>
          <w:rFonts w:hint="eastAsia" w:ascii="宋体" w:hAnsi="宋体"/>
          <w:color w:val="auto"/>
          <w:sz w:val="24"/>
          <w:highlight w:val="none"/>
        </w:rPr>
        <w:t xml:space="preserve">费÷10÷</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-考核扣款</w:t>
      </w:r>
      <w:r>
        <w:rPr>
          <w:rFonts w:hint="eastAsia" w:ascii="宋体" w:hAnsi="宋体" w:cs="仿宋"/>
          <w:color w:val="auto"/>
          <w:sz w:val="24"/>
          <w:highlight w:val="none"/>
        </w:rPr>
        <w:t xml:space="preserve">）。甲方收到乙方开具增值税专用发票后15天内支付能源托管费用</w:t>
      </w:r>
      <w:r>
        <w:rPr>
          <w:rFonts w:hint="eastAsia" w:ascii="宋体" w:hAnsi="宋体"/>
          <w:bCs/>
          <w:color w:val="auto"/>
          <w:sz w:val="24"/>
          <w:highlight w:val="none"/>
        </w:rPr>
        <w:t xml:space="preserve">。</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如建设期需中标单位提前进场提供运维服务，运维服务费用由中标人与采购人另行商议。</w:t>
      </w:r>
      <w:r/>
    </w:p>
    <w:p>
      <w:pPr>
        <w:numPr>
          <w:ilvl w:val="0"/>
          <w:numId w:val="7"/>
        </w:num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费用调整机制</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3.1 托管运维服务费用调整</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如建设期需中标单位提前进场提供运维服务，运维服务费用由中标人与采购人另行商议。</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3.2 托管能源费用调整</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（1）自能源审计报告出具后至合同签约前，若本项目触发以下边界调整规则，中标供应商有权与采购人协商形成《托管边界费用调整报告》作为合同附件，同时在此期间内中标供应商有权延迟进场。</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（2）从合同签约之日起至进入托管期前，若本项目触发以下边界调整规则，由双方协商签订托管边界费用调整补充协议，签订补充协议后且改造验收合格后进入项目托管期，在此期间任意一方不承担违约责任。</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3.3 费用边界调整规则</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3.3.1 建筑用能面积变化调整规则</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（1）原有托管建筑用能区域调整</w:t>
      </w:r>
      <w:r/>
    </w:p>
    <w:p>
      <w:pPr>
        <w:ind w:firstLine="480"/>
        <w:spacing w:line="360" w:lineRule="exact"/>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托管期内医院托管建筑用能区域发生</w:t>
      </w:r>
      <w:r>
        <w:rPr>
          <w:rFonts w:hint="eastAsia" w:ascii="宋体" w:hAnsi="宋体" w:cs="仿宋"/>
          <w:color w:val="auto"/>
          <w:sz w:val="24"/>
          <w:highlight w:val="none"/>
        </w:rPr>
        <w:t xml:space="preserve">新增/减少、重新启用/闲置、区域用途变化时，应安装智能表计进行独立计量，并根据该楼栋目前实际使用面积的能源单耗进行边界调整费用核算。假定目前实际投用面积为A，各月用电量为B1、B2、……、B12，则对应能源单耗为B1/A、B2/A、……，B12/A。如果大楼内功能区域重新使用或闲置的面积为ΔC，则该区域每月调整能源用量为对应月的能源单耗乘以ΔC。如果大楼内功能区域的用途变化，则根据能源单耗变化和调整面积计算调整用量。若已有大楼无实际用能数据，可以基于第三方机构出具审计报告为依据，以全院单位面积能耗进行计算。</w:t>
      </w:r>
      <w:r>
        <w:rPr>
          <w:rFonts w:hint="eastAsia" w:ascii="宋体" w:hAnsi="宋体" w:cs="仿宋"/>
          <w:color w:val="auto"/>
          <w:sz w:val="24"/>
          <w:highlight w:val="none"/>
          <w:lang w:eastAsia="zh-CN"/>
        </w:rPr>
        <w:t xml:space="preserve">此部分每季度一次性结算，多退少补。</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（2）大楼新建或拆除的情况</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对于新建大楼，在新建大楼用能趋于稳定之前安装智能表计据实结算，实报实销，用能稳定后由采购人和中标供应商双方协商纳入托管范围内。对于大楼拆除，在大楼拆除前安装智能表计，拆除后根据计量数值退减托管费用。</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3.3.2 用能设备及器具变化调整规则</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托管期内如用电/用气/用水设备或器具发生调整（包括但不限于增加、减少、使用状态或时长变化）,采购人设备采购科室应于设备到场后5个工作日内书面告知中标供应商，中标供应商协助采购人完善用能设备台账。当添加或减少的用电设备累计铭牌功率≥3kW，用气设备累计额定燃气消耗量≥3m³/h，用水设备累计额定用水量≥500kg时，对能源托管用量进行调整。调整计算如下：</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当具备条件安装表计进行独立计量的用能设备，由中标供应商在采购人指导下加装计量表计，按照实际用量进行调整。</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当不具备条件安装表计进行独立计量的用能设备，调整费用=增减设备总铭牌额定功率×月运行时长（小时）×当月实际能源单价。</w:t>
      </w:r>
      <w:r/>
    </w:p>
    <w:p>
      <w:pPr>
        <w:ind w:firstLine="480"/>
        <w:spacing w:line="360" w:lineRule="exact"/>
        <w:rPr>
          <w:rFonts w:hint="eastAsia" w:ascii="宋体" w:hAnsi="宋体" w:eastAsia="宋体" w:cs="仿宋"/>
          <w:color w:val="auto"/>
          <w:sz w:val="24"/>
          <w:highlight w:val="none"/>
          <w:lang w:eastAsia="zh-CN"/>
        </w:rPr>
      </w:pPr>
      <w:r>
        <w:rPr>
          <w:rFonts w:hint="eastAsia" w:ascii="宋体" w:hAnsi="宋体" w:cs="仿宋"/>
          <w:color w:val="auto"/>
          <w:sz w:val="24"/>
          <w:highlight w:val="none"/>
          <w:lang w:eastAsia="zh-CN"/>
        </w:rPr>
        <w:t xml:space="preserve">此部分每季度一次性结算，多退少补。</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3.3.3 医院供能变化调整规则</w:t>
      </w:r>
      <w:r/>
    </w:p>
    <w:p>
      <w:pPr>
        <w:ind w:firstLine="480"/>
        <w:spacing w:line="360" w:lineRule="exact"/>
        <w:rPr>
          <w:rFonts w:ascii="宋体" w:hAnsi="宋体" w:cs="仿宋"/>
          <w:b w:val="0"/>
          <w:bCs w:val="0"/>
          <w:color w:val="auto"/>
          <w:sz w:val="24"/>
          <w:highlight w:val="none"/>
        </w:rPr>
      </w:pPr>
      <w:r>
        <w:rPr>
          <w:rFonts w:hint="eastAsia" w:ascii="宋体" w:hAnsi="宋体" w:cs="仿宋"/>
          <w:color w:val="auto"/>
          <w:sz w:val="24"/>
          <w:highlight w:val="none"/>
        </w:rPr>
        <w:t xml:space="preserve">（1）</w:t>
      </w:r>
      <w:r>
        <w:rPr>
          <w:rFonts w:hint="eastAsia" w:ascii="宋体" w:hAnsi="宋体" w:cs="仿宋"/>
          <w:b w:val="0"/>
          <w:bCs w:val="0"/>
          <w:color w:val="auto"/>
          <w:sz w:val="24"/>
          <w:highlight w:val="none"/>
        </w:rPr>
        <w:t xml:space="preserve">医院供冷/供暖变化调整规则</w:t>
      </w:r>
      <w:r/>
    </w:p>
    <w:p>
      <w:pPr>
        <w:ind w:firstLine="480"/>
        <w:spacing w:line="360" w:lineRule="exact"/>
        <w:rPr>
          <w:rFonts w:ascii="宋体" w:hAnsi="宋体" w:cs="仿宋"/>
          <w:color w:val="auto"/>
          <w:sz w:val="24"/>
          <w:highlight w:val="none"/>
        </w:rPr>
      </w:pPr>
      <w:r>
        <w:rPr>
          <w:rFonts w:hint="eastAsia" w:ascii="宋体" w:hAnsi="宋体" w:cs="仿宋"/>
          <w:b w:val="0"/>
          <w:bCs w:val="0"/>
          <w:color w:val="auto"/>
          <w:sz w:val="24"/>
          <w:highlight w:val="none"/>
        </w:rPr>
        <w:t xml:space="preserve">在托管期内每个供冷季/供暖季，由中标供应商向医院</w:t>
      </w:r>
      <w:r>
        <w:rPr>
          <w:rFonts w:hint="eastAsia" w:ascii="宋体" w:hAnsi="宋体" w:cs="仿宋"/>
          <w:b w:val="0"/>
          <w:bCs w:val="0"/>
          <w:color w:val="auto"/>
          <w:sz w:val="24"/>
          <w:highlight w:val="none"/>
          <w:lang w:eastAsia="zh-CN"/>
        </w:rPr>
        <w:t xml:space="preserve">主管部门</w:t>
      </w:r>
      <w:r>
        <w:rPr>
          <w:rFonts w:hint="eastAsia" w:ascii="宋体" w:hAnsi="宋体" w:cs="仿宋"/>
          <w:b w:val="0"/>
          <w:bCs w:val="0"/>
          <w:color w:val="auto"/>
          <w:sz w:val="24"/>
          <w:highlight w:val="none"/>
        </w:rPr>
        <w:t xml:space="preserve">提交《供冷季/供暖季开始确认函》，供冷/供暖开始日期记为A供冷/A供暖。中标供应商按照“能源供应及服务标准”进行供冷/供暖，供冷/供暖结束日期记为B供冷/B供暖。在供冷/供暖季结束日期前的5个工作日内，由中标供应商向医院</w:t>
      </w:r>
      <w:r>
        <w:rPr>
          <w:rFonts w:hint="eastAsia" w:ascii="宋体" w:hAnsi="宋体" w:cs="仿宋"/>
          <w:b w:val="0"/>
          <w:bCs w:val="0"/>
          <w:color w:val="auto"/>
          <w:sz w:val="24"/>
          <w:highlight w:val="none"/>
          <w:lang w:eastAsia="zh-CN"/>
        </w:rPr>
        <w:t xml:space="preserve">主管部门</w:t>
      </w:r>
      <w:r>
        <w:rPr>
          <w:rFonts w:hint="eastAsia" w:ascii="宋体" w:hAnsi="宋体" w:cs="仿宋"/>
          <w:b w:val="0"/>
          <w:bCs w:val="0"/>
          <w:color w:val="auto"/>
          <w:sz w:val="24"/>
          <w:highlight w:val="none"/>
        </w:rPr>
        <w:t xml:space="preserve">提供《供冷/供暖季结束确认函》，如医院同意结束供冷/供暖，即在供冷/供暖季结束日期B供冷/B供暖时停止供冷/供暖；如医院要求延长供冷/供暖，则双方签订《供冷/供暖季延长确认函》，当医院决定停止供冷/供暖时，双方签订《供冷/供暖季延长结束确认函》，停止供冷/供暖日期记为C供冷/C</w:t>
      </w:r>
      <w:r>
        <w:rPr>
          <w:rFonts w:hint="eastAsia" w:ascii="宋体" w:hAnsi="宋体" w:cs="仿宋"/>
          <w:color w:val="auto"/>
          <w:sz w:val="24"/>
          <w:highlight w:val="none"/>
        </w:rPr>
        <w:t xml:space="preserve">供暖。</w:t>
      </w:r>
      <w:r/>
    </w:p>
    <w:p>
      <w:pPr>
        <w:pStyle w:val="1047"/>
        <w:ind w:firstLine="480"/>
        <w:rPr>
          <w:rFonts w:hint="default" w:eastAsia="宋体"/>
          <w:color w:val="auto"/>
          <w:sz w:val="24"/>
          <w:szCs w:val="24"/>
          <w:highlight w:val="none"/>
          <w:lang w:val="en-US" w:eastAsia="zh-CN"/>
        </w:rPr>
      </w:pPr>
      <w:r>
        <w:rPr>
          <w:rFonts w:hint="eastAsia" w:ascii="宋体" w:hAnsi="宋体" w:cs="仿宋"/>
          <w:color w:val="auto"/>
          <w:sz w:val="24"/>
          <w:highlight w:val="none"/>
        </w:rPr>
        <w:t xml:space="preserve">托管期内如医院供冷或供暖时间发生变化，具备表计进行独立计量的设备，在约定的时间节点（A供冷/A供暖、B供冷/B供暖、C供冷/C供暖）采集用能数据；不具备条件安装表计进行独立计量的设备，由医院与中标供应商双方协商并书面确认其运行时间，通过【铭牌额定或者实际用电量×运行时间】方式计算。延长供冷调整费用=延长供冷能耗用量*延长供冷当月的能耗实际单价，延长供暖调整费用=延长供暖能耗用量*延长供暖当月的能耗实际单价。双方于每个制冷季/供暖季结束后的10个工作日内结算边界调整费用。</w:t>
      </w:r>
      <w:r>
        <w:rPr>
          <w:rFonts w:hint="eastAsia"/>
          <w:color w:val="auto"/>
          <w:sz w:val="24"/>
          <w:szCs w:val="24"/>
          <w:highlight w:val="none"/>
          <w:lang w:val="en-US" w:eastAsia="zh-CN"/>
        </w:rPr>
        <w:t xml:space="preserve">满足医院医疗设备正常运行的供冷或供暖设备的能耗不做单独计量。</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（2）医院生活热水供应变化调整规则</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托管期内如医院生活热水供应时长相较“能源供应及服务标准”发生变化，具备表计进行独立计量的设备在开启时间采集用能数据，不具备条件安装表计进行独立计量的设备，由医院与中标供应商双方协商并书面确认其运行时间，通过【铭牌额定或者实际用电量×运行时间】方式计算。调整费用=(月实际供应小时数-月标准供应小时数)*月生活热水用能量/月实际供应小时数*月实际能源单价。</w:t>
      </w:r>
      <w:r>
        <w:rPr>
          <w:rFonts w:hint="eastAsia" w:ascii="宋体" w:hAnsi="宋体" w:cs="仿宋"/>
          <w:color w:val="auto"/>
          <w:sz w:val="24"/>
          <w:highlight w:val="none"/>
          <w:lang w:eastAsia="zh-CN"/>
        </w:rPr>
        <w:t xml:space="preserve">此部分每季度一次性结算，多退少补。</w:t>
      </w:r>
      <w:r>
        <w:rPr>
          <w:rFonts w:hint="eastAsia" w:ascii="宋体" w:hAnsi="宋体" w:cs="仿宋"/>
          <w:color w:val="auto"/>
          <w:sz w:val="24"/>
          <w:highlight w:val="none"/>
        </w:rPr>
        <w:t xml:space="preserve">。</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（3）医院蒸汽供应变化调整规则</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托管期内如医院蒸汽供应时长相较“能源供应及服务标准”发生变化，则调整费用=(月度实际供应小时数-月度标准供应小时数)*月度蒸汽用能量/月度实际蒸汽供应小时数。</w:t>
      </w:r>
      <w:r>
        <w:rPr>
          <w:rFonts w:hint="eastAsia" w:ascii="宋体" w:hAnsi="宋体" w:cs="仿宋"/>
          <w:color w:val="auto"/>
          <w:sz w:val="24"/>
          <w:highlight w:val="none"/>
          <w:lang w:eastAsia="zh-CN"/>
        </w:rPr>
        <w:t xml:space="preserve">此部分每季度一次性结算，多退少补。</w:t>
      </w:r>
      <w:r>
        <w:rPr>
          <w:rFonts w:hint="eastAsia" w:ascii="宋体" w:hAnsi="宋体" w:cs="仿宋"/>
          <w:color w:val="auto"/>
          <w:sz w:val="24"/>
          <w:highlight w:val="none"/>
        </w:rPr>
        <w:t xml:space="preserve">。</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3.3.4 工程施工用能调整规则</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本项目托管期内如发生工程施工作业用能（包括但不限于新建建筑、既有业务楼栋/区域翻新、装修和改扩建等），用能调整方式如下：</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（1）如工程施工作业用能独立开户（未计入本合同第2.2条约定的托管能源计量户号中），由采购人或第三方自行缴纳能源费用，则不产生合同费用调整。</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如工程施工作业用能未独立开户，第三方使用本合同第2.2条约定的托管能源计量户号中相关能源，则由中标供应商对第三方施工用能进行挂表计量，按实际计量的能源消耗量进行调整并核算费用，相关能源费用由采购人于次月15号前另行支付给中标供应商，调整费用=调整用量*当月能耗实际单价。</w:t>
      </w:r>
      <w:r>
        <w:rPr>
          <w:rFonts w:hint="eastAsia" w:ascii="宋体" w:hAnsi="宋体" w:cs="仿宋"/>
          <w:color w:val="auto"/>
          <w:sz w:val="24"/>
          <w:highlight w:val="none"/>
          <w:lang w:eastAsia="zh-CN"/>
        </w:rPr>
        <w:t xml:space="preserve">此部分每季度一次性结算，多退少补。</w:t>
      </w:r>
      <w:r>
        <w:rPr>
          <w:rFonts w:hint="eastAsia" w:ascii="宋体" w:hAnsi="宋体" w:cs="仿宋"/>
          <w:color w:val="auto"/>
          <w:sz w:val="24"/>
          <w:highlight w:val="none"/>
        </w:rPr>
        <w:t xml:space="preserve">。</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3.4.</w:t>
      </w:r>
      <w:r>
        <w:rPr>
          <w:rFonts w:hint="eastAsia" w:ascii="宋体" w:hAnsi="宋体" w:cs="仿宋"/>
          <w:color w:val="auto"/>
          <w:sz w:val="24"/>
          <w:highlight w:val="none"/>
          <w:lang w:val="en-US" w:eastAsia="zh-CN"/>
        </w:rPr>
        <w:t xml:space="preserve">5</w:t>
      </w:r>
      <w:r>
        <w:rPr>
          <w:rFonts w:hint="eastAsia" w:ascii="宋体" w:hAnsi="宋体" w:cs="仿宋"/>
          <w:color w:val="auto"/>
          <w:sz w:val="24"/>
          <w:highlight w:val="none"/>
        </w:rPr>
        <w:t xml:space="preserve"> 其他情况下的调整规则</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在托管期内，如有发生以下情况的，双方需根据实际情况对托管基准进行调整：</w:t>
      </w:r>
      <w:r/>
    </w:p>
    <w:p>
      <w:pPr>
        <w:ind w:firstLine="480"/>
        <w:spacing w:line="360" w:lineRule="exact"/>
        <w:rPr>
          <w:rFonts w:hint="eastAsia" w:ascii="宋体" w:hAnsi="宋体"/>
          <w:color w:val="auto"/>
          <w:sz w:val="24"/>
          <w:highlight w:val="none"/>
        </w:rPr>
      </w:pPr>
      <w:r>
        <w:rPr>
          <w:rFonts w:hint="eastAsia" w:ascii="宋体" w:hAnsi="宋体" w:cs="仿宋"/>
          <w:color w:val="auto"/>
          <w:sz w:val="24"/>
          <w:highlight w:val="none"/>
        </w:rPr>
        <w:t xml:space="preserve">（1）医院综合业务量发生较大变化，</w:t>
      </w:r>
      <w:r>
        <w:rPr>
          <w:rFonts w:hint="eastAsia" w:ascii="宋体" w:hAnsi="宋体"/>
          <w:color w:val="auto"/>
          <w:sz w:val="24"/>
          <w:highlight w:val="none"/>
        </w:rPr>
        <w:t xml:space="preserve">就诊量变化：门急诊量变化不调整；以202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年度床日数作为基准（202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年实际</w:t>
      </w:r>
      <w:r>
        <w:rPr>
          <w:rFonts w:hint="eastAsia" w:ascii="宋体" w:hAnsi="宋体"/>
          <w:color w:val="auto"/>
          <w:sz w:val="24"/>
          <w:highlight w:val="none"/>
          <w:lang w:eastAsia="zh-CN"/>
        </w:rPr>
        <w:t xml:space="preserve">占用床日数为</w:t>
      </w:r>
      <w:r>
        <w:rPr>
          <w:rFonts w:hint="eastAsia" w:ascii="宋体" w:hAnsi="宋体"/>
          <w:b/>
          <w:bCs/>
          <w:color w:val="auto"/>
          <w:sz w:val="24"/>
          <w:highlight w:val="none"/>
          <w:lang w:val="en-US" w:eastAsia="zh-CN"/>
        </w:rPr>
        <w:t xml:space="preserve">220973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若托管期内年度实际占用床日数变化幅度超过2%，双方对能源费用进行调整。</w:t>
      </w:r>
      <w:r>
        <w:rPr>
          <w:rFonts w:hint="eastAsia" w:ascii="宋体" w:hAnsi="宋体"/>
          <w:color w:val="auto"/>
          <w:sz w:val="24"/>
          <w:highlight w:val="none"/>
        </w:rPr>
        <w:t xml:space="preserve">托管期内，每年1月底对上一年全年实际床日数进行统计，并对上年的能源托管费用基准同比例进行修正。床日数变化率 = (上年实际床日数 - 基准床日数) / 基准床日数。如果 |床日数变化率| ≤ 2%则上年能源费用不予调整，如果 |床日数变化率| &gt; 2%，则上年能源费用按床日数变化比例进行调整，即：实际应付费用 = 基准能源费用 × {(上年实际床日数 / 基准</w:t>
      </w:r>
      <w:r>
        <w:rPr>
          <w:rFonts w:hint="eastAsia" w:ascii="宋体" w:hAnsi="宋体"/>
          <w:color w:val="auto"/>
          <w:sz w:val="24"/>
          <w:highlight w:val="none"/>
          <w:shd w:val="clear" w:color="auto"/>
        </w:rPr>
        <w:t xml:space="preserve">床日数)</w:t>
      </w:r>
      <w:r>
        <w:rPr>
          <w:rFonts w:hint="eastAsia" w:ascii="宋体" w:hAnsi="宋体"/>
          <w:b w:val="0"/>
          <w:bCs w:val="0"/>
          <w:color w:val="auto"/>
          <w:sz w:val="24"/>
          <w:highlight w:val="none"/>
          <w:shd w:val="clear" w:color="auto"/>
        </w:rPr>
        <w:t xml:space="preserve">-2%}</w:t>
      </w:r>
      <w:r>
        <w:rPr>
          <w:rFonts w:hint="eastAsia" w:ascii="宋体" w:hAnsi="宋体"/>
          <w:color w:val="auto"/>
          <w:sz w:val="24"/>
          <w:highlight w:val="none"/>
          <w:shd w:val="clear" w:color="auto"/>
        </w:rPr>
        <w:t xml:space="preserve">。</w:t>
      </w:r>
      <w:r/>
    </w:p>
    <w:p>
      <w:pPr>
        <w:ind w:firstLine="480"/>
        <w:spacing w:line="360" w:lineRule="exact"/>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（2）</w:t>
      </w:r>
      <w:r>
        <w:rPr>
          <w:rFonts w:hint="eastAsia" w:ascii="宋体" w:hAnsi="宋体" w:cs="仿宋"/>
          <w:b w:val="0"/>
          <w:bCs w:val="0"/>
          <w:color w:val="auto"/>
          <w:sz w:val="24"/>
          <w:highlight w:val="none"/>
          <w:lang w:eastAsia="zh-CN"/>
        </w:rPr>
        <w:t xml:space="preserve">因不可控因素（包括</w:t>
      </w:r>
      <w:r>
        <w:rPr>
          <w:rFonts w:hint="eastAsia" w:ascii="宋体" w:hAnsi="宋体" w:cs="仿宋"/>
          <w:b w:val="0"/>
          <w:bCs w:val="0"/>
          <w:color w:val="auto"/>
          <w:sz w:val="24"/>
          <w:highlight w:val="none"/>
          <w:lang w:val="en-US" w:eastAsia="zh-CN"/>
        </w:rPr>
        <w:t xml:space="preserve">停业破产、搬迁、重大公共卫生事件、重大活动、外力破坏、极端气候、市级医疗规划调整等）</w:t>
      </w:r>
      <w:r>
        <w:rPr>
          <w:rFonts w:hint="eastAsia" w:ascii="宋体" w:hAnsi="宋体" w:cs="仿宋"/>
          <w:b w:val="0"/>
          <w:bCs w:val="0"/>
          <w:color w:val="auto"/>
          <w:sz w:val="24"/>
          <w:highlight w:val="none"/>
          <w:lang w:eastAsia="zh-CN"/>
        </w:rPr>
        <w:t xml:space="preserve">导致用能出现重大增减变动，且变动幅度超出本能源托管周期能源基准的5%时，由双方协商调整本能源托管周期的能源基准用量。</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（3）增加服务内容引起的服务费用调整。采购人可以根据实际需求调整服务内容，如运维值守人员和值守范围、机电设备维修维保、平台功能拓展等内容。双方根据实际变化调整托管费用。</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3.3.6 托管费用调整的确认办法</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（1）中标人应按上述调整规则及时整理数据，编写托管费用调整报告并书面提交报医院主管部门审核；</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（2）医院主管部门应在7个工作日内完成审核、签字确认托管费用调整报告，并积极协调医院各部门履行相关流程及手续；</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（四）</w:t>
      </w:r>
      <w:bookmarkStart w:id="815" w:name="_Toc87557844"/>
      <w:r>
        <w:rPr>
          <w:rFonts w:hint="eastAsia" w:ascii="宋体" w:hAnsi="宋体" w:cs="仿宋"/>
          <w:color w:val="auto"/>
          <w:sz w:val="24"/>
          <w:highlight w:val="none"/>
        </w:rPr>
        <w:t xml:space="preserve">所有权与收益要求</w:t>
      </w:r>
      <w:bookmarkEnd w:id="815"/>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中标人在合同期限内，对其投资建设设施（软硬件）拥有产权。在服务期限未届满或款项未结清前，处分权归中标人。未征得中标人同意，采购人不得作出任何处分该设备的决定。采购人原有能源设备的所有权仍归采购人所有。</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(2)服务期限届满且款项结清后，中标人所投资建设设施的所有权将无偿移交给采购人，中标人应保证所投资建设设施均处于正常运行状态。办理所投资建设设施所有权移交手续时，应当同步移交本项目继续运行所必需的资料，包括但不限于相关设施的技术资料、产品授权文件等。设施的后续持续使用需要中标人提供相关技术或知识产权授权，中标人应当无偿向采购人提供仅适用于本项目的授权，相应软件应升级至最新版本。</w:t>
      </w:r>
      <w:r/>
    </w:p>
    <w:p>
      <w:pPr>
        <w:ind w:firstLine="480"/>
        <w:spacing w:line="360" w:lineRule="exact"/>
        <w:rPr>
          <w:rFonts w:ascii="宋体" w:hAnsi="宋体" w:cs="仿宋"/>
          <w:color w:val="auto"/>
          <w:sz w:val="24"/>
          <w:highlight w:val="none"/>
        </w:rPr>
      </w:pPr>
      <w:r>
        <w:rPr>
          <w:rFonts w:hint="eastAsia" w:ascii="宋体" w:hAnsi="宋体" w:cs="仿宋"/>
          <w:color w:val="auto"/>
          <w:sz w:val="24"/>
          <w:highlight w:val="none"/>
        </w:rPr>
        <w:t xml:space="preserve">(3)本项目实施内容符合国家相关部门颁布的扶持、优惠或鼓励等政策的，由中标人协助采购人完成项目申报。所获奖项由采购人与中标人协商署名，所获优惠条件和专项补贴资金，双方另行协商。</w:t>
      </w:r>
      <w:r/>
    </w:p>
    <w:p>
      <w:pPr>
        <w:pStyle w:val="1280"/>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三、技术要求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（一）项目背景</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近年来，伴随着医院单位门诊量的增加及设备的老化，人们对医院舒适度的要求不断提升，以及现有能耗设备和后勤信息化建设的限制，医院的能源费用正在逐年递增，医院能源管理难度越来越大。为了在用能安全的情况下，进一步提升医院能源资源利用效率，提升医院整体运营管理和服务水平，实现医院绿色低碳发展，医院拟委托第三方进行能源费用托管服务及后勤专业化运维托管服务。</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（二）医院用能情况现状</w:t>
      </w:r>
      <w:r/>
    </w:p>
    <w:p>
      <w:pPr>
        <w:contextualSpacing/>
        <w:ind w:left="-2" w:firstLine="480"/>
        <w:spacing w:line="360" w:lineRule="auto"/>
        <w:tabs>
          <w:tab w:val="left" w:pos="567" w:leader="none"/>
        </w:tabs>
        <w:rPr>
          <w:rFonts w:ascii="宋体" w:hAnsi="宋体"/>
          <w:color w:val="auto"/>
          <w:sz w:val="24"/>
          <w:highlight w:val="none"/>
        </w:rPr>
      </w:pPr>
      <w:r/>
      <w:bookmarkStart w:id="816" w:name="_Hlk37181317"/>
      <w:r>
        <w:rPr>
          <w:rFonts w:hint="eastAsia" w:ascii="宋体" w:hAnsi="宋体"/>
          <w:color w:val="auto"/>
          <w:sz w:val="24"/>
          <w:highlight w:val="none"/>
        </w:rPr>
        <w:t xml:space="preserve">2.1 </w:t>
      </w:r>
      <w:bookmarkEnd w:id="816"/>
      <w:r>
        <w:rPr>
          <w:rFonts w:hint="eastAsia" w:ascii="宋体" w:hAnsi="宋体"/>
          <w:color w:val="auto"/>
          <w:sz w:val="24"/>
          <w:highlight w:val="none"/>
        </w:rPr>
        <w:t xml:space="preserve">常州市肿瘤医院位于新北区，占地</w:t>
      </w:r>
      <w:r>
        <w:rPr>
          <w:rFonts w:hint="eastAsia" w:ascii="宋体" w:hAnsi="宋体"/>
          <w:color w:val="auto"/>
          <w:sz w:val="24"/>
          <w:highlight w:val="none"/>
          <w:lang w:val="en-US" w:eastAsia="zh-CN"/>
        </w:rPr>
        <w:t xml:space="preserve">约90</w:t>
      </w:r>
      <w:r>
        <w:rPr>
          <w:rFonts w:hint="eastAsia" w:ascii="宋体" w:hAnsi="宋体"/>
          <w:color w:val="auto"/>
          <w:sz w:val="24"/>
          <w:highlight w:val="none"/>
        </w:rPr>
        <w:t xml:space="preserve">亩，建筑面积近10万平方米，共有16个病区，44个专业科室，开放床位775张，主要建筑有主楼、裙楼及肿瘤中心，医院各区域建筑面积详见下表：</w:t>
      </w:r>
      <w:r/>
    </w:p>
    <w:tbl>
      <w:tblPr>
        <w:tblStyle w:val="1042"/>
        <w:tblW w:w="5001"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9"/>
        <w:gridCol w:w="3945"/>
        <w:gridCol w:w="2236"/>
      </w:tblGrid>
      <w:tr>
        <w:trPr>
          <w:trHeight w:val="463"/>
        </w:trPr>
        <w:tc>
          <w:tcPr>
            <w:tcW w:w="2139"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5"/>
                <w:sz w:val="24"/>
                <w:highlight w:val="none"/>
                <w:lang w:eastAsia="en-US"/>
              </w:rPr>
              <w:t xml:space="preserve">楼层</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4"/>
                <w:sz w:val="24"/>
                <w:highlight w:val="none"/>
                <w:lang w:eastAsia="en-US"/>
              </w:rPr>
              <w:t xml:space="preserve">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面积（m</w:t>
            </w:r>
            <w:r>
              <w:rPr>
                <w:rFonts w:hint="eastAsia" w:ascii="宋体" w:hAnsi="宋体" w:cs="宋体"/>
                <w:color w:val="auto"/>
                <w:spacing w:val="-2"/>
                <w:position w:val="7"/>
                <w:sz w:val="15"/>
                <w:szCs w:val="15"/>
                <w:highlight w:val="none"/>
                <w:lang w:eastAsia="en-US"/>
              </w:rPr>
              <w:t xml:space="preserve">2</w:t>
            </w:r>
            <w:r>
              <w:rPr>
                <w:rFonts w:hint="eastAsia" w:ascii="宋体" w:hAnsi="宋体" w:cs="宋体"/>
                <w:color w:val="auto"/>
                <w:spacing w:val="-2"/>
                <w:sz w:val="24"/>
                <w:highlight w:val="none"/>
                <w:lang w:eastAsia="en-US"/>
              </w:rPr>
              <w:t xml:space="preserve">）</w:t>
            </w:r>
            <w:r/>
          </w:p>
        </w:tc>
      </w:tr>
      <w:tr>
        <w:trPr>
          <w:trHeight w:val="459"/>
        </w:trPr>
        <w:tc>
          <w:tcPr>
            <w:tcBorders>
              <w:bottom w:val="none" w:color="000000" w:sz="4" w:space="0"/>
            </w:tcBorders>
            <w:tcW w:w="2139" w:type="dxa"/>
            <w:vAlign w:val="center"/>
            <w:vMerge w:val="restart"/>
            <w:textDirection w:val="lrTb"/>
            <w:noWrap w:val="false"/>
          </w:tcPr>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jc w:val="center"/>
              <w:spacing w:line="360" w:lineRule="exact"/>
              <w:rPr>
                <w:rFonts w:ascii="宋体" w:hAnsi="宋体" w:cs="宋体"/>
                <w:color w:val="auto"/>
                <w:sz w:val="24"/>
                <w:highlight w:val="none"/>
                <w:lang w:eastAsia="en-US"/>
              </w:rPr>
            </w:pPr>
            <w:r>
              <w:rPr>
                <w:rFonts w:hint="eastAsia" w:ascii="宋体" w:hAnsi="宋体" w:cs="宋体"/>
                <w:color w:val="auto"/>
                <w:spacing w:val="-7"/>
                <w:sz w:val="24"/>
                <w:highlight w:val="none"/>
                <w:lang w:eastAsia="en-US"/>
              </w:rPr>
              <w:t xml:space="preserve">一楼</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5"/>
                <w:sz w:val="24"/>
                <w:highlight w:val="none"/>
                <w:lang w:eastAsia="en-US"/>
              </w:rPr>
              <w:t xml:space="preserve">急诊区域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3731</w:t>
            </w:r>
            <w:r/>
          </w:p>
        </w:tc>
      </w:tr>
      <w:tr>
        <w:trPr>
          <w:trHeight w:val="458"/>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住院部</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2681</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0"/>
                <w:sz w:val="24"/>
                <w:highlight w:val="none"/>
                <w:lang w:eastAsia="en-US"/>
              </w:rPr>
              <w:t xml:space="preserve">门诊大厅</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8"/>
                <w:sz w:val="24"/>
                <w:highlight w:val="none"/>
                <w:lang w:eastAsia="en-US"/>
              </w:rPr>
              <w:t xml:space="preserve">1497</w:t>
            </w:r>
            <w:r/>
          </w:p>
        </w:tc>
      </w:tr>
      <w:tr>
        <w:trPr>
          <w:trHeight w:val="458"/>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7"/>
                <w:sz w:val="24"/>
                <w:highlight w:val="none"/>
                <w:lang w:eastAsia="en-US"/>
              </w:rPr>
              <w:t xml:space="preserve">药房</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596</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A1</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8"/>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A2</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Borders>
              <w:top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A3</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Borders>
              <w:bottom w:val="none" w:color="000000" w:sz="4" w:space="0"/>
            </w:tcBorders>
            <w:tcW w:w="2139" w:type="dxa"/>
            <w:vAlign w:val="center"/>
            <w:vMerge w:val="restart"/>
            <w:textDirection w:val="lrTb"/>
            <w:noWrap w:val="false"/>
          </w:tcPr>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jc w:val="center"/>
              <w:spacing w:line="360" w:lineRule="exact"/>
              <w:rPr>
                <w:rFonts w:ascii="宋体" w:hAnsi="宋体" w:cs="宋体"/>
                <w:color w:val="auto"/>
                <w:sz w:val="24"/>
                <w:highlight w:val="none"/>
                <w:lang w:eastAsia="en-US"/>
              </w:rPr>
            </w:pPr>
            <w:r>
              <w:rPr>
                <w:rFonts w:hint="eastAsia" w:ascii="宋体" w:hAnsi="宋体" w:cs="宋体"/>
                <w:color w:val="auto"/>
                <w:spacing w:val="-7"/>
                <w:sz w:val="24"/>
                <w:highlight w:val="none"/>
                <w:lang w:eastAsia="en-US"/>
              </w:rPr>
              <w:t xml:space="preserve">二楼</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放射科区域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3731</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肿瘤区域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596</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5"/>
                <w:sz w:val="24"/>
                <w:highlight w:val="none"/>
                <w:lang w:eastAsia="en-US"/>
              </w:rPr>
              <w:t xml:space="preserve">食堂</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2681</w:t>
            </w:r>
            <w:r/>
          </w:p>
        </w:tc>
      </w:tr>
      <w:tr>
        <w:trPr>
          <w:trHeight w:val="458"/>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消毒供应区域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9"/>
                <w:sz w:val="24"/>
                <w:highlight w:val="none"/>
                <w:lang w:eastAsia="en-US"/>
              </w:rPr>
              <w:t xml:space="preserve">1150</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A1</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A2</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61"/>
        </w:trPr>
        <w:tc>
          <w:tcPr>
            <w:tcBorders>
              <w:top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A3</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63"/>
        </w:trPr>
        <w:tc>
          <w:tcPr>
            <w:tcBorders>
              <w:bottom w:val="none" w:color="000000" w:sz="4" w:space="0"/>
            </w:tcBorders>
            <w:tcW w:w="2139" w:type="dxa"/>
            <w:vAlign w:val="center"/>
            <w:vMerge w:val="restart"/>
            <w:textDirection w:val="lrTb"/>
            <w:noWrap w:val="false"/>
          </w:tcPr>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jc w:val="center"/>
              <w:spacing w:line="360" w:lineRule="exact"/>
              <w:rPr>
                <w:rFonts w:ascii="宋体" w:hAnsi="宋体" w:cs="宋体"/>
                <w:color w:val="auto"/>
                <w:sz w:val="24"/>
                <w:highlight w:val="none"/>
                <w:lang w:eastAsia="en-US"/>
              </w:rPr>
            </w:pPr>
            <w:r>
              <w:rPr>
                <w:rFonts w:hint="eastAsia" w:ascii="宋体" w:hAnsi="宋体" w:cs="宋体"/>
                <w:color w:val="auto"/>
                <w:spacing w:val="-5"/>
                <w:sz w:val="24"/>
                <w:highlight w:val="none"/>
                <w:lang w:eastAsia="en-US"/>
              </w:rPr>
              <w:t xml:space="preserve">三楼</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检验科区域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3731</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0"/>
                <w:sz w:val="24"/>
                <w:highlight w:val="none"/>
                <w:lang w:eastAsia="en-US"/>
              </w:rPr>
              <w:t xml:space="preserve">口腔科区域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596</w:t>
            </w:r>
            <w:r/>
          </w:p>
        </w:tc>
      </w:tr>
      <w:tr>
        <w:trPr>
          <w:trHeight w:val="458"/>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病理科区域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9"/>
                <w:sz w:val="24"/>
                <w:highlight w:val="none"/>
                <w:lang w:eastAsia="en-US"/>
              </w:rPr>
              <w:t xml:space="preserve">1150</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5"/>
                <w:sz w:val="24"/>
                <w:highlight w:val="none"/>
                <w:lang w:eastAsia="en-US"/>
              </w:rPr>
              <w:t xml:space="preserve">中心实验室区域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8"/>
                <w:sz w:val="24"/>
                <w:highlight w:val="none"/>
                <w:lang w:eastAsia="en-US"/>
              </w:rPr>
              <w:t xml:space="preserve">1500</w:t>
            </w:r>
            <w:r/>
          </w:p>
        </w:tc>
      </w:tr>
      <w:tr>
        <w:trPr>
          <w:trHeight w:val="458"/>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信息科区域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376</w:t>
            </w:r>
            <w:r/>
          </w:p>
        </w:tc>
      </w:tr>
      <w:tr>
        <w:trPr>
          <w:trHeight w:val="458"/>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A1</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A2</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8"/>
        </w:trPr>
        <w:tc>
          <w:tcPr>
            <w:tcBorders>
              <w:top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A3</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Borders>
              <w:bottom w:val="none" w:color="000000" w:sz="4" w:space="0"/>
            </w:tcBorders>
            <w:tcW w:w="2139" w:type="dxa"/>
            <w:vAlign w:val="center"/>
            <w:vMerge w:val="restart"/>
            <w:textDirection w:val="lrTb"/>
            <w:noWrap w:val="false"/>
          </w:tcPr>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jc w:val="center"/>
              <w:spacing w:line="360" w:lineRule="exact"/>
              <w:rPr>
                <w:rFonts w:ascii="宋体" w:hAnsi="宋体" w:cs="宋体"/>
                <w:color w:val="auto"/>
                <w:sz w:val="24"/>
                <w:highlight w:val="none"/>
                <w:lang w:eastAsia="en-US"/>
              </w:rPr>
            </w:pPr>
            <w:r>
              <w:rPr>
                <w:rFonts w:hint="eastAsia" w:ascii="宋体" w:hAnsi="宋体" w:cs="宋体"/>
                <w:color w:val="auto"/>
                <w:spacing w:val="-16"/>
                <w:sz w:val="24"/>
                <w:highlight w:val="none"/>
                <w:lang w:eastAsia="en-US"/>
              </w:rPr>
              <w:t xml:space="preserve">四楼</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5"/>
                <w:sz w:val="24"/>
                <w:highlight w:val="none"/>
                <w:lang w:eastAsia="en-US"/>
              </w:rPr>
              <w:t xml:space="preserve">手术室/ICU区域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2500/960</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大会堂区域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9"/>
                <w:sz w:val="24"/>
                <w:highlight w:val="none"/>
                <w:lang w:eastAsia="en-US"/>
              </w:rPr>
              <w:t xml:space="preserve">1160</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静脉配中心药房区域</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3731</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血透中心</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768</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A1</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A2</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Borders>
              <w:top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
                <w:sz w:val="24"/>
                <w:highlight w:val="none"/>
                <w:lang w:eastAsia="en-US"/>
              </w:rPr>
              <w:t xml:space="preserve">A3</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586</w:t>
            </w:r>
            <w:r/>
          </w:p>
        </w:tc>
      </w:tr>
      <w:tr>
        <w:trPr>
          <w:trHeight w:val="459"/>
        </w:trPr>
        <w:tc>
          <w:tcPr>
            <w:tcW w:w="2139"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2"/>
                <w:sz w:val="24"/>
                <w:highlight w:val="none"/>
                <w:lang w:eastAsia="en-US"/>
              </w:rPr>
              <w:t xml:space="preserve">病房5-17 楼</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病房单层</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8"/>
                <w:sz w:val="24"/>
                <w:highlight w:val="none"/>
                <w:lang w:eastAsia="en-US"/>
              </w:rPr>
              <w:t xml:space="preserve">1300</w:t>
            </w:r>
            <w:r/>
          </w:p>
        </w:tc>
      </w:tr>
      <w:tr>
        <w:trPr>
          <w:trHeight w:val="459"/>
        </w:trPr>
        <w:tc>
          <w:tcPr>
            <w:tcBorders>
              <w:bottom w:val="none" w:color="000000" w:sz="4" w:space="0"/>
            </w:tcBorders>
            <w:tcW w:w="2139" w:type="dxa"/>
            <w:vAlign w:val="center"/>
            <w:vMerge w:val="restart"/>
            <w:textDirection w:val="lrTb"/>
            <w:noWrap w:val="false"/>
          </w:tcPr>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pStyle w:val="1440"/>
              <w:jc w:val="center"/>
              <w:spacing w:line="360" w:lineRule="exact"/>
              <w:rPr>
                <w:color w:val="auto"/>
                <w:sz w:val="22"/>
                <w:highlight w:val="none"/>
              </w:rPr>
            </w:pPr>
            <w:r>
              <w:rPr>
                <w:color w:val="auto"/>
                <w:sz w:val="22"/>
                <w:highlight w:val="none"/>
              </w:rPr>
            </w:r>
            <w:r/>
          </w:p>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地下室</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6"/>
                <w:sz w:val="24"/>
                <w:highlight w:val="none"/>
                <w:lang w:eastAsia="en-US"/>
              </w:rPr>
              <w:t xml:space="preserve">空调房</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3"/>
                <w:sz w:val="24"/>
                <w:highlight w:val="none"/>
                <w:lang w:eastAsia="en-US"/>
              </w:rPr>
              <w:t xml:space="preserve">700</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锅炉房</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5"/>
                <w:sz w:val="24"/>
                <w:highlight w:val="none"/>
                <w:lang w:eastAsia="en-US"/>
              </w:rPr>
              <w:t xml:space="preserve">800</w:t>
            </w:r>
            <w:r/>
          </w:p>
        </w:tc>
      </w:tr>
      <w:tr>
        <w:trPr>
          <w:trHeight w:val="459"/>
        </w:trPr>
        <w:tc>
          <w:tcPr>
            <w:tcBorders>
              <w:top w:val="none" w:color="000000" w:sz="4" w:space="0"/>
              <w:bottom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6"/>
                <w:sz w:val="24"/>
                <w:highlight w:val="none"/>
                <w:lang w:eastAsia="en-US"/>
              </w:rPr>
              <w:t xml:space="preserve">高配间</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650</w:t>
            </w:r>
            <w:r/>
          </w:p>
        </w:tc>
      </w:tr>
      <w:tr>
        <w:trPr>
          <w:trHeight w:val="459"/>
        </w:trPr>
        <w:tc>
          <w:tcPr>
            <w:tcBorders>
              <w:top w:val="none" w:color="000000" w:sz="4" w:space="0"/>
            </w:tcBorders>
            <w:tcW w:w="2139" w:type="dxa"/>
            <w:vAlign w:val="center"/>
            <w:vMerge w:val="continue"/>
            <w:textDirection w:val="lrTb"/>
            <w:noWrap w:val="false"/>
          </w:tcPr>
          <w:p>
            <w:pPr>
              <w:pStyle w:val="1440"/>
              <w:jc w:val="center"/>
              <w:spacing w:line="360" w:lineRule="exact"/>
              <w:rPr>
                <w:color w:val="auto"/>
                <w:sz w:val="22"/>
                <w:highlight w:val="none"/>
              </w:rPr>
            </w:pPr>
            <w:r>
              <w:rPr>
                <w:color w:val="auto"/>
                <w:sz w:val="22"/>
                <w:highlight w:val="none"/>
              </w:rPr>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太平间</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1"/>
                <w:sz w:val="24"/>
                <w:highlight w:val="none"/>
                <w:lang w:eastAsia="en-US"/>
              </w:rPr>
              <w:t xml:space="preserve">110</w:t>
            </w:r>
            <w:r/>
          </w:p>
        </w:tc>
      </w:tr>
      <w:tr>
        <w:trPr>
          <w:trHeight w:val="459"/>
        </w:trPr>
        <w:tc>
          <w:tcPr>
            <w:tcW w:w="2139"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8"/>
                <w:sz w:val="24"/>
                <w:highlight w:val="none"/>
                <w:lang w:eastAsia="en-US"/>
              </w:rPr>
              <w:t xml:space="preserve">外场</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液氧站</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10"/>
                <w:sz w:val="24"/>
                <w:highlight w:val="none"/>
                <w:lang w:eastAsia="en-US"/>
              </w:rPr>
              <w:t xml:space="preserve">120</w:t>
            </w:r>
            <w:r/>
          </w:p>
        </w:tc>
      </w:tr>
      <w:tr>
        <w:trPr>
          <w:trHeight w:val="459"/>
        </w:trPr>
        <w:tc>
          <w:tcPr>
            <w:tcW w:w="2139"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肿瘤中心1-4 楼</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6"/>
                <w:sz w:val="24"/>
                <w:highlight w:val="none"/>
                <w:lang w:eastAsia="en-US"/>
              </w:rPr>
              <w:t xml:space="preserve">单层</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8"/>
                <w:sz w:val="24"/>
                <w:highlight w:val="none"/>
                <w:lang w:eastAsia="en-US"/>
              </w:rPr>
              <w:t xml:space="preserve">1770</w:t>
            </w:r>
            <w:r/>
          </w:p>
        </w:tc>
      </w:tr>
      <w:tr>
        <w:trPr>
          <w:trHeight w:val="463"/>
        </w:trPr>
        <w:tc>
          <w:tcPr>
            <w:tcW w:w="2139"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4"/>
                <w:sz w:val="24"/>
                <w:highlight w:val="none"/>
                <w:lang w:eastAsia="en-US"/>
              </w:rPr>
              <w:t xml:space="preserve">发热门诊</w:t>
            </w:r>
            <w:r/>
          </w:p>
        </w:tc>
        <w:tc>
          <w:tcPr>
            <w:tcW w:w="3945"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6"/>
                <w:sz w:val="24"/>
                <w:highlight w:val="none"/>
                <w:lang w:eastAsia="en-US"/>
              </w:rPr>
              <w:t xml:space="preserve">两层</w:t>
            </w:r>
            <w:r/>
          </w:p>
        </w:tc>
        <w:tc>
          <w:tcPr>
            <w:tcW w:w="2236" w:type="dxa"/>
            <w:vAlign w:val="center"/>
            <w:textDirection w:val="lrTb"/>
            <w:noWrap w:val="false"/>
          </w:tcPr>
          <w:p>
            <w:pPr>
              <w:jc w:val="center"/>
              <w:spacing w:line="360" w:lineRule="exact"/>
              <w:rPr>
                <w:rFonts w:ascii="宋体" w:hAnsi="宋体" w:cs="宋体"/>
                <w:color w:val="auto"/>
                <w:sz w:val="24"/>
                <w:highlight w:val="none"/>
                <w:lang w:eastAsia="en-US"/>
              </w:rPr>
            </w:pPr>
            <w:r>
              <w:rPr>
                <w:rFonts w:hint="eastAsia" w:ascii="宋体" w:hAnsi="宋体" w:cs="宋体"/>
                <w:color w:val="auto"/>
                <w:spacing w:val="-8"/>
                <w:sz w:val="24"/>
                <w:highlight w:val="none"/>
                <w:lang w:eastAsia="en-US"/>
              </w:rPr>
              <w:t xml:space="preserve">1200</w:t>
            </w:r>
            <w:r/>
          </w:p>
        </w:tc>
      </w:tr>
    </w:tbl>
    <w:p>
      <w:pPr>
        <w:contextualSpacing/>
        <w:ind w:left="-2" w:firstLine="480"/>
        <w:spacing w:line="360" w:lineRule="auto"/>
        <w:tabs>
          <w:tab w:val="left" w:pos="567"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2.2 医院主要耗能系统现状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以下供热、供冷、供气时间仅供参考，实际开放时间将根据天气情况及医院诊疗需求提前或延后调整。</w:t>
      </w:r>
      <w:r>
        <w:rPr>
          <w:rFonts w:hint="eastAsia" w:ascii="宋体" w:hAnsi="宋体"/>
          <w:color w:val="auto"/>
          <w:sz w:val="24"/>
          <w:highlight w:val="none"/>
          <w:lang w:eastAsia="zh-CN"/>
        </w:rPr>
        <w:t xml:space="preserve">）</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空调制冷系统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医院中央空调机房位于医疗综合楼地下一层，负责全院供冷，包含3台离心式冷水机组（原品牌：开利）、3台冷冻水循环泵、3台冷却水循环泵、4台板交水泵，12台冷却塔等。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设备额定制冷量2937kW。该机组于2012年投用，已运行近14年，能效比逐年降低。冷冻水泵功率90kW，扬程36m，流量630m³/h；冷却泵功率110kW，扬程34m，流量900m³/h；板交水泵功率22kW，扬程32m，流量170m³/h。</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系统型号及参数如下：</w:t>
      </w:r>
      <w:r/>
    </w:p>
    <w:tbl>
      <w:tblPr>
        <w:tblStyle w:val="1042"/>
        <w:tblW w:w="4997" w:type="pct"/>
        <w:jc w:val="center"/>
        <w:tblLayout w:type="fixed"/>
        <w:tblCellMar>
          <w:left w:w="108" w:type="dxa"/>
          <w:top w:w="0" w:type="dxa"/>
          <w:right w:w="108" w:type="dxa"/>
          <w:bottom w:w="0" w:type="dxa"/>
        </w:tblCellMar>
        <w:tblLook w:val="04A0" w:firstRow="1" w:lastRow="0" w:firstColumn="1" w:lastColumn="0" w:noHBand="0" w:noVBand="1"/>
      </w:tblPr>
      <w:tblGrid>
        <w:gridCol w:w="607"/>
        <w:gridCol w:w="1065"/>
        <w:gridCol w:w="2172"/>
        <w:gridCol w:w="2615"/>
        <w:gridCol w:w="1249"/>
        <w:gridCol w:w="815"/>
      </w:tblGrid>
      <w:tr>
        <w:trPr>
          <w:jc w:val="center"/>
          <w:tblHeader/>
        </w:trPr>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1074"/>
              <w:jc w:val="both"/>
              <w:spacing w:before="0" w:beforeAutospacing="0" w:after="0" w:afterAutospacing="0" w:line="360" w:lineRule="exact"/>
              <w:widowControl w:val="off"/>
              <w:rPr>
                <w:rFonts w:cs="仿宋"/>
                <w:b/>
                <w:color w:val="auto"/>
                <w:highlight w:val="none"/>
                <w:lang w:eastAsia="en-US"/>
              </w:rPr>
            </w:pPr>
            <w:r>
              <w:rPr>
                <w:rFonts w:hint="eastAsia" w:cs="仿宋"/>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74"/>
              <w:jc w:val="both"/>
              <w:spacing w:before="0" w:beforeAutospacing="0" w:after="0" w:afterAutospacing="0" w:line="360" w:lineRule="exact"/>
              <w:widowControl w:val="off"/>
              <w:rPr>
                <w:rFonts w:cs="仿宋"/>
                <w:b/>
                <w:color w:val="auto"/>
                <w:highlight w:val="none"/>
                <w:lang w:eastAsia="en-US"/>
              </w:rPr>
            </w:pPr>
            <w:r>
              <w:rPr>
                <w:rFonts w:hint="eastAsia" w:cs="仿宋"/>
                <w:b/>
                <w:color w:val="auto"/>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1074"/>
              <w:jc w:val="both"/>
              <w:spacing w:before="0" w:beforeAutospacing="0" w:after="0" w:afterAutospacing="0" w:line="360" w:lineRule="exact"/>
              <w:widowControl w:val="off"/>
              <w:rPr>
                <w:rFonts w:cs="仿宋"/>
                <w:b/>
                <w:color w:val="auto"/>
                <w:highlight w:val="none"/>
                <w:lang w:eastAsia="en-US"/>
              </w:rPr>
            </w:pPr>
            <w:r>
              <w:rPr>
                <w:rFonts w:hint="eastAsia" w:cs="仿宋"/>
                <w:b/>
                <w:color w:val="auto"/>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1074"/>
              <w:jc w:val="both"/>
              <w:spacing w:before="0" w:beforeAutospacing="0" w:after="0" w:afterAutospacing="0" w:line="360" w:lineRule="exact"/>
              <w:widowControl w:val="off"/>
              <w:rPr>
                <w:rFonts w:cs="仿宋"/>
                <w:b/>
                <w:color w:val="auto"/>
                <w:highlight w:val="none"/>
                <w:lang w:eastAsia="en-US"/>
              </w:rPr>
            </w:pPr>
            <w:r>
              <w:rPr>
                <w:rFonts w:hint="eastAsia" w:cs="仿宋"/>
                <w:b/>
                <w:color w:val="auto"/>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74"/>
              <w:jc w:val="both"/>
              <w:spacing w:before="0" w:beforeAutospacing="0" w:after="0" w:afterAutospacing="0" w:line="360" w:lineRule="exact"/>
              <w:widowControl w:val="off"/>
              <w:rPr>
                <w:rFonts w:cs="仿宋"/>
                <w:b/>
                <w:color w:val="auto"/>
                <w:highlight w:val="none"/>
                <w:lang w:eastAsia="en-US"/>
              </w:rPr>
            </w:pPr>
            <w:r>
              <w:rPr>
                <w:rFonts w:hint="eastAsia" w:cs="仿宋"/>
                <w:b/>
                <w:color w:val="auto"/>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1074"/>
              <w:jc w:val="both"/>
              <w:spacing w:before="0" w:beforeAutospacing="0" w:after="0" w:afterAutospacing="0" w:line="360" w:lineRule="exact"/>
              <w:widowControl w:val="off"/>
              <w:rPr>
                <w:rFonts w:cs="仿宋"/>
                <w:b/>
                <w:color w:val="auto"/>
                <w:highlight w:val="none"/>
                <w:lang w:eastAsia="en-US"/>
              </w:rPr>
            </w:pPr>
            <w:r>
              <w:rPr>
                <w:rFonts w:hint="eastAsia" w:cs="仿宋"/>
                <w:b/>
                <w:color w:val="auto"/>
                <w:highlight w:val="none"/>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冷水机组</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19XR65654U5LFH52</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名义制冷量：2937kw</w:t>
            </w:r>
            <w:r/>
          </w:p>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电机额定功率：502kW</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开利</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冷冻泵</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GISO</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功率90kW，扬程36m，流量630m³/h</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ITT</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冷却泵</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GISO</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功率110kW，扬程34m，流量900m³/h</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ITT</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暖通循环泵</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NBG125-80-160/170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功率22kW，扬程32m，流量170m³/h</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格兰富</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lang w:eastAsia="en-US"/>
              </w:rPr>
            </w:pPr>
            <w:r>
              <w:rPr>
                <w:rFonts w:hint="eastAsia" w:cs="仿宋"/>
                <w:color w:val="auto"/>
                <w:highlight w:val="none"/>
              </w:rPr>
              <w:t xml:space="preserve">冷却塔</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常菱</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7.5kw</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常州常菱</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1074"/>
              <w:jc w:val="both"/>
              <w:spacing w:before="0" w:beforeAutospacing="0" w:after="0" w:afterAutospacing="0" w:line="360" w:lineRule="exact"/>
              <w:widowControl w:val="off"/>
              <w:rPr>
                <w:rFonts w:cs="仿宋"/>
                <w:color w:val="auto"/>
                <w:highlight w:val="none"/>
              </w:rPr>
            </w:pPr>
            <w:r>
              <w:rPr>
                <w:rFonts w:hint="eastAsia" w:cs="仿宋"/>
                <w:color w:val="auto"/>
                <w:highlight w:val="none"/>
              </w:rPr>
              <w:t xml:space="preserve">12</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医院目前的供冷方式如下：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供冷时，室内温度不低于26℃。</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供冷时间：</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其开启时间为每年5月15日至10月15日，正常情况下开启1台；</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在夏季7月至9月高温期间，开启2台，机组实行24小时连续运行模式。</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（2）空调采暖系统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目前配备6台燃气热水锅炉（原品牌：布德鲁斯）供应全院的采暖。热水锅炉在2012年投入使用，已运行近14年，能效比逐年降低。热水锅炉24小时持续运行，主要用于病区热水及冬季空调供暖。在供暖期，通常开启2台；在特别寒冷的时期，开启3~4台；非供暖期则正常开启1台。</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详细参数如下表：</w:t>
      </w:r>
      <w:r/>
    </w:p>
    <w:tbl>
      <w:tblPr>
        <w:tblStyle w:val="10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63"/>
        <w:gridCol w:w="1397"/>
        <w:gridCol w:w="1649"/>
        <w:gridCol w:w="1448"/>
        <w:gridCol w:w="1383"/>
        <w:gridCol w:w="1327"/>
        <w:gridCol w:w="662"/>
      </w:tblGrid>
      <w:tr>
        <w:trPr>
          <w:trHeight w:val="454"/>
          <w:tblHead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441"/>
              <w:spacing w:line="3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制造日期</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数量</w:t>
            </w:r>
            <w:r/>
          </w:p>
        </w:tc>
      </w:tr>
      <w:tr>
        <w:trPr>
          <w:trHeight w:val="4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441"/>
              <w:spacing w:line="360" w:lineRule="exac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热水锅炉</w:t>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1441"/>
              <w:spacing w:line="360" w:lineRule="exac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GE615-1400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1400KW</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441"/>
              <w:spacing w:line="360" w:lineRule="exac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布德鲁斯</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2012.3</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医院目前的供暖方式如下：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供暖时，室内温度不高于20℃。 </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近三年供暖时间：</w:t>
      </w:r>
      <w:r/>
    </w:p>
    <w:tbl>
      <w:tblPr>
        <w:tblStyle w:val="10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8"/>
        <w:gridCol w:w="3484"/>
        <w:gridCol w:w="2836"/>
      </w:tblGrid>
      <w:tr>
        <w:trPr/>
        <w:tc>
          <w:tcPr>
            <w:tcW w:w="2208"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年度</w:t>
            </w:r>
            <w:r/>
          </w:p>
        </w:tc>
        <w:tc>
          <w:tcPr>
            <w:tcW w:w="3484"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供暖时间</w:t>
            </w:r>
            <w:r/>
          </w:p>
        </w:tc>
        <w:tc>
          <w:tcPr>
            <w:tcW w:w="2836"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供暖天数</w:t>
            </w:r>
            <w:r/>
          </w:p>
        </w:tc>
      </w:tr>
      <w:tr>
        <w:trPr/>
        <w:tc>
          <w:tcPr>
            <w:tcW w:w="2208"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2023年</w:t>
            </w:r>
            <w:r/>
          </w:p>
        </w:tc>
        <w:tc>
          <w:tcPr>
            <w:tcW w:w="3484"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1月1日-3月31日</w:t>
            </w:r>
            <w:r/>
          </w:p>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12月1日-12月31日</w:t>
            </w:r>
            <w:r/>
          </w:p>
        </w:tc>
        <w:tc>
          <w:tcPr>
            <w:tcW w:w="2836"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121</w:t>
            </w:r>
            <w:r/>
          </w:p>
        </w:tc>
      </w:tr>
      <w:tr>
        <w:trPr/>
        <w:tc>
          <w:tcPr>
            <w:tcW w:w="2208"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2024年</w:t>
            </w:r>
            <w:r/>
          </w:p>
        </w:tc>
        <w:tc>
          <w:tcPr>
            <w:tcW w:w="3484"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1月1日-3月31日</w:t>
            </w:r>
            <w:r/>
          </w:p>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12月1日-12月31日</w:t>
            </w:r>
            <w:r/>
          </w:p>
        </w:tc>
        <w:tc>
          <w:tcPr>
            <w:tcW w:w="2836"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122</w:t>
            </w:r>
            <w:r/>
          </w:p>
        </w:tc>
      </w:tr>
      <w:tr>
        <w:trPr/>
        <w:tc>
          <w:tcPr>
            <w:tcW w:w="2208"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2025年</w:t>
            </w:r>
            <w:r/>
          </w:p>
        </w:tc>
        <w:tc>
          <w:tcPr>
            <w:tcW w:w="3484"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1月1日-3月31日</w:t>
            </w:r>
            <w:r/>
          </w:p>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12月1日-12月31日</w:t>
            </w:r>
            <w:r/>
          </w:p>
        </w:tc>
        <w:tc>
          <w:tcPr>
            <w:tcW w:w="2836" w:type="dxa"/>
            <w:vAlign w:val="center"/>
            <w:textDirection w:val="lrTb"/>
            <w:noWrap w:val="false"/>
          </w:tcPr>
          <w:p>
            <w:pPr>
              <w:pStyle w:val="1074"/>
              <w:jc w:val="center"/>
              <w:spacing w:beforeAutospacing="0" w:afterAutospacing="0" w:line="500" w:lineRule="exact"/>
              <w:widowControl w:val="off"/>
              <w:rPr>
                <w:rFonts w:cs="仿宋"/>
                <w:color w:val="auto"/>
                <w:highlight w:val="none"/>
              </w:rPr>
            </w:pPr>
            <w:r>
              <w:rPr>
                <w:rFonts w:hint="eastAsia" w:cs="仿宋"/>
                <w:color w:val="auto"/>
                <w:highlight w:val="none"/>
              </w:rPr>
              <w:t xml:space="preserve">121</w:t>
            </w:r>
            <w:r/>
          </w:p>
        </w:tc>
      </w:tr>
    </w:tbl>
    <w:p>
      <w:pPr>
        <w:contextualSpacing/>
        <w:ind w:left="-2" w:firstLine="480"/>
        <w:spacing w:line="360" w:lineRule="auto"/>
        <w:tabs>
          <w:tab w:val="left" w:pos="567"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生活热水系统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锅炉房供暖的6台燃气热水锅炉（原品牌：布德鲁斯）供应全院的生活热水热源。热水锅炉在2012年投入使用，已运行近14年，能效比逐年降低。热水锅炉</w:t>
      </w:r>
      <w:r>
        <w:rPr>
          <w:rFonts w:ascii="宋体" w:hAnsi="宋体"/>
          <w:color w:val="auto"/>
          <w:sz w:val="24"/>
          <w:highlight w:val="none"/>
        </w:rPr>
        <w:t xml:space="preserve">24小时持续运行</w:t>
      </w:r>
      <w:r>
        <w:rPr>
          <w:rFonts w:hint="eastAsia" w:ascii="宋体" w:hAnsi="宋体"/>
          <w:color w:val="auto"/>
          <w:sz w:val="24"/>
          <w:highlight w:val="none"/>
        </w:rPr>
        <w:t xml:space="preserve">，一般情况下开启1台即可满足生活热水需求。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详细参数如下表：</w:t>
      </w:r>
      <w:r/>
    </w:p>
    <w:tbl>
      <w:tblPr>
        <w:tblStyle w:val="10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63"/>
        <w:gridCol w:w="1397"/>
        <w:gridCol w:w="1649"/>
        <w:gridCol w:w="1448"/>
        <w:gridCol w:w="1383"/>
        <w:gridCol w:w="1327"/>
        <w:gridCol w:w="662"/>
      </w:tblGrid>
      <w:tr>
        <w:trPr>
          <w:trHeight w:val="454"/>
          <w:tblHead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441"/>
              <w:spacing w:line="3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制造日期</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441"/>
              <w:spacing w:line="360" w:lineRule="exact"/>
              <w:rPr>
                <w:rFonts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数量</w:t>
            </w:r>
            <w:r/>
          </w:p>
        </w:tc>
      </w:tr>
      <w:tr>
        <w:trPr>
          <w:trHeight w:val="4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441"/>
              <w:spacing w:line="360" w:lineRule="exac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热水锅炉</w:t>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1441"/>
              <w:spacing w:line="360" w:lineRule="exac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GE615-1400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1400KW</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441"/>
              <w:spacing w:line="360" w:lineRule="exac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布德鲁斯</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2012.3</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441"/>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医院目前生活热水的供应方式如下：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夏季45±5℃ 冬季50±5℃。</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供应时间见下：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夏季：</w:t>
      </w:r>
      <w:r>
        <w:rPr>
          <w:rFonts w:hint="eastAsia" w:ascii="宋体" w:hAnsi="宋体"/>
          <w:color w:val="auto"/>
          <w:sz w:val="24"/>
          <w:highlight w:val="none"/>
          <w:lang w:val="en-US" w:eastAsia="zh-CN"/>
        </w:rPr>
        <w:t xml:space="preserve">裙楼低区24小时供应，病房16:00—21:00；</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冬季：</w:t>
      </w:r>
      <w:r>
        <w:rPr>
          <w:rFonts w:hint="eastAsia" w:ascii="宋体" w:hAnsi="宋体"/>
          <w:color w:val="auto"/>
          <w:sz w:val="24"/>
          <w:highlight w:val="none"/>
          <w:lang w:val="en-US" w:eastAsia="zh-CN"/>
        </w:rPr>
        <w:t xml:space="preserve">裙楼低区24小时供应，病区早上5:00—8:00，下午16:00—21:00</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（4）蒸汽系统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锅炉房内有2台燃气蒸汽锅炉（原品牌：迪森）供应医疗消毒、手术室空调机组加湿、食堂等。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详细参数如下表：</w:t>
      </w:r>
      <w:r/>
    </w:p>
    <w:tbl>
      <w:tblPr>
        <w:tblStyle w:val="10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63"/>
        <w:gridCol w:w="930"/>
        <w:gridCol w:w="1680"/>
        <w:gridCol w:w="1840"/>
        <w:gridCol w:w="1354"/>
        <w:gridCol w:w="1400"/>
        <w:gridCol w:w="662"/>
      </w:tblGrid>
      <w:tr>
        <w:trPr>
          <w:trHeight w:val="454"/>
          <w:tblHead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441"/>
              <w:spacing w:line="360" w:lineRule="atLeast"/>
              <w:rPr>
                <w:rFonts w:ascii="宋体" w:hAnsi="宋体" w:eastAsia="宋体"/>
                <w:b/>
                <w:bCs/>
                <w:color w:val="auto"/>
                <w:sz w:val="24"/>
                <w:szCs w:val="24"/>
                <w:highlight w:val="none"/>
                <w:lang w:eastAsia="en-US"/>
              </w:rPr>
            </w:pPr>
            <w:r>
              <w:rPr>
                <w:rFonts w:hint="eastAsia" w:ascii="宋体" w:hAnsi="宋体" w:eastAsia="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441"/>
              <w:spacing w:line="360" w:lineRule="atLeast"/>
              <w:rPr>
                <w:rFonts w:ascii="宋体" w:hAnsi="宋体" w:eastAsia="宋体"/>
                <w:b/>
                <w:bCs/>
                <w:color w:val="auto"/>
                <w:sz w:val="24"/>
                <w:szCs w:val="24"/>
                <w:highlight w:val="none"/>
                <w:lang w:eastAsia="en-US"/>
              </w:rPr>
            </w:pPr>
            <w:r>
              <w:rPr>
                <w:rFonts w:hint="eastAsia" w:ascii="宋体" w:hAnsi="宋体" w:eastAsia="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1441"/>
              <w:spacing w:line="360" w:lineRule="atLeast"/>
              <w:rPr>
                <w:rFonts w:ascii="宋体" w:hAnsi="宋体" w:eastAsia="宋体"/>
                <w:b/>
                <w:bCs/>
                <w:color w:val="auto"/>
                <w:sz w:val="24"/>
                <w:szCs w:val="24"/>
                <w:highlight w:val="none"/>
                <w:lang w:eastAsia="en-US"/>
              </w:rPr>
            </w:pPr>
            <w:r>
              <w:rPr>
                <w:rFonts w:hint="eastAsia" w:ascii="宋体" w:hAnsi="宋体" w:eastAsia="宋体"/>
                <w:b/>
                <w:bCs/>
                <w:color w:val="auto"/>
                <w:sz w:val="24"/>
                <w:szCs w:val="24"/>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441"/>
              <w:spacing w:line="360" w:lineRule="atLeast"/>
              <w:rPr>
                <w:rFonts w:ascii="宋体" w:hAnsi="宋体" w:eastAsia="宋体"/>
                <w:b/>
                <w:bCs/>
                <w:color w:val="auto"/>
                <w:sz w:val="24"/>
                <w:szCs w:val="24"/>
                <w:highlight w:val="none"/>
                <w:lang w:eastAsia="en-US"/>
              </w:rPr>
            </w:pPr>
            <w:r>
              <w:rPr>
                <w:rFonts w:hint="eastAsia" w:ascii="宋体" w:hAnsi="宋体" w:eastAsia="宋体"/>
                <w:b/>
                <w:bCs/>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441"/>
              <w:spacing w:line="360" w:lineRule="atLeast"/>
              <w:rPr>
                <w:rFonts w:ascii="宋体" w:hAnsi="宋体" w:eastAsia="宋体"/>
                <w:b/>
                <w:bCs/>
                <w:color w:val="auto"/>
                <w:sz w:val="24"/>
                <w:szCs w:val="24"/>
                <w:highlight w:val="none"/>
                <w:lang w:eastAsia="en-US"/>
              </w:rPr>
            </w:pPr>
            <w:r>
              <w:rPr>
                <w:rFonts w:hint="eastAsia" w:ascii="宋体" w:hAnsi="宋体" w:eastAsia="宋体"/>
                <w:b/>
                <w:bCs/>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1441"/>
              <w:spacing w:line="360" w:lineRule="atLeas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制造日期</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441"/>
              <w:spacing w:line="360" w:lineRule="atLeast"/>
              <w:rPr>
                <w:rFonts w:ascii="宋体" w:hAnsi="宋体" w:eastAsia="宋体"/>
                <w:b/>
                <w:bCs/>
                <w:color w:val="auto"/>
                <w:sz w:val="24"/>
                <w:szCs w:val="24"/>
                <w:highlight w:val="none"/>
                <w:lang w:eastAsia="en-US"/>
              </w:rPr>
            </w:pPr>
            <w:r>
              <w:rPr>
                <w:rFonts w:hint="eastAsia" w:ascii="宋体" w:hAnsi="宋体" w:eastAsia="宋体"/>
                <w:b/>
                <w:bCs/>
                <w:color w:val="auto"/>
                <w:sz w:val="24"/>
                <w:szCs w:val="24"/>
                <w:highlight w:val="none"/>
              </w:rPr>
              <w:t xml:space="preserve">数量</w:t>
            </w:r>
            <w:r/>
          </w:p>
        </w:tc>
      </w:tr>
      <w:tr>
        <w:trPr>
          <w:trHeight w:val="4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441"/>
              <w:spacing w:line="360" w:lineRule="atLeast"/>
              <w:rPr>
                <w:rFonts w:ascii="宋体" w:hAnsi="宋体" w:eastAsia="宋体"/>
                <w:color w:val="auto"/>
                <w:sz w:val="24"/>
                <w:szCs w:val="24"/>
                <w:highlight w:val="none"/>
                <w:lang w:eastAsia="en-US"/>
              </w:rPr>
            </w:pPr>
            <w:r>
              <w:rPr>
                <w:rFonts w:hint="eastAsia" w:ascii="宋体" w:hAnsi="宋体" w:eastAsia="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441"/>
              <w:spacing w:line="360" w:lineRule="atLeas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锅炉</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1441"/>
              <w:spacing w:line="360" w:lineRule="atLeast"/>
              <w:rPr>
                <w:rFonts w:ascii="宋体" w:hAnsi="宋体" w:eastAsia="宋体"/>
                <w:color w:val="auto"/>
                <w:sz w:val="24"/>
                <w:szCs w:val="24"/>
                <w:highlight w:val="none"/>
                <w:lang w:eastAsia="en-US"/>
              </w:rPr>
            </w:pPr>
            <w:r>
              <w:rPr>
                <w:rFonts w:hint="eastAsia" w:ascii="宋体" w:hAnsi="宋体" w:eastAsia="宋体"/>
                <w:color w:val="auto"/>
                <w:sz w:val="24"/>
                <w:szCs w:val="24"/>
                <w:highlight w:val="none"/>
                <w:lang w:eastAsia="en-US"/>
              </w:rPr>
              <w:t xml:space="preserve">LSS</w:t>
            </w: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en-US"/>
              </w:rPr>
              <w:t xml:space="preserve">-1.0-Y.Q</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1.0吨</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441"/>
              <w:spacing w:line="360" w:lineRule="atLeast"/>
              <w:rPr>
                <w:rFonts w:ascii="宋体" w:hAnsi="宋体" w:eastAsia="宋体"/>
                <w:color w:val="auto"/>
                <w:sz w:val="24"/>
                <w:szCs w:val="24"/>
                <w:highlight w:val="none"/>
                <w:lang w:eastAsia="en-US"/>
              </w:rPr>
            </w:pPr>
            <w:r>
              <w:rPr>
                <w:rFonts w:hint="eastAsia" w:ascii="宋体" w:hAnsi="宋体" w:eastAsia="宋体"/>
                <w:color w:val="auto"/>
                <w:sz w:val="24"/>
                <w:szCs w:val="24"/>
                <w:highlight w:val="none"/>
                <w:lang w:eastAsia="en-US"/>
              </w:rPr>
              <w:t xml:space="preserve">迪森</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1441"/>
              <w:spacing w:line="360" w:lineRule="atLeas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441"/>
              <w:spacing w:line="360" w:lineRule="atLeas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441"/>
              <w:spacing w:line="360" w:lineRule="atLeas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441"/>
              <w:spacing w:line="360" w:lineRule="atLeas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锅炉</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1441"/>
              <w:spacing w:line="360" w:lineRule="atLeast"/>
              <w:rPr>
                <w:rFonts w:ascii="宋体" w:hAnsi="宋体" w:eastAsia="宋体"/>
                <w:color w:val="auto"/>
                <w:sz w:val="24"/>
                <w:szCs w:val="24"/>
                <w:highlight w:val="none"/>
                <w:lang w:eastAsia="en-US"/>
              </w:rPr>
            </w:pPr>
            <w:r>
              <w:rPr>
                <w:rFonts w:hint="eastAsia" w:ascii="宋体" w:hAnsi="宋体" w:eastAsia="宋体"/>
                <w:color w:val="auto"/>
                <w:sz w:val="24"/>
                <w:szCs w:val="24"/>
                <w:highlight w:val="none"/>
                <w:lang w:eastAsia="en-US"/>
              </w:rPr>
              <w:t xml:space="preserve">LSS</w:t>
            </w: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en-US"/>
              </w:rPr>
              <w:t xml:space="preserve">-1.0-Y.Q</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2.0吨</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441"/>
              <w:spacing w:line="360" w:lineRule="atLeast"/>
              <w:rPr>
                <w:rFonts w:ascii="宋体" w:hAnsi="宋体" w:eastAsia="宋体"/>
                <w:color w:val="auto"/>
                <w:sz w:val="24"/>
                <w:szCs w:val="24"/>
                <w:highlight w:val="none"/>
                <w:lang w:eastAsia="en-US"/>
              </w:rPr>
            </w:pPr>
            <w:r>
              <w:rPr>
                <w:rFonts w:hint="eastAsia" w:ascii="宋体" w:hAnsi="宋体" w:eastAsia="宋体"/>
                <w:color w:val="auto"/>
                <w:sz w:val="24"/>
                <w:szCs w:val="24"/>
                <w:highlight w:val="none"/>
                <w:lang w:eastAsia="en-US"/>
              </w:rPr>
              <w:t xml:space="preserve">迪森</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1441"/>
              <w:spacing w:line="360" w:lineRule="atLeas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441"/>
              <w:spacing w:line="360" w:lineRule="atLeas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医院目前的蒸汽时间方式如下：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供应时间：工作日</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供应时段：每天4:30-19：00，总时长15小时/天。蒸汽压力按医用消毒蒸汽技术标准要求(不低于4kg/cm²)提供。</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（5）供配电系统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根据审计现场勘查以及查看电气竣工图纸，医院共有1个低压配电房，位于地下一层。医院现有两条10kV专线同供，6台变压器。</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（6）照明系统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灯具类型：目前医院主要使用的照明灯具为 LED 节能灯。医院在日常运行、维修服务过程中，已逐步将原来的荧光灯具更换为 LED灯具，现有灯具共有8946只。</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控制方式：目前照明采用人工控制方式，办公室、会议室等处的照明采用就地设置。</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2.3 医院近两年能耗情况</w:t>
      </w:r>
      <w:r/>
    </w:p>
    <w:tbl>
      <w:tblPr>
        <w:tblStyle w:val="104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741"/>
        <w:gridCol w:w="1030"/>
        <w:gridCol w:w="1315"/>
        <w:gridCol w:w="1020"/>
        <w:gridCol w:w="1315"/>
        <w:gridCol w:w="1020"/>
        <w:gridCol w:w="1087"/>
      </w:tblGrid>
      <w:tr>
        <w:trPr>
          <w:jc w:val="center"/>
          <w:tblHeader/>
        </w:trPr>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年份</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val="false"/>
          </w:tcPr>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年用电量</w:t>
            </w:r>
            <w:r/>
          </w:p>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（kWh）</w:t>
            </w:r>
            <w:r/>
          </w:p>
        </w:tc>
        <w:tc>
          <w:tcPr>
            <w:tcBorders>
              <w:top w:val="single" w:color="000000" w:sz="4" w:space="0"/>
              <w:left w:val="none" w:color="000000" w:sz="4" w:space="0"/>
              <w:bottom w:val="single" w:color="000000" w:sz="4" w:space="0"/>
              <w:right w:val="single" w:color="000000" w:sz="4" w:space="0"/>
            </w:tcBorders>
            <w:tcW w:w="1315" w:type="dxa"/>
            <w:vAlign w:val="center"/>
            <w:textDirection w:val="lrTb"/>
            <w:noWrap w:val="false"/>
          </w:tcPr>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年电费</w:t>
            </w:r>
            <w:r/>
          </w:p>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（元）</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年用气量</w:t>
            </w:r>
            <w:r/>
          </w:p>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（m3）</w:t>
            </w:r>
            <w:r/>
          </w:p>
        </w:tc>
        <w:tc>
          <w:tcPr>
            <w:tcBorders>
              <w:top w:val="single" w:color="000000" w:sz="4" w:space="0"/>
              <w:left w:val="none" w:color="000000" w:sz="4" w:space="0"/>
              <w:bottom w:val="single" w:color="000000" w:sz="4" w:space="0"/>
              <w:right w:val="single" w:color="000000" w:sz="4" w:space="0"/>
            </w:tcBorders>
            <w:tcW w:w="1315" w:type="dxa"/>
            <w:vAlign w:val="center"/>
            <w:textDirection w:val="lrTb"/>
            <w:noWrap w:val="false"/>
          </w:tcPr>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年气费</w:t>
            </w:r>
            <w:r/>
          </w:p>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（元）</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年用水量</w:t>
            </w:r>
            <w:r/>
          </w:p>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（t）</w:t>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年水费</w:t>
            </w:r>
            <w:r/>
          </w:p>
          <w:p>
            <w:pPr>
              <w:pStyle w:val="1074"/>
              <w:jc w:val="center"/>
              <w:spacing w:beforeAutospacing="0" w:afterAutospacing="0"/>
              <w:widowControl w:val="off"/>
              <w:rPr>
                <w:rFonts w:cs="仿宋"/>
                <w:b/>
                <w:color w:val="auto"/>
                <w:sz w:val="20"/>
                <w:szCs w:val="20"/>
                <w:highlight w:val="none"/>
              </w:rPr>
            </w:pPr>
            <w:r>
              <w:rPr>
                <w:rFonts w:hint="eastAsia" w:cs="仿宋"/>
                <w:b/>
                <w:color w:val="auto"/>
                <w:sz w:val="20"/>
                <w:szCs w:val="20"/>
                <w:highlight w:val="none"/>
              </w:rPr>
              <w:t xml:space="preserve">（元）</w:t>
            </w:r>
            <w:r/>
          </w:p>
        </w:tc>
      </w:tr>
      <w:tr>
        <w:trPr>
          <w:jc w:val="center"/>
        </w:trPr>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74"/>
              <w:jc w:val="center"/>
              <w:spacing w:beforeAutospacing="0" w:afterAutospacing="0"/>
              <w:widowControl w:val="off"/>
              <w:rPr>
                <w:b/>
                <w:bCs/>
                <w:color w:val="auto"/>
                <w:spacing w:val="-2"/>
                <w:sz w:val="22"/>
                <w:szCs w:val="22"/>
                <w:highlight w:val="none"/>
              </w:rPr>
            </w:pPr>
            <w:r>
              <w:rPr>
                <w:rFonts w:hint="eastAsia"/>
                <w:b/>
                <w:bCs/>
                <w:color w:val="auto"/>
                <w:spacing w:val="-2"/>
                <w:sz w:val="22"/>
                <w:szCs w:val="22"/>
                <w:highlight w:val="none"/>
              </w:rPr>
              <w:t xml:space="preserve">2023.10-2024.9</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val="false"/>
          </w:tcPr>
          <w:p>
            <w:pPr>
              <w:pStyle w:val="1074"/>
              <w:jc w:val="center"/>
              <w:spacing w:beforeAutospacing="0" w:afterAutospacing="0"/>
              <w:widowControl w:val="off"/>
              <w:rPr>
                <w:color w:val="auto"/>
                <w:sz w:val="22"/>
                <w:szCs w:val="22"/>
                <w:highlight w:val="none"/>
              </w:rPr>
            </w:pPr>
            <w:r>
              <w:rPr>
                <w:rFonts w:hint="eastAsia"/>
                <w:b/>
                <w:bCs/>
                <w:color w:val="auto"/>
                <w:spacing w:val="-2"/>
                <w:sz w:val="22"/>
                <w:szCs w:val="22"/>
                <w:highlight w:val="none"/>
              </w:rPr>
              <w:t xml:space="preserve">9593400</w:t>
            </w:r>
            <w:r/>
          </w:p>
        </w:tc>
        <w:tc>
          <w:tcPr>
            <w:tcBorders>
              <w:top w:val="single" w:color="000000" w:sz="4" w:space="0"/>
              <w:left w:val="none" w:color="000000" w:sz="4" w:space="0"/>
              <w:bottom w:val="single" w:color="000000" w:sz="4" w:space="0"/>
              <w:right w:val="single" w:color="000000" w:sz="4" w:space="0"/>
            </w:tcBorders>
            <w:tcW w:w="1315" w:type="dxa"/>
            <w:vAlign w:val="center"/>
            <w:textDirection w:val="lrTb"/>
            <w:noWrap w:val="false"/>
          </w:tcPr>
          <w:p>
            <w:pPr>
              <w:pStyle w:val="1074"/>
              <w:jc w:val="right"/>
              <w:spacing w:beforeAutospacing="0" w:afterAutospacing="0"/>
              <w:widowControl w:val="off"/>
              <w:rPr>
                <w:color w:val="auto"/>
                <w:sz w:val="22"/>
                <w:szCs w:val="22"/>
                <w:highlight w:val="none"/>
              </w:rPr>
            </w:pPr>
            <w:r>
              <w:rPr>
                <w:rFonts w:hint="eastAsia"/>
                <w:b/>
                <w:bCs/>
                <w:color w:val="auto"/>
                <w:spacing w:val="-1"/>
                <w:sz w:val="22"/>
                <w:szCs w:val="22"/>
                <w:highlight w:val="none"/>
              </w:rPr>
              <w:t xml:space="preserve">7051924.66</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74"/>
              <w:jc w:val="center"/>
              <w:spacing w:beforeAutospacing="0" w:afterAutospacing="0"/>
              <w:widowControl w:val="off"/>
              <w:rPr>
                <w:color w:val="auto"/>
                <w:sz w:val="22"/>
                <w:szCs w:val="22"/>
                <w:highlight w:val="none"/>
              </w:rPr>
            </w:pPr>
            <w:r>
              <w:rPr>
                <w:rFonts w:hint="eastAsia"/>
                <w:b/>
                <w:bCs/>
                <w:color w:val="auto"/>
                <w:spacing w:val="-2"/>
                <w:sz w:val="22"/>
                <w:szCs w:val="22"/>
                <w:highlight w:val="none"/>
              </w:rPr>
              <w:t xml:space="preserve">767936</w:t>
            </w:r>
            <w:r/>
          </w:p>
        </w:tc>
        <w:tc>
          <w:tcPr>
            <w:tcBorders>
              <w:top w:val="single" w:color="000000" w:sz="4" w:space="0"/>
              <w:left w:val="none" w:color="000000" w:sz="4" w:space="0"/>
              <w:bottom w:val="single" w:color="000000" w:sz="4" w:space="0"/>
              <w:right w:val="single" w:color="000000" w:sz="4" w:space="0"/>
            </w:tcBorders>
            <w:tcW w:w="1315" w:type="dxa"/>
            <w:vAlign w:val="center"/>
            <w:textDirection w:val="lrTb"/>
            <w:noWrap w:val="false"/>
          </w:tcPr>
          <w:p>
            <w:pPr>
              <w:pStyle w:val="1074"/>
              <w:jc w:val="right"/>
              <w:spacing w:beforeAutospacing="0" w:afterAutospacing="0"/>
              <w:widowControl w:val="off"/>
              <w:rPr>
                <w:color w:val="auto"/>
                <w:sz w:val="22"/>
                <w:szCs w:val="22"/>
                <w:highlight w:val="none"/>
              </w:rPr>
            </w:pPr>
            <w:r>
              <w:rPr>
                <w:rFonts w:hint="eastAsia"/>
                <w:b/>
                <w:bCs/>
                <w:color w:val="auto"/>
                <w:spacing w:val="-1"/>
                <w:sz w:val="22"/>
                <w:szCs w:val="22"/>
                <w:highlight w:val="none"/>
              </w:rPr>
              <w:t xml:space="preserve">3627914.63</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74"/>
              <w:jc w:val="center"/>
              <w:spacing w:beforeAutospacing="0" w:afterAutospacing="0"/>
              <w:widowControl w:val="off"/>
              <w:rPr>
                <w:color w:val="auto"/>
                <w:sz w:val="22"/>
                <w:szCs w:val="22"/>
                <w:highlight w:val="none"/>
              </w:rPr>
            </w:pPr>
            <w:r>
              <w:rPr>
                <w:rFonts w:hint="eastAsia"/>
                <w:b/>
                <w:bCs/>
                <w:color w:val="auto"/>
                <w:spacing w:val="-3"/>
                <w:sz w:val="22"/>
                <w:szCs w:val="22"/>
                <w:highlight w:val="none"/>
              </w:rPr>
              <w:t xml:space="preserve">159430</w:t>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pStyle w:val="1074"/>
              <w:jc w:val="right"/>
              <w:spacing w:beforeAutospacing="0" w:afterAutospacing="0"/>
              <w:widowControl w:val="off"/>
              <w:rPr>
                <w:color w:val="auto"/>
                <w:sz w:val="22"/>
                <w:szCs w:val="22"/>
                <w:highlight w:val="none"/>
              </w:rPr>
            </w:pPr>
            <w:r>
              <w:rPr>
                <w:rFonts w:hint="eastAsia"/>
                <w:b/>
                <w:bCs/>
                <w:color w:val="auto"/>
                <w:spacing w:val="-2"/>
                <w:sz w:val="22"/>
                <w:szCs w:val="22"/>
                <w:highlight w:val="none"/>
              </w:rPr>
              <w:t xml:space="preserve">625839.4</w:t>
            </w:r>
            <w:r/>
          </w:p>
        </w:tc>
      </w:tr>
      <w:tr>
        <w:trPr>
          <w:jc w:val="center"/>
        </w:trPr>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74"/>
              <w:jc w:val="center"/>
              <w:spacing w:beforeAutospacing="0" w:afterAutospacing="0"/>
              <w:widowControl w:val="off"/>
              <w:rPr>
                <w:b/>
                <w:bCs/>
                <w:color w:val="auto"/>
                <w:spacing w:val="-2"/>
                <w:sz w:val="22"/>
                <w:szCs w:val="22"/>
                <w:highlight w:val="none"/>
              </w:rPr>
            </w:pPr>
            <w:r>
              <w:rPr>
                <w:rFonts w:hint="eastAsia"/>
                <w:b/>
                <w:bCs/>
                <w:color w:val="auto"/>
                <w:spacing w:val="-2"/>
                <w:sz w:val="22"/>
                <w:szCs w:val="22"/>
                <w:highlight w:val="none"/>
              </w:rPr>
              <w:t xml:space="preserve">2024.10-2025.9</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val="false"/>
          </w:tcPr>
          <w:p>
            <w:pPr>
              <w:pStyle w:val="1074"/>
              <w:jc w:val="center"/>
              <w:spacing w:beforeAutospacing="0" w:afterAutospacing="0"/>
              <w:widowControl w:val="off"/>
              <w:rPr>
                <w:color w:val="auto"/>
                <w:sz w:val="22"/>
                <w:szCs w:val="22"/>
                <w:highlight w:val="none"/>
              </w:rPr>
            </w:pPr>
            <w:r>
              <w:rPr>
                <w:rFonts w:hint="eastAsia"/>
                <w:b/>
                <w:bCs/>
                <w:color w:val="auto"/>
                <w:spacing w:val="-2"/>
                <w:sz w:val="22"/>
                <w:szCs w:val="22"/>
                <w:highlight w:val="none"/>
              </w:rPr>
              <w:t xml:space="preserve">9157450</w:t>
            </w:r>
            <w:r/>
          </w:p>
        </w:tc>
        <w:tc>
          <w:tcPr>
            <w:tcBorders>
              <w:top w:val="single" w:color="000000" w:sz="4" w:space="0"/>
              <w:left w:val="none" w:color="000000" w:sz="4" w:space="0"/>
              <w:bottom w:val="single" w:color="000000" w:sz="4" w:space="0"/>
              <w:right w:val="single" w:color="000000" w:sz="4" w:space="0"/>
            </w:tcBorders>
            <w:tcW w:w="1315" w:type="dxa"/>
            <w:vAlign w:val="center"/>
            <w:textDirection w:val="lrTb"/>
            <w:noWrap w:val="false"/>
          </w:tcPr>
          <w:p>
            <w:pPr>
              <w:pStyle w:val="1074"/>
              <w:jc w:val="right"/>
              <w:spacing w:beforeAutospacing="0" w:afterAutospacing="0"/>
              <w:widowControl w:val="off"/>
              <w:rPr>
                <w:color w:val="auto"/>
                <w:sz w:val="22"/>
                <w:szCs w:val="22"/>
                <w:highlight w:val="none"/>
              </w:rPr>
            </w:pPr>
            <w:r>
              <w:rPr>
                <w:rFonts w:hint="eastAsia"/>
                <w:b/>
                <w:bCs/>
                <w:color w:val="auto"/>
                <w:spacing w:val="-1"/>
                <w:sz w:val="22"/>
                <w:szCs w:val="22"/>
                <w:highlight w:val="none"/>
              </w:rPr>
              <w:t xml:space="preserve">6499714.56</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74"/>
              <w:jc w:val="center"/>
              <w:spacing w:beforeAutospacing="0" w:afterAutospacing="0"/>
              <w:widowControl w:val="off"/>
              <w:rPr>
                <w:color w:val="auto"/>
                <w:sz w:val="22"/>
                <w:szCs w:val="22"/>
                <w:highlight w:val="none"/>
              </w:rPr>
            </w:pPr>
            <w:r>
              <w:rPr>
                <w:rFonts w:hint="eastAsia"/>
                <w:b/>
                <w:bCs/>
                <w:color w:val="auto"/>
                <w:spacing w:val="-2"/>
                <w:sz w:val="22"/>
                <w:szCs w:val="22"/>
                <w:highlight w:val="none"/>
              </w:rPr>
              <w:t xml:space="preserve">684174</w:t>
            </w:r>
            <w:r/>
          </w:p>
        </w:tc>
        <w:tc>
          <w:tcPr>
            <w:tcBorders>
              <w:top w:val="single" w:color="000000" w:sz="4" w:space="0"/>
              <w:left w:val="none" w:color="000000" w:sz="4" w:space="0"/>
              <w:bottom w:val="single" w:color="000000" w:sz="4" w:space="0"/>
              <w:right w:val="single" w:color="000000" w:sz="4" w:space="0"/>
            </w:tcBorders>
            <w:tcW w:w="1315" w:type="dxa"/>
            <w:vAlign w:val="center"/>
            <w:textDirection w:val="lrTb"/>
            <w:noWrap w:val="false"/>
          </w:tcPr>
          <w:p>
            <w:pPr>
              <w:pStyle w:val="1074"/>
              <w:jc w:val="right"/>
              <w:spacing w:beforeAutospacing="0" w:afterAutospacing="0"/>
              <w:widowControl w:val="off"/>
              <w:rPr>
                <w:color w:val="auto"/>
                <w:sz w:val="22"/>
                <w:szCs w:val="22"/>
                <w:highlight w:val="none"/>
              </w:rPr>
            </w:pPr>
            <w:r>
              <w:rPr>
                <w:rFonts w:hint="eastAsia"/>
                <w:b/>
                <w:bCs/>
                <w:color w:val="auto"/>
                <w:spacing w:val="-1"/>
                <w:sz w:val="22"/>
                <w:szCs w:val="22"/>
                <w:highlight w:val="none"/>
              </w:rPr>
              <w:t xml:space="preserve">2903974.05</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74"/>
              <w:jc w:val="center"/>
              <w:spacing w:beforeAutospacing="0" w:afterAutospacing="0"/>
              <w:widowControl w:val="off"/>
              <w:rPr>
                <w:color w:val="auto"/>
                <w:sz w:val="22"/>
                <w:szCs w:val="22"/>
                <w:highlight w:val="none"/>
              </w:rPr>
            </w:pPr>
            <w:r>
              <w:rPr>
                <w:rFonts w:hint="eastAsia"/>
                <w:b/>
                <w:bCs/>
                <w:color w:val="auto"/>
                <w:spacing w:val="-3"/>
                <w:sz w:val="22"/>
                <w:szCs w:val="22"/>
                <w:highlight w:val="none"/>
              </w:rPr>
              <w:t xml:space="preserve">133310</w:t>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pStyle w:val="1074"/>
              <w:jc w:val="right"/>
              <w:spacing w:beforeAutospacing="0" w:afterAutospacing="0"/>
              <w:widowControl w:val="off"/>
              <w:rPr>
                <w:color w:val="auto"/>
                <w:sz w:val="22"/>
                <w:szCs w:val="22"/>
                <w:highlight w:val="none"/>
              </w:rPr>
            </w:pPr>
            <w:r>
              <w:rPr>
                <w:rFonts w:hint="eastAsia"/>
                <w:b/>
                <w:bCs/>
                <w:color w:val="auto"/>
                <w:spacing w:val="-2"/>
                <w:sz w:val="22"/>
                <w:szCs w:val="22"/>
                <w:highlight w:val="none"/>
              </w:rPr>
              <w:t xml:space="preserve">523908.3</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（三）能源托管范围</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1、本项目托管能源类型</w:t>
      </w:r>
      <w:r/>
    </w:p>
    <w:tbl>
      <w:tblPr>
        <w:tblStyle w:val="104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9"/>
        <w:gridCol w:w="2502"/>
        <w:gridCol w:w="2505"/>
      </w:tblGrid>
      <w:tr>
        <w:trPr>
          <w:jc w:val="center"/>
          <w:tblHeader/>
        </w:trPr>
        <w:tc>
          <w:tcPr>
            <w:tcW w:w="3519" w:type="dxa"/>
            <w:vAlign w:val="center"/>
            <w:textDirection w:val="lrTb"/>
            <w:noWrap w:val="false"/>
          </w:tcPr>
          <w:p>
            <w:pPr>
              <w:jc w:val="center"/>
              <w:spacing w:before="130"/>
              <w:rPr>
                <w:rFonts w:ascii="宋体" w:hAnsi="宋体" w:cs="仿宋"/>
                <w:b/>
                <w:color w:val="auto"/>
                <w:spacing w:val="-4"/>
                <w:sz w:val="24"/>
                <w:highlight w:val="none"/>
              </w:rPr>
            </w:pPr>
            <w:r/>
            <w:bookmarkStart w:id="817" w:name="_Hlk101944877"/>
            <w:r>
              <w:rPr>
                <w:rFonts w:hint="eastAsia" w:ascii="宋体" w:hAnsi="宋体" w:cs="仿宋"/>
                <w:b/>
                <w:color w:val="auto"/>
                <w:spacing w:val="-4"/>
                <w:sz w:val="24"/>
                <w:highlight w:val="none"/>
              </w:rPr>
              <w:t xml:space="preserve">托管能源类型</w:t>
            </w:r>
            <w:r/>
          </w:p>
        </w:tc>
        <w:tc>
          <w:tcPr>
            <w:tcW w:w="2502" w:type="dxa"/>
            <w:vAlign w:val="center"/>
            <w:textDirection w:val="lrTb"/>
            <w:noWrap w:val="false"/>
          </w:tcPr>
          <w:p>
            <w:pPr>
              <w:jc w:val="center"/>
              <w:spacing w:before="130"/>
              <w:rPr>
                <w:rFonts w:ascii="宋体" w:hAnsi="宋体" w:cs="仿宋"/>
                <w:b/>
                <w:color w:val="auto"/>
                <w:spacing w:val="-4"/>
                <w:sz w:val="24"/>
                <w:highlight w:val="none"/>
              </w:rPr>
            </w:pPr>
            <w:r>
              <w:rPr>
                <w:rFonts w:hint="eastAsia" w:ascii="宋体" w:hAnsi="宋体" w:cs="仿宋"/>
                <w:b/>
                <w:color w:val="auto"/>
                <w:spacing w:val="-4"/>
                <w:sz w:val="24"/>
                <w:highlight w:val="none"/>
              </w:rPr>
              <w:t xml:space="preserve">计量户号</w:t>
            </w:r>
            <w:r/>
          </w:p>
        </w:tc>
        <w:tc>
          <w:tcPr>
            <w:tcW w:w="2505" w:type="dxa"/>
            <w:vAlign w:val="center"/>
            <w:textDirection w:val="lrTb"/>
            <w:noWrap w:val="false"/>
          </w:tcPr>
          <w:p>
            <w:pPr>
              <w:jc w:val="center"/>
              <w:spacing w:before="130"/>
              <w:rPr>
                <w:rFonts w:ascii="宋体" w:hAnsi="宋体" w:cs="仿宋"/>
                <w:b/>
                <w:color w:val="auto"/>
                <w:spacing w:val="-4"/>
                <w:sz w:val="24"/>
                <w:highlight w:val="none"/>
              </w:rPr>
            </w:pPr>
            <w:r>
              <w:rPr>
                <w:rFonts w:hint="eastAsia" w:ascii="宋体" w:hAnsi="宋体" w:cs="仿宋"/>
                <w:b/>
                <w:color w:val="auto"/>
                <w:spacing w:val="-4"/>
                <w:sz w:val="24"/>
                <w:highlight w:val="none"/>
              </w:rPr>
              <w:t xml:space="preserve">计量户名</w:t>
            </w:r>
            <w:r/>
          </w:p>
        </w:tc>
      </w:tr>
      <w:tr>
        <w:trPr>
          <w:jc w:val="center"/>
        </w:trPr>
        <w:tc>
          <w:tcPr>
            <w:tcW w:w="3519" w:type="dxa"/>
            <w:vAlign w:val="center"/>
            <w:textDirection w:val="lrTb"/>
            <w:noWrap w:val="false"/>
          </w:tcPr>
          <w:p>
            <w:pPr>
              <w:jc w:val="left"/>
              <w:spacing w:before="130"/>
              <w:rPr>
                <w:rFonts w:ascii="宋体" w:hAnsi="宋体" w:cs="仿宋"/>
                <w:color w:val="auto"/>
                <w:spacing w:val="-4"/>
                <w:sz w:val="24"/>
                <w:highlight w:val="none"/>
              </w:rPr>
            </w:pPr>
            <w:r>
              <w:rPr>
                <w:rFonts w:hint="eastAsia" w:ascii="宋体" w:hAnsi="宋体" w:cs="仿宋"/>
                <w:color w:val="auto"/>
                <w:spacing w:val="-4"/>
                <w:sz w:val="24"/>
                <w:highlight w:val="none"/>
              </w:rPr>
              <w:t xml:space="preserve">电</w:t>
            </w:r>
            <w:r/>
          </w:p>
        </w:tc>
        <w:tc>
          <w:tcPr>
            <w:tcW w:w="2502" w:type="dxa"/>
            <w:vAlign w:val="center"/>
            <w:textDirection w:val="lrTb"/>
            <w:noWrap w:val="false"/>
          </w:tcPr>
          <w:p>
            <w:pPr>
              <w:jc w:val="center"/>
              <w:spacing w:before="130"/>
              <w:rPr>
                <w:rFonts w:ascii="宋体" w:hAnsi="宋体" w:cs="仿宋"/>
                <w:color w:val="auto"/>
                <w:spacing w:val="-4"/>
                <w:sz w:val="24"/>
                <w:highlight w:val="none"/>
              </w:rPr>
            </w:pPr>
            <w:r>
              <w:rPr>
                <w:rFonts w:hint="eastAsia"/>
                <w:color w:val="auto"/>
                <w:sz w:val="28"/>
                <w:szCs w:val="28"/>
                <w:highlight w:val="none"/>
              </w:rPr>
              <w:t xml:space="preserve">3203601866321</w:t>
            </w:r>
            <w:r/>
          </w:p>
        </w:tc>
        <w:tc>
          <w:tcPr>
            <w:tcW w:w="2505" w:type="dxa"/>
            <w:vAlign w:val="center"/>
            <w:textDirection w:val="lrTb"/>
            <w:noWrap w:val="false"/>
          </w:tcPr>
          <w:p>
            <w:pPr>
              <w:jc w:val="center"/>
              <w:spacing w:before="130"/>
              <w:rPr>
                <w:rFonts w:ascii="宋体" w:hAnsi="宋体" w:cs="仿宋"/>
                <w:color w:val="auto"/>
                <w:spacing w:val="-4"/>
                <w:sz w:val="24"/>
                <w:highlight w:val="none"/>
              </w:rPr>
            </w:pPr>
            <w:r>
              <w:rPr>
                <w:rFonts w:ascii="宋体" w:hAnsi="宋体" w:cs="仿宋"/>
                <w:color w:val="auto"/>
                <w:spacing w:val="-4"/>
                <w:sz w:val="24"/>
                <w:highlight w:val="none"/>
              </w:rPr>
            </w:r>
            <w:r/>
          </w:p>
        </w:tc>
      </w:tr>
      <w:tr>
        <w:trPr>
          <w:jc w:val="center"/>
        </w:trPr>
        <w:tc>
          <w:tcPr>
            <w:tcW w:w="3519" w:type="dxa"/>
            <w:vAlign w:val="center"/>
            <w:textDirection w:val="lrTb"/>
            <w:noWrap w:val="false"/>
          </w:tcPr>
          <w:p>
            <w:pPr>
              <w:jc w:val="left"/>
              <w:spacing w:before="130"/>
              <w:rPr>
                <w:rFonts w:ascii="宋体" w:hAnsi="宋体" w:cs="仿宋"/>
                <w:color w:val="auto"/>
                <w:spacing w:val="-4"/>
                <w:sz w:val="24"/>
                <w:highlight w:val="none"/>
              </w:rPr>
            </w:pPr>
            <w:r>
              <w:rPr>
                <w:rFonts w:hint="eastAsia" w:ascii="宋体" w:hAnsi="宋体" w:cs="仿宋"/>
                <w:color w:val="auto"/>
                <w:spacing w:val="-4"/>
                <w:sz w:val="24"/>
                <w:highlight w:val="none"/>
              </w:rPr>
              <w:t xml:space="preserve">天然气</w:t>
            </w:r>
            <w:r/>
          </w:p>
        </w:tc>
        <w:tc>
          <w:tcPr>
            <w:tcW w:w="2502" w:type="dxa"/>
            <w:vAlign w:val="center"/>
            <w:textDirection w:val="lrTb"/>
            <w:noWrap w:val="false"/>
          </w:tcPr>
          <w:p>
            <w:pPr>
              <w:jc w:val="center"/>
              <w:spacing w:before="130"/>
              <w:rPr>
                <w:color w:val="auto"/>
                <w:sz w:val="28"/>
                <w:szCs w:val="28"/>
                <w:highlight w:val="none"/>
              </w:rPr>
            </w:pPr>
            <w:r>
              <w:rPr>
                <w:rFonts w:hint="eastAsia"/>
                <w:color w:val="auto"/>
                <w:sz w:val="28"/>
                <w:szCs w:val="28"/>
                <w:highlight w:val="none"/>
              </w:rPr>
              <w:t xml:space="preserve">1652100003</w:t>
            </w:r>
            <w:r/>
          </w:p>
          <w:p>
            <w:pPr>
              <w:jc w:val="center"/>
              <w:spacing w:before="130"/>
              <w:rPr>
                <w:color w:val="auto"/>
                <w:sz w:val="28"/>
                <w:szCs w:val="28"/>
                <w:highlight w:val="none"/>
              </w:rPr>
            </w:pPr>
            <w:r>
              <w:rPr>
                <w:rFonts w:hint="eastAsia"/>
                <w:color w:val="auto"/>
                <w:sz w:val="28"/>
                <w:szCs w:val="28"/>
                <w:highlight w:val="none"/>
              </w:rPr>
              <w:t xml:space="preserve">1652400020</w:t>
            </w:r>
            <w:r/>
          </w:p>
          <w:p>
            <w:pPr>
              <w:jc w:val="center"/>
              <w:spacing w:before="130"/>
              <w:rPr>
                <w:color w:val="auto"/>
                <w:sz w:val="28"/>
                <w:szCs w:val="28"/>
                <w:highlight w:val="none"/>
              </w:rPr>
            </w:pPr>
            <w:r>
              <w:rPr>
                <w:rFonts w:hint="eastAsia"/>
                <w:color w:val="auto"/>
                <w:sz w:val="28"/>
                <w:szCs w:val="28"/>
                <w:highlight w:val="none"/>
              </w:rPr>
              <w:t xml:space="preserve">1652400021</w:t>
            </w:r>
            <w:r/>
          </w:p>
          <w:p>
            <w:pPr>
              <w:jc w:val="center"/>
              <w:spacing w:before="130"/>
              <w:rPr>
                <w:rFonts w:ascii="宋体" w:hAnsi="宋体" w:cs="仿宋"/>
                <w:color w:val="auto"/>
                <w:spacing w:val="-4"/>
                <w:sz w:val="24"/>
                <w:highlight w:val="none"/>
              </w:rPr>
            </w:pPr>
            <w:r>
              <w:rPr>
                <w:rFonts w:hint="eastAsia"/>
                <w:color w:val="auto"/>
                <w:sz w:val="28"/>
                <w:szCs w:val="28"/>
                <w:highlight w:val="none"/>
              </w:rPr>
              <w:t xml:space="preserve">1652400022</w:t>
            </w:r>
            <w:r/>
          </w:p>
        </w:tc>
        <w:tc>
          <w:tcPr>
            <w:tcW w:w="2505" w:type="dxa"/>
            <w:vAlign w:val="center"/>
            <w:textDirection w:val="lrTb"/>
            <w:noWrap w:val="false"/>
          </w:tcPr>
          <w:p>
            <w:pPr>
              <w:jc w:val="center"/>
              <w:spacing w:before="130"/>
              <w:rPr>
                <w:rFonts w:ascii="宋体" w:hAnsi="宋体" w:cs="仿宋"/>
                <w:color w:val="auto"/>
                <w:spacing w:val="-4"/>
                <w:sz w:val="24"/>
                <w:highlight w:val="none"/>
              </w:rPr>
            </w:pPr>
            <w:r>
              <w:rPr>
                <w:rFonts w:ascii="宋体" w:hAnsi="宋体" w:cs="仿宋"/>
                <w:color w:val="auto"/>
                <w:spacing w:val="-4"/>
                <w:sz w:val="24"/>
                <w:highlight w:val="none"/>
              </w:rPr>
            </w:r>
            <w:r/>
          </w:p>
        </w:tc>
      </w:tr>
      <w:tr>
        <w:trPr>
          <w:jc w:val="center"/>
        </w:trPr>
        <w:tc>
          <w:tcPr>
            <w:tcW w:w="3519" w:type="dxa"/>
            <w:vAlign w:val="center"/>
            <w:textDirection w:val="lrTb"/>
            <w:noWrap w:val="false"/>
          </w:tcPr>
          <w:p>
            <w:pPr>
              <w:spacing w:before="130"/>
              <w:rPr>
                <w:rFonts w:ascii="宋体" w:hAnsi="宋体" w:cs="仿宋"/>
                <w:color w:val="auto"/>
                <w:spacing w:val="-4"/>
                <w:sz w:val="24"/>
                <w:highlight w:val="none"/>
              </w:rPr>
            </w:pPr>
            <w:r>
              <w:rPr>
                <w:rFonts w:hint="eastAsia" w:ascii="宋体" w:hAnsi="宋体" w:cs="仿宋"/>
                <w:color w:val="auto"/>
                <w:spacing w:val="-4"/>
                <w:sz w:val="24"/>
                <w:highlight w:val="none"/>
              </w:rPr>
              <w:t xml:space="preserve">水</w:t>
            </w:r>
            <w:r/>
          </w:p>
        </w:tc>
        <w:tc>
          <w:tcPr>
            <w:tcW w:w="2502" w:type="dxa"/>
            <w:vAlign w:val="center"/>
            <w:textDirection w:val="lrTb"/>
            <w:noWrap w:val="false"/>
          </w:tcPr>
          <w:p>
            <w:pPr>
              <w:jc w:val="center"/>
              <w:spacing w:before="130"/>
              <w:rPr>
                <w:rFonts w:ascii="宋体" w:hAnsi="宋体" w:cs="仿宋"/>
                <w:color w:val="auto"/>
                <w:spacing w:val="-4"/>
                <w:sz w:val="24"/>
                <w:highlight w:val="none"/>
              </w:rPr>
            </w:pPr>
            <w:r>
              <w:rPr>
                <w:rFonts w:hint="eastAsia"/>
                <w:color w:val="auto"/>
                <w:sz w:val="28"/>
                <w:szCs w:val="28"/>
                <w:highlight w:val="none"/>
              </w:rPr>
              <w:t xml:space="preserve">3447404670</w:t>
            </w:r>
            <w:bookmarkEnd w:id="817"/>
            <w:r/>
            <w:r/>
          </w:p>
        </w:tc>
        <w:tc>
          <w:tcPr>
            <w:tcW w:w="2505" w:type="dxa"/>
            <w:vAlign w:val="center"/>
            <w:textDirection w:val="lrTb"/>
            <w:noWrap w:val="false"/>
          </w:tcPr>
          <w:p>
            <w:pPr>
              <w:jc w:val="center"/>
              <w:spacing w:before="130"/>
              <w:rPr>
                <w:rFonts w:ascii="宋体" w:hAnsi="宋体" w:cs="仿宋"/>
                <w:color w:val="auto"/>
                <w:spacing w:val="-4"/>
                <w:sz w:val="24"/>
                <w:highlight w:val="none"/>
              </w:rPr>
            </w:pPr>
            <w:r>
              <w:rPr>
                <w:rFonts w:ascii="宋体" w:hAnsi="宋体" w:cs="仿宋"/>
                <w:color w:val="auto"/>
                <w:spacing w:val="-4"/>
                <w:sz w:val="24"/>
                <w:highlight w:val="none"/>
              </w:rPr>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2.能源托管范围：</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审计报表出具前常州市肿瘤医院已投用的建筑面积和用能设备及器具以及平台部署及节能技改建设期投入的用能设备及器具在本项目托管服务期内产生的水、电、气能源费用，托管期内的后勤运维服务。</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托管建筑面积详见《附表1：托管用能建筑范围》，托管用能设备及器具详见《附表2托管用能设备及器具》，托管范围内建筑的能源供应标准详见《附表3：能源供应及服务标准》。医院于审计报表出具后新增的建筑面积及用能设备器具不在本次托管范围内，平台部署及节能技改建设期投入的用能设备及器具纳入本次托管范围内</w:t>
      </w:r>
      <w:r>
        <w:rPr>
          <w:rFonts w:hint="eastAsia" w:ascii="宋体" w:hAnsi="宋体" w:cs="宋体"/>
          <w:color w:val="auto"/>
          <w:sz w:val="24"/>
          <w:szCs w:val="24"/>
          <w:highlight w:val="none"/>
        </w:rPr>
        <w:t xml:space="preserve">，具体清单在</w:t>
      </w:r>
      <w:r>
        <w:rPr>
          <w:rFonts w:hint="eastAsia" w:ascii="宋体" w:hAnsi="宋体" w:cs="宋体"/>
          <w:color w:val="auto"/>
          <w:sz w:val="24"/>
          <w:szCs w:val="24"/>
          <w:highlight w:val="none"/>
          <w:lang w:val="en-US" w:eastAsia="zh-CN"/>
        </w:rPr>
        <w:t xml:space="preserve">进入托管</w:t>
      </w:r>
      <w:r>
        <w:rPr>
          <w:rFonts w:hint="eastAsia" w:ascii="宋体" w:hAnsi="宋体" w:cs="宋体"/>
          <w:color w:val="auto"/>
          <w:sz w:val="24"/>
          <w:szCs w:val="24"/>
          <w:highlight w:val="none"/>
        </w:rPr>
        <w:t xml:space="preserve">前由双方共同完成建筑、设备、设施及其他相关内容交接，交接清单由双方签字确认。</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附表1：托管用能建筑范围</w:t>
      </w:r>
      <w:r/>
    </w:p>
    <w:tbl>
      <w:tblPr>
        <w:tblStyle w:val="10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38"/>
        <w:gridCol w:w="1233"/>
        <w:gridCol w:w="638"/>
        <w:gridCol w:w="1060"/>
        <w:gridCol w:w="3899"/>
        <w:gridCol w:w="1060"/>
      </w:tblGrid>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建筑名称</w:t>
            </w:r>
            <w:r/>
          </w:p>
        </w:tc>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楼层</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建筑面积</w:t>
            </w:r>
            <w:r/>
          </w:p>
        </w:tc>
        <w:tc>
          <w:tcPr>
            <w:tcBorders>
              <w:top w:val="single" w:color="000000" w:sz="4" w:space="0"/>
              <w:left w:val="single" w:color="000000" w:sz="4" w:space="0"/>
              <w:bottom w:val="single" w:color="000000" w:sz="4" w:space="0"/>
              <w:right w:val="single" w:color="000000" w:sz="4" w:space="0"/>
            </w:tcBorders>
            <w:tcW w:w="389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用途</w:t>
            </w:r>
            <w:r/>
          </w:p>
        </w:tc>
        <w:tc>
          <w:tcPr>
            <w:tcBorders>
              <w:top w:val="single" w:color="000000" w:sz="4" w:space="0"/>
              <w:left w:val="single" w:color="000000" w:sz="4" w:space="0"/>
              <w:bottom w:val="single" w:color="000000" w:sz="4" w:space="0"/>
              <w:right w:val="single" w:color="000000" w:sz="4" w:space="0"/>
            </w:tcBorders>
            <w:tcW w:w="1060"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托管范围</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3899"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0"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医疗综合楼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10263</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急诊、住院部、门诊大厅、药房、A1、A2、A3区域等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食堂、超市、零售等外包服务单位</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823"/>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9916</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放射科区域、肿瘤区域、食堂、消毒供应区域、A1、A2、A3区域等</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1097"/>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9111</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检验科区域、口腔科区域、病理科区域、中心实验室区域、</w:t>
            </w:r>
            <w:r>
              <w:rPr>
                <w:rFonts w:hint="eastAsia" w:ascii="宋体" w:hAnsi="宋体" w:cs="宋体"/>
                <w:color w:val="auto"/>
                <w:szCs w:val="21"/>
                <w:highlight w:val="none"/>
                <w:lang w:val="en-US" w:eastAsia="zh-CN"/>
              </w:rPr>
              <w:t xml:space="preserve">信</w:t>
            </w:r>
            <w:r>
              <w:rPr>
                <w:rFonts w:hint="eastAsia" w:ascii="宋体" w:hAnsi="宋体" w:cs="宋体"/>
                <w:color w:val="auto"/>
                <w:szCs w:val="21"/>
                <w:highlight w:val="none"/>
              </w:rPr>
              <w:t xml:space="preserve">息科区域、A1、A2、A3区域等</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1097"/>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9917</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手术室/ICU 区域、大会堂区域、静脉配中心药房区域、血透中心、A1、A2、A3区域等</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病房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肿瘤中心大楼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1770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肿瘤中心</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1770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肿瘤中心</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1770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肿瘤中心</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1770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肿瘤中心</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发热门诊</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发热门诊</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发热门诊</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gridSpan w:val="2"/>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空调房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gridSpan w:val="2"/>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锅炉房</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gridSpan w:val="2"/>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650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高配间</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gridSpan w:val="2"/>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太平间</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gridSpan w:val="2"/>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外场</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液氧站</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托管区域</w:t>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66767</w:t>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附表2：托管用能设备及器具</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1.大型医疗设备清单</w:t>
      </w:r>
      <w:r/>
    </w:p>
    <w:tbl>
      <w:tblPr>
        <w:tblStyle w:val="1042"/>
        <w:tblW w:w="48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2754"/>
        <w:gridCol w:w="978"/>
        <w:gridCol w:w="1848"/>
        <w:gridCol w:w="543"/>
        <w:gridCol w:w="543"/>
        <w:gridCol w:w="984"/>
      </w:tblGrid>
      <w:tr>
        <w:trPr>
          <w:jc w:val="center"/>
          <w:tblHeader/>
        </w:trPr>
        <w:tc>
          <w:tcPr>
            <w:gridSpan w:val="7"/>
            <w:tcW w:w="830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大型医疗设备清单</w:t>
            </w:r>
            <w:r/>
          </w:p>
        </w:tc>
      </w:tr>
      <w:tr>
        <w:trPr>
          <w:jc w:val="center"/>
          <w:tblHeader/>
        </w:trPr>
        <w:tc>
          <w:tcPr>
            <w:tcW w:w="64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ffffff"/>
            <w:tcW w:w="275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设备名称</w:t>
            </w:r>
            <w:r/>
          </w:p>
        </w:tc>
        <w:tc>
          <w:tcPr>
            <w:shd w:val="clear" w:color="auto" w:fill="ffffff"/>
            <w:tcW w:w="97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品牌</w:t>
            </w:r>
            <w:r/>
          </w:p>
        </w:tc>
        <w:tc>
          <w:tcPr>
            <w:shd w:val="clear" w:color="auto" w:fill="ffffff"/>
            <w:tcW w:w="184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型号</w:t>
            </w:r>
            <w:r/>
          </w:p>
        </w:tc>
        <w:tc>
          <w:tcPr>
            <w:shd w:val="clear" w:color="auto" w:fill="ffffff"/>
            <w:tcW w:w="5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shd w:val="clear" w:color="auto" w:fill="ffffff"/>
            <w:tcW w:w="5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shd w:val="clear" w:color="auto" w:fill="ffffff"/>
            <w:tcW w:w="98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当前状态</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W w:w="2756" w:type="dxa"/>
            <w:vAlign w:val="center"/>
            <w:textDirection w:val="lrTb"/>
            <w:noWrap w:val="false"/>
          </w:tcPr>
          <w:p>
            <w:pPr>
              <w:jc w:val="left"/>
              <w:widowControl/>
              <w:rPr>
                <w:rFonts w:hint="eastAsia" w:hAnsi="宋体" w:eastAsia="宋体" w:cs="宋体"/>
                <w:color w:val="auto"/>
                <w:szCs w:val="21"/>
                <w:highlight w:val="none"/>
                <w:lang w:eastAsia="zh-CN"/>
              </w:rPr>
            </w:pPr>
            <w:r>
              <w:rPr>
                <w:rFonts w:hint="eastAsia" w:hAnsi="宋体" w:cs="宋体"/>
                <w:color w:val="auto"/>
                <w:szCs w:val="21"/>
                <w:highlight w:val="none"/>
              </w:rPr>
              <w:t xml:space="preserve">医用直线加速器</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乙类</w:t>
            </w:r>
            <w:r>
              <w:rPr>
                <w:rFonts w:hint="eastAsia" w:hAnsi="宋体" w:cs="宋体"/>
                <w:color w:val="auto"/>
                <w:szCs w:val="21"/>
                <w:highlight w:val="none"/>
                <w:lang w:eastAsia="zh-CN"/>
              </w:rPr>
              <w:t xml:space="preserve">）</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瓦里安</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Clinac ix</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W w:w="2756" w:type="dxa"/>
            <w:vAlign w:val="center"/>
            <w:textDirection w:val="lrTb"/>
            <w:noWrap w:val="false"/>
          </w:tcPr>
          <w:p>
            <w:pPr>
              <w:jc w:val="left"/>
              <w:widowControl/>
              <w:rPr>
                <w:rFonts w:hint="eastAsia" w:hAnsi="宋体" w:eastAsia="宋体" w:cs="宋体"/>
                <w:color w:val="auto"/>
                <w:szCs w:val="21"/>
                <w:highlight w:val="none"/>
                <w:lang w:eastAsia="zh-CN"/>
              </w:rPr>
            </w:pPr>
            <w:r>
              <w:rPr>
                <w:rFonts w:hint="eastAsia" w:hAnsi="宋体" w:cs="宋体"/>
                <w:color w:val="auto"/>
                <w:szCs w:val="21"/>
                <w:highlight w:val="none"/>
              </w:rPr>
              <w:t xml:space="preserve">医用直线加速器</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乙类</w:t>
            </w:r>
            <w:r>
              <w:rPr>
                <w:rFonts w:hint="eastAsia" w:hAnsi="宋体" w:cs="宋体"/>
                <w:color w:val="auto"/>
                <w:szCs w:val="21"/>
                <w:highlight w:val="none"/>
                <w:lang w:eastAsia="zh-CN"/>
              </w:rPr>
              <w:t xml:space="preserve">）</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联影</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uRT-linac 506c</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3</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CT</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联影</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uCT610 SIM</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4</w:t>
            </w:r>
            <w:r/>
          </w:p>
        </w:tc>
        <w:tc>
          <w:tcPr>
            <w:tcW w:w="2756"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后装机</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医科达</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Flexitron</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5</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CT</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Definition AS 128</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6</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CT</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东芝</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Aquilion PRIME</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7</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CT</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东芝</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Activion16</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w:t>
            </w:r>
            <w:r>
              <w:rPr>
                <w:rFonts w:hint="eastAsia" w:hAnsi="宋体" w:cs="宋体"/>
                <w:color w:val="auto"/>
                <w:szCs w:val="21"/>
                <w:highlight w:val="none"/>
                <w:lang w:val="en-US" w:eastAsia="zh-CN"/>
              </w:rPr>
              <w:t xml:space="preserve">投</w:t>
            </w:r>
            <w:r>
              <w:rPr>
                <w:rFonts w:hint="eastAsia" w:hAnsi="宋体" w:cs="宋体"/>
                <w:color w:val="auto"/>
                <w:szCs w:val="21"/>
                <w:highlight w:val="none"/>
              </w:rPr>
              <w:t xml:space="preserve">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8</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CT</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联影</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uCT710</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9</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CT</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联影</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uCT960+</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10</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MRI</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Verio 3.0T</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11</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MRI</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Essenza 1.5T</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12</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MRI</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联影</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uMR 780 3.0T</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13</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X </w:t>
            </w:r>
            <w:r>
              <w:rPr>
                <w:rFonts w:hint="eastAsia" w:hAnsi="宋体" w:cs="宋体"/>
                <w:color w:val="auto"/>
                <w:szCs w:val="21"/>
                <w:highlight w:val="none"/>
              </w:rPr>
              <w:t xml:space="preserve">射线诊断系统（单板 </w:t>
            </w:r>
            <w:r>
              <w:rPr>
                <w:color w:val="auto"/>
                <w:szCs w:val="21"/>
                <w:highlight w:val="none"/>
              </w:rPr>
              <w:t xml:space="preserve">DR</w:t>
            </w:r>
            <w:r>
              <w:rPr>
                <w:rFonts w:hint="eastAsia" w:hAnsi="宋体" w:cs="宋体"/>
                <w:color w:val="auto"/>
                <w:szCs w:val="21"/>
                <w:highlight w:val="none"/>
              </w:rPr>
              <w:t xml:space="preserve">）</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YSIO 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14</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X </w:t>
            </w:r>
            <w:r>
              <w:rPr>
                <w:rFonts w:hint="eastAsia" w:hAnsi="宋体" w:cs="宋体"/>
                <w:color w:val="auto"/>
                <w:szCs w:val="21"/>
                <w:highlight w:val="none"/>
              </w:rPr>
              <w:t xml:space="preserve">射线诊断系统（双板 </w:t>
            </w:r>
            <w:r>
              <w:rPr>
                <w:color w:val="auto"/>
                <w:szCs w:val="21"/>
                <w:highlight w:val="none"/>
              </w:rPr>
              <w:t xml:space="preserve">DR</w:t>
            </w:r>
            <w:r>
              <w:rPr>
                <w:rFonts w:hint="eastAsia" w:hAnsi="宋体" w:cs="宋体"/>
                <w:color w:val="auto"/>
                <w:szCs w:val="21"/>
                <w:highlight w:val="none"/>
              </w:rPr>
              <w:t xml:space="preserve">）</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YSIO 2</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15</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X </w:t>
            </w:r>
            <w:r>
              <w:rPr>
                <w:rFonts w:hint="eastAsia" w:hAnsi="宋体" w:cs="宋体"/>
                <w:color w:val="auto"/>
                <w:szCs w:val="21"/>
                <w:highlight w:val="none"/>
              </w:rPr>
              <w:t xml:space="preserve">射线诊断系统（双板 </w:t>
            </w:r>
            <w:r>
              <w:rPr>
                <w:color w:val="auto"/>
                <w:szCs w:val="21"/>
                <w:highlight w:val="none"/>
              </w:rPr>
              <w:t xml:space="preserve">DR</w:t>
            </w:r>
            <w:r>
              <w:rPr>
                <w:rFonts w:hint="eastAsia" w:hAnsi="宋体" w:cs="宋体"/>
                <w:color w:val="auto"/>
                <w:szCs w:val="21"/>
                <w:highlight w:val="none"/>
              </w:rPr>
              <w:t xml:space="preserve">）</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YSIO 2</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16</w:t>
            </w:r>
            <w:r/>
          </w:p>
        </w:tc>
        <w:tc>
          <w:tcPr>
            <w:tcW w:w="2756"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数字化平板</w:t>
            </w:r>
            <w:r>
              <w:rPr>
                <w:color w:val="auto"/>
                <w:szCs w:val="21"/>
                <w:highlight w:val="none"/>
              </w:rPr>
              <w:t xml:space="preserve"> X </w:t>
            </w:r>
            <w:r>
              <w:rPr>
                <w:rFonts w:hint="eastAsia" w:hAnsi="宋体" w:cs="宋体"/>
                <w:color w:val="auto"/>
                <w:szCs w:val="21"/>
                <w:highlight w:val="none"/>
              </w:rPr>
              <w:t xml:space="preserve">射线全身诊断系统（胃肠机）</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DRF</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17</w:t>
            </w:r>
            <w:r/>
          </w:p>
        </w:tc>
        <w:tc>
          <w:tcPr>
            <w:tcW w:w="2756"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数字乳腺 </w:t>
            </w:r>
            <w:r>
              <w:rPr>
                <w:color w:val="auto"/>
                <w:szCs w:val="21"/>
                <w:highlight w:val="none"/>
              </w:rPr>
              <w:t xml:space="preserve">X </w:t>
            </w:r>
            <w:r>
              <w:rPr>
                <w:rFonts w:hint="eastAsia" w:hAnsi="宋体" w:cs="宋体"/>
                <w:color w:val="auto"/>
                <w:szCs w:val="21"/>
                <w:highlight w:val="none"/>
              </w:rPr>
              <w:t xml:space="preserve">射线机（数字钼靶机）</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Mammomat Inspiration</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18</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X </w:t>
            </w:r>
            <w:r>
              <w:rPr>
                <w:rFonts w:hint="eastAsia" w:hAnsi="宋体" w:cs="宋体"/>
                <w:color w:val="auto"/>
                <w:szCs w:val="21"/>
                <w:highlight w:val="none"/>
              </w:rPr>
              <w:t xml:space="preserve">射线血管造影系统 </w:t>
            </w:r>
            <w:r>
              <w:rPr>
                <w:color w:val="auto"/>
                <w:szCs w:val="21"/>
                <w:highlight w:val="none"/>
              </w:rPr>
              <w:t xml:space="preserve">(DSA)</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西门子</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Artis zeego</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19</w:t>
            </w:r>
            <w:r/>
          </w:p>
        </w:tc>
        <w:tc>
          <w:tcPr>
            <w:tcW w:w="2756" w:type="dxa"/>
            <w:vAlign w:val="center"/>
            <w:textDirection w:val="lrTb"/>
            <w:noWrap w:val="false"/>
          </w:tcPr>
          <w:p>
            <w:pPr>
              <w:jc w:val="left"/>
              <w:widowControl/>
              <w:rPr>
                <w:color w:val="auto"/>
                <w:szCs w:val="21"/>
                <w:highlight w:val="none"/>
              </w:rPr>
            </w:pPr>
            <w:r>
              <w:rPr>
                <w:color w:val="auto"/>
                <w:szCs w:val="21"/>
                <w:highlight w:val="none"/>
              </w:rPr>
              <w:t xml:space="preserve">X </w:t>
            </w:r>
            <w:r>
              <w:rPr>
                <w:rFonts w:hint="eastAsia" w:hAnsi="宋体" w:cs="宋体"/>
                <w:color w:val="auto"/>
                <w:szCs w:val="21"/>
                <w:highlight w:val="none"/>
              </w:rPr>
              <w:t xml:space="preserve">射线血管造影机</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联影</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uangio AVIVA CE</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20</w:t>
            </w:r>
            <w:r/>
          </w:p>
        </w:tc>
        <w:tc>
          <w:tcPr>
            <w:tcW w:w="2756"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进口</w:t>
            </w:r>
            <w:r>
              <w:rPr>
                <w:color w:val="auto"/>
                <w:szCs w:val="21"/>
                <w:highlight w:val="none"/>
              </w:rPr>
              <w:t xml:space="preserve">GE </w:t>
            </w:r>
            <w:r>
              <w:rPr>
                <w:rFonts w:hint="eastAsia" w:hAnsi="宋体" w:cs="宋体"/>
                <w:color w:val="auto"/>
                <w:szCs w:val="21"/>
                <w:highlight w:val="none"/>
              </w:rPr>
              <w:t xml:space="preserve">伽玛照相机 </w:t>
            </w:r>
            <w:r>
              <w:rPr>
                <w:color w:val="auto"/>
                <w:szCs w:val="21"/>
                <w:highlight w:val="none"/>
              </w:rPr>
              <w:t xml:space="preserve">SPECT</w:t>
            </w:r>
            <w:r/>
          </w:p>
        </w:tc>
        <w:tc>
          <w:tcPr>
            <w:tcW w:w="978" w:type="dxa"/>
            <w:vAlign w:val="center"/>
            <w:textDirection w:val="lrTb"/>
            <w:noWrap w:val="false"/>
          </w:tcPr>
          <w:p>
            <w:pPr>
              <w:jc w:val="left"/>
              <w:widowControl/>
              <w:rPr>
                <w:color w:val="auto"/>
                <w:szCs w:val="21"/>
                <w:highlight w:val="none"/>
              </w:rPr>
            </w:pPr>
            <w:r>
              <w:rPr>
                <w:color w:val="auto"/>
                <w:szCs w:val="21"/>
                <w:highlight w:val="none"/>
              </w:rPr>
              <w:t xml:space="preserve">GE</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Infinia VC/Hawkey 4</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r>
        <w:trPr>
          <w:jc w:val="center"/>
        </w:trPr>
        <w:tc>
          <w:tcPr>
            <w:tcW w:w="649" w:type="dxa"/>
            <w:vAlign w:val="center"/>
            <w:textDirection w:val="lrTb"/>
            <w:noWrap w:val="false"/>
          </w:tcPr>
          <w:p>
            <w:pPr>
              <w:jc w:val="center"/>
              <w:widowControl/>
              <w:rPr>
                <w:color w:val="auto"/>
                <w:szCs w:val="21"/>
                <w:highlight w:val="none"/>
              </w:rPr>
            </w:pPr>
            <w:r>
              <w:rPr>
                <w:color w:val="auto"/>
                <w:szCs w:val="21"/>
                <w:highlight w:val="none"/>
              </w:rPr>
              <w:t xml:space="preserve">21</w:t>
            </w:r>
            <w:r/>
          </w:p>
        </w:tc>
        <w:tc>
          <w:tcPr>
            <w:tcW w:w="2756" w:type="dxa"/>
            <w:vAlign w:val="center"/>
            <w:textDirection w:val="lrTb"/>
            <w:noWrap w:val="false"/>
          </w:tcPr>
          <w:p>
            <w:pPr>
              <w:jc w:val="left"/>
              <w:widowControl/>
              <w:rPr>
                <w:rFonts w:hint="eastAsia" w:hAnsi="宋体" w:eastAsia="宋体" w:cs="宋体"/>
                <w:color w:val="auto"/>
                <w:szCs w:val="21"/>
                <w:highlight w:val="none"/>
                <w:lang w:eastAsia="zh-CN"/>
              </w:rPr>
            </w:pPr>
            <w:r>
              <w:rPr>
                <w:rFonts w:hint="eastAsia" w:hAnsi="宋体" w:cs="宋体"/>
                <w:color w:val="auto"/>
                <w:szCs w:val="21"/>
                <w:highlight w:val="none"/>
              </w:rPr>
              <w:t xml:space="preserve">PET/CT</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乙类</w:t>
            </w:r>
            <w:r>
              <w:rPr>
                <w:rFonts w:hint="eastAsia" w:hAnsi="宋体" w:cs="宋体"/>
                <w:color w:val="auto"/>
                <w:szCs w:val="21"/>
                <w:highlight w:val="none"/>
                <w:lang w:eastAsia="zh-CN"/>
              </w:rPr>
              <w:t xml:space="preserve">）</w:t>
            </w:r>
            <w:r/>
          </w:p>
        </w:tc>
        <w:tc>
          <w:tcPr>
            <w:tcW w:w="978" w:type="dxa"/>
            <w:vAlign w:val="center"/>
            <w:textDirection w:val="lrTb"/>
            <w:noWrap w:val="false"/>
          </w:tcPr>
          <w:p>
            <w:pPr>
              <w:jc w:val="left"/>
              <w:widowControl/>
              <w:rPr>
                <w:rFonts w:hAnsi="宋体" w:cs="宋体"/>
                <w:color w:val="auto"/>
                <w:szCs w:val="21"/>
                <w:highlight w:val="none"/>
              </w:rPr>
            </w:pPr>
            <w:r>
              <w:rPr>
                <w:rFonts w:hint="eastAsia" w:hAnsi="宋体" w:cs="宋体"/>
                <w:color w:val="auto"/>
                <w:szCs w:val="21"/>
                <w:highlight w:val="none"/>
              </w:rPr>
              <w:t xml:space="preserve">联影</w:t>
            </w:r>
            <w:r/>
          </w:p>
        </w:tc>
        <w:tc>
          <w:tcPr>
            <w:tcW w:w="1848" w:type="dxa"/>
            <w:vAlign w:val="center"/>
            <w:textDirection w:val="lrTb"/>
            <w:noWrap w:val="false"/>
          </w:tcPr>
          <w:p>
            <w:pPr>
              <w:jc w:val="left"/>
              <w:widowControl/>
              <w:rPr>
                <w:color w:val="auto"/>
                <w:szCs w:val="21"/>
                <w:highlight w:val="none"/>
              </w:rPr>
            </w:pPr>
            <w:r>
              <w:rPr>
                <w:color w:val="auto"/>
                <w:szCs w:val="21"/>
                <w:highlight w:val="none"/>
              </w:rPr>
              <w:t xml:space="preserve">uMI 780</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1</w:t>
            </w:r>
            <w:r/>
          </w:p>
        </w:tc>
        <w:tc>
          <w:tcPr>
            <w:tcW w:w="543"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台</w:t>
            </w:r>
            <w:r/>
          </w:p>
        </w:tc>
        <w:tc>
          <w:tcPr>
            <w:tcW w:w="984" w:type="dxa"/>
            <w:vAlign w:val="center"/>
            <w:textDirection w:val="lrTb"/>
            <w:noWrap w:val="false"/>
          </w:tcPr>
          <w:p>
            <w:pPr>
              <w:jc w:val="center"/>
              <w:widowControl/>
              <w:rPr>
                <w:rFonts w:hAnsi="宋体" w:cs="宋体"/>
                <w:color w:val="auto"/>
                <w:szCs w:val="21"/>
                <w:highlight w:val="none"/>
              </w:rPr>
            </w:pPr>
            <w:r>
              <w:rPr>
                <w:rFonts w:hint="eastAsia" w:hAnsi="宋体" w:cs="宋体"/>
                <w:color w:val="auto"/>
                <w:szCs w:val="21"/>
                <w:highlight w:val="none"/>
              </w:rPr>
              <w:t xml:space="preserve">已投用</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2.机电设备清单</w:t>
      </w:r>
      <w:r/>
    </w:p>
    <w:tbl>
      <w:tblPr>
        <w:tblStyle w:val="104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82"/>
        <w:gridCol w:w="1163"/>
        <w:gridCol w:w="955"/>
        <w:gridCol w:w="505"/>
        <w:gridCol w:w="4586"/>
        <w:gridCol w:w="837"/>
      </w:tblGrid>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机电设备清单</w:t>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1 </w:t>
            </w:r>
            <w:r>
              <w:rPr>
                <w:rStyle w:val="1448"/>
                <w:color w:val="auto"/>
                <w:highlight w:val="none"/>
              </w:rPr>
              <w:t xml:space="preserve">、冷水机组</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Fonts w:ascii="Arial" w:hAnsi="Arial" w:cs="Arial"/>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离心式冷水机组</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3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rFonts w:ascii="宋体" w:hAnsi="宋体" w:cs="宋体"/>
                <w:color w:val="auto"/>
                <w:sz w:val="24"/>
                <w:highlight w:val="none"/>
              </w:rPr>
              <w:t xml:space="preserve">开利空调</w:t>
            </w:r>
            <w:r>
              <w:rPr>
                <w:rFonts w:ascii="宋体" w:hAnsi="宋体" w:cs="宋体"/>
                <w:color w:val="auto"/>
                <w:sz w:val="24"/>
                <w:highlight w:val="none"/>
              </w:rPr>
              <w:br/>
            </w:r>
            <w:r>
              <w:rPr>
                <w:rFonts w:ascii="宋体" w:hAnsi="宋体" w:cs="宋体"/>
                <w:color w:val="auto"/>
                <w:sz w:val="24"/>
                <w:highlight w:val="none"/>
              </w:rPr>
              <w:t xml:space="preserve">型号：</w:t>
            </w:r>
            <w:r>
              <w:rPr>
                <w:rStyle w:val="1447"/>
                <w:color w:val="auto"/>
                <w:highlight w:val="none"/>
              </w:rPr>
              <w:t xml:space="preserve">19XR65654U5LFH52</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502kW</w:t>
            </w:r>
            <w:r>
              <w:rPr>
                <w:rStyle w:val="1448"/>
                <w:color w:val="auto"/>
                <w:highlight w:val="none"/>
              </w:rPr>
              <w:t xml:space="preserve">；</w:t>
            </w:r>
            <w:r/>
          </w:p>
          <w:p>
            <w:pPr>
              <w:jc w:val="center"/>
              <w:widowControl/>
              <w:rPr>
                <w:rFonts w:ascii="宋体" w:hAnsi="宋体" w:cs="宋体"/>
                <w:color w:val="auto"/>
                <w:sz w:val="24"/>
                <w:highlight w:val="none"/>
              </w:rPr>
            </w:pPr>
            <w:r>
              <w:rPr>
                <w:rStyle w:val="1448"/>
                <w:color w:val="auto"/>
                <w:highlight w:val="none"/>
              </w:rPr>
              <w:t xml:space="preserve">制冷量：</w:t>
            </w:r>
            <w:r>
              <w:rPr>
                <w:rStyle w:val="1447"/>
                <w:color w:val="auto"/>
                <w:highlight w:val="none"/>
              </w:rPr>
              <w:t xml:space="preserve">2937kW</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宋体" w:hAnsi="宋体" w:cs="宋体"/>
                <w:color w:val="auto"/>
                <w:sz w:val="24"/>
                <w:highlight w:val="none"/>
              </w:rPr>
            </w:pPr>
            <w:r>
              <w:rPr>
                <w:rStyle w:val="1447"/>
                <w:color w:val="auto"/>
                <w:highlight w:val="none"/>
              </w:rPr>
              <w:t xml:space="preserve">2 </w:t>
            </w:r>
            <w:r>
              <w:rPr>
                <w:rStyle w:val="1448"/>
                <w:color w:val="auto"/>
                <w:highlight w:val="none"/>
              </w:rPr>
              <w:t xml:space="preserve">用</w:t>
            </w:r>
            <w:r>
              <w:rPr>
                <w:rStyle w:val="1448"/>
                <w:color w:val="auto"/>
                <w:highlight w:val="none"/>
              </w:rPr>
              <w:br/>
            </w:r>
            <w:r>
              <w:rPr>
                <w:rStyle w:val="1447"/>
                <w:color w:val="auto"/>
                <w:highlight w:val="none"/>
              </w:rPr>
              <w:t xml:space="preserve">1</w:t>
            </w:r>
            <w:r>
              <w:rPr>
                <w:rStyle w:val="1448"/>
                <w:color w:val="auto"/>
                <w:highlight w:val="none"/>
              </w:rPr>
              <w:t xml:space="preserve">备</w:t>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2 </w:t>
            </w:r>
            <w:r>
              <w:rPr>
                <w:rStyle w:val="1448"/>
                <w:color w:val="auto"/>
                <w:highlight w:val="none"/>
              </w:rPr>
              <w:t xml:space="preserve">、水泵</w:t>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1</w:t>
            </w:r>
            <w:r>
              <w:rPr>
                <w:rStyle w:val="1448"/>
                <w:color w:val="auto"/>
                <w:highlight w:val="none"/>
              </w:rPr>
              <w:t xml:space="preserve">）空调房水泵</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冷却泵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3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rFonts w:ascii="宋体" w:hAnsi="宋体" w:cs="宋体"/>
                <w:color w:val="auto"/>
                <w:sz w:val="24"/>
                <w:highlight w:val="none"/>
              </w:rPr>
              <w:t xml:space="preserve">型号：</w:t>
            </w:r>
            <w:r>
              <w:rPr>
                <w:rStyle w:val="1447"/>
                <w:color w:val="auto"/>
                <w:highlight w:val="none"/>
              </w:rPr>
              <w:t xml:space="preserve">GISO</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110kW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34m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900m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Fonts w:ascii="宋体" w:hAnsi="宋体" w:cs="宋体"/>
                <w:color w:val="auto"/>
                <w:sz w:val="24"/>
                <w:highlight w:val="none"/>
              </w:rPr>
            </w:pPr>
            <w:r>
              <w:rPr>
                <w:rStyle w:val="1448"/>
                <w:color w:val="auto"/>
                <w:highlight w:val="none"/>
              </w:rPr>
              <w:t xml:space="preserve">转速：</w:t>
            </w:r>
            <w:r>
              <w:rPr>
                <w:rStyle w:val="1447"/>
                <w:color w:val="auto"/>
                <w:highlight w:val="none"/>
              </w:rPr>
              <w:t xml:space="preserve">1450r/min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宋体" w:hAnsi="宋体" w:cs="宋体"/>
                <w:color w:val="auto"/>
                <w:sz w:val="24"/>
                <w:highlight w:val="none"/>
              </w:rPr>
            </w:pPr>
            <w:r>
              <w:rPr>
                <w:rStyle w:val="1447"/>
                <w:color w:val="auto"/>
                <w:highlight w:val="none"/>
              </w:rPr>
              <w:t xml:space="preserve">2 </w:t>
            </w:r>
            <w:r>
              <w:rPr>
                <w:rStyle w:val="1448"/>
                <w:color w:val="auto"/>
                <w:highlight w:val="none"/>
              </w:rPr>
              <w:t xml:space="preserve">用</w:t>
            </w:r>
            <w:r>
              <w:rPr>
                <w:rStyle w:val="1448"/>
                <w:color w:val="auto"/>
                <w:highlight w:val="none"/>
              </w:rPr>
              <w:br/>
            </w:r>
            <w:r>
              <w:rPr>
                <w:rStyle w:val="1447"/>
                <w:color w:val="auto"/>
                <w:highlight w:val="none"/>
              </w:rPr>
              <w:t xml:space="preserve">1</w:t>
            </w:r>
            <w:r>
              <w:rPr>
                <w:rStyle w:val="1448"/>
                <w:color w:val="auto"/>
                <w:highlight w:val="none"/>
              </w:rPr>
              <w:t xml:space="preserve">备</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2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冷冻泵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3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rFonts w:ascii="宋体" w:hAnsi="宋体" w:cs="宋体"/>
                <w:color w:val="auto"/>
                <w:sz w:val="24"/>
                <w:highlight w:val="none"/>
              </w:rPr>
              <w:t xml:space="preserve">型号：</w:t>
            </w:r>
            <w:r>
              <w:rPr>
                <w:rStyle w:val="1447"/>
                <w:color w:val="auto"/>
                <w:highlight w:val="none"/>
              </w:rPr>
              <w:t xml:space="preserve">GISO</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90kW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36m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630m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Fonts w:ascii="宋体" w:hAnsi="宋体" w:cs="宋体"/>
                <w:color w:val="auto"/>
                <w:sz w:val="24"/>
                <w:highlight w:val="none"/>
              </w:rPr>
            </w:pPr>
            <w:r>
              <w:rPr>
                <w:rStyle w:val="1448"/>
                <w:color w:val="auto"/>
                <w:highlight w:val="none"/>
              </w:rPr>
              <w:t xml:space="preserve">转速：</w:t>
            </w:r>
            <w:r>
              <w:rPr>
                <w:rStyle w:val="1447"/>
                <w:color w:val="auto"/>
                <w:highlight w:val="none"/>
              </w:rPr>
              <w:t xml:space="preserve">1450r/min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宋体" w:hAnsi="宋体" w:cs="宋体"/>
                <w:color w:val="auto"/>
                <w:sz w:val="24"/>
                <w:highlight w:val="none"/>
              </w:rPr>
            </w:pPr>
            <w:r>
              <w:rPr>
                <w:rStyle w:val="1447"/>
                <w:color w:val="auto"/>
                <w:highlight w:val="none"/>
              </w:rPr>
              <w:t xml:space="preserve">2 </w:t>
            </w:r>
            <w:r>
              <w:rPr>
                <w:rStyle w:val="1448"/>
                <w:color w:val="auto"/>
                <w:highlight w:val="none"/>
              </w:rPr>
              <w:t xml:space="preserve">用</w:t>
            </w:r>
            <w:r>
              <w:rPr>
                <w:rStyle w:val="1448"/>
                <w:color w:val="auto"/>
                <w:highlight w:val="none"/>
              </w:rPr>
              <w:br/>
            </w:r>
            <w:r>
              <w:rPr>
                <w:rStyle w:val="1447"/>
                <w:color w:val="auto"/>
                <w:highlight w:val="none"/>
              </w:rPr>
              <w:t xml:space="preserve">1</w:t>
            </w:r>
            <w:r>
              <w:rPr>
                <w:rStyle w:val="1448"/>
                <w:color w:val="auto"/>
                <w:highlight w:val="none"/>
              </w:rPr>
              <w:t xml:space="preserve">备</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3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板交水泵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4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rFonts w:ascii="宋体" w:hAnsi="宋体" w:cs="宋体"/>
                <w:color w:val="auto"/>
                <w:sz w:val="24"/>
                <w:highlight w:val="none"/>
              </w:rPr>
              <w:t xml:space="preserve">型号：</w:t>
            </w:r>
            <w:r>
              <w:rPr>
                <w:rStyle w:val="1447"/>
                <w:color w:val="auto"/>
                <w:highlight w:val="none"/>
              </w:rPr>
              <w:t xml:space="preserve">NBG125-80- 160/170</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22kW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32m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170m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Fonts w:ascii="宋体" w:hAnsi="宋体" w:cs="宋体"/>
                <w:color w:val="auto"/>
                <w:sz w:val="24"/>
                <w:highlight w:val="none"/>
              </w:rPr>
            </w:pPr>
            <w:r>
              <w:rPr>
                <w:rStyle w:val="1448"/>
                <w:color w:val="auto"/>
                <w:highlight w:val="none"/>
              </w:rPr>
              <w:t xml:space="preserve">转速：</w:t>
            </w:r>
            <w:r>
              <w:rPr>
                <w:rStyle w:val="1447"/>
                <w:color w:val="auto"/>
                <w:highlight w:val="none"/>
              </w:rPr>
              <w:t xml:space="preserve">2968r/min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宋体" w:hAnsi="宋体" w:cs="宋体"/>
                <w:color w:val="auto"/>
                <w:sz w:val="24"/>
                <w:highlight w:val="none"/>
              </w:rPr>
            </w:pPr>
            <w:r>
              <w:rPr>
                <w:rStyle w:val="1447"/>
                <w:color w:val="auto"/>
                <w:highlight w:val="none"/>
              </w:rPr>
              <w:t xml:space="preserve">3 </w:t>
            </w:r>
            <w:r>
              <w:rPr>
                <w:rStyle w:val="1448"/>
                <w:color w:val="auto"/>
                <w:highlight w:val="none"/>
              </w:rPr>
              <w:t xml:space="preserve">用</w:t>
            </w:r>
            <w:r>
              <w:rPr>
                <w:rStyle w:val="1448"/>
                <w:color w:val="auto"/>
                <w:highlight w:val="none"/>
              </w:rPr>
              <w:br/>
            </w:r>
            <w:r>
              <w:rPr>
                <w:rStyle w:val="1447"/>
                <w:color w:val="auto"/>
                <w:highlight w:val="none"/>
              </w:rPr>
              <w:t xml:space="preserve">1</w:t>
            </w:r>
            <w:r>
              <w:rPr>
                <w:rStyle w:val="1448"/>
                <w:color w:val="auto"/>
                <w:highlight w:val="none"/>
              </w:rPr>
              <w:t xml:space="preserve">备</w:t>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2</w:t>
            </w:r>
            <w:r>
              <w:rPr>
                <w:rStyle w:val="1448"/>
                <w:color w:val="auto"/>
                <w:highlight w:val="none"/>
              </w:rPr>
              <w:t xml:space="preserve">）热交换泵</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热交换泵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8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color w:val="auto"/>
                <w:sz w:val="24"/>
                <w:highlight w:val="none"/>
              </w:rPr>
              <w:t xml:space="preserve">4 </w:t>
            </w:r>
            <w:r>
              <w:rPr>
                <w:rStyle w:val="1448"/>
                <w:color w:val="auto"/>
                <w:highlight w:val="none"/>
              </w:rPr>
              <w:t xml:space="preserve">台型号</w:t>
            </w:r>
            <w:r>
              <w:rPr>
                <w:rStyle w:val="1447"/>
                <w:color w:val="auto"/>
                <w:highlight w:val="none"/>
              </w:rPr>
              <w:t xml:space="preserve">1</w:t>
            </w:r>
            <w:r>
              <w:rPr>
                <w:rStyle w:val="1448"/>
                <w:color w:val="auto"/>
                <w:highlight w:val="none"/>
              </w:rPr>
              <w:t xml:space="preserve">：</w:t>
            </w:r>
            <w:r>
              <w:rPr>
                <w:rStyle w:val="1447"/>
                <w:color w:val="auto"/>
                <w:highlight w:val="none"/>
              </w:rPr>
              <w:t xml:space="preserve">10SV02F007T</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0.75kW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16m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3L/s</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p>
            <w:pPr>
              <w:jc w:val="center"/>
              <w:widowControl/>
              <w:rPr>
                <w:rStyle w:val="1448"/>
                <w:color w:val="auto"/>
                <w:highlight w:val="none"/>
              </w:rPr>
            </w:pPr>
            <w:r>
              <w:rPr>
                <w:rStyle w:val="1447"/>
                <w:color w:val="auto"/>
                <w:highlight w:val="none"/>
              </w:rPr>
              <w:t xml:space="preserve">4 </w:t>
            </w:r>
            <w:r>
              <w:rPr>
                <w:rStyle w:val="1448"/>
                <w:color w:val="auto"/>
                <w:highlight w:val="none"/>
              </w:rPr>
              <w:t xml:space="preserve">台型号</w:t>
            </w:r>
            <w:r>
              <w:rPr>
                <w:rStyle w:val="1447"/>
                <w:color w:val="auto"/>
                <w:highlight w:val="none"/>
              </w:rPr>
              <w:t xml:space="preserve">2</w:t>
            </w:r>
            <w:r>
              <w:rPr>
                <w:rStyle w:val="1448"/>
                <w:color w:val="auto"/>
                <w:highlight w:val="none"/>
              </w:rPr>
              <w:t xml:space="preserve">：</w:t>
            </w:r>
            <w:r>
              <w:rPr>
                <w:rStyle w:val="1447"/>
                <w:color w:val="auto"/>
                <w:highlight w:val="none"/>
              </w:rPr>
              <w:t xml:space="preserve">5SV04F005T</w:t>
            </w:r>
            <w:r>
              <w:rPr>
                <w:rStyle w:val="1448"/>
                <w:color w:val="auto"/>
                <w:highlight w:val="none"/>
              </w:rPr>
              <w:t xml:space="preserve">；</w:t>
            </w:r>
            <w:r>
              <w:rPr>
                <w:rStyle w:val="1448"/>
                <w:color w:val="auto"/>
                <w:highlight w:val="none"/>
              </w:rPr>
              <w:br/>
            </w:r>
            <w:r>
              <w:rPr>
                <w:rStyle w:val="1448"/>
                <w:color w:val="auto"/>
                <w:highlight w:val="none"/>
              </w:rPr>
              <w:t xml:space="preserve">额定功率：</w:t>
            </w:r>
            <w:r>
              <w:rPr>
                <w:rStyle w:val="1447"/>
                <w:color w:val="auto"/>
                <w:highlight w:val="none"/>
              </w:rPr>
              <w:t xml:space="preserve">0.75kW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20m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3L/s</w:t>
            </w:r>
            <w:r>
              <w:rPr>
                <w:rStyle w:val="1448"/>
                <w:color w:val="auto"/>
                <w:highlight w:val="none"/>
              </w:rPr>
              <w:t xml:space="preserve">；</w:t>
            </w:r>
            <w:r/>
          </w:p>
          <w:p>
            <w:pPr>
              <w:jc w:val="center"/>
              <w:widowControl/>
              <w:rPr>
                <w:color w:val="auto"/>
                <w:sz w:val="24"/>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3</w:t>
            </w:r>
            <w:r>
              <w:rPr>
                <w:rStyle w:val="1448"/>
                <w:color w:val="auto"/>
                <w:highlight w:val="none"/>
              </w:rPr>
              <w:t xml:space="preserve">）热水循环泵</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热水循环泵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6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rFonts w:ascii="宋体" w:hAnsi="宋体" w:cs="宋体"/>
                <w:color w:val="auto"/>
                <w:sz w:val="24"/>
                <w:highlight w:val="none"/>
              </w:rPr>
              <w:t xml:space="preserve">型号：</w:t>
            </w:r>
            <w:r>
              <w:rPr>
                <w:rStyle w:val="1447"/>
                <w:color w:val="auto"/>
                <w:highlight w:val="none"/>
              </w:rPr>
              <w:t xml:space="preserve">TD80-2.8/2SWHC</w:t>
            </w:r>
            <w:r>
              <w:rPr>
                <w:rStyle w:val="1448"/>
                <w:color w:val="auto"/>
                <w:highlight w:val="none"/>
              </w:rPr>
              <w:t xml:space="preserve">；</w:t>
            </w:r>
            <w:r>
              <w:rPr>
                <w:rStyle w:val="1448"/>
                <w:color w:val="auto"/>
                <w:highlight w:val="none"/>
              </w:rPr>
              <w:br/>
            </w:r>
            <w:r>
              <w:rPr>
                <w:rStyle w:val="1448"/>
                <w:color w:val="auto"/>
                <w:highlight w:val="none"/>
              </w:rPr>
              <w:t xml:space="preserve">额定功率：</w:t>
            </w:r>
            <w:r>
              <w:rPr>
                <w:rStyle w:val="1447"/>
                <w:color w:val="auto"/>
                <w:highlight w:val="none"/>
              </w:rPr>
              <w:t xml:space="preserve">7.5kW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28m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50m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Fonts w:ascii="宋体" w:hAnsi="宋体" w:cs="宋体"/>
                <w:color w:val="auto"/>
                <w:sz w:val="24"/>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4</w:t>
            </w:r>
            <w:r>
              <w:rPr>
                <w:rStyle w:val="1448"/>
                <w:color w:val="auto"/>
                <w:highlight w:val="none"/>
              </w:rPr>
              <w:t xml:space="preserve">）锅炉补水泵</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锅炉补水泵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4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color w:val="auto"/>
                <w:sz w:val="24"/>
                <w:highlight w:val="none"/>
              </w:rPr>
              <w:t xml:space="preserve">1 </w:t>
            </w:r>
            <w:r>
              <w:rPr>
                <w:rStyle w:val="1448"/>
                <w:color w:val="auto"/>
                <w:highlight w:val="none"/>
              </w:rPr>
              <w:t xml:space="preserve">台型号 </w:t>
            </w:r>
            <w:r>
              <w:rPr>
                <w:rStyle w:val="1447"/>
                <w:color w:val="auto"/>
                <w:highlight w:val="none"/>
              </w:rPr>
              <w:t xml:space="preserve">1</w:t>
            </w:r>
            <w:r>
              <w:rPr>
                <w:rStyle w:val="1448"/>
                <w:color w:val="auto"/>
                <w:highlight w:val="none"/>
              </w:rPr>
              <w:t xml:space="preserve">：</w:t>
            </w:r>
            <w:r>
              <w:rPr>
                <w:rStyle w:val="1447"/>
                <w:color w:val="auto"/>
                <w:highlight w:val="none"/>
              </w:rPr>
              <w:t xml:space="preserve">32QDLF4-30</w:t>
            </w:r>
            <w:r>
              <w:rPr>
                <w:rStyle w:val="1448"/>
                <w:color w:val="auto"/>
                <w:highlight w:val="none"/>
              </w:rPr>
              <w:t xml:space="preserve">；</w:t>
            </w:r>
            <w:r>
              <w:rPr>
                <w:rStyle w:val="1448"/>
                <w:color w:val="auto"/>
                <w:highlight w:val="none"/>
              </w:rPr>
              <w:br/>
            </w:r>
            <w:r>
              <w:rPr>
                <w:rStyle w:val="1448"/>
                <w:color w:val="auto"/>
                <w:highlight w:val="none"/>
              </w:rPr>
              <w:t xml:space="preserve">额定功率：</w:t>
            </w:r>
            <w:r>
              <w:rPr>
                <w:rStyle w:val="1447"/>
                <w:color w:val="auto"/>
                <w:highlight w:val="none"/>
              </w:rPr>
              <w:t xml:space="preserve">0.75kW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18m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6m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转速：</w:t>
            </w:r>
            <w:r>
              <w:rPr>
                <w:rStyle w:val="1447"/>
                <w:color w:val="auto"/>
                <w:highlight w:val="none"/>
              </w:rPr>
              <w:t xml:space="preserve">2855r/min</w:t>
            </w:r>
            <w:r>
              <w:rPr>
                <w:rStyle w:val="1448"/>
                <w:color w:val="auto"/>
                <w:highlight w:val="none"/>
              </w:rPr>
              <w:t xml:space="preserve">；</w:t>
            </w:r>
            <w:r/>
          </w:p>
          <w:p>
            <w:pPr>
              <w:jc w:val="center"/>
              <w:widowControl/>
              <w:rPr>
                <w:rStyle w:val="1448"/>
                <w:color w:val="auto"/>
                <w:highlight w:val="none"/>
              </w:rPr>
            </w:pPr>
            <w:r>
              <w:rPr>
                <w:rStyle w:val="1447"/>
                <w:color w:val="auto"/>
                <w:highlight w:val="none"/>
              </w:rPr>
              <w:t xml:space="preserve">3 </w:t>
            </w:r>
            <w:r>
              <w:rPr>
                <w:rStyle w:val="1448"/>
                <w:color w:val="auto"/>
                <w:highlight w:val="none"/>
              </w:rPr>
              <w:t xml:space="preserve">台型号 </w:t>
            </w:r>
            <w:r>
              <w:rPr>
                <w:rStyle w:val="1447"/>
                <w:color w:val="auto"/>
                <w:highlight w:val="none"/>
              </w:rPr>
              <w:t xml:space="preserve">2 </w:t>
            </w:r>
            <w:r>
              <w:rPr>
                <w:rStyle w:val="1448"/>
                <w:color w:val="auto"/>
                <w:highlight w:val="none"/>
              </w:rPr>
              <w:t xml:space="preserve">：</w:t>
            </w:r>
            <w:r>
              <w:rPr>
                <w:rStyle w:val="1447"/>
                <w:color w:val="auto"/>
                <w:highlight w:val="none"/>
              </w:rPr>
              <w:t xml:space="preserve">CDL1-3 </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0.37kW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17m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1m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color w:val="auto"/>
                <w:sz w:val="24"/>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宋体" w:hAnsi="宋体" w:cs="宋体"/>
                <w:color w:val="auto"/>
                <w:sz w:val="24"/>
                <w:highlight w:val="none"/>
              </w:rPr>
            </w:pPr>
            <w:r>
              <w:rPr>
                <w:rStyle w:val="1447"/>
                <w:color w:val="auto"/>
                <w:highlight w:val="none"/>
              </w:rPr>
              <w:t xml:space="preserve">3 </w:t>
            </w:r>
            <w:r>
              <w:rPr>
                <w:rStyle w:val="1448"/>
                <w:color w:val="auto"/>
                <w:highlight w:val="none"/>
              </w:rPr>
              <w:t xml:space="preserve">用</w:t>
            </w:r>
            <w:r>
              <w:rPr>
                <w:rStyle w:val="1448"/>
                <w:color w:val="auto"/>
                <w:highlight w:val="none"/>
              </w:rPr>
              <w:br/>
            </w:r>
            <w:r>
              <w:rPr>
                <w:rStyle w:val="1447"/>
                <w:color w:val="auto"/>
                <w:highlight w:val="none"/>
              </w:rPr>
              <w:t xml:space="preserve">1</w:t>
            </w:r>
            <w:r>
              <w:rPr>
                <w:rStyle w:val="1448"/>
                <w:color w:val="auto"/>
                <w:highlight w:val="none"/>
              </w:rPr>
              <w:t xml:space="preserve">备</w:t>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5</w:t>
            </w:r>
            <w:r>
              <w:rPr>
                <w:rStyle w:val="1448"/>
                <w:color w:val="auto"/>
                <w:highlight w:val="none"/>
              </w:rPr>
              <w:t xml:space="preserve">）生活水泵</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4"/>
                <w:highlight w:val="none"/>
              </w:rPr>
            </w:pPr>
            <w:r>
              <w:rPr>
                <w:rFonts w:ascii="Arial" w:hAnsi="Arial" w:cs="Arial"/>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生活水泵</w:t>
            </w:r>
            <w:r>
              <w:rPr>
                <w:rStyle w:val="1448"/>
                <w:color w:val="auto"/>
                <w:highlight w:val="none"/>
              </w:rPr>
              <w:br/>
            </w:r>
            <w:r>
              <w:rPr>
                <w:rStyle w:val="1448"/>
                <w:color w:val="auto"/>
                <w:highlight w:val="none"/>
              </w:rPr>
              <w:t xml:space="preserve">（低区）</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4"/>
                <w:highlight w:val="none"/>
              </w:rPr>
            </w:pPr>
            <w:r>
              <w:rPr>
                <w:rFonts w:ascii="Arial" w:hAnsi="Arial" w:cs="Arial"/>
                <w:color w:val="auto"/>
                <w:sz w:val="24"/>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Fonts w:ascii="Arial" w:hAnsi="Arial" w:cs="Arial"/>
                <w:color w:val="auto"/>
                <w:sz w:val="24"/>
                <w:highlight w:val="none"/>
              </w:rPr>
              <w:t xml:space="preserve">4 </w:t>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center"/>
              <w:widowControl/>
              <w:rPr>
                <w:rStyle w:val="1448"/>
                <w:color w:val="auto"/>
                <w:highlight w:val="none"/>
              </w:rPr>
            </w:pPr>
            <w:r>
              <w:rPr>
                <w:color w:val="auto"/>
                <w:sz w:val="24"/>
                <w:highlight w:val="none"/>
              </w:rPr>
              <w:t xml:space="preserve">3 </w:t>
            </w:r>
            <w:r>
              <w:rPr>
                <w:rStyle w:val="1448"/>
                <w:color w:val="auto"/>
                <w:highlight w:val="none"/>
              </w:rPr>
              <w:t xml:space="preserve">台型号 </w:t>
            </w:r>
            <w:r>
              <w:rPr>
                <w:rStyle w:val="1447"/>
                <w:color w:val="auto"/>
                <w:highlight w:val="none"/>
              </w:rPr>
              <w:t xml:space="preserve">1</w:t>
            </w:r>
            <w:r>
              <w:rPr>
                <w:rStyle w:val="1448"/>
                <w:color w:val="auto"/>
                <w:highlight w:val="none"/>
              </w:rPr>
              <w:t xml:space="preserve">：</w:t>
            </w:r>
            <w:r>
              <w:rPr>
                <w:rStyle w:val="1447"/>
                <w:color w:val="auto"/>
                <w:highlight w:val="none"/>
              </w:rPr>
              <w:t xml:space="preserve">22SV05f055T</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5.5kW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45m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25m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p>
            <w:pPr>
              <w:jc w:val="center"/>
              <w:widowControl/>
              <w:rPr>
                <w:rStyle w:val="1448"/>
                <w:color w:val="auto"/>
                <w:highlight w:val="none"/>
              </w:rPr>
            </w:pPr>
            <w:r>
              <w:rPr>
                <w:rStyle w:val="1447"/>
                <w:color w:val="auto"/>
                <w:highlight w:val="none"/>
              </w:rPr>
              <w:t xml:space="preserve">1 </w:t>
            </w:r>
            <w:r>
              <w:rPr>
                <w:rStyle w:val="1448"/>
                <w:color w:val="auto"/>
                <w:highlight w:val="none"/>
              </w:rPr>
              <w:t xml:space="preserve">台型号</w:t>
            </w:r>
            <w:r>
              <w:rPr>
                <w:rStyle w:val="1447"/>
                <w:color w:val="auto"/>
                <w:highlight w:val="none"/>
              </w:rPr>
              <w:t xml:space="preserve">2</w:t>
            </w:r>
            <w:r>
              <w:rPr>
                <w:rStyle w:val="1448"/>
                <w:color w:val="auto"/>
                <w:highlight w:val="none"/>
              </w:rPr>
              <w:t xml:space="preserve">：</w:t>
            </w:r>
            <w:r>
              <w:rPr>
                <w:rStyle w:val="1447"/>
                <w:color w:val="auto"/>
                <w:highlight w:val="none"/>
              </w:rPr>
              <w:t xml:space="preserve">3SV08F007T</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0.75kW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3m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45m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color w:val="auto"/>
                <w:sz w:val="24"/>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2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生活水泵</w:t>
            </w:r>
            <w:r>
              <w:rPr>
                <w:rStyle w:val="1448"/>
                <w:color w:val="auto"/>
                <w:highlight w:val="none"/>
              </w:rPr>
              <w:br/>
            </w:r>
            <w:r>
              <w:rPr>
                <w:rStyle w:val="1448"/>
                <w:color w:val="auto"/>
                <w:highlight w:val="none"/>
              </w:rPr>
              <w:t xml:space="preserve">（中区）</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4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color w:val="auto"/>
                <w:sz w:val="24"/>
                <w:highlight w:val="none"/>
              </w:rPr>
              <w:t xml:space="preserve">3 </w:t>
            </w:r>
            <w:r>
              <w:rPr>
                <w:rStyle w:val="1448"/>
                <w:color w:val="auto"/>
                <w:highlight w:val="none"/>
              </w:rPr>
              <w:t xml:space="preserve">台型号 </w:t>
            </w:r>
            <w:r>
              <w:rPr>
                <w:rStyle w:val="1447"/>
                <w:color w:val="auto"/>
                <w:highlight w:val="none"/>
              </w:rPr>
              <w:t xml:space="preserve">1</w:t>
            </w:r>
            <w:r>
              <w:rPr>
                <w:rStyle w:val="1448"/>
                <w:color w:val="auto"/>
                <w:highlight w:val="none"/>
              </w:rPr>
              <w:t xml:space="preserve">：</w:t>
            </w:r>
            <w:r>
              <w:rPr>
                <w:rStyle w:val="1447"/>
                <w:color w:val="auto"/>
                <w:highlight w:val="none"/>
              </w:rPr>
              <w:t xml:space="preserve">10SV10f040T</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4kW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75m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12m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p>
            <w:pPr>
              <w:jc w:val="center"/>
              <w:widowControl/>
              <w:rPr>
                <w:rStyle w:val="1448"/>
                <w:color w:val="auto"/>
                <w:highlight w:val="none"/>
              </w:rPr>
            </w:pPr>
            <w:r>
              <w:rPr>
                <w:rStyle w:val="1447"/>
                <w:color w:val="auto"/>
                <w:highlight w:val="none"/>
              </w:rPr>
              <w:t xml:space="preserve">1 </w:t>
            </w:r>
            <w:r>
              <w:rPr>
                <w:rStyle w:val="1448"/>
                <w:color w:val="auto"/>
                <w:highlight w:val="none"/>
              </w:rPr>
              <w:t xml:space="preserve">台型号</w:t>
            </w:r>
            <w:r>
              <w:rPr>
                <w:rStyle w:val="1447"/>
                <w:color w:val="auto"/>
                <w:highlight w:val="none"/>
              </w:rPr>
              <w:t xml:space="preserve">2</w:t>
            </w:r>
            <w:r>
              <w:rPr>
                <w:rStyle w:val="1448"/>
                <w:color w:val="auto"/>
                <w:highlight w:val="none"/>
              </w:rPr>
              <w:t xml:space="preserve">：</w:t>
            </w:r>
            <w:r>
              <w:rPr>
                <w:rStyle w:val="1447"/>
                <w:color w:val="auto"/>
                <w:highlight w:val="none"/>
              </w:rPr>
              <w:t xml:space="preserve">3SV13F015T</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1.5kW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75m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3m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color w:val="auto"/>
                <w:sz w:val="24"/>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3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生活水泵</w:t>
            </w:r>
            <w:r>
              <w:rPr>
                <w:rStyle w:val="1448"/>
                <w:color w:val="auto"/>
                <w:highlight w:val="none"/>
              </w:rPr>
              <w:br/>
            </w:r>
            <w:r>
              <w:rPr>
                <w:rStyle w:val="1448"/>
                <w:color w:val="auto"/>
                <w:highlight w:val="none"/>
              </w:rPr>
              <w:t xml:space="preserve">（高区）</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4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color w:val="auto"/>
                <w:sz w:val="24"/>
                <w:highlight w:val="none"/>
              </w:rPr>
              <w:t xml:space="preserve">3 </w:t>
            </w:r>
            <w:r>
              <w:rPr>
                <w:rStyle w:val="1448"/>
                <w:color w:val="auto"/>
                <w:highlight w:val="none"/>
              </w:rPr>
              <w:t xml:space="preserve">台型号 </w:t>
            </w:r>
            <w:r>
              <w:rPr>
                <w:rStyle w:val="1447"/>
                <w:color w:val="auto"/>
                <w:highlight w:val="none"/>
              </w:rPr>
              <w:t xml:space="preserve">1</w:t>
            </w:r>
            <w:r>
              <w:rPr>
                <w:rStyle w:val="1448"/>
                <w:color w:val="auto"/>
                <w:highlight w:val="none"/>
              </w:rPr>
              <w:t xml:space="preserve">：</w:t>
            </w:r>
            <w:r>
              <w:rPr>
                <w:rStyle w:val="1447"/>
                <w:color w:val="auto"/>
                <w:highlight w:val="none"/>
              </w:rPr>
              <w:t xml:space="preserve">10SV10F040T</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4kW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75m</w:t>
            </w:r>
            <w:r>
              <w:rPr>
                <w:rStyle w:val="1448"/>
                <w:color w:val="auto"/>
                <w:highlight w:val="none"/>
              </w:rPr>
              <w:t xml:space="preserve">；</w:t>
            </w:r>
            <w:r>
              <w:rPr>
                <w:rStyle w:val="1448"/>
                <w:color w:val="auto"/>
                <w:highlight w:val="none"/>
              </w:rPr>
              <w:br/>
            </w:r>
            <w:r>
              <w:rPr>
                <w:rStyle w:val="1448"/>
                <w:color w:val="auto"/>
                <w:highlight w:val="none"/>
              </w:rPr>
              <w:t xml:space="preserve">最大流量：</w:t>
            </w:r>
            <w:r>
              <w:rPr>
                <w:rStyle w:val="1447"/>
                <w:color w:val="auto"/>
                <w:highlight w:val="none"/>
              </w:rPr>
              <w:t xml:space="preserve">12m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rPr>
                <w:rStyle w:val="1448"/>
                <w:color w:val="auto"/>
                <w:highlight w:val="none"/>
              </w:rPr>
              <w:br/>
            </w:r>
            <w:r>
              <w:rPr>
                <w:rStyle w:val="1447"/>
                <w:color w:val="auto"/>
                <w:highlight w:val="none"/>
              </w:rPr>
              <w:t xml:space="preserve">1 </w:t>
            </w:r>
            <w:r>
              <w:rPr>
                <w:rStyle w:val="1448"/>
                <w:color w:val="auto"/>
                <w:highlight w:val="none"/>
              </w:rPr>
              <w:t xml:space="preserve">台型号</w:t>
            </w:r>
            <w:r>
              <w:rPr>
                <w:rStyle w:val="1447"/>
                <w:color w:val="auto"/>
                <w:highlight w:val="none"/>
              </w:rPr>
              <w:t xml:space="preserve">2</w:t>
            </w:r>
            <w:r>
              <w:rPr>
                <w:rStyle w:val="1448"/>
                <w:color w:val="auto"/>
                <w:highlight w:val="none"/>
              </w:rPr>
              <w:t xml:space="preserve">：</w:t>
            </w:r>
            <w:r>
              <w:rPr>
                <w:rStyle w:val="1447"/>
                <w:color w:val="auto"/>
                <w:highlight w:val="none"/>
              </w:rPr>
              <w:t xml:space="preserve">3SV13F015T</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1.5kW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75m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3m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color w:val="auto"/>
                <w:sz w:val="24"/>
                <w:highlight w:val="none"/>
              </w:rPr>
            </w:pPr>
            <w:r>
              <w:rPr>
                <w:rStyle w:val="1448"/>
                <w:color w:val="auto"/>
                <w:highlight w:val="none"/>
              </w:rPr>
              <w:t xml:space="preserve">转速：</w:t>
            </w:r>
            <w:r>
              <w:rPr>
                <w:rStyle w:val="1447"/>
                <w:color w:val="auto"/>
                <w:highlight w:val="none"/>
              </w:rPr>
              <w:t xml:space="preserve">2900r/min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5"/>
            <w:tcBorders>
              <w:top w:val="single" w:color="000000" w:sz="4" w:space="0"/>
              <w:left w:val="single" w:color="000000" w:sz="4" w:space="0"/>
              <w:bottom w:val="single" w:color="000000" w:sz="4" w:space="0"/>
              <w:right w:val="single" w:color="000000" w:sz="4" w:space="0"/>
            </w:tcBorders>
            <w:tcW w:w="7691"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6</w:t>
            </w:r>
            <w:r>
              <w:rPr>
                <w:rStyle w:val="1448"/>
                <w:color w:val="auto"/>
                <w:highlight w:val="none"/>
              </w:rPr>
              <w:t xml:space="preserve">）风冷热泵机组水泵</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color w:val="auto"/>
                <w:sz w:val="24"/>
                <w:highlight w:val="none"/>
              </w:rPr>
            </w:pPr>
            <w:r>
              <w:rPr>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风冷热泵</w:t>
            </w:r>
            <w:r>
              <w:rPr>
                <w:rStyle w:val="1448"/>
                <w:color w:val="auto"/>
                <w:highlight w:val="none"/>
              </w:rPr>
              <w:br/>
            </w:r>
            <w:r>
              <w:rPr>
                <w:rStyle w:val="1448"/>
                <w:color w:val="auto"/>
                <w:highlight w:val="none"/>
              </w:rPr>
              <w:t xml:space="preserve">机组水泵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四楼平台</w:t>
            </w:r>
            <w:r>
              <w:rPr>
                <w:rStyle w:val="1448"/>
                <w:color w:val="auto"/>
                <w:highlight w:val="none"/>
              </w:rPr>
              <w:br/>
            </w:r>
            <w:r>
              <w:rPr>
                <w:rStyle w:val="1448"/>
                <w:color w:val="auto"/>
                <w:highlight w:val="none"/>
              </w:rPr>
              <w:t xml:space="preserve">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color w:val="auto"/>
                <w:sz w:val="24"/>
                <w:highlight w:val="none"/>
              </w:rPr>
            </w:pPr>
            <w:r>
              <w:rPr>
                <w:color w:val="auto"/>
                <w:sz w:val="24"/>
                <w:highlight w:val="none"/>
              </w:rPr>
              <w:t xml:space="preserve">5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8"/>
                <w:color w:val="auto"/>
                <w:highlight w:val="none"/>
              </w:rPr>
            </w:pPr>
            <w:r>
              <w:rPr>
                <w:rFonts w:ascii="宋体" w:hAnsi="宋体" w:cs="宋体"/>
                <w:color w:val="auto"/>
                <w:sz w:val="24"/>
                <w:highlight w:val="none"/>
              </w:rPr>
              <w:t xml:space="preserve">型号：</w:t>
            </w:r>
            <w:r>
              <w:rPr>
                <w:rStyle w:val="1447"/>
                <w:color w:val="auto"/>
                <w:highlight w:val="none"/>
              </w:rPr>
              <w:t xml:space="preserve">GISO</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额定功率：</w:t>
            </w:r>
            <w:r>
              <w:rPr>
                <w:rStyle w:val="1447"/>
                <w:color w:val="auto"/>
                <w:highlight w:val="none"/>
              </w:rPr>
              <w:t xml:space="preserve">18.5kW</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最高扬程：</w:t>
            </w:r>
            <w:r>
              <w:rPr>
                <w:rStyle w:val="1447"/>
                <w:color w:val="auto"/>
                <w:highlight w:val="none"/>
              </w:rPr>
              <w:t xml:space="preserve">34m</w:t>
            </w:r>
            <w:r>
              <w:rPr>
                <w:rStyle w:val="1448"/>
                <w:color w:val="auto"/>
                <w:highlight w:val="none"/>
              </w:rPr>
              <w:t xml:space="preserve">；</w:t>
            </w:r>
            <w:r/>
          </w:p>
          <w:p>
            <w:pPr>
              <w:jc w:val="center"/>
              <w:widowControl/>
              <w:rPr>
                <w:rStyle w:val="1448"/>
                <w:color w:val="auto"/>
                <w:highlight w:val="none"/>
              </w:rPr>
            </w:pPr>
            <w:r>
              <w:rPr>
                <w:rStyle w:val="1448"/>
                <w:color w:val="auto"/>
                <w:highlight w:val="none"/>
              </w:rPr>
              <w:t xml:space="preserve">最大流量：</w:t>
            </w:r>
            <w:r>
              <w:rPr>
                <w:rStyle w:val="1447"/>
                <w:color w:val="auto"/>
                <w:highlight w:val="none"/>
              </w:rPr>
              <w:t xml:space="preserve">105m</w:t>
            </w:r>
            <w:r>
              <w:rPr>
                <w:rStyle w:val="1449"/>
                <w:color w:val="auto"/>
                <w:highlight w:val="none"/>
              </w:rPr>
              <w:t xml:space="preserve">3</w:t>
            </w:r>
            <w:r>
              <w:rPr>
                <w:rStyle w:val="1447"/>
                <w:color w:val="auto"/>
                <w:highlight w:val="none"/>
              </w:rPr>
              <w:t xml:space="preserve">/h</w:t>
            </w:r>
            <w:r>
              <w:rPr>
                <w:rStyle w:val="1448"/>
                <w:color w:val="auto"/>
                <w:highlight w:val="none"/>
              </w:rPr>
              <w:t xml:space="preserve">；</w:t>
            </w:r>
            <w:r/>
          </w:p>
          <w:p>
            <w:pPr>
              <w:jc w:val="center"/>
              <w:widowControl/>
              <w:rPr>
                <w:rFonts w:ascii="宋体" w:hAnsi="宋体" w:cs="宋体"/>
                <w:color w:val="auto"/>
                <w:sz w:val="24"/>
                <w:highlight w:val="none"/>
              </w:rPr>
            </w:pPr>
            <w:r>
              <w:rPr>
                <w:rStyle w:val="1448"/>
                <w:color w:val="auto"/>
                <w:highlight w:val="none"/>
              </w:rPr>
              <w:t xml:space="preserve">转速：</w:t>
            </w:r>
            <w:r>
              <w:rPr>
                <w:rStyle w:val="1447"/>
                <w:color w:val="auto"/>
                <w:highlight w:val="none"/>
              </w:rPr>
              <w:t xml:space="preserve">2300r/min</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rFonts w:ascii="宋体" w:hAnsi="宋体" w:cs="宋体"/>
                <w:color w:val="auto"/>
                <w:sz w:val="24"/>
                <w:highlight w:val="none"/>
              </w:rPr>
            </w:pPr>
            <w:r>
              <w:rPr>
                <w:rStyle w:val="1447"/>
                <w:color w:val="auto"/>
                <w:highlight w:val="none"/>
              </w:rPr>
              <w:t xml:space="preserve">3 </w:t>
            </w:r>
            <w:r>
              <w:rPr>
                <w:rStyle w:val="1448"/>
                <w:color w:val="auto"/>
                <w:highlight w:val="none"/>
              </w:rPr>
              <w:t xml:space="preserve">、净化机组</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restart"/>
            <w:textDirection w:val="lrTb"/>
            <w:noWrap w:val="false"/>
          </w:tcPr>
          <w:p>
            <w:pPr>
              <w:jc w:val="center"/>
              <w:widowControl/>
              <w:rPr>
                <w:rFonts w:ascii="Arial" w:hAnsi="Arial" w:cs="Arial"/>
                <w:color w:val="auto"/>
                <w:sz w:val="24"/>
                <w:highlight w:val="none"/>
              </w:rPr>
            </w:pPr>
            <w:r>
              <w:rPr>
                <w:rFonts w:ascii="Arial" w:hAnsi="Arial" w:cs="Arial"/>
                <w:color w:val="auto"/>
                <w:sz w:val="24"/>
                <w:highlight w:val="none"/>
              </w:rPr>
              <w:t xml:space="preserve">1 </w:t>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jc w:val="center"/>
              <w:widowControl/>
              <w:rPr>
                <w:rFonts w:ascii="Arial" w:hAnsi="Arial" w:cs="Arial"/>
                <w:color w:val="auto"/>
                <w:sz w:val="24"/>
                <w:highlight w:val="none"/>
              </w:rPr>
            </w:pPr>
            <w:r>
              <w:rPr>
                <w:rStyle w:val="1448"/>
                <w:color w:val="auto"/>
                <w:highlight w:val="none"/>
              </w:rPr>
              <w:t xml:space="preserve">净化机组</w:t>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Arial" w:hAnsi="Arial" w:cs="Arial"/>
                <w:color w:val="auto"/>
                <w:sz w:val="24"/>
                <w:highlight w:val="none"/>
              </w:rPr>
            </w:pPr>
            <w:r>
              <w:rPr>
                <w:rStyle w:val="1448"/>
                <w:color w:val="auto"/>
                <w:highlight w:val="none"/>
              </w:rPr>
              <w:t xml:space="preserve">四楼平台机房</w:t>
            </w:r>
            <w:r/>
          </w:p>
        </w:tc>
        <w:tc>
          <w:tcPr>
            <w:tcBorders>
              <w:top w:val="single" w:color="000000" w:sz="4" w:space="0"/>
              <w:left w:val="single" w:color="000000" w:sz="4" w:space="0"/>
              <w:bottom w:val="single" w:color="000000" w:sz="4" w:space="0"/>
              <w:right w:val="single" w:color="000000" w:sz="4" w:space="0"/>
            </w:tcBorders>
            <w:tcW w:w="505" w:type="dxa"/>
            <w:vAlign w:val="center"/>
            <w:vMerge w:val="restart"/>
            <w:textDirection w:val="lrTb"/>
            <w:noWrap w:val="false"/>
          </w:tcPr>
          <w:p>
            <w:pPr>
              <w:jc w:val="center"/>
              <w:widowControl/>
              <w:rPr>
                <w:rFonts w:ascii="Arial" w:hAnsi="Arial" w:cs="Arial"/>
                <w:color w:val="auto"/>
                <w:sz w:val="24"/>
                <w:highlight w:val="none"/>
              </w:rPr>
            </w:pPr>
            <w:r>
              <w:rPr>
                <w:rFonts w:ascii="Arial" w:hAnsi="Arial" w:cs="Arial"/>
                <w:color w:val="auto"/>
                <w:sz w:val="24"/>
                <w:highlight w:val="none"/>
              </w:rPr>
              <w:t xml:space="preserve">18 </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雅士，</w:t>
            </w:r>
            <w:r>
              <w:rPr>
                <w:rStyle w:val="1447"/>
                <w:color w:val="auto"/>
                <w:highlight w:val="none"/>
              </w:rPr>
              <w:t xml:space="preserve">AHU401</w:t>
            </w:r>
            <w:r>
              <w:rPr>
                <w:rStyle w:val="1448"/>
                <w:color w:val="auto"/>
                <w:highlight w:val="none"/>
              </w:rPr>
              <w:t xml:space="preserve">、</w:t>
            </w:r>
            <w:r>
              <w:rPr>
                <w:rStyle w:val="1447"/>
                <w:color w:val="auto"/>
                <w:highlight w:val="none"/>
              </w:rPr>
              <w:t xml:space="preserve">AHU402</w:t>
            </w:r>
            <w:r>
              <w:rPr>
                <w:rStyle w:val="1447"/>
                <w:color w:val="auto"/>
                <w:highlight w:val="none"/>
              </w:rPr>
              <w:br/>
            </w:r>
            <w:r>
              <w:rPr>
                <w:rStyle w:val="1448"/>
                <w:color w:val="auto"/>
                <w:highlight w:val="none"/>
              </w:rPr>
              <w:t xml:space="preserve">型号：</w:t>
            </w:r>
            <w:r>
              <w:rPr>
                <w:rStyle w:val="1447"/>
                <w:color w:val="auto"/>
                <w:highlight w:val="none"/>
              </w:rPr>
              <w:t xml:space="preserve">AAHM12.5H-4B</w:t>
            </w:r>
            <w:r>
              <w:rPr>
                <w:rStyle w:val="1448"/>
                <w:color w:val="auto"/>
                <w:highlight w:val="none"/>
              </w:rPr>
              <w:t xml:space="preserve">，功率：</w:t>
            </w:r>
            <w:r>
              <w:rPr>
                <w:rStyle w:val="1447"/>
                <w:color w:val="auto"/>
                <w:highlight w:val="none"/>
              </w:rPr>
              <w:t xml:space="preserve">5.5kW</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雅士，</w:t>
            </w:r>
            <w:r>
              <w:rPr>
                <w:rStyle w:val="1447"/>
                <w:color w:val="auto"/>
                <w:highlight w:val="none"/>
              </w:rPr>
              <w:t xml:space="preserve">AHU403</w:t>
            </w:r>
            <w:r>
              <w:rPr>
                <w:rStyle w:val="1448"/>
                <w:color w:val="auto"/>
                <w:highlight w:val="none"/>
              </w:rPr>
              <w:t xml:space="preserve">、</w:t>
            </w:r>
            <w:r>
              <w:rPr>
                <w:rStyle w:val="1447"/>
                <w:color w:val="auto"/>
                <w:highlight w:val="none"/>
              </w:rPr>
              <w:t xml:space="preserve">AHU404</w:t>
            </w:r>
            <w:r>
              <w:rPr>
                <w:rStyle w:val="1447"/>
                <w:color w:val="auto"/>
                <w:highlight w:val="none"/>
              </w:rPr>
              <w:br/>
            </w:r>
            <w:r>
              <w:rPr>
                <w:rStyle w:val="1448"/>
                <w:color w:val="auto"/>
                <w:highlight w:val="none"/>
              </w:rPr>
              <w:t xml:space="preserve">型号：</w:t>
            </w:r>
            <w:r>
              <w:rPr>
                <w:rStyle w:val="1447"/>
                <w:color w:val="auto"/>
                <w:highlight w:val="none"/>
              </w:rPr>
              <w:t xml:space="preserve">AAHM8.5H-4B</w:t>
            </w:r>
            <w:r>
              <w:rPr>
                <w:rStyle w:val="1448"/>
                <w:color w:val="auto"/>
                <w:highlight w:val="none"/>
              </w:rPr>
              <w:t xml:space="preserve">，功率：</w:t>
            </w:r>
            <w:r>
              <w:rPr>
                <w:rStyle w:val="1447"/>
                <w:color w:val="auto"/>
                <w:highlight w:val="none"/>
              </w:rPr>
              <w:t xml:space="preserve">4.0kW</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Style w:val="1447"/>
                <w:color w:val="auto"/>
                <w:highlight w:val="none"/>
              </w:rPr>
            </w:pPr>
            <w:r>
              <w:rPr>
                <w:rFonts w:ascii="宋体" w:hAnsi="宋体" w:cs="宋体"/>
                <w:color w:val="auto"/>
                <w:sz w:val="24"/>
                <w:highlight w:val="none"/>
              </w:rPr>
              <w:t xml:space="preserve">雅士，</w:t>
            </w:r>
            <w:r>
              <w:rPr>
                <w:rStyle w:val="1447"/>
                <w:color w:val="auto"/>
                <w:highlight w:val="none"/>
              </w:rPr>
              <w:t xml:space="preserve">AHU405  </w:t>
            </w:r>
            <w:r/>
          </w:p>
          <w:p>
            <w:pPr>
              <w:jc w:val="center"/>
              <w:widowControl/>
              <w:rPr>
                <w:rFonts w:ascii="宋体" w:hAnsi="宋体" w:cs="宋体"/>
                <w:color w:val="auto"/>
                <w:sz w:val="24"/>
                <w:highlight w:val="none"/>
              </w:rPr>
            </w:pPr>
            <w:r>
              <w:rPr>
                <w:rStyle w:val="1448"/>
                <w:color w:val="auto"/>
                <w:highlight w:val="none"/>
              </w:rPr>
              <w:t xml:space="preserve">型号：</w:t>
            </w:r>
            <w:r>
              <w:rPr>
                <w:rStyle w:val="1447"/>
                <w:color w:val="auto"/>
                <w:highlight w:val="none"/>
              </w:rPr>
              <w:t xml:space="preserve">AAHM8.5H-4B </w:t>
            </w:r>
            <w:r>
              <w:rPr>
                <w:rStyle w:val="1448"/>
                <w:color w:val="auto"/>
                <w:highlight w:val="none"/>
              </w:rPr>
              <w:t xml:space="preserve">，功率：</w:t>
            </w:r>
            <w:r>
              <w:rPr>
                <w:rStyle w:val="1447"/>
                <w:color w:val="auto"/>
                <w:highlight w:val="none"/>
              </w:rPr>
              <w:t xml:space="preserve">3.0kW</w:t>
            </w:r>
            <w:r>
              <w:rPr>
                <w:rStyle w:val="1448"/>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4"/>
                <w:highlight w:val="none"/>
              </w:rPr>
              <w:t xml:space="preserve">雅士，</w:t>
            </w:r>
            <w:r>
              <w:rPr>
                <w:rFonts w:ascii="Arial" w:hAnsi="Arial" w:cs="Arial"/>
                <w:color w:val="auto"/>
                <w:sz w:val="22"/>
                <w:szCs w:val="22"/>
                <w:highlight w:val="none"/>
              </w:rPr>
              <w:t xml:space="preserve">AHU406  </w:t>
            </w:r>
            <w:r/>
          </w:p>
          <w:p>
            <w:pPr>
              <w:jc w:val="center"/>
              <w:widowControl/>
              <w:rPr>
                <w:rFonts w:ascii="宋体" w:hAnsi="宋体" w:cs="宋体"/>
                <w:color w:val="auto"/>
                <w:sz w:val="24"/>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AAHM4.2H-4B </w:t>
            </w:r>
            <w:r>
              <w:rPr>
                <w:rStyle w:val="1450"/>
                <w:rFonts w:hint="default"/>
                <w:color w:val="auto"/>
                <w:highlight w:val="none"/>
              </w:rPr>
              <w:t xml:space="preserve">，功率：</w:t>
            </w:r>
            <w:r>
              <w:rPr>
                <w:rFonts w:ascii="Arial" w:hAnsi="Arial" w:cs="Arial"/>
                <w:color w:val="auto"/>
                <w:sz w:val="22"/>
                <w:szCs w:val="22"/>
                <w:highlight w:val="none"/>
              </w:rPr>
              <w:t xml:space="preserve">2.2kW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雅士，</w:t>
            </w:r>
            <w:r>
              <w:rPr>
                <w:rStyle w:val="1451"/>
                <w:color w:val="auto"/>
                <w:highlight w:val="none"/>
              </w:rPr>
              <w:t xml:space="preserve">AHU407~AHU409</w:t>
            </w:r>
            <w:r>
              <w:rPr>
                <w:rStyle w:val="1451"/>
                <w:color w:val="auto"/>
                <w:highlight w:val="none"/>
              </w:rPr>
              <w:br/>
            </w:r>
            <w:r>
              <w:rPr>
                <w:rStyle w:val="1452"/>
                <w:rFonts w:hint="default"/>
                <w:color w:val="auto"/>
                <w:highlight w:val="none"/>
              </w:rPr>
              <w:t xml:space="preserve">型号：</w:t>
            </w:r>
            <w:r>
              <w:rPr>
                <w:rStyle w:val="1451"/>
                <w:color w:val="auto"/>
                <w:highlight w:val="none"/>
              </w:rPr>
              <w:t xml:space="preserve">AAHM5.2H-4B</w:t>
            </w:r>
            <w:r>
              <w:rPr>
                <w:rStyle w:val="1452"/>
                <w:rFonts w:hint="default"/>
                <w:color w:val="auto"/>
                <w:highlight w:val="none"/>
              </w:rPr>
              <w:t xml:space="preserve">，功率：</w:t>
            </w:r>
            <w:r>
              <w:rPr>
                <w:rStyle w:val="1451"/>
                <w:color w:val="auto"/>
                <w:highlight w:val="none"/>
              </w:rPr>
              <w:t xml:space="preserve">3.0kW</w:t>
            </w:r>
            <w:r>
              <w:rPr>
                <w:rStyle w:val="1452"/>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4"/>
                <w:highlight w:val="none"/>
              </w:rPr>
              <w:t xml:space="preserve">雅士，</w:t>
            </w:r>
            <w:r>
              <w:rPr>
                <w:rFonts w:ascii="Arial" w:hAnsi="Arial" w:cs="Arial"/>
                <w:color w:val="auto"/>
                <w:sz w:val="22"/>
                <w:szCs w:val="22"/>
                <w:highlight w:val="none"/>
              </w:rPr>
              <w:t xml:space="preserve">AHU4010</w:t>
            </w:r>
            <w:r>
              <w:rPr>
                <w:rStyle w:val="1450"/>
                <w:rFonts w:hint="default"/>
                <w:color w:val="auto"/>
                <w:highlight w:val="none"/>
              </w:rPr>
              <w:t xml:space="preserve">、</w:t>
            </w:r>
            <w:r>
              <w:rPr>
                <w:rFonts w:ascii="Arial" w:hAnsi="Arial" w:cs="Arial"/>
                <w:color w:val="auto"/>
                <w:sz w:val="22"/>
                <w:szCs w:val="22"/>
                <w:highlight w:val="none"/>
              </w:rPr>
              <w:t xml:space="preserve"> AHU4011  </w:t>
            </w:r>
            <w:r/>
          </w:p>
          <w:p>
            <w:pPr>
              <w:jc w:val="center"/>
              <w:widowControl/>
              <w:rPr>
                <w:rFonts w:ascii="宋体" w:hAnsi="宋体" w:cs="宋体"/>
                <w:color w:val="auto"/>
                <w:sz w:val="24"/>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AAHM5.2H-4B </w:t>
            </w:r>
            <w:r>
              <w:rPr>
                <w:rStyle w:val="1450"/>
                <w:rFonts w:hint="default"/>
                <w:color w:val="auto"/>
                <w:highlight w:val="none"/>
              </w:rPr>
              <w:t xml:space="preserve">，功率：</w:t>
            </w:r>
            <w:r>
              <w:rPr>
                <w:rFonts w:ascii="Arial" w:hAnsi="Arial" w:cs="Arial"/>
                <w:color w:val="auto"/>
                <w:sz w:val="22"/>
                <w:szCs w:val="22"/>
                <w:highlight w:val="none"/>
              </w:rPr>
              <w:t xml:space="preserve">2.2kW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4"/>
                <w:highlight w:val="none"/>
              </w:rPr>
              <w:t xml:space="preserve">雅士，</w:t>
            </w:r>
            <w:r>
              <w:rPr>
                <w:rFonts w:ascii="Arial" w:hAnsi="Arial" w:cs="Arial"/>
                <w:color w:val="auto"/>
                <w:sz w:val="22"/>
                <w:szCs w:val="22"/>
                <w:highlight w:val="none"/>
              </w:rPr>
              <w:t xml:space="preserve">AHU4012  </w:t>
            </w:r>
            <w:r/>
          </w:p>
          <w:p>
            <w:pPr>
              <w:jc w:val="center"/>
              <w:widowControl/>
              <w:rPr>
                <w:rFonts w:ascii="宋体" w:hAnsi="宋体" w:cs="宋体"/>
                <w:color w:val="auto"/>
                <w:sz w:val="24"/>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AAHM19.0H-4B </w:t>
            </w:r>
            <w:r>
              <w:rPr>
                <w:rStyle w:val="1450"/>
                <w:rFonts w:hint="default"/>
                <w:color w:val="auto"/>
                <w:highlight w:val="none"/>
              </w:rPr>
              <w:t xml:space="preserve">，功率：</w:t>
            </w:r>
            <w:r>
              <w:rPr>
                <w:rFonts w:ascii="Arial" w:hAnsi="Arial" w:cs="Arial"/>
                <w:color w:val="auto"/>
                <w:sz w:val="22"/>
                <w:szCs w:val="22"/>
                <w:highlight w:val="none"/>
              </w:rPr>
              <w:t xml:space="preserve">11.0kW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4"/>
                <w:highlight w:val="none"/>
              </w:rPr>
              <w:t xml:space="preserve">雅士，</w:t>
            </w:r>
            <w:r>
              <w:rPr>
                <w:rFonts w:ascii="Arial" w:hAnsi="Arial" w:cs="Arial"/>
                <w:color w:val="auto"/>
                <w:sz w:val="22"/>
                <w:szCs w:val="22"/>
                <w:highlight w:val="none"/>
              </w:rPr>
              <w:t xml:space="preserve">AHU4013  </w:t>
            </w:r>
            <w:r/>
          </w:p>
          <w:p>
            <w:pPr>
              <w:jc w:val="center"/>
              <w:widowControl/>
              <w:rPr>
                <w:rFonts w:ascii="宋体" w:hAnsi="宋体" w:cs="宋体"/>
                <w:color w:val="auto"/>
                <w:sz w:val="24"/>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AAHM12.5H-4B </w:t>
            </w:r>
            <w:r>
              <w:rPr>
                <w:rStyle w:val="1450"/>
                <w:rFonts w:hint="default"/>
                <w:color w:val="auto"/>
                <w:highlight w:val="none"/>
              </w:rPr>
              <w:t xml:space="preserve">，功率：</w:t>
            </w:r>
            <w:r>
              <w:rPr>
                <w:rFonts w:ascii="Arial" w:hAnsi="Arial" w:cs="Arial"/>
                <w:color w:val="auto"/>
                <w:sz w:val="22"/>
                <w:szCs w:val="22"/>
                <w:highlight w:val="none"/>
              </w:rPr>
              <w:t xml:space="preserve">5.5kW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雅士，</w:t>
            </w:r>
            <w:r>
              <w:rPr>
                <w:rStyle w:val="1451"/>
                <w:color w:val="auto"/>
                <w:highlight w:val="none"/>
              </w:rPr>
              <w:t xml:space="preserve">AHU4014</w:t>
            </w:r>
            <w:r>
              <w:rPr>
                <w:rStyle w:val="1452"/>
                <w:rFonts w:hint="default"/>
                <w:color w:val="auto"/>
                <w:highlight w:val="none"/>
              </w:rPr>
              <w:t xml:space="preserve">、</w:t>
            </w:r>
            <w:r>
              <w:rPr>
                <w:rStyle w:val="1451"/>
                <w:color w:val="auto"/>
                <w:highlight w:val="none"/>
              </w:rPr>
              <w:t xml:space="preserve">AHU4015  </w:t>
            </w:r>
            <w:r>
              <w:rPr>
                <w:rStyle w:val="1452"/>
                <w:rFonts w:hint="default"/>
                <w:color w:val="auto"/>
                <w:highlight w:val="none"/>
              </w:rPr>
              <w:t xml:space="preserve">型号，功率：</w:t>
            </w:r>
            <w:r>
              <w:rPr>
                <w:rStyle w:val="1451"/>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4"/>
                <w:highlight w:val="none"/>
              </w:rPr>
              <w:t xml:space="preserve">雅士，</w:t>
            </w:r>
            <w:r>
              <w:rPr>
                <w:rFonts w:ascii="Arial" w:hAnsi="Arial" w:cs="Arial"/>
                <w:color w:val="auto"/>
                <w:sz w:val="22"/>
                <w:szCs w:val="22"/>
                <w:highlight w:val="none"/>
              </w:rPr>
              <w:t xml:space="preserve">AHU301 </w:t>
            </w:r>
            <w:r/>
          </w:p>
          <w:p>
            <w:pPr>
              <w:jc w:val="center"/>
              <w:widowControl/>
              <w:rPr>
                <w:rFonts w:ascii="宋体" w:hAnsi="宋体" w:cs="宋体"/>
                <w:color w:val="auto"/>
                <w:sz w:val="24"/>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AAHM8.5H2-8E </w:t>
            </w:r>
            <w:r>
              <w:rPr>
                <w:rStyle w:val="1450"/>
                <w:rFonts w:hint="default"/>
                <w:color w:val="auto"/>
                <w:highlight w:val="none"/>
              </w:rPr>
              <w:t xml:space="preserve">，功率：</w:t>
            </w:r>
            <w:r>
              <w:rPr>
                <w:rFonts w:ascii="Arial" w:hAnsi="Arial" w:cs="Arial"/>
                <w:color w:val="auto"/>
                <w:sz w:val="22"/>
                <w:szCs w:val="22"/>
                <w:highlight w:val="none"/>
              </w:rPr>
              <w:t xml:space="preserve">5.5kW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4"/>
                <w:highlight w:val="none"/>
              </w:rPr>
              <w:t xml:space="preserve">雅士，</w:t>
            </w:r>
            <w:r>
              <w:rPr>
                <w:rFonts w:ascii="Arial" w:hAnsi="Arial" w:cs="Arial"/>
                <w:color w:val="auto"/>
                <w:sz w:val="22"/>
                <w:szCs w:val="22"/>
                <w:highlight w:val="none"/>
              </w:rPr>
              <w:t xml:space="preserve">AHU302 </w:t>
            </w:r>
            <w:r/>
          </w:p>
          <w:p>
            <w:pPr>
              <w:jc w:val="center"/>
              <w:widowControl/>
              <w:rPr>
                <w:rFonts w:ascii="宋体" w:hAnsi="宋体" w:cs="宋体"/>
                <w:color w:val="auto"/>
                <w:sz w:val="24"/>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AAHM8.5H2-6E </w:t>
            </w:r>
            <w:r>
              <w:rPr>
                <w:rStyle w:val="1450"/>
                <w:rFonts w:hint="default"/>
                <w:color w:val="auto"/>
                <w:highlight w:val="none"/>
              </w:rPr>
              <w:t xml:space="preserve">，功率：</w:t>
            </w:r>
            <w:r>
              <w:rPr>
                <w:rFonts w:ascii="Arial" w:hAnsi="Arial" w:cs="Arial"/>
                <w:color w:val="auto"/>
                <w:sz w:val="22"/>
                <w:szCs w:val="22"/>
                <w:highlight w:val="none"/>
              </w:rPr>
              <w:t xml:space="preserve">5.5kW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4"/>
                <w:highlight w:val="none"/>
              </w:rPr>
              <w:t xml:space="preserve">雅士，</w:t>
            </w:r>
            <w:r>
              <w:rPr>
                <w:rFonts w:ascii="Arial" w:hAnsi="Arial" w:cs="Arial"/>
                <w:color w:val="auto"/>
                <w:sz w:val="22"/>
                <w:szCs w:val="22"/>
                <w:highlight w:val="none"/>
              </w:rPr>
              <w:t xml:space="preserve">AHU303  </w:t>
            </w:r>
            <w:r/>
          </w:p>
          <w:p>
            <w:pPr>
              <w:jc w:val="center"/>
              <w:widowControl/>
              <w:rPr>
                <w:rFonts w:ascii="宋体" w:hAnsi="宋体" w:cs="宋体"/>
                <w:color w:val="auto"/>
                <w:sz w:val="24"/>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AAHM4.2H2-6E </w:t>
            </w:r>
            <w:r>
              <w:rPr>
                <w:rStyle w:val="1450"/>
                <w:rFonts w:hint="default"/>
                <w:color w:val="auto"/>
                <w:highlight w:val="none"/>
              </w:rPr>
              <w:t xml:space="preserve">，功率：</w:t>
            </w:r>
            <w:r>
              <w:rPr>
                <w:rFonts w:ascii="Arial" w:hAnsi="Arial" w:cs="Arial"/>
                <w:color w:val="auto"/>
                <w:sz w:val="22"/>
                <w:szCs w:val="22"/>
                <w:highlight w:val="none"/>
              </w:rPr>
              <w:t xml:space="preserve">3.0kW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restart"/>
            <w:textDirection w:val="lrTb"/>
            <w:noWrap w:val="false"/>
          </w:tcPr>
          <w:p>
            <w:pPr>
              <w:jc w:val="center"/>
              <w:widowControl/>
              <w:rPr>
                <w:rFonts w:ascii="Arial" w:hAnsi="Arial" w:cs="Arial"/>
                <w:color w:val="auto"/>
                <w:sz w:val="24"/>
                <w:highlight w:val="none"/>
              </w:rPr>
            </w:pPr>
            <w:r>
              <w:rPr>
                <w:rFonts w:ascii="Arial" w:hAnsi="Arial" w:cs="Arial"/>
                <w:color w:val="auto"/>
                <w:sz w:val="24"/>
                <w:highlight w:val="none"/>
              </w:rPr>
              <w:t xml:space="preserve">8 </w:t>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left"/>
              <w:widowControl/>
              <w:rPr>
                <w:rFonts w:ascii="Arial" w:hAnsi="Arial" w:cs="Arial"/>
                <w:color w:val="auto"/>
                <w:sz w:val="22"/>
                <w:szCs w:val="22"/>
                <w:highlight w:val="none"/>
              </w:rPr>
            </w:pPr>
            <w:r>
              <w:rPr>
                <w:rFonts w:hint="eastAsia" w:ascii="宋体" w:hAnsi="宋体" w:cs="宋体"/>
                <w:color w:val="auto"/>
                <w:sz w:val="22"/>
                <w:szCs w:val="22"/>
                <w:highlight w:val="none"/>
              </w:rPr>
              <w:t xml:space="preserve">雅士，</w:t>
            </w:r>
            <w:r>
              <w:rPr>
                <w:rFonts w:ascii="Arial" w:hAnsi="Arial" w:cs="Arial"/>
                <w:color w:val="auto"/>
                <w:sz w:val="22"/>
                <w:szCs w:val="22"/>
                <w:highlight w:val="none"/>
              </w:rPr>
              <w:t xml:space="preserve">PAU201  </w:t>
            </w:r>
            <w:r/>
          </w:p>
          <w:p>
            <w:pPr>
              <w:jc w:val="left"/>
              <w:widowControl/>
              <w:rPr>
                <w:rFonts w:ascii="宋体" w:hAnsi="宋体" w:cs="宋体"/>
                <w:color w:val="auto"/>
                <w:sz w:val="22"/>
                <w:szCs w:val="22"/>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AAHM6.5H2-6B </w:t>
            </w:r>
            <w:r>
              <w:rPr>
                <w:rStyle w:val="1450"/>
                <w:rFonts w:hint="default"/>
                <w:color w:val="auto"/>
                <w:highlight w:val="none"/>
              </w:rPr>
              <w:t xml:space="preserve">、功率：</w:t>
            </w:r>
            <w:r>
              <w:rPr>
                <w:rFonts w:ascii="Arial" w:hAnsi="Arial" w:cs="Arial"/>
                <w:color w:val="auto"/>
                <w:sz w:val="22"/>
                <w:szCs w:val="22"/>
                <w:highlight w:val="none"/>
              </w:rPr>
              <w:t xml:space="preserve">3.0kW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left"/>
              <w:widowControl/>
              <w:rPr>
                <w:rFonts w:ascii="Arial" w:hAnsi="Arial" w:cs="Arial"/>
                <w:color w:val="auto"/>
                <w:sz w:val="22"/>
                <w:szCs w:val="22"/>
                <w:highlight w:val="none"/>
              </w:rPr>
            </w:pPr>
            <w:r>
              <w:rPr>
                <w:rFonts w:hint="eastAsia" w:ascii="宋体" w:hAnsi="宋体" w:cs="宋体"/>
                <w:color w:val="auto"/>
                <w:sz w:val="22"/>
                <w:szCs w:val="22"/>
                <w:highlight w:val="none"/>
              </w:rPr>
              <w:t xml:space="preserve">雅士，</w:t>
            </w:r>
            <w:r>
              <w:rPr>
                <w:rFonts w:ascii="Arial" w:hAnsi="Arial" w:cs="Arial"/>
                <w:color w:val="auto"/>
                <w:sz w:val="22"/>
                <w:szCs w:val="22"/>
                <w:highlight w:val="none"/>
              </w:rPr>
              <w:t xml:space="preserve">PAU301  </w:t>
            </w:r>
            <w:r/>
          </w:p>
          <w:p>
            <w:pPr>
              <w:jc w:val="left"/>
              <w:widowControl/>
              <w:rPr>
                <w:rFonts w:ascii="宋体" w:hAnsi="宋体" w:cs="宋体"/>
                <w:color w:val="auto"/>
                <w:sz w:val="22"/>
                <w:szCs w:val="22"/>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AAHM8.5H2-6B </w:t>
            </w:r>
            <w:r>
              <w:rPr>
                <w:rStyle w:val="1450"/>
                <w:rFonts w:hint="default"/>
                <w:color w:val="auto"/>
                <w:highlight w:val="none"/>
              </w:rPr>
              <w:t xml:space="preserve">、功率：</w:t>
            </w:r>
            <w:r>
              <w:rPr>
                <w:rFonts w:ascii="Arial" w:hAnsi="Arial" w:cs="Arial"/>
                <w:color w:val="auto"/>
                <w:sz w:val="22"/>
                <w:szCs w:val="22"/>
                <w:highlight w:val="none"/>
              </w:rPr>
              <w:t xml:space="preserve">3.0kW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left"/>
              <w:widowControl/>
              <w:rPr>
                <w:rFonts w:ascii="Arial" w:hAnsi="Arial" w:cs="Arial"/>
                <w:color w:val="auto"/>
                <w:sz w:val="22"/>
                <w:szCs w:val="22"/>
                <w:highlight w:val="none"/>
              </w:rPr>
            </w:pPr>
            <w:r>
              <w:rPr>
                <w:rFonts w:hint="eastAsia" w:ascii="宋体" w:hAnsi="宋体" w:cs="宋体"/>
                <w:color w:val="auto"/>
                <w:sz w:val="22"/>
                <w:szCs w:val="22"/>
                <w:highlight w:val="none"/>
              </w:rPr>
              <w:t xml:space="preserve">雅士，</w:t>
            </w:r>
            <w:r>
              <w:rPr>
                <w:rFonts w:ascii="Arial" w:hAnsi="Arial" w:cs="Arial"/>
                <w:color w:val="auto"/>
                <w:sz w:val="22"/>
                <w:szCs w:val="22"/>
                <w:highlight w:val="none"/>
              </w:rPr>
              <w:t xml:space="preserve">PAU501  </w:t>
            </w:r>
            <w:r/>
          </w:p>
          <w:p>
            <w:pPr>
              <w:jc w:val="left"/>
              <w:widowControl/>
              <w:rPr>
                <w:rFonts w:ascii="宋体" w:hAnsi="宋体" w:cs="宋体"/>
                <w:color w:val="auto"/>
                <w:sz w:val="22"/>
                <w:szCs w:val="22"/>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AAHM6.5H2-6B </w:t>
            </w:r>
            <w:r>
              <w:rPr>
                <w:rStyle w:val="1450"/>
                <w:rFonts w:hint="default"/>
                <w:color w:val="auto"/>
                <w:highlight w:val="none"/>
              </w:rPr>
              <w:t xml:space="preserve">、功率：</w:t>
            </w:r>
            <w:r>
              <w:rPr>
                <w:rFonts w:ascii="Arial" w:hAnsi="Arial" w:cs="Arial"/>
                <w:color w:val="auto"/>
                <w:sz w:val="22"/>
                <w:szCs w:val="22"/>
                <w:highlight w:val="none"/>
              </w:rPr>
              <w:t xml:space="preserve">2.2kW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left"/>
              <w:widowControl/>
              <w:rPr>
                <w:rFonts w:ascii="Arial" w:hAnsi="Arial" w:cs="Arial"/>
                <w:color w:val="auto"/>
                <w:sz w:val="22"/>
                <w:szCs w:val="22"/>
                <w:highlight w:val="none"/>
              </w:rPr>
            </w:pPr>
            <w:r>
              <w:rPr>
                <w:rFonts w:hint="eastAsia" w:ascii="宋体" w:hAnsi="宋体" w:cs="宋体"/>
                <w:color w:val="auto"/>
                <w:sz w:val="22"/>
                <w:szCs w:val="22"/>
                <w:highlight w:val="none"/>
              </w:rPr>
              <w:t xml:space="preserve">雅士，</w:t>
            </w:r>
            <w:r>
              <w:rPr>
                <w:rFonts w:ascii="Arial" w:hAnsi="Arial" w:cs="Arial"/>
                <w:color w:val="auto"/>
                <w:sz w:val="22"/>
                <w:szCs w:val="22"/>
                <w:highlight w:val="none"/>
              </w:rPr>
              <w:t xml:space="preserve">PAU401  </w:t>
            </w:r>
            <w:r/>
          </w:p>
          <w:p>
            <w:pPr>
              <w:jc w:val="left"/>
              <w:widowControl/>
              <w:rPr>
                <w:rFonts w:ascii="宋体" w:hAnsi="宋体" w:cs="宋体"/>
                <w:color w:val="auto"/>
                <w:sz w:val="22"/>
                <w:szCs w:val="22"/>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AAHM6.5H2-6B </w:t>
            </w:r>
            <w:r>
              <w:rPr>
                <w:rStyle w:val="1450"/>
                <w:rFonts w:hint="default"/>
                <w:color w:val="auto"/>
                <w:highlight w:val="none"/>
              </w:rPr>
              <w:t xml:space="preserve">、功率：</w:t>
            </w:r>
            <w:r>
              <w:rPr>
                <w:rFonts w:ascii="Arial" w:hAnsi="Arial" w:cs="Arial"/>
                <w:color w:val="auto"/>
                <w:sz w:val="22"/>
                <w:szCs w:val="22"/>
                <w:highlight w:val="none"/>
              </w:rPr>
              <w:t xml:space="preserve">4.0kW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left"/>
              <w:widowControl/>
              <w:rPr>
                <w:rFonts w:ascii="Arial" w:hAnsi="Arial" w:cs="Arial"/>
                <w:color w:val="auto"/>
                <w:sz w:val="22"/>
                <w:szCs w:val="22"/>
                <w:highlight w:val="none"/>
              </w:rPr>
            </w:pPr>
            <w:r>
              <w:rPr>
                <w:rFonts w:hint="eastAsia" w:ascii="宋体" w:hAnsi="宋体" w:cs="宋体"/>
                <w:color w:val="auto"/>
                <w:sz w:val="22"/>
                <w:szCs w:val="22"/>
                <w:highlight w:val="none"/>
              </w:rPr>
              <w:t xml:space="preserve">雅士，</w:t>
            </w:r>
            <w:r>
              <w:rPr>
                <w:rFonts w:ascii="Arial" w:hAnsi="Arial" w:cs="Arial"/>
                <w:color w:val="auto"/>
                <w:sz w:val="22"/>
                <w:szCs w:val="22"/>
                <w:highlight w:val="none"/>
              </w:rPr>
              <w:t xml:space="preserve">PAU402 </w:t>
            </w:r>
            <w:r>
              <w:rPr>
                <w:rStyle w:val="1450"/>
                <w:rFonts w:hint="default"/>
                <w:color w:val="auto"/>
                <w:highlight w:val="none"/>
              </w:rPr>
              <w:t xml:space="preserve">、</w:t>
            </w:r>
            <w:r>
              <w:rPr>
                <w:rFonts w:ascii="Arial" w:hAnsi="Arial" w:cs="Arial"/>
                <w:color w:val="auto"/>
                <w:sz w:val="22"/>
                <w:szCs w:val="22"/>
                <w:highlight w:val="none"/>
              </w:rPr>
              <w:t xml:space="preserve">PAU403 </w:t>
            </w:r>
            <w:r/>
          </w:p>
          <w:p>
            <w:pPr>
              <w:jc w:val="left"/>
              <w:widowControl/>
              <w:rPr>
                <w:rFonts w:ascii="宋体" w:hAnsi="宋体" w:cs="宋体"/>
                <w:color w:val="auto"/>
                <w:sz w:val="22"/>
                <w:szCs w:val="22"/>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AAHM5.2H2-6B</w:t>
            </w:r>
            <w:r>
              <w:rPr>
                <w:rStyle w:val="1450"/>
                <w:rFonts w:hint="default"/>
                <w:color w:val="auto"/>
                <w:highlight w:val="none"/>
              </w:rPr>
              <w:t xml:space="preserve">、功率：</w:t>
            </w:r>
            <w:r>
              <w:rPr>
                <w:rFonts w:ascii="Arial" w:hAnsi="Arial" w:cs="Arial"/>
                <w:color w:val="auto"/>
                <w:sz w:val="22"/>
                <w:szCs w:val="22"/>
                <w:highlight w:val="none"/>
              </w:rPr>
              <w:t xml:space="preserve">4.0kW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left"/>
              <w:widowControl/>
              <w:rPr>
                <w:rFonts w:ascii="Arial" w:hAnsi="Arial" w:cs="Arial"/>
                <w:color w:val="auto"/>
                <w:sz w:val="22"/>
                <w:szCs w:val="22"/>
                <w:highlight w:val="none"/>
              </w:rPr>
            </w:pPr>
            <w:r>
              <w:rPr>
                <w:rFonts w:hint="eastAsia" w:ascii="宋体" w:hAnsi="宋体" w:cs="宋体"/>
                <w:color w:val="auto"/>
                <w:sz w:val="22"/>
                <w:szCs w:val="22"/>
                <w:highlight w:val="none"/>
              </w:rPr>
              <w:t xml:space="preserve">雅士，</w:t>
            </w:r>
            <w:r>
              <w:rPr>
                <w:rFonts w:ascii="Arial" w:hAnsi="Arial" w:cs="Arial"/>
                <w:color w:val="auto"/>
                <w:sz w:val="22"/>
                <w:szCs w:val="22"/>
                <w:highlight w:val="none"/>
              </w:rPr>
              <w:t xml:space="preserve">PAU404  </w:t>
            </w:r>
            <w:r/>
          </w:p>
          <w:p>
            <w:pPr>
              <w:jc w:val="left"/>
              <w:widowControl/>
              <w:rPr>
                <w:rFonts w:ascii="宋体" w:hAnsi="宋体" w:cs="宋体"/>
                <w:color w:val="auto"/>
                <w:sz w:val="22"/>
                <w:szCs w:val="22"/>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 AAHM8.5H2-6B </w:t>
            </w:r>
            <w:r>
              <w:rPr>
                <w:rStyle w:val="1450"/>
                <w:rFonts w:hint="default"/>
                <w:color w:val="auto"/>
                <w:highlight w:val="none"/>
              </w:rPr>
              <w:t xml:space="preserve">、功率：5.5kW；</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jc w:val="center"/>
              <w:rPr>
                <w:rFonts w:ascii="Arial" w:hAnsi="Arial" w:cs="Arial"/>
                <w:color w:val="auto"/>
                <w:sz w:val="24"/>
                <w:highlight w:val="none"/>
              </w:rPr>
            </w:pPr>
            <w:r>
              <w:rPr>
                <w:rFonts w:ascii="Arial" w:hAnsi="Arial"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left"/>
              <w:widowControl/>
              <w:rPr>
                <w:rFonts w:ascii="Arial" w:hAnsi="Arial" w:cs="Arial"/>
                <w:color w:val="auto"/>
                <w:sz w:val="22"/>
                <w:szCs w:val="22"/>
                <w:highlight w:val="none"/>
              </w:rPr>
            </w:pPr>
            <w:r>
              <w:rPr>
                <w:rFonts w:hint="eastAsia" w:ascii="宋体" w:hAnsi="宋体" w:cs="宋体"/>
                <w:color w:val="auto"/>
                <w:sz w:val="22"/>
                <w:szCs w:val="22"/>
                <w:highlight w:val="none"/>
              </w:rPr>
              <w:t xml:space="preserve">雅士，</w:t>
            </w:r>
            <w:r>
              <w:rPr>
                <w:rFonts w:ascii="Arial" w:hAnsi="Arial" w:cs="Arial"/>
                <w:color w:val="auto"/>
                <w:sz w:val="22"/>
                <w:szCs w:val="22"/>
                <w:highlight w:val="none"/>
              </w:rPr>
              <w:t xml:space="preserve">PAU505  </w:t>
            </w:r>
            <w:r/>
          </w:p>
          <w:p>
            <w:pPr>
              <w:jc w:val="left"/>
              <w:widowControl/>
              <w:rPr>
                <w:rFonts w:ascii="宋体" w:hAnsi="宋体" w:cs="宋体"/>
                <w:color w:val="auto"/>
                <w:sz w:val="22"/>
                <w:szCs w:val="22"/>
                <w:highlight w:val="none"/>
              </w:rPr>
            </w:pPr>
            <w:r>
              <w:rPr>
                <w:rStyle w:val="1450"/>
                <w:rFonts w:hint="default"/>
                <w:color w:val="auto"/>
                <w:highlight w:val="none"/>
              </w:rPr>
              <w:t xml:space="preserve">型号</w:t>
            </w:r>
            <w:r>
              <w:rPr>
                <w:rFonts w:ascii="Arial" w:hAnsi="Arial" w:cs="Arial"/>
                <w:color w:val="auto"/>
                <w:sz w:val="22"/>
                <w:szCs w:val="22"/>
                <w:highlight w:val="none"/>
              </w:rPr>
              <w:t xml:space="preserve">AAHM4.2H2-6B </w:t>
            </w:r>
            <w:r>
              <w:rPr>
                <w:rStyle w:val="1450"/>
                <w:rFonts w:hint="default"/>
                <w:color w:val="auto"/>
                <w:highlight w:val="none"/>
              </w:rPr>
              <w:t xml:space="preserve">、功率：</w:t>
            </w:r>
            <w:r>
              <w:rPr>
                <w:rFonts w:ascii="Arial" w:hAnsi="Arial" w:cs="Arial"/>
                <w:color w:val="auto"/>
                <w:sz w:val="22"/>
                <w:szCs w:val="22"/>
                <w:highlight w:val="none"/>
              </w:rPr>
              <w:t xml:space="preserve">2.2kW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color w:val="auto"/>
                <w:sz w:val="24"/>
                <w:highlight w:val="none"/>
              </w:rPr>
            </w:pPr>
            <w:r>
              <w:rPr>
                <w:color w:val="auto"/>
                <w:sz w:val="24"/>
                <w:highlight w:val="none"/>
              </w:rPr>
              <w:t xml:space="preserve">4 </w:t>
            </w:r>
            <w:r>
              <w:rPr>
                <w:rFonts w:hint="eastAsia" w:ascii="宋体" w:hAnsi="宋体" w:cs="宋体"/>
                <w:color w:val="auto"/>
                <w:sz w:val="24"/>
                <w:highlight w:val="none"/>
              </w:rPr>
              <w:t xml:space="preserve">、冷却塔</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冷却塔</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四楼屋面</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常菱，型号：</w:t>
            </w:r>
            <w:r>
              <w:rPr>
                <w:rFonts w:ascii="Arial" w:hAnsi="Arial" w:cs="Arial"/>
                <w:color w:val="auto"/>
                <w:sz w:val="22"/>
                <w:szCs w:val="22"/>
                <w:highlight w:val="none"/>
              </w:rPr>
              <w:t xml:space="preserve">YKP-160M-6V1</w:t>
            </w:r>
            <w:r>
              <w:rPr>
                <w:rStyle w:val="1450"/>
                <w:rFonts w:hint="default"/>
                <w:color w:val="auto"/>
                <w:highlight w:val="none"/>
              </w:rPr>
              <w:t xml:space="preserve">；功率：</w:t>
            </w:r>
            <w:r>
              <w:rPr>
                <w:rFonts w:ascii="Arial" w:hAnsi="Arial" w:cs="Arial"/>
                <w:color w:val="auto"/>
                <w:sz w:val="22"/>
                <w:szCs w:val="22"/>
                <w:highlight w:val="none"/>
              </w:rPr>
              <w:t xml:space="preserve">7.5kW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color w:val="auto"/>
                <w:sz w:val="24"/>
                <w:highlight w:val="none"/>
              </w:rPr>
            </w:pPr>
            <w:r>
              <w:rPr>
                <w:color w:val="auto"/>
                <w:sz w:val="24"/>
                <w:highlight w:val="none"/>
              </w:rPr>
              <w:t xml:space="preserve">5</w:t>
            </w:r>
            <w:r>
              <w:rPr>
                <w:rFonts w:hint="eastAsia" w:ascii="宋体" w:hAnsi="宋体" w:cs="宋体"/>
                <w:color w:val="auto"/>
                <w:sz w:val="24"/>
                <w:highlight w:val="none"/>
              </w:rPr>
              <w:t xml:space="preserve">、风冷热泵机组</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风冷热泵</w:t>
            </w:r>
            <w:r>
              <w:rPr>
                <w:rFonts w:ascii="Arial" w:hAnsi="Arial" w:cs="Arial"/>
                <w:color w:val="auto"/>
                <w:sz w:val="22"/>
                <w:szCs w:val="22"/>
                <w:highlight w:val="none"/>
              </w:rPr>
              <w:br/>
            </w:r>
            <w:r>
              <w:rPr>
                <w:rFonts w:ascii="Arial" w:hAnsi="Arial" w:cs="Arial"/>
                <w:color w:val="auto"/>
                <w:sz w:val="22"/>
                <w:szCs w:val="22"/>
                <w:highlight w:val="none"/>
              </w:rPr>
              <w:t xml:space="preserve">机组水泵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四楼屋面</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color w:val="auto"/>
                <w:sz w:val="24"/>
                <w:highlight w:val="none"/>
              </w:rPr>
            </w:pPr>
            <w:r>
              <w:rPr>
                <w:color w:val="auto"/>
                <w:sz w:val="24"/>
                <w:highlight w:val="none"/>
              </w:rPr>
              <w:t xml:space="preserve">6</w:t>
            </w:r>
            <w:r>
              <w:rPr>
                <w:rFonts w:hint="eastAsia" w:ascii="宋体" w:hAnsi="宋体" w:cs="宋体"/>
                <w:color w:val="auto"/>
                <w:sz w:val="24"/>
                <w:highlight w:val="none"/>
              </w:rPr>
              <w:t xml:space="preserve">、直饮机</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直饮机</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每层</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30</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型号：</w:t>
            </w:r>
            <w:r>
              <w:rPr>
                <w:rFonts w:ascii="Arial" w:hAnsi="Arial" w:cs="Arial"/>
                <w:color w:val="auto"/>
                <w:sz w:val="22"/>
                <w:szCs w:val="22"/>
                <w:highlight w:val="none"/>
              </w:rPr>
              <w:t xml:space="preserve">JSP-R4W45-01</w:t>
            </w:r>
            <w:r>
              <w:rPr>
                <w:rStyle w:val="1450"/>
                <w:rFonts w:hint="default"/>
                <w:color w:val="auto"/>
                <w:highlight w:val="none"/>
              </w:rPr>
              <w:t xml:space="preserve">；功率：</w:t>
            </w:r>
            <w:r>
              <w:rPr>
                <w:rFonts w:ascii="Arial" w:hAnsi="Arial" w:cs="Arial"/>
                <w:color w:val="auto"/>
                <w:sz w:val="22"/>
                <w:szCs w:val="22"/>
                <w:highlight w:val="none"/>
              </w:rPr>
              <w:t xml:space="preserve">6kW</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color w:val="auto"/>
                <w:sz w:val="24"/>
                <w:highlight w:val="none"/>
              </w:rPr>
            </w:pPr>
            <w:r>
              <w:rPr>
                <w:color w:val="auto"/>
                <w:sz w:val="24"/>
                <w:highlight w:val="none"/>
              </w:rPr>
              <w:t xml:space="preserve">7</w:t>
            </w:r>
            <w:r>
              <w:rPr>
                <w:rFonts w:hint="eastAsia" w:ascii="宋体" w:hAnsi="宋体" w:cs="宋体"/>
                <w:color w:val="auto"/>
                <w:sz w:val="24"/>
                <w:highlight w:val="none"/>
              </w:rPr>
              <w:t xml:space="preserve">、空调设备</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空调设备</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门卫</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格力</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岗亭</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格力</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电梯房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3P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锅炉房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3P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2P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空调班</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2P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格力</w:t>
            </w:r>
            <w:r>
              <w:rPr>
                <w:rFonts w:ascii="Arial" w:hAnsi="Arial" w:cs="Arial"/>
                <w:color w:val="auto"/>
                <w:sz w:val="22"/>
                <w:szCs w:val="22"/>
                <w:highlight w:val="none"/>
              </w:rPr>
              <w:t xml:space="preserve"> 3P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高配间</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10P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维修中心</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放射科</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大金</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急诊</w:t>
            </w:r>
            <w:r>
              <w:rPr>
                <w:rFonts w:ascii="Arial" w:hAnsi="Arial" w:cs="Arial"/>
                <w:color w:val="auto"/>
                <w:sz w:val="22"/>
                <w:szCs w:val="22"/>
                <w:highlight w:val="none"/>
              </w:rPr>
              <w:t xml:space="preserve"> DR </w:t>
            </w:r>
            <w:r>
              <w:rPr>
                <w:rStyle w:val="1450"/>
                <w:rFonts w:hint="default"/>
                <w:color w:val="auto"/>
                <w:highlight w:val="none"/>
              </w:rPr>
              <w:t xml:space="preserve">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松下</w:t>
            </w:r>
            <w:r>
              <w:rPr>
                <w:rFonts w:ascii="Arial" w:hAnsi="Arial" w:cs="Arial"/>
                <w:color w:val="auto"/>
                <w:sz w:val="22"/>
                <w:szCs w:val="22"/>
                <w:highlight w:val="none"/>
              </w:rPr>
              <w:t xml:space="preserve"> 3P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污水站</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16</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新核医学</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松下</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17</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18</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松下</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消控中心</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大金</w:t>
            </w:r>
            <w:r>
              <w:rPr>
                <w:rStyle w:val="1453"/>
                <w:color w:val="auto"/>
                <w:highlight w:val="none"/>
              </w:rPr>
              <w:t xml:space="preserve">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发热门诊</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美的一拖四</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21</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44</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120 </w:t>
            </w:r>
            <w:r>
              <w:rPr>
                <w:rStyle w:val="1450"/>
                <w:rFonts w:hint="default"/>
                <w:color w:val="auto"/>
                <w:highlight w:val="none"/>
              </w:rPr>
              <w:t xml:space="preserve">房间</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急诊</w:t>
            </w:r>
            <w:r>
              <w:rPr>
                <w:rFonts w:ascii="Arial" w:hAnsi="Arial" w:cs="Arial"/>
                <w:color w:val="auto"/>
                <w:sz w:val="22"/>
                <w:szCs w:val="22"/>
                <w:highlight w:val="none"/>
              </w:rPr>
              <w:t xml:space="preserve"> CT </w:t>
            </w:r>
            <w:r>
              <w:rPr>
                <w:rStyle w:val="1450"/>
                <w:rFonts w:hint="default"/>
                <w:color w:val="auto"/>
                <w:highlight w:val="none"/>
              </w:rPr>
              <w:t xml:space="preserve">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松下</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急诊新</w:t>
            </w:r>
            <w:r>
              <w:rPr>
                <w:rFonts w:ascii="Arial" w:hAnsi="Arial" w:cs="Arial"/>
                <w:color w:val="auto"/>
                <w:sz w:val="22"/>
                <w:szCs w:val="22"/>
                <w:highlight w:val="none"/>
              </w:rPr>
              <w:t xml:space="preserve"> CT </w:t>
            </w:r>
            <w:r>
              <w:rPr>
                <w:rStyle w:val="1450"/>
                <w:rFonts w:hint="default"/>
                <w:color w:val="auto"/>
                <w:highlight w:val="none"/>
              </w:rPr>
              <w:t xml:space="preserve">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模拟定位机房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26</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放疗定位室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3P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27</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放疗机房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精密空调</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28</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肿瘤信息机房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2P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29</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肿瘤中心核磁共振</w:t>
            </w:r>
            <w:r>
              <w:rPr>
                <w:rFonts w:ascii="Arial" w:hAnsi="Arial" w:cs="Arial"/>
                <w:color w:val="auto"/>
                <w:sz w:val="22"/>
                <w:szCs w:val="22"/>
                <w:highlight w:val="none"/>
              </w:rPr>
              <w:t xml:space="preserve"> 1.5</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冷水机组</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30</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介入科</w:t>
            </w:r>
            <w:r>
              <w:rPr>
                <w:rFonts w:ascii="Arial" w:hAnsi="Arial" w:cs="Arial"/>
                <w:color w:val="auto"/>
                <w:sz w:val="22"/>
                <w:szCs w:val="22"/>
                <w:highlight w:val="none"/>
              </w:rPr>
              <w:t xml:space="preserve"> 1 </w:t>
            </w:r>
            <w:r>
              <w:rPr>
                <w:rStyle w:val="1450"/>
                <w:rFonts w:hint="default"/>
                <w:color w:val="auto"/>
                <w:highlight w:val="none"/>
              </w:rPr>
              <w:t xml:space="preserve">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大金</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31</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2P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介入科</w:t>
            </w:r>
            <w:r>
              <w:rPr>
                <w:rFonts w:ascii="Arial" w:hAnsi="Arial" w:cs="Arial"/>
                <w:color w:val="auto"/>
                <w:sz w:val="22"/>
                <w:szCs w:val="22"/>
                <w:highlight w:val="none"/>
              </w:rPr>
              <w:t xml:space="preserve"> 2 </w:t>
            </w:r>
            <w:r>
              <w:rPr>
                <w:rStyle w:val="1450"/>
                <w:rFonts w:hint="default"/>
                <w:color w:val="auto"/>
                <w:highlight w:val="none"/>
              </w:rPr>
              <w:t xml:space="preserve">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大金</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中心药房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2P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35</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外场门卫办公室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36</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15 </w:t>
            </w:r>
            <w:r>
              <w:rPr>
                <w:rStyle w:val="1450"/>
                <w:rFonts w:hint="default"/>
                <w:color w:val="auto"/>
                <w:highlight w:val="none"/>
              </w:rPr>
              <w:t xml:space="preserve">病区产科</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格力</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37</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裙楼核磁共振</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精密空调</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38</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医疗垃圾</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松下</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一楼国际门诊部</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3P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40</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中央变频空调</w:t>
            </w:r>
            <w:r>
              <w:rPr>
                <w:rFonts w:ascii="Arial" w:hAnsi="Arial" w:cs="Arial"/>
                <w:color w:val="auto"/>
                <w:sz w:val="22"/>
                <w:szCs w:val="22"/>
                <w:highlight w:val="none"/>
              </w:rPr>
              <w:t xml:space="preserve"> 10P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41</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食堂</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美的冷库</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检验科</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冷库</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药库</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冷库美的</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二楼</w:t>
            </w:r>
            <w:r>
              <w:rPr>
                <w:rFonts w:ascii="Arial" w:hAnsi="Arial" w:cs="Arial"/>
                <w:color w:val="auto"/>
                <w:sz w:val="22"/>
                <w:szCs w:val="22"/>
                <w:highlight w:val="none"/>
              </w:rPr>
              <w:t xml:space="preserve"> CT </w:t>
            </w:r>
            <w:r>
              <w:rPr>
                <w:rStyle w:val="1450"/>
                <w:rFonts w:hint="default"/>
                <w:color w:val="auto"/>
                <w:highlight w:val="none"/>
              </w:rPr>
              <w:t xml:space="preserve">机房</w:t>
            </w:r>
            <w:r>
              <w:rPr>
                <w:rFonts w:ascii="Arial" w:hAnsi="Arial" w:cs="Arial"/>
                <w:color w:val="auto"/>
                <w:sz w:val="22"/>
                <w:szCs w:val="22"/>
                <w:highlight w:val="none"/>
              </w:rPr>
              <w:t xml:space="preserve"> 1</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大金</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45</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二楼</w:t>
            </w:r>
            <w:r>
              <w:rPr>
                <w:rFonts w:ascii="Arial" w:hAnsi="Arial" w:cs="Arial"/>
                <w:color w:val="auto"/>
                <w:sz w:val="22"/>
                <w:szCs w:val="22"/>
                <w:highlight w:val="none"/>
              </w:rPr>
              <w:t xml:space="preserve"> CT </w:t>
            </w:r>
            <w:r>
              <w:rPr>
                <w:rStyle w:val="1450"/>
                <w:rFonts w:hint="default"/>
                <w:color w:val="auto"/>
                <w:highlight w:val="none"/>
              </w:rPr>
              <w:t xml:space="preserve">机房</w:t>
            </w:r>
            <w:r>
              <w:rPr>
                <w:rFonts w:ascii="Arial" w:hAnsi="Arial" w:cs="Arial"/>
                <w:color w:val="auto"/>
                <w:sz w:val="22"/>
                <w:szCs w:val="22"/>
                <w:highlight w:val="none"/>
              </w:rPr>
              <w:t xml:space="preserve"> 2</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松下</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46</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15 </w:t>
            </w:r>
            <w:r>
              <w:rPr>
                <w:rStyle w:val="1450"/>
                <w:rFonts w:hint="default"/>
                <w:color w:val="auto"/>
                <w:highlight w:val="none"/>
              </w:rPr>
              <w:t xml:space="preserve">病区产科</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格力</w:t>
            </w:r>
            <w:r>
              <w:rPr>
                <w:rFonts w:ascii="Arial" w:hAnsi="Arial" w:cs="Arial"/>
                <w:color w:val="auto"/>
                <w:sz w:val="22"/>
                <w:szCs w:val="22"/>
                <w:highlight w:val="none"/>
              </w:rPr>
              <w:t xml:space="preserve"> 3P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47</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输液室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志高</w:t>
            </w:r>
            <w:r>
              <w:rPr>
                <w:rFonts w:ascii="Arial" w:hAnsi="Arial" w:cs="Arial"/>
                <w:color w:val="auto"/>
                <w:sz w:val="22"/>
                <w:szCs w:val="22"/>
                <w:highlight w:val="none"/>
              </w:rPr>
              <w:t xml:space="preserve"> 1.5P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48</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新风机组</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49</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超市</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美的</w:t>
            </w:r>
            <w:r>
              <w:rPr>
                <w:rStyle w:val="1453"/>
                <w:color w:val="auto"/>
                <w:highlight w:val="none"/>
              </w:rPr>
              <w:t xml:space="preserve">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50</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7+7</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51</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咖啡吧</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5P</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检验科</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20P </w:t>
            </w:r>
            <w:r>
              <w:rPr>
                <w:rStyle w:val="1450"/>
                <w:rFonts w:hint="default"/>
                <w:color w:val="auto"/>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 </w:t>
            </w:r>
            <w:r>
              <w:rPr>
                <w:rStyle w:val="1450"/>
                <w:rFonts w:hint="default"/>
                <w:color w:val="auto"/>
                <w:highlight w:val="none"/>
              </w:rPr>
              <w:t xml:space="preserve">、</w:t>
            </w:r>
            <w:r>
              <w:rPr>
                <w:rFonts w:ascii="Arial" w:hAnsi="Arial" w:cs="Arial"/>
                <w:color w:val="auto"/>
                <w:sz w:val="22"/>
                <w:szCs w:val="22"/>
                <w:highlight w:val="none"/>
              </w:rPr>
              <w:t xml:space="preserve">3 </w:t>
            </w:r>
            <w:r>
              <w:rPr>
                <w:rStyle w:val="1450"/>
                <w:rFonts w:hint="default"/>
                <w:color w:val="auto"/>
                <w:highlight w:val="none"/>
              </w:rPr>
              <w:t xml:space="preserve">病区医生办公室</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5P </w:t>
            </w:r>
            <w:r>
              <w:rPr>
                <w:rStyle w:val="1450"/>
                <w:rFonts w:hint="default"/>
                <w:color w:val="auto"/>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二楼新</w:t>
            </w:r>
            <w:r>
              <w:rPr>
                <w:rFonts w:ascii="Arial" w:hAnsi="Arial" w:cs="Arial"/>
                <w:color w:val="auto"/>
                <w:sz w:val="22"/>
                <w:szCs w:val="22"/>
                <w:highlight w:val="none"/>
              </w:rPr>
              <w:t xml:space="preserve"> CT </w:t>
            </w:r>
            <w:r>
              <w:rPr>
                <w:rStyle w:val="1450"/>
                <w:rFonts w:hint="default"/>
                <w:color w:val="auto"/>
                <w:highlight w:val="none"/>
              </w:rPr>
              <w:t xml:space="preserve">机房</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美的</w:t>
            </w:r>
            <w:r>
              <w:rPr>
                <w:rFonts w:ascii="Arial" w:hAnsi="Arial" w:cs="Arial"/>
                <w:color w:val="auto"/>
                <w:sz w:val="22"/>
                <w:szCs w:val="22"/>
                <w:highlight w:val="none"/>
              </w:rPr>
              <w:t xml:space="preserve"> 10P </w:t>
            </w:r>
            <w:r>
              <w:rPr>
                <w:rStyle w:val="1450"/>
                <w:rFonts w:hint="default"/>
                <w:color w:val="auto"/>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55</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急诊大厅</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美的</w:t>
            </w:r>
            <w:r>
              <w:rPr>
                <w:rStyle w:val="1453"/>
                <w:color w:val="auto"/>
                <w:highlight w:val="none"/>
              </w:rPr>
              <w:t xml:space="preserve">5P </w:t>
            </w:r>
            <w:r>
              <w:rPr>
                <w:rStyle w:val="1454"/>
                <w:rFonts w:hint="default"/>
                <w:color w:val="auto"/>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gridSpan w:val="6"/>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widowControl/>
              <w:rPr>
                <w:color w:val="auto"/>
                <w:sz w:val="24"/>
                <w:highlight w:val="none"/>
              </w:rPr>
            </w:pPr>
            <w:r>
              <w:rPr>
                <w:color w:val="auto"/>
                <w:sz w:val="24"/>
                <w:highlight w:val="none"/>
              </w:rPr>
              <w:t xml:space="preserve">7</w:t>
            </w:r>
            <w:r>
              <w:rPr>
                <w:rFonts w:hint="eastAsia" w:ascii="宋体" w:hAnsi="宋体" w:cs="宋体"/>
                <w:color w:val="auto"/>
                <w:sz w:val="24"/>
                <w:highlight w:val="none"/>
              </w:rPr>
              <w:t xml:space="preserve">、锅炉</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型号</w:t>
            </w:r>
            <w:r>
              <w:rPr>
                <w:rStyle w:val="1447"/>
                <w:color w:val="auto"/>
                <w:highlight w:val="none"/>
              </w:rPr>
              <w:t xml:space="preserve">/</w:t>
            </w:r>
            <w:r>
              <w:rPr>
                <w:rStyle w:val="1448"/>
                <w:color w:val="auto"/>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widowControl/>
              <w:rPr>
                <w:rFonts w:ascii="Arial" w:hAnsi="Arial" w:cs="Arial"/>
                <w:color w:val="auto"/>
                <w:sz w:val="24"/>
                <w:highlight w:val="none"/>
              </w:rPr>
            </w:pPr>
            <w:r>
              <w:rPr>
                <w:rStyle w:val="1448"/>
                <w:color w:val="auto"/>
                <w:highlight w:val="none"/>
              </w:rPr>
              <w:t xml:space="preserve">备注</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1163" w:type="dxa"/>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蒸汽锅炉</w:t>
            </w:r>
            <w:r/>
          </w:p>
        </w:tc>
        <w:tc>
          <w:tcPr>
            <w:tcBorders>
              <w:top w:val="single" w:color="000000" w:sz="4" w:space="0"/>
              <w:left w:val="single" w:color="000000" w:sz="4" w:space="0"/>
              <w:bottom w:val="single" w:color="000000" w:sz="4" w:space="0"/>
              <w:right w:val="single" w:color="000000" w:sz="4" w:space="0"/>
            </w:tcBorders>
            <w:tcW w:w="955" w:type="dxa"/>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迪森，型号：</w:t>
            </w:r>
            <w:r>
              <w:rPr>
                <w:rFonts w:ascii="Arial" w:hAnsi="Arial" w:cs="Arial"/>
                <w:color w:val="auto"/>
                <w:sz w:val="22"/>
                <w:szCs w:val="22"/>
                <w:highlight w:val="none"/>
              </w:rPr>
              <w:t xml:space="preserve">LSS1-1.0-Y.Q</w:t>
            </w:r>
            <w:r>
              <w:rPr>
                <w:rStyle w:val="1450"/>
                <w:rFonts w:hint="default"/>
                <w:color w:val="auto"/>
                <w:highlight w:val="none"/>
              </w:rPr>
              <w:t xml:space="preserve">；容量分别为：</w:t>
            </w:r>
            <w:r>
              <w:rPr>
                <w:rFonts w:ascii="Arial" w:hAnsi="Arial" w:cs="Arial"/>
                <w:color w:val="auto"/>
                <w:sz w:val="22"/>
                <w:szCs w:val="22"/>
                <w:highlight w:val="none"/>
              </w:rPr>
              <w:t xml:space="preserve">1t</w:t>
            </w:r>
            <w:r>
              <w:rPr>
                <w:rStyle w:val="1450"/>
                <w:rFonts w:hint="default"/>
                <w:color w:val="auto"/>
                <w:highlight w:val="none"/>
              </w:rPr>
              <w:t xml:space="preserve">、</w:t>
            </w:r>
            <w:r>
              <w:rPr>
                <w:rFonts w:ascii="Arial" w:hAnsi="Arial" w:cs="Arial"/>
                <w:color w:val="auto"/>
                <w:sz w:val="22"/>
                <w:szCs w:val="22"/>
                <w:highlight w:val="none"/>
              </w:rPr>
              <w:t xml:space="preserve">2.0t</w:t>
            </w:r>
            <w:r>
              <w:rPr>
                <w:rStyle w:val="1450"/>
                <w:rFonts w:hint="default"/>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482" w:type="dxa"/>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1163" w:type="dxa"/>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热水锅炉</w:t>
            </w:r>
            <w:r/>
          </w:p>
        </w:tc>
        <w:tc>
          <w:tcPr>
            <w:tcBorders>
              <w:top w:val="single" w:color="000000" w:sz="4" w:space="0"/>
              <w:left w:val="single" w:color="000000" w:sz="4" w:space="0"/>
              <w:bottom w:val="single" w:color="000000" w:sz="4" w:space="0"/>
              <w:right w:val="single" w:color="000000" w:sz="4" w:space="0"/>
            </w:tcBorders>
            <w:tcW w:w="955" w:type="dxa"/>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505" w:type="dxa"/>
            <w:textDirection w:val="lrTb"/>
            <w:noWrap w:val="false"/>
          </w:tcPr>
          <w:p>
            <w:pPr>
              <w:jc w:val="center"/>
              <w:widowControl/>
              <w:rPr>
                <w:rFonts w:ascii="Arial" w:hAnsi="Arial" w:cs="Arial"/>
                <w:color w:val="auto"/>
                <w:sz w:val="22"/>
                <w:szCs w:val="22"/>
                <w:highlight w:val="none"/>
              </w:rPr>
            </w:pPr>
            <w:r>
              <w:rPr>
                <w:rFonts w:ascii="Arial" w:hAnsi="Arial" w:cs="Arial"/>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4586" w:type="dxa"/>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布德鲁斯，型号：</w:t>
            </w:r>
            <w:r>
              <w:rPr>
                <w:rFonts w:ascii="Arial" w:hAnsi="Arial" w:cs="Arial"/>
                <w:color w:val="auto"/>
                <w:sz w:val="22"/>
                <w:szCs w:val="22"/>
                <w:highlight w:val="none"/>
              </w:rPr>
              <w:t xml:space="preserve">GE615-1400</w:t>
            </w:r>
            <w:r>
              <w:rPr>
                <w:rStyle w:val="1450"/>
                <w:rFonts w:hint="default"/>
                <w:color w:val="auto"/>
                <w:highlight w:val="none"/>
              </w:rPr>
              <w:t xml:space="preserve">；额定功率：1400kW；</w:t>
            </w:r>
            <w:r/>
          </w:p>
        </w:tc>
        <w:tc>
          <w:tcPr>
            <w:tcBorders>
              <w:top w:val="single" w:color="000000" w:sz="4" w:space="0"/>
              <w:left w:val="single" w:color="000000" w:sz="4" w:space="0"/>
              <w:bottom w:val="single" w:color="000000" w:sz="4" w:space="0"/>
              <w:right w:val="single" w:color="000000" w:sz="4" w:space="0"/>
            </w:tcBorders>
            <w:tcW w:w="837" w:type="dxa"/>
            <w:textDirection w:val="lrTb"/>
            <w:noWrap w:val="false"/>
          </w:tcPr>
          <w:p>
            <w:pPr>
              <w:jc w:val="center"/>
              <w:rPr>
                <w:rFonts w:ascii="Arial" w:hAnsi="Arial" w:cs="Arial"/>
                <w:color w:val="auto"/>
                <w:sz w:val="22"/>
                <w:szCs w:val="22"/>
                <w:highlight w:val="none"/>
              </w:rPr>
            </w:pPr>
            <w:r>
              <w:rPr>
                <w:rFonts w:ascii="Arial" w:hAnsi="Arial" w:cs="Arial"/>
                <w:color w:val="auto"/>
                <w:sz w:val="22"/>
                <w:szCs w:val="22"/>
                <w:highlight w:val="none"/>
              </w:rPr>
            </w:r>
            <w:r/>
          </w:p>
        </w:tc>
      </w:tr>
    </w:tbl>
    <w:p>
      <w:pPr>
        <w:contextualSpacing/>
        <w:ind w:left="-2" w:firstLine="480"/>
        <w:spacing w:line="360" w:lineRule="auto"/>
        <w:tabs>
          <w:tab w:val="left" w:pos="567" w:leader="none"/>
        </w:tabs>
        <w:rPr>
          <w:rFonts w:ascii="宋体" w:hAnsi="宋体"/>
          <w:color w:val="auto"/>
          <w:sz w:val="24"/>
          <w:highlight w:val="none"/>
        </w:rPr>
      </w:pPr>
      <w:r>
        <w:rPr>
          <w:rFonts w:ascii="宋体" w:hAnsi="宋体"/>
          <w:color w:val="auto"/>
          <w:sz w:val="24"/>
          <w:highlight w:val="none"/>
        </w:rPr>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附表3：能源供应及服务标准</w:t>
      </w:r>
      <w:r/>
    </w:p>
    <w:tbl>
      <w:tblPr>
        <w:tblStyle w:val="1042"/>
        <w:tblW w:w="8528" w:type="dxa"/>
        <w:jc w:val="center"/>
        <w:tblLayout w:type="fixed"/>
        <w:tblCellMar>
          <w:left w:w="108" w:type="dxa"/>
          <w:top w:w="0" w:type="dxa"/>
          <w:right w:w="108" w:type="dxa"/>
          <w:bottom w:w="0" w:type="dxa"/>
        </w:tblCellMar>
        <w:tblLook w:val="04A0" w:firstRow="1" w:lastRow="0" w:firstColumn="1" w:lastColumn="0" w:noHBand="0" w:noVBand="1"/>
      </w:tblPr>
      <w:tblGrid>
        <w:gridCol w:w="1180"/>
        <w:gridCol w:w="1416"/>
        <w:gridCol w:w="5932"/>
      </w:tblGrid>
      <w:tr>
        <w:trPr>
          <w:jc w:val="center"/>
          <w:tblHeader/>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供能类型</w:t>
            </w:r>
            <w:r/>
          </w:p>
        </w:tc>
        <w:tc>
          <w:tcPr>
            <w:gridSpan w:val="2"/>
            <w:tcBorders>
              <w:top w:val="single" w:color="000000" w:sz="4" w:space="0"/>
              <w:left w:val="single" w:color="000000" w:sz="4" w:space="0"/>
              <w:bottom w:val="single" w:color="000000" w:sz="4" w:space="0"/>
              <w:right w:val="single" w:color="000000" w:sz="4" w:space="0"/>
            </w:tcBorders>
            <w:tcW w:w="7348"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服务标准</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供冷</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供冷时间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hint="eastAsia" w:ascii="宋体" w:hAnsi="宋体" w:eastAsia="宋体" w:cs="宋体"/>
                <w:color w:val="auto"/>
                <w:sz w:val="24"/>
                <w:highlight w:val="none"/>
                <w:lang w:eastAsia="zh-CN"/>
              </w:rPr>
            </w:pPr>
            <w:r>
              <w:rPr>
                <w:b/>
                <w:bCs/>
                <w:color w:val="auto"/>
                <w:spacing w:val="-8"/>
                <w:sz w:val="24"/>
                <w:highlight w:val="none"/>
              </w:rPr>
              <w:t xml:space="preserve">每年</w:t>
            </w:r>
            <w:r>
              <w:rPr>
                <w:rFonts w:eastAsia="Times New Roman"/>
                <w:b/>
                <w:bCs/>
                <w:color w:val="auto"/>
                <w:spacing w:val="-8"/>
                <w:sz w:val="24"/>
                <w:highlight w:val="none"/>
              </w:rPr>
              <w:t xml:space="preserve">5</w:t>
            </w:r>
            <w:r>
              <w:rPr>
                <w:b/>
                <w:bCs/>
                <w:color w:val="auto"/>
                <w:spacing w:val="-8"/>
                <w:sz w:val="24"/>
                <w:highlight w:val="none"/>
              </w:rPr>
              <w:t xml:space="preserve">月</w:t>
            </w:r>
            <w:r>
              <w:rPr>
                <w:rFonts w:hint="eastAsia"/>
                <w:b/>
                <w:bCs/>
                <w:color w:val="auto"/>
                <w:spacing w:val="-8"/>
                <w:sz w:val="24"/>
                <w:highlight w:val="none"/>
                <w:lang w:val="en-US" w:eastAsia="zh-CN"/>
              </w:rPr>
              <w:t xml:space="preserve">1</w:t>
            </w:r>
            <w:r>
              <w:rPr>
                <w:b/>
                <w:bCs/>
                <w:color w:val="auto"/>
                <w:spacing w:val="-8"/>
                <w:sz w:val="24"/>
                <w:highlight w:val="none"/>
              </w:rPr>
              <w:t xml:space="preserve">日至</w:t>
            </w:r>
            <w:r>
              <w:rPr>
                <w:rFonts w:eastAsia="Times New Roman"/>
                <w:b/>
                <w:bCs/>
                <w:color w:val="auto"/>
                <w:spacing w:val="-8"/>
                <w:sz w:val="24"/>
                <w:highlight w:val="none"/>
              </w:rPr>
              <w:t xml:space="preserve">10</w:t>
            </w:r>
            <w:r>
              <w:rPr>
                <w:b/>
                <w:bCs/>
                <w:color w:val="auto"/>
                <w:spacing w:val="-8"/>
                <w:sz w:val="24"/>
                <w:highlight w:val="none"/>
              </w:rPr>
              <w:t xml:space="preserve">月</w:t>
            </w:r>
            <w:r>
              <w:rPr>
                <w:rFonts w:hint="eastAsia"/>
                <w:b/>
                <w:bCs/>
                <w:color w:val="auto"/>
                <w:spacing w:val="-8"/>
                <w:sz w:val="24"/>
                <w:highlight w:val="none"/>
                <w:lang w:val="en-US" w:eastAsia="zh-CN"/>
              </w:rPr>
              <w:t xml:space="preserve">31</w:t>
            </w:r>
            <w:r>
              <w:rPr>
                <w:b/>
                <w:bCs/>
                <w:color w:val="auto"/>
                <w:spacing w:val="-8"/>
                <w:sz w:val="24"/>
                <w:highlight w:val="none"/>
              </w:rPr>
              <w:t xml:space="preserve">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根据天气情况可动态调整</w:t>
            </w:r>
            <w:r>
              <w:rPr>
                <w:rFonts w:hint="eastAsia" w:ascii="宋体" w:hAnsi="宋体" w:cs="宋体"/>
                <w:color w:val="auto"/>
                <w:sz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供冷范围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全院（除净化区外）</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供冷条件</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供冷开始条件：室外最高气温连续3天＞28℃或当天＞31℃时；</w:t>
            </w:r>
            <w:r>
              <w:rPr>
                <w:rFonts w:hint="eastAsia" w:ascii="宋体" w:hAnsi="宋体" w:cs="宋体"/>
                <w:color w:val="auto"/>
                <w:sz w:val="24"/>
                <w:highlight w:val="none"/>
              </w:rPr>
              <w:br/>
            </w:r>
            <w:r>
              <w:rPr>
                <w:rFonts w:hint="eastAsia" w:ascii="宋体" w:hAnsi="宋体" w:cs="宋体"/>
                <w:color w:val="auto"/>
                <w:sz w:val="24"/>
                <w:highlight w:val="none"/>
              </w:rPr>
              <w:t xml:space="preserve">供冷结束条件：室外最高气温连续3天＜27℃或当天＜24℃；</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供冷标准</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供冷时，室内温度不低于26℃。</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供冷时段</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住院及急诊区域：按需供应；</w:t>
            </w:r>
            <w:r>
              <w:rPr>
                <w:rFonts w:hint="eastAsia" w:ascii="宋体" w:hAnsi="宋体" w:cs="宋体"/>
                <w:color w:val="auto"/>
                <w:sz w:val="24"/>
                <w:highlight w:val="none"/>
              </w:rPr>
              <w:br/>
            </w:r>
            <w:r>
              <w:rPr>
                <w:rFonts w:hint="eastAsia" w:ascii="宋体" w:hAnsi="宋体" w:cs="宋体"/>
                <w:color w:val="auto"/>
                <w:sz w:val="24"/>
                <w:highlight w:val="none"/>
              </w:rPr>
              <w:t xml:space="preserve">医技、门诊、办公区域：</w:t>
            </w:r>
            <w:r>
              <w:rPr>
                <w:rStyle w:val="1443"/>
                <w:rFonts w:ascii="宋体"/>
                <w:color w:val="auto"/>
                <w:sz w:val="24"/>
                <w:szCs w:val="24"/>
                <w:highlight w:val="none"/>
              </w:rPr>
              <w:t xml:space="preserve">7:30~17:00；</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供暖</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供暖时间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eastAsia="宋体" w:cs="宋体"/>
                <w:b/>
                <w:bCs/>
                <w:i w:val="0"/>
                <w:iCs w:val="0"/>
                <w:color w:val="auto"/>
                <w:sz w:val="24"/>
                <w:szCs w:val="24"/>
                <w:highlight w:val="none"/>
              </w:rPr>
              <w:t xml:space="preserve">每年</w:t>
            </w:r>
            <w:r>
              <w:rPr>
                <w:rStyle w:val="1443"/>
                <w:rFonts w:hint="eastAsia" w:ascii="宋体" w:hAnsi="宋体" w:eastAsia="宋体" w:cs="宋体"/>
                <w:b/>
                <w:bCs/>
                <w:i w:val="0"/>
                <w:iCs w:val="0"/>
                <w:color w:val="auto"/>
                <w:sz w:val="24"/>
                <w:szCs w:val="24"/>
                <w:highlight w:val="none"/>
              </w:rPr>
              <w:t xml:space="preserve">11月1日至4月</w:t>
            </w:r>
            <w:r>
              <w:rPr>
                <w:rStyle w:val="1443"/>
                <w:rFonts w:hint="eastAsia" w:ascii="宋体" w:hAnsi="宋体" w:eastAsia="宋体" w:cs="宋体"/>
                <w:b/>
                <w:bCs/>
                <w:i w:val="0"/>
                <w:iCs w:val="0"/>
                <w:color w:val="auto"/>
                <w:sz w:val="24"/>
                <w:szCs w:val="24"/>
                <w:highlight w:val="none"/>
                <w:lang w:val="en-US" w:eastAsia="zh-CN"/>
              </w:rPr>
              <w:t xml:space="preserve">15</w:t>
            </w:r>
            <w:r>
              <w:rPr>
                <w:rStyle w:val="1443"/>
                <w:rFonts w:hint="eastAsia" w:ascii="宋体" w:hAnsi="宋体" w:eastAsia="宋体" w:cs="宋体"/>
                <w:b/>
                <w:bCs/>
                <w:i w:val="0"/>
                <w:iCs w:val="0"/>
                <w:color w:val="auto"/>
                <w:sz w:val="24"/>
                <w:szCs w:val="24"/>
                <w:highlight w:val="none"/>
              </w:rPr>
              <w:t xml:space="preserve">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根据天气情况可动态调整</w:t>
            </w:r>
            <w:r>
              <w:rPr>
                <w:rFonts w:hint="eastAsia" w:ascii="宋体" w:hAnsi="宋体" w:cs="宋体"/>
                <w:color w:val="auto"/>
                <w:sz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供暖范围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全院（除净化区外）</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供暖条件</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供暖开始条件：室外最低气温连续3天＜13℃或当天＜10℃时；</w:t>
            </w:r>
            <w:r>
              <w:rPr>
                <w:rFonts w:hint="eastAsia" w:ascii="宋体" w:hAnsi="宋体" w:cs="宋体"/>
                <w:color w:val="auto"/>
                <w:sz w:val="24"/>
                <w:highlight w:val="none"/>
              </w:rPr>
              <w:br/>
            </w:r>
            <w:r>
              <w:rPr>
                <w:rFonts w:hint="eastAsia" w:ascii="宋体" w:hAnsi="宋体" w:cs="宋体"/>
                <w:color w:val="auto"/>
                <w:sz w:val="24"/>
                <w:highlight w:val="none"/>
              </w:rPr>
              <w:t xml:space="preserve">供暖结束条件：室外最低气温连续3天＞17℃或当天＞20℃；</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供暖标准</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供暖时，室内温度不高于20℃。 </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供暖时段</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住院及急诊区域：按需供应；</w:t>
            </w:r>
            <w:r>
              <w:rPr>
                <w:rFonts w:hint="eastAsia" w:ascii="宋体" w:hAnsi="宋体" w:cs="宋体"/>
                <w:color w:val="auto"/>
                <w:sz w:val="24"/>
                <w:highlight w:val="none"/>
              </w:rPr>
              <w:br/>
            </w:r>
            <w:r>
              <w:rPr>
                <w:rFonts w:hint="eastAsia" w:ascii="宋体" w:hAnsi="宋体" w:cs="宋体"/>
                <w:color w:val="auto"/>
                <w:sz w:val="24"/>
                <w:highlight w:val="none"/>
              </w:rPr>
              <w:t xml:space="preserve">医技、门诊、办公区域：</w:t>
            </w:r>
            <w:r>
              <w:rPr>
                <w:rStyle w:val="1443"/>
                <w:rFonts w:ascii="宋体"/>
                <w:i/>
                <w:iCs/>
                <w:color w:val="auto"/>
                <w:sz w:val="24"/>
                <w:szCs w:val="24"/>
                <w:highlight w:val="none"/>
              </w:rPr>
              <w:t xml:space="preserve">7:30~17:00</w:t>
            </w:r>
            <w:r>
              <w:rPr>
                <w:rStyle w:val="1443"/>
                <w:rFonts w:ascii="宋体"/>
                <w:color w:val="auto"/>
                <w:sz w:val="24"/>
                <w:szCs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生活热水</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供热水时间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全年</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供热水范围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住院区</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供热水标准</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夏季45±5℃ 冬季50±5℃</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日供时段</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pStyle w:val="1442"/>
              <w:ind w:firstLine="0"/>
              <w:jc w:val="left"/>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夏季：</w:t>
            </w:r>
            <w:r>
              <w:rPr>
                <w:rFonts w:hint="eastAsia" w:ascii="宋体" w:hAnsi="宋体" w:eastAsia="宋体" w:cs="宋体"/>
                <w:color w:val="auto"/>
                <w:szCs w:val="24"/>
                <w:highlight w:val="none"/>
                <w:lang w:val="en-US" w:eastAsia="zh-CN"/>
              </w:rPr>
              <w:t xml:space="preserve">裙楼低区24小时供应，病房16:00—21:00；</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pStyle w:val="1442"/>
              <w:ind w:left="0" w:firstLine="0"/>
              <w:jc w:val="left"/>
              <w:widowControl/>
              <w:rPr>
                <w:rFonts w:ascii="宋体" w:hAnsi="宋体" w:eastAsia="宋体" w:cs="仿宋"/>
                <w:color w:val="auto"/>
                <w:spacing w:val="0"/>
                <w:szCs w:val="24"/>
                <w:highlight w:val="none"/>
              </w:rPr>
            </w:pPr>
            <w:r>
              <w:rPr>
                <w:rFonts w:hint="eastAsia" w:ascii="宋体" w:hAnsi="宋体" w:eastAsia="宋体" w:cs="宋体"/>
                <w:color w:val="auto"/>
                <w:szCs w:val="24"/>
                <w:highlight w:val="none"/>
              </w:rPr>
              <w:t xml:space="preserve">冬季：</w:t>
            </w:r>
            <w:r>
              <w:rPr>
                <w:rFonts w:hint="eastAsia" w:ascii="宋体" w:hAnsi="宋体" w:eastAsia="宋体" w:cs="宋体"/>
                <w:color w:val="auto"/>
                <w:szCs w:val="24"/>
                <w:highlight w:val="none"/>
                <w:lang w:val="en-US" w:eastAsia="zh-CN"/>
              </w:rPr>
              <w:t xml:space="preserve">裙楼低区24小时供应，病区早上5:00—8:00，下午16:00—21:00</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消毒蒸汽</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供蒸汽时间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工作日</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供蒸汽范围</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消毒供应中心、手术室</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供蒸汽标准</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蒸汽压力符合医用消毒蒸汽技术标准要求</w:t>
            </w:r>
            <w:r/>
          </w:p>
        </w:tc>
      </w:tr>
      <w:tr>
        <w:trPr>
          <w:jc w:val="center"/>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日供时段</w:t>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供应室消毒每天7:30—19：:30；手术室全天24小时供应</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服务要求：由于托管项目医院用能的特殊性，所有用能设备系统以及医院智慧管理运营平台的主动管控权由采购人合理管控，供应商须在采购人认可的情况下对用能设备进行合理提醒并协助管控。涉及供应商技改措施或供能系统运营，采购人合理采纳供应商建议并授权供应商供能系统调控权限，如采购人供能系统外包，采购人应要求运维单位协助供应商节能策略落地。</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5、项目保障：协助采购人建立健全医院智慧运营相关规章制度、工作流程等体系，并协助采购人执行。</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（四）节能技改项目及技术要求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1、服务改造项目表</w:t>
      </w:r>
      <w:r/>
    </w:p>
    <w:tbl>
      <w:tblPr>
        <w:tblStyle w:val="10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802"/>
        <w:gridCol w:w="1368"/>
        <w:gridCol w:w="4375"/>
        <w:gridCol w:w="1242"/>
      </w:tblGrid>
      <w:tr>
        <w:trPr>
          <w:jc w:val="center"/>
          <w:trHeight w:val="312"/>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b/>
                <w:bCs/>
                <w:color w:val="auto"/>
                <w:highlight w:val="none"/>
              </w:rPr>
            </w:pPr>
            <w:r>
              <w:rPr>
                <w:rFonts w:hint="eastAsia" w:ascii="宋体" w:hAnsi="宋体" w:cs="仿宋"/>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b/>
                <w:bCs/>
                <w:color w:val="auto"/>
                <w:highlight w:val="none"/>
              </w:rPr>
            </w:pPr>
            <w:r>
              <w:rPr>
                <w:rFonts w:hint="eastAsia" w:ascii="宋体" w:hAnsi="宋体" w:cs="仿宋"/>
                <w:b/>
                <w:bCs/>
                <w:color w:val="auto"/>
                <w:highlight w:val="none"/>
              </w:rPr>
              <w:t xml:space="preserve">系统类别</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445"/>
              <w:jc w:val="center"/>
              <w:rPr>
                <w:rFonts w:ascii="宋体" w:hAnsi="宋体" w:cs="仿宋"/>
                <w:b/>
                <w:bCs/>
                <w:color w:val="auto"/>
                <w:highlight w:val="none"/>
              </w:rPr>
            </w:pPr>
            <w:r>
              <w:rPr>
                <w:rFonts w:hint="eastAsia" w:ascii="宋体" w:hAnsi="宋体" w:cs="仿宋"/>
                <w:b/>
                <w:bCs/>
                <w:color w:val="auto"/>
                <w:highlight w:val="none"/>
              </w:rPr>
              <w:t xml:space="preserve">改造项目</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445"/>
              <w:jc w:val="center"/>
              <w:rPr>
                <w:rFonts w:ascii="宋体" w:hAnsi="宋体" w:cs="仿宋"/>
                <w:b/>
                <w:bCs/>
                <w:color w:val="auto"/>
                <w:highlight w:val="none"/>
              </w:rPr>
            </w:pPr>
            <w:r>
              <w:rPr>
                <w:rFonts w:hint="eastAsia" w:ascii="宋体" w:hAnsi="宋体" w:cs="仿宋"/>
                <w:b/>
                <w:bCs/>
                <w:color w:val="auto"/>
                <w:highlight w:val="none"/>
              </w:rPr>
              <w:t xml:space="preserve">说明</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b/>
                <w:bCs/>
                <w:color w:val="auto"/>
                <w:highlight w:val="none"/>
              </w:rPr>
              <w:t xml:space="preserve">备注</w:t>
            </w:r>
            <w:r/>
          </w:p>
        </w:tc>
      </w:tr>
      <w:tr>
        <w:trPr>
          <w:jc w:val="center"/>
          <w:trHeight w:val="960"/>
        </w:trPr>
        <w:tc>
          <w:tcPr>
            <w:tcBorders>
              <w:top w:val="none" w:color="000000" w:sz="4" w:space="0"/>
              <w:left w:val="single" w:color="auto" w:sz="4" w:space="0"/>
              <w:right w:val="single" w:color="auto" w:sz="4" w:space="0"/>
            </w:tcBorders>
            <w:tcMar>
              <w:left w:w="57" w:type="dxa"/>
              <w:top w:w="57" w:type="dxa"/>
              <w:right w:w="57" w:type="dxa"/>
              <w:bottom w:w="57" w:type="dxa"/>
            </w:tcMar>
            <w:tcW w:w="636" w:type="dxa"/>
            <w:vAlign w:val="center"/>
            <w:vMerge w:val="restart"/>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1</w:t>
            </w:r>
            <w:r/>
          </w:p>
        </w:tc>
        <w:tc>
          <w:tcPr>
            <w:tcBorders>
              <w:top w:val="none" w:color="000000"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vMerge w:val="restart"/>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制冷系统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Cs w:val="21"/>
                <w:highlight w:val="none"/>
              </w:rPr>
              <w:t xml:space="preserve">★</w:t>
            </w:r>
            <w:r>
              <w:rPr>
                <w:rFonts w:hint="eastAsia"/>
                <w:color w:val="auto"/>
                <w:sz w:val="24"/>
                <w:highlight w:val="none"/>
              </w:rPr>
              <w:t xml:space="preserve">高效冷站建设</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widowControl/>
              <w:rPr>
                <w:rFonts w:ascii="宋体" w:hAnsi="宋体" w:cs="仿宋"/>
                <w:color w:val="auto"/>
                <w:sz w:val="24"/>
                <w:highlight w:val="none"/>
              </w:rPr>
            </w:pPr>
            <w:r>
              <w:rPr>
                <w:rFonts w:hint="eastAsia"/>
                <w:color w:val="auto"/>
                <w:sz w:val="24"/>
                <w:highlight w:val="none"/>
              </w:rPr>
              <w:t xml:space="preserve">新增</w:t>
            </w:r>
            <w:r>
              <w:rPr>
                <w:rFonts w:hint="eastAsia"/>
                <w:color w:val="auto"/>
                <w:sz w:val="24"/>
                <w:highlight w:val="none"/>
                <w:lang w:val="en-US" w:eastAsia="zh-CN"/>
              </w:rPr>
              <w:t xml:space="preserve">总制冷量</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2989</w:t>
            </w:r>
            <w:r>
              <w:rPr>
                <w:rFonts w:hint="eastAsia" w:ascii="宋体" w:hAnsi="宋体" w:cs="宋体"/>
                <w:color w:val="auto"/>
                <w:szCs w:val="21"/>
                <w:highlight w:val="none"/>
              </w:rPr>
              <w:t xml:space="preserve">KW</w:t>
            </w:r>
            <w:r>
              <w:rPr>
                <w:rFonts w:hint="eastAsia"/>
                <w:color w:val="auto"/>
                <w:sz w:val="24"/>
                <w:highlight w:val="none"/>
              </w:rPr>
              <w:t xml:space="preserve">磁悬浮制冷机组</w:t>
            </w:r>
            <w:r>
              <w:rPr>
                <w:color w:val="auto"/>
                <w:sz w:val="24"/>
                <w:highlight w:val="none"/>
              </w:rPr>
              <w:t xml:space="preserve">及配套设施，配套水泵</w:t>
            </w:r>
            <w:r>
              <w:rPr>
                <w:rFonts w:hint="eastAsia"/>
                <w:color w:val="auto"/>
                <w:sz w:val="24"/>
                <w:highlight w:val="none"/>
              </w:rPr>
              <w:t xml:space="preserve">、冷却塔</w:t>
            </w:r>
            <w:r>
              <w:rPr>
                <w:color w:val="auto"/>
                <w:sz w:val="24"/>
                <w:highlight w:val="none"/>
              </w:rPr>
              <w:t xml:space="preserve">优化改造</w:t>
            </w:r>
            <w:r>
              <w:rPr>
                <w:rFonts w:hint="eastAsia"/>
                <w:color w:val="auto"/>
                <w:sz w:val="24"/>
                <w:highlight w:val="none"/>
              </w:rPr>
              <w:t xml:space="preserve">，配套高效冷站控制系统。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780"/>
        </w:trPr>
        <w:tc>
          <w:tcPr>
            <w:tcBorders>
              <w:left w:val="single" w:color="auto" w:sz="4" w:space="0"/>
              <w:bottom w:val="single" w:color="auto" w:sz="4" w:space="0"/>
              <w:right w:val="single" w:color="auto" w:sz="4" w:space="0"/>
            </w:tcBorders>
            <w:tcMar>
              <w:left w:w="57" w:type="dxa"/>
              <w:top w:w="57" w:type="dxa"/>
              <w:right w:w="57" w:type="dxa"/>
              <w:bottom w:w="57" w:type="dxa"/>
            </w:tcMar>
            <w:tcW w:w="636" w:type="dxa"/>
            <w:vAlign w:val="center"/>
            <w:vMerge w:val="continue"/>
            <w:textDirection w:val="lrTb"/>
            <w:noWrap w:val="false"/>
          </w:tcPr>
          <w:p>
            <w:pPr>
              <w:jc w:val="center"/>
              <w:rPr>
                <w:rFonts w:ascii="宋体" w:hAnsi="宋体" w:cs="仿宋"/>
                <w:color w:val="auto"/>
                <w:sz w:val="24"/>
                <w:highlight w:val="none"/>
              </w:rPr>
            </w:pPr>
            <w:r>
              <w:rPr>
                <w:rFonts w:ascii="宋体" w:hAnsi="宋体" w:cs="仿宋"/>
                <w:color w:val="auto"/>
                <w:sz w:val="24"/>
                <w:highlight w:val="none"/>
              </w:rPr>
            </w:r>
            <w:r/>
          </w:p>
        </w:tc>
        <w:tc>
          <w:tcPr>
            <w:tcBorders>
              <w:top w:val="none" w:color="000000"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vMerge w:val="continue"/>
            <w:textDirection w:val="lrTb"/>
            <w:noWrap w:val="false"/>
          </w:tcPr>
          <w:p>
            <w:pPr>
              <w:jc w:val="center"/>
              <w:rPr>
                <w:rFonts w:ascii="宋体" w:hAnsi="宋体" w:cs="仿宋"/>
                <w:color w:val="auto"/>
                <w:sz w:val="24"/>
                <w:highlight w:val="none"/>
              </w:rPr>
            </w:pPr>
            <w:r>
              <w:rPr>
                <w:rFonts w:ascii="宋体" w:hAnsi="宋体" w:cs="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 w:val="24"/>
                <w:highlight w:val="none"/>
              </w:rPr>
              <w:t xml:space="preserve">冷却塔改造</w:t>
            </w:r>
            <w:r/>
          </w:p>
        </w:tc>
        <w:tc>
          <w:tcPr>
            <w:shd w:val="clear" w:color="auto" w:fill="auto"/>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rPr>
                <w:rFonts w:ascii="宋体" w:hAnsi="宋体" w:eastAsia="宋体" w:cs="仿宋"/>
                <w:color w:val="auto"/>
                <w:sz w:val="24"/>
                <w:szCs w:val="24"/>
                <w:highlight w:val="none"/>
                <w:lang w:val="en-US" w:eastAsia="zh-CN" w:bidi="ar-SA"/>
              </w:rPr>
            </w:pPr>
            <w:r>
              <w:rPr>
                <w:rFonts w:hint="eastAsia" w:ascii="宋体" w:hAnsi="宋体" w:cs="仿宋"/>
                <w:color w:val="auto"/>
                <w:sz w:val="24"/>
                <w:highlight w:val="none"/>
                <w:lang w:eastAsia="zh-CN"/>
              </w:rPr>
              <w:t xml:space="preserve">冷却塔电机部分更换（采用永磁电机），风机安装变频控制，冷却塔填料更换</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hint="eastAsia" w:ascii="宋体" w:hAnsi="宋体" w:eastAsia="宋体" w:cs="仿宋"/>
                <w:color w:val="auto"/>
                <w:sz w:val="24"/>
                <w:highlight w:val="none"/>
                <w:lang w:eastAsia="zh-CN"/>
              </w:rPr>
            </w:pPr>
            <w:r>
              <w:rPr>
                <w:rFonts w:hint="eastAsia" w:ascii="宋体" w:hAnsi="宋体" w:cs="仿宋"/>
                <w:color w:val="auto"/>
                <w:sz w:val="24"/>
                <w:highlight w:val="none"/>
                <w:lang w:val="en-US" w:eastAsia="zh-CN"/>
              </w:rPr>
              <w:t xml:space="preserve">必选</w:t>
            </w:r>
            <w:r/>
          </w:p>
        </w:tc>
      </w:tr>
      <w:tr>
        <w:trPr>
          <w:jc w:val="center"/>
          <w:trHeight w:val="780"/>
        </w:trPr>
        <w:tc>
          <w:tcPr>
            <w:tcBorders>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2</w:t>
            </w:r>
            <w:r/>
          </w:p>
        </w:tc>
        <w:tc>
          <w:tcPr>
            <w:tcBorders>
              <w:top w:val="none" w:color="000000"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供暖系统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Cs w:val="21"/>
                <w:highlight w:val="none"/>
              </w:rPr>
              <w:t xml:space="preserve">★</w:t>
            </w:r>
            <w:r>
              <w:rPr>
                <w:rFonts w:ascii="宋体" w:hAnsi="宋体" w:cs="仿宋"/>
                <w:color w:val="auto"/>
                <w:sz w:val="24"/>
                <w:highlight w:val="none"/>
              </w:rPr>
              <w:t xml:space="preserve">采暖系统改造</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rPr>
                <w:rFonts w:ascii="宋体" w:hAnsi="宋体" w:cs="仿宋"/>
                <w:color w:val="auto"/>
                <w:sz w:val="24"/>
                <w:highlight w:val="none"/>
              </w:rPr>
            </w:pPr>
            <w:r>
              <w:rPr>
                <w:rFonts w:hint="eastAsia" w:ascii="宋体" w:hAnsi="宋体" w:cs="仿宋"/>
                <w:color w:val="auto"/>
                <w:sz w:val="24"/>
                <w:highlight w:val="none"/>
              </w:rPr>
              <w:t xml:space="preserve">新增节能型风冷热泵机组，制热量不低于2500kw。</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3</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独立冷热源系统改造</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净化区域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445"/>
              <w:rPr>
                <w:rFonts w:ascii="宋体" w:hAnsi="宋体" w:cs="仿宋"/>
                <w:color w:val="auto"/>
                <w:highlight w:val="none"/>
              </w:rPr>
            </w:pPr>
            <w:r>
              <w:rPr>
                <w:rFonts w:hint="eastAsia" w:ascii="宋体" w:hAnsi="宋体" w:cs="仿宋"/>
                <w:color w:val="auto"/>
                <w:highlight w:val="none"/>
              </w:rPr>
              <w:t xml:space="preserve">更换5台风冷热泵，单独供应净化区域制冷制热</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lang w:val="en-US" w:eastAsia="zh-CN"/>
              </w:rPr>
              <w:t xml:space="preserve">必</w:t>
            </w:r>
            <w:r>
              <w:rPr>
                <w:rFonts w:hint="eastAsia" w:ascii="宋体" w:hAnsi="宋体" w:cs="仿宋"/>
                <w:color w:val="auto"/>
                <w:sz w:val="24"/>
                <w:highlight w:val="none"/>
              </w:rPr>
              <w:t xml:space="preserve">选</w:t>
            </w:r>
            <w:r/>
          </w:p>
        </w:tc>
      </w:tr>
      <w:tr>
        <w:trPr>
          <w:jc w:val="center"/>
          <w:trHeight w:val="121"/>
        </w:trPr>
        <w:tc>
          <w:tcPr>
            <w:tcBorders>
              <w:top w:val="single" w:color="auto" w:sz="4" w:space="0"/>
              <w:left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4</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生活热水系统改造</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szCs w:val="21"/>
                <w:highlight w:val="none"/>
              </w:rPr>
              <w:t xml:space="preserve">★</w:t>
            </w:r>
            <w:r>
              <w:rPr>
                <w:rFonts w:hint="eastAsia" w:ascii="宋体" w:hAnsi="宋体" w:cs="仿宋"/>
                <w:color w:val="auto"/>
                <w:highlight w:val="none"/>
              </w:rPr>
              <w:t xml:space="preserve">住院部</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rPr>
                <w:rFonts w:ascii="宋体" w:hAnsi="宋体" w:cs="仿宋"/>
                <w:color w:val="auto"/>
                <w:sz w:val="24"/>
                <w:highlight w:val="none"/>
              </w:rPr>
            </w:pPr>
            <w:r>
              <w:rPr>
                <w:rFonts w:hint="eastAsia" w:ascii="宋体" w:hAnsi="宋体" w:cs="仿宋"/>
                <w:color w:val="auto"/>
                <w:sz w:val="24"/>
                <w:highlight w:val="none"/>
              </w:rPr>
              <w:t xml:space="preserve">新增总制热量不小于400kW的高效热泵热水系统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940"/>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蒸汽系统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Cs w:val="21"/>
                <w:highlight w:val="none"/>
              </w:rPr>
              <w:t xml:space="preserve">★</w:t>
            </w:r>
            <w:r>
              <w:rPr>
                <w:rFonts w:hint="eastAsia" w:ascii="宋体" w:hAnsi="宋体" w:cs="仿宋"/>
                <w:color w:val="auto"/>
                <w:sz w:val="24"/>
                <w:highlight w:val="none"/>
              </w:rPr>
              <w:t xml:space="preserve">供应室及净化区域蒸汽</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rPr>
                <w:rFonts w:ascii="宋体" w:hAnsi="宋体" w:cs="仿宋"/>
                <w:color w:val="auto"/>
                <w:sz w:val="24"/>
                <w:highlight w:val="none"/>
              </w:rPr>
            </w:pPr>
            <w:r>
              <w:rPr>
                <w:rFonts w:hint="eastAsia" w:ascii="宋体" w:hAnsi="宋体" w:cs="仿宋"/>
                <w:color w:val="auto"/>
                <w:sz w:val="24"/>
                <w:highlight w:val="none"/>
              </w:rPr>
              <w:t xml:space="preserve">置换原有蒸汽热源，新增电蒸汽发生器（不属于特种设备），蒸汽总供应量不低于1400kw，满足消毒供应中心使用、洗涤用蒸汽及净化区域加湿</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311"/>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6</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空调系统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 w:val="24"/>
                <w:highlight w:val="none"/>
              </w:rPr>
              <w:t xml:space="preserve">全院空调末端</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jc w:val="left"/>
              <w:rPr>
                <w:rFonts w:ascii="宋体" w:hAnsi="宋体" w:cs="仿宋"/>
                <w:color w:val="auto"/>
                <w:sz w:val="24"/>
                <w:highlight w:val="none"/>
              </w:rPr>
            </w:pPr>
            <w:r>
              <w:rPr>
                <w:rFonts w:hint="eastAsia" w:ascii="宋体" w:hAnsi="宋体" w:cs="仿宋"/>
                <w:color w:val="auto"/>
                <w:sz w:val="24"/>
                <w:highlight w:val="none"/>
                <w:lang w:val="en-US" w:eastAsia="zh-CN"/>
              </w:rPr>
              <w:t xml:space="preserve">按节能需要</w:t>
            </w:r>
            <w:r>
              <w:rPr>
                <w:rFonts w:hint="eastAsia" w:ascii="宋体" w:hAnsi="宋体" w:cs="仿宋"/>
                <w:color w:val="auto"/>
                <w:sz w:val="24"/>
                <w:highlight w:val="none"/>
              </w:rPr>
              <w:t xml:space="preserve">更换全院空调末端机电子阀、控制面板</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hint="eastAsia" w:ascii="宋体" w:hAnsi="宋体" w:eastAsia="宋体" w:cs="仿宋"/>
                <w:color w:val="auto"/>
                <w:sz w:val="24"/>
                <w:highlight w:val="none"/>
                <w:lang w:eastAsia="zh-CN"/>
              </w:rPr>
            </w:pPr>
            <w:r>
              <w:rPr>
                <w:rFonts w:hint="eastAsia" w:ascii="宋体" w:hAnsi="宋体" w:cs="仿宋"/>
                <w:color w:val="auto"/>
                <w:sz w:val="24"/>
                <w:highlight w:val="none"/>
                <w:lang w:val="en-US" w:eastAsia="zh-CN"/>
              </w:rPr>
              <w:t xml:space="preserve">可选</w:t>
            </w:r>
            <w:r/>
          </w:p>
        </w:tc>
      </w:tr>
      <w:tr>
        <w:trPr>
          <w:jc w:val="center"/>
          <w:trHeight w:val="311"/>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7</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照明系统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Cs w:val="21"/>
                <w:highlight w:val="none"/>
              </w:rPr>
              <w:t xml:space="preserve">★</w:t>
            </w:r>
            <w:r>
              <w:rPr>
                <w:rFonts w:hint="eastAsia" w:ascii="宋体" w:hAnsi="宋体" w:cs="仿宋"/>
                <w:color w:val="auto"/>
                <w:sz w:val="24"/>
                <w:highlight w:val="none"/>
              </w:rPr>
              <w:t xml:space="preserve">公共区域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jc w:val="left"/>
              <w:rPr>
                <w:rFonts w:ascii="宋体" w:hAnsi="宋体" w:cs="仿宋"/>
                <w:color w:val="auto"/>
                <w:sz w:val="24"/>
                <w:highlight w:val="none"/>
              </w:rPr>
            </w:pPr>
            <w:r>
              <w:rPr>
                <w:rFonts w:hint="eastAsia" w:ascii="宋体" w:hAnsi="宋体" w:cs="仿宋"/>
                <w:color w:val="auto"/>
                <w:sz w:val="24"/>
                <w:highlight w:val="none"/>
              </w:rPr>
              <w:t xml:space="preserve">对公共区域改造为智能照明系统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311"/>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hint="eastAsia" w:ascii="宋体" w:hAnsi="宋体" w:cs="仿宋"/>
                <w:color w:val="auto"/>
                <w:highlight w:val="none"/>
              </w:rPr>
            </w:pPr>
            <w:r>
              <w:rPr>
                <w:rFonts w:hint="eastAsia" w:ascii="宋体" w:hAnsi="宋体" w:cs="仿宋"/>
                <w:color w:val="auto"/>
                <w:highlight w:val="none"/>
              </w:rPr>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hint="eastAsia" w:ascii="宋体" w:hAnsi="宋体" w:cs="仿宋"/>
                <w:color w:val="auto"/>
                <w:highlight w:val="none"/>
              </w:rPr>
            </w:pPr>
            <w:r>
              <w:rPr>
                <w:rFonts w:hint="eastAsia" w:ascii="宋体" w:hAnsi="宋体" w:cs="仿宋"/>
                <w:color w:val="auto"/>
                <w:highlight w:val="none"/>
              </w:rPr>
              <w:t xml:space="preserve">照明系统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全院（除公共区域外）</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jc w:val="left"/>
              <w:rPr>
                <w:rFonts w:hint="eastAsia" w:ascii="宋体" w:hAnsi="宋体" w:cs="仿宋"/>
                <w:color w:val="auto"/>
                <w:sz w:val="24"/>
                <w:highlight w:val="none"/>
              </w:rPr>
            </w:pPr>
            <w:r>
              <w:rPr>
                <w:rFonts w:hint="eastAsia" w:ascii="宋体" w:hAnsi="宋体" w:cs="仿宋"/>
                <w:color w:val="auto"/>
                <w:sz w:val="24"/>
                <w:highlight w:val="none"/>
              </w:rPr>
              <w:t xml:space="preserve">智能照明系统改造</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必</w:t>
            </w:r>
            <w:r>
              <w:rPr>
                <w:rFonts w:hint="eastAsia" w:ascii="宋体" w:hAnsi="宋体" w:cs="仿宋"/>
                <w:color w:val="auto"/>
                <w:sz w:val="24"/>
                <w:highlight w:val="none"/>
              </w:rPr>
              <w:t xml:space="preserve">选</w:t>
            </w:r>
            <w:r/>
          </w:p>
        </w:tc>
      </w:tr>
      <w:tr>
        <w:trPr>
          <w:jc w:val="center"/>
          <w:trHeight w:val="311"/>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8</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冷热水主管道系统</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Cs w:val="21"/>
                <w:highlight w:val="none"/>
              </w:rPr>
              <w:t xml:space="preserve">★</w:t>
            </w:r>
            <w:r>
              <w:rPr>
                <w:rFonts w:hint="eastAsia" w:ascii="宋体" w:hAnsi="宋体" w:cs="仿宋"/>
                <w:color w:val="auto"/>
                <w:sz w:val="24"/>
                <w:highlight w:val="none"/>
              </w:rPr>
              <w:t xml:space="preserve">冷热水主管道</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rPr>
                <w:rFonts w:ascii="宋体" w:hAnsi="宋体" w:cs="仿宋"/>
                <w:color w:val="auto"/>
                <w:sz w:val="24"/>
                <w:highlight w:val="none"/>
              </w:rPr>
            </w:pPr>
            <w:r>
              <w:rPr>
                <w:rFonts w:hint="eastAsia" w:ascii="宋体" w:hAnsi="宋体" w:cs="仿宋"/>
                <w:color w:val="auto"/>
                <w:sz w:val="24"/>
                <w:highlight w:val="none"/>
              </w:rPr>
              <w:t xml:space="preserve">更换楼层主管的阀门，以便于区域水管漏水或爆管的抢修。</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311"/>
        </w:trPr>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9</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计量表计</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Cs w:val="21"/>
                <w:highlight w:val="none"/>
              </w:rPr>
              <w:t xml:space="preserve">★</w:t>
            </w:r>
            <w:r>
              <w:rPr>
                <w:rFonts w:hint="eastAsia" w:ascii="宋体" w:hAnsi="宋体" w:cs="仿宋"/>
                <w:color w:val="auto"/>
                <w:sz w:val="24"/>
                <w:highlight w:val="none"/>
              </w:rPr>
              <w:t xml:space="preserve">水表、电表</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rPr>
                <w:rFonts w:ascii="宋体" w:hAnsi="宋体" w:cs="仿宋"/>
                <w:color w:val="auto"/>
                <w:sz w:val="24"/>
                <w:highlight w:val="none"/>
              </w:rPr>
            </w:pPr>
            <w:r>
              <w:rPr>
                <w:rFonts w:hint="eastAsia" w:ascii="宋体" w:hAnsi="宋体" w:cs="仿宋"/>
                <w:color w:val="auto"/>
                <w:sz w:val="24"/>
                <w:highlight w:val="none"/>
              </w:rPr>
              <w:t xml:space="preserve">全院安装远程水电计量表，电实现三级计量，水计量到楼栋，便于数据分析及科室考核</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311"/>
        </w:trPr>
        <w:tc>
          <w:tcPr>
            <w:tcBorders>
              <w:top w:val="none" w:color="000000" w:sz="4" w:space="0"/>
              <w:left w:val="single" w:color="auto" w:sz="4" w:space="0"/>
              <w:right w:val="single" w:color="auto" w:sz="4" w:space="0"/>
            </w:tcBorders>
            <w:tcMar>
              <w:left w:w="57" w:type="dxa"/>
              <w:top w:w="57" w:type="dxa"/>
              <w:right w:w="57" w:type="dxa"/>
              <w:bottom w:w="57" w:type="dxa"/>
            </w:tcMar>
            <w:tcW w:w="636" w:type="dxa"/>
            <w:vAlign w:val="center"/>
            <w:vMerge w:val="restart"/>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10</w:t>
            </w:r>
            <w:r/>
          </w:p>
        </w:tc>
        <w:tc>
          <w:tcPr>
            <w:tcBorders>
              <w:top w:val="none" w:color="000000"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vMerge w:val="restart"/>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后勤智慧化建设</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szCs w:val="21"/>
                <w:highlight w:val="none"/>
              </w:rPr>
              <w:t xml:space="preserve">★</w:t>
            </w:r>
            <w:r>
              <w:rPr>
                <w:rFonts w:hint="eastAsia" w:ascii="宋体" w:hAnsi="宋体" w:cs="仿宋"/>
                <w:color w:val="auto"/>
                <w:highlight w:val="none"/>
              </w:rPr>
              <w:t xml:space="preserve">智慧管理运营平台</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jc w:val="left"/>
              <w:rPr>
                <w:rFonts w:hint="eastAsia" w:ascii="宋体" w:hAnsi="宋体" w:cs="仿宋"/>
                <w:color w:val="auto"/>
                <w:sz w:val="24"/>
                <w:highlight w:val="none"/>
              </w:rPr>
            </w:pPr>
            <w:r>
              <w:rPr>
                <w:rFonts w:hint="eastAsia" w:ascii="宋体" w:hAnsi="宋体" w:cs="仿宋"/>
                <w:color w:val="auto"/>
                <w:sz w:val="24"/>
                <w:highlight w:val="none"/>
              </w:rPr>
              <w:t xml:space="preserve">含后勤一站式服务，能源管理系统，综合监控系统，设备管理系统等，能源管理系统具备能源资源消耗智能化监管、分析、预警等功能，满足三级计量、科室成本绩效要求</w:t>
            </w:r>
            <w:r/>
          </w:p>
          <w:p>
            <w:pPr>
              <w:pStyle w:val="1078"/>
              <w:ind w:firstLine="0"/>
              <w:jc w:val="left"/>
              <w:rPr>
                <w:rFonts w:hint="eastAsia" w:ascii="宋体" w:hAnsi="宋体" w:cs="仿宋"/>
                <w:color w:val="auto"/>
                <w:sz w:val="24"/>
                <w:highlight w:val="none"/>
              </w:rPr>
            </w:pPr>
            <w:r>
              <w:rPr>
                <w:rFonts w:hint="eastAsia" w:ascii="宋体" w:hAnsi="宋体" w:cs="仿宋"/>
                <w:color w:val="auto"/>
                <w:sz w:val="24"/>
                <w:highlight w:val="none"/>
              </w:rPr>
              <w:t xml:space="preserve">告警系统接入</w:t>
            </w:r>
            <w:r/>
          </w:p>
          <w:p>
            <w:pPr>
              <w:pStyle w:val="1078"/>
              <w:ind w:firstLine="0"/>
              <w:jc w:val="left"/>
              <w:rPr>
                <w:rFonts w:hint="eastAsia" w:ascii="宋体" w:hAnsi="宋体" w:cs="仿宋"/>
                <w:color w:val="auto"/>
                <w:sz w:val="24"/>
                <w:highlight w:val="none"/>
              </w:rPr>
            </w:pPr>
            <w:r>
              <w:rPr>
                <w:rFonts w:hint="eastAsia" w:ascii="宋体" w:hAnsi="宋体" w:cs="仿宋"/>
                <w:color w:val="auto"/>
                <w:sz w:val="24"/>
                <w:highlight w:val="none"/>
              </w:rPr>
              <w:tab/>
            </w:r>
            <w:r>
              <w:rPr>
                <w:rFonts w:hint="eastAsia" w:ascii="宋体" w:hAnsi="宋体" w:cs="仿宋"/>
                <w:color w:val="auto"/>
                <w:sz w:val="24"/>
                <w:highlight w:val="none"/>
              </w:rPr>
              <w:tab/>
            </w:r>
            <w:r/>
          </w:p>
          <w:p>
            <w:pPr>
              <w:pStyle w:val="1078"/>
              <w:ind w:firstLine="0"/>
              <w:jc w:val="left"/>
              <w:rPr>
                <w:rFonts w:hint="eastAsia" w:ascii="宋体" w:hAnsi="宋体" w:cs="仿宋"/>
                <w:color w:val="auto"/>
                <w:sz w:val="24"/>
                <w:highlight w:val="none"/>
              </w:rPr>
            </w:pPr>
            <w:r>
              <w:rPr>
                <w:rFonts w:hint="eastAsia" w:ascii="宋体" w:hAnsi="宋体" w:cs="仿宋"/>
                <w:color w:val="auto"/>
                <w:highlight w:val="none"/>
              </w:rPr>
              <w:t xml:space="preserve">智慧管理运营平台</w:t>
            </w:r>
            <w:r>
              <w:rPr>
                <w:rFonts w:hint="eastAsia" w:ascii="宋体" w:hAnsi="宋体" w:cs="仿宋"/>
                <w:color w:val="auto"/>
                <w:highlight w:val="none"/>
                <w:lang w:val="en-US" w:eastAsia="zh-CN"/>
              </w:rPr>
              <w:t xml:space="preserve">至少包含</w:t>
            </w:r>
            <w:r>
              <w:rPr>
                <w:rFonts w:hint="eastAsia" w:ascii="宋体" w:hAnsi="宋体" w:cs="仿宋"/>
                <w:color w:val="auto"/>
                <w:sz w:val="24"/>
                <w:highlight w:val="none"/>
              </w:rPr>
              <w:t xml:space="preserve">消防报警主机、智慧消防系统、一键报警系统、入侵报警、门禁报警，视频接入模块</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告警接入、存储、展示模块</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告警关联展示图</w:t>
            </w:r>
            <w:r>
              <w:rPr>
                <w:rFonts w:hint="eastAsia" w:ascii="宋体" w:hAnsi="宋体" w:cs="仿宋"/>
                <w:color w:val="auto"/>
                <w:sz w:val="24"/>
                <w:highlight w:val="none"/>
                <w:lang w:val="en-US" w:eastAsia="zh-CN"/>
              </w:rPr>
              <w:t xml:space="preserve">等模块</w:t>
            </w:r>
            <w:r>
              <w:rPr>
                <w:rFonts w:hint="eastAsia" w:ascii="宋体" w:hAnsi="宋体" w:cs="仿宋"/>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311"/>
        </w:trPr>
        <w:tc>
          <w:tcPr>
            <w:tcBorders>
              <w:left w:val="single" w:color="auto" w:sz="4" w:space="0"/>
              <w:bottom w:val="single" w:color="auto" w:sz="4" w:space="0"/>
              <w:right w:val="single" w:color="auto" w:sz="4" w:space="0"/>
            </w:tcBorders>
            <w:tcMar>
              <w:left w:w="57" w:type="dxa"/>
              <w:top w:w="57" w:type="dxa"/>
              <w:right w:w="57" w:type="dxa"/>
              <w:bottom w:w="57" w:type="dxa"/>
            </w:tcMar>
            <w:tcW w:w="636" w:type="dxa"/>
            <w:vAlign w:val="center"/>
            <w:vMerge w:val="continue"/>
            <w:textDirection w:val="lrTb"/>
            <w:noWrap w:val="false"/>
          </w:tcPr>
          <w:p>
            <w:pPr>
              <w:jc w:val="center"/>
              <w:rPr>
                <w:rFonts w:ascii="宋体" w:hAnsi="宋体" w:cs="仿宋"/>
                <w:color w:val="auto"/>
                <w:sz w:val="24"/>
                <w:highlight w:val="none"/>
              </w:rPr>
            </w:pPr>
            <w:r>
              <w:rPr>
                <w:rFonts w:ascii="宋体" w:hAnsi="宋体" w:cs="仿宋"/>
                <w:color w:val="auto"/>
                <w:sz w:val="24"/>
                <w:highlight w:val="none"/>
              </w:rPr>
            </w:r>
            <w:r/>
          </w:p>
        </w:tc>
        <w:tc>
          <w:tcPr>
            <w:tcBorders>
              <w:top w:val="none" w:color="000000" w:sz="4" w:space="0"/>
              <w:left w:val="single" w:color="auto" w:sz="4" w:space="0"/>
              <w:bottom w:val="single" w:color="auto" w:sz="4" w:space="0"/>
              <w:right w:val="single" w:color="auto" w:sz="4" w:space="0"/>
            </w:tcBorders>
            <w:tcMar>
              <w:left w:w="57" w:type="dxa"/>
              <w:top w:w="57" w:type="dxa"/>
              <w:right w:w="57" w:type="dxa"/>
              <w:bottom w:w="57" w:type="dxa"/>
            </w:tcMar>
            <w:tcW w:w="802" w:type="dxa"/>
            <w:vAlign w:val="center"/>
            <w:vMerge w:val="continue"/>
            <w:textDirection w:val="lrTb"/>
            <w:noWrap w:val="false"/>
          </w:tcPr>
          <w:p>
            <w:pPr>
              <w:jc w:val="center"/>
              <w:rPr>
                <w:rFonts w:ascii="宋体" w:hAnsi="宋体" w:cs="仿宋"/>
                <w:color w:val="auto"/>
                <w:sz w:val="24"/>
                <w:highlight w:val="none"/>
              </w:rPr>
            </w:pPr>
            <w:r>
              <w:rPr>
                <w:rFonts w:ascii="宋体" w:hAnsi="宋体" w:cs="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szCs w:val="21"/>
                <w:highlight w:val="none"/>
              </w:rPr>
              <w:t xml:space="preserve">★</w:t>
            </w:r>
            <w:r>
              <w:rPr>
                <w:rFonts w:hint="eastAsia" w:ascii="宋体" w:hAnsi="宋体" w:cs="仿宋"/>
                <w:color w:val="auto"/>
                <w:highlight w:val="none"/>
              </w:rPr>
              <w:t xml:space="preserve">智慧后勤运营中心建设</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078"/>
              <w:ind w:firstLine="0"/>
              <w:rPr>
                <w:rFonts w:ascii="宋体" w:hAnsi="宋体" w:cs="仿宋"/>
                <w:color w:val="auto"/>
                <w:sz w:val="24"/>
                <w:highlight w:val="none"/>
              </w:rPr>
            </w:pPr>
            <w:r>
              <w:rPr>
                <w:rFonts w:hint="eastAsia" w:ascii="宋体" w:hAnsi="宋体" w:cs="仿宋"/>
                <w:color w:val="auto"/>
                <w:sz w:val="24"/>
                <w:highlight w:val="none"/>
              </w:rPr>
              <w:t xml:space="preserve">智慧后勤运营中心的环境搭建，大屏功能：在医院的后勤一站式服务中心安装3*3的LCD拼接屏（单个屏幕尺寸≥55英寸）；医院管理人员通过平台能够根据现场考核指标、关注重点等进行大屏配置，并在医院物理大屏上进行投放展示；包含但不限于服务器、交换机、线缆线材等内容；供平台及数据库服务器等配套设备使用。</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pStyle w:val="1078"/>
              <w:ind w:firstLine="0"/>
              <w:jc w:val="center"/>
              <w:rPr>
                <w:rFonts w:ascii="宋体" w:hAnsi="宋体" w:cs="仿宋"/>
                <w:color w:val="auto"/>
                <w:sz w:val="24"/>
                <w:highlight w:val="none"/>
              </w:rPr>
            </w:pPr>
            <w:r>
              <w:rPr>
                <w:rFonts w:hint="eastAsia" w:ascii="宋体" w:hAnsi="宋体" w:cs="仿宋"/>
                <w:color w:val="auto"/>
                <w:sz w:val="24"/>
                <w:highlight w:val="none"/>
              </w:rPr>
              <w:t xml:space="preserve">必选</w:t>
            </w:r>
            <w:r/>
          </w:p>
        </w:tc>
      </w:tr>
      <w:tr>
        <w:trPr>
          <w:jc w:val="center"/>
          <w:trHeight w:val="820"/>
        </w:trPr>
        <w:tc>
          <w:tcPr>
            <w:tcBorders>
              <w:top w:val="none" w:color="000000" w:sz="4" w:space="0"/>
              <w:left w:val="single" w:color="auto" w:sz="4" w:space="0"/>
              <w:right w:val="single" w:color="auto" w:sz="4" w:space="0"/>
            </w:tcBorders>
            <w:tcMar>
              <w:left w:w="57" w:type="dxa"/>
              <w:top w:w="57" w:type="dxa"/>
              <w:right w:w="57" w:type="dxa"/>
              <w:bottom w:w="57" w:type="dxa"/>
            </w:tcMar>
            <w:tcW w:w="636"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11</w:t>
            </w:r>
            <w:r/>
          </w:p>
        </w:tc>
        <w:tc>
          <w:tcPr>
            <w:tcBorders>
              <w:top w:val="none" w:color="000000" w:sz="4" w:space="0"/>
              <w:left w:val="single" w:color="auto" w:sz="4" w:space="0"/>
              <w:right w:val="single" w:color="auto" w:sz="4" w:space="0"/>
            </w:tcBorders>
            <w:tcMar>
              <w:left w:w="57" w:type="dxa"/>
              <w:top w:w="57" w:type="dxa"/>
              <w:right w:w="57" w:type="dxa"/>
              <w:bottom w:w="57" w:type="dxa"/>
            </w:tcMar>
            <w:tcW w:w="802" w:type="dxa"/>
            <w:vAlign w:val="center"/>
            <w:textDirection w:val="lrTb"/>
            <w:noWrap w:val="false"/>
          </w:tcPr>
          <w:p>
            <w:pPr>
              <w:pStyle w:val="1445"/>
              <w:jc w:val="center"/>
              <w:rPr>
                <w:rFonts w:ascii="宋体" w:hAnsi="宋体" w:cs="仿宋"/>
                <w:color w:val="auto"/>
                <w:highlight w:val="none"/>
              </w:rPr>
            </w:pPr>
            <w:r>
              <w:rPr>
                <w:rFonts w:hint="eastAsia" w:ascii="宋体" w:hAnsi="宋体" w:cs="仿宋"/>
                <w:color w:val="auto"/>
                <w:highlight w:val="none"/>
              </w:rPr>
              <w:t xml:space="preserve">其他技改项目</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368" w:type="dxa"/>
            <w:vAlign w:val="center"/>
            <w:textDirection w:val="lrTb"/>
            <w:noWrap w:val="false"/>
          </w:tcPr>
          <w:p>
            <w:pPr>
              <w:pStyle w:val="1445"/>
              <w:jc w:val="center"/>
              <w:rPr>
                <w:rFonts w:ascii="宋体" w:hAnsi="宋体" w:cs="仿宋"/>
                <w:strike/>
                <w:color w:val="auto"/>
                <w:highlight w:val="none"/>
                <w:u w:val="none"/>
              </w:rPr>
            </w:pPr>
            <w:r>
              <w:rPr>
                <w:rFonts w:hint="eastAsia" w:ascii="宋体" w:hAnsi="宋体" w:cs="仿宋"/>
                <w:color w:val="auto"/>
                <w:highlight w:val="none"/>
              </w:rPr>
              <w:t xml:space="preserve">其他改造</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4375" w:type="dxa"/>
            <w:vAlign w:val="center"/>
            <w:textDirection w:val="lrTb"/>
            <w:noWrap w:val="false"/>
          </w:tcPr>
          <w:p>
            <w:pPr>
              <w:pStyle w:val="1445"/>
              <w:rPr>
                <w:rFonts w:ascii="宋体" w:hAnsi="宋体" w:cs="仿宋"/>
                <w:strike/>
                <w:color w:val="auto"/>
                <w:highlight w:val="none"/>
                <w:u w:val="none"/>
              </w:rPr>
            </w:pPr>
            <w:r>
              <w:rPr>
                <w:rFonts w:hint="eastAsia" w:ascii="宋体" w:hAnsi="宋体" w:cs="仿宋"/>
                <w:color w:val="auto"/>
                <w:highlight w:val="none"/>
              </w:rPr>
              <w:t xml:space="preserve">大功率热水器开水炉更换改造等。</w:t>
            </w:r>
            <w:r/>
          </w:p>
        </w:tc>
        <w:tc>
          <w:tcPr>
            <w:tcBorders>
              <w:top w:val="single" w:color="auto" w:sz="4" w:space="0"/>
              <w:left w:val="single" w:color="auto" w:sz="4" w:space="0"/>
              <w:bottom w:val="single" w:color="auto" w:sz="4" w:space="0"/>
              <w:right w:val="single" w:color="auto" w:sz="4" w:space="0"/>
            </w:tcBorders>
            <w:tcMar>
              <w:left w:w="57" w:type="dxa"/>
              <w:top w:w="57" w:type="dxa"/>
              <w:right w:w="57" w:type="dxa"/>
              <w:bottom w:w="57" w:type="dxa"/>
            </w:tcMar>
            <w:tcW w:w="1242" w:type="dxa"/>
            <w:vAlign w:val="center"/>
            <w:textDirection w:val="lrTb"/>
            <w:noWrap w:val="false"/>
          </w:tcPr>
          <w:p>
            <w:pPr>
              <w:pStyle w:val="1445"/>
              <w:jc w:val="center"/>
              <w:rPr>
                <w:rFonts w:hint="eastAsia" w:ascii="宋体" w:hAnsi="宋体" w:eastAsia="宋体" w:cs="仿宋"/>
                <w:strike/>
                <w:color w:val="auto"/>
                <w:highlight w:val="none"/>
                <w:u w:val="none"/>
                <w:lang w:eastAsia="zh-CN"/>
              </w:rPr>
            </w:pPr>
            <w:r>
              <w:rPr>
                <w:rFonts w:hint="eastAsia" w:ascii="宋体" w:hAnsi="宋体" w:cs="仿宋"/>
                <w:color w:val="auto"/>
                <w:highlight w:val="none"/>
                <w:lang w:val="en-US" w:eastAsia="zh-CN"/>
              </w:rPr>
              <w:t xml:space="preserve">可选</w:t>
            </w:r>
            <w:r/>
          </w:p>
        </w:tc>
      </w:tr>
      <w:tr>
        <w:trPr>
          <w:jc w:val="center"/>
          <w:trHeight w:val="600"/>
        </w:trPr>
        <w:tc>
          <w:tcPr>
            <w:gridSpan w:val="5"/>
            <w:tcBorders>
              <w:left w:val="single" w:color="auto" w:sz="4" w:space="0"/>
              <w:right w:val="single" w:color="auto" w:sz="4" w:space="0"/>
            </w:tcBorders>
            <w:tcMar>
              <w:left w:w="57" w:type="dxa"/>
              <w:top w:w="57" w:type="dxa"/>
              <w:right w:w="57" w:type="dxa"/>
              <w:bottom w:w="57" w:type="dxa"/>
            </w:tcMar>
            <w:tcW w:w="8423" w:type="dxa"/>
            <w:vAlign w:val="center"/>
            <w:textDirection w:val="lrTb"/>
            <w:noWrap w:val="false"/>
          </w:tcPr>
          <w:p>
            <w:pPr>
              <w:pStyle w:val="1445"/>
              <w:rPr>
                <w:rFonts w:ascii="宋体" w:hAnsi="宋体" w:cs="仿宋"/>
                <w:color w:val="auto"/>
                <w:highlight w:val="none"/>
              </w:rPr>
            </w:pPr>
            <w:r>
              <w:rPr>
                <w:rFonts w:hint="eastAsia" w:ascii="宋体" w:hAnsi="宋体" w:cs="仿宋"/>
                <w:color w:val="auto"/>
                <w:highlight w:val="none"/>
              </w:rPr>
              <w:t xml:space="preserve">注：以上所有改造内容必须有备用或替代设施设备，满足突发情况下系统仍能继续运行。</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2、节能改造项目技术要求</w:t>
      </w:r>
      <w:r/>
    </w:p>
    <w:p>
      <w:pPr>
        <w:contextualSpacing/>
        <w:ind w:left="-2" w:firstLine="480"/>
        <w:spacing w:line="360" w:lineRule="auto"/>
        <w:tabs>
          <w:tab w:val="left" w:pos="567" w:leader="none"/>
        </w:tabs>
        <w:rPr>
          <w:rFonts w:hint="eastAsia" w:eastAsia="宋体"/>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所有必选更换的设施设备均须采用业内知名品牌，清单中需提供不少于三个备选品牌供选择。</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2.1 高效冷站建设</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投标人应在建设期内完成新建高效冷站，改造后，空调制冷效率大幅提升，降低系统运行费用，节约供冷用能成本。</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新增高效离心式冷水机组（磁悬浮），主机制冷</w:t>
      </w:r>
      <w:r>
        <w:rPr>
          <w:rFonts w:hint="eastAsia" w:ascii="宋体" w:hAnsi="宋体"/>
          <w:color w:val="auto"/>
          <w:sz w:val="24"/>
          <w:highlight w:val="none"/>
          <w:lang w:val="en-US" w:eastAsia="zh-CN"/>
        </w:rPr>
        <w:t xml:space="preserve">总</w:t>
      </w:r>
      <w:r>
        <w:rPr>
          <w:rFonts w:hint="eastAsia" w:ascii="宋体" w:hAnsi="宋体"/>
          <w:color w:val="auto"/>
          <w:sz w:val="24"/>
          <w:highlight w:val="none"/>
        </w:rPr>
        <w:t xml:space="preserve">容量≥</w:t>
      </w:r>
      <w:r>
        <w:rPr>
          <w:rFonts w:hint="eastAsia" w:ascii="宋体" w:hAnsi="宋体"/>
          <w:color w:val="auto"/>
          <w:sz w:val="24"/>
          <w:highlight w:val="none"/>
          <w:lang w:val="en-US" w:eastAsia="zh-CN"/>
        </w:rPr>
        <w:t xml:space="preserve">2989</w:t>
      </w:r>
      <w:r>
        <w:rPr>
          <w:rFonts w:hint="eastAsia" w:ascii="宋体" w:hAnsi="宋体"/>
          <w:color w:val="auto"/>
          <w:sz w:val="24"/>
          <w:highlight w:val="none"/>
        </w:rPr>
        <w:t xml:space="preserve">KW，管网优化改造，配套水泵、冷却塔更换，负责整个冷源系统、水泵、配电、控制及相关配套设施的安装、施工、调试等（包括破墙及恢复等拆装费用），配套高效冷站控制系统。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投标人需针对冷源系统改造进行详细方案设计，包含且不限于节能改造方案、设备清单、时间进度计划等内容，以确保方案的可行性。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主要改造设备清单如下，清单内容为必须改造内容，投标人技术方案满足清单方案的基础上有其他优化方案的，可另行编制。</w:t>
      </w:r>
      <w:r/>
    </w:p>
    <w:tbl>
      <w:tblPr>
        <w:tblStyle w:val="1042"/>
        <w:tblW w:w="5000" w:type="pct"/>
        <w:tblInd w:w="0" w:type="dxa"/>
        <w:tblLayout w:type="fixed"/>
        <w:tblCellMar>
          <w:left w:w="12" w:type="dxa"/>
          <w:top w:w="12" w:type="dxa"/>
          <w:right w:w="12" w:type="dxa"/>
          <w:bottom w:w="0" w:type="dxa"/>
        </w:tblCellMar>
        <w:tblLook w:val="04A0" w:firstRow="1" w:lastRow="0" w:firstColumn="1" w:lastColumn="0" w:noHBand="0" w:noVBand="1"/>
      </w:tblPr>
      <w:tblGrid>
        <w:gridCol w:w="354"/>
        <w:gridCol w:w="1079"/>
        <w:gridCol w:w="5577"/>
        <w:gridCol w:w="562"/>
        <w:gridCol w:w="764"/>
      </w:tblGrid>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3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b/>
                <w:color w:val="auto"/>
                <w:szCs w:val="21"/>
                <w:highlight w:val="none"/>
              </w:rPr>
              <w:t xml:space="preserve">高效空调系统</w:t>
            </w:r>
            <w:r>
              <w:rPr>
                <w:rFonts w:hint="eastAsia" w:ascii="宋体" w:hAnsi="宋体" w:cs="宋体"/>
                <w:b/>
                <w:color w:val="auto"/>
                <w:szCs w:val="21"/>
                <w:highlight w:val="none"/>
                <w:lang w:eastAsia="zh-CN"/>
              </w:rPr>
              <w:t xml:space="preserve">（</w:t>
            </w:r>
            <w:r>
              <w:rPr>
                <w:rFonts w:hint="eastAsia" w:ascii="宋体" w:hAnsi="宋体" w:cs="宋体"/>
                <w:b w:val="0"/>
                <w:bCs/>
                <w:color w:val="auto"/>
                <w:sz w:val="24"/>
                <w:szCs w:val="24"/>
                <w:highlight w:val="none"/>
                <w:lang w:val="en-US" w:eastAsia="zh-CN"/>
              </w:rPr>
              <w:t xml:space="preserve">提供不少于三个备选品牌</w:t>
            </w:r>
            <w:r>
              <w:rPr>
                <w:rFonts w:hint="eastAsia" w:ascii="宋体" w:hAnsi="宋体" w:cs="宋体"/>
                <w:b/>
                <w:color w:val="auto"/>
                <w:szCs w:val="21"/>
                <w:highlight w:val="none"/>
                <w:lang w:eastAsia="zh-CN"/>
              </w:rPr>
              <w:t xml:space="preserve">）</w:t>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5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6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trHeight w:val="38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5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7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高效离心式冷水机组（磁悬浮）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77"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t xml:space="preserve">1、名称：磁悬浮变频离心式冷水机组</w:t>
            </w:r>
            <w:r>
              <w:rPr>
                <w:rFonts w:ascii="宋体" w:hAnsi="宋体" w:cs="宋体"/>
                <w:color w:val="auto"/>
                <w:szCs w:val="21"/>
                <w:highlight w:val="none"/>
              </w:rPr>
              <w:br/>
            </w:r>
            <w:r>
              <w:rPr>
                <w:rFonts w:ascii="宋体" w:hAnsi="宋体" w:cs="宋体"/>
                <w:color w:val="auto"/>
                <w:szCs w:val="21"/>
                <w:highlight w:val="none"/>
              </w:rPr>
              <w:t xml:space="preserve">2、参数：制冷量：</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2989</w:t>
            </w:r>
            <w:r>
              <w:rPr>
                <w:rFonts w:hint="eastAsia" w:ascii="宋体" w:hAnsi="宋体" w:cs="宋体"/>
                <w:color w:val="auto"/>
                <w:szCs w:val="21"/>
                <w:highlight w:val="none"/>
              </w:rPr>
              <w:t xml:space="preserve">KW</w:t>
            </w:r>
            <w:r>
              <w:rPr>
                <w:rFonts w:ascii="宋体" w:hAnsi="宋体" w:cs="宋体"/>
                <w:color w:val="auto"/>
                <w:szCs w:val="21"/>
                <w:highlight w:val="none"/>
              </w:rPr>
              <w:t xml:space="preserve">；国标工况制冷能效：COP≥6.</w:t>
            </w:r>
            <w:r>
              <w:rPr>
                <w:rFonts w:hint="eastAsia" w:ascii="宋体" w:hAnsi="宋体" w:cs="宋体"/>
                <w:color w:val="auto"/>
                <w:szCs w:val="21"/>
                <w:highlight w:val="none"/>
                <w:lang w:val="en-US" w:eastAsia="zh-CN"/>
              </w:rPr>
              <w:t xml:space="preserve">5</w:t>
            </w:r>
            <w:r>
              <w:rPr>
                <w:rFonts w:ascii="宋体" w:hAnsi="宋体" w:cs="宋体"/>
                <w:color w:val="auto"/>
                <w:szCs w:val="21"/>
                <w:highlight w:val="none"/>
              </w:rPr>
              <w:t xml:space="preserve">，GB-IPLV≥</w:t>
            </w:r>
            <w:r>
              <w:rPr>
                <w:rFonts w:hint="eastAsia" w:ascii="宋体" w:hAnsi="宋体" w:cs="宋体"/>
                <w:color w:val="auto"/>
                <w:szCs w:val="21"/>
                <w:highlight w:val="none"/>
                <w:lang w:val="en-US" w:eastAsia="zh-CN"/>
              </w:rPr>
              <w:t xml:space="preserve">9.8</w:t>
            </w:r>
            <w:r>
              <w:rPr>
                <w:rFonts w:ascii="宋体" w:hAnsi="宋体" w:cs="宋体"/>
                <w:color w:val="auto"/>
                <w:szCs w:val="21"/>
                <w:highlight w:val="none"/>
              </w:rPr>
              <w:t xml:space="preserve">；</w:t>
            </w:r>
            <w:r>
              <w:rPr>
                <w:rFonts w:ascii="宋体" w:hAnsi="宋体" w:cs="宋体"/>
                <w:color w:val="auto"/>
                <w:szCs w:val="21"/>
                <w:highlight w:val="none"/>
              </w:rPr>
              <w:br/>
            </w:r>
            <w:r>
              <w:rPr>
                <w:rFonts w:ascii="宋体" w:hAnsi="宋体" w:cs="宋体"/>
                <w:color w:val="auto"/>
                <w:szCs w:val="21"/>
                <w:highlight w:val="none"/>
              </w:rPr>
              <w:t xml:space="preserve">冷冻水进出水温度：7/12℃；冷却水进出水温度：32/37℃；</w:t>
            </w:r>
            <w:r>
              <w:rPr>
                <w:rFonts w:ascii="宋体" w:hAnsi="宋体" w:cs="宋体"/>
                <w:color w:val="auto"/>
                <w:szCs w:val="21"/>
                <w:highlight w:val="none"/>
              </w:rPr>
              <w:br/>
            </w:r>
            <w:r>
              <w:rPr>
                <w:rFonts w:ascii="宋体" w:hAnsi="宋体" w:cs="宋体"/>
                <w:color w:val="auto"/>
                <w:szCs w:val="21"/>
                <w:highlight w:val="none"/>
              </w:rPr>
              <w:t xml:space="preserve">蒸发器压降≤70kPa；冷凝器压降≤90kPa；</w:t>
            </w:r>
            <w:r>
              <w:rPr>
                <w:rFonts w:ascii="宋体" w:hAnsi="宋体" w:cs="宋体"/>
                <w:color w:val="auto"/>
                <w:szCs w:val="21"/>
                <w:highlight w:val="none"/>
              </w:rPr>
              <w:br/>
            </w:r>
            <w:r>
              <w:rPr>
                <w:rFonts w:ascii="宋体" w:hAnsi="宋体" w:cs="宋体"/>
                <w:color w:val="auto"/>
                <w:szCs w:val="21"/>
                <w:highlight w:val="none"/>
              </w:rPr>
              <w:t xml:space="preserve">带RS485 MODBUS RTU 通讯端口；</w:t>
            </w:r>
            <w:r/>
          </w:p>
          <w:p>
            <w:pPr>
              <w:jc w:val="left"/>
              <w:rPr>
                <w:rFonts w:ascii="宋体" w:hAnsi="宋体" w:cs="宋体"/>
                <w:color w:val="auto"/>
                <w:szCs w:val="21"/>
                <w:highlight w:val="none"/>
              </w:rPr>
            </w:pPr>
            <w:r>
              <w:rPr>
                <w:rFonts w:ascii="宋体" w:hAnsi="宋体" w:cs="宋体"/>
                <w:color w:val="auto"/>
                <w:szCs w:val="21"/>
                <w:highlight w:val="none"/>
              </w:rPr>
              <w:t xml:space="preserve">蒸发器和冷凝器水侧承压1.6MPa;</w:t>
            </w:r>
            <w:r>
              <w:rPr>
                <w:rFonts w:ascii="宋体" w:hAnsi="宋体" w:cs="宋体"/>
                <w:color w:val="auto"/>
                <w:szCs w:val="21"/>
                <w:highlight w:val="none"/>
              </w:rPr>
              <w:br/>
            </w:r>
            <w:r>
              <w:rPr>
                <w:rFonts w:ascii="宋体" w:hAnsi="宋体" w:cs="宋体"/>
                <w:color w:val="auto"/>
                <w:szCs w:val="21"/>
                <w:highlight w:val="none"/>
              </w:rPr>
              <w:t xml:space="preserve">冷量调节范围10%~100%无级调节</w:t>
            </w:r>
            <w:r>
              <w:rPr>
                <w:rFonts w:ascii="宋体" w:hAnsi="宋体" w:cs="宋体"/>
                <w:color w:val="auto"/>
                <w:szCs w:val="21"/>
                <w:highlight w:val="none"/>
              </w:rPr>
              <w:br/>
            </w:r>
            <w:r>
              <w:rPr>
                <w:rFonts w:ascii="宋体" w:hAnsi="宋体" w:cs="宋体"/>
                <w:color w:val="auto"/>
                <w:szCs w:val="21"/>
                <w:highlight w:val="none"/>
              </w:rPr>
              <w:t xml:space="preserve">3、采用环保冷媒带启动柜、通讯模块、运行电流输出</w:t>
            </w:r>
            <w:r>
              <w:rPr>
                <w:rFonts w:ascii="宋体" w:hAnsi="宋体" w:cs="宋体"/>
                <w:color w:val="auto"/>
                <w:szCs w:val="21"/>
                <w:highlight w:val="none"/>
              </w:rPr>
              <w:br/>
            </w:r>
            <w:r>
              <w:rPr>
                <w:rFonts w:ascii="宋体" w:hAnsi="宋体" w:cs="宋体"/>
                <w:color w:val="auto"/>
                <w:szCs w:val="21"/>
                <w:highlight w:val="none"/>
              </w:rPr>
              <w:t xml:space="preserve">4、减振材料：ACF(弹簧或橡胶减震更适用时说明原因)</w:t>
            </w:r>
            <w:r>
              <w:rPr>
                <w:rFonts w:ascii="宋体" w:hAnsi="宋体" w:cs="宋体"/>
                <w:color w:val="auto"/>
                <w:szCs w:val="21"/>
                <w:highlight w:val="none"/>
              </w:rPr>
              <w:br/>
            </w:r>
            <w:r>
              <w:rPr>
                <w:rFonts w:ascii="宋体" w:hAnsi="宋体" w:cs="宋体"/>
                <w:color w:val="auto"/>
                <w:szCs w:val="21"/>
                <w:highlight w:val="none"/>
              </w:rPr>
              <w:t xml:space="preserve">5、工作内容：就位、安装、减振、调试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6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按需配置</w:t>
            </w:r>
            <w:r/>
          </w:p>
        </w:tc>
      </w:tr>
      <w:tr>
        <w:trPr>
          <w:trHeight w:val="113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5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7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冷冻水泵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7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1、电机功率：N≤75kW/380V/50HZ</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2、流量：600m3/h，扬程：36m</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3、转速：1450rpm</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4、承压：1.6MPa</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5、运行效率：≥80%</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6、变频范围：25HZ~50HZ</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7、工作内容：就位、安装、减振(含弹簧减振器)、调试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6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按需配置</w:t>
            </w:r>
            <w:r/>
          </w:p>
        </w:tc>
      </w:tr>
      <w:tr>
        <w:trPr>
          <w:trHeight w:val="88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5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7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冷却水泵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7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1、电机功率：N≤90kW/380V/50HZ</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2、流量：750m3/h，扬程：34m</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3、转速：1450rpm</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4、承压：1.6MPa</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5、运行效率：≥80%</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6、变频范围：25HZ~50HZ</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7、工作内容：就位、安装、减振(含弹簧减振器)、调试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6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按需配置</w:t>
            </w:r>
            <w:r/>
          </w:p>
        </w:tc>
      </w:tr>
      <w:tr>
        <w:trPr>
          <w:trHeight w:val="88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5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7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控制系统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7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配套群控设施，含硬件及软件</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硬件包含主控柜、变频柜、传感器、能量计、电动阀、气象站、水电表、配管配线、系统调试、能效测试等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6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2.2 冷却塔改造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投标人应在合同期内对医院原有的冷却塔</w:t>
      </w:r>
      <w:r>
        <w:rPr>
          <w:rFonts w:hint="eastAsia" w:ascii="宋体" w:hAnsi="宋体" w:cs="仿宋"/>
          <w:color w:val="auto"/>
          <w:sz w:val="24"/>
          <w:highlight w:val="none"/>
          <w:lang w:eastAsia="zh-CN"/>
        </w:rPr>
        <w:t xml:space="preserve">电机部分更换（采用永磁电机），风机安装变频控制，冷却塔填料更换</w:t>
      </w:r>
      <w:r>
        <w:rPr>
          <w:rFonts w:hint="eastAsia" w:ascii="宋体" w:hAnsi="宋体"/>
          <w:color w:val="auto"/>
          <w:sz w:val="24"/>
          <w:highlight w:val="none"/>
        </w:rPr>
        <w:t xml:space="preserve">。</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投标人需针对冷却塔改造进行详细方案设计，包含且不限于节能改造方案、设备清单、时间进度计划等内容，以确保方案的可行性。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2.3 采暖系统改造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应在建设期内完成对医院采暖热源系统改造，新增总制热量不低于2500kW高效风冷热泵系统，满足医院门急诊区、住院区、肿瘤中心等（除手术室、净化区域空调区域外）冬季供暖需求，负责整个热源系统及对应配套循环水泵、配电、控制及相关配套设施的安装、施工、调试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投标人需针对独立热源系统改造进行详细方案设计，包含且不限于节能改造方案、设备清单、时间进度计划等内容，以确保方案的可行性。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主要改造设备清单如下，清单内容为必须改造内容，投标人技术方案满足清单方案的基础上有其他优化方案的，可另行编制。</w:t>
      </w:r>
      <w:r/>
    </w:p>
    <w:tbl>
      <w:tblPr>
        <w:tblStyle w:val="1042"/>
        <w:tblW w:w="5000" w:type="pct"/>
        <w:tblInd w:w="0" w:type="dxa"/>
        <w:tblLayout w:type="fixed"/>
        <w:tblCellMar>
          <w:left w:w="12" w:type="dxa"/>
          <w:top w:w="12" w:type="dxa"/>
          <w:right w:w="12" w:type="dxa"/>
          <w:bottom w:w="0" w:type="dxa"/>
        </w:tblCellMar>
        <w:tblLook w:val="04A0" w:firstRow="1" w:lastRow="0" w:firstColumn="1" w:lastColumn="0" w:noHBand="0" w:noVBand="1"/>
      </w:tblPr>
      <w:tblGrid>
        <w:gridCol w:w="341"/>
        <w:gridCol w:w="869"/>
        <w:gridCol w:w="3708"/>
        <w:gridCol w:w="667"/>
        <w:gridCol w:w="2751"/>
      </w:tblGrid>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3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b/>
                <w:color w:val="auto"/>
                <w:szCs w:val="21"/>
                <w:highlight w:val="none"/>
              </w:rPr>
              <w:t xml:space="preserve">高效采暖系统</w:t>
            </w:r>
            <w:r>
              <w:rPr>
                <w:rFonts w:hint="eastAsia" w:ascii="宋体" w:hAnsi="宋体" w:cs="宋体"/>
                <w:b/>
                <w:color w:val="auto"/>
                <w:szCs w:val="21"/>
                <w:highlight w:val="none"/>
                <w:lang w:eastAsia="zh-CN"/>
              </w:rPr>
              <w:t xml:space="preserve">（</w:t>
            </w:r>
            <w:r>
              <w:rPr>
                <w:rFonts w:hint="eastAsia" w:ascii="宋体" w:hAnsi="宋体" w:cs="宋体"/>
                <w:b w:val="0"/>
                <w:bCs/>
                <w:color w:val="auto"/>
                <w:sz w:val="24"/>
                <w:szCs w:val="24"/>
                <w:highlight w:val="none"/>
                <w:lang w:val="en-US" w:eastAsia="zh-CN"/>
              </w:rPr>
              <w:t xml:space="preserve">提供不少于三个备选品牌</w:t>
            </w:r>
            <w:r>
              <w:rPr>
                <w:rFonts w:hint="eastAsia" w:ascii="宋体" w:hAnsi="宋体" w:cs="宋体"/>
                <w:b/>
                <w:color w:val="auto"/>
                <w:szCs w:val="21"/>
                <w:highlight w:val="none"/>
                <w:lang w:eastAsia="zh-CN"/>
              </w:rPr>
              <w:t xml:space="preserve">）</w:t>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0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 名称:风冷热泵机组</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 额定工况：制热40/45℃；</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 室外环境干/湿球温度20/15℃，机组总制热量≥2500kw，制热COP≥3.</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 室外温度-</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℃，制热COP≥2.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5. 噪音：≤72dB(A)。</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6. 水侧工作压力1.6Mpa；</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7. 水侧压降≤60kPa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按需配置</w:t>
            </w:r>
            <w:r/>
          </w:p>
        </w:tc>
      </w:tr>
      <w:tr>
        <w:trPr>
          <w:trHeight w:val="88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4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86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热水循环泵</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0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1、电机功率：N≤30kW/380V/50HZ</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2、流量：250m3/h，扬程：34m</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3、转速：1450rpm</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4、承压：1.6MPa</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5、运行效率：≥80%</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6、变频范围：25HZ~50HZ</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7、工作内容：就位、安装、减振(含弹簧减振器)、调试</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6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7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按需配置</w:t>
            </w:r>
            <w:r/>
          </w:p>
        </w:tc>
      </w:tr>
    </w:tbl>
    <w:p>
      <w:pPr>
        <w:contextualSpacing/>
        <w:ind w:left="-2" w:firstLine="480"/>
        <w:spacing w:line="360" w:lineRule="auto"/>
        <w:tabs>
          <w:tab w:val="left" w:pos="567"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.4独立冷热源系统改造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投标人应在合同期内对医院净化区原有的5台风冷热泵进行更换，单独供应净化区域制冷制热。</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投标人需针对独立冷热源改造进行详细方案设计，包含且不限于节能改造方案、设备清单、时间进度计划等内容，以确保方案的可行性。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 生活热水系统改造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投标人在建设期内完成新建总制热量不低于400kW的热水系统，满足医院的生活热水供应，负责整个热泵系统及对应配套热水循环泵、热水箱、配电、控制及相关配套设施的安装、施工、调试等。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投标人需针对生活热水系统改造进行详细方案设计，包含且不限于节能改造方案、设备清单、时间进度计划等内容，以确保方案的可行性。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bookmarkStart w:id="818" w:name="_Hlk171585901"/>
      <w:r>
        <w:rPr>
          <w:rFonts w:hint="eastAsia" w:ascii="宋体" w:hAnsi="宋体"/>
          <w:color w:val="auto"/>
          <w:sz w:val="24"/>
          <w:highlight w:val="none"/>
        </w:rPr>
        <w:t xml:space="preserve">主要改造设备清单如下，清单内容为必须改造内容，投标人技术方案满足清单方案的基础上有其他优化方案的，可另行编制。</w:t>
      </w:r>
      <w:bookmarkEnd w:id="818"/>
      <w:r/>
      <w:r/>
    </w:p>
    <w:tbl>
      <w:tblPr>
        <w:tblStyle w:val="1042"/>
        <w:tblW w:w="5000" w:type="pct"/>
        <w:tblInd w:w="0" w:type="dxa"/>
        <w:tblLayout w:type="fixed"/>
        <w:tblCellMar>
          <w:left w:w="12" w:type="dxa"/>
          <w:top w:w="12" w:type="dxa"/>
          <w:right w:w="12" w:type="dxa"/>
          <w:bottom w:w="0" w:type="dxa"/>
        </w:tblCellMar>
        <w:tblLook w:val="04A0" w:firstRow="1" w:lastRow="0" w:firstColumn="1" w:lastColumn="0" w:noHBand="0" w:noVBand="1"/>
      </w:tblPr>
      <w:tblGrid>
        <w:gridCol w:w="340"/>
        <w:gridCol w:w="1452"/>
        <w:gridCol w:w="3126"/>
        <w:gridCol w:w="667"/>
        <w:gridCol w:w="2751"/>
      </w:tblGrid>
      <w:tr>
        <w:trPr>
          <w:trHeight w:val="464"/>
        </w:trPr>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tcMar>
            <w:tcW w:w="833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b/>
                <w:color w:val="auto"/>
                <w:szCs w:val="21"/>
                <w:highlight w:val="none"/>
              </w:rPr>
              <w:t xml:space="preserve">生活热水系统</w:t>
            </w:r>
            <w:r>
              <w:rPr>
                <w:rFonts w:hint="eastAsia" w:ascii="宋体" w:hAnsi="宋体" w:cs="宋体"/>
                <w:b/>
                <w:color w:val="auto"/>
                <w:szCs w:val="21"/>
                <w:highlight w:val="none"/>
                <w:lang w:eastAsia="zh-CN"/>
              </w:rPr>
              <w:t xml:space="preserve">（</w:t>
            </w:r>
            <w:r>
              <w:rPr>
                <w:rFonts w:hint="eastAsia" w:ascii="宋体" w:hAnsi="宋体" w:cs="宋体"/>
                <w:b w:val="0"/>
                <w:bCs/>
                <w:color w:val="auto"/>
                <w:sz w:val="24"/>
                <w:szCs w:val="24"/>
                <w:highlight w:val="none"/>
                <w:lang w:val="en-US" w:eastAsia="zh-CN"/>
              </w:rPr>
              <w:t xml:space="preserve">提供不少于三个备选品牌</w:t>
            </w:r>
            <w:r>
              <w:rPr>
                <w:rFonts w:hint="eastAsia" w:ascii="宋体" w:hAnsi="宋体" w:cs="宋体"/>
                <w:b/>
                <w:color w:val="auto"/>
                <w:szCs w:val="21"/>
                <w:highlight w:val="none"/>
                <w:lang w:eastAsia="zh-CN"/>
              </w:rPr>
              <w:t xml:space="preserve">）</w:t>
            </w:r>
            <w:r/>
          </w:p>
        </w:tc>
      </w:tr>
      <w:tr>
        <w:trPr>
          <w:trHeight w:val="547"/>
        </w:trPr>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3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14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3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性能参数</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27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5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空气源热泵机组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2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 名称:空气源热泵机组(定频涡旋)</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 额定工况：初始水温15℃，终止水温55℃；</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 室外环境干/湿球温度20/15℃，总制热量≥400kw，制热COP≥4.</w:t>
            </w:r>
            <w:r>
              <w:rPr>
                <w:rFonts w:hint="eastAsia" w:ascii="宋体" w:hAnsi="宋体" w:cs="宋体"/>
                <w:color w:val="auto"/>
                <w:szCs w:val="21"/>
                <w:highlight w:val="none"/>
                <w:lang w:val="en-US" w:eastAsia="zh-CN"/>
              </w:rPr>
              <w:t xml:space="preserve">59</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 噪音：≤60dB(A)。</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5. 水侧工作压力1.6Mpa；</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6. 水侧压降≤45kPa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按需配置</w:t>
            </w:r>
            <w:r/>
          </w:p>
        </w:tc>
      </w:tr>
      <w:tr>
        <w:trPr>
          <w:trHeight w:val="113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4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5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热水循环泵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2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1.名称:加热循环泵</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2.流量:12m³/h</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3.扬程:16m</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4.功率:1kw</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5.能效等级：2级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按需配置</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2.6 蒸汽系统改造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置换原有蒸汽热源，新增电蒸汽发生器，蒸汽总供应量不低于1400kw，满足医院供应室、洗涤用蒸汽、全院净化区用蒸汽需求。中标人应在建设期内完成整个蒸汽系统改造及相关配套设施的安装、施工、调试等。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投标人需针对蒸汽系统改造进行详细方案设计，包含且不限于节能改造方案、设备清单、时间进度计划等内容，以确保方案的可行性。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主要改造设备清单如下，清单内容为必须改造内容，投标人技术方案满足清单方案的基础上有其他优化方案的，可另行编制。</w:t>
      </w:r>
      <w:r/>
    </w:p>
    <w:tbl>
      <w:tblPr>
        <w:tblStyle w:val="1042"/>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796"/>
        <w:gridCol w:w="1924"/>
        <w:gridCol w:w="3643"/>
        <w:gridCol w:w="998"/>
        <w:gridCol w:w="1167"/>
      </w:tblGrid>
      <w:tr>
        <w:trPr>
          <w:trHeight w:val="90"/>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right w:w="108" w:type="dxa"/>
            </w:tcMar>
            <w:tcW w:w="79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序号</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1924"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设备名称</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3643"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设备参数及参考值</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998"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单位</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1167"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数量（不少于如下数量）</w:t>
            </w:r>
            <w:r/>
          </w:p>
        </w:tc>
      </w:tr>
      <w:tr>
        <w:trPr>
          <w:trHeight w:val="1200"/>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right w:w="108" w:type="dxa"/>
            </w:tcMar>
            <w:tcW w:w="79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1924"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电蒸汽发生器</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3643" w:type="dxa"/>
            <w:vAlign w:val="center"/>
            <w:textDirection w:val="lrTb"/>
            <w:noWrap w:val="false"/>
          </w:tcPr>
          <w:p>
            <w:pPr>
              <w:rPr>
                <w:color w:val="auto"/>
                <w:highlight w:val="none"/>
              </w:rPr>
            </w:pPr>
            <w:r>
              <w:rPr>
                <w:rFonts w:hint="eastAsia" w:ascii="宋体" w:hAnsi="宋体" w:cs="仿宋"/>
                <w:color w:val="auto"/>
                <w:szCs w:val="21"/>
                <w:highlight w:val="none"/>
              </w:rPr>
              <w:t xml:space="preserve">热功率：不低于1400kw</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998"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台</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1167"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按需配置</w:t>
            </w:r>
            <w:r/>
          </w:p>
        </w:tc>
      </w:tr>
      <w:tr>
        <w:trPr>
          <w:trHeight w:val="1220"/>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right w:w="108" w:type="dxa"/>
            </w:tcMar>
            <w:tcW w:w="79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1924"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纯水净水器</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3643"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2t/h</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998"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套</w:t>
            </w:r>
            <w:r/>
          </w:p>
        </w:tc>
        <w:tc>
          <w:tcPr>
            <w:shd w:val="clear" w:color="auto" w:fill="ffffff"/>
            <w:tcBorders>
              <w:top w:val="single" w:color="000000" w:sz="6" w:space="0"/>
              <w:left w:val="none" w:color="000000" w:sz="4" w:space="0"/>
              <w:bottom w:val="single" w:color="000000" w:sz="6" w:space="0"/>
              <w:right w:val="single" w:color="000000" w:sz="6" w:space="0"/>
            </w:tcBorders>
            <w:tcMar>
              <w:left w:w="108" w:type="dxa"/>
              <w:right w:w="108" w:type="dxa"/>
            </w:tcMar>
            <w:tcW w:w="1167"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w:t>
            </w:r>
            <w:r/>
          </w:p>
        </w:tc>
      </w:tr>
    </w:tbl>
    <w:p>
      <w:pPr>
        <w:contextualSpacing/>
        <w:ind w:left="-2" w:firstLine="480"/>
        <w:spacing w:line="360" w:lineRule="auto"/>
        <w:tabs>
          <w:tab w:val="left" w:pos="567"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2.7末端系统改造</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可选</w:t>
      </w:r>
      <w:r>
        <w:rPr>
          <w:rFonts w:hint="eastAsia" w:ascii="宋体" w:hAnsi="宋体"/>
          <w:color w:val="auto"/>
          <w:sz w:val="24"/>
          <w:highlight w:val="none"/>
          <w:lang w:eastAsia="zh-CN"/>
        </w:rPr>
        <w:t xml:space="preserve">）</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lang w:val="en-US" w:eastAsia="zh-CN"/>
        </w:rPr>
        <w:t xml:space="preserve">建议在运维托管期逐步</w:t>
      </w:r>
      <w:r>
        <w:rPr>
          <w:rFonts w:hint="eastAsia" w:ascii="宋体" w:hAnsi="宋体"/>
          <w:color w:val="auto"/>
          <w:sz w:val="24"/>
          <w:highlight w:val="none"/>
        </w:rPr>
        <w:t xml:space="preserve">更换</w:t>
      </w:r>
      <w:r>
        <w:rPr>
          <w:rFonts w:hint="eastAsia" w:ascii="宋体" w:hAnsi="宋体"/>
          <w:color w:val="auto"/>
          <w:sz w:val="24"/>
          <w:highlight w:val="none"/>
          <w:lang w:val="en-US" w:eastAsia="zh-CN"/>
        </w:rPr>
        <w:t xml:space="preserve">医院的</w:t>
      </w:r>
      <w:r>
        <w:rPr>
          <w:rFonts w:hint="eastAsia" w:ascii="宋体" w:hAnsi="宋体"/>
          <w:color w:val="auto"/>
          <w:sz w:val="24"/>
          <w:highlight w:val="none"/>
        </w:rPr>
        <w:t xml:space="preserve">空调末端机电子阀、控制面板。</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投标人需针对末端系统改造进行详细方案设计，包含且不限于节能改造方案、设备清单、时间进度计划等内容，以确保方案的可行性。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2.8 照明系统改造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对公共区域改造为智能照明系统。</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将医院公共区域常亮的灯具更换为高效绿色节能的LED灯具，总量不低于</w:t>
      </w:r>
      <w:r>
        <w:rPr>
          <w:rFonts w:hint="eastAsia" w:ascii="宋体" w:hAnsi="宋体"/>
          <w:color w:val="auto"/>
          <w:sz w:val="24"/>
          <w:highlight w:val="none"/>
          <w:lang w:val="en-US" w:eastAsia="zh-CN"/>
        </w:rPr>
        <w:t xml:space="preserve">2000</w:t>
      </w:r>
      <w:r>
        <w:rPr>
          <w:rFonts w:hint="eastAsia" w:ascii="宋体" w:hAnsi="宋体"/>
          <w:color w:val="auto"/>
          <w:sz w:val="24"/>
          <w:highlight w:val="none"/>
        </w:rPr>
        <w:t xml:space="preserve">盏。</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将原有地下室停车场50%常亮的LED灯具更换为高效绿色节能的LED雷达灯具，无人时低功率运行，有人时全功率运行。</w:t>
      </w:r>
      <w:r/>
    </w:p>
    <w:p>
      <w:pPr>
        <w:contextualSpacing/>
        <w:ind w:left="-2" w:firstLine="480"/>
        <w:spacing w:line="360" w:lineRule="auto"/>
        <w:tabs>
          <w:tab w:val="left" w:pos="567" w:leader="none"/>
        </w:tabs>
        <w:rPr>
          <w:rFonts w:hint="eastAsia" w:ascii="宋体" w:hAnsi="宋体"/>
          <w:color w:val="auto"/>
          <w:sz w:val="24"/>
          <w:highlight w:val="none"/>
        </w:rPr>
      </w:pPr>
      <w:r>
        <w:rPr>
          <w:rFonts w:hint="eastAsia" w:ascii="宋体" w:hAnsi="宋体"/>
          <w:color w:val="auto"/>
          <w:sz w:val="24"/>
          <w:highlight w:val="none"/>
        </w:rPr>
        <w:t xml:space="preserve">投标人需针对照明系统改造进行详细方案设计，包含且不限于节能改造方案、设备清单、时间进度计划等内容，以确保方案的可行性。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除本次医院节能改造项目更换的灯具外，托管服务期内，医院其余所有灯具的维修与更换工作均由中标人负责。</w:t>
      </w:r>
      <w:r/>
    </w:p>
    <w:p>
      <w:pPr>
        <w:contextualSpacing/>
        <w:ind w:left="-2" w:firstLine="420"/>
        <w:spacing w:line="360" w:lineRule="auto"/>
        <w:tabs>
          <w:tab w:val="left" w:pos="567" w:leader="none"/>
        </w:tabs>
        <w:rPr>
          <w:rFonts w:hint="eastAsia" w:eastAsia="宋体"/>
          <w:color w:val="auto"/>
          <w:highlight w:val="none"/>
          <w:lang w:eastAsia="zh-CN"/>
        </w:rPr>
      </w:pPr>
      <w:r>
        <w:rPr>
          <w:rFonts w:hint="eastAsia" w:eastAsia="宋体"/>
          <w:color w:val="auto"/>
          <w:highlight w:val="none"/>
          <w:lang w:eastAsia="zh-CN"/>
        </w:rPr>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2.9冷热水主管道系统改造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按</w:t>
      </w:r>
      <w:r>
        <w:rPr>
          <w:rFonts w:hint="eastAsia" w:ascii="宋体" w:hAnsi="宋体"/>
          <w:color w:val="auto"/>
          <w:sz w:val="24"/>
          <w:highlight w:val="none"/>
          <w:lang w:val="en-US" w:eastAsia="zh-CN"/>
        </w:rPr>
        <w:t xml:space="preserve">甲方需求</w:t>
      </w:r>
      <w:r>
        <w:rPr>
          <w:rFonts w:hint="eastAsia" w:ascii="宋体" w:hAnsi="宋体"/>
          <w:color w:val="auto"/>
          <w:sz w:val="24"/>
          <w:highlight w:val="none"/>
        </w:rPr>
        <w:t xml:space="preserve">更换楼层主管阀门，以便于区域水管漏水或爆管的抢修。</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投标人需针对冷热水主管道系统进行详细方案设计，包含且不限于节能改造方案、设备清单、时间进度计划等内容，以确保方案的可行性。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2.10表计计量改造</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全院安装远程水电计量表，实现三级计量，便于数据分析及科室考核。</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投标人需针对表计计量改造进行详细方案设计，包含且不限于改造方案、设备清单、时间进度计划等内容，以确保方案的可行性。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2.11 可选改造项目</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如针对可选改造项目进行相应改造，需进行详细方案设计，包含但不限于节能改造方案、设备清单、时间进度计划、安全文明施工等内容，以确保方案的可行性。项目实施前，中标人拟投入的深化设计方案需征得采购人同意。未经采购人同意造成的损失由中标人承担。</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3、智慧管理运营平台建设</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投标人需在建设期内完成医院智慧管理运营平台建设，平台需含能源管理系统，综合监控系统，</w:t>
      </w:r>
      <w:r>
        <w:rPr>
          <w:rFonts w:hint="eastAsia" w:ascii="宋体" w:hAnsi="宋体"/>
          <w:color w:val="auto"/>
          <w:sz w:val="24"/>
          <w:highlight w:val="none"/>
          <w:lang w:val="en-US" w:eastAsia="zh-CN"/>
        </w:rPr>
        <w:t xml:space="preserve">安防、</w:t>
      </w:r>
      <w:r>
        <w:rPr>
          <w:rFonts w:hint="eastAsia" w:ascii="宋体" w:hAnsi="宋体"/>
          <w:color w:val="auto"/>
          <w:sz w:val="24"/>
          <w:highlight w:val="none"/>
        </w:rPr>
        <w:t xml:space="preserve">智慧后勤管理相关系统等。医院智慧管理运营平台所需的互联网IP地址及端口由采购人协调解决，投标人可使用医院楼栋间的光纤进行局域网组网。</w:t>
      </w:r>
      <w:r/>
    </w:p>
    <w:p>
      <w:pPr>
        <w:contextualSpacing/>
        <w:ind w:left="-2" w:firstLine="480"/>
        <w:spacing w:line="360" w:lineRule="auto"/>
        <w:tabs>
          <w:tab w:val="left" w:pos="567" w:leader="none"/>
        </w:tabs>
        <w:rPr>
          <w:rFonts w:hint="eastAsia" w:ascii="宋体" w:hAnsi="宋体"/>
          <w:color w:val="auto"/>
          <w:sz w:val="24"/>
          <w:highlight w:val="none"/>
        </w:rPr>
      </w:pPr>
      <w:r>
        <w:rPr>
          <w:rFonts w:hint="eastAsia" w:ascii="宋体" w:hAnsi="宋体"/>
          <w:color w:val="auto"/>
          <w:sz w:val="24"/>
          <w:highlight w:val="none"/>
        </w:rPr>
        <w:t xml:space="preserve">本次建设的智慧管理运营平台需自上而</w:t>
      </w:r>
      <w:r>
        <w:rPr>
          <w:rFonts w:hint="eastAsia" w:ascii="宋体" w:hAnsi="宋体"/>
          <w:color w:val="auto"/>
          <w:sz w:val="24"/>
          <w:highlight w:val="none"/>
        </w:rPr>
        <w:t xml:space="preserve">下采用分层设计原则，各层级之间数据互联互通，数字底座具备各类技术能力，为上层场景化服务提供数据及业务支撑。上层场景服务构建智慧管理运营体系。提供 WEB 端和移动端两种访问模式。同时，平台系统建设需保障安全性、健壮性、兼容性、可拓展性。智慧管理运营平台需采用面向互联网的软件技术架构进行设计，具有支持高并发、高可靠、高可伸缩、高可扩展、高安全等技术特点，向用户提供高效、可靠的业务流程、功能应用、数据分析等服务，具备先进的自动化运维能力。需具备物联网平台、数据中台、业务中台、技术中台相关能力，具体能力要求如下：</w:t>
      </w:r>
      <w:r/>
    </w:p>
    <w:p>
      <w:pPr>
        <w:contextualSpacing/>
        <w:ind w:left="-2" w:firstLine="480"/>
        <w:spacing w:line="360" w:lineRule="auto"/>
        <w:tabs>
          <w:tab w:val="left" w:pos="567" w:leader="none"/>
        </w:tabs>
        <w:rPr>
          <w:rFonts w:hint="eastAsia" w:eastAsia="宋体"/>
          <w:color w:val="auto"/>
          <w:highlight w:val="none"/>
          <w:lang w:eastAsia="zh-CN"/>
        </w:rPr>
      </w:pPr>
      <w:r>
        <w:rPr>
          <w:rFonts w:hint="eastAsia" w:ascii="宋体" w:hAnsi="宋体"/>
          <w:color w:val="auto"/>
          <w:sz w:val="24"/>
          <w:highlight w:val="none"/>
          <w:lang w:val="en-US" w:eastAsia="zh-CN"/>
        </w:rPr>
        <w:t xml:space="preserve">本平台改造与节能技改同步开展，同步验收。</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（1）物联网平台</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需具备物联网平台相关能力，要求能够对接入的各类物联网设备、物联网系统进行统一数据监测，可以根据告警类型、工作模式灵活配置数据告警，实现对故障诊断和处理的精细化管理。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（2）数据中台</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需具备数据中台能力，对医院各类能源数据、设备运行数据、运维数据、进行集成构建，将异构系统的数据进行标准化处理。需具备数据采集、数据清洗、数据处理、数据存储、数据使用等完善的流程，结合 BI 体系提供的数据分析能力。</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（3）业务中台</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需具备业务中台能力，对医院各类能源管理与设备设施进行统一管理维护。根据业务类型、用户权限提供相应的数据权限，确保数据最小化授权使用，保护医院隐私信息。</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（4）交互能力</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交互核心能力需满足针对不同层级的管理者的不同需求进行配置，如运营驾驶舱满足医院管理者概览医院运营情况的需求，能碳驾驶舱满足能源管理人员日常节能分析需求，提供差异化的展示方式；需具备图形化展示数据的能力，如折线图、饼状图等。图表需具备灵活调整的能力，能够根据指标类型和管理需求调整，以满足不同场景下的使用需求，提供web端及移动端多渠道交互途径。</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3.1能源管理系统建设</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投标人应在建设期内完成能源管理系统建设，实现院区用电、用水计量。通过全面的能耗采集，来分析医院能耗现在状况，发现医院实际运营中存在的各类用能问题，实现能源精细化管理。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监测点位及要求：</w:t>
      </w:r>
      <w:r/>
    </w:p>
    <w:tbl>
      <w:tblPr>
        <w:tblStyle w:val="1042"/>
        <w:tblW w:w="499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24"/>
        <w:gridCol w:w="2028"/>
        <w:gridCol w:w="1227"/>
        <w:gridCol w:w="1371"/>
        <w:gridCol w:w="1669"/>
      </w:tblGrid>
      <w:tr>
        <w:trPr>
          <w:trHeight w:val="661"/>
        </w:trPr>
        <w:tc>
          <w:tcPr>
            <w:tcW w:w="2024"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lang w:eastAsia="zh-CN"/>
              </w:rPr>
              <w:t xml:space="preserve">区域</w:t>
            </w:r>
            <w:r/>
          </w:p>
        </w:tc>
        <w:tc>
          <w:tcPr>
            <w:tcW w:w="2028"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rPr>
              <w:t xml:space="preserve">监测设备</w:t>
            </w:r>
            <w:r/>
          </w:p>
        </w:tc>
        <w:tc>
          <w:tcPr>
            <w:tcBorders>
              <w:bottom w:val="single" w:color="auto" w:sz="4" w:space="0"/>
            </w:tcBorders>
            <w:tcW w:w="1227"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rPr>
              <w:t xml:space="preserve">监测参数</w:t>
            </w:r>
            <w:r/>
          </w:p>
        </w:tc>
        <w:tc>
          <w:tcPr>
            <w:tcBorders>
              <w:bottom w:val="single" w:color="auto" w:sz="4" w:space="0"/>
            </w:tcBorders>
            <w:tcW w:w="1371"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rPr>
              <w:t xml:space="preserve">采集方式</w:t>
            </w:r>
            <w:r/>
          </w:p>
        </w:tc>
        <w:tc>
          <w:tcPr>
            <w:tcBorders>
              <w:bottom w:val="single" w:color="auto" w:sz="4" w:space="0"/>
            </w:tcBorders>
            <w:tcW w:w="1669"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rPr>
              <w:t xml:space="preserve">点位要求</w:t>
            </w:r>
            <w:r/>
          </w:p>
        </w:tc>
      </w:tr>
      <w:tr>
        <w:trPr>
          <w:trHeight w:val="657"/>
        </w:trPr>
        <w:tc>
          <w:tcPr>
            <w:tcW w:w="2024" w:type="dxa"/>
            <w:vAlign w:val="center"/>
            <w:vMerge w:val="restart"/>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医疗综合楼</w:t>
            </w:r>
            <w:r/>
          </w:p>
        </w:tc>
        <w:tc>
          <w:tcPr>
            <w:tcBorders>
              <w:right w:val="single" w:color="auto" w:sz="4" w:space="0"/>
            </w:tcBorders>
            <w:tcW w:w="2028" w:type="dxa"/>
            <w:vAlign w:val="center"/>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楼层</w:t>
            </w:r>
            <w:r/>
          </w:p>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配电箱</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rPr>
              <w:t xml:space="preserve">用电</w:t>
            </w:r>
            <w:r>
              <w:rPr>
                <w:rFonts w:hint="eastAsia"/>
                <w:color w:val="auto"/>
                <w:spacing w:val="-3"/>
                <w:sz w:val="24"/>
                <w:szCs w:val="24"/>
                <w:highlight w:val="none"/>
                <w:lang w:eastAsia="zh-CN"/>
              </w:rPr>
              <w:t xml:space="preserve">参数</w:t>
            </w:r>
            <w:r/>
          </w:p>
        </w:tc>
        <w:tc>
          <w:tcPr>
            <w:tcBorders>
              <w:left w:val="single" w:color="auto" w:sz="4" w:space="0"/>
              <w:right w:val="single" w:color="auto" w:sz="4" w:space="0"/>
            </w:tcBorders>
            <w:tcW w:w="1371" w:type="dxa"/>
            <w:vAlign w:val="center"/>
            <w:vMerge w:val="restart"/>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建设能源管理系统，新增智能电表，智能远传水表，或对接原有智能表计</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pStyle w:val="1440"/>
              <w:ind w:left="23" w:right="25" w:firstLine="1"/>
              <w:jc w:val="center"/>
              <w:spacing w:before="22" w:line="360" w:lineRule="auto"/>
              <w:rPr>
                <w:rFonts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 xml:space="preserve">≥90点位</w:t>
            </w:r>
            <w:r/>
          </w:p>
        </w:tc>
      </w:tr>
      <w:tr>
        <w:trPr>
          <w:trHeight w:val="657"/>
        </w:trPr>
        <w:tc>
          <w:tcPr>
            <w:tcW w:w="2024" w:type="dxa"/>
            <w:vAlign w:val="center"/>
            <w:vMerge w:val="continue"/>
            <w:textDirection w:val="lrTb"/>
            <w:noWrap w:val="false"/>
          </w:tcPr>
          <w:p>
            <w:pPr>
              <w:pStyle w:val="1440"/>
              <w:ind w:left="23" w:right="25" w:firstLine="1"/>
              <w:jc w:val="center"/>
              <w:spacing w:before="22" w:line="360" w:lineRule="auto"/>
              <w:rPr>
                <w:color w:val="auto"/>
                <w:spacing w:val="-3"/>
                <w:sz w:val="24"/>
                <w:szCs w:val="24"/>
                <w:highlight w:val="none"/>
              </w:rPr>
            </w:pPr>
            <w:r>
              <w:rPr>
                <w:color w:val="auto"/>
                <w:spacing w:val="-3"/>
                <w:sz w:val="24"/>
                <w:szCs w:val="24"/>
                <w:highlight w:val="none"/>
              </w:rPr>
            </w:r>
            <w:r/>
          </w:p>
        </w:tc>
        <w:tc>
          <w:tcPr>
            <w:tcBorders>
              <w:right w:val="single" w:color="auto" w:sz="4" w:space="0"/>
            </w:tcBorders>
            <w:tcW w:w="2028" w:type="dxa"/>
            <w:vAlign w:val="center"/>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楼栋水管井</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rPr>
              <w:t xml:space="preserve">用水</w:t>
            </w:r>
            <w:r>
              <w:rPr>
                <w:rFonts w:hint="eastAsia"/>
                <w:color w:val="auto"/>
                <w:spacing w:val="-3"/>
                <w:sz w:val="24"/>
                <w:szCs w:val="24"/>
                <w:highlight w:val="none"/>
                <w:lang w:eastAsia="zh-CN"/>
              </w:rPr>
              <w:t xml:space="preserve">参数</w:t>
            </w:r>
            <w:r/>
          </w:p>
        </w:tc>
        <w:tc>
          <w:tcPr>
            <w:tcBorders>
              <w:left w:val="single" w:color="auto" w:sz="4" w:space="0"/>
              <w:right w:val="single" w:color="auto" w:sz="4" w:space="0"/>
            </w:tcBorders>
            <w:tcW w:w="1371" w:type="dxa"/>
            <w:vAlign w:val="center"/>
            <w:vMerge w:val="continue"/>
            <w:textDirection w:val="lrTb"/>
            <w:noWrap w:val="false"/>
          </w:tcPr>
          <w:p>
            <w:pPr>
              <w:pStyle w:val="1440"/>
              <w:ind w:left="23" w:right="25" w:firstLine="1"/>
              <w:jc w:val="center"/>
              <w:spacing w:before="22" w:line="360" w:lineRule="auto"/>
              <w:rPr>
                <w:color w:val="auto"/>
                <w:spacing w:val="-3"/>
                <w:sz w:val="24"/>
                <w:szCs w:val="24"/>
                <w:highlight w:val="none"/>
              </w:rPr>
            </w:pPr>
            <w:r>
              <w:rPr>
                <w:color w:val="auto"/>
                <w:spacing w:val="-3"/>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pStyle w:val="1440"/>
              <w:ind w:left="23" w:right="25" w:firstLine="1"/>
              <w:jc w:val="center"/>
              <w:spacing w:before="22" w:line="360" w:lineRule="auto"/>
              <w:rPr>
                <w:rFonts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lang w:val="en-US" w:eastAsia="zh-CN"/>
              </w:rPr>
              <w:t xml:space="preserve">50</w:t>
            </w:r>
            <w:r>
              <w:rPr>
                <w:rFonts w:hint="eastAsia" w:ascii="仿宋" w:hAnsi="仿宋" w:eastAsia="仿宋" w:cs="仿宋"/>
                <w:color w:val="auto"/>
                <w:spacing w:val="-3"/>
                <w:sz w:val="24"/>
                <w:szCs w:val="24"/>
                <w:highlight w:val="none"/>
                <w:lang w:eastAsia="zh-CN"/>
              </w:rPr>
              <w:t xml:space="preserve">点位</w:t>
            </w:r>
            <w:r/>
          </w:p>
        </w:tc>
      </w:tr>
      <w:tr>
        <w:trPr>
          <w:trHeight w:val="657"/>
        </w:trPr>
        <w:tc>
          <w:tcPr>
            <w:tcW w:w="2024" w:type="dxa"/>
            <w:vAlign w:val="center"/>
            <w:vMerge w:val="restart"/>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肿瘤中心</w:t>
            </w:r>
            <w:r/>
          </w:p>
        </w:tc>
        <w:tc>
          <w:tcPr>
            <w:tcBorders>
              <w:right w:val="single" w:color="auto" w:sz="4" w:space="0"/>
            </w:tcBorders>
            <w:tcW w:w="2028" w:type="dxa"/>
            <w:vAlign w:val="center"/>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楼层</w:t>
            </w:r>
            <w:r/>
          </w:p>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配电箱</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rPr>
              <w:t xml:space="preserve">用电</w:t>
            </w:r>
            <w:r>
              <w:rPr>
                <w:rFonts w:hint="eastAsia"/>
                <w:color w:val="auto"/>
                <w:spacing w:val="-3"/>
                <w:sz w:val="24"/>
                <w:szCs w:val="24"/>
                <w:highlight w:val="none"/>
                <w:lang w:eastAsia="zh-CN"/>
              </w:rPr>
              <w:t xml:space="preserve">参数</w:t>
            </w:r>
            <w:r/>
          </w:p>
        </w:tc>
        <w:tc>
          <w:tcPr>
            <w:tcBorders>
              <w:left w:val="single" w:color="auto" w:sz="4" w:space="0"/>
              <w:right w:val="single" w:color="auto" w:sz="4" w:space="0"/>
            </w:tcBorders>
            <w:tcW w:w="1371" w:type="dxa"/>
            <w:vAlign w:val="center"/>
            <w:vMerge w:val="continue"/>
            <w:textDirection w:val="lrTb"/>
            <w:noWrap w:val="false"/>
          </w:tcPr>
          <w:p>
            <w:pPr>
              <w:pStyle w:val="1440"/>
              <w:ind w:left="23" w:right="25" w:firstLine="1"/>
              <w:jc w:val="center"/>
              <w:spacing w:before="22" w:line="360" w:lineRule="auto"/>
              <w:rPr>
                <w:color w:val="auto"/>
                <w:spacing w:val="-3"/>
                <w:sz w:val="24"/>
                <w:szCs w:val="24"/>
                <w:highlight w:val="none"/>
              </w:rPr>
            </w:pPr>
            <w:r>
              <w:rPr>
                <w:color w:val="auto"/>
                <w:spacing w:val="-3"/>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pStyle w:val="1440"/>
              <w:ind w:left="23" w:right="25" w:firstLine="1"/>
              <w:jc w:val="center"/>
              <w:spacing w:before="22" w:line="360" w:lineRule="auto"/>
              <w:rPr>
                <w:rFonts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 xml:space="preserve">≥12点位</w:t>
            </w:r>
            <w:r/>
          </w:p>
        </w:tc>
      </w:tr>
      <w:tr>
        <w:trPr>
          <w:trHeight w:val="657"/>
        </w:trPr>
        <w:tc>
          <w:tcPr>
            <w:tcW w:w="2024" w:type="dxa"/>
            <w:vAlign w:val="center"/>
            <w:vMerge w:val="continue"/>
            <w:textDirection w:val="lrTb"/>
            <w:noWrap w:val="false"/>
          </w:tcPr>
          <w:p>
            <w:pPr>
              <w:pStyle w:val="1440"/>
              <w:ind w:left="23" w:right="25" w:firstLine="1"/>
              <w:jc w:val="center"/>
              <w:spacing w:before="22" w:line="360" w:lineRule="auto"/>
              <w:rPr>
                <w:color w:val="auto"/>
                <w:spacing w:val="-3"/>
                <w:sz w:val="24"/>
                <w:szCs w:val="24"/>
                <w:highlight w:val="none"/>
              </w:rPr>
            </w:pPr>
            <w:r>
              <w:rPr>
                <w:color w:val="auto"/>
                <w:spacing w:val="-3"/>
                <w:sz w:val="24"/>
                <w:szCs w:val="24"/>
                <w:highlight w:val="none"/>
              </w:rPr>
            </w:r>
            <w:r/>
          </w:p>
        </w:tc>
        <w:tc>
          <w:tcPr>
            <w:tcW w:w="2028"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lang w:eastAsia="zh-CN"/>
              </w:rPr>
              <w:t xml:space="preserve">楼栋水管井</w:t>
            </w:r>
            <w:r/>
          </w:p>
        </w:tc>
        <w:tc>
          <w:tcPr>
            <w:tcBorders>
              <w:top w:val="single" w:color="auto" w:sz="4" w:space="0"/>
              <w:bottom w:val="single" w:color="auto" w:sz="4" w:space="0"/>
              <w:right w:val="single" w:color="auto" w:sz="4" w:space="0"/>
            </w:tcBorders>
            <w:tcW w:w="1227" w:type="dxa"/>
            <w:vAlign w:val="center"/>
            <w:textDirection w:val="lrTb"/>
            <w:noWrap w:val="false"/>
          </w:tcPr>
          <w:p>
            <w:pPr>
              <w:pStyle w:val="1440"/>
              <w:ind w:left="23" w:right="25" w:firstLine="1"/>
              <w:jc w:val="center"/>
              <w:spacing w:before="22" w:line="360" w:lineRule="auto"/>
              <w:rPr>
                <w:color w:val="auto"/>
                <w:spacing w:val="-3"/>
                <w:sz w:val="24"/>
                <w:szCs w:val="24"/>
                <w:highlight w:val="none"/>
              </w:rPr>
            </w:pPr>
            <w:r>
              <w:rPr>
                <w:rFonts w:hint="eastAsia"/>
                <w:color w:val="auto"/>
                <w:spacing w:val="-3"/>
                <w:sz w:val="24"/>
                <w:szCs w:val="24"/>
                <w:highlight w:val="none"/>
              </w:rPr>
              <w:t xml:space="preserve">用水</w:t>
            </w:r>
            <w:r>
              <w:rPr>
                <w:rFonts w:hint="eastAsia"/>
                <w:color w:val="auto"/>
                <w:spacing w:val="-3"/>
                <w:sz w:val="24"/>
                <w:szCs w:val="24"/>
                <w:highlight w:val="none"/>
                <w:lang w:eastAsia="zh-CN"/>
              </w:rPr>
              <w:t xml:space="preserve">参数</w:t>
            </w:r>
            <w:r/>
          </w:p>
        </w:tc>
        <w:tc>
          <w:tcPr>
            <w:tcBorders>
              <w:left w:val="single" w:color="auto" w:sz="4" w:space="0"/>
              <w:right w:val="single" w:color="auto" w:sz="4" w:space="0"/>
            </w:tcBorders>
            <w:tcW w:w="1371" w:type="dxa"/>
            <w:vAlign w:val="center"/>
            <w:vMerge w:val="continue"/>
            <w:textDirection w:val="lrTb"/>
            <w:noWrap w:val="false"/>
          </w:tcPr>
          <w:p>
            <w:pPr>
              <w:pStyle w:val="1440"/>
              <w:ind w:left="23" w:right="25" w:firstLine="1"/>
              <w:jc w:val="center"/>
              <w:spacing w:before="22" w:line="360" w:lineRule="auto"/>
              <w:rPr>
                <w:color w:val="auto"/>
                <w:spacing w:val="-3"/>
                <w:sz w:val="24"/>
                <w:szCs w:val="24"/>
                <w:highlight w:val="none"/>
              </w:rPr>
            </w:pPr>
            <w:r>
              <w:rPr>
                <w:color w:val="auto"/>
                <w:spacing w:val="-3"/>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pStyle w:val="1440"/>
              <w:ind w:left="23" w:right="25" w:firstLine="1"/>
              <w:jc w:val="center"/>
              <w:spacing w:before="22" w:line="360" w:lineRule="auto"/>
              <w:rPr>
                <w:rFonts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 xml:space="preserve">≥5点位</w:t>
            </w:r>
            <w:r/>
          </w:p>
        </w:tc>
      </w:tr>
      <w:tr>
        <w:trPr>
          <w:trHeight w:val="657"/>
        </w:trPr>
        <w:tc>
          <w:tcPr>
            <w:tcW w:w="2024" w:type="dxa"/>
            <w:vAlign w:val="center"/>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地下室</w:t>
            </w:r>
            <w:r/>
          </w:p>
        </w:tc>
        <w:tc>
          <w:tcPr>
            <w:tcW w:w="2028" w:type="dxa"/>
            <w:vAlign w:val="center"/>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配电间</w:t>
            </w:r>
            <w:r/>
          </w:p>
        </w:tc>
        <w:tc>
          <w:tcPr>
            <w:tcBorders>
              <w:top w:val="single" w:color="auto" w:sz="4" w:space="0"/>
              <w:right w:val="single" w:color="auto" w:sz="4" w:space="0"/>
            </w:tcBorders>
            <w:tcW w:w="1227" w:type="dxa"/>
            <w:vAlign w:val="center"/>
            <w:textDirection w:val="lrTb"/>
            <w:noWrap w:val="false"/>
          </w:tcPr>
          <w:p>
            <w:pPr>
              <w:pStyle w:val="1440"/>
              <w:ind w:left="23" w:right="25" w:firstLine="1"/>
              <w:jc w:val="center"/>
              <w:spacing w:before="22" w:line="360" w:lineRule="auto"/>
              <w:rPr>
                <w:color w:val="auto"/>
                <w:spacing w:val="-3"/>
                <w:sz w:val="24"/>
                <w:szCs w:val="24"/>
                <w:highlight w:val="none"/>
                <w:lang w:eastAsia="zh-CN"/>
              </w:rPr>
            </w:pPr>
            <w:r>
              <w:rPr>
                <w:rFonts w:hint="eastAsia"/>
                <w:color w:val="auto"/>
                <w:spacing w:val="-3"/>
                <w:sz w:val="24"/>
                <w:szCs w:val="24"/>
                <w:highlight w:val="none"/>
                <w:lang w:eastAsia="zh-CN"/>
              </w:rPr>
              <w:t xml:space="preserve">用电参数</w:t>
            </w:r>
            <w:r/>
          </w:p>
        </w:tc>
        <w:tc>
          <w:tcPr>
            <w:tcBorders>
              <w:left w:val="single" w:color="auto" w:sz="4" w:space="0"/>
              <w:bottom w:val="single" w:color="auto" w:sz="4" w:space="0"/>
              <w:right w:val="single" w:color="auto" w:sz="4" w:space="0"/>
            </w:tcBorders>
            <w:tcW w:w="1371" w:type="dxa"/>
            <w:vAlign w:val="center"/>
            <w:vMerge w:val="continue"/>
            <w:textDirection w:val="lrTb"/>
            <w:noWrap w:val="false"/>
          </w:tcPr>
          <w:p>
            <w:pPr>
              <w:pStyle w:val="1440"/>
              <w:ind w:left="23" w:right="25" w:firstLine="1"/>
              <w:jc w:val="center"/>
              <w:spacing w:before="22" w:line="360" w:lineRule="auto"/>
              <w:rPr>
                <w:color w:val="auto"/>
                <w:spacing w:val="-3"/>
                <w:sz w:val="24"/>
                <w:szCs w:val="24"/>
                <w:highlight w:val="none"/>
              </w:rPr>
            </w:pPr>
            <w:r>
              <w:rPr>
                <w:color w:val="auto"/>
                <w:spacing w:val="-3"/>
                <w:sz w:val="24"/>
                <w:szCs w:val="24"/>
                <w:highlight w:val="none"/>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pStyle w:val="1440"/>
              <w:ind w:left="23" w:right="25" w:firstLine="1"/>
              <w:jc w:val="center"/>
              <w:spacing w:before="22" w:line="360" w:lineRule="auto"/>
              <w:rPr>
                <w:rFonts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 xml:space="preserve">≥150点位</w:t>
            </w:r>
            <w:r/>
          </w:p>
        </w:tc>
      </w:tr>
    </w:tbl>
    <w:p>
      <w:pPr>
        <w:contextualSpacing/>
        <w:ind w:left="-2" w:firstLine="480"/>
        <w:spacing w:line="360" w:lineRule="auto"/>
        <w:tabs>
          <w:tab w:val="left" w:pos="567" w:leader="none"/>
        </w:tabs>
        <w:rPr>
          <w:rFonts w:hint="eastAsia" w:eastAsia="宋体"/>
          <w:color w:val="auto"/>
          <w:highlight w:val="none"/>
          <w:lang w:eastAsia="zh-CN"/>
        </w:rPr>
      </w:pPr>
      <w:r>
        <w:rPr>
          <w:rFonts w:hint="eastAsia" w:ascii="宋体" w:hAnsi="宋体"/>
          <w:color w:val="auto"/>
          <w:sz w:val="24"/>
          <w:highlight w:val="none"/>
        </w:rPr>
        <w:t xml:space="preserve">投标人需针对能源管理系统建设进行方案说明，包含系统功能详细设计、点位设计、设备清单三项内容，以确保方案的可行性。</w:t>
      </w:r>
      <w:r>
        <w:rPr>
          <w:rFonts w:hint="eastAsia" w:ascii="宋体" w:hAnsi="宋体"/>
          <w:color w:val="auto"/>
          <w:sz w:val="24"/>
          <w:highlight w:val="none"/>
          <w:lang w:val="en-US" w:eastAsia="zh-CN"/>
        </w:rPr>
        <w:t xml:space="preserve">本次智能电表及水表改造，均需满足医院对各使用科室的绩效考核要求。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能源管理系统建设功能要求：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（1）能流平衡：支持按区域、业态、支路展示各用能分类的不同层级节点用能总量与分节点和的差值对比、筛选着色；</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（2）能耗分析：支持按区域、业态对已识别的能耗模型节点的能耗分析；</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（3）能耗排名：支持按区域、业态对已识别的能耗模型节点的能耗进行排名，可根据区域、业态的维度查看相应节点各能耗类型能耗值及排名；</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（4）能耗对比：支持按区域、业态维度对已识别的能耗模型节点的能耗对比；</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（5）科室能耗分摊：支持以科室为维度对能源使用情况进行考核，以实现能源可管可控、责任到科室；</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（6）KPI管理：支持对经营性能耗KPI的管理，包括单位床日能耗、单位门诊量能耗、</w:t>
      </w:r>
      <w:r>
        <w:rPr>
          <w:rFonts w:hint="eastAsia" w:ascii="宋体" w:hAnsi="宋体"/>
          <w:b/>
          <w:bCs/>
          <w:color w:val="auto"/>
          <w:sz w:val="24"/>
          <w:highlight w:val="none"/>
        </w:rPr>
        <w:t xml:space="preserve">元</w:t>
      </w:r>
      <w:r>
        <w:rPr>
          <w:rFonts w:hint="eastAsia" w:ascii="宋体" w:hAnsi="宋体"/>
          <w:color w:val="auto"/>
          <w:sz w:val="24"/>
          <w:highlight w:val="none"/>
        </w:rPr>
        <w:t xml:space="preserve">GDP能耗、单位业务量能耗、单位建筑面积能耗、单位空调面积能耗等。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（7）指标分析：用户选择能耗节点后，系统展示对应的人均能耗、单位面积能耗等指标，并通过曲线图或柱状图进行可视化展示。</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（8）定额管理：可树状图选择能耗节点，展示该能耗节点每月的配额与使用量进度条，以饼状图等形式显示全年已使用/未使用量，及每月用量饼状占比。包含水电气、及碳排的定额。</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（9）碳排放计算：各类能源对应的碳排放计算结果，包括能源种类、数据周期、消耗量及碳排放量等信息，并以列表或图表形式展示。</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（10）能耗配置：提供能耗单价、标煤折标系数、碳排因子配置功能</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（11）</w:t>
      </w:r>
      <w:r>
        <w:rPr>
          <w:rFonts w:hint="eastAsia" w:ascii="宋体" w:hAnsi="宋体" w:cs="宋体"/>
          <w:color w:val="auto"/>
          <w:sz w:val="24"/>
          <w:highlight w:val="none"/>
        </w:rPr>
        <w:t xml:space="preserve">具有平台具有能耗异常报警功能：</w:t>
      </w:r>
      <w:r>
        <w:rPr>
          <w:rFonts w:ascii="宋体" w:hAnsi="宋体" w:cs="宋体"/>
          <w:color w:val="auto"/>
          <w:sz w:val="24"/>
          <w:highlight w:val="none"/>
        </w:rPr>
        <w:t xml:space="preserve">当监测到能源使用异常时，系统会自动触发报警机制，提醒用户及时采取应对措施</w:t>
      </w:r>
      <w:r>
        <w:rPr>
          <w:rFonts w:hint="eastAsia" w:ascii="宋体" w:hAnsi="宋体" w:cs="宋体"/>
          <w:color w:val="auto"/>
          <w:sz w:val="24"/>
          <w:highlight w:val="none"/>
        </w:rPr>
        <w:t xml:space="preserve">。</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（12）用户管理：提供平台用户管理与维护的配置界面。</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3.2综合监控系统建设</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中标人需在建设期内完成综合监控系统建设，实现对医院不同的机电设备包括暖通空调、配电房、锅炉房、医用气体房等信息进行实时的监测并自动告警、排除隐患、规避安全风险。</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投标人需针对综合监控系统建设进行方案说明，包含功能设计、点位设计、设备清单三项内容，以确保方案的可行性。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主要改造设备清单如下，清单内容为必须改造内容，投标人技术方案满足清单方案的基础上有其他优化方案的，可另行编制。</w:t>
      </w:r>
      <w:r/>
    </w:p>
    <w:tbl>
      <w:tblPr>
        <w:tblStyle w:val="1042"/>
        <w:tblW w:w="4999" w:type="pct"/>
        <w:tblInd w:w="0" w:type="dxa"/>
        <w:tblLayout w:type="fixed"/>
        <w:tblCellMar>
          <w:left w:w="108" w:type="dxa"/>
          <w:top w:w="0" w:type="dxa"/>
          <w:right w:w="108" w:type="dxa"/>
          <w:bottom w:w="0" w:type="dxa"/>
        </w:tblCellMar>
        <w:tblLook w:val="04A0" w:firstRow="1" w:lastRow="0" w:firstColumn="1" w:lastColumn="0" w:noHBand="0" w:noVBand="1"/>
      </w:tblPr>
      <w:tblGrid>
        <w:gridCol w:w="636"/>
        <w:gridCol w:w="1476"/>
        <w:gridCol w:w="3252"/>
        <w:gridCol w:w="636"/>
        <w:gridCol w:w="2526"/>
      </w:tblGrid>
      <w:tr>
        <w:trPr>
          <w:trHeight w:val="841"/>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设备</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技术要求及参考值</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数量（不少于如下数量）</w:t>
            </w:r>
            <w:r/>
          </w:p>
        </w:tc>
      </w:tr>
      <w:tr>
        <w:trPr>
          <w:trHeight w:val="1118"/>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水浸传感器</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监测区域：生活水机房、配电房、中央空调机房等；</w:t>
            </w:r>
            <w:r/>
          </w:p>
          <w:p>
            <w:pPr>
              <w:rPr>
                <w:rFonts w:ascii="宋体" w:hAnsi="宋体" w:cs="仿宋"/>
                <w:color w:val="auto"/>
                <w:szCs w:val="21"/>
                <w:highlight w:val="none"/>
              </w:rPr>
            </w:pPr>
            <w:r>
              <w:rPr>
                <w:rFonts w:hint="eastAsia" w:ascii="宋体" w:hAnsi="宋体" w:cs="仿宋"/>
                <w:color w:val="auto"/>
                <w:szCs w:val="21"/>
                <w:highlight w:val="none"/>
              </w:rPr>
              <w:t xml:space="preserve">监测类型：水浸；输出：RS-485；供电：DC 24V（12V～24V）；</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3</w:t>
            </w:r>
            <w:r/>
          </w:p>
        </w:tc>
      </w:tr>
      <w:tr>
        <w:trPr>
          <w:trHeight w:val="1118"/>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温湿度传感器</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监测区域：变配电房、中央空调机房等</w:t>
            </w:r>
            <w:r/>
          </w:p>
          <w:p>
            <w:pPr>
              <w:rPr>
                <w:rFonts w:ascii="宋体" w:hAnsi="宋体" w:cs="仿宋"/>
                <w:color w:val="auto"/>
                <w:szCs w:val="21"/>
                <w:highlight w:val="none"/>
              </w:rPr>
            </w:pPr>
            <w:r>
              <w:rPr>
                <w:rFonts w:hint="eastAsia" w:ascii="宋体" w:hAnsi="宋体" w:cs="仿宋"/>
                <w:color w:val="auto"/>
                <w:szCs w:val="21"/>
                <w:highlight w:val="none"/>
              </w:rPr>
              <w:t xml:space="preserve">监测类型：温度、湿度；量程：湿度0%RH~95%RH；温度0℃~60℃；输出方式：RS-485；响应时间≤15s；安装方式：壁挂式；</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r>
      <w:tr>
        <w:trPr>
          <w:trHeight w:val="1118"/>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压力传感器</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监测区域：生活水机房、空气压缩机房、负压机房、液氧站、汇流排等；</w:t>
            </w:r>
            <w:r/>
          </w:p>
          <w:p>
            <w:pPr>
              <w:rPr>
                <w:rFonts w:ascii="宋体" w:hAnsi="宋体" w:cs="仿宋"/>
                <w:color w:val="auto"/>
                <w:szCs w:val="21"/>
                <w:highlight w:val="none"/>
              </w:rPr>
            </w:pPr>
            <w:r>
              <w:rPr>
                <w:rFonts w:hint="eastAsia" w:ascii="宋体" w:hAnsi="宋体" w:cs="仿宋"/>
                <w:color w:val="auto"/>
                <w:szCs w:val="21"/>
                <w:highlight w:val="none"/>
              </w:rPr>
              <w:t xml:space="preserve">监测类型：压力；输出：RS485；量程：0-25mpa；安装方式：M20*1.5螺纹安装；</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16</w:t>
            </w:r>
            <w:r/>
          </w:p>
        </w:tc>
      </w:tr>
      <w:tr>
        <w:trPr>
          <w:trHeight w:val="1672"/>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摄像机</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监测区域：配电房、中央空调机房、生活水机房、空气压缩机房、负压机房、液氧站、汇流排</w:t>
            </w:r>
            <w:r/>
          </w:p>
          <w:p>
            <w:pPr>
              <w:rPr>
                <w:rFonts w:ascii="宋体" w:hAnsi="宋体" w:cs="仿宋"/>
                <w:color w:val="auto"/>
                <w:szCs w:val="21"/>
                <w:highlight w:val="none"/>
              </w:rPr>
            </w:pPr>
            <w:r>
              <w:rPr>
                <w:rFonts w:hint="eastAsia" w:ascii="宋体" w:hAnsi="宋体" w:cs="仿宋"/>
                <w:color w:val="auto"/>
                <w:szCs w:val="21"/>
                <w:highlight w:val="none"/>
              </w:rPr>
              <w:t xml:space="preserve">像素：不低于200万；</w:t>
            </w:r>
            <w:r/>
          </w:p>
          <w:p>
            <w:pPr>
              <w:rPr>
                <w:rFonts w:ascii="宋体" w:hAnsi="宋体" w:cs="仿宋"/>
                <w:color w:val="auto"/>
                <w:szCs w:val="21"/>
                <w:highlight w:val="none"/>
              </w:rPr>
            </w:pPr>
            <w:r>
              <w:rPr>
                <w:rFonts w:hint="eastAsia" w:ascii="宋体" w:hAnsi="宋体" w:cs="仿宋"/>
                <w:color w:val="auto"/>
                <w:szCs w:val="21"/>
                <w:highlight w:val="none"/>
              </w:rPr>
              <w:t xml:space="preserve">镜头类型：定焦；</w:t>
            </w:r>
            <w:r/>
          </w:p>
          <w:p>
            <w:pPr>
              <w:rPr>
                <w:rFonts w:ascii="宋体" w:hAnsi="宋体" w:cs="仿宋"/>
                <w:color w:val="auto"/>
                <w:szCs w:val="21"/>
                <w:highlight w:val="none"/>
              </w:rPr>
            </w:pPr>
            <w:r>
              <w:rPr>
                <w:rFonts w:hint="eastAsia" w:ascii="宋体" w:hAnsi="宋体" w:cs="仿宋"/>
                <w:color w:val="auto"/>
                <w:szCs w:val="21"/>
                <w:highlight w:val="none"/>
              </w:rPr>
              <w:t xml:space="preserve">DC12V;</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11</w:t>
            </w:r>
            <w:r/>
          </w:p>
        </w:tc>
      </w:tr>
      <w:tr>
        <w:trPr>
          <w:trHeight w:val="139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摄像机支架</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壁装支架，适合枪型/筒型/一体型摄像机壁装</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11</w:t>
            </w:r>
            <w:r/>
          </w:p>
        </w:tc>
      </w:tr>
      <w:tr>
        <w:trPr>
          <w:trHeight w:val="55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开关电源</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导轨式；120W;12V DC;</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个</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7</w:t>
            </w:r>
            <w:r/>
          </w:p>
        </w:tc>
      </w:tr>
      <w:tr>
        <w:trPr>
          <w:trHeight w:val="28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硬盘录像机</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硬件规格不低于：</w:t>
            </w:r>
            <w:r/>
          </w:p>
          <w:p>
            <w:pPr>
              <w:rPr>
                <w:rFonts w:ascii="宋体" w:hAnsi="宋体" w:cs="仿宋"/>
                <w:color w:val="auto"/>
                <w:szCs w:val="21"/>
                <w:highlight w:val="none"/>
              </w:rPr>
            </w:pPr>
            <w:r>
              <w:rPr>
                <w:rFonts w:hint="eastAsia" w:ascii="宋体" w:hAnsi="宋体" w:cs="仿宋"/>
                <w:color w:val="auto"/>
                <w:szCs w:val="21"/>
                <w:highlight w:val="none"/>
              </w:rPr>
              <w:t xml:space="preserve">接入路数：32路；</w:t>
            </w:r>
            <w:r/>
          </w:p>
          <w:p>
            <w:pPr>
              <w:rPr>
                <w:rFonts w:ascii="宋体" w:hAnsi="宋体" w:cs="仿宋"/>
                <w:color w:val="auto"/>
                <w:szCs w:val="21"/>
                <w:highlight w:val="none"/>
              </w:rPr>
            </w:pPr>
            <w:r>
              <w:rPr>
                <w:rFonts w:hint="eastAsia" w:ascii="宋体" w:hAnsi="宋体" w:cs="仿宋"/>
                <w:color w:val="auto"/>
                <w:szCs w:val="21"/>
                <w:highlight w:val="none"/>
              </w:rPr>
              <w:t xml:space="preserve">硬盘接口：8个，SATA3.0，单盘最大10T；</w:t>
            </w:r>
            <w:r/>
          </w:p>
          <w:p>
            <w:pPr>
              <w:rPr>
                <w:rFonts w:ascii="宋体" w:hAnsi="宋体" w:cs="仿宋"/>
                <w:color w:val="auto"/>
                <w:szCs w:val="21"/>
                <w:highlight w:val="none"/>
              </w:rPr>
            </w:pPr>
            <w:r>
              <w:rPr>
                <w:rFonts w:hint="eastAsia" w:ascii="宋体" w:hAnsi="宋体" w:cs="仿宋"/>
                <w:color w:val="auto"/>
                <w:szCs w:val="21"/>
                <w:highlight w:val="none"/>
              </w:rPr>
              <w:t xml:space="preserve">HDMI接口：1个，最大支持4K分辨率输出；</w:t>
            </w:r>
            <w:r/>
          </w:p>
          <w:p>
            <w:pPr>
              <w:rPr>
                <w:rFonts w:ascii="宋体" w:hAnsi="宋体" w:cs="仿宋"/>
                <w:color w:val="auto"/>
                <w:szCs w:val="21"/>
                <w:highlight w:val="none"/>
              </w:rPr>
            </w:pPr>
            <w:r>
              <w:rPr>
                <w:rFonts w:hint="eastAsia" w:ascii="宋体" w:hAnsi="宋体" w:cs="仿宋"/>
                <w:color w:val="auto"/>
                <w:szCs w:val="21"/>
                <w:highlight w:val="none"/>
              </w:rPr>
              <w:t xml:space="preserve">VGA接口：1个；</w:t>
            </w:r>
            <w:r/>
          </w:p>
          <w:p>
            <w:pPr>
              <w:rPr>
                <w:rFonts w:ascii="宋体" w:hAnsi="宋体" w:cs="仿宋"/>
                <w:color w:val="auto"/>
                <w:szCs w:val="21"/>
                <w:highlight w:val="none"/>
              </w:rPr>
            </w:pPr>
            <w:r>
              <w:rPr>
                <w:rFonts w:hint="eastAsia" w:ascii="宋体" w:hAnsi="宋体" w:cs="仿宋"/>
                <w:color w:val="auto"/>
                <w:szCs w:val="21"/>
                <w:highlight w:val="none"/>
              </w:rPr>
              <w:t xml:space="preserve">网络接口：2个RJ-45，10/100/1000Mbps自适应以太网口：</w:t>
            </w:r>
            <w:r/>
          </w:p>
          <w:p>
            <w:pPr>
              <w:rPr>
                <w:rFonts w:ascii="宋体" w:hAnsi="宋体" w:cs="仿宋"/>
                <w:color w:val="auto"/>
                <w:szCs w:val="21"/>
                <w:highlight w:val="none"/>
              </w:rPr>
            </w:pPr>
            <w:r>
              <w:rPr>
                <w:rFonts w:hint="eastAsia" w:ascii="宋体" w:hAnsi="宋体" w:cs="仿宋"/>
                <w:color w:val="auto"/>
                <w:szCs w:val="21"/>
                <w:highlight w:val="none"/>
              </w:rPr>
              <w:t xml:space="preserve">操作系统：嵌入式Linux操作系统；</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w:t>
            </w:r>
            <w:r/>
          </w:p>
        </w:tc>
      </w:tr>
      <w:tr>
        <w:trPr>
          <w:trHeight w:val="222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硬盘</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6T内存</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2</w:t>
            </w:r>
            <w:r/>
          </w:p>
        </w:tc>
      </w:tr>
      <w:tr>
        <w:trPr>
          <w:trHeight w:val="28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交换机</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工业级交换机；8口百兆；导轨式；非网管；</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4</w:t>
            </w:r>
            <w:r/>
          </w:p>
        </w:tc>
      </w:tr>
      <w:tr>
        <w:trPr>
          <w:trHeight w:val="28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数据采集器</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数据采集器；2路网口4路RS485串口；1路RS232串口；壁挂式安装；</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台</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3</w:t>
            </w:r>
            <w:r/>
          </w:p>
        </w:tc>
      </w:tr>
      <w:tr>
        <w:trPr>
          <w:trHeight w:val="563"/>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通讯柜</w:t>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rPr>
                <w:rFonts w:ascii="宋体" w:hAnsi="宋体" w:cs="仿宋"/>
                <w:color w:val="auto"/>
                <w:szCs w:val="21"/>
                <w:highlight w:val="none"/>
              </w:rPr>
            </w:pPr>
            <w:r>
              <w:rPr>
                <w:rFonts w:hint="eastAsia" w:ascii="宋体" w:hAnsi="宋体" w:cs="仿宋"/>
                <w:color w:val="auto"/>
                <w:szCs w:val="21"/>
                <w:highlight w:val="none"/>
              </w:rPr>
              <w:t xml:space="preserve">约800（高）*600（宽）*200（深）；壁厚1.5mm</w:t>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jc w:val="center"/>
              <w:rPr>
                <w:rFonts w:ascii="宋体" w:hAnsi="宋体" w:cs="仿宋"/>
                <w:color w:val="auto"/>
                <w:szCs w:val="21"/>
                <w:highlight w:val="none"/>
              </w:rPr>
            </w:pPr>
            <w:r>
              <w:rPr>
                <w:rFonts w:hint="eastAsia" w:ascii="宋体" w:hAnsi="宋体" w:cs="仿宋"/>
                <w:color w:val="auto"/>
                <w:szCs w:val="21"/>
                <w:highlight w:val="none"/>
              </w:rPr>
              <w:t xml:space="preserve">3</w:t>
            </w:r>
            <w:r/>
          </w:p>
        </w:tc>
      </w:tr>
    </w:tbl>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综合监控系统建设功能要求：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（1）远程监测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①支持配电系统运行监测，通过组态界面监测配电柜三相电压、三相电流、有功功率、无功功率、视在功率、功率因数、机房环境温湿度、设备通讯状态、机房视频监控；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②支持中央空调系统运行监测，通过组态界面监测供回水温度、供回水压力、冷冻水供水流量、主机运行状态、水泵运行状态、设备通讯状态、机房视频监控；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③支持锅炉系统运行监测，以图形化形式实现对热源锅炉等设备运行状态数据进行实时监测展示。</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④支持医用气体系统运行监测，以图形化形式实现对医气设备运行状态进行实时监测展示。</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⑤支持生活用水系统运行监测，以图形化形式实现对生活水泵房水箱、水泵等设备运行状态数据进行实时监测展示。</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（2）远程告警：支持在系统运行过程中，当某个设备对象发生告警信息时，实时监控图表上对应图元将进行告警提示（图元动态闪烁）；管理运维人员点击有告警的图元对象，可以对告警对象进行操作。</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（3）信息展示：支持对当前对象的告警条目展示；提供告警信息展示，提供告警处理、确认的操作。</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（4）报表管理：自定义制作报表，选择多个点位数据形成线上巡检表单，数据起始时间、颗粒度、周期都可配置，形成模板后系统可按日、月、自定义报表类型生成报表，报表可预览和导出；</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告警管理：医院运维通过系统基础配置(产生条件、告警等级),生成越限告警、复杂场景告警、特殊事件告警规则，通过采集点位数据状态判断安全风险并产生告警，可查看实时告警、历史告警详情，将分析周期内的告警分类统计；</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（6）联动查询：医院运维通过系统规则配置，可触发单、多个动作或事件，通过特殊场景/事件联动摄像头画面，执行遥控遥调动作、打开指定页面，可在列表中查询联动的记录；</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（7）计划任务：可自定义时间段批量执行遥控、遥调动作，如暖通、照明场景。</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3.3设备管理系统建设</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应在建设期内完成设备管理系统建设，以平台提供的空间设备信息为基础，以维修、巡检、保养等任务流程工作为主线，实现对设备、设施全生命周期管理，建设预防式维护体系以提高运行效率、降低总体维护成本。</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投标人需针对设备管理系统建设进行方案说明，包含系统功能详细设计、流程设计两项内容，以确保方案的可行性。</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设备管理系统功能要求：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（1）配置一套设备编码标准体系，建立医院暖通/空调、供配电、给排水等设备的标准编码，形成设备管理台账，实现对设备的二维码管理；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（2）根据使用人员的不同，展示不同的内容，区分管理人员与业务执行人员；</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（3）支持提供故障报修，自动派单，工单处理，工单验收，工单评价、工单查询分析等功能；</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（4）设备监控集成，支持根据设备告警等级的配置，自动生成工单，并分派人员处理；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（5）可以对运维人员进行排班，支持运维人员查询各自的排班情况；</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（6）具备保养管理功能，可以实现保养分类管理，可以实现保养类型管理，可以实现保养设置管理等。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3.5后勤一站式服务建设</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本项目托管期内，投标人需按照后勤运维的一站式服务模式，包括且不限于建设完善及充分运用一站式巡检、一站式值守的服务模式及管理工具（覆盖电脑端和移动端），通过对机电设备的巡检、保养、工单联动（包括临床的报修联动），实现后勤运维的PDCA闭环管理，以确保机电系统及设备的运行安全、服务满意度目标达成；同时需将后勤运维的实时状态及关键指标如响应及时率、满意度、人员培训等信息通过手机端及时反馈给院方相关领导，便于院方实时掌握后勤运维服务状况。</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依托智慧后勤运营中心，为临床科室提供后勤一站式服务，形成专业的“管家”式服务团队，支持整合不同职能部门的报修服务，实现从报修到服务评价的闭环管理。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（1）支持提供包括电话、APP、小程序等多渠道报修途径；</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（2）支持服务请求、服务执行、服务跟踪、服务考核闭环式的管理流程。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（3）支持综合维修、服务类型工单的统一调度管理与全生命周期管理。工单的全生命周期管理包括新建、派工、挂单、完工、反馈、满意度评价等全流程管理。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（4）支持多层级权限管理。一站式服务平台使用人员分别为临床科室负责人/护士长、维修人员、后勤管理人员等，根据人员类别划分人员权限。</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支持人力管理模块。“人-岗-时”三维度智能匹配，优化任务分派路径，PC端管理后台+移动端APP，全场景覆盖；管理人员根据工作计划通过系统制定巡检任务、维修任务工单并派单，动态调整突发任务，数据驱动人力优化，降低运维成本。</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支持巡检管理模块：实现巡检“线下+线上”动态化管理，采用NFC方式全程追踪巡检人员情况。生成并制作二维码（带NFC功能），张贴于各子空间，通过手持设备在现场进行扫码巡检，对员工进行实时定位。功能包括巡查记录可查询，可以文字、图片格式反馈巡查结果，可查询应巡检条数，已巡检条数，未巡检条数，统计周期内的完成率。</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7）设备全生命周期管理模块：信息化系统可进行设备分类录入，设备保养步骤/频率。设备全生命周期状态及维保记录通过手机端微信查询：包括设备编码、安装时间、总维护次数、维护总工时、运行时间、现价值、设备位置、每次预防性保养及维修记录。</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（8）维修成本数据汇总、分析、报表生成模块：材料管理系统基于二级库房系统化管理，通过物料二维码进行出入库管理，系统可调取每笔消耗的维修物料领用情况，汇总维修材料使用消耗报表。</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9）运维管理模块：特种设备、压力器具、计量器具管理功能。对全院在用的特种设备、压力器具、计量器具进行系统建档登记，具备有效期提醒功能（至少包括器具名称，检定周期、检定时间、状态、预警、报警等）。</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10）权限分配管理模块：供应商须根据医院的管理需求，为医院相关部门及人员创建专属权限账号。明确划分账号权限类型，包括数据查询、修改、导出等功能，确保权限分配符合最小必要原则。同时，定期配合医院进行账号权限审核与调整，保障医院能够安全、便捷地访问和管理系统数据。</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4、智慧后勤运营中心建设</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建设医院智慧管理运营中心，用于智慧管理运营中心机房、大屏展示与客服办公；配置3*3块55寸大屏，可在大屏上呈现个性化配置的指标，例如能耗、设备、告警、工单</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安防</w:t>
      </w:r>
      <w:r>
        <w:rPr>
          <w:rFonts w:hint="eastAsia" w:ascii="宋体" w:hAnsi="宋体"/>
          <w:color w:val="auto"/>
          <w:sz w:val="24"/>
          <w:highlight w:val="none"/>
        </w:rPr>
        <w:t xml:space="preserve">类指标。</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智慧管理运营中心建设目标是建立以患者为中心、以临床一线医护人员为根本的“一站式服务中心”，为运维服务需求进行统一调度、接单、监控、管理及赋能，实现事件接报、任务派发、进度追踪、质量监控、结果评价的闭环式管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具体设计要求如下：</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（1）智慧管理运营中心的服务器，核心交换机等设备，以及应用模块服务器统一安装在机房中。服务器至少配置2台，处理器核心数≥16核，主频≥2.4GHz，内存≥64G。</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（2）运营中心设置LCD展示大屏，屏幕应支持被分成后勤服务、安全监控两部分。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（3）运营中心设置标准操作台，配置2台客户机，供客服人员做数据展示、业务处理等操作。</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（4）机房中设置标准服务器机柜，对智慧管理运营平台及各类子系统服务器配置足够的安装空间。</w:t>
      </w:r>
      <w:r/>
    </w:p>
    <w:p>
      <w:pPr>
        <w:contextualSpacing/>
        <w:ind w:left="-2" w:firstLine="480"/>
        <w:spacing w:line="360" w:lineRule="auto"/>
        <w:tabs>
          <w:tab w:val="left" w:pos="567" w:leader="none"/>
        </w:tabs>
        <w:rPr>
          <w:rFonts w:hint="eastAsia" w:ascii="宋体" w:hAnsi="宋体"/>
          <w:color w:val="auto"/>
          <w:sz w:val="24"/>
          <w:highlight w:val="none"/>
        </w:rPr>
      </w:pPr>
      <w:r>
        <w:rPr>
          <w:rFonts w:hint="eastAsia" w:ascii="宋体" w:hAnsi="宋体"/>
          <w:color w:val="auto"/>
          <w:sz w:val="24"/>
          <w:highlight w:val="none"/>
        </w:rPr>
        <w:t xml:space="preserve">（5）UPS电源容量至少满足60分钟的运行时间，供平台及数据库服务器等配套设备使用。</w:t>
      </w:r>
      <w:r/>
    </w:p>
    <w:p>
      <w:pPr>
        <w:contextualSpacing/>
        <w:ind w:left="-2" w:firstLine="480"/>
        <w:spacing w:line="360" w:lineRule="auto"/>
        <w:tabs>
          <w:tab w:val="left" w:pos="567" w:leader="none"/>
        </w:tabs>
        <w:rPr>
          <w:rFonts w:hint="eastAsia" w:ascii="宋体" w:hAnsi="宋体"/>
          <w:color w:val="auto"/>
          <w:sz w:val="24"/>
          <w:highlight w:val="none"/>
        </w:rPr>
      </w:pPr>
      <w:r>
        <w:rPr>
          <w:rFonts w:hint="eastAsia" w:ascii="宋体" w:hAnsi="宋体"/>
          <w:color w:val="auto"/>
          <w:sz w:val="24"/>
          <w:highlight w:val="none"/>
        </w:rPr>
        <w:t xml:space="preserve">（6）展示墙上配置亚克力板，印刷后勤业务制度与流程。</w:t>
      </w:r>
      <w:r/>
    </w:p>
    <w:p>
      <w:pPr>
        <w:contextualSpacing/>
        <w:ind w:left="-2" w:firstLine="480"/>
        <w:spacing w:line="360" w:lineRule="auto"/>
        <w:tabs>
          <w:tab w:val="left" w:pos="567" w:leader="none"/>
        </w:tabs>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在运维管理期间，中标人应及时升级相关硬件，优化设备性能，以满足平台十年运行周期内的使用要求。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5、施工要求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（1）本项目施工改造的最终清单由中标人负责深化设计，大型机电设备进场前需开展充分调研</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若深化设计涉及原有建筑物结构加固或承载力调整</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须</w:t>
      </w:r>
      <w:r>
        <w:rPr>
          <w:rFonts w:hint="eastAsia" w:ascii="宋体" w:hAnsi="宋体"/>
          <w:color w:val="auto"/>
          <w:sz w:val="24"/>
          <w:highlight w:val="none"/>
          <w:lang w:val="en-US" w:eastAsia="zh-CN"/>
        </w:rPr>
        <w:t xml:space="preserve">提供具备加固资质的</w:t>
      </w:r>
      <w:r>
        <w:rPr>
          <w:rFonts w:hint="eastAsia" w:ascii="宋体" w:hAnsi="宋体"/>
          <w:color w:val="auto"/>
          <w:sz w:val="24"/>
          <w:highlight w:val="none"/>
        </w:rPr>
        <w:t xml:space="preserve">设计单位</w:t>
      </w:r>
      <w:r>
        <w:rPr>
          <w:rFonts w:hint="eastAsia" w:ascii="宋体" w:hAnsi="宋体"/>
          <w:color w:val="auto"/>
          <w:sz w:val="24"/>
          <w:highlight w:val="none"/>
          <w:lang w:eastAsia="zh-CN"/>
        </w:rPr>
        <w:t xml:space="preserve">出具</w:t>
      </w:r>
      <w:r>
        <w:rPr>
          <w:rFonts w:hint="eastAsia" w:ascii="宋体" w:hAnsi="宋体"/>
          <w:color w:val="auto"/>
          <w:sz w:val="24"/>
          <w:highlight w:val="none"/>
        </w:rPr>
        <w:t xml:space="preserve">的确认材料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或当地住建部门出具的施工图审查意见，深化设计方案经采购人确认后方可组织实施。</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（2）由中标人根据现场调研情况，因地制宜，选择技术先进、经济合理的技术或产品，技术或产品要求技术成熟、稳定可靠。改造应在不对医院造成重大影响的情况进行，而且不应影响原有系统的正常运行。</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（3）中标人应认真踏勘现场，了解熟悉工程位置地形、材料储存条件以及与相邻已建环境的关系，以取得一切可能影响投标报价的资料，合理安排组织施工。现场考察期间发生的费用由供应商自理。</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中标人应提出关于施工管理的措施及意见，包括安全、消防、治安保卫、场地清洁、绿化保护、现场管理等对医院节能诊断的基础上编制节能改造方案，改造方案须细致周到，保证安全性，每项改造方案须经医院审核通过后，才能按照方案实施节能改造。方案审核通过后原则上不再对方案进行调整。特别应考虑施工期间安全问题，避免影响医院的正常医疗秩序。中标人进场后，应加强管理，做好安全、文明施工。</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（5）供应商投入的施工机械、材料、人员均应按采购人的内部管理规定进出，并自觉做好相应登记手续。</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（6）施工必要的水、电及材料堆场，由采购人协助解决。</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（7）供应商拟派的施工人员，其食宿问题由供应商自行解决。</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（8）改造建设投入资金由供应商全额承担。</w:t>
      </w:r>
      <w:r/>
    </w:p>
    <w:p>
      <w:pPr>
        <w:contextualSpacing/>
        <w:ind w:left="-2" w:firstLine="480"/>
        <w:spacing w:line="360" w:lineRule="auto"/>
        <w:tabs>
          <w:tab w:val="left" w:pos="567" w:leader="none"/>
        </w:tabs>
        <w:rPr>
          <w:rFonts w:hint="eastAsia" w:ascii="宋体" w:hAnsi="宋体"/>
          <w:color w:val="auto"/>
          <w:sz w:val="24"/>
          <w:highlight w:val="none"/>
        </w:rPr>
      </w:pPr>
      <w:r>
        <w:rPr>
          <w:rFonts w:hint="eastAsia" w:ascii="宋体" w:hAnsi="宋体"/>
          <w:color w:val="auto"/>
          <w:sz w:val="24"/>
          <w:highlight w:val="none"/>
        </w:rPr>
        <w:t xml:space="preserve">（9）改造前与采购人充分沟通，尽量不影响医院空调、锅炉、水电各系统的使用和正常医疗秩序。</w:t>
      </w:r>
      <w:r/>
    </w:p>
    <w:p>
      <w:pPr>
        <w:contextualSpacing/>
        <w:ind w:left="-2" w:firstLine="480"/>
        <w:spacing w:line="360" w:lineRule="auto"/>
        <w:tabs>
          <w:tab w:val="left" w:pos="567" w:leader="none"/>
        </w:tabs>
        <w:rPr>
          <w:rFonts w:hint="eastAsia" w:ascii="宋体" w:hAnsi="宋体" w:eastAsia="宋体"/>
          <w:b w:val="0"/>
          <w:bCs w:val="0"/>
          <w:i w:val="0"/>
          <w:iCs w:val="0"/>
          <w:color w:val="auto"/>
          <w:sz w:val="24"/>
          <w:highlight w:val="none"/>
          <w:lang w:val="en-US" w:eastAsia="zh-CN"/>
        </w:rPr>
      </w:pPr>
      <w:r>
        <w:rPr>
          <w:rFonts w:hint="eastAsia" w:ascii="宋体" w:hAnsi="宋体"/>
          <w:b w:val="0"/>
          <w:bCs w:val="0"/>
          <w:i w:val="0"/>
          <w:iCs w:val="0"/>
          <w:color w:val="auto"/>
          <w:sz w:val="24"/>
          <w:highlight w:val="none"/>
          <w:lang w:eastAsia="zh-CN"/>
        </w:rPr>
        <w:t xml:space="preserve">（</w:t>
      </w:r>
      <w:r>
        <w:rPr>
          <w:rFonts w:hint="eastAsia" w:ascii="宋体" w:hAnsi="宋体"/>
          <w:b w:val="0"/>
          <w:bCs w:val="0"/>
          <w:i w:val="0"/>
          <w:iCs w:val="0"/>
          <w:color w:val="auto"/>
          <w:sz w:val="24"/>
          <w:highlight w:val="none"/>
          <w:lang w:val="en-US" w:eastAsia="zh-CN"/>
        </w:rPr>
        <w:t xml:space="preserve">10）供应商节能改造投入或完成改造的设备，在合同有效期内产生的维护、维修、保养等全部费用，均由供应商承担。</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6、综合能源服务要求</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应提供综合能源服务，安排1名能源经理提供运营服务，服务期限为整个托管期，服务内容包括不限于对招标范围内的系统建设与改造进行监管并持续输出合理的运营策略，并制定相应培训，提供能源计量并定期出具用能分析报告，协助医院对能源系统做运营优化建议，协助医院梳理能源管理流程，为实现医院能源费用的降低和能源高效利用做出支撑。针对本项目投入的技改设备及智慧管理运营平台，投标人提供托管期间的维保服务，负责投资改造内容的运行维护保养，定期对前期投入的节能技改设备进行巡视，保证系统的有效使用。</w:t>
      </w:r>
      <w:r/>
    </w:p>
    <w:p>
      <w:pPr>
        <w:contextualSpacing/>
        <w:ind w:left="-2" w:firstLine="480"/>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投标人需针对综合能源服务进行方案说明，包含且不限于服务工作内容和工作职责、拟投入的人员名单等内容，以确保方案的可行性。</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olor w:val="auto"/>
          <w:sz w:val="24"/>
          <w:highlight w:val="none"/>
        </w:rPr>
        <w:t xml:space="preserve">（四）</w:t>
      </w:r>
      <w:r>
        <w:rPr>
          <w:rFonts w:hint="eastAsia" w:ascii="宋体" w:hAnsi="宋体" w:cs="仿宋"/>
          <w:color w:val="auto"/>
          <w:sz w:val="24"/>
          <w:highlight w:val="none"/>
        </w:rPr>
        <w:t xml:space="preserve">后勤运维托管服务要求</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1、医院后勤运维现状</w:t>
      </w:r>
      <w:r/>
    </w:p>
    <w:p>
      <w:pPr>
        <w:contextualSpacing/>
        <w:ind w:left="-2" w:firstLine="480"/>
        <w:spacing w:line="360" w:lineRule="auto"/>
        <w:tabs>
          <w:tab w:val="left" w:pos="567" w:leader="none"/>
        </w:tabs>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医院现有维修中心、锅炉房（蒸汽锅炉、燃气锅炉）、中央空调、冷却塔、风冷热泵等后勤运维班组。后勤智慧化的一站式报修服务平台、能耗监测系统等后勤信息化系统建设在本次服务范围内</w:t>
      </w:r>
      <w:r>
        <w:rPr>
          <w:rFonts w:hint="eastAsia" w:ascii="宋体" w:hAnsi="宋体" w:cs="仿宋"/>
          <w:color w:val="auto"/>
          <w:sz w:val="24"/>
          <w:highlight w:val="none"/>
          <w:lang w:eastAsia="zh-CN"/>
        </w:rPr>
        <w:t xml:space="preserve">，</w:t>
      </w:r>
      <w:r>
        <w:rPr>
          <w:rFonts w:hint="eastAsia" w:ascii="宋体" w:hAnsi="宋体" w:cs="宋体"/>
          <w:color w:val="auto"/>
          <w:sz w:val="24"/>
          <w:szCs w:val="24"/>
          <w:highlight w:val="none"/>
        </w:rPr>
        <w:t xml:space="preserve">具体清单在</w:t>
      </w:r>
      <w:r>
        <w:rPr>
          <w:rFonts w:hint="eastAsia" w:ascii="宋体" w:hAnsi="宋体" w:cs="宋体"/>
          <w:color w:val="auto"/>
          <w:sz w:val="24"/>
          <w:szCs w:val="24"/>
          <w:highlight w:val="none"/>
          <w:lang w:val="en-US" w:eastAsia="zh-CN"/>
        </w:rPr>
        <w:t xml:space="preserve">进入托管期</w:t>
      </w:r>
      <w:r>
        <w:rPr>
          <w:rFonts w:hint="eastAsia" w:ascii="宋体" w:hAnsi="宋体" w:cs="宋体"/>
          <w:color w:val="auto"/>
          <w:sz w:val="24"/>
          <w:szCs w:val="24"/>
          <w:highlight w:val="none"/>
        </w:rPr>
        <w:t xml:space="preserve">前由双方共同完成建筑、设备、设施及其他相关内容交接，交接清单由双方签字确认。</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2、服务总体要求</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（1）中央空调、冷却塔、风冷热泵、锅炉房的班组值守和维护保养。</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2）保障采购人全院区域的水、电、气等不间断运行，协助打造一站式服务中心，并能使用专业管理软件进行设备运行和维护管理，能对报修等数据进行汇总统计及分析工作，能随时提供采购人需要的数据，给采购人决策进行支持。</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（3）对设备或系统出现重大故障、事故，投标人应合规合法安全妥善处置。做好有关设备故障、事故技术分析，并提交不良事件报告或事故报告，配合相关部门责任认定及事后处理工作。</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（4）投标人加强用能设备管理和能耗管理，能采取科学、有效、合理的节能、节约措施，做好节能运行监测。</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（5）积极配合医院完成各项指令性任务和迎检工作。</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（6）接受采购人工作监督管理，及时落实采购人的整改意见。</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（7）涉及有限空间作业、高处作业、动火作业、电力倒闸操作等危险作业时必须双人双岗，进行有效安全监护。</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（8）投标人保证从事本项目的人员具备相应的职业资格和应有的素质要求。如需调整管理人员及技术骨干应事先书面通报采购人，对采购人提出认为不适合的人员，投标人应作出相应调整。</w:t>
      </w:r>
      <w:r/>
    </w:p>
    <w:p>
      <w:pPr>
        <w:contextualSpacing/>
        <w:ind w:left="-2" w:firstLine="480"/>
        <w:spacing w:line="360" w:lineRule="auto"/>
        <w:tabs>
          <w:tab w:val="left" w:pos="567" w:leader="none"/>
        </w:tabs>
        <w:rPr>
          <w:rFonts w:hint="default" w:ascii="宋体" w:hAnsi="宋体" w:eastAsia="宋体" w:cs="宋体"/>
          <w:b/>
          <w:color w:val="auto"/>
          <w:sz w:val="24"/>
          <w:highlight w:val="none"/>
          <w:lang w:val="en-US" w:eastAsia="zh-CN"/>
        </w:rPr>
      </w:pPr>
      <w:r>
        <w:rPr>
          <w:rFonts w:hint="eastAsia" w:ascii="宋体" w:hAnsi="宋体" w:cs="仿宋"/>
          <w:color w:val="auto"/>
          <w:sz w:val="24"/>
          <w:highlight w:val="none"/>
        </w:rPr>
        <w:t xml:space="preserve">3、后勤运维托管服务</w:t>
      </w:r>
      <w:r>
        <w:rPr>
          <w:rFonts w:hint="eastAsia" w:ascii="宋体" w:hAnsi="宋体" w:cs="仿宋"/>
          <w:color w:val="auto"/>
          <w:sz w:val="24"/>
          <w:highlight w:val="none"/>
          <w:lang w:val="en-US" w:eastAsia="zh-CN"/>
        </w:rPr>
        <w:t xml:space="preserve">形式：针对设备产权归属医院的，采取半包形式</w:t>
      </w:r>
      <w:r>
        <w:rPr>
          <w:rFonts w:hint="eastAsia" w:ascii="宋体" w:hAnsi="宋体" w:cs="仿宋"/>
          <w:color w:val="auto"/>
          <w:sz w:val="24"/>
          <w:highlight w:val="none"/>
        </w:rPr>
        <w:t xml:space="preserve">，即中标人</w:t>
      </w:r>
      <w:r>
        <w:rPr>
          <w:rFonts w:hint="eastAsia" w:ascii="宋体" w:hAnsi="宋体" w:cs="仿宋"/>
          <w:color w:val="auto"/>
          <w:sz w:val="24"/>
          <w:highlight w:val="none"/>
          <w:lang w:val="en-US" w:eastAsia="zh-CN"/>
        </w:rPr>
        <w:t xml:space="preserve">承担设备维护保养维修所涉及的人</w:t>
      </w:r>
      <w:r>
        <w:rPr>
          <w:rFonts w:hint="eastAsia" w:ascii="宋体" w:hAnsi="宋体" w:cs="仿宋"/>
          <w:color w:val="auto"/>
          <w:sz w:val="24"/>
          <w:highlight w:val="none"/>
        </w:rPr>
        <w:t xml:space="preserve">工</w:t>
      </w:r>
      <w:r>
        <w:rPr>
          <w:rFonts w:hint="eastAsia" w:ascii="宋体" w:hAnsi="宋体" w:cs="仿宋"/>
          <w:color w:val="auto"/>
          <w:sz w:val="24"/>
          <w:highlight w:val="none"/>
          <w:lang w:val="en-US" w:eastAsia="zh-CN"/>
        </w:rPr>
        <w:t xml:space="preserve">费用</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采购人承担维修</w:t>
      </w:r>
      <w:r>
        <w:rPr>
          <w:rFonts w:hint="eastAsia" w:ascii="宋体" w:hAnsi="宋体" w:cs="仿宋"/>
          <w:color w:val="auto"/>
          <w:sz w:val="24"/>
          <w:highlight w:val="none"/>
          <w:lang w:val="en-US" w:eastAsia="zh-CN"/>
        </w:rPr>
        <w:t xml:space="preserve">涉及的</w:t>
      </w:r>
      <w:r>
        <w:rPr>
          <w:rFonts w:hint="eastAsia" w:ascii="宋体" w:hAnsi="宋体" w:cs="仿宋"/>
          <w:color w:val="auto"/>
          <w:sz w:val="24"/>
          <w:highlight w:val="none"/>
        </w:rPr>
        <w:t xml:space="preserve">备件</w:t>
      </w:r>
      <w:r>
        <w:rPr>
          <w:rFonts w:hint="eastAsia" w:ascii="宋体" w:hAnsi="宋体" w:cs="仿宋"/>
          <w:color w:val="auto"/>
          <w:sz w:val="24"/>
          <w:highlight w:val="none"/>
          <w:lang w:val="en-US" w:eastAsia="zh-CN"/>
        </w:rPr>
        <w:t xml:space="preserve">更换</w:t>
      </w:r>
      <w:r>
        <w:rPr>
          <w:rFonts w:hint="eastAsia" w:ascii="宋体" w:hAnsi="宋体" w:cs="仿宋"/>
          <w:color w:val="auto"/>
          <w:sz w:val="24"/>
          <w:highlight w:val="none"/>
        </w:rPr>
        <w:t xml:space="preserve">及材料费</w:t>
      </w:r>
      <w:r>
        <w:rPr>
          <w:rFonts w:hint="eastAsia" w:ascii="宋体" w:hAnsi="宋体" w:cs="仿宋"/>
          <w:color w:val="auto"/>
          <w:sz w:val="24"/>
          <w:highlight w:val="none"/>
          <w:lang w:val="en-US" w:eastAsia="zh-CN"/>
        </w:rPr>
        <w:t xml:space="preserve">用</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lang w:val="en-US" w:eastAsia="zh-CN"/>
        </w:rPr>
        <w:t xml:space="preserve">针对设备产权归属供应商的，采取全保形式，即中标人承担设备维护保养维修所涉及的人</w:t>
      </w:r>
      <w:r>
        <w:rPr>
          <w:rFonts w:hint="eastAsia" w:ascii="宋体" w:hAnsi="宋体" w:cs="仿宋"/>
          <w:color w:val="auto"/>
          <w:sz w:val="24"/>
          <w:highlight w:val="none"/>
        </w:rPr>
        <w:t xml:space="preserve">工</w:t>
      </w:r>
      <w:r>
        <w:rPr>
          <w:rFonts w:hint="eastAsia" w:ascii="宋体" w:hAnsi="宋体" w:cs="仿宋"/>
          <w:color w:val="auto"/>
          <w:sz w:val="24"/>
          <w:highlight w:val="none"/>
          <w:lang w:val="en-US" w:eastAsia="zh-CN"/>
        </w:rPr>
        <w:t xml:space="preserve">费用和</w:t>
      </w:r>
      <w:r>
        <w:rPr>
          <w:rFonts w:hint="eastAsia" w:ascii="宋体" w:hAnsi="宋体" w:cs="仿宋"/>
          <w:color w:val="auto"/>
          <w:sz w:val="24"/>
          <w:highlight w:val="none"/>
        </w:rPr>
        <w:t xml:space="preserve">维修</w:t>
      </w:r>
      <w:r>
        <w:rPr>
          <w:rFonts w:hint="eastAsia" w:ascii="宋体" w:hAnsi="宋体" w:cs="仿宋"/>
          <w:color w:val="auto"/>
          <w:sz w:val="24"/>
          <w:highlight w:val="none"/>
          <w:lang w:val="en-US" w:eastAsia="zh-CN"/>
        </w:rPr>
        <w:t xml:space="preserve">涉及的</w:t>
      </w:r>
      <w:r>
        <w:rPr>
          <w:rFonts w:hint="eastAsia" w:ascii="宋体" w:hAnsi="宋体" w:cs="仿宋"/>
          <w:color w:val="auto"/>
          <w:sz w:val="24"/>
          <w:highlight w:val="none"/>
        </w:rPr>
        <w:t xml:space="preserve">备件</w:t>
      </w:r>
      <w:r>
        <w:rPr>
          <w:rFonts w:hint="eastAsia" w:ascii="宋体" w:hAnsi="宋体" w:cs="仿宋"/>
          <w:color w:val="auto"/>
          <w:sz w:val="24"/>
          <w:highlight w:val="none"/>
          <w:lang w:val="en-US" w:eastAsia="zh-CN"/>
        </w:rPr>
        <w:t xml:space="preserve">更换</w:t>
      </w:r>
      <w:r>
        <w:rPr>
          <w:rFonts w:hint="eastAsia" w:ascii="宋体" w:hAnsi="宋体" w:cs="仿宋"/>
          <w:color w:val="auto"/>
          <w:sz w:val="24"/>
          <w:highlight w:val="none"/>
        </w:rPr>
        <w:t xml:space="preserve">及材料费</w:t>
      </w:r>
      <w:r>
        <w:rPr>
          <w:rFonts w:hint="eastAsia" w:ascii="宋体" w:hAnsi="宋体" w:cs="仿宋"/>
          <w:color w:val="auto"/>
          <w:sz w:val="24"/>
          <w:highlight w:val="none"/>
          <w:lang w:val="en-US" w:eastAsia="zh-CN"/>
        </w:rPr>
        <w:t xml:space="preserve">用。</w:t>
      </w:r>
      <w:r/>
    </w:p>
    <w:p>
      <w:pPr>
        <w:contextualSpacing/>
        <w:ind w:left="-2" w:firstLine="482"/>
        <w:spacing w:line="360" w:lineRule="auto"/>
        <w:tabs>
          <w:tab w:val="left" w:pos="567" w:leader="none"/>
        </w:tabs>
        <w:rPr>
          <w:rFonts w:ascii="宋体" w:hAnsi="宋体" w:cs="宋体"/>
          <w:b/>
          <w:color w:val="auto"/>
          <w:sz w:val="24"/>
          <w:highlight w:val="none"/>
        </w:rPr>
      </w:pPr>
      <w:r>
        <w:rPr>
          <w:rFonts w:hint="eastAsia" w:ascii="宋体" w:hAnsi="宋体" w:cs="宋体"/>
          <w:b/>
          <w:color w:val="auto"/>
          <w:sz w:val="24"/>
          <w:highlight w:val="none"/>
        </w:rPr>
        <w:t xml:space="preserve">注：①日常维修工具、维修辅材(如:胶水、电工胶带、螺丝、润滑油、扎带)等相关费用由中标人承担；</w:t>
      </w:r>
      <w:r/>
    </w:p>
    <w:p>
      <w:pPr>
        <w:contextualSpacing/>
        <w:ind w:left="-2" w:firstLine="482"/>
        <w:spacing w:line="360" w:lineRule="auto"/>
        <w:tabs>
          <w:tab w:val="left" w:pos="567" w:leader="none"/>
        </w:tabs>
        <w:rPr>
          <w:rFonts w:ascii="宋体" w:hAnsi="宋体" w:cs="宋体"/>
          <w:b/>
          <w:color w:val="auto"/>
          <w:sz w:val="24"/>
          <w:highlight w:val="none"/>
        </w:rPr>
      </w:pPr>
      <w:r>
        <w:rPr>
          <w:rFonts w:hint="eastAsia" w:ascii="宋体" w:hAnsi="宋体" w:cs="宋体"/>
          <w:b/>
          <w:color w:val="auto"/>
          <w:sz w:val="24"/>
          <w:highlight w:val="none"/>
        </w:rPr>
        <w:t xml:space="preserve">②</w:t>
      </w:r>
      <w:r>
        <w:rPr>
          <w:rFonts w:hint="eastAsia" w:ascii="宋体" w:hAnsi="宋体" w:cs="仿宋"/>
          <w:b/>
          <w:bCs/>
          <w:color w:val="auto"/>
          <w:sz w:val="24"/>
          <w:highlight w:val="none"/>
          <w:lang w:val="en-US" w:eastAsia="zh-CN"/>
        </w:rPr>
        <w:t xml:space="preserve">针对设备产权归属医院的（医院不在此次技改范围内的设施设备），</w:t>
      </w:r>
      <w:r>
        <w:rPr>
          <w:rFonts w:hint="eastAsia" w:ascii="宋体" w:hAnsi="宋体" w:cs="宋体"/>
          <w:b/>
          <w:color w:val="auto"/>
          <w:sz w:val="24"/>
          <w:highlight w:val="none"/>
        </w:rPr>
        <w:t xml:space="preserve">维修备件及材料由采购人提供，中标人按需领用</w:t>
      </w:r>
      <w:r>
        <w:rPr>
          <w:rFonts w:hint="eastAsia" w:ascii="宋体" w:hAnsi="宋体" w:cs="宋体"/>
          <w:b/>
          <w:color w:val="auto"/>
          <w:sz w:val="24"/>
          <w:highlight w:val="none"/>
          <w:lang w:val="en-US" w:eastAsia="zh-CN"/>
        </w:rPr>
        <w:t xml:space="preserve">维修</w:t>
      </w:r>
      <w:r>
        <w:rPr>
          <w:rFonts w:hint="eastAsia" w:ascii="宋体" w:hAnsi="宋体" w:cs="宋体"/>
          <w:b/>
          <w:color w:val="auto"/>
          <w:sz w:val="24"/>
          <w:highlight w:val="none"/>
        </w:rPr>
        <w:t xml:space="preserve">并做好台账。</w:t>
      </w:r>
      <w:r/>
    </w:p>
    <w:p>
      <w:pPr>
        <w:contextualSpacing/>
        <w:ind w:left="-2" w:firstLine="482"/>
        <w:spacing w:line="360" w:lineRule="auto"/>
        <w:tabs>
          <w:tab w:val="left" w:pos="567" w:leader="none"/>
        </w:tabs>
        <w:rPr>
          <w:rFonts w:ascii="宋体" w:hAnsi="宋体" w:cs="宋体"/>
          <w:b/>
          <w:color w:val="auto"/>
          <w:sz w:val="24"/>
          <w:highlight w:val="none"/>
        </w:rPr>
      </w:pPr>
      <w:r>
        <w:rPr>
          <w:rFonts w:hint="eastAsia" w:ascii="宋体" w:hAnsi="宋体" w:cs="宋体"/>
          <w:b/>
          <w:color w:val="auto"/>
          <w:sz w:val="24"/>
          <w:highlight w:val="none"/>
        </w:rPr>
        <w:t xml:space="preserve">★4、运维人员配置要求</w:t>
      </w:r>
      <w:r/>
    </w:p>
    <w:p>
      <w:pPr>
        <w:contextualSpacing/>
        <w:ind w:left="-2" w:firstLine="482"/>
        <w:spacing w:line="360" w:lineRule="auto"/>
        <w:tabs>
          <w:tab w:val="left" w:pos="567" w:leader="none"/>
        </w:tabs>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rPr>
        <w:t xml:space="preserve">投标人应对本项目全部情况进行充分的现场踏助，并针对本项目自行测算，包含不同工种配置及人数。且项目包含全年365天7*24小时不间断服务。运维保障团队不少于14人，其中</w:t>
      </w:r>
      <w:r>
        <w:rPr>
          <w:rFonts w:hint="eastAsia" w:ascii="宋体" w:hAnsi="宋体" w:cs="宋体"/>
          <w:b/>
          <w:color w:val="auto"/>
          <w:sz w:val="24"/>
          <w:highlight w:val="none"/>
          <w:lang w:val="en-US" w:eastAsia="zh-CN"/>
        </w:rPr>
        <w:t xml:space="preserve">运维经理1人（常白班），</w:t>
      </w:r>
      <w:r>
        <w:rPr>
          <w:rFonts w:hint="eastAsia" w:ascii="宋体" w:hAnsi="宋体" w:cs="宋体"/>
          <w:b/>
          <w:color w:val="auto"/>
          <w:sz w:val="24"/>
          <w:highlight w:val="none"/>
          <w:lang w:val="en-US"/>
        </w:rPr>
        <w:t xml:space="preserve">机房值守人员不少于4人</w:t>
      </w:r>
      <w:r>
        <w:rPr>
          <w:rFonts w:hint="eastAsia" w:ascii="宋体" w:hAnsi="宋体" w:cs="宋体"/>
          <w:b/>
          <w:color w:val="auto"/>
          <w:sz w:val="24"/>
          <w:highlight w:val="none"/>
          <w:lang w:val="en-US" w:eastAsia="zh-CN"/>
        </w:rPr>
        <w:t xml:space="preserve">（24小时值班）</w:t>
      </w:r>
      <w:r>
        <w:rPr>
          <w:rFonts w:hint="eastAsia" w:ascii="宋体" w:hAnsi="宋体" w:cs="宋体"/>
          <w:b/>
          <w:color w:val="auto"/>
          <w:sz w:val="24"/>
          <w:highlight w:val="none"/>
          <w:lang w:val="en-US"/>
        </w:rPr>
        <w:t xml:space="preserve">，综合维修不少于</w:t>
      </w:r>
      <w:r>
        <w:rPr>
          <w:rFonts w:hint="eastAsia" w:ascii="宋体" w:hAnsi="宋体" w:cs="仿宋"/>
          <w:b/>
          <w:bCs/>
          <w:color w:val="auto"/>
          <w:sz w:val="24"/>
          <w:highlight w:val="none"/>
          <w:lang w:val="en-US" w:eastAsia="zh-CN"/>
        </w:rPr>
        <w:t xml:space="preserve">9人</w:t>
      </w:r>
      <w:r>
        <w:rPr>
          <w:rFonts w:hint="eastAsia" w:ascii="宋体" w:hAnsi="宋体" w:cs="仿宋"/>
          <w:color w:val="auto"/>
          <w:sz w:val="24"/>
          <w:highlight w:val="none"/>
          <w:lang w:val="en-US" w:eastAsia="zh-CN"/>
        </w:rPr>
        <w:t xml:space="preserve">。运维团队中至少5人具有电工证，1人具有锅炉司炉证、1人具有水处理证，其余特种设备使用须配备相应的资格证书。（投标人中标后，按上述人员要求配备团队人员，进场前提供团队人员名单和人员证书给采购人审核，未按上述要求配备人员的，采购人有权终止合同并追究其违约责任。）</w:t>
      </w:r>
      <w:r/>
    </w:p>
    <w:p>
      <w:pPr>
        <w:contextualSpacing/>
        <w:ind w:left="-2" w:firstLine="482"/>
        <w:spacing w:line="360" w:lineRule="auto"/>
        <w:tabs>
          <w:tab w:val="left" w:pos="567" w:leader="none"/>
        </w:tabs>
        <w:rPr>
          <w:rFonts w:ascii="宋体" w:hAnsi="宋体" w:cs="宋体"/>
          <w:b/>
          <w:color w:val="auto"/>
          <w:sz w:val="24"/>
          <w:highlight w:val="none"/>
        </w:rPr>
      </w:pPr>
      <w:r>
        <w:rPr>
          <w:rFonts w:ascii="宋体" w:hAnsi="宋体" w:cs="宋体"/>
          <w:b/>
          <w:color w:val="auto"/>
          <w:sz w:val="24"/>
          <w:highlight w:val="none"/>
        </w:rPr>
        <w:t xml:space="preserve">具体人员配置如下：</w:t>
      </w:r>
      <w:r/>
    </w:p>
    <w:tbl>
      <w:tblPr>
        <w:tblStyle w:val="104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72"/>
        <w:gridCol w:w="629"/>
        <w:gridCol w:w="771"/>
        <w:gridCol w:w="681"/>
        <w:gridCol w:w="960"/>
        <w:gridCol w:w="749"/>
        <w:gridCol w:w="1095"/>
        <w:gridCol w:w="3171"/>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b/>
                <w:color w:val="auto"/>
                <w:highlight w:val="none"/>
              </w:rPr>
            </w:pPr>
            <w:r>
              <w:rPr>
                <w:rFonts w:hint="eastAsia"/>
                <w:b/>
                <w:color w:val="auto"/>
                <w:highlight w:val="none"/>
              </w:rPr>
              <w:t xml:space="preserve">序号</w:t>
            </w:r>
            <w:r/>
          </w:p>
        </w:tc>
        <w:tc>
          <w:tcPr>
            <w:shd w:val="clear" w:color="auto" w:fill="ffffff"/>
            <w:tcBorders>
              <w:top w:val="singl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b/>
                <w:color w:val="auto"/>
                <w:highlight w:val="none"/>
              </w:rPr>
            </w:pPr>
            <w:r>
              <w:rPr>
                <w:rFonts w:hint="eastAsia"/>
                <w:b/>
                <w:color w:val="auto"/>
                <w:highlight w:val="none"/>
              </w:rPr>
              <w:t xml:space="preserve">岗位</w:t>
            </w:r>
            <w:r/>
          </w:p>
        </w:tc>
        <w:tc>
          <w:tcPr>
            <w:shd w:val="clear" w:color="auto" w:fill="ffffff"/>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jc w:val="center"/>
              <w:rPr>
                <w:b/>
                <w:color w:val="auto"/>
                <w:highlight w:val="none"/>
              </w:rPr>
            </w:pPr>
            <w:r>
              <w:rPr>
                <w:rFonts w:hint="eastAsia"/>
                <w:b/>
                <w:color w:val="auto"/>
                <w:highlight w:val="none"/>
              </w:rPr>
              <w:t xml:space="preserve">人数</w:t>
            </w:r>
            <w:r/>
          </w:p>
        </w:tc>
        <w:tc>
          <w:tcPr>
            <w:shd w:val="clear" w:color="auto" w:fill="ffffff"/>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jc w:val="center"/>
              <w:rPr>
                <w:b/>
                <w:color w:val="auto"/>
                <w:highlight w:val="none"/>
              </w:rPr>
            </w:pPr>
            <w:r>
              <w:rPr>
                <w:rFonts w:hint="eastAsia"/>
                <w:b/>
                <w:color w:val="auto"/>
                <w:highlight w:val="none"/>
              </w:rPr>
              <w:t xml:space="preserve">性别</w:t>
            </w:r>
            <w:r/>
          </w:p>
        </w:tc>
        <w:tc>
          <w:tcPr>
            <w:shd w:val="clear" w:color="auto" w:fill="ffffff"/>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rPr>
                <w:b/>
                <w:color w:val="auto"/>
                <w:highlight w:val="none"/>
              </w:rPr>
            </w:pPr>
            <w:r>
              <w:rPr>
                <w:rFonts w:hint="eastAsia"/>
                <w:b/>
                <w:color w:val="auto"/>
                <w:highlight w:val="none"/>
              </w:rPr>
              <w:t xml:space="preserve">年龄</w:t>
            </w:r>
            <w:r/>
          </w:p>
        </w:tc>
        <w:tc>
          <w:tcPr>
            <w:shd w:val="clear" w:color="auto" w:fill="ffffff"/>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jc w:val="center"/>
              <w:rPr>
                <w:b/>
                <w:color w:val="auto"/>
                <w:highlight w:val="none"/>
              </w:rPr>
            </w:pPr>
            <w:r>
              <w:rPr>
                <w:rFonts w:hint="eastAsia"/>
                <w:b/>
                <w:color w:val="auto"/>
                <w:highlight w:val="none"/>
              </w:rPr>
              <w:t xml:space="preserve">学历</w:t>
            </w:r>
            <w:r/>
          </w:p>
        </w:tc>
        <w:tc>
          <w:tcPr>
            <w:shd w:val="clear" w:color="auto" w:fill="ffffff"/>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rPr>
                <w:b/>
                <w:color w:val="auto"/>
                <w:highlight w:val="none"/>
              </w:rPr>
            </w:pPr>
            <w:r>
              <w:rPr>
                <w:rFonts w:hint="eastAsia"/>
                <w:b/>
                <w:color w:val="auto"/>
                <w:highlight w:val="none"/>
              </w:rPr>
              <w:t xml:space="preserve">专业技能</w:t>
            </w:r>
            <w:r/>
          </w:p>
        </w:tc>
        <w:tc>
          <w:tcPr>
            <w:shd w:val="clear" w:color="auto" w:fill="ffffff"/>
            <w:tcBorders>
              <w:top w:val="single" w:color="000000" w:sz="4" w:space="0"/>
              <w:left w:val="none" w:color="000000" w:sz="4" w:space="0"/>
              <w:bottom w:val="single" w:color="000000" w:sz="4" w:space="0"/>
              <w:right w:val="single" w:color="000000" w:sz="4" w:space="0"/>
            </w:tcBorders>
            <w:tcW w:w="3171" w:type="dxa"/>
            <w:vAlign w:val="center"/>
            <w:textDirection w:val="lrTb"/>
            <w:noWrap w:val="false"/>
          </w:tcPr>
          <w:p>
            <w:pPr>
              <w:jc w:val="center"/>
              <w:rPr>
                <w:b/>
                <w:color w:val="auto"/>
                <w:highlight w:val="none"/>
              </w:rPr>
            </w:pPr>
            <w:r>
              <w:rPr>
                <w:rFonts w:hint="eastAsia"/>
                <w:b/>
                <w:color w:val="auto"/>
                <w:highlight w:val="none"/>
              </w:rPr>
              <w:t xml:space="preserve">服务要求</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color w:val="auto"/>
                <w:highlight w:val="none"/>
              </w:rPr>
            </w:pPr>
            <w:r>
              <w:rPr>
                <w:rFonts w:hint="eastAsia"/>
                <w:color w:val="auto"/>
                <w:highlight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color w:val="auto"/>
                <w:highlight w:val="none"/>
              </w:rPr>
            </w:pPr>
            <w:r>
              <w:rPr>
                <w:rFonts w:hint="eastAsia"/>
                <w:color w:val="auto"/>
                <w:highlight w:val="none"/>
              </w:rPr>
              <w:t xml:space="preserve">运维</w:t>
            </w:r>
            <w:r/>
          </w:p>
          <w:p>
            <w:pPr>
              <w:jc w:val="center"/>
              <w:rPr>
                <w:color w:val="auto"/>
                <w:highlight w:val="none"/>
              </w:rPr>
            </w:pPr>
            <w:r>
              <w:rPr>
                <w:rFonts w:hint="eastAsia"/>
                <w:color w:val="auto"/>
                <w:highlight w:val="none"/>
              </w:rPr>
              <w:t xml:space="preserve">经理</w:t>
            </w:r>
            <w:r/>
          </w:p>
        </w:tc>
        <w:tc>
          <w:tcPr>
            <w:shd w:val="clear" w:color="auto" w:fill="ffffff"/>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1（不可兼任）</w:t>
            </w:r>
            <w:r/>
          </w:p>
        </w:tc>
        <w:tc>
          <w:tcPr>
            <w:shd w:val="clear" w:color="auto" w:fill="ffffff"/>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jc w:val="center"/>
              <w:rPr>
                <w:color w:val="auto"/>
                <w:highlight w:val="none"/>
              </w:rPr>
            </w:pPr>
            <w:r>
              <w:rPr>
                <w:rFonts w:hint="eastAsia"/>
                <w:color w:val="auto"/>
                <w:highlight w:val="none"/>
              </w:rPr>
              <w:t xml:space="preserve">男</w:t>
            </w:r>
            <w:r/>
          </w:p>
        </w:tc>
        <w:tc>
          <w:tcPr>
            <w:shd w:val="clear" w:color="auto" w:fill="ffffff"/>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rPr>
                <w:color w:val="auto"/>
                <w:highlight w:val="none"/>
              </w:rPr>
            </w:pPr>
            <w:r>
              <w:rPr>
                <w:rFonts w:hint="eastAsia"/>
                <w:color w:val="auto"/>
                <w:highlight w:val="none"/>
              </w:rPr>
              <w:t xml:space="preserve">50周岁以下</w:t>
            </w:r>
            <w:r/>
          </w:p>
        </w:tc>
        <w:tc>
          <w:tcPr>
            <w:shd w:val="clear" w:color="auto" w:fill="ffffff"/>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jc w:val="center"/>
              <w:rPr>
                <w:color w:val="auto"/>
                <w:highlight w:val="none"/>
              </w:rPr>
            </w:pPr>
            <w:r>
              <w:rPr>
                <w:rFonts w:hint="eastAsia"/>
                <w:color w:val="auto"/>
                <w:highlight w:val="none"/>
              </w:rPr>
              <w:t xml:space="preserve">专科及以上学历</w:t>
            </w:r>
            <w:r/>
          </w:p>
        </w:tc>
        <w:tc>
          <w:tcPr>
            <w:shd w:val="clear" w:color="auto" w:fill="ffffff"/>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left"/>
              <w:rPr>
                <w:color w:val="auto"/>
                <w:highlight w:val="none"/>
              </w:rPr>
            </w:pPr>
            <w:r>
              <w:rPr>
                <w:rFonts w:hint="eastAsia"/>
                <w:color w:val="auto"/>
                <w:highlight w:val="none"/>
              </w:rPr>
              <w:t xml:space="preserve">5年以上管理经验</w:t>
            </w:r>
            <w:r/>
          </w:p>
        </w:tc>
        <w:tc>
          <w:tcPr>
            <w:shd w:val="clear" w:color="auto" w:fill="ffffff"/>
            <w:tcBorders>
              <w:top w:val="single" w:color="000000" w:sz="4" w:space="0"/>
              <w:left w:val="none" w:color="000000" w:sz="4" w:space="0"/>
              <w:bottom w:val="single" w:color="000000" w:sz="4" w:space="0"/>
              <w:right w:val="single" w:color="000000" w:sz="4" w:space="0"/>
            </w:tcBorders>
            <w:tcW w:w="3171" w:type="dxa"/>
            <w:vAlign w:val="center"/>
            <w:textDirection w:val="lrTb"/>
            <w:noWrap w:val="false"/>
          </w:tcPr>
          <w:p>
            <w:pPr>
              <w:jc w:val="left"/>
              <w:rPr>
                <w:color w:val="auto"/>
                <w:highlight w:val="none"/>
              </w:rPr>
            </w:pPr>
            <w:r>
              <w:rPr>
                <w:rFonts w:hint="eastAsia"/>
                <w:color w:val="auto"/>
                <w:highlight w:val="none"/>
              </w:rPr>
              <w:t xml:space="preserve">1、整个团队的管理、运营建设</w:t>
            </w:r>
            <w:r/>
          </w:p>
          <w:p>
            <w:pPr>
              <w:jc w:val="left"/>
              <w:rPr>
                <w:color w:val="auto"/>
                <w:highlight w:val="none"/>
              </w:rPr>
            </w:pPr>
            <w:r>
              <w:rPr>
                <w:rFonts w:hint="eastAsia"/>
                <w:color w:val="auto"/>
                <w:highlight w:val="none"/>
              </w:rPr>
              <w:t xml:space="preserve">2、项目改造、运行方案制定，提供规范优质后勤运维服务，负责对内部门、对外单位及用户的工作沟通</w:t>
            </w:r>
            <w:r/>
          </w:p>
          <w:p>
            <w:pPr>
              <w:jc w:val="left"/>
              <w:rPr>
                <w:color w:val="auto"/>
                <w:highlight w:val="none"/>
              </w:rPr>
            </w:pPr>
            <w:r>
              <w:rPr>
                <w:rFonts w:hint="eastAsia"/>
                <w:color w:val="auto"/>
                <w:highlight w:val="none"/>
              </w:rPr>
              <w:t xml:space="preserve">3、日常运行值班计划的制订与执行；月度、季度、年度的维保计划制定与执行</w:t>
            </w:r>
            <w:r/>
          </w:p>
          <w:p>
            <w:pPr>
              <w:jc w:val="left"/>
              <w:rPr>
                <w:color w:val="auto"/>
                <w:highlight w:val="none"/>
              </w:rPr>
            </w:pPr>
            <w:r>
              <w:rPr>
                <w:rFonts w:hint="eastAsia"/>
                <w:color w:val="auto"/>
                <w:highlight w:val="none"/>
              </w:rPr>
              <w:t xml:space="preserve">4、项目运营人员培训、学习</w:t>
            </w:r>
            <w:r/>
          </w:p>
          <w:p>
            <w:pPr>
              <w:jc w:val="left"/>
              <w:rPr>
                <w:color w:val="auto"/>
                <w:highlight w:val="none"/>
              </w:rPr>
            </w:pPr>
            <w:r>
              <w:rPr>
                <w:rFonts w:hint="eastAsia"/>
                <w:color w:val="auto"/>
                <w:highlight w:val="none"/>
              </w:rPr>
              <w:t xml:space="preserve">5、编制项目应急预案，负责现场应急维修的管理与处置等</w:t>
            </w:r>
            <w:r/>
          </w:p>
          <w:p>
            <w:pPr>
              <w:jc w:val="left"/>
              <w:rPr>
                <w:color w:val="auto"/>
                <w:highlight w:val="none"/>
              </w:rPr>
            </w:pPr>
            <w:r>
              <w:rPr>
                <w:rFonts w:hint="eastAsia"/>
                <w:color w:val="auto"/>
                <w:highlight w:val="none"/>
              </w:rPr>
              <w:t xml:space="preserve">6、负责项目能耗分析、成本控制、能效监控、能耗异常提醒，反馈汇报用户等相关工作</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color w:val="auto"/>
                <w:highlight w:val="none"/>
              </w:rPr>
            </w:pPr>
            <w:r>
              <w:rPr>
                <w:rFonts w:hint="eastAsia"/>
                <w:color w:val="auto"/>
                <w:highlight w:val="none"/>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color w:val="auto"/>
                <w:highlight w:val="none"/>
              </w:rPr>
            </w:pPr>
            <w:r>
              <w:rPr>
                <w:rFonts w:hint="eastAsia"/>
                <w:color w:val="auto"/>
                <w:highlight w:val="none"/>
              </w:rPr>
              <w:t xml:space="preserve">机房</w:t>
            </w:r>
            <w:r/>
          </w:p>
          <w:p>
            <w:pPr>
              <w:jc w:val="center"/>
              <w:rPr>
                <w:color w:val="auto"/>
                <w:highlight w:val="none"/>
              </w:rPr>
            </w:pPr>
            <w:r>
              <w:rPr>
                <w:rFonts w:hint="eastAsia"/>
                <w:color w:val="auto"/>
                <w:highlight w:val="none"/>
              </w:rPr>
              <w:t xml:space="preserve">值守</w:t>
            </w:r>
            <w:r/>
          </w:p>
        </w:tc>
        <w:tc>
          <w:tcPr>
            <w:shd w:val="clear" w:color="auto" w:fill="ffffff"/>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jc w:val="center"/>
              <w:rPr>
                <w:color w:val="auto"/>
                <w:highlight w:val="none"/>
              </w:rPr>
            </w:pPr>
            <w:r>
              <w:rPr>
                <w:rFonts w:hint="eastAsia"/>
                <w:color w:val="auto"/>
                <w:highlight w:val="none"/>
              </w:rPr>
              <w:t xml:space="preserve">不限</w:t>
            </w:r>
            <w:r/>
          </w:p>
        </w:tc>
        <w:tc>
          <w:tcPr>
            <w:shd w:val="clear" w:color="auto" w:fill="ffffff"/>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rPr>
                <w:color w:val="auto"/>
                <w:highlight w:val="none"/>
              </w:rPr>
            </w:pPr>
            <w:r>
              <w:rPr>
                <w:rFonts w:hint="eastAsia"/>
                <w:color w:val="auto"/>
                <w:highlight w:val="none"/>
              </w:rPr>
              <w:t xml:space="preserve">平均55 岁以下</w:t>
            </w:r>
            <w:r/>
          </w:p>
        </w:tc>
        <w:tc>
          <w:tcPr>
            <w:shd w:val="clear" w:color="auto" w:fill="ffffff"/>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jc w:val="center"/>
              <w:rPr>
                <w:color w:val="auto"/>
                <w:highlight w:val="none"/>
              </w:rPr>
            </w:pPr>
            <w:r>
              <w:rPr>
                <w:rFonts w:hint="eastAsia"/>
                <w:color w:val="auto"/>
                <w:highlight w:val="none"/>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left"/>
              <w:rPr>
                <w:color w:val="auto"/>
                <w:highlight w:val="none"/>
              </w:rPr>
            </w:pPr>
            <w:r>
              <w:rPr>
                <w:rFonts w:hint="eastAsia"/>
                <w:color w:val="auto"/>
                <w:highlight w:val="none"/>
              </w:rPr>
              <w:t xml:space="preserve">符合相应岗位资质要求</w:t>
            </w:r>
            <w:r/>
          </w:p>
        </w:tc>
        <w:tc>
          <w:tcPr>
            <w:shd w:val="clear" w:color="auto" w:fill="ffffff"/>
            <w:tcBorders>
              <w:top w:val="single" w:color="000000" w:sz="4" w:space="0"/>
              <w:left w:val="none" w:color="000000" w:sz="4" w:space="0"/>
              <w:bottom w:val="single" w:color="000000" w:sz="4" w:space="0"/>
              <w:right w:val="single" w:color="000000" w:sz="4" w:space="0"/>
            </w:tcBorders>
            <w:tcW w:w="3171"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保障锅炉房、中央空调机房、冷却塔、风冷热泵等本项目范围内设备及系统的正常运行。</w:t>
            </w:r>
            <w:r/>
          </w:p>
          <w:p>
            <w:pPr>
              <w:jc w:val="left"/>
              <w:rPr>
                <w:color w:val="auto"/>
                <w:highlight w:val="none"/>
              </w:rPr>
            </w:pPr>
            <w:r>
              <w:rPr>
                <w:rFonts w:hint="eastAsia"/>
                <w:color w:val="auto"/>
                <w:highlight w:val="none"/>
              </w:rPr>
              <w:t xml:space="preserve">2、根据日常运行值班计划及要求，巡检设备及系统，并记录设备运行各项参数；发现有故障， 及时汇报项目负责人及综合维修班组</w:t>
            </w:r>
            <w:r/>
          </w:p>
          <w:p>
            <w:pPr>
              <w:jc w:val="left"/>
              <w:rPr>
                <w:color w:val="auto"/>
                <w:highlight w:val="none"/>
              </w:rPr>
            </w:pPr>
            <w:r>
              <w:rPr>
                <w:rFonts w:hint="eastAsia"/>
                <w:color w:val="auto"/>
                <w:highlight w:val="none"/>
              </w:rPr>
              <w:t xml:space="preserve">3、负责中央空调系统启停操作、负责中央空调机房管理、中央空调值班巡视及设备操作、负责中央空调机房保洁。</w:t>
            </w:r>
            <w:r/>
          </w:p>
          <w:p>
            <w:pPr>
              <w:jc w:val="left"/>
              <w:rPr>
                <w:color w:val="auto"/>
                <w:highlight w:val="none"/>
              </w:rPr>
            </w:pPr>
            <w:r>
              <w:rPr>
                <w:rFonts w:hint="eastAsia"/>
                <w:color w:val="auto"/>
                <w:highlight w:val="none"/>
              </w:rPr>
              <w:t xml:space="preserve">4、三班八小时值班制</w:t>
            </w:r>
            <w:r/>
          </w:p>
          <w:p>
            <w:pPr>
              <w:jc w:val="left"/>
              <w:rPr>
                <w:color w:val="auto"/>
                <w:highlight w:val="none"/>
              </w:rPr>
            </w:pPr>
            <w:r>
              <w:rPr>
                <w:rFonts w:hint="eastAsia"/>
                <w:color w:val="auto"/>
                <w:highlight w:val="none"/>
              </w:rPr>
              <w:t xml:space="preserve">5</w:t>
            </w:r>
            <w:r>
              <w:rPr>
                <w:color w:val="auto"/>
                <w:highlight w:val="none"/>
              </w:rPr>
              <w:t xml:space="preserve">、</w:t>
            </w:r>
            <w:r>
              <w:rPr>
                <w:rFonts w:hint="eastAsia"/>
                <w:color w:val="auto"/>
                <w:highlight w:val="none"/>
              </w:rPr>
              <w:t xml:space="preserve">智慧管理运营平台运行</w:t>
            </w:r>
            <w:r/>
          </w:p>
          <w:p>
            <w:pPr>
              <w:jc w:val="left"/>
              <w:rPr>
                <w:color w:val="auto"/>
                <w:highlight w:val="none"/>
              </w:rPr>
            </w:pPr>
            <w:r>
              <w:rPr>
                <w:rFonts w:hint="eastAsia"/>
                <w:color w:val="auto"/>
                <w:highlight w:val="none"/>
              </w:rPr>
              <w:t xml:space="preserve">6</w:t>
            </w:r>
            <w:r>
              <w:rPr>
                <w:color w:val="auto"/>
                <w:highlight w:val="none"/>
              </w:rPr>
              <w:t xml:space="preserve">、</w:t>
            </w:r>
            <w:r>
              <w:rPr>
                <w:rFonts w:hint="eastAsia"/>
                <w:color w:val="auto"/>
                <w:highlight w:val="none"/>
              </w:rPr>
              <w:t xml:space="preserve">详见后勤运维服务具体要求</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rPr>
                <w:color w:val="auto"/>
                <w:highlight w:val="none"/>
              </w:rPr>
            </w:pPr>
            <w:r>
              <w:rPr>
                <w:rFonts w:hint="eastAsia"/>
                <w:color w:val="auto"/>
                <w:highlight w:val="none"/>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color w:val="auto"/>
                <w:highlight w:val="none"/>
              </w:rPr>
            </w:pPr>
            <w:r>
              <w:rPr>
                <w:rFonts w:hint="eastAsia"/>
                <w:color w:val="auto"/>
                <w:highlight w:val="none"/>
              </w:rPr>
              <w:t xml:space="preserve">综合</w:t>
            </w:r>
            <w:r/>
          </w:p>
          <w:p>
            <w:pPr>
              <w:jc w:val="center"/>
              <w:rPr>
                <w:color w:val="auto"/>
                <w:highlight w:val="none"/>
              </w:rPr>
            </w:pPr>
            <w:r>
              <w:rPr>
                <w:rFonts w:hint="eastAsia"/>
                <w:color w:val="auto"/>
                <w:highlight w:val="none"/>
              </w:rPr>
              <w:t xml:space="preserve">维修</w:t>
            </w:r>
            <w:r/>
          </w:p>
        </w:tc>
        <w:tc>
          <w:tcPr>
            <w:shd w:val="clear" w:color="auto" w:fill="ffffff"/>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firstLine="210"/>
              <w:rPr>
                <w:rFonts w:hint="eastAsia" w:eastAsia="宋体"/>
                <w:color w:val="auto"/>
                <w:highlight w:val="none"/>
                <w:lang w:eastAsia="zh-CN"/>
              </w:rPr>
            </w:pPr>
            <w:r>
              <w:rPr>
                <w:rFonts w:hint="eastAsia"/>
                <w:color w:val="auto"/>
                <w:highlight w:val="none"/>
                <w:lang w:val="en-US" w:eastAsia="zh-CN"/>
              </w:rPr>
              <w:t xml:space="preserve">9</w:t>
            </w:r>
            <w:r/>
          </w:p>
        </w:tc>
        <w:tc>
          <w:tcPr>
            <w:shd w:val="clear" w:color="auto" w:fill="ffffff"/>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jc w:val="center"/>
              <w:rPr>
                <w:color w:val="auto"/>
                <w:highlight w:val="none"/>
              </w:rPr>
            </w:pPr>
            <w:r>
              <w:rPr>
                <w:rFonts w:hint="eastAsia"/>
                <w:color w:val="auto"/>
                <w:highlight w:val="none"/>
              </w:rPr>
              <w:t xml:space="preserve">男</w:t>
            </w:r>
            <w:r/>
          </w:p>
        </w:tc>
        <w:tc>
          <w:tcPr>
            <w:shd w:val="clear" w:color="auto" w:fill="ffffff"/>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rPr>
                <w:color w:val="auto"/>
                <w:highlight w:val="none"/>
              </w:rPr>
            </w:pPr>
            <w:r>
              <w:rPr>
                <w:rFonts w:hint="eastAsia"/>
                <w:color w:val="auto"/>
                <w:highlight w:val="none"/>
              </w:rPr>
              <w:t xml:space="preserve">平均55 岁以下</w:t>
            </w:r>
            <w:r/>
          </w:p>
        </w:tc>
        <w:tc>
          <w:tcPr>
            <w:shd w:val="clear" w:color="auto" w:fill="ffffff"/>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jc w:val="center"/>
              <w:rPr>
                <w:color w:val="auto"/>
                <w:highlight w:val="none"/>
              </w:rPr>
            </w:pPr>
            <w:r>
              <w:rPr>
                <w:rFonts w:hint="eastAsia"/>
                <w:color w:val="auto"/>
                <w:highlight w:val="none"/>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left"/>
              <w:rPr>
                <w:color w:val="auto"/>
                <w:highlight w:val="none"/>
              </w:rPr>
            </w:pPr>
            <w:r>
              <w:rPr>
                <w:rFonts w:hint="eastAsia"/>
                <w:color w:val="auto"/>
                <w:highlight w:val="none"/>
              </w:rPr>
              <w:t xml:space="preserve">符合相应岗位资质要求</w:t>
            </w:r>
            <w:r/>
          </w:p>
        </w:tc>
        <w:tc>
          <w:tcPr>
            <w:shd w:val="clear" w:color="auto" w:fill="ffffff"/>
            <w:tcBorders>
              <w:top w:val="single" w:color="000000" w:sz="4" w:space="0"/>
              <w:left w:val="none" w:color="000000" w:sz="4" w:space="0"/>
              <w:bottom w:val="single" w:color="000000" w:sz="4" w:space="0"/>
              <w:right w:val="single" w:color="000000" w:sz="4" w:space="0"/>
            </w:tcBorders>
            <w:tcW w:w="3171" w:type="dxa"/>
            <w:vAlign w:val="center"/>
            <w:textDirection w:val="lrTb"/>
            <w:noWrap w:val="false"/>
          </w:tcPr>
          <w:p>
            <w:pPr>
              <w:numPr>
                <w:ilvl w:val="0"/>
                <w:numId w:val="8"/>
              </w:numPr>
              <w:jc w:val="left"/>
              <w:spacing w:line="240" w:lineRule="atLeast"/>
              <w:rPr>
                <w:color w:val="auto"/>
                <w:sz w:val="21"/>
                <w:szCs w:val="21"/>
                <w:highlight w:val="none"/>
              </w:rPr>
            </w:pPr>
            <w:r>
              <w:rPr>
                <w:rFonts w:hint="eastAsia" w:ascii="宋体" w:hAnsi="宋体" w:eastAsia="宋体" w:cs="宋体"/>
                <w:color w:val="auto"/>
                <w:sz w:val="21"/>
                <w:szCs w:val="21"/>
                <w:highlight w:val="none"/>
              </w:rPr>
              <w:t xml:space="preserve">负责全院</w:t>
            </w:r>
            <w:r>
              <w:rPr>
                <w:rFonts w:hint="eastAsia" w:ascii="宋体" w:hAnsi="宋体" w:eastAsia="宋体" w:cs="宋体"/>
                <w:color w:val="auto"/>
                <w:sz w:val="21"/>
                <w:szCs w:val="21"/>
                <w:highlight w:val="none"/>
                <w:lang w:val="en-US" w:eastAsia="zh-CN"/>
              </w:rPr>
              <w:t xml:space="preserve">区域内</w:t>
            </w:r>
            <w:r>
              <w:rPr>
                <w:rFonts w:hint="eastAsia" w:ascii="宋体" w:hAnsi="宋体" w:eastAsia="宋体" w:cs="宋体"/>
                <w:color w:val="auto"/>
                <w:sz w:val="21"/>
                <w:szCs w:val="21"/>
                <w:highlight w:val="none"/>
              </w:rPr>
              <w:t xml:space="preserve">全部用水设施设备水池、龙头、便池、蹲便器、坐便器、卫生洁具、污水泵设施等维修及更换；</w:t>
            </w:r>
            <w:r>
              <w:rPr>
                <w:rFonts w:ascii="宋体" w:hAnsi="宋体" w:cs="仿宋"/>
                <w:color w:val="auto"/>
                <w:sz w:val="21"/>
                <w:szCs w:val="21"/>
                <w:highlight w:val="none"/>
              </w:rPr>
              <w:t xml:space="preserve">所有末端管道堵塞疏通</w:t>
            </w:r>
            <w:r>
              <w:rPr>
                <w:rFonts w:hint="eastAsia" w:ascii="宋体" w:hAnsi="宋体" w:eastAsia="宋体" w:cs="宋体"/>
                <w:color w:val="auto"/>
                <w:sz w:val="21"/>
                <w:szCs w:val="21"/>
                <w:highlight w:val="none"/>
              </w:rPr>
              <w:t xml:space="preserve">、漏水（腐蚀）管道更换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包括中央空调系统管道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、管道保温及管道井日常巡视，确保全院区域</w:t>
            </w:r>
            <w:r>
              <w:rPr>
                <w:rFonts w:hint="eastAsia" w:ascii="宋体" w:hAnsi="宋体" w:eastAsia="宋体" w:cs="宋体"/>
                <w:color w:val="auto"/>
                <w:sz w:val="21"/>
                <w:szCs w:val="21"/>
                <w:highlight w:val="none"/>
                <w:lang w:val="en-US" w:eastAsia="zh-CN"/>
              </w:rPr>
              <w:t xml:space="preserve">室内</w:t>
            </w:r>
            <w:r>
              <w:rPr>
                <w:rFonts w:hint="eastAsia" w:ascii="宋体" w:hAnsi="宋体" w:eastAsia="宋体" w:cs="宋体"/>
                <w:color w:val="auto"/>
                <w:sz w:val="21"/>
                <w:szCs w:val="21"/>
                <w:highlight w:val="none"/>
              </w:rPr>
              <w:t xml:space="preserve">全部用水设施的安全运行。</w:t>
            </w:r>
            <w:r/>
          </w:p>
          <w:p>
            <w:pPr>
              <w:jc w:val="left"/>
              <w:spacing w:line="240" w:lineRule="atLeast"/>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．负责全院的照明、电气设备、电箱、线路更换及新增线路铺线、维修、保养及日常巡视工作，确保全院区域所有用电设施安全运行。</w:t>
            </w:r>
            <w:r/>
          </w:p>
          <w:p>
            <w:pPr>
              <w:jc w:val="left"/>
              <w:spacing w:line="240" w:lineRule="atLeast"/>
              <w:rPr>
                <w:color w:val="auto"/>
                <w:sz w:val="21"/>
                <w:szCs w:val="21"/>
                <w:highlight w:val="none"/>
              </w:rPr>
            </w:pPr>
            <w:r>
              <w:rPr>
                <w:rFonts w:hint="eastAsia"/>
                <w:color w:val="auto"/>
                <w:sz w:val="21"/>
                <w:szCs w:val="21"/>
                <w:highlight w:val="none"/>
                <w:lang w:val="en-US" w:eastAsia="zh-CN"/>
              </w:rPr>
              <w:t xml:space="preserve">3. </w:t>
            </w:r>
            <w:r>
              <w:rPr>
                <w:rFonts w:hint="eastAsia"/>
                <w:color w:val="auto"/>
                <w:sz w:val="21"/>
                <w:szCs w:val="21"/>
                <w:highlight w:val="none"/>
              </w:rPr>
              <w:t xml:space="preserve">负责全院区域内全部门窗维修及更换、柜子维修及重新安装、推车维修及配件更换、锁芯维修及更换、窗围帘及轨道等维修更换、五金配件维修及更换，确保医疗环境设施正常运维。</w:t>
            </w:r>
            <w:r/>
          </w:p>
          <w:p>
            <w:pPr>
              <w:jc w:val="left"/>
              <w:spacing w:line="240" w:lineRule="atLeast"/>
              <w:rPr>
                <w:color w:val="auto"/>
                <w:sz w:val="21"/>
                <w:szCs w:val="21"/>
                <w:highlight w:val="none"/>
              </w:rPr>
            </w:pPr>
            <w:r>
              <w:rPr>
                <w:rFonts w:hint="eastAsia"/>
                <w:color w:val="auto"/>
                <w:sz w:val="21"/>
                <w:szCs w:val="21"/>
                <w:highlight w:val="none"/>
              </w:rPr>
              <w:t xml:space="preserve">4.负责全院二次供水水箱运维管理，确保水箱水箱水位、供水水泵的正常运维。</w:t>
            </w:r>
            <w:r/>
          </w:p>
          <w:p>
            <w:pPr>
              <w:jc w:val="left"/>
              <w:spacing w:line="240" w:lineRule="atLeast"/>
              <w:rPr>
                <w:color w:val="auto"/>
                <w:sz w:val="21"/>
                <w:szCs w:val="21"/>
                <w:highlight w:val="none"/>
              </w:rPr>
            </w:pPr>
            <w:r>
              <w:rPr>
                <w:rFonts w:hint="eastAsia"/>
                <w:color w:val="auto"/>
                <w:sz w:val="21"/>
                <w:szCs w:val="21"/>
                <w:highlight w:val="none"/>
              </w:rPr>
              <w:t xml:space="preserve">5.负责全院区域内所有挂壁式空调、冰箱的维修及配件更换。</w:t>
            </w:r>
            <w:r/>
          </w:p>
          <w:p>
            <w:pPr>
              <w:jc w:val="left"/>
              <w:spacing w:line="240" w:lineRule="atLeast"/>
              <w:rPr>
                <w:color w:val="auto"/>
                <w:sz w:val="21"/>
                <w:szCs w:val="21"/>
                <w:highlight w:val="none"/>
              </w:rPr>
            </w:pPr>
            <w:r>
              <w:rPr>
                <w:rFonts w:hint="eastAsia"/>
                <w:color w:val="auto"/>
                <w:sz w:val="21"/>
                <w:szCs w:val="21"/>
                <w:highlight w:val="none"/>
              </w:rPr>
              <w:t xml:space="preserve">6.负责协助医疗一线办公用房调整及故障家具设施的搬运。</w:t>
            </w:r>
            <w:r/>
          </w:p>
          <w:p>
            <w:pPr>
              <w:jc w:val="left"/>
              <w:spacing w:line="240" w:lineRule="atLeast"/>
              <w:rPr>
                <w:color w:val="auto"/>
                <w:sz w:val="21"/>
                <w:szCs w:val="21"/>
                <w:highlight w:val="none"/>
              </w:rPr>
            </w:pPr>
            <w:r>
              <w:rPr>
                <w:rFonts w:hint="eastAsia"/>
                <w:color w:val="auto"/>
                <w:sz w:val="21"/>
                <w:szCs w:val="21"/>
                <w:highlight w:val="none"/>
              </w:rPr>
              <w:t xml:space="preserve">7.组织医院所有突发事件应急处理，对突发停电、火灾、水灾、防冻、大雪的清理等及时采取应急措施。</w:t>
            </w:r>
            <w:r/>
          </w:p>
          <w:p>
            <w:pPr>
              <w:jc w:val="left"/>
              <w:spacing w:line="240" w:lineRule="atLeast"/>
              <w:rPr>
                <w:rFonts w:hint="eastAsia"/>
                <w:color w:val="auto"/>
                <w:sz w:val="21"/>
                <w:szCs w:val="21"/>
                <w:highlight w:val="none"/>
              </w:rPr>
            </w:pPr>
            <w:r>
              <w:rPr>
                <w:rFonts w:hint="eastAsia"/>
                <w:color w:val="auto"/>
                <w:sz w:val="21"/>
                <w:szCs w:val="21"/>
                <w:highlight w:val="none"/>
              </w:rPr>
              <w:t xml:space="preserve">8.负责每月一次安全知识培训、每年1-2次应急预案演练。</w:t>
            </w:r>
            <w:r/>
          </w:p>
          <w:p>
            <w:pPr>
              <w:jc w:val="left"/>
              <w:spacing w:line="240" w:lineRule="atLeast"/>
              <w:rPr>
                <w:rFonts w:hint="eastAsia"/>
                <w:color w:val="auto"/>
                <w:sz w:val="21"/>
                <w:szCs w:val="21"/>
                <w:highlight w:val="none"/>
                <w:lang w:val="en-US" w:eastAsia="zh-CN"/>
              </w:rPr>
            </w:pPr>
            <w:r>
              <w:rPr>
                <w:rFonts w:hint="eastAsia"/>
                <w:color w:val="auto"/>
                <w:sz w:val="21"/>
                <w:szCs w:val="21"/>
                <w:highlight w:val="none"/>
                <w:lang w:val="en-US" w:eastAsia="zh-CN"/>
              </w:rPr>
              <w:t xml:space="preserve">9、负责全年（含国家法定节假日）各类气体（氧气、二氧化碳、液氮、高纯氧、特种气体）的配送服务工作。</w:t>
            </w:r>
            <w:r/>
          </w:p>
          <w:p>
            <w:pPr>
              <w:jc w:val="left"/>
              <w:spacing w:line="240" w:lineRule="atLeast"/>
              <w:rPr>
                <w:rFonts w:hint="default"/>
                <w:color w:val="auto"/>
                <w:highlight w:val="none"/>
                <w:lang w:val="en-US" w:eastAsia="zh-CN"/>
              </w:rPr>
            </w:pPr>
            <w:r>
              <w:rPr>
                <w:rFonts w:hint="eastAsia"/>
                <w:color w:val="auto"/>
                <w:sz w:val="21"/>
                <w:szCs w:val="21"/>
                <w:highlight w:val="none"/>
                <w:lang w:val="en-US" w:eastAsia="zh-CN"/>
              </w:rPr>
              <w:t xml:space="preserve">10、负责医院应急抢修工作，响应时间不超过2小时。</w:t>
            </w:r>
            <w:r/>
          </w:p>
        </w:tc>
      </w:tr>
    </w:tbl>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5、后勤运维服务具体要求</w:t>
      </w:r>
      <w:r/>
    </w:p>
    <w:p>
      <w:pPr>
        <w:contextualSpacing/>
        <w:ind w:left="-2" w:firstLine="480"/>
        <w:spacing w:line="360" w:lineRule="auto"/>
        <w:tabs>
          <w:tab w:val="left" w:pos="567" w:leader="none"/>
        </w:tabs>
        <w:rPr>
          <w:rFonts w:ascii="宋体" w:hAnsi="宋体" w:cs="仿宋"/>
          <w:color w:val="auto"/>
          <w:sz w:val="24"/>
          <w:highlight w:val="none"/>
        </w:rPr>
      </w:pPr>
      <w:r>
        <w:rPr>
          <w:rFonts w:hint="eastAsia" w:ascii="宋体" w:hAnsi="宋体" w:cs="仿宋"/>
          <w:color w:val="auto"/>
          <w:sz w:val="24"/>
          <w:highlight w:val="none"/>
        </w:rPr>
        <w:t xml:space="preserve">5</w:t>
      </w:r>
      <w:r>
        <w:rPr>
          <w:rFonts w:ascii="宋体" w:hAnsi="宋体" w:cs="仿宋"/>
          <w:color w:val="auto"/>
          <w:sz w:val="24"/>
          <w:highlight w:val="none"/>
        </w:rPr>
        <w:t xml:space="preserve">.1运维服务标准 </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适用于本项目的主要运维服务标准和规范参考《医疗和疾控机构后勤安全生产工作管理指南》，包含但不限于如下规范和标准，下述规范和标准如有缺少或有更新版本的标准，投标人须按现有或更新后的标准执行，采购人不再另行补充或修改：</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WS 434 医院电力系统运行管理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31989 高压电力用户用电安全</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DL 408 电业安全工作规程（发电厂和变电所部分）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32893 10kV 及以上电力用户变电站运行管理规范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DL/T 969 变电站运行导则</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DL 5009.3 电力建设安全工作规程</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50054 低压配电设计规范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50303 建筑电气工程施工质量验收规范（附条文说明）</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JBT10354工业锅炉运行规程 </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WS 437 医院供热系统运行管理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17954 工业锅炉经济运行</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50893 供热系统节能改造技术规范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CJJ/T 88 城镇供热系统安全运行技术规程</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CJJ 34 城镇供热管网设计规范 </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CJJ 28 城镇供热管网工程施工及验收规范 </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GB50366-2009 《地源热泵系统工程技术规范》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1576 工业锅炉水质</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16811 工业锅炉水处理设施运行效果与监测 </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TSG G8001 锅炉水（介）质处理检测人员考核规则 </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50494 城镇燃气技术规范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50028 城镇燃气设计规范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16914 燃气燃烧器具安全技术条件</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CJ/T451 商业燃气燃烧器具通用技术条件</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50811 燃气系统运行安全评价标准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CJJ51 城镇燃气设施运行、维护和抢修安全技术规程</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50365 空调通风系统运行管理规范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WS 488 医院中央空调系统运行管理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GB/T9237 制冷系统及热泵安全与环境要求</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AQ7004 制冷空调作业技术规范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29044 采暖空调系统水质</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50365 空调通风系统运行管理规范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WS 436 医院二次供水运行管理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17051 二次供水设施卫生规范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GB/T 17219 生活饮用水输配水设备及防护材料的安全评价标准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5749 生活饮用水卫生标准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GB19258 紫外线杀菌灯</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医院污水处理技术指南环发[2003]197 号</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HJ2029 医院污水处理工程技术规范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CECS 07 医院污水处理设计规范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GB18466 医疗机构水污染物排放标准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WS 435 医院医用气体系统运行管理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TSG21 固定式压力容器安全技术监察规程</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50030 氧气站设计规范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50016 建筑设计防火规范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GB 50751 医用气体工程技术规范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TSG R0006 气瓶安全技术监察规程</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5.2 中央空调系统</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①　负责中央空调主机的全年24小时运行值守运维服务及值守期间的接报修工作。</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②　负责所有空调系统:末端风机盘管表冷器、管道滤网、回风滤网、进出口面罩以及托水盘、还包括冷水机吸顶机滤网、面罩和新风机滤网的清洗工作。每年需进行不少于2次的全面清洗，原则上安排在春季和秋季。</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③　负责空调系统的所有配件维修和更换工作，包括但不限于以下内容：冷冻泵、冷媒泵、末端风机盘管、风机电机（如吸顶机抽水电机）、电子阀、控制开关、阀门、风机风扇、表冷器、压力表、温度表、管道滤网、管道堵塞疏通、漏水管道更换、线路故障排查，以及重新保温、线路铺设和管道铺设等。</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④　配合做好3台中央空调主机压力容器检验、安全阀校验后更换工作。</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⑤　负责每月一次安全知识培训、每年1-2次应急预案演练。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⑥　在供冷之前，需对冷却塔的托水盘进行全面清扫和清洗，确保无垃圾残留。进行进水操作并控制水位，每日至少2次巡查设备工况并做好巡检记录。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⑦　在供冷前，需完成以下维护工作：清洗冷却塔至冷却泵的管道滤网；对所有冷却塔的电机、阀门、浮球及管道进行维护；更换出现故障的阀门、浮球及漏水管道。</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⑧　在冷却塔运行期间，需每周至少1次在冷却塔的托水盘内添加除藻剂</w:t>
      </w:r>
      <w:r/>
    </w:p>
    <w:p>
      <w:pPr>
        <w:contextualSpacing/>
        <w:ind w:left="-2" w:firstLine="480"/>
        <w:spacing w:line="360" w:lineRule="auto"/>
        <w:tabs>
          <w:tab w:val="left" w:pos="567" w:leader="none"/>
        </w:tabs>
        <w:rPr>
          <w:rFonts w:hint="eastAsia" w:ascii="宋体" w:hAnsi="宋体" w:eastAsia="宋体" w:cs="仿宋"/>
          <w:color w:val="auto"/>
          <w:sz w:val="24"/>
          <w:highlight w:val="none"/>
          <w:lang w:eastAsia="zh-CN"/>
        </w:rPr>
      </w:pPr>
      <w:r>
        <w:rPr>
          <w:rFonts w:ascii="宋体" w:hAnsi="宋体" w:cs="仿宋"/>
          <w:color w:val="auto"/>
          <w:sz w:val="24"/>
          <w:highlight w:val="none"/>
        </w:rPr>
        <w:t xml:space="preserve">⑨　冷却塔风机的电机进行巡查维保，如发现故障应及时上报科室更换</w:t>
      </w:r>
      <w:r>
        <w:rPr>
          <w:rFonts w:hint="eastAsia" w:ascii="宋体" w:hAnsi="宋体" w:cs="仿宋"/>
          <w:color w:val="auto"/>
          <w:sz w:val="24"/>
          <w:highlight w:val="none"/>
          <w:lang w:eastAsia="zh-CN"/>
        </w:rPr>
        <w:t xml:space="preserve">。</w:t>
      </w:r>
      <w:r/>
    </w:p>
    <w:p>
      <w:pPr>
        <w:contextualSpacing/>
        <w:ind w:left="-2" w:firstLine="480"/>
        <w:spacing w:line="360" w:lineRule="auto"/>
        <w:tabs>
          <w:tab w:val="left" w:pos="567" w:leader="none"/>
        </w:tabs>
        <w:rPr>
          <w:rFonts w:hint="eastAsia" w:ascii="宋体" w:hAnsi="宋体" w:eastAsia="宋体" w:cs="仿宋"/>
          <w:color w:val="auto"/>
          <w:sz w:val="24"/>
          <w:highlight w:val="none"/>
          <w:lang w:eastAsia="zh-CN"/>
        </w:rPr>
      </w:pPr>
      <w:r>
        <w:rPr>
          <w:rFonts w:ascii="宋体" w:hAnsi="宋体" w:cs="仿宋"/>
          <w:color w:val="auto"/>
          <w:sz w:val="24"/>
          <w:highlight w:val="none"/>
        </w:rPr>
        <w:t xml:space="preserve">⑩　按医院要求，平台制定巡检计划，移动端定时推送值班人员线下巡视在运行设备设施，并及时在移动端记录主要仪表及参数，上传图片或视频</w:t>
      </w:r>
      <w:r>
        <w:rPr>
          <w:rFonts w:hint="eastAsia" w:ascii="宋体" w:hAnsi="宋体" w:cs="仿宋"/>
          <w:color w:val="auto"/>
          <w:sz w:val="24"/>
          <w:highlight w:val="none"/>
          <w:lang w:eastAsia="zh-CN"/>
        </w:rPr>
        <w:t xml:space="preserve">。</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⑪　线上实时平台在线监测设备运行参数及机房环境，当发生系统供回水温度、供回水压力、冷冻水供水流量、主机故障、水泵故障、设备通讯离线等异常告警时，平台会联动视频弹窗调出告警点附近摄像头画面，并且及时移动端推送工单给值班人员线下处理闭环。</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⑫　定期清洁设备机房卫生，检查配电箱、电机、皮带等，并做好相关记录。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⑬　按医院要求，平台制定年度、季度、月度保养计划，移动端定时推送值班人员，提醒组织实施保养工作，并及时在移动端做好相关记录。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⑭　配合主管部门进行压力容器及其附件的定检与年检。</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5.3 锅炉系统</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①　负责锅炉房内设备设施的操作、维修、配件更换及安全运行工作和日常管理。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②　严格执行各种设备的安全操作规程和巡检制度，定时巡检和检查所有设备，防止缺水和超压现象的发生。</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③　做好日常各项设备的运维和修理工作，防止“跑”“冒”“滴”“漏”，保证设备的正常运行。</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④　设备运行时，每日负责软水水质检测，结果满足运行要求。</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⑤　配合废气排放检测及相关整改工作。</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⑥　重点检查燃料、锅炉水位、水泵运转情况及电机温度、供水情况，发现问题及时维修及配件故障更换。</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⑦　负责蒸汽、燃气管道的日常巡视检查及管道故障的修理。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⑧　负责锅炉、热水炉的运维并记录主要仪表及参数。</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⑨　负责特种设备的管理及日常做好每日的“日管控”台账及压力容器及其附件的定检和年检。</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⑩　负责每月一次安全知识培训、每年1-2次应急预案演练。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⑪　按医院要求，平台制定巡检计划，移动端定时推送值班人员线下巡视在运行设备设施，并及时在移动端记录主要仪表及参数，上传图片或视频。</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⑫　按医院要求，平台制定年度、季度、月度保养计划，移动端定时推送值班人员，提醒组织实施保养工作，并及时在移动端做好相关记录。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5.4给排水系统</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①　保障医院全院泵房区域（不含消防）给水、排水系统运行正常。</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②　负责全院泵房区域（不含消防）给水、排水系统的管线、阀门、龙头、开关等的日常维修、保养，管线、阀门、龙头无跑、冒、滴、漏；院区内全部下水，地漏疏通工作；屋面天沟、雨水排放管路等维修维护，并做好相关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③　负责太阳能热水系统、雨水回收系统日常运行操作、常态化巡检报修、紧急处置。</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④　负责生活水泵机房、生活热水机房设备设施的日常操作、巡视、维护、保养及</w:t>
      </w:r>
      <w:r>
        <w:rPr>
          <w:rFonts w:hint="eastAsia" w:ascii="宋体" w:hAnsi="宋体" w:cs="仿宋"/>
          <w:color w:val="auto"/>
          <w:sz w:val="24"/>
          <w:highlight w:val="none"/>
          <w:lang w:val="en-US" w:eastAsia="zh-CN"/>
        </w:rPr>
        <w:t xml:space="preserve">水质检测，并做好日常</w:t>
      </w:r>
      <w:r>
        <w:rPr>
          <w:rFonts w:ascii="宋体" w:hAnsi="宋体" w:cs="仿宋"/>
          <w:color w:val="auto"/>
          <w:sz w:val="24"/>
          <w:highlight w:val="none"/>
        </w:rPr>
        <w:t xml:space="preserve">安全工作，做好相关记录。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⑤　定期巡查污水坑、集水坑、污水井，并做好相关记录。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⑥　定期检查室内外污水、雨水管道的排放工作情况。在非常时期（如汛期）要有应急措施，加强值班巡视各排水水泵。</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⑦　负责全院所有区域的防汛、防冻工作（防汛防冻物资由医院提供）。</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⑧　负责各种循环泵、潜水泵等日常运行操作、常态化巡检报修、紧急处置。</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⑨　根据医院需求合理调节供热水的时间、温度、流量等，采取合理有效的节能运行措施。</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⑩　每年组织运行值班人员做一次应急操作演练。</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⑪　保证排水系统的正常运转，防止阻塞。</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⑫　根据现场情况，制定事故应急处理方案，制定停水、爆管等应急处理程序。计划停水和检修性停水按规定提前至少一周通知医院，以便做好安排。</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⑬　做好二次供水管理工作，定期巡查生活水箱，建立二次供水管理台账。配合医院完成每半年对生活水箱进行全面清洗消毒，</w:t>
      </w:r>
      <w:r>
        <w:rPr>
          <w:rFonts w:ascii="宋体" w:hAnsi="宋体" w:cs="仿宋"/>
          <w:b/>
          <w:bCs/>
          <w:color w:val="auto"/>
          <w:sz w:val="24"/>
          <w:highlight w:val="none"/>
        </w:rPr>
        <w:t xml:space="preserve">并协助医院做好水样采取及水质检测工作</w:t>
      </w:r>
      <w:r>
        <w:rPr>
          <w:rFonts w:hint="eastAsia" w:ascii="宋体" w:hAnsi="宋体" w:cs="仿宋"/>
          <w:b/>
          <w:bCs/>
          <w:color w:val="auto"/>
          <w:sz w:val="24"/>
          <w:highlight w:val="none"/>
          <w:lang w:eastAsia="zh-CN"/>
        </w:rPr>
        <w:t xml:space="preserve">（</w:t>
      </w:r>
      <w:r>
        <w:rPr>
          <w:rFonts w:hint="eastAsia" w:ascii="宋体" w:hAnsi="宋体" w:cs="仿宋"/>
          <w:b/>
          <w:bCs/>
          <w:color w:val="auto"/>
          <w:sz w:val="24"/>
          <w:highlight w:val="none"/>
          <w:lang w:val="en-US" w:eastAsia="zh-CN"/>
        </w:rPr>
        <w:t xml:space="preserve">工作要求：每日一次自来水水质自我检测。</w:t>
      </w:r>
      <w:r>
        <w:rPr>
          <w:rFonts w:hint="eastAsia" w:ascii="宋体" w:hAnsi="宋体" w:cs="仿宋"/>
          <w:b/>
          <w:bCs/>
          <w:color w:val="auto"/>
          <w:sz w:val="24"/>
          <w:highlight w:val="none"/>
          <w:lang w:eastAsia="zh-CN"/>
        </w:rPr>
        <w:t xml:space="preserve">）</w:t>
      </w:r>
      <w:r>
        <w:rPr>
          <w:rFonts w:ascii="宋体" w:hAnsi="宋体" w:cs="仿宋"/>
          <w:b/>
          <w:bCs/>
          <w:color w:val="auto"/>
          <w:sz w:val="24"/>
          <w:highlight w:val="none"/>
        </w:rPr>
        <w:t xml:space="preserve">。</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⑭　按医院要求，平台制定巡检计划，移动端定时推送值班人员线下巡视在运行设备设施，并及时在移动端记录主要仪表及参数，上传图片或视频；</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⑮　线上实时平台在线监测设备运行参数及机房环境，当发生水箱液位、供水压力、机房浸水、水泵故障、设备通讯离线等异常告警时，平台会及时移动端推送工单给值班人员线下处理。</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⑯　按医院要求，平台制定年度、季度、月度保养计划，移动端定时推送值班人员，提醒组织实施保养工作，并及时在移动端做好相关记录。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5.5 综合维修</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①　负责全院区域内全部照明灯具、开关、插座、微波炉、开水箱、电箱、线路更换及新增线路铺线、强电井及日常巡视，确保全院区域所有用电设施安全运行。</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②　负责全院区域内全部用水设施设备水池、龙头、便池、蹲便器、坐便器、卫生洁具、污水泵设施等维修及更换；所有末端管道堵塞疏通、漏水（腐蚀）管道更换、管道保温及管道井日常巡视，确保全院区域内全部用水设施的安全运行。</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③　负责全院区域内全部门窗维修及更换、柜子维修及重新安装、推车维修及配件更换、锁芯维修及更换、窗围帘及轨道等维修更换、五金配件维修及更换，确保医疗环境设施正常运维。</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④　负责全院二次供水水箱运维管理，确保水箱水箱水位、供水水泵的正常运维。</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⑤　负责全院区域内所有挂壁式空调、冰箱的维修及更换。</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⑥　负责协助医疗一线办公用房调整及故障家具设施的搬运。</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⑦　负责发电机的每月运维试运行并做好运维记录。</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⑧　组织医院所有突发事件应急处理，对突发停电、火灾、水灾、防冻、大雪的清理等及时采取应急措施。</w:t>
      </w:r>
      <w:r/>
    </w:p>
    <w:p>
      <w:pPr>
        <w:contextualSpacing/>
        <w:ind w:left="-2" w:firstLine="480"/>
        <w:spacing w:line="360" w:lineRule="auto"/>
        <w:tabs>
          <w:tab w:val="left" w:pos="567" w:leader="none"/>
        </w:tabs>
        <w:rPr>
          <w:rFonts w:ascii="宋体" w:hAnsi="宋体" w:cs="仿宋"/>
          <w:color w:val="auto"/>
          <w:sz w:val="24"/>
          <w:highlight w:val="none"/>
        </w:rPr>
      </w:pPr>
      <w:r>
        <w:rPr>
          <w:rFonts w:ascii="宋体" w:hAnsi="宋体" w:cs="仿宋"/>
          <w:color w:val="auto"/>
          <w:sz w:val="24"/>
          <w:highlight w:val="none"/>
        </w:rPr>
        <w:t xml:space="preserve">⑨　负责每月一次安全知识培训、每年1-2次应急预案演练。</w:t>
      </w:r>
      <w:r/>
    </w:p>
    <w:p>
      <w:pPr>
        <w:contextualSpacing/>
        <w:ind w:left="-2" w:firstLine="480"/>
        <w:spacing w:line="360" w:lineRule="auto"/>
        <w:tabs>
          <w:tab w:val="left" w:pos="567" w:leader="none"/>
        </w:tabs>
        <w:rPr>
          <w:rFonts w:hint="default" w:ascii="宋体" w:hAnsi="宋体" w:eastAsia="宋体" w:cs="仿宋"/>
          <w:color w:val="auto"/>
          <w:sz w:val="24"/>
          <w:highlight w:val="none"/>
          <w:lang w:val="en-US" w:eastAsia="zh-CN"/>
        </w:rPr>
      </w:pPr>
      <w:r>
        <w:rPr>
          <w:rFonts w:ascii="宋体" w:hAnsi="宋体" w:cs="仿宋"/>
          <w:color w:val="auto"/>
          <w:sz w:val="24"/>
          <w:highlight w:val="none"/>
        </w:rPr>
        <w:t xml:space="preserve">⑩</w:t>
      </w:r>
      <w:r>
        <w:rPr>
          <w:rFonts w:hint="eastAsia" w:ascii="宋体" w:hAnsi="宋体" w:cs="仿宋"/>
          <w:color w:val="auto"/>
          <w:sz w:val="24"/>
          <w:highlight w:val="none"/>
          <w:lang w:val="en-US" w:eastAsia="zh-CN"/>
        </w:rPr>
        <w:t xml:space="preserve"> 负责全年（含国家法定节假日）各类气体（氧气、二氧化碳、液氮、高纯氧、特种气体）的配送服务工作。</w:t>
      </w:r>
      <w:r/>
    </w:p>
    <w:p>
      <w:pPr>
        <w:ind w:firstLine="480"/>
        <w:spacing w:line="440" w:lineRule="exact"/>
        <w:rPr>
          <w:rFonts w:hint="default" w:ascii="宋体" w:hAnsi="宋体" w:eastAsia="宋体"/>
          <w:b/>
          <w:color w:val="auto"/>
          <w:highlight w:val="none"/>
          <w:lang w:val="en-US" w:eastAsia="zh-CN"/>
        </w:rPr>
      </w:pPr>
      <w:r>
        <w:rPr>
          <w:rFonts w:ascii="宋体" w:hAnsi="宋体" w:cs="仿宋"/>
          <w:color w:val="auto"/>
          <w:sz w:val="24"/>
          <w:highlight w:val="none"/>
        </w:rPr>
        <w:t xml:space="preserve">⑪</w:t>
      </w:r>
      <w:r>
        <w:rPr>
          <w:rFonts w:hint="eastAsia" w:ascii="宋体" w:hAnsi="宋体" w:cs="仿宋"/>
          <w:color w:val="auto"/>
          <w:sz w:val="24"/>
          <w:highlight w:val="none"/>
          <w:lang w:val="en-US" w:eastAsia="zh-CN"/>
        </w:rPr>
        <w:t xml:space="preserve"> 负责医院后勤应急抢修工作，响应时间不超过2小时。</w:t>
      </w:r>
      <w:r/>
    </w:p>
    <w:p>
      <w:pPr>
        <w:rPr>
          <w:rFonts w:ascii="宋体" w:hAnsi="宋体"/>
          <w:bCs/>
          <w:color w:val="auto"/>
          <w:highlight w:val="none"/>
        </w:rPr>
      </w:pPr>
      <w:r>
        <w:rPr>
          <w:rFonts w:ascii="宋体" w:hAnsi="宋体"/>
          <w:bCs/>
          <w:color w:val="auto"/>
          <w:highlight w:val="none"/>
        </w:rPr>
      </w:r>
      <w:r/>
    </w:p>
    <w:p>
      <w:pPr>
        <w:rPr>
          <w:rFonts w:ascii="宋体" w:hAnsi="宋体"/>
          <w:color w:val="auto"/>
          <w:highlight w:val="none"/>
        </w:rPr>
      </w:pPr>
      <w:r>
        <w:rPr>
          <w:rFonts w:ascii="宋体" w:hAnsi="宋体"/>
          <w:color w:val="auto"/>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br w:type="page" w:clear="all"/>
      </w:r>
      <w:r/>
    </w:p>
    <w:p>
      <w:pPr>
        <w:jc w:val="center"/>
        <w:spacing w:line="360" w:lineRule="auto"/>
        <w:rPr>
          <w:rFonts w:ascii="宋体" w:hAnsi="宋体"/>
          <w:b/>
          <w:color w:val="auto"/>
          <w:sz w:val="36"/>
          <w:szCs w:val="36"/>
          <w:highlight w:val="none"/>
        </w:rPr>
        <w:outlineLvl w:val="0"/>
      </w:pPr>
      <w:r/>
      <w:bookmarkStart w:id="819" w:name="_Toc99301425"/>
      <w:r>
        <w:rPr>
          <w:rFonts w:ascii="宋体" w:hAnsi="宋体"/>
          <w:b/>
          <w:color w:val="auto"/>
          <w:sz w:val="36"/>
          <w:szCs w:val="36"/>
          <w:highlight w:val="none"/>
        </w:rPr>
        <w:t xml:space="preserve">第六章   拟签订的合同文本</w:t>
      </w:r>
      <w:bookmarkEnd w:id="819"/>
      <w:r/>
      <w:r/>
    </w:p>
    <w:p>
      <w:pPr>
        <w:ind w:left="620" w:firstLine="560"/>
        <w:jc w:val="left"/>
        <w:spacing w:before="326" w:line="185" w:lineRule="auto"/>
        <w:rPr>
          <w:rFonts w:ascii="黑体" w:hAnsi="黑体" w:eastAsia="黑体" w:cs="黑体"/>
          <w:color w:val="auto"/>
          <w:sz w:val="28"/>
          <w:szCs w:val="28"/>
          <w:highlight w:val="none"/>
        </w:rPr>
      </w:pPr>
      <w:r/>
      <w:bookmarkStart w:id="820" w:name="_Toc99301426"/>
      <w:r>
        <w:rPr>
          <w:rFonts w:hint="eastAsia" w:ascii="黑体" w:hAnsi="黑体" w:eastAsia="黑体" w:cs="黑体"/>
          <w:color w:val="auto"/>
          <w:sz w:val="28"/>
          <w:szCs w:val="28"/>
          <w:highlight w:val="none"/>
        </w:rPr>
        <w:t xml:space="preserve">本合同文本为公共机构能源托管规程</w:t>
      </w:r>
      <w:r>
        <w:rPr>
          <w:rFonts w:ascii="黑体" w:hAnsi="黑体" w:eastAsia="黑体" w:cs="黑体"/>
          <w:color w:val="auto"/>
          <w:sz w:val="28"/>
          <w:szCs w:val="28"/>
          <w:highlight w:val="none"/>
        </w:rPr>
        <w:t xml:space="preserve">D</w:t>
      </w:r>
      <w:r>
        <w:rPr>
          <w:rFonts w:eastAsia="Times New Roman"/>
          <w:color w:val="auto"/>
          <w:sz w:val="28"/>
          <w:szCs w:val="28"/>
          <w:highlight w:val="none"/>
        </w:rPr>
        <w:t xml:space="preserve">B</w:t>
      </w:r>
      <w:r>
        <w:rPr>
          <w:rFonts w:ascii="黑体" w:hAnsi="黑体" w:eastAsia="黑体" w:cs="黑体"/>
          <w:color w:val="auto"/>
          <w:spacing w:val="-1"/>
          <w:sz w:val="28"/>
          <w:szCs w:val="28"/>
          <w:highlight w:val="none"/>
        </w:rPr>
        <w:t xml:space="preserve">32/</w:t>
      </w:r>
      <w:r>
        <w:rPr>
          <w:rFonts w:ascii="黑体" w:hAnsi="黑体" w:eastAsia="黑体" w:cs="黑体"/>
          <w:color w:val="auto"/>
          <w:sz w:val="28"/>
          <w:szCs w:val="28"/>
          <w:highlight w:val="none"/>
        </w:rPr>
        <w:t xml:space="preserve">T 4446—2023</w:t>
      </w:r>
      <w:r>
        <w:rPr>
          <w:rFonts w:hint="eastAsia" w:ascii="黑体" w:hAnsi="黑体" w:eastAsia="黑体" w:cs="黑体"/>
          <w:color w:val="auto"/>
          <w:sz w:val="28"/>
          <w:szCs w:val="28"/>
          <w:highlight w:val="none"/>
        </w:rPr>
        <w:t xml:space="preserve">的合同模</w:t>
      </w:r>
      <w:r/>
    </w:p>
    <w:p>
      <w:pPr>
        <w:ind w:left="620"/>
        <w:jc w:val="left"/>
        <w:spacing w:before="326" w:line="185"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版，如遇和实际情况有不符之处，双方签订合同时根据实际情况修改。</w:t>
      </w:r>
      <w:r/>
    </w:p>
    <w:p>
      <w:pPr>
        <w:rPr>
          <w:rFonts w:ascii="黑体" w:hAnsi="黑体" w:eastAsia="黑体" w:cs="黑体"/>
          <w:color w:val="auto"/>
          <w:sz w:val="52"/>
          <w:szCs w:val="52"/>
          <w:highlight w:val="none"/>
        </w:rPr>
      </w:pPr>
      <w:r>
        <w:rPr>
          <w:rFonts w:ascii="黑体" w:hAnsi="黑体" w:eastAsia="黑体" w:cs="黑体"/>
          <w:color w:val="auto"/>
          <w:sz w:val="52"/>
          <w:szCs w:val="52"/>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b/>
          <w:bCs/>
          <w:color w:val="auto"/>
          <w:sz w:val="48"/>
          <w:szCs w:val="56"/>
          <w:highlight w:val="none"/>
        </w:rPr>
      </w:pPr>
      <w:r>
        <w:rPr>
          <w:rFonts w:hint="eastAsia" w:ascii="黑体" w:hAnsi="黑体" w:eastAsia="黑体"/>
          <w:b/>
          <w:bCs/>
          <w:color w:val="auto"/>
          <w:sz w:val="48"/>
          <w:szCs w:val="56"/>
          <w:highlight w:val="none"/>
        </w:rPr>
        <w:t xml:space="preserve">XX医院综合能源费用托管服务</w:t>
      </w:r>
      <w:r/>
    </w:p>
    <w:p>
      <w:pPr>
        <w:jc w:val="center"/>
        <w:spacing w:line="360" w:lineRule="auto"/>
        <w:rPr>
          <w:rFonts w:ascii="黑体" w:hAnsi="黑体" w:eastAsia="黑体"/>
          <w:b/>
          <w:bCs/>
          <w:color w:val="auto"/>
          <w:sz w:val="48"/>
          <w:szCs w:val="56"/>
          <w:highlight w:val="none"/>
        </w:rPr>
      </w:pPr>
      <w:r>
        <w:rPr>
          <w:rFonts w:hint="eastAsia" w:ascii="黑体" w:hAnsi="黑体" w:eastAsia="黑体"/>
          <w:b/>
          <w:bCs/>
          <w:color w:val="auto"/>
          <w:sz w:val="48"/>
          <w:szCs w:val="56"/>
          <w:highlight w:val="none"/>
        </w:rPr>
        <w:t xml:space="preserve">项目合同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10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972"/>
        <w:gridCol w:w="5330"/>
      </w:tblGrid>
      <w:tr>
        <w:trPr/>
        <w:tc>
          <w:tcPr>
            <w:tcW w:w="2972" w:type="dxa"/>
            <w:textDirection w:val="lrTb"/>
            <w:noWrap w:val="false"/>
          </w:tcPr>
          <w:p>
            <w:pPr>
              <w:rPr>
                <w:color w:val="auto"/>
                <w:sz w:val="28"/>
                <w:highlight w:val="none"/>
              </w:rPr>
            </w:pPr>
            <w:r>
              <w:rPr>
                <w:color w:val="auto"/>
                <w:sz w:val="28"/>
                <w:highlight w:val="none"/>
              </w:rPr>
            </w:r>
            <w:r/>
          </w:p>
          <w:p>
            <w:pPr>
              <w:rPr>
                <w:color w:val="auto"/>
                <w:sz w:val="28"/>
                <w:highlight w:val="none"/>
              </w:rPr>
            </w:pPr>
            <w:r>
              <w:rPr>
                <w:color w:val="auto"/>
                <w:sz w:val="28"/>
                <w:highlight w:val="none"/>
              </w:rPr>
            </w:r>
            <w:r/>
          </w:p>
          <w:p>
            <w:pPr>
              <w:rPr>
                <w:color w:val="auto"/>
                <w:sz w:val="28"/>
                <w:highlight w:val="none"/>
              </w:rPr>
            </w:pPr>
            <w:r>
              <w:rPr>
                <w:color w:val="auto"/>
                <w:sz w:val="28"/>
                <w:highlight w:val="none"/>
              </w:rPr>
            </w:r>
            <w:r/>
          </w:p>
          <w:p>
            <w:pPr>
              <w:rPr>
                <w:color w:val="auto"/>
                <w:sz w:val="28"/>
                <w:highlight w:val="none"/>
              </w:rPr>
            </w:pPr>
            <w:r>
              <w:rPr>
                <w:color w:val="auto"/>
                <w:sz w:val="28"/>
                <w:highlight w:val="none"/>
              </w:rPr>
            </w:r>
            <w:r/>
          </w:p>
          <w:p>
            <w:pPr>
              <w:rPr>
                <w:color w:val="auto"/>
                <w:sz w:val="28"/>
                <w:highlight w:val="none"/>
              </w:rPr>
            </w:pPr>
            <w:r>
              <w:rPr>
                <w:color w:val="auto"/>
                <w:sz w:val="28"/>
                <w:highlight w:val="none"/>
              </w:rPr>
            </w:r>
            <w:r/>
          </w:p>
        </w:tc>
        <w:tc>
          <w:tcPr>
            <w:tcW w:w="5330" w:type="dxa"/>
            <w:textDirection w:val="lrTb"/>
            <w:noWrap w:val="false"/>
          </w:tcPr>
          <w:p>
            <w:pPr>
              <w:spacing w:line="360" w:lineRule="auto"/>
              <w:rPr>
                <w:rFonts w:ascii="黑体" w:hAnsi="黑体" w:eastAsia="黑体"/>
                <w:b/>
                <w:bCs/>
                <w:color w:val="auto"/>
                <w:sz w:val="28"/>
                <w:szCs w:val="40"/>
                <w:highlight w:val="none"/>
              </w:rPr>
            </w:pPr>
            <w:r>
              <w:rPr>
                <w:rFonts w:ascii="黑体" w:hAnsi="黑体" w:eastAsia="黑体"/>
                <w:b/>
                <w:bCs/>
                <w:color w:val="auto"/>
                <w:sz w:val="28"/>
                <w:szCs w:val="40"/>
                <w:highlight w:val="none"/>
              </w:rPr>
            </w:r>
            <w:r/>
          </w:p>
        </w:tc>
      </w:tr>
      <w:tr>
        <w:trPr/>
        <w:tc>
          <w:tcPr>
            <w:tcW w:w="2972" w:type="dxa"/>
            <w:textDirection w:val="lrTb"/>
            <w:noWrap w:val="false"/>
          </w:tcPr>
          <w:p>
            <w:pPr>
              <w:rPr>
                <w:color w:val="auto"/>
                <w:sz w:val="28"/>
                <w:highlight w:val="none"/>
              </w:rPr>
            </w:pPr>
            <w:r>
              <w:rPr>
                <w:color w:val="auto"/>
                <w:sz w:val="28"/>
                <w:highlight w:val="none"/>
              </w:rPr>
            </w:r>
            <w:r/>
          </w:p>
        </w:tc>
        <w:tc>
          <w:tcPr>
            <w:tcW w:w="5330" w:type="dxa"/>
            <w:textDirection w:val="lrTb"/>
            <w:noWrap w:val="false"/>
          </w:tcPr>
          <w:p>
            <w:pPr>
              <w:spacing w:line="360" w:lineRule="auto"/>
              <w:rPr>
                <w:rFonts w:ascii="黑体" w:hAnsi="黑体" w:eastAsia="黑体"/>
                <w:b/>
                <w:bCs/>
                <w:color w:val="auto"/>
                <w:sz w:val="28"/>
                <w:szCs w:val="40"/>
                <w:highlight w:val="none"/>
              </w:rPr>
            </w:pPr>
            <w:r>
              <w:rPr>
                <w:rFonts w:ascii="黑体" w:hAnsi="黑体" w:eastAsia="黑体"/>
                <w:b/>
                <w:bCs/>
                <w:color w:val="auto"/>
                <w:sz w:val="28"/>
                <w:szCs w:val="40"/>
                <w:highlight w:val="none"/>
              </w:rPr>
            </w:r>
            <w:r/>
          </w:p>
        </w:tc>
      </w:tr>
      <w:tr>
        <w:trPr/>
        <w:tc>
          <w:tcPr>
            <w:tcW w:w="2972" w:type="dxa"/>
            <w:textDirection w:val="lrTb"/>
            <w:noWrap w:val="false"/>
          </w:tcPr>
          <w:p>
            <w:pPr>
              <w:rPr>
                <w:color w:val="auto"/>
                <w:sz w:val="28"/>
                <w:highlight w:val="none"/>
              </w:rPr>
            </w:pPr>
            <w:r>
              <w:rPr>
                <w:rFonts w:hint="eastAsia" w:ascii="黑体" w:hAnsi="黑体" w:eastAsia="黑体"/>
                <w:b/>
                <w:bCs/>
                <w:color w:val="auto"/>
                <w:sz w:val="28"/>
                <w:szCs w:val="40"/>
                <w:highlight w:val="none"/>
              </w:rPr>
              <w:t xml:space="preserve">项目名称：</w:t>
            </w:r>
            <w:r/>
          </w:p>
        </w:tc>
        <w:tc>
          <w:tcPr>
            <w:tcW w:w="5330" w:type="dxa"/>
            <w:textDirection w:val="lrTb"/>
            <w:noWrap w:val="false"/>
          </w:tcPr>
          <w:p>
            <w:pPr>
              <w:spacing w:line="360" w:lineRule="auto"/>
              <w:rPr>
                <w:rFonts w:ascii="黑体" w:hAnsi="黑体" w:eastAsia="黑体"/>
                <w:b/>
                <w:bCs/>
                <w:color w:val="auto"/>
                <w:sz w:val="28"/>
                <w:szCs w:val="40"/>
                <w:highlight w:val="none"/>
              </w:rPr>
            </w:pPr>
            <w:r>
              <w:rPr>
                <w:rFonts w:ascii="黑体" w:hAnsi="黑体" w:eastAsia="黑体"/>
                <w:b/>
                <w:bCs/>
                <w:color w:val="auto"/>
                <w:sz w:val="28"/>
                <w:szCs w:val="40"/>
                <w:highlight w:val="none"/>
              </w:rPr>
            </w:r>
            <w:r/>
          </w:p>
        </w:tc>
      </w:tr>
      <w:tr>
        <w:trPr/>
        <w:tc>
          <w:tcPr>
            <w:tcW w:w="2972" w:type="dxa"/>
            <w:textDirection w:val="lrTb"/>
            <w:noWrap w:val="false"/>
          </w:tcPr>
          <w:p>
            <w:pPr>
              <w:rPr>
                <w:rFonts w:ascii="黑体" w:hAnsi="黑体" w:eastAsia="黑体"/>
                <w:b/>
                <w:bCs/>
                <w:color w:val="auto"/>
                <w:sz w:val="28"/>
                <w:szCs w:val="40"/>
                <w:highlight w:val="none"/>
              </w:rPr>
            </w:pPr>
            <w:r>
              <w:rPr>
                <w:rFonts w:hint="eastAsia" w:ascii="黑体" w:hAnsi="黑体" w:eastAsia="黑体"/>
                <w:b/>
                <w:bCs/>
                <w:color w:val="auto"/>
                <w:sz w:val="28"/>
                <w:szCs w:val="40"/>
                <w:highlight w:val="none"/>
              </w:rPr>
              <w:t xml:space="preserve">委托方（甲方）：</w:t>
            </w:r>
            <w:r/>
          </w:p>
        </w:tc>
        <w:tc>
          <w:tcPr>
            <w:tcW w:w="5330" w:type="dxa"/>
            <w:textDirection w:val="lrTb"/>
            <w:noWrap w:val="false"/>
          </w:tcPr>
          <w:p>
            <w:pPr>
              <w:spacing w:line="360" w:lineRule="auto"/>
              <w:rPr>
                <w:rFonts w:ascii="黑体" w:hAnsi="黑体" w:eastAsia="黑体"/>
                <w:b/>
                <w:bCs/>
                <w:color w:val="auto"/>
                <w:sz w:val="28"/>
                <w:szCs w:val="40"/>
                <w:highlight w:val="none"/>
              </w:rPr>
            </w:pPr>
            <w:r>
              <w:rPr>
                <w:rFonts w:ascii="黑体" w:hAnsi="黑体" w:eastAsia="黑体"/>
                <w:b/>
                <w:bCs/>
                <w:color w:val="auto"/>
                <w:sz w:val="28"/>
                <w:szCs w:val="40"/>
                <w:highlight w:val="none"/>
              </w:rPr>
            </w:r>
            <w:r/>
          </w:p>
        </w:tc>
      </w:tr>
      <w:tr>
        <w:trPr/>
        <w:tc>
          <w:tcPr>
            <w:tcW w:w="2972" w:type="dxa"/>
            <w:textDirection w:val="lrTb"/>
            <w:noWrap w:val="false"/>
          </w:tcPr>
          <w:p>
            <w:pPr>
              <w:rPr>
                <w:rFonts w:ascii="黑体" w:hAnsi="黑体" w:eastAsia="黑体"/>
                <w:b/>
                <w:bCs/>
                <w:color w:val="auto"/>
                <w:sz w:val="28"/>
                <w:szCs w:val="40"/>
                <w:highlight w:val="none"/>
              </w:rPr>
            </w:pPr>
            <w:r>
              <w:rPr>
                <w:rFonts w:hint="eastAsia" w:ascii="黑体" w:hAnsi="黑体" w:eastAsia="黑体"/>
                <w:b/>
                <w:bCs/>
                <w:color w:val="auto"/>
                <w:sz w:val="28"/>
                <w:szCs w:val="40"/>
                <w:highlight w:val="none"/>
              </w:rPr>
              <w:t xml:space="preserve">受托方（乙方）：</w:t>
            </w:r>
            <w:r/>
          </w:p>
        </w:tc>
        <w:tc>
          <w:tcPr>
            <w:tcW w:w="5330" w:type="dxa"/>
            <w:textDirection w:val="lrTb"/>
            <w:noWrap w:val="false"/>
          </w:tcPr>
          <w:p>
            <w:pPr>
              <w:spacing w:line="360" w:lineRule="auto"/>
              <w:rPr>
                <w:rFonts w:ascii="黑体" w:hAnsi="黑体" w:eastAsia="黑体"/>
                <w:b/>
                <w:bCs/>
                <w:color w:val="auto"/>
                <w:sz w:val="28"/>
                <w:szCs w:val="40"/>
                <w:highlight w:val="none"/>
              </w:rPr>
            </w:pPr>
            <w:r>
              <w:rPr>
                <w:rFonts w:ascii="黑体" w:hAnsi="黑体" w:eastAsia="黑体"/>
                <w:b/>
                <w:bCs/>
                <w:color w:val="auto"/>
                <w:sz w:val="28"/>
                <w:szCs w:val="40"/>
                <w:highlight w:val="none"/>
              </w:rPr>
            </w:r>
            <w:r/>
          </w:p>
        </w:tc>
      </w:tr>
      <w:tr>
        <w:trPr/>
        <w:tc>
          <w:tcPr>
            <w:tcW w:w="2972" w:type="dxa"/>
            <w:textDirection w:val="lrTb"/>
            <w:noWrap w:val="false"/>
          </w:tcPr>
          <w:p>
            <w:pPr>
              <w:rPr>
                <w:rFonts w:ascii="黑体" w:hAnsi="黑体" w:eastAsia="黑体"/>
                <w:b/>
                <w:bCs/>
                <w:color w:val="auto"/>
                <w:sz w:val="28"/>
                <w:szCs w:val="40"/>
                <w:highlight w:val="none"/>
              </w:rPr>
            </w:pPr>
            <w:r>
              <w:rPr>
                <w:rFonts w:hint="eastAsia" w:ascii="黑体" w:hAnsi="黑体" w:eastAsia="黑体"/>
                <w:b/>
                <w:bCs/>
                <w:color w:val="auto"/>
                <w:sz w:val="28"/>
                <w:szCs w:val="40"/>
                <w:highlight w:val="none"/>
              </w:rPr>
              <w:t xml:space="preserve">签订日期：</w:t>
            </w:r>
            <w:r/>
          </w:p>
        </w:tc>
        <w:tc>
          <w:tcPr>
            <w:tcW w:w="5330" w:type="dxa"/>
            <w:textDirection w:val="lrTb"/>
            <w:noWrap w:val="false"/>
          </w:tcPr>
          <w:p>
            <w:pPr>
              <w:spacing w:line="360" w:lineRule="auto"/>
              <w:rPr>
                <w:rFonts w:ascii="黑体" w:hAnsi="黑体" w:eastAsia="黑体"/>
                <w:b/>
                <w:bCs/>
                <w:color w:val="auto"/>
                <w:sz w:val="28"/>
                <w:szCs w:val="40"/>
                <w:highlight w:val="none"/>
              </w:rPr>
            </w:pPr>
            <w:r>
              <w:rPr>
                <w:rFonts w:ascii="黑体" w:hAnsi="黑体" w:eastAsia="黑体"/>
                <w:b/>
                <w:bCs/>
                <w:color w:val="auto"/>
                <w:sz w:val="28"/>
                <w:szCs w:val="40"/>
                <w:highlight w:val="none"/>
              </w:rPr>
            </w:r>
            <w:r/>
          </w:p>
        </w:tc>
      </w:tr>
      <w:tr>
        <w:trPr/>
        <w:tc>
          <w:tcPr>
            <w:tcW w:w="2972" w:type="dxa"/>
            <w:textDirection w:val="lrTb"/>
            <w:noWrap w:val="false"/>
          </w:tcPr>
          <w:p>
            <w:pPr>
              <w:rPr>
                <w:rFonts w:ascii="黑体" w:hAnsi="黑体" w:eastAsia="黑体"/>
                <w:b/>
                <w:bCs/>
                <w:color w:val="auto"/>
                <w:sz w:val="28"/>
                <w:szCs w:val="40"/>
                <w:highlight w:val="none"/>
              </w:rPr>
            </w:pPr>
            <w:r>
              <w:rPr>
                <w:rFonts w:hint="eastAsia" w:ascii="黑体" w:hAnsi="黑体" w:eastAsia="黑体"/>
                <w:b/>
                <w:bCs/>
                <w:color w:val="auto"/>
                <w:sz w:val="28"/>
                <w:szCs w:val="40"/>
                <w:highlight w:val="none"/>
              </w:rPr>
              <w:t xml:space="preserve">签订地点：</w:t>
            </w:r>
            <w:r/>
          </w:p>
        </w:tc>
        <w:tc>
          <w:tcPr>
            <w:tcW w:w="5330" w:type="dxa"/>
            <w:textDirection w:val="lrTb"/>
            <w:noWrap w:val="false"/>
          </w:tcPr>
          <w:p>
            <w:pPr>
              <w:spacing w:line="500" w:lineRule="exact"/>
              <w:rPr>
                <w:rFonts w:ascii="黑体" w:hAnsi="黑体" w:eastAsia="黑体"/>
                <w:b/>
                <w:bCs/>
                <w:i/>
                <w:iCs/>
                <w:color w:val="auto"/>
                <w:sz w:val="28"/>
                <w:szCs w:val="40"/>
                <w:highlight w:val="none"/>
              </w:rPr>
            </w:pPr>
            <w:r>
              <w:rPr>
                <w:rFonts w:ascii="黑体" w:hAnsi="黑体" w:eastAsia="黑体"/>
                <w:b/>
                <w:bCs/>
                <w:i/>
                <w:iCs/>
                <w:color w:val="auto"/>
                <w:sz w:val="28"/>
                <w:szCs w:val="40"/>
                <w:highlight w:val="none"/>
              </w:rPr>
            </w:r>
            <w:r/>
          </w:p>
        </w:tc>
      </w:tr>
    </w:tbl>
    <w:p>
      <w:pPr>
        <w:rPr>
          <w:color w:val="auto"/>
          <w:highlight w:val="none"/>
        </w:rPr>
      </w:pPr>
      <w:r>
        <w:rPr>
          <w:color w:val="auto"/>
          <w:highlight w:val="none"/>
        </w:rPr>
      </w:r>
      <w:r/>
    </w:p>
    <w:p>
      <w:pPr>
        <w:pStyle w:val="1076"/>
        <w:rPr>
          <w:color w:val="auto"/>
          <w:highlight w:val="none"/>
        </w:rPr>
      </w:pPr>
      <w:r>
        <w:rPr>
          <w:color w:val="auto"/>
          <w:highlight w:val="none"/>
        </w:rPr>
        <w:br w:type="page" w:clear="all"/>
      </w:r>
      <w:r/>
    </w:p>
    <w:tbl>
      <w:tblPr>
        <w:tblStyle w:val="10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3114"/>
        <w:gridCol w:w="5188"/>
      </w:tblGrid>
      <w:tr>
        <w:trPr>
          <w:trHeight w:val="709"/>
        </w:trPr>
        <w:tc>
          <w:tcPr>
            <w:tcW w:w="3114" w:type="dxa"/>
            <w:textDirection w:val="lrTb"/>
            <w:noWrap w:val="false"/>
          </w:tcPr>
          <w:p>
            <w:pPr>
              <w:spacing w:line="500" w:lineRule="exact"/>
              <w:rPr>
                <w:rFonts w:ascii="宋体"/>
                <w:color w:val="auto"/>
                <w:sz w:val="24"/>
                <w:highlight w:val="none"/>
              </w:rPr>
            </w:pPr>
            <w:r>
              <w:rPr>
                <w:rFonts w:hint="eastAsia" w:ascii="宋体"/>
                <w:color w:val="auto"/>
                <w:sz w:val="24"/>
                <w:highlight w:val="none"/>
              </w:rPr>
              <w:t xml:space="preserve">采购人（以下简称甲方）：</w:t>
            </w:r>
            <w:r/>
          </w:p>
        </w:tc>
        <w:tc>
          <w:tcPr>
            <w:tcW w:w="5188" w:type="dxa"/>
            <w:textDirection w:val="lrTb"/>
            <w:noWrap w:val="false"/>
          </w:tcPr>
          <w:p>
            <w:pPr>
              <w:spacing w:line="500" w:lineRule="exact"/>
              <w:rPr>
                <w:rFonts w:ascii="宋体" w:hAnsi="宋体"/>
                <w:color w:val="auto"/>
                <w:sz w:val="24"/>
                <w:highlight w:val="none"/>
                <w:u w:val="single"/>
              </w:rPr>
            </w:pPr>
            <w:r>
              <w:rPr>
                <w:rFonts w:ascii="宋体" w:hAnsi="宋体"/>
                <w:color w:val="auto"/>
                <w:sz w:val="24"/>
                <w:highlight w:val="none"/>
                <w:u w:val="single"/>
              </w:rPr>
            </w:r>
            <w:r/>
          </w:p>
        </w:tc>
      </w:tr>
      <w:tr>
        <w:trPr/>
        <w:tc>
          <w:tcPr>
            <w:tcW w:w="3114" w:type="dxa"/>
            <w:textDirection w:val="lrTb"/>
            <w:noWrap w:val="false"/>
          </w:tcPr>
          <w:p>
            <w:pPr>
              <w:spacing w:line="500" w:lineRule="exact"/>
              <w:rPr>
                <w:rFonts w:ascii="宋体"/>
                <w:color w:val="auto"/>
                <w:sz w:val="24"/>
                <w:highlight w:val="none"/>
              </w:rPr>
            </w:pPr>
            <w:r>
              <w:rPr>
                <w:rFonts w:hint="eastAsia"/>
                <w:color w:val="auto"/>
                <w:sz w:val="24"/>
                <w:highlight w:val="none"/>
              </w:rPr>
              <w:t xml:space="preserve">供应商（以下简称乙</w:t>
            </w:r>
            <w:r>
              <w:rPr>
                <w:color w:val="auto"/>
                <w:sz w:val="24"/>
                <w:highlight w:val="none"/>
              </w:rPr>
              <w:t xml:space="preserve">方</w:t>
            </w:r>
            <w:r>
              <w:rPr>
                <w:rFonts w:hint="eastAsia"/>
                <w:color w:val="auto"/>
                <w:sz w:val="24"/>
                <w:highlight w:val="none"/>
              </w:rPr>
              <w:t xml:space="preserve">）</w:t>
            </w:r>
            <w:r>
              <w:rPr>
                <w:color w:val="auto"/>
                <w:sz w:val="24"/>
                <w:highlight w:val="none"/>
              </w:rPr>
              <w:t xml:space="preserve">：</w:t>
            </w:r>
            <w:r/>
          </w:p>
        </w:tc>
        <w:tc>
          <w:tcPr>
            <w:tcW w:w="5188" w:type="dxa"/>
            <w:textDirection w:val="lrTb"/>
            <w:noWrap w:val="false"/>
          </w:tcPr>
          <w:p>
            <w:pPr>
              <w:spacing w:line="500" w:lineRule="exact"/>
              <w:rPr>
                <w:color w:val="auto"/>
                <w:sz w:val="24"/>
                <w:highlight w:val="none"/>
              </w:rPr>
            </w:pPr>
            <w:r>
              <w:rPr>
                <w:color w:val="auto"/>
                <w:sz w:val="24"/>
                <w:highlight w:val="none"/>
              </w:rPr>
            </w:r>
            <w:r/>
          </w:p>
        </w:tc>
      </w:tr>
      <w:tr>
        <w:trPr/>
        <w:tc>
          <w:tcPr>
            <w:tcW w:w="3114" w:type="dxa"/>
            <w:textDirection w:val="lrTb"/>
            <w:noWrap w:val="false"/>
          </w:tcPr>
          <w:p>
            <w:pPr>
              <w:spacing w:line="500" w:lineRule="exact"/>
              <w:rPr>
                <w:color w:val="auto"/>
                <w:sz w:val="24"/>
                <w:highlight w:val="none"/>
              </w:rPr>
            </w:pPr>
            <w:r>
              <w:rPr>
                <w:color w:val="auto"/>
                <w:sz w:val="24"/>
                <w:highlight w:val="none"/>
              </w:rPr>
            </w:r>
            <w:r/>
          </w:p>
        </w:tc>
        <w:tc>
          <w:tcPr>
            <w:tcW w:w="5188" w:type="dxa"/>
            <w:textDirection w:val="lrTb"/>
            <w:noWrap w:val="false"/>
          </w:tcPr>
          <w:p>
            <w:pPr>
              <w:spacing w:line="500" w:lineRule="exact"/>
              <w:rPr>
                <w:rFonts w:ascii="宋体"/>
                <w:color w:val="auto"/>
                <w:sz w:val="24"/>
                <w:highlight w:val="none"/>
              </w:rPr>
            </w:pPr>
            <w:r>
              <w:rPr>
                <w:rFonts w:ascii="宋体"/>
                <w:color w:val="auto"/>
                <w:sz w:val="24"/>
                <w:highlight w:val="none"/>
              </w:rPr>
            </w:r>
            <w:r/>
          </w:p>
        </w:tc>
      </w:tr>
    </w:tbl>
    <w:p>
      <w:pPr>
        <w:ind w:firstLine="480"/>
        <w:spacing w:line="500" w:lineRule="exact"/>
        <w:rPr>
          <w:rFonts w:ascii="宋体" w:cs="宋体"/>
          <w:color w:val="auto"/>
          <w:sz w:val="24"/>
          <w:highlight w:val="none"/>
        </w:rPr>
      </w:pPr>
      <w:r/>
      <w:bookmarkStart w:id="821" w:name="_Hlk101944585"/>
      <w:r>
        <w:rPr>
          <w:rFonts w:hint="eastAsia" w:ascii="宋体" w:cs="宋体"/>
          <w:color w:val="auto"/>
          <w:sz w:val="24"/>
          <w:highlight w:val="none"/>
        </w:rPr>
        <w:t xml:space="preserve">根据《中华人民共和国政府采购法》、《中华人民共和国民法典》及</w:t>
      </w:r>
      <w:r>
        <w:rPr>
          <w:rFonts w:hint="eastAsia" w:cs="宋体"/>
          <w:color w:val="auto"/>
          <w:sz w:val="24"/>
          <w:szCs w:val="21"/>
          <w:highlight w:val="none"/>
        </w:rPr>
        <w:t xml:space="preserve">采购</w:t>
      </w:r>
      <w:r>
        <w:rPr>
          <w:rFonts w:cs="宋体"/>
          <w:color w:val="auto"/>
          <w:sz w:val="24"/>
          <w:szCs w:val="21"/>
          <w:highlight w:val="none"/>
        </w:rPr>
        <w:t xml:space="preserve">代理机构</w:t>
      </w:r>
      <w:r>
        <w:rPr>
          <w:rFonts w:hint="eastAsia" w:ascii="宋体" w:cs="宋体"/>
          <w:color w:val="auto"/>
          <w:sz w:val="24"/>
          <w:highlight w:val="none"/>
        </w:rPr>
        <w:t xml:space="preserve">采购项目</w:t>
      </w:r>
      <w:bookmarkStart w:id="822" w:name="_Hlk101944317"/>
      <w:r>
        <w:rPr>
          <w:rFonts w:hint="eastAsia" w:ascii="宋体" w:cs="宋体"/>
          <w:color w:val="auto"/>
          <w:sz w:val="24"/>
          <w:highlight w:val="none"/>
        </w:rPr>
        <w:t xml:space="preserve">（采购编号：）</w:t>
      </w:r>
      <w:bookmarkEnd w:id="822"/>
      <w:r>
        <w:rPr>
          <w:rFonts w:hint="eastAsia" w:ascii="宋体" w:cs="宋体"/>
          <w:color w:val="auto"/>
          <w:sz w:val="24"/>
          <w:highlight w:val="none"/>
        </w:rPr>
        <w:t xml:space="preserve">的《招标文件》</w:t>
      </w:r>
      <w:bookmarkEnd w:id="821"/>
      <w:r>
        <w:rPr>
          <w:rFonts w:hint="eastAsia" w:ascii="宋体" w:cs="宋体"/>
          <w:color w:val="auto"/>
          <w:sz w:val="24"/>
          <w:highlight w:val="none"/>
        </w:rPr>
        <w:t xml:space="preserve">、乙方的《投标文件》及《中标通知书》，甲、乙双方同意签订本合同。详细技术说明及其他有关合同项目的特定信息由合同附件予以说明，合同附件及本项目的招标文件、投标文件、《中标通知书》等均为本合同不可分割的部分。</w:t>
      </w:r>
      <w:bookmarkStart w:id="823" w:name="_Hlk101945734"/>
      <w:r>
        <w:rPr>
          <w:rFonts w:hint="eastAsia" w:ascii="宋体" w:cs="宋体"/>
          <w:color w:val="auto"/>
          <w:sz w:val="24"/>
          <w:highlight w:val="none"/>
        </w:rPr>
        <w:t xml:space="preserve">双方同意共同遵守如下条款：</w:t>
      </w:r>
      <w:bookmarkEnd w:id="823"/>
      <w:r/>
      <w:r/>
    </w:p>
    <w:p>
      <w:pPr>
        <w:pStyle w:val="1032"/>
        <w:numPr>
          <w:ilvl w:val="0"/>
          <w:numId w:val="0"/>
        </w:numPr>
        <w:ind w:left="425" w:hanging="425"/>
        <w:jc w:val="both"/>
        <w:spacing w:after="240" w:line="240" w:lineRule="auto"/>
        <w:rPr>
          <w:rFonts w:hAnsi="宋体"/>
          <w:color w:val="auto"/>
          <w:highlight w:val="none"/>
        </w:rPr>
      </w:pPr>
      <w:r>
        <w:rPr>
          <w:rFonts w:hint="eastAsia" w:ascii="宋体" w:hAnsi="宋体" w:eastAsia="宋体" w:cs="Times New Roman"/>
          <w:b/>
          <w:color w:val="auto"/>
          <w:sz w:val="32"/>
          <w:szCs w:val="20"/>
          <w:highlight w:val="none"/>
          <w:lang w:val="en-US" w:eastAsia="zh-CN" w:bidi="ar-SA"/>
        </w:rPr>
        <w:t xml:space="preserve">第一条</w:t>
      </w:r>
      <w:r>
        <w:rPr>
          <w:rFonts w:hint="eastAsia"/>
          <w:color w:val="auto"/>
          <w:highlight w:val="none"/>
        </w:rPr>
        <w:t xml:space="preserve">术语及定义</w:t>
      </w:r>
      <w:r/>
    </w:p>
    <w:p>
      <w:pPr>
        <w:pStyle w:val="1280"/>
        <w:numPr>
          <w:ilvl w:val="1"/>
          <w:numId w:val="0"/>
        </w:numPr>
        <w:contextualSpacing/>
        <w:ind w:left="420" w:hanging="420"/>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1.1.</w:t>
      </w:r>
      <w:r>
        <w:rPr>
          <w:rFonts w:hint="eastAsia" w:ascii="宋体" w:hAnsi="宋体"/>
          <w:color w:val="auto"/>
          <w:highlight w:val="none"/>
        </w:rPr>
        <w:t xml:space="preserve">合同能源管理：指甲乙双方以合同形式约定合同能源管理项目的实施内容，乙方向甲方提供必要的服务，甲方以合同约定的</w:t>
      </w:r>
      <w:r>
        <w:rPr>
          <w:rFonts w:ascii="宋体" w:hAnsi="宋体"/>
          <w:color w:val="auto"/>
          <w:highlight w:val="none"/>
        </w:rPr>
        <w:t xml:space="preserve">能源费</w:t>
      </w:r>
      <w:r>
        <w:rPr>
          <w:rFonts w:hint="eastAsia" w:ascii="宋体" w:hAnsi="宋体"/>
          <w:color w:val="auto"/>
          <w:highlight w:val="none"/>
        </w:rPr>
        <w:t xml:space="preserve">用支付乙方的投入及合理利润的合同能源管理机制。</w:t>
      </w:r>
      <w:r/>
    </w:p>
    <w:p>
      <w:pPr>
        <w:pStyle w:val="1280"/>
        <w:numPr>
          <w:ilvl w:val="1"/>
          <w:numId w:val="0"/>
        </w:numPr>
        <w:contextualSpacing/>
        <w:ind w:left="420" w:hanging="420"/>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1.2.</w:t>
      </w:r>
      <w:r>
        <w:rPr>
          <w:rFonts w:hint="eastAsia" w:ascii="宋体" w:hAnsi="宋体"/>
          <w:color w:val="auto"/>
          <w:highlight w:val="none"/>
        </w:rPr>
        <w:t xml:space="preserve">能源费用托管型合同能源管理：合同能源管理的一种形式，指甲方委托乙方进行能源系统的运行、管理、维护和改造，甲方根据能源基准确定的费用支付给乙方作为托管费用，乙方通过科学的管理运行和节能技术的应用达到节约能源资源、减少费用支出等目的，获取合理的利润的一种合同能源管理形式。</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1.3.</w:t>
      </w:r>
      <w:r>
        <w:rPr>
          <w:rFonts w:hint="eastAsia" w:ascii="宋体" w:hAnsi="宋体"/>
          <w:color w:val="auto"/>
          <w:highlight w:val="none"/>
        </w:rPr>
        <w:t xml:space="preserve">建设期：乙方完成改造（施工、设备安装、调试）并通过甲方验收的期限。</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1.4.</w:t>
      </w:r>
      <w:r>
        <w:rPr>
          <w:rFonts w:hint="eastAsia" w:ascii="宋体" w:hAnsi="宋体"/>
          <w:color w:val="auto"/>
          <w:highlight w:val="none"/>
        </w:rPr>
        <w:t xml:space="preserve">能源托管期：指乙方向甲方提供能源托管服务，甲方向乙方支付能源托管费用的期限。</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1.5.</w:t>
      </w:r>
      <w:r>
        <w:rPr>
          <w:rFonts w:hint="eastAsia" w:ascii="宋体" w:hAnsi="宋体"/>
          <w:color w:val="auto"/>
          <w:highlight w:val="none"/>
        </w:rPr>
        <w:t xml:space="preserve">能源托管周期：自能源托管期开始后，每1</w:t>
      </w:r>
      <w:r>
        <w:rPr>
          <w:rFonts w:ascii="宋体" w:hAnsi="宋体"/>
          <w:color w:val="auto"/>
          <w:highlight w:val="none"/>
        </w:rPr>
        <w:t xml:space="preserve">2</w:t>
      </w:r>
      <w:r>
        <w:rPr>
          <w:rFonts w:hint="eastAsia" w:ascii="宋体" w:hAnsi="宋体"/>
          <w:color w:val="auto"/>
          <w:highlight w:val="none"/>
        </w:rPr>
        <w:t xml:space="preserve">个月为一个能源托管周期。</w:t>
      </w:r>
      <w:r/>
    </w:p>
    <w:p>
      <w:pPr>
        <w:pStyle w:val="1280"/>
        <w:numPr>
          <w:ilvl w:val="1"/>
          <w:numId w:val="0"/>
        </w:numPr>
        <w:contextualSpacing/>
        <w:ind w:left="0" w:firstLine="0"/>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1.6.</w:t>
      </w:r>
      <w:r>
        <w:rPr>
          <w:rFonts w:hint="eastAsia" w:ascii="宋体" w:hAnsi="宋体"/>
          <w:color w:val="auto"/>
          <w:highlight w:val="none"/>
        </w:rPr>
        <w:t xml:space="preserve">节能设备：指本项目下所有由乙方采购并安装的设备、设施、仪器和系统等财产。</w:t>
      </w:r>
      <w:r/>
    </w:p>
    <w:p>
      <w:pPr>
        <w:pStyle w:val="1280"/>
        <w:contextualSpacing/>
        <w:ind w:firstLine="0"/>
        <w:spacing w:line="360" w:lineRule="auto"/>
        <w:rPr>
          <w:color w:val="auto"/>
          <w:sz w:val="24"/>
          <w:highlight w:val="none"/>
        </w:rPr>
      </w:pPr>
      <w:r>
        <w:rPr>
          <w:rFonts w:hint="eastAsia"/>
          <w:color w:val="auto"/>
          <w:highlight w:val="none"/>
        </w:rPr>
        <w:br w:type="page" w:clear="all"/>
      </w:r>
      <w:r/>
    </w:p>
    <w:p>
      <w:pPr>
        <w:pStyle w:val="1032"/>
        <w:numPr>
          <w:ilvl w:val="0"/>
          <w:numId w:val="0"/>
        </w:numPr>
        <w:ind w:left="425" w:hanging="425"/>
        <w:jc w:val="both"/>
        <w:spacing w:after="240" w:line="240" w:lineRule="auto"/>
        <w:rPr>
          <w:rFonts w:hAnsi="宋体"/>
          <w:color w:val="auto"/>
          <w:highlight w:val="none"/>
        </w:rPr>
      </w:pPr>
      <w:r>
        <w:rPr>
          <w:rFonts w:hint="eastAsia" w:ascii="宋体" w:hAnsi="宋体" w:eastAsia="宋体" w:cs="Times New Roman"/>
          <w:b/>
          <w:color w:val="auto"/>
          <w:sz w:val="32"/>
          <w:szCs w:val="20"/>
          <w:highlight w:val="none"/>
          <w:lang w:val="en-US" w:eastAsia="zh-CN" w:bidi="ar-SA"/>
        </w:rPr>
        <w:t xml:space="preserve">第二条</w:t>
      </w:r>
      <w:r>
        <w:rPr>
          <w:rFonts w:hint="eastAsia"/>
          <w:color w:val="auto"/>
          <w:highlight w:val="none"/>
        </w:rPr>
        <w:t xml:space="preserve">项目概况</w:t>
      </w:r>
      <w:r/>
    </w:p>
    <w:p>
      <w:pPr>
        <w:pStyle w:val="1280"/>
        <w:numPr>
          <w:ilvl w:val="1"/>
          <w:numId w:val="0"/>
        </w:numPr>
        <w:contextualSpacing/>
        <w:ind w:left="420" w:hanging="420"/>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2.1.</w:t>
      </w:r>
      <w:r>
        <w:rPr>
          <w:rFonts w:hint="eastAsia" w:ascii="宋体" w:hAnsi="宋体"/>
          <w:color w:val="auto"/>
          <w:highlight w:val="none"/>
        </w:rPr>
        <w:t xml:space="preserve">本托管项目的房屋建筑设施系甲方的经营办公场所,位于,由甲方依法投资建设,项目建设运营等手续合法、有效。托管项目区域内的消防、特种设备、供暖、制冷、污水处理等系统各项申报、批准、验收手续齐全。如果上述手续尚不齐备,由甲方负责完善。</w:t>
      </w:r>
      <w:r/>
    </w:p>
    <w:p>
      <w:pPr>
        <w:pStyle w:val="1280"/>
        <w:numPr>
          <w:ilvl w:val="1"/>
          <w:numId w:val="0"/>
        </w:numPr>
        <w:contextualSpacing/>
        <w:ind w:left="454" w:hanging="454"/>
        <w:spacing w:line="360" w:lineRule="auto"/>
        <w:rPr>
          <w:rFonts w:ascii="宋体" w:hAnsi="宋体"/>
          <w:color w:val="auto"/>
          <w:highlight w:val="none"/>
        </w:rPr>
      </w:pPr>
      <w:r/>
      <w:bookmarkStart w:id="824" w:name="_Hlk101944870"/>
      <w:r/>
      <w:bookmarkStart w:id="825" w:name="_Hlk101944852"/>
      <w:r>
        <w:rPr>
          <w:rFonts w:hint="default" w:ascii="宋体" w:hAnsi="宋体" w:eastAsia="宋体" w:cs="Times New Roman"/>
          <w:strike w:val="0"/>
          <w:color w:val="auto"/>
          <w:sz w:val="21"/>
          <w:szCs w:val="22"/>
          <w:highlight w:val="none"/>
          <w:lang w:val="en-US" w:eastAsia="zh-CN" w:bidi="ar-SA"/>
        </w:rPr>
        <w:t xml:space="preserve">2.2.</w:t>
      </w:r>
      <w:r>
        <w:rPr>
          <w:rFonts w:hint="eastAsia" w:ascii="宋体" w:hAnsi="宋体"/>
          <w:color w:val="auto"/>
          <w:highlight w:val="none"/>
        </w:rPr>
        <w:t xml:space="preserve">本项目托管能源类型如下</w:t>
      </w:r>
      <w:bookmarkEnd w:id="824"/>
      <w:r>
        <w:rPr>
          <w:rFonts w:hint="eastAsia" w:ascii="宋体" w:hAnsi="宋体"/>
          <w:color w:val="auto"/>
          <w:highlight w:val="none"/>
        </w:rPr>
        <w:t xml:space="preserve">：</w:t>
      </w:r>
      <w:r/>
    </w:p>
    <w:tbl>
      <w:tblPr>
        <w:tblStyle w:val="1042"/>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2969"/>
        <w:gridCol w:w="1975"/>
      </w:tblGrid>
      <w:tr>
        <w:trPr/>
        <w:tc>
          <w:tcPr>
            <w:tcW w:w="1807" w:type="dxa"/>
            <w:vAlign w:val="center"/>
            <w:textDirection w:val="lrTb"/>
            <w:noWrap w:val="false"/>
          </w:tcPr>
          <w:p>
            <w:pPr>
              <w:pStyle w:val="1280"/>
              <w:ind w:left="0" w:firstLine="0"/>
              <w:jc w:val="both"/>
              <w:spacing w:line="360" w:lineRule="auto"/>
              <w:rPr>
                <w:rFonts w:ascii="宋体" w:hAnsi="宋体"/>
                <w:color w:val="auto"/>
                <w:highlight w:val="none"/>
              </w:rPr>
            </w:pPr>
            <w:r>
              <w:rPr>
                <w:rFonts w:hint="eastAsia" w:ascii="宋体" w:hAnsi="宋体"/>
                <w:color w:val="auto"/>
                <w:highlight w:val="none"/>
              </w:rPr>
              <w:t xml:space="preserve">托管能源类型</w:t>
            </w:r>
            <w:r/>
          </w:p>
        </w:tc>
        <w:tc>
          <w:tcPr>
            <w:tcW w:w="2969" w:type="dxa"/>
            <w:vAlign w:val="center"/>
            <w:textDirection w:val="lrTb"/>
            <w:noWrap w:val="false"/>
          </w:tcPr>
          <w:p>
            <w:pPr>
              <w:pStyle w:val="1280"/>
              <w:jc w:val="center"/>
              <w:spacing w:line="360" w:lineRule="auto"/>
              <w:rPr>
                <w:rFonts w:ascii="宋体" w:hAnsi="宋体"/>
                <w:color w:val="auto"/>
                <w:highlight w:val="none"/>
              </w:rPr>
            </w:pPr>
            <w:r>
              <w:rPr>
                <w:rFonts w:hint="eastAsia" w:ascii="宋体" w:hAnsi="宋体"/>
                <w:color w:val="auto"/>
                <w:highlight w:val="none"/>
              </w:rPr>
              <w:t xml:space="preserve">计量户号</w:t>
            </w:r>
            <w:r/>
          </w:p>
        </w:tc>
        <w:tc>
          <w:tcPr>
            <w:tcW w:w="1975" w:type="dxa"/>
            <w:vAlign w:val="center"/>
            <w:textDirection w:val="lrTb"/>
            <w:noWrap w:val="false"/>
          </w:tcPr>
          <w:p>
            <w:pPr>
              <w:pStyle w:val="1280"/>
              <w:jc w:val="center"/>
              <w:spacing w:line="360" w:lineRule="auto"/>
              <w:rPr>
                <w:rFonts w:ascii="宋体" w:hAnsi="宋体"/>
                <w:color w:val="auto"/>
                <w:highlight w:val="none"/>
              </w:rPr>
            </w:pPr>
            <w:r>
              <w:rPr>
                <w:rFonts w:hint="eastAsia" w:ascii="宋体" w:hAnsi="宋体"/>
                <w:color w:val="auto"/>
                <w:highlight w:val="none"/>
              </w:rPr>
              <w:t xml:space="preserve">计量户名</w:t>
            </w:r>
            <w:r/>
          </w:p>
        </w:tc>
      </w:tr>
      <w:tr>
        <w:trPr/>
        <w:tc>
          <w:tcPr>
            <w:tcW w:w="1807" w:type="dxa"/>
            <w:vAlign w:val="center"/>
            <w:textDirection w:val="lrTb"/>
            <w:noWrap w:val="false"/>
          </w:tcPr>
          <w:p>
            <w:pPr>
              <w:jc w:val="left"/>
              <w:spacing w:before="130"/>
              <w:rPr>
                <w:rFonts w:ascii="宋体" w:hAnsi="宋体"/>
                <w:color w:val="auto"/>
                <w:highlight w:val="none"/>
              </w:rPr>
            </w:pPr>
            <w:r>
              <w:rPr>
                <w:rFonts w:hint="eastAsia" w:ascii="宋体" w:hAnsi="宋体" w:cs="仿宋"/>
                <w:color w:val="auto"/>
                <w:spacing w:val="-4"/>
                <w:sz w:val="24"/>
                <w:highlight w:val="none"/>
              </w:rPr>
              <w:t xml:space="preserve">电</w:t>
            </w:r>
            <w:r/>
          </w:p>
        </w:tc>
        <w:tc>
          <w:tcPr>
            <w:tcW w:w="2969" w:type="dxa"/>
            <w:vAlign w:val="center"/>
            <w:textDirection w:val="lrTb"/>
            <w:noWrap w:val="false"/>
          </w:tcPr>
          <w:p>
            <w:pPr>
              <w:jc w:val="center"/>
              <w:spacing w:before="130"/>
              <w:rPr>
                <w:rFonts w:ascii="宋体" w:hAnsi="宋体"/>
                <w:color w:val="auto"/>
                <w:highlight w:val="none"/>
              </w:rPr>
            </w:pPr>
            <w:r>
              <w:rPr>
                <w:rFonts w:hint="eastAsia"/>
                <w:color w:val="auto"/>
                <w:sz w:val="28"/>
                <w:szCs w:val="28"/>
                <w:highlight w:val="none"/>
              </w:rPr>
              <w:t xml:space="preserve">3203601866321</w:t>
            </w:r>
            <w:r/>
          </w:p>
        </w:tc>
        <w:tc>
          <w:tcPr>
            <w:tcW w:w="1975" w:type="dxa"/>
            <w:vAlign w:val="center"/>
            <w:textDirection w:val="lrTb"/>
            <w:noWrap w:val="false"/>
          </w:tcPr>
          <w:p>
            <w:pPr>
              <w:pStyle w:val="1280"/>
              <w:spacing w:line="360" w:lineRule="auto"/>
              <w:rPr>
                <w:rFonts w:ascii="宋体" w:hAnsi="宋体"/>
                <w:color w:val="auto"/>
                <w:highlight w:val="none"/>
              </w:rPr>
            </w:pPr>
            <w:r>
              <w:rPr>
                <w:rFonts w:ascii="宋体" w:hAnsi="宋体"/>
                <w:color w:val="auto"/>
                <w:highlight w:val="none"/>
              </w:rPr>
            </w:r>
            <w:r/>
          </w:p>
        </w:tc>
      </w:tr>
      <w:tr>
        <w:trPr/>
        <w:tc>
          <w:tcPr>
            <w:tcW w:w="1807" w:type="dxa"/>
            <w:vAlign w:val="center"/>
            <w:textDirection w:val="lrTb"/>
            <w:noWrap w:val="false"/>
          </w:tcPr>
          <w:p>
            <w:pPr>
              <w:jc w:val="left"/>
              <w:spacing w:before="130"/>
              <w:rPr>
                <w:rFonts w:ascii="宋体" w:hAnsi="宋体"/>
                <w:color w:val="auto"/>
                <w:highlight w:val="none"/>
              </w:rPr>
            </w:pPr>
            <w:r>
              <w:rPr>
                <w:rFonts w:hint="eastAsia" w:ascii="宋体" w:hAnsi="宋体" w:cs="仿宋"/>
                <w:color w:val="auto"/>
                <w:spacing w:val="-4"/>
                <w:sz w:val="24"/>
                <w:highlight w:val="none"/>
              </w:rPr>
              <w:t xml:space="preserve">天然气</w:t>
            </w:r>
            <w:r/>
          </w:p>
        </w:tc>
        <w:tc>
          <w:tcPr>
            <w:tcW w:w="2969" w:type="dxa"/>
            <w:vAlign w:val="center"/>
            <w:textDirection w:val="lrTb"/>
            <w:noWrap w:val="false"/>
          </w:tcPr>
          <w:p>
            <w:pPr>
              <w:jc w:val="center"/>
              <w:spacing w:before="130"/>
              <w:rPr>
                <w:color w:val="auto"/>
                <w:sz w:val="28"/>
                <w:szCs w:val="28"/>
                <w:highlight w:val="none"/>
              </w:rPr>
            </w:pPr>
            <w:r>
              <w:rPr>
                <w:rFonts w:hint="eastAsia"/>
                <w:color w:val="auto"/>
                <w:sz w:val="28"/>
                <w:szCs w:val="28"/>
                <w:highlight w:val="none"/>
              </w:rPr>
              <w:t xml:space="preserve">1652100003</w:t>
            </w:r>
            <w:r/>
          </w:p>
          <w:p>
            <w:pPr>
              <w:jc w:val="center"/>
              <w:spacing w:before="130"/>
              <w:rPr>
                <w:color w:val="auto"/>
                <w:sz w:val="28"/>
                <w:szCs w:val="28"/>
                <w:highlight w:val="none"/>
              </w:rPr>
            </w:pPr>
            <w:r>
              <w:rPr>
                <w:rFonts w:hint="eastAsia"/>
                <w:color w:val="auto"/>
                <w:sz w:val="28"/>
                <w:szCs w:val="28"/>
                <w:highlight w:val="none"/>
              </w:rPr>
              <w:t xml:space="preserve">1652400020</w:t>
            </w:r>
            <w:r/>
          </w:p>
          <w:p>
            <w:pPr>
              <w:jc w:val="center"/>
              <w:spacing w:before="130"/>
              <w:rPr>
                <w:color w:val="auto"/>
                <w:sz w:val="28"/>
                <w:szCs w:val="28"/>
                <w:highlight w:val="none"/>
              </w:rPr>
            </w:pPr>
            <w:r>
              <w:rPr>
                <w:rFonts w:hint="eastAsia"/>
                <w:color w:val="auto"/>
                <w:sz w:val="28"/>
                <w:szCs w:val="28"/>
                <w:highlight w:val="none"/>
              </w:rPr>
              <w:t xml:space="preserve">1652400021</w:t>
            </w:r>
            <w:r/>
          </w:p>
          <w:p>
            <w:pPr>
              <w:jc w:val="center"/>
              <w:spacing w:before="130"/>
              <w:rPr>
                <w:rFonts w:ascii="宋体" w:hAnsi="宋体"/>
                <w:color w:val="auto"/>
                <w:highlight w:val="none"/>
              </w:rPr>
            </w:pPr>
            <w:r>
              <w:rPr>
                <w:rFonts w:hint="eastAsia"/>
                <w:color w:val="auto"/>
                <w:sz w:val="28"/>
                <w:szCs w:val="28"/>
                <w:highlight w:val="none"/>
              </w:rPr>
              <w:t xml:space="preserve">1652400022</w:t>
            </w:r>
            <w:r/>
          </w:p>
        </w:tc>
        <w:tc>
          <w:tcPr>
            <w:tcW w:w="1975" w:type="dxa"/>
            <w:vAlign w:val="center"/>
            <w:textDirection w:val="lrTb"/>
            <w:noWrap w:val="false"/>
          </w:tcPr>
          <w:p>
            <w:pPr>
              <w:pStyle w:val="1280"/>
              <w:spacing w:line="360" w:lineRule="auto"/>
              <w:rPr>
                <w:rFonts w:ascii="宋体" w:hAnsi="宋体"/>
                <w:color w:val="auto"/>
                <w:highlight w:val="none"/>
              </w:rPr>
            </w:pPr>
            <w:r>
              <w:rPr>
                <w:rFonts w:ascii="宋体" w:hAnsi="宋体"/>
                <w:color w:val="auto"/>
                <w:highlight w:val="none"/>
              </w:rPr>
            </w:r>
            <w:r/>
          </w:p>
        </w:tc>
      </w:tr>
      <w:tr>
        <w:trPr/>
        <w:tc>
          <w:tcPr>
            <w:tcW w:w="1807" w:type="dxa"/>
            <w:vAlign w:val="center"/>
            <w:textDirection w:val="lrTb"/>
            <w:noWrap w:val="false"/>
          </w:tcPr>
          <w:p>
            <w:pPr>
              <w:spacing w:before="130"/>
              <w:rPr>
                <w:rFonts w:ascii="宋体" w:hAnsi="宋体"/>
                <w:color w:val="auto"/>
                <w:highlight w:val="none"/>
              </w:rPr>
            </w:pPr>
            <w:r>
              <w:rPr>
                <w:rFonts w:hint="eastAsia" w:ascii="宋体" w:hAnsi="宋体" w:cs="仿宋"/>
                <w:color w:val="auto"/>
                <w:spacing w:val="-4"/>
                <w:sz w:val="24"/>
                <w:highlight w:val="none"/>
              </w:rPr>
              <w:t xml:space="preserve">水</w:t>
            </w:r>
            <w:r/>
          </w:p>
        </w:tc>
        <w:tc>
          <w:tcPr>
            <w:tcW w:w="2969" w:type="dxa"/>
            <w:vAlign w:val="center"/>
            <w:textDirection w:val="lrTb"/>
            <w:noWrap w:val="false"/>
          </w:tcPr>
          <w:p>
            <w:pPr>
              <w:jc w:val="center"/>
              <w:spacing w:before="130"/>
              <w:rPr>
                <w:rFonts w:ascii="宋体" w:hAnsi="宋体"/>
                <w:color w:val="auto"/>
                <w:highlight w:val="none"/>
              </w:rPr>
            </w:pPr>
            <w:r>
              <w:rPr>
                <w:rFonts w:hint="eastAsia"/>
                <w:color w:val="auto"/>
                <w:sz w:val="28"/>
                <w:szCs w:val="28"/>
                <w:highlight w:val="none"/>
              </w:rPr>
              <w:t xml:space="preserve">3447404670</w:t>
            </w:r>
            <w:bookmarkEnd w:id="825"/>
            <w:r/>
            <w:r/>
          </w:p>
        </w:tc>
        <w:tc>
          <w:tcPr>
            <w:tcW w:w="1975" w:type="dxa"/>
            <w:vAlign w:val="center"/>
            <w:textDirection w:val="lrTb"/>
            <w:noWrap w:val="false"/>
          </w:tcPr>
          <w:p>
            <w:pPr>
              <w:pStyle w:val="1280"/>
              <w:spacing w:line="360" w:lineRule="auto"/>
              <w:rPr>
                <w:rFonts w:ascii="宋体" w:hAnsi="宋体"/>
                <w:color w:val="auto"/>
                <w:highlight w:val="none"/>
              </w:rPr>
            </w:pPr>
            <w:r>
              <w:rPr>
                <w:rFonts w:ascii="宋体" w:hAnsi="宋体"/>
                <w:color w:val="auto"/>
                <w:highlight w:val="none"/>
              </w:rPr>
            </w:r>
            <w:r/>
          </w:p>
        </w:tc>
      </w:tr>
    </w:tbl>
    <w:p>
      <w:pPr>
        <w:pStyle w:val="1280"/>
        <w:ind w:left="454"/>
        <w:spacing w:line="360" w:lineRule="auto"/>
        <w:rPr>
          <w:rFonts w:ascii="宋体" w:hAnsi="宋体"/>
          <w:color w:val="auto"/>
          <w:highlight w:val="none"/>
        </w:rPr>
      </w:pPr>
      <w:r>
        <w:rPr>
          <w:rFonts w:ascii="宋体" w:hAnsi="宋体"/>
          <w:color w:val="auto"/>
          <w:highlight w:val="none"/>
        </w:rPr>
      </w:r>
      <w:r/>
    </w:p>
    <w:p>
      <w:pPr>
        <w:pStyle w:val="1280"/>
        <w:numPr>
          <w:ilvl w:val="1"/>
          <w:numId w:val="0"/>
        </w:numPr>
        <w:contextualSpacing/>
        <w:ind w:left="420" w:hanging="420"/>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2.3.</w:t>
      </w:r>
      <w:r>
        <w:rPr>
          <w:rFonts w:hint="eastAsia" w:ascii="宋体" w:hAnsi="宋体"/>
          <w:color w:val="auto"/>
          <w:highlight w:val="none"/>
        </w:rPr>
        <w:t xml:space="preserve">本项目综合能源托管</w:t>
      </w:r>
      <w:bookmarkStart w:id="826" w:name="_Hlk101945168"/>
      <w:r>
        <w:rPr>
          <w:rFonts w:hint="eastAsia" w:ascii="宋体" w:hAnsi="宋体"/>
          <w:color w:val="auto"/>
          <w:highlight w:val="none"/>
        </w:rPr>
        <w:t xml:space="preserve">服务范围：具体建筑信息</w:t>
      </w:r>
      <w:bookmarkEnd w:id="826"/>
      <w:r>
        <w:rPr>
          <w:rFonts w:hint="eastAsia" w:ascii="宋体" w:hAnsi="宋体"/>
          <w:color w:val="auto"/>
          <w:highlight w:val="none"/>
        </w:rPr>
        <w:t xml:space="preserve">详见《</w:t>
      </w:r>
      <w:r>
        <w:rPr>
          <w:color w:val="auto"/>
          <w:highlight w:val="none"/>
        </w:rPr>
        <w:fldChar w:fldCharType="begin"/>
      </w:r>
      <w:r>
        <w:rPr>
          <w:color w:val="auto"/>
          <w:highlight w:val="none"/>
        </w:rPr>
        <w:instrText xml:space="preserve">REF _Ref101614900 \h \* MERGEFORMAT </w:instrText>
      </w:r>
      <w:r>
        <w:rPr>
          <w:color w:val="auto"/>
          <w:highlight w:val="none"/>
        </w:rPr>
        <w:fldChar w:fldCharType="separate"/>
      </w:r>
      <w:r>
        <w:rPr>
          <w:rFonts w:hint="eastAsia"/>
          <w:color w:val="auto"/>
          <w:highlight w:val="none"/>
        </w:rPr>
        <w:t xml:space="preserve">附件一：医院</w:t>
      </w:r>
      <w:r>
        <w:rPr>
          <w:rFonts w:hint="eastAsia" w:ascii="宋体" w:hAnsi="宋体"/>
          <w:color w:val="auto"/>
          <w:highlight w:val="none"/>
        </w:rPr>
        <w:t xml:space="preserve">托管用能建筑信息</w:t>
      </w:r>
      <w:r>
        <w:rPr>
          <w:rFonts w:hint="eastAsia" w:ascii="宋体" w:hAnsi="宋体"/>
          <w:color w:val="auto"/>
          <w:highlight w:val="none"/>
        </w:rPr>
        <w:fldChar w:fldCharType="end"/>
      </w:r>
      <w:r>
        <w:rPr>
          <w:rFonts w:hint="eastAsia" w:ascii="宋体" w:hAnsi="宋体"/>
          <w:color w:val="auto"/>
          <w:highlight w:val="none"/>
        </w:rPr>
        <w:t xml:space="preserve">》，具体用能设备及器具信息详见《</w:t>
      </w:r>
      <w:r>
        <w:rPr>
          <w:color w:val="auto"/>
          <w:highlight w:val="none"/>
        </w:rPr>
        <w:fldChar w:fldCharType="begin"/>
      </w:r>
      <w:r>
        <w:rPr>
          <w:color w:val="auto"/>
          <w:highlight w:val="none"/>
        </w:rPr>
        <w:instrText xml:space="preserve">REF _Ref101615091 \h \* MERGEFORMAT </w:instrText>
      </w:r>
      <w:r>
        <w:rPr>
          <w:color w:val="auto"/>
          <w:highlight w:val="none"/>
        </w:rPr>
        <w:fldChar w:fldCharType="separate"/>
      </w:r>
      <w:r>
        <w:rPr>
          <w:rFonts w:hint="eastAsia"/>
          <w:color w:val="auto"/>
          <w:highlight w:val="none"/>
        </w:rPr>
        <w:t xml:space="preserve">附件二：医院托管用能设备及器具清单</w:t>
      </w:r>
      <w:r>
        <w:rPr>
          <w:rFonts w:hint="eastAsia"/>
          <w:color w:val="auto"/>
          <w:highlight w:val="none"/>
        </w:rPr>
        <w:fldChar w:fldCharType="end"/>
      </w:r>
      <w:r>
        <w:rPr>
          <w:rFonts w:hint="eastAsia" w:ascii="宋体" w:hAnsi="宋体"/>
          <w:color w:val="auto"/>
          <w:highlight w:val="none"/>
        </w:rPr>
        <w:t xml:space="preserve">》，托管范围内建筑的能源供应标准详见“附件三能源供应及服务标准。医院于审计报表出具后新增的建筑面积及用能设备器具不在本次托管范围内，平台部署及节能技改建设期投入的用能设备及器具纳入本次托管范围内，具体清单在进入托管前由双方共同完成建筑、设备、设施及其他相关内容交接，交接清单由双方签字确认。</w:t>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第三条</w:t>
      </w:r>
      <w:r>
        <w:rPr>
          <w:rFonts w:hint="eastAsia"/>
          <w:color w:val="auto"/>
          <w:highlight w:val="none"/>
        </w:rPr>
        <w:t xml:space="preserve">合同周期</w:t>
      </w:r>
      <w:r/>
    </w:p>
    <w:p>
      <w:pPr>
        <w:ind w:firstLine="480"/>
        <w:spacing w:line="360" w:lineRule="auto"/>
        <w:rPr>
          <w:color w:val="auto"/>
          <w:sz w:val="24"/>
          <w:highlight w:val="none"/>
        </w:rPr>
      </w:pPr>
      <w:r>
        <w:rPr>
          <w:rFonts w:hint="eastAsia"/>
          <w:color w:val="auto"/>
          <w:sz w:val="24"/>
          <w:highlight w:val="none"/>
        </w:rPr>
        <w:t xml:space="preserve">本项目合同周期包括建设期和能源托管期两个阶段：</w:t>
      </w:r>
      <w:r/>
    </w:p>
    <w:p>
      <w:pPr>
        <w:pStyle w:val="1280"/>
        <w:numPr>
          <w:ilvl w:val="1"/>
          <w:numId w:val="0"/>
        </w:numPr>
        <w:contextualSpacing/>
        <w:ind w:left="454" w:hanging="454"/>
        <w:spacing w:line="360" w:lineRule="auto"/>
        <w:rPr>
          <w:rFonts w:ascii="宋体" w:hAnsi="宋体"/>
          <w:strike/>
          <w:color w:val="auto"/>
          <w:highlight w:val="none"/>
        </w:rPr>
      </w:pPr>
      <w:r>
        <w:rPr>
          <w:rFonts w:hint="default" w:ascii="宋体" w:hAnsi="宋体" w:eastAsia="宋体" w:cs="Times New Roman"/>
          <w:strike w:val="0"/>
          <w:color w:val="auto"/>
          <w:sz w:val="21"/>
          <w:szCs w:val="22"/>
          <w:highlight w:val="none"/>
          <w:lang w:val="en-US" w:eastAsia="zh-CN" w:bidi="ar-SA"/>
        </w:rPr>
        <w:t xml:space="preserve">3.1.</w:t>
      </w:r>
      <w:r>
        <w:rPr>
          <w:rFonts w:hint="eastAsia" w:ascii="宋体" w:hAnsi="宋体"/>
          <w:color w:val="auto"/>
          <w:highlight w:val="none"/>
        </w:rPr>
        <w:t xml:space="preserve">本项目建设期自</w:t>
      </w:r>
      <w:r>
        <w:rPr>
          <w:rFonts w:hint="eastAsia" w:ascii="宋体" w:hAnsi="宋体"/>
          <w:color w:val="auto"/>
          <w:highlight w:val="none"/>
          <w:lang w:val="en-US" w:eastAsia="zh-CN"/>
        </w:rPr>
        <w:t xml:space="preserve">收到甲方发出的开工令</w:t>
      </w:r>
      <w:r>
        <w:rPr>
          <w:rFonts w:hint="eastAsia" w:ascii="宋体" w:hAnsi="宋体"/>
          <w:color w:val="auto"/>
          <w:highlight w:val="none"/>
        </w:rPr>
        <w:t xml:space="preserve">之日起不超过1年，即不超过2027年  月  日。</w:t>
      </w:r>
      <w:r/>
    </w:p>
    <w:p>
      <w:pPr>
        <w:pStyle w:val="1280"/>
        <w:numPr>
          <w:ilvl w:val="1"/>
          <w:numId w:val="0"/>
        </w:numPr>
        <w:contextualSpacing/>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3.2.</w:t>
      </w:r>
      <w:r>
        <w:rPr>
          <w:rFonts w:hint="eastAsia" w:ascii="宋体" w:hAnsi="宋体"/>
          <w:color w:val="auto"/>
          <w:highlight w:val="none"/>
        </w:rPr>
        <w:t xml:space="preserve">能源托管期</w:t>
      </w:r>
      <w:r/>
    </w:p>
    <w:p>
      <w:pPr>
        <w:pStyle w:val="1280"/>
        <w:spacing w:line="360" w:lineRule="auto"/>
        <w:rPr>
          <w:rFonts w:hint="eastAsia" w:ascii="宋体" w:hAnsi="宋体"/>
          <w:color w:val="auto"/>
          <w:highlight w:val="none"/>
        </w:rPr>
      </w:pPr>
      <w:r>
        <w:rPr>
          <w:rFonts w:hint="eastAsia" w:ascii="宋体" w:hAnsi="宋体"/>
          <w:color w:val="auto"/>
          <w:highlight w:val="none"/>
          <w:lang w:val="en-US" w:eastAsia="zh-CN"/>
        </w:rPr>
        <w:t xml:space="preserve">平台部署及节能技改建设期完成并通过验收投入使用之日正式进入托管期，托管期起始日以甲乙双方协商日期为准，本项目能源托管期为10年（每12个月为一个托管周期，共120个月）。</w:t>
      </w:r>
      <w:r/>
    </w:p>
    <w:p>
      <w:pPr>
        <w:pStyle w:val="1280"/>
        <w:ind w:left="0" w:firstLine="0"/>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 xml:space="preserve">3.3.后勤运维托管服务</w:t>
      </w:r>
      <w:r/>
    </w:p>
    <w:p>
      <w:pPr>
        <w:pStyle w:val="128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10年（每12个月为一个托管周期，共120个月），托管服务的起始时间不得早于2027年1月1日。在技改实施期间，甲方有权通知运维人员提前进场。（注：因提前进场所产生的相关费用由供应商自行承担。）</w:t>
      </w:r>
      <w:r/>
    </w:p>
    <w:p>
      <w:pPr>
        <w:pStyle w:val="128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128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第四条</w:t>
      </w:r>
      <w:r>
        <w:rPr>
          <w:rFonts w:hint="eastAsia"/>
          <w:color w:val="auto"/>
          <w:highlight w:val="none"/>
        </w:rPr>
        <w:t xml:space="preserve">托管内容</w:t>
      </w:r>
      <w:r/>
    </w:p>
    <w:p>
      <w:pPr>
        <w:pStyle w:val="1280"/>
        <w:numPr>
          <w:ilvl w:val="1"/>
          <w:numId w:val="0"/>
        </w:numPr>
        <w:contextualSpacing/>
        <w:ind w:left="420" w:hanging="420"/>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4.1.</w:t>
      </w:r>
      <w:r>
        <w:rPr>
          <w:rFonts w:hint="eastAsia" w:ascii="宋体" w:hAnsi="宋体"/>
          <w:color w:val="auto"/>
          <w:highlight w:val="none"/>
        </w:rPr>
        <w:t xml:space="preserve">甲方委托乙方对项目进行投资、设计、施工并且在双方约定期限内，由乙方派出专业技术团队对该项目进行日常运营维护及管理。</w:t>
      </w:r>
      <w:r/>
    </w:p>
    <w:p>
      <w:pPr>
        <w:pStyle w:val="1280"/>
        <w:numPr>
          <w:ilvl w:val="1"/>
          <w:numId w:val="0"/>
        </w:numPr>
        <w:contextualSpacing/>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4.2.</w:t>
      </w:r>
      <w:r>
        <w:rPr>
          <w:rFonts w:hint="eastAsia" w:ascii="宋体" w:hAnsi="宋体"/>
          <w:color w:val="auto"/>
          <w:highlight w:val="none"/>
        </w:rPr>
        <w:t xml:space="preserve">乙方根据项目现状及节能诊断结果编制项目服务建设方案，通过甲方审批后实施，在项目合同期内，乙方向甲方提供的服务内容见下表：</w:t>
      </w:r>
      <w:r/>
    </w:p>
    <w:tbl>
      <w:tblPr>
        <w:tblStyle w:val="1042"/>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803"/>
        <w:gridCol w:w="5453"/>
      </w:tblGrid>
      <w:tr>
        <w:trPr>
          <w:trHeight w:val="429"/>
          <w:tblHeader/>
        </w:trPr>
        <w:tc>
          <w:tcPr>
            <w:gridSpan w:val="2"/>
            <w:tcW w:w="3075" w:type="dxa"/>
            <w:vAlign w:val="center"/>
            <w:textDirection w:val="lrTb"/>
            <w:noWrap w:val="false"/>
          </w:tcPr>
          <w:p>
            <w:pPr>
              <w:pStyle w:val="1043"/>
              <w:ind w:firstLine="0"/>
              <w:jc w:val="center"/>
              <w:rPr>
                <w:rFonts w:hAnsi="宋体"/>
                <w:color w:val="auto"/>
                <w:sz w:val="21"/>
                <w:szCs w:val="22"/>
                <w:highlight w:val="none"/>
              </w:rPr>
            </w:pPr>
            <w:r>
              <w:rPr>
                <w:rFonts w:hint="eastAsia" w:hAnsi="宋体"/>
                <w:color w:val="auto"/>
                <w:sz w:val="21"/>
                <w:szCs w:val="22"/>
                <w:highlight w:val="none"/>
              </w:rPr>
              <w:t xml:space="preserve">服务/建设内容项目</w:t>
            </w:r>
            <w:r/>
          </w:p>
        </w:tc>
        <w:tc>
          <w:tcPr>
            <w:tcW w:w="5453" w:type="dxa"/>
            <w:vAlign w:val="center"/>
            <w:textDirection w:val="lrTb"/>
            <w:noWrap w:val="false"/>
          </w:tcPr>
          <w:p>
            <w:pPr>
              <w:pStyle w:val="1043"/>
              <w:ind w:firstLine="0"/>
              <w:jc w:val="center"/>
              <w:rPr>
                <w:rFonts w:hAnsi="宋体"/>
                <w:color w:val="auto"/>
                <w:sz w:val="21"/>
                <w:szCs w:val="22"/>
                <w:highlight w:val="none"/>
              </w:rPr>
            </w:pPr>
            <w:r>
              <w:rPr>
                <w:rFonts w:hint="eastAsia" w:hAnsi="宋体"/>
                <w:color w:val="auto"/>
                <w:sz w:val="21"/>
                <w:szCs w:val="22"/>
                <w:highlight w:val="none"/>
              </w:rPr>
              <w:t xml:space="preserve">服务内容</w:t>
            </w:r>
            <w:r/>
          </w:p>
        </w:tc>
      </w:tr>
      <w:tr>
        <w:trPr>
          <w:trHeight w:val="548"/>
        </w:trPr>
        <w:tc>
          <w:tcPr>
            <w:gridSpan w:val="2"/>
            <w:tcW w:w="3075" w:type="dxa"/>
            <w:vAlign w:val="center"/>
            <w:textDirection w:val="lrTb"/>
            <w:noWrap w:val="false"/>
          </w:tcPr>
          <w:p>
            <w:pPr>
              <w:pStyle w:val="1043"/>
              <w:ind w:firstLine="0"/>
              <w:jc w:val="center"/>
              <w:rPr>
                <w:rFonts w:hAnsi="宋体"/>
                <w:color w:val="auto"/>
                <w:sz w:val="21"/>
                <w:szCs w:val="22"/>
                <w:highlight w:val="none"/>
              </w:rPr>
            </w:pPr>
            <w:r>
              <w:rPr>
                <w:rFonts w:hint="eastAsia" w:hAnsi="宋体"/>
                <w:color w:val="auto"/>
                <w:sz w:val="21"/>
                <w:szCs w:val="22"/>
                <w:highlight w:val="none"/>
              </w:rPr>
              <w:t xml:space="preserve">能源供应</w:t>
            </w:r>
            <w:r/>
          </w:p>
        </w:tc>
        <w:tc>
          <w:tcPr>
            <w:tcW w:w="5453" w:type="dxa"/>
            <w:vAlign w:val="center"/>
            <w:textDirection w:val="lrTb"/>
            <w:noWrap w:val="false"/>
          </w:tcPr>
          <w:p>
            <w:pPr>
              <w:pStyle w:val="1043"/>
              <w:ind w:left="840" w:hanging="840"/>
              <w:rPr>
                <w:rFonts w:hAnsi="宋体"/>
                <w:color w:val="auto"/>
                <w:sz w:val="21"/>
                <w:szCs w:val="22"/>
                <w:highlight w:val="none"/>
              </w:rPr>
            </w:pPr>
            <w:r>
              <w:rPr>
                <w:rFonts w:hint="eastAsia" w:hAnsi="宋体"/>
                <w:color w:val="auto"/>
                <w:sz w:val="21"/>
                <w:szCs w:val="22"/>
                <w:highlight w:val="none"/>
              </w:rPr>
              <w:t xml:space="preserve">院区托管范围内电、水和天然气供应（不包含费用）</w:t>
            </w:r>
            <w:r/>
          </w:p>
        </w:tc>
      </w:tr>
      <w:tr>
        <w:trPr>
          <w:trHeight w:val="475"/>
        </w:trPr>
        <w:tc>
          <w:tcPr>
            <w:tcW w:w="1272" w:type="dxa"/>
            <w:vAlign w:val="center"/>
            <w:vMerge w:val="restart"/>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节能改造服务</w:t>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jc w:val="left"/>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472"/>
        </w:trPr>
        <w:tc>
          <w:tcPr>
            <w:tcW w:w="1272" w:type="dxa"/>
            <w:vAlign w:val="center"/>
            <w:vMerge w:val="continue"/>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474"/>
        </w:trPr>
        <w:tc>
          <w:tcPr>
            <w:tcW w:w="1272" w:type="dxa"/>
            <w:vAlign w:val="center"/>
            <w:vMerge w:val="continue"/>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473"/>
        </w:trPr>
        <w:tc>
          <w:tcPr>
            <w:tcW w:w="1272" w:type="dxa"/>
            <w:vAlign w:val="center"/>
            <w:vMerge w:val="continue"/>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677"/>
        </w:trPr>
        <w:tc>
          <w:tcPr>
            <w:tcW w:w="1272" w:type="dxa"/>
            <w:vAlign w:val="center"/>
            <w:vMerge w:val="restart"/>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医院数字化提升</w:t>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843"/>
        </w:trPr>
        <w:tc>
          <w:tcPr>
            <w:tcW w:w="1272" w:type="dxa"/>
            <w:vAlign w:val="center"/>
            <w:vMerge w:val="continue"/>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556"/>
        </w:trPr>
        <w:tc>
          <w:tcPr>
            <w:tcW w:w="1272" w:type="dxa"/>
            <w:vAlign w:val="center"/>
            <w:vMerge w:val="continue"/>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408"/>
        </w:trPr>
        <w:tc>
          <w:tcPr>
            <w:tcW w:w="1272" w:type="dxa"/>
            <w:vAlign w:val="center"/>
            <w:vMerge w:val="continue"/>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ascii="宋体" w:hAnsi="宋体"/>
                <w:color w:val="auto"/>
                <w:sz w:val="21"/>
                <w:szCs w:val="22"/>
                <w:highlight w:val="none"/>
              </w:rPr>
            </w:r>
            <w:r/>
          </w:p>
        </w:tc>
      </w:tr>
      <w:tr>
        <w:trPr>
          <w:trHeight w:val="996"/>
        </w:trPr>
        <w:tc>
          <w:tcPr>
            <w:tcW w:w="1272" w:type="dxa"/>
            <w:vAlign w:val="center"/>
            <w:vMerge w:val="restart"/>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综合能源管理服务</w:t>
            </w:r>
            <w:r/>
          </w:p>
        </w:tc>
        <w:tc>
          <w:tcPr>
            <w:tcW w:w="1803"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453"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trHeight w:val="880"/>
        </w:trPr>
        <w:tc>
          <w:tcPr>
            <w:tcW w:w="1272" w:type="dxa"/>
            <w:vAlign w:val="center"/>
            <w:vMerge w:val="continue"/>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1803"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453"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trHeight w:val="1030"/>
        </w:trPr>
        <w:tc>
          <w:tcPr>
            <w:tcW w:w="1272"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机电运维服务</w:t>
            </w:r>
            <w:r/>
          </w:p>
        </w:tc>
        <w:tc>
          <w:tcPr>
            <w:tcW w:w="1803"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453"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trHeight w:val="548"/>
        </w:trPr>
        <w:tc>
          <w:tcPr>
            <w:tcW w:w="1272" w:type="dxa"/>
            <w:vAlign w:val="center"/>
            <w:textDirection w:val="lrTb"/>
            <w:noWrap w:val="false"/>
          </w:tcPr>
          <w:p>
            <w:pPr>
              <w:pStyle w:val="1445"/>
              <w:spacing w:line="240" w:lineRule="auto"/>
              <w:rPr>
                <w:rFonts w:ascii="宋体" w:hAnsi="宋体"/>
                <w:color w:val="auto"/>
                <w:sz w:val="21"/>
                <w:szCs w:val="22"/>
                <w:highlight w:val="none"/>
              </w:rPr>
            </w:pPr>
            <w:r>
              <w:rPr>
                <w:rFonts w:hint="eastAsia" w:ascii="宋体" w:hAnsi="宋体"/>
                <w:color w:val="auto"/>
                <w:sz w:val="21"/>
                <w:szCs w:val="22"/>
                <w:highlight w:val="none"/>
              </w:rPr>
              <w:t xml:space="preserve">……</w:t>
            </w:r>
            <w:r/>
          </w:p>
        </w:tc>
        <w:tc>
          <w:tcPr>
            <w:tcW w:w="1803" w:type="dxa"/>
            <w:vAlign w:val="center"/>
            <w:textDirection w:val="lrTb"/>
            <w:noWrap w:val="false"/>
          </w:tcPr>
          <w:p>
            <w:pPr>
              <w:pStyle w:val="1445"/>
              <w:spacing w:line="240" w:lineRule="auto"/>
              <w:rPr>
                <w:rFonts w:ascii="宋体" w:hAnsi="宋体"/>
                <w:color w:val="auto"/>
                <w:sz w:val="21"/>
                <w:szCs w:val="22"/>
                <w:highlight w:val="none"/>
              </w:rPr>
            </w:pPr>
            <w:r>
              <w:rPr>
                <w:rFonts w:hint="eastAsia" w:ascii="宋体" w:hAnsi="宋体"/>
                <w:color w:val="auto"/>
                <w:sz w:val="21"/>
                <w:szCs w:val="22"/>
                <w:highlight w:val="none"/>
              </w:rPr>
              <w:t xml:space="preserve">……</w:t>
            </w:r>
            <w:r/>
          </w:p>
        </w:tc>
        <w:tc>
          <w:tcPr>
            <w:tcW w:w="5453" w:type="dxa"/>
            <w:vAlign w:val="center"/>
            <w:textDirection w:val="lrTb"/>
            <w:noWrap w:val="false"/>
          </w:tcPr>
          <w:p>
            <w:pPr>
              <w:pStyle w:val="1445"/>
              <w:spacing w:line="240" w:lineRule="auto"/>
              <w:rPr>
                <w:rFonts w:ascii="宋体" w:hAnsi="宋体"/>
                <w:color w:val="auto"/>
                <w:sz w:val="21"/>
                <w:szCs w:val="22"/>
                <w:highlight w:val="none"/>
              </w:rPr>
            </w:pPr>
            <w:r>
              <w:rPr>
                <w:rFonts w:hint="eastAsia" w:ascii="宋体" w:hAnsi="宋体"/>
                <w:color w:val="auto"/>
                <w:sz w:val="21"/>
                <w:szCs w:val="22"/>
                <w:highlight w:val="none"/>
              </w:rPr>
              <w:t xml:space="preserve">……</w:t>
            </w:r>
            <w:r/>
          </w:p>
        </w:tc>
      </w:tr>
    </w:tbl>
    <w:p>
      <w:pPr>
        <w:pStyle w:val="1280"/>
        <w:numPr>
          <w:ilvl w:val="2"/>
          <w:numId w:val="0"/>
        </w:numPr>
        <w:contextualSpacing/>
        <w:ind w:left="630" w:hanging="630"/>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4.2.1.</w:t>
      </w:r>
      <w:r>
        <w:rPr>
          <w:rFonts w:hint="eastAsia" w:ascii="宋体" w:hAnsi="宋体"/>
          <w:color w:val="auto"/>
          <w:highlight w:val="none"/>
        </w:rPr>
        <w:t xml:space="preserve">在建设期内，出现合理预料之外的情况导致乙方原有项目方案需要修改的，乙方有权对原有项目方案进行修改，但应取得甲方的审批同意后才可实施，由此导致变更的费用由乙方自行承担。</w:t>
      </w:r>
      <w:r/>
    </w:p>
    <w:p>
      <w:pPr>
        <w:pStyle w:val="1280"/>
        <w:numPr>
          <w:ilvl w:val="2"/>
          <w:numId w:val="0"/>
        </w:numPr>
        <w:contextualSpacing/>
        <w:ind w:left="630" w:hanging="630"/>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4.2.2.</w:t>
      </w:r>
      <w:r>
        <w:rPr>
          <w:rFonts w:hint="eastAsia" w:ascii="宋体" w:hAnsi="宋体"/>
          <w:color w:val="auto"/>
          <w:highlight w:val="none"/>
        </w:rPr>
        <w:t xml:space="preserve">在建设期内，如因甲方原因导致乙方原有项目方案无法实施，甲方应积极配合乙方修改原有项目方案，由此导致变更的费用由甲方自行承担。</w:t>
      </w:r>
      <w:r/>
    </w:p>
    <w:p>
      <w:pPr>
        <w:ind w:left="227"/>
        <w:spacing w:line="360" w:lineRule="auto"/>
        <w:rPr>
          <w:rFonts w:ascii="宋体" w:hAnsi="宋体"/>
          <w:color w:val="auto"/>
          <w:highlight w:val="none"/>
        </w:rPr>
      </w:pPr>
      <w:r>
        <w:rPr>
          <w:rFonts w:ascii="宋体" w:hAnsi="宋体"/>
          <w:color w:val="auto"/>
          <w:highlight w:val="none"/>
        </w:rPr>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4.3.</w:t>
      </w:r>
      <w:r>
        <w:rPr>
          <w:rFonts w:hint="eastAsia" w:ascii="宋体" w:hAnsi="宋体"/>
          <w:color w:val="auto"/>
          <w:highlight w:val="none"/>
        </w:rPr>
        <w:t xml:space="preserve">能源系统设备的管理</w:t>
      </w:r>
      <w:r/>
    </w:p>
    <w:p>
      <w:pPr>
        <w:pStyle w:val="1280"/>
        <w:numPr>
          <w:ilvl w:val="2"/>
          <w:numId w:val="0"/>
        </w:numPr>
        <w:contextualSpacing/>
        <w:ind w:left="630" w:hanging="630"/>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4.3.1.</w:t>
      </w:r>
      <w:r>
        <w:rPr>
          <w:rFonts w:hint="eastAsia" w:ascii="宋体" w:hAnsi="宋体"/>
          <w:color w:val="auto"/>
          <w:highlight w:val="none"/>
        </w:rPr>
        <w:t xml:space="preserve">乙方在合同期限内，对其投资建设设施（软硬件）拥有产权。在服务期限未届满或款项未结清前，</w:t>
      </w:r>
      <w:r>
        <w:rPr>
          <w:rFonts w:hint="eastAsia" w:ascii="宋体" w:hAnsi="宋体"/>
          <w:color w:val="auto"/>
          <w:highlight w:val="none"/>
          <w:lang w:val="en-US" w:eastAsia="zh-CN"/>
        </w:rPr>
        <w:t xml:space="preserve">处置</w:t>
      </w:r>
      <w:r>
        <w:rPr>
          <w:rFonts w:hint="eastAsia" w:ascii="宋体" w:hAnsi="宋体"/>
          <w:color w:val="auto"/>
          <w:highlight w:val="none"/>
        </w:rPr>
        <w:t xml:space="preserve">权归乙方。未征得乙方同意，甲方不得作出任何</w:t>
      </w:r>
      <w:r>
        <w:rPr>
          <w:rFonts w:hint="eastAsia" w:ascii="宋体" w:hAnsi="宋体"/>
          <w:color w:val="auto"/>
          <w:highlight w:val="none"/>
          <w:lang w:val="en-US" w:eastAsia="zh-CN"/>
        </w:rPr>
        <w:t xml:space="preserve">处置</w:t>
      </w:r>
      <w:r>
        <w:rPr>
          <w:rFonts w:hint="eastAsia" w:ascii="宋体" w:hAnsi="宋体"/>
          <w:color w:val="auto"/>
          <w:highlight w:val="none"/>
        </w:rPr>
        <w:t xml:space="preserve">该设备的决定。甲方原有能源设备的所有权仍归甲方所有。服务期限届满且款项结清后，乙方所投资建设设施的所有权将无偿移交给采购人，乙方应保证所投资建设设施均处于正常运行状态。办理所投资建设设施所有权移交手续时，应当同步移交本项目继续运行所必需的资料，包括但不限于相关设施的技术资料、产品授权文件等。设施的后续持续使用需要乙方提供相关技术或知识产权授权，乙方应当无偿向甲方提供仅适用于本项目的授权，相应软件应升级至最新版本。</w:t>
      </w:r>
      <w:r/>
    </w:p>
    <w:p>
      <w:pPr>
        <w:pStyle w:val="1280"/>
        <w:numPr>
          <w:ilvl w:val="2"/>
          <w:numId w:val="0"/>
        </w:numPr>
        <w:contextualSpacing/>
        <w:ind w:left="630" w:hanging="630"/>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4.3.2.</w:t>
      </w:r>
      <w:r>
        <w:rPr>
          <w:rFonts w:hint="eastAsia" w:ascii="宋体" w:hAnsi="宋体"/>
          <w:color w:val="auto"/>
          <w:highlight w:val="none"/>
        </w:rPr>
        <w:t xml:space="preserve">甲方现有设备含在托管期间委托给乙方。乙方新增的节能设备在托管期间的设备质量问题及维保工作由乙方负责。具体运维界面见下表：</w:t>
      </w:r>
      <w:r/>
    </w:p>
    <w:tbl>
      <w:tblPr>
        <w:tblStyle w:val="1042"/>
        <w:tblW w:w="47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7"/>
        <w:gridCol w:w="1602"/>
        <w:gridCol w:w="5669"/>
        <w:gridCol w:w="469"/>
      </w:tblGrid>
      <w:tr>
        <w:trPr>
          <w:jc w:val="center"/>
        </w:trPr>
        <w:tc>
          <w:tcPr>
            <w:tcW w:w="437" w:type="dxa"/>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序号</w:t>
            </w:r>
            <w:r/>
          </w:p>
        </w:tc>
        <w:tc>
          <w:tcPr>
            <w:tcW w:w="1601" w:type="dxa"/>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项目</w:t>
            </w:r>
            <w:r/>
          </w:p>
        </w:tc>
        <w:tc>
          <w:tcPr>
            <w:tcW w:w="5670" w:type="dxa"/>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运维内容</w:t>
            </w:r>
            <w:r/>
          </w:p>
        </w:tc>
        <w:tc>
          <w:tcPr>
            <w:tcW w:w="469" w:type="dxa"/>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备注</w:t>
            </w:r>
            <w:r/>
          </w:p>
        </w:tc>
      </w:tr>
      <w:tr>
        <w:trPr>
          <w:jc w:val="center"/>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1</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jc w:val="center"/>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2</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jc w:val="center"/>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3</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jc w:val="center"/>
          <w:trHeight w:val="584"/>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4</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jc w:val="center"/>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5</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jc w:val="center"/>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6</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jc w:val="center"/>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7</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r>
        <w:trPr>
          <w:jc w:val="center"/>
        </w:trPr>
        <w:tc>
          <w:tcPr>
            <w:tcW w:w="437" w:type="dxa"/>
            <w:vAlign w:val="center"/>
            <w:textDirection w:val="lrTb"/>
            <w:noWrap w:val="false"/>
          </w:tcPr>
          <w:p>
            <w:pPr>
              <w:pStyle w:val="1043"/>
              <w:ind w:firstLine="0"/>
              <w:rPr>
                <w:rFonts w:hAnsi="宋体"/>
                <w:color w:val="auto"/>
                <w:sz w:val="21"/>
                <w:szCs w:val="22"/>
                <w:highlight w:val="none"/>
              </w:rPr>
            </w:pPr>
            <w:r>
              <w:rPr>
                <w:rFonts w:hint="eastAsia" w:hAnsi="宋体"/>
                <w:color w:val="auto"/>
                <w:sz w:val="21"/>
                <w:szCs w:val="22"/>
                <w:highlight w:val="none"/>
              </w:rPr>
              <w:t xml:space="preserve">8</w:t>
            </w:r>
            <w:r/>
          </w:p>
        </w:tc>
        <w:tc>
          <w:tcPr>
            <w:tcW w:w="1601" w:type="dxa"/>
            <w:vAlign w:val="center"/>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t xml:space="preserve">……</w:t>
            </w:r>
            <w:r/>
          </w:p>
        </w:tc>
        <w:tc>
          <w:tcPr>
            <w:tcW w:w="5670"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t xml:space="preserve">……</w:t>
            </w:r>
            <w:r/>
          </w:p>
        </w:tc>
        <w:tc>
          <w:tcPr>
            <w:tcW w:w="469" w:type="dxa"/>
            <w:textDirection w:val="lrTb"/>
            <w:noWrap w:val="false"/>
          </w:tcPr>
          <w:p>
            <w:pPr>
              <w:pStyle w:val="1043"/>
              <w:ind w:firstLine="0"/>
              <w:rPr>
                <w:rFonts w:hAnsi="宋体"/>
                <w:color w:val="auto"/>
                <w:sz w:val="21"/>
                <w:szCs w:val="22"/>
                <w:highlight w:val="none"/>
              </w:rPr>
            </w:pPr>
            <w:r>
              <w:rPr>
                <w:rFonts w:hAnsi="宋体"/>
                <w:color w:val="auto"/>
                <w:sz w:val="21"/>
                <w:szCs w:val="22"/>
                <w:highlight w:val="none"/>
              </w:rPr>
            </w:r>
            <w:r/>
          </w:p>
        </w:tc>
      </w:tr>
    </w:tbl>
    <w:p>
      <w:pPr>
        <w:pStyle w:val="1280"/>
        <w:numPr>
          <w:ilvl w:val="2"/>
          <w:numId w:val="0"/>
        </w:numPr>
        <w:contextualSpacing/>
        <w:spacing w:line="360" w:lineRule="auto"/>
        <w:rPr>
          <w:rFonts w:hint="default" w:ascii="宋体" w:hAnsi="宋体" w:eastAsia="宋体"/>
          <w:color w:val="auto"/>
          <w:highlight w:val="none"/>
          <w:lang w:val="en-US" w:eastAsia="zh-CN"/>
        </w:rPr>
      </w:pPr>
      <w:r>
        <w:rPr>
          <w:rFonts w:hint="eastAsia" w:ascii="宋体" w:hAnsi="宋体" w:eastAsia="宋体" w:cs="Times New Roman"/>
          <w:color w:val="auto"/>
          <w:sz w:val="21"/>
          <w:szCs w:val="22"/>
          <w:highlight w:val="none"/>
          <w:lang w:val="en-US" w:eastAsia="zh-CN" w:bidi="ar-SA"/>
        </w:rPr>
        <w:t xml:space="preserve">4.3.3.</w:t>
      </w:r>
      <w:r>
        <w:rPr>
          <w:rFonts w:hint="eastAsia" w:ascii="宋体" w:hAnsi="宋体"/>
          <w:color w:val="auto"/>
          <w:highlight w:val="none"/>
        </w:rPr>
        <w:t xml:space="preserve">项目建设期内，乙方应协助甲方评估甲方现有设备存在的故障、安全隐患、设备功能及性能等，乙方协助甲方出具用能设备现状评估单且甲方确认后，甲方负责维修现有所有故障设备，消除安全隐患，保障设备正常运行，</w:t>
      </w:r>
      <w:r>
        <w:rPr>
          <w:rFonts w:hint="eastAsia" w:ascii="宋体" w:hAnsi="宋体"/>
          <w:color w:val="auto"/>
          <w:highlight w:val="none"/>
          <w:lang w:val="en-US" w:eastAsia="zh-CN"/>
        </w:rPr>
        <w:t xml:space="preserve">相关维修</w:t>
      </w:r>
      <w:r>
        <w:rPr>
          <w:rFonts w:hint="eastAsia" w:ascii="宋体" w:hAnsi="宋体"/>
          <w:color w:val="auto"/>
          <w:highlight w:val="none"/>
        </w:rPr>
        <w:t xml:space="preserve">费用由甲方支付。</w:t>
      </w:r>
      <w:r>
        <w:rPr>
          <w:rFonts w:hint="eastAsia" w:ascii="宋体" w:hAnsi="宋体"/>
          <w:color w:val="auto"/>
          <w:highlight w:val="none"/>
          <w:lang w:val="en-US" w:eastAsia="zh-CN"/>
        </w:rPr>
        <w:t xml:space="preserve">若乙方在技改期间对甲方原有设备造成损坏或引起故障，由乙方负责维修。技改后新旧系统接口费用，由乙方承担。</w:t>
      </w:r>
      <w:r/>
    </w:p>
    <w:p>
      <w:pPr>
        <w:pStyle w:val="1280"/>
        <w:numPr>
          <w:ilvl w:val="2"/>
          <w:numId w:val="0"/>
        </w:numPr>
        <w:contextualSpacing/>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4.3.4.</w:t>
      </w:r>
      <w:r>
        <w:rPr>
          <w:rFonts w:hint="eastAsia" w:ascii="宋体" w:hAnsi="宋体"/>
          <w:color w:val="auto"/>
          <w:highlight w:val="none"/>
        </w:rPr>
        <w:t xml:space="preserve">完成节能改造建设及调试后，乙方应根据设定的节能目标在不影响甲方的正常使用需求的情况下编制运行策略。运行策略得到甲方确认后，甲方应积极配合乙方进行用能建筑的节能运行，并督导建筑管理单位严格执行。乙方应配合甲方对建筑管理单位的人员开展节能培训工作，保障机电系统的高效运行，以保证节能量的实现。</w:t>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第五条</w:t>
      </w:r>
      <w:r>
        <w:rPr>
          <w:rFonts w:hint="eastAsia"/>
          <w:color w:val="auto"/>
          <w:highlight w:val="none"/>
        </w:rPr>
        <w:t xml:space="preserve">合同费用及付款方式</w:t>
      </w:r>
      <w:r/>
    </w:p>
    <w:p>
      <w:pPr>
        <w:pStyle w:val="1280"/>
        <w:numPr>
          <w:ilvl w:val="1"/>
          <w:numId w:val="0"/>
        </w:numPr>
        <w:contextualSpacing/>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5.1.</w:t>
      </w:r>
      <w:r>
        <w:rPr>
          <w:rFonts w:hint="eastAsia" w:ascii="宋体" w:hAnsi="宋体"/>
          <w:color w:val="auto"/>
          <w:highlight w:val="none"/>
        </w:rPr>
        <w:t xml:space="preserve">能源托管</w:t>
      </w:r>
      <w:r>
        <w:rPr>
          <w:rFonts w:ascii="宋体" w:hAnsi="宋体"/>
          <w:color w:val="auto"/>
          <w:highlight w:val="none"/>
        </w:rPr>
        <w:t xml:space="preserve">期内，由</w:t>
      </w:r>
      <w:r>
        <w:rPr>
          <w:rFonts w:hint="eastAsia" w:ascii="宋体" w:hAnsi="宋体"/>
          <w:color w:val="auto"/>
          <w:highlight w:val="none"/>
        </w:rPr>
        <w:t xml:space="preserve">甲方委托乙方进行能源系统的运行、管理、维护和节能改造</w:t>
      </w:r>
      <w:r>
        <w:rPr>
          <w:rFonts w:ascii="宋体" w:hAnsi="宋体"/>
          <w:color w:val="auto"/>
          <w:highlight w:val="none"/>
        </w:rPr>
        <w:t xml:space="preserve">，甲方需按照</w:t>
      </w:r>
      <w:r>
        <w:rPr>
          <w:rFonts w:hint="eastAsia" w:ascii="宋体" w:hAnsi="宋体"/>
          <w:color w:val="auto"/>
          <w:highlight w:val="none"/>
        </w:rPr>
        <w:t xml:space="preserve">合同</w:t>
      </w:r>
      <w:r>
        <w:rPr>
          <w:rFonts w:ascii="宋体" w:hAnsi="宋体"/>
          <w:color w:val="auto"/>
          <w:highlight w:val="none"/>
        </w:rPr>
        <w:t xml:space="preserve">约定向乙方支付能源托管费用，</w:t>
      </w:r>
      <w:r>
        <w:rPr>
          <w:rFonts w:hint="eastAsia" w:ascii="宋体" w:hAnsi="宋体"/>
          <w:color w:val="auto"/>
          <w:highlight w:val="none"/>
        </w:rPr>
        <w:t xml:space="preserve">甲方托管期内产生的电费、燃气费、水费由</w:t>
      </w:r>
      <w:r>
        <w:rPr>
          <w:rFonts w:ascii="宋体" w:hAnsi="宋体"/>
          <w:color w:val="auto"/>
          <w:highlight w:val="none"/>
        </w:rPr>
        <w:t xml:space="preserve">乙方负责缴纳</w:t>
      </w:r>
      <w:r>
        <w:rPr>
          <w:rFonts w:hint="eastAsia" w:ascii="宋体" w:hAnsi="宋体"/>
          <w:color w:val="auto"/>
          <w:highlight w:val="none"/>
        </w:rPr>
        <w:t xml:space="preserve">，为便于乙方缴纳能源费用，甲方需配合乙方通过过户</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过户费由乙方承担</w:t>
      </w:r>
      <w:r>
        <w:rPr>
          <w:rFonts w:hint="eastAsia" w:ascii="宋体" w:hAnsi="宋体"/>
          <w:color w:val="auto"/>
          <w:highlight w:val="none"/>
          <w:lang w:eastAsia="zh-CN"/>
        </w:rPr>
        <w:t xml:space="preserve">）</w:t>
      </w:r>
      <w:r>
        <w:rPr>
          <w:rFonts w:hint="eastAsia" w:ascii="宋体" w:hAnsi="宋体"/>
          <w:color w:val="auto"/>
          <w:highlight w:val="none"/>
        </w:rPr>
        <w:t xml:space="preserve">或代缴等其他方式，由电、天然气、水经营主体向乙方开具相应金额的发票。托管结束后，由电、天然气、水经营主体向甲方开具相应金额的发票</w:t>
      </w:r>
      <w:r>
        <w:rPr>
          <w:rFonts w:ascii="宋体" w:hAnsi="宋体"/>
          <w:color w:val="auto"/>
          <w:highlight w:val="none"/>
        </w:rPr>
        <w:t xml:space="preserve">。</w:t>
      </w:r>
      <w:r/>
    </w:p>
    <w:p>
      <w:pPr>
        <w:pStyle w:val="1280"/>
        <w:numPr>
          <w:ilvl w:val="1"/>
          <w:numId w:val="0"/>
        </w:numPr>
        <w:contextualSpacing/>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5.2.</w:t>
      </w:r>
      <w:r>
        <w:rPr>
          <w:rFonts w:hint="eastAsia" w:ascii="宋体" w:hAnsi="宋体"/>
          <w:color w:val="auto"/>
          <w:highlight w:val="none"/>
        </w:rPr>
        <w:t xml:space="preserve">本项目能源托管期内合同总价为人民币（大写）：元整，即 ￥元，其中托管能源费用为人民币（大写）：元整，即 ￥元；托管运维服务费用为人民币（大写）：元整，即 ￥元。上述价格均为含税价（若国家出台新的税收政策，合同含税价格不变）。</w:t>
      </w:r>
      <w:r>
        <w:rPr>
          <w:rFonts w:hint="eastAsia" w:ascii="宋体" w:hAnsi="宋体"/>
          <w:b w:val="0"/>
          <w:bCs w:val="0"/>
          <w:color w:val="auto"/>
          <w:highlight w:val="none"/>
        </w:rPr>
        <w:t xml:space="preserve">本合同总价基于托管范围</w:t>
      </w:r>
      <w:r>
        <w:rPr>
          <w:rFonts w:hint="eastAsia" w:ascii="宋体" w:hAnsi="宋体"/>
          <w:b w:val="0"/>
          <w:bCs w:val="0"/>
          <w:color w:val="auto"/>
          <w:highlight w:val="none"/>
          <w:lang w:val="en-US" w:eastAsia="zh-CN"/>
        </w:rPr>
        <w:t xml:space="preserve">不变</w:t>
      </w:r>
      <w:r>
        <w:rPr>
          <w:rFonts w:hint="eastAsia" w:ascii="宋体" w:hAnsi="宋体"/>
          <w:b w:val="0"/>
          <w:bCs w:val="0"/>
          <w:color w:val="auto"/>
          <w:highlight w:val="none"/>
        </w:rPr>
        <w:t xml:space="preserve">，</w:t>
      </w:r>
      <w:r>
        <w:rPr>
          <w:rFonts w:hint="eastAsia" w:ascii="宋体" w:hAnsi="宋体"/>
          <w:color w:val="auto"/>
          <w:highlight w:val="none"/>
        </w:rPr>
        <w:t xml:space="preserve">不包含因托管范围变化等因素导致的边界费用调整。</w:t>
      </w:r>
      <w:r/>
    </w:p>
    <w:p>
      <w:pPr>
        <w:pStyle w:val="1280"/>
        <w:numPr>
          <w:ilvl w:val="1"/>
          <w:numId w:val="0"/>
        </w:numPr>
        <w:contextualSpacing/>
        <w:ind w:left="454" w:hanging="454"/>
        <w:spacing w:line="360" w:lineRule="auto"/>
        <w:rPr>
          <w:rFonts w:ascii="宋体" w:hAnsi="宋体"/>
          <w:strike w:val="0"/>
          <w:color w:val="auto"/>
          <w:highlight w:val="none"/>
          <w:u w:val="none"/>
        </w:rPr>
      </w:pPr>
      <w:r>
        <w:rPr>
          <w:rFonts w:hint="default" w:ascii="宋体" w:hAnsi="宋体" w:eastAsia="宋体" w:cs="Times New Roman"/>
          <w:strike w:val="0"/>
          <w:color w:val="auto"/>
          <w:sz w:val="21"/>
          <w:szCs w:val="22"/>
          <w:highlight w:val="none"/>
          <w:lang w:val="en-US" w:eastAsia="zh-CN" w:bidi="ar-SA"/>
        </w:rPr>
        <w:t xml:space="preserve">5.3.</w:t>
      </w:r>
      <w:r>
        <w:rPr>
          <w:rFonts w:hint="eastAsia" w:ascii="宋体" w:hAnsi="宋体"/>
          <w:strike w:val="0"/>
          <w:color w:val="auto"/>
          <w:highlight w:val="none"/>
          <w:u w:val="none"/>
        </w:rPr>
        <w:t xml:space="preserve">本项目</w:t>
      </w:r>
      <w:bookmarkStart w:id="827" w:name="_Hlk102034000"/>
      <w:r>
        <w:rPr>
          <w:rFonts w:hint="eastAsia" w:ascii="宋体" w:hAnsi="宋体"/>
          <w:strike w:val="0"/>
          <w:color w:val="auto"/>
          <w:highlight w:val="none"/>
          <w:u w:val="none"/>
        </w:rPr>
        <w:t xml:space="preserve">各托管周期的能源托管费及托管用量</w:t>
      </w:r>
      <w:bookmarkEnd w:id="827"/>
      <w:r/>
      <w:r/>
    </w:p>
    <w:p>
      <w:pPr>
        <w:pStyle w:val="1280"/>
        <w:numPr>
          <w:ilvl w:val="2"/>
          <w:numId w:val="0"/>
        </w:numPr>
        <w:contextualSpacing/>
        <w:ind w:left="630" w:hanging="630"/>
        <w:spacing w:line="360" w:lineRule="auto"/>
        <w:rPr>
          <w:rFonts w:ascii="宋体" w:hAnsi="宋体"/>
          <w:strike w:val="0"/>
          <w:color w:val="auto"/>
          <w:highlight w:val="none"/>
          <w:u w:val="none"/>
        </w:rPr>
      </w:pPr>
      <w:r>
        <w:rPr>
          <w:rFonts w:hint="eastAsia" w:ascii="宋体" w:hAnsi="宋体" w:eastAsia="宋体" w:cs="Times New Roman"/>
          <w:strike w:val="0"/>
          <w:color w:val="auto"/>
          <w:sz w:val="21"/>
          <w:szCs w:val="22"/>
          <w:highlight w:val="none"/>
          <w:lang w:val="en-US" w:eastAsia="zh-CN" w:bidi="ar-SA"/>
        </w:rPr>
        <w:t xml:space="preserve">5.3.1.</w:t>
      </w:r>
      <w:r>
        <w:rPr>
          <w:rFonts w:hint="eastAsia" w:ascii="宋体" w:hAnsi="宋体"/>
          <w:strike w:val="0"/>
          <w:color w:val="auto"/>
          <w:highlight w:val="none"/>
          <w:u w:val="none"/>
        </w:rPr>
        <w:t xml:space="preserve">各托管周期能源托管费=对应托管周期托管用电费+对应托管周期托管用气费+对应托管周期托管用水费+节能服务费。</w:t>
      </w:r>
      <w:r/>
    </w:p>
    <w:p>
      <w:pPr>
        <w:spacing w:line="360" w:lineRule="auto"/>
        <w:rPr>
          <w:rFonts w:ascii="宋体" w:hAnsi="宋体"/>
          <w:strike w:val="0"/>
          <w:color w:val="auto"/>
          <w:highlight w:val="none"/>
        </w:rPr>
      </w:pPr>
      <w:r>
        <w:rPr>
          <w:rFonts w:hint="eastAsia" w:ascii="宋体" w:hAnsi="宋体"/>
          <w:strike w:val="0"/>
          <w:color w:val="auto"/>
          <w:highlight w:val="none"/>
        </w:rPr>
        <w:t xml:space="preserve">各托管周期能源托管费：</w:t>
      </w:r>
      <w:r/>
    </w:p>
    <w:tbl>
      <w:tblPr>
        <w:tblStyle w:val="10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5"/>
        <w:gridCol w:w="5270"/>
      </w:tblGrid>
      <w:tr>
        <w:trPr>
          <w:trHeight w:val="644"/>
        </w:trPr>
        <w:tc>
          <w:tcPr>
            <w:tcW w:w="1909" w:type="pct"/>
            <w:vAlign w:val="center"/>
            <w:textDirection w:val="lrTb"/>
            <w:noWrap w:val="false"/>
          </w:tcPr>
          <w:p>
            <w:pPr>
              <w:ind w:hanging="10"/>
              <w:jc w:val="center"/>
              <w:rPr>
                <w:rFonts w:ascii="Calibri" w:hAnsi="Calibri" w:cs="Calibri"/>
                <w:strike w:val="0"/>
                <w:color w:val="auto"/>
                <w:szCs w:val="21"/>
                <w:highlight w:val="none"/>
              </w:rPr>
            </w:pPr>
            <w:r>
              <w:rPr>
                <w:rFonts w:hint="eastAsia" w:ascii="Calibri" w:hAnsi="Calibri" w:cs="Calibri"/>
                <w:bCs/>
                <w:strike w:val="0"/>
                <w:color w:val="auto"/>
                <w:szCs w:val="21"/>
                <w:highlight w:val="none"/>
              </w:rPr>
              <w:t xml:space="preserve">托管周期</w:t>
            </w:r>
            <w:r/>
          </w:p>
        </w:tc>
        <w:tc>
          <w:tcPr>
            <w:tcW w:w="3090" w:type="pct"/>
            <w:vAlign w:val="center"/>
            <w:textDirection w:val="lrTb"/>
            <w:noWrap w:val="false"/>
          </w:tcPr>
          <w:p>
            <w:pPr>
              <w:ind w:hanging="10"/>
              <w:jc w:val="center"/>
              <w:rPr>
                <w:rFonts w:hint="eastAsia" w:ascii="Calibri" w:hAnsi="Calibri" w:cs="Calibri"/>
                <w:strike w:val="0"/>
                <w:color w:val="auto"/>
                <w:szCs w:val="21"/>
                <w:highlight w:val="none"/>
                <w:lang w:val="en-US" w:eastAsia="zh-CN"/>
              </w:rPr>
            </w:pPr>
            <w:r>
              <w:rPr>
                <w:rFonts w:hint="eastAsia" w:ascii="Calibri" w:hAnsi="Calibri" w:cs="Calibri"/>
                <w:strike w:val="0"/>
                <w:color w:val="auto"/>
                <w:szCs w:val="21"/>
                <w:highlight w:val="none"/>
              </w:rPr>
              <w:t xml:space="preserve">能源托管</w:t>
            </w:r>
            <w:r>
              <w:rPr>
                <w:rFonts w:hint="eastAsia" w:ascii="Calibri" w:hAnsi="Calibri" w:cs="Calibri"/>
                <w:strike w:val="0"/>
                <w:color w:val="auto"/>
                <w:szCs w:val="21"/>
                <w:highlight w:val="none"/>
                <w:lang w:val="en-US" w:eastAsia="zh-CN"/>
              </w:rPr>
              <w:t xml:space="preserve">费用</w:t>
            </w:r>
            <w:r/>
          </w:p>
          <w:p>
            <w:pPr>
              <w:ind w:hanging="10"/>
              <w:jc w:val="center"/>
              <w:rPr>
                <w:rFonts w:ascii="Calibri" w:hAnsi="Calibri" w:cs="Calibri"/>
                <w:bCs/>
                <w:strike w:val="0"/>
                <w:color w:val="auto"/>
                <w:szCs w:val="21"/>
                <w:highlight w:val="none"/>
              </w:rPr>
            </w:pPr>
            <w:r>
              <w:rPr>
                <w:rFonts w:hint="eastAsia" w:ascii="Calibri" w:hAnsi="Calibri" w:cs="Calibri"/>
                <w:strike w:val="0"/>
                <w:color w:val="auto"/>
                <w:szCs w:val="21"/>
                <w:highlight w:val="none"/>
              </w:rPr>
              <w:t xml:space="preserve">（万元）</w:t>
            </w:r>
            <w:r/>
          </w:p>
        </w:tc>
      </w:tr>
      <w:tr>
        <w:trPr>
          <w:trHeight w:val="439"/>
        </w:trPr>
        <w:tc>
          <w:tcPr>
            <w:tcW w:w="1909" w:type="pct"/>
            <w:vAlign w:val="center"/>
            <w:textDirection w:val="lrTb"/>
            <w:noWrap w:val="false"/>
          </w:tcPr>
          <w:p>
            <w:pPr>
              <w:ind w:hanging="10"/>
              <w:jc w:val="center"/>
              <w:rPr>
                <w:rFonts w:ascii="Calibri" w:hAnsi="Calibri" w:cs="Calibri"/>
                <w:bCs/>
                <w:strike w:val="0"/>
                <w:color w:val="auto"/>
                <w:szCs w:val="21"/>
                <w:highlight w:val="none"/>
              </w:rPr>
            </w:pPr>
            <w:r>
              <w:rPr>
                <w:rFonts w:hint="eastAsia" w:ascii="Calibri" w:hAnsi="Calibri" w:cs="Calibri"/>
                <w:bCs/>
                <w:strike w:val="0"/>
                <w:color w:val="auto"/>
                <w:szCs w:val="21"/>
                <w:highlight w:val="none"/>
                <w:lang w:val="en-US" w:eastAsia="zh-CN"/>
              </w:rPr>
              <w:t xml:space="preserve">每一</w:t>
            </w:r>
            <w:r>
              <w:rPr>
                <w:rFonts w:hint="eastAsia" w:ascii="Calibri" w:hAnsi="Calibri" w:cs="Calibri"/>
                <w:bCs/>
                <w:strike w:val="0"/>
                <w:color w:val="auto"/>
                <w:szCs w:val="21"/>
                <w:highlight w:val="none"/>
              </w:rPr>
              <w:t xml:space="preserve">期</w:t>
            </w:r>
            <w:r/>
          </w:p>
        </w:tc>
        <w:tc>
          <w:tcPr>
            <w:tcW w:w="3090" w:type="pct"/>
            <w:vAlign w:val="center"/>
            <w:textDirection w:val="lrTb"/>
            <w:noWrap w:val="false"/>
          </w:tcPr>
          <w:p>
            <w:pPr>
              <w:jc w:val="center"/>
              <w:widowControl/>
              <w:rPr>
                <w:rFonts w:ascii="宋体" w:hAnsi="宋体" w:cs="Calibri"/>
                <w:strike w:val="0"/>
                <w:color w:val="auto"/>
                <w:sz w:val="24"/>
                <w:highlight w:val="none"/>
              </w:rPr>
            </w:pPr>
            <w:r>
              <w:rPr>
                <w:rFonts w:ascii="宋体" w:hAnsi="宋体" w:cs="Calibri"/>
                <w:strike w:val="0"/>
                <w:color w:val="auto"/>
                <w:sz w:val="24"/>
                <w:highlight w:val="none"/>
              </w:rPr>
            </w:r>
            <w:r/>
          </w:p>
        </w:tc>
      </w:tr>
      <w:tr>
        <w:trPr>
          <w:trHeight w:val="454"/>
        </w:trPr>
        <w:tc>
          <w:tcPr>
            <w:tcW w:w="1909" w:type="pct"/>
            <w:vAlign w:val="center"/>
            <w:textDirection w:val="lrTb"/>
            <w:noWrap w:val="false"/>
          </w:tcPr>
          <w:p>
            <w:pPr>
              <w:ind w:hanging="10"/>
              <w:jc w:val="center"/>
              <w:rPr>
                <w:rFonts w:ascii="Calibri" w:hAnsi="Calibri" w:cs="Calibri"/>
                <w:bCs/>
                <w:strike w:val="0"/>
                <w:color w:val="auto"/>
                <w:szCs w:val="21"/>
                <w:highlight w:val="none"/>
              </w:rPr>
            </w:pPr>
            <w:r>
              <w:rPr>
                <w:rFonts w:hint="eastAsia" w:ascii="Calibri" w:hAnsi="Calibri" w:cs="Calibri"/>
                <w:bCs/>
                <w:strike w:val="0"/>
                <w:color w:val="auto"/>
                <w:szCs w:val="21"/>
                <w:highlight w:val="none"/>
                <w:lang w:val="en-US" w:eastAsia="zh-CN"/>
              </w:rPr>
              <w:t xml:space="preserve">十个周期</w:t>
            </w:r>
            <w:r>
              <w:rPr>
                <w:rFonts w:hint="eastAsia" w:ascii="Calibri" w:hAnsi="Calibri" w:cs="Calibri"/>
                <w:bCs/>
                <w:strike w:val="0"/>
                <w:color w:val="auto"/>
                <w:szCs w:val="21"/>
                <w:highlight w:val="none"/>
              </w:rPr>
              <w:t xml:space="preserve">合计</w:t>
            </w:r>
            <w:r/>
          </w:p>
        </w:tc>
        <w:tc>
          <w:tcPr>
            <w:tcW w:w="3090" w:type="pct"/>
            <w:vAlign w:val="center"/>
            <w:textDirection w:val="lrTb"/>
            <w:noWrap w:val="false"/>
          </w:tcPr>
          <w:p>
            <w:pPr>
              <w:jc w:val="center"/>
              <w:widowControl/>
              <w:rPr>
                <w:rFonts w:hint="default" w:ascii="宋体" w:hAnsi="宋体" w:eastAsia="宋体" w:cs="Calibri"/>
                <w:strike w:val="0"/>
                <w:color w:val="auto"/>
                <w:sz w:val="24"/>
                <w:highlight w:val="none"/>
                <w:lang w:val="en-US" w:eastAsia="zh-CN"/>
              </w:rPr>
            </w:pPr>
            <w:r>
              <w:rPr>
                <w:rFonts w:hint="default" w:ascii="宋体" w:hAnsi="宋体" w:eastAsia="宋体" w:cs="Calibri"/>
                <w:strike w:val="0"/>
                <w:color w:val="auto"/>
                <w:sz w:val="24"/>
                <w:highlight w:val="none"/>
                <w:lang w:val="en-US" w:eastAsia="zh-CN"/>
              </w:rPr>
            </w:r>
            <w:r/>
          </w:p>
        </w:tc>
      </w:tr>
    </w:tbl>
    <w:p>
      <w:pPr>
        <w:pStyle w:val="1043"/>
        <w:rPr>
          <w:strike w:val="0"/>
          <w:color w:val="auto"/>
          <w:highlight w:val="none"/>
        </w:rPr>
      </w:pPr>
      <w:r>
        <w:rPr>
          <w:strike w:val="0"/>
          <w:color w:val="auto"/>
          <w:highlight w:val="none"/>
        </w:rPr>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5.4.</w:t>
      </w:r>
      <w:r>
        <w:rPr>
          <w:rFonts w:hint="eastAsia" w:ascii="宋体" w:hAnsi="宋体"/>
          <w:color w:val="auto"/>
          <w:highlight w:val="none"/>
        </w:rPr>
        <w:t xml:space="preserve">能源托管服务费支付</w:t>
      </w:r>
      <w:r/>
    </w:p>
    <w:p>
      <w:pPr>
        <w:pStyle w:val="1280"/>
        <w:numPr>
          <w:ilvl w:val="2"/>
          <w:numId w:val="0"/>
        </w:numPr>
        <w:contextualSpacing/>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5.4.1.</w:t>
      </w:r>
      <w:r>
        <w:rPr>
          <w:rFonts w:hint="eastAsia" w:ascii="宋体" w:hAnsi="宋体"/>
          <w:color w:val="auto"/>
          <w:highlight w:val="none"/>
        </w:rPr>
        <w:t xml:space="preserve">托管范围内费用（本合同5.3条约定的费用）支付方式：</w:t>
      </w:r>
      <w:r/>
    </w:p>
    <w:p>
      <w:pPr>
        <w:pStyle w:val="1280"/>
        <w:numPr>
          <w:ilvl w:val="0"/>
          <w:numId w:val="0"/>
        </w:numPr>
        <w:contextualSpacing/>
        <w:ind w:firstLine="420"/>
        <w:spacing w:line="360" w:lineRule="auto"/>
        <w:rPr>
          <w:rFonts w:ascii="宋体" w:hAnsi="宋体"/>
          <w:color w:val="auto"/>
          <w:highlight w:val="none"/>
        </w:rPr>
      </w:pPr>
      <w:r>
        <w:rPr>
          <w:rFonts w:ascii="宋体" w:hAnsi="宋体" w:eastAsia="宋体" w:cs="Times New Roman"/>
          <w:color w:val="auto"/>
          <w:sz w:val="21"/>
          <w:szCs w:val="22"/>
          <w:highlight w:val="none"/>
          <w:lang w:val="en-US" w:eastAsia="zh-CN" w:bidi="ar-SA"/>
        </w:rPr>
        <w:t xml:space="preserve">（1）</w:t>
      </w:r>
      <w:r>
        <w:rPr>
          <w:rFonts w:hint="eastAsia" w:ascii="宋体" w:hAnsi="宋体"/>
          <w:color w:val="auto"/>
          <w:highlight w:val="none"/>
        </w:rPr>
        <w:t xml:space="preserve">甲方</w:t>
      </w:r>
      <w:r>
        <w:rPr>
          <w:rFonts w:hint="eastAsia" w:ascii="宋体" w:hAnsi="宋体"/>
          <w:color w:val="auto"/>
          <w:highlight w:val="none"/>
        </w:rPr>
        <w:t xml:space="preserve">每</w:t>
      </w:r>
      <w:r>
        <w:rPr>
          <w:rFonts w:hint="eastAsia" w:ascii="宋体" w:hAnsi="宋体"/>
          <w:color w:val="auto"/>
          <w:highlight w:val="none"/>
          <w:lang w:val="en-US" w:eastAsia="zh-CN"/>
        </w:rPr>
        <w:t xml:space="preserve">月</w:t>
      </w:r>
      <w:r>
        <w:rPr>
          <w:rFonts w:hint="eastAsia" w:ascii="宋体" w:hAnsi="宋体"/>
          <w:color w:val="auto"/>
          <w:highlight w:val="none"/>
        </w:rPr>
        <w:t xml:space="preserve">按合同约定向乙方支付能源服务费（每个周期的能源服务费金额=</w:t>
      </w:r>
      <w:r>
        <w:rPr>
          <w:rFonts w:hint="eastAsia" w:ascii="宋体" w:hAnsi="宋体"/>
          <w:color w:val="auto"/>
          <w:highlight w:val="none"/>
          <w:lang w:val="en-US" w:eastAsia="zh-CN"/>
        </w:rPr>
        <w:t xml:space="preserve">当年度</w:t>
      </w:r>
      <w:r>
        <w:rPr>
          <w:rFonts w:hint="eastAsia" w:ascii="宋体" w:hAnsi="宋体"/>
          <w:color w:val="auto"/>
          <w:highlight w:val="none"/>
        </w:rPr>
        <w:t xml:space="preserve">托管能源费÷</w:t>
      </w:r>
      <w:r>
        <w:rPr>
          <w:rFonts w:hint="eastAsia" w:ascii="宋体" w:hAnsi="宋体"/>
          <w:color w:val="auto"/>
          <w:highlight w:val="none"/>
          <w:lang w:val="en-US" w:eastAsia="zh-CN"/>
        </w:rPr>
        <w:t xml:space="preserve">12</w:t>
      </w:r>
      <w:r>
        <w:rPr>
          <w:rFonts w:hint="eastAsia" w:ascii="宋体" w:hAnsi="宋体"/>
          <w:color w:val="auto"/>
          <w:highlight w:val="none"/>
        </w:rPr>
        <w:t xml:space="preserve">）。乙方于每月8号前开具能源托管服务费发票，甲方在收到乙方服务费发票后15日内，以银行转账方式向乙方指定账户按时支付每季度能源托管费用。</w:t>
      </w:r>
      <w:r/>
    </w:p>
    <w:p>
      <w:pPr>
        <w:pStyle w:val="1280"/>
        <w:numPr>
          <w:ilvl w:val="0"/>
          <w:numId w:val="0"/>
        </w:numPr>
        <w:contextualSpacing/>
        <w:ind w:firstLine="420"/>
        <w:spacing w:line="360" w:lineRule="auto"/>
        <w:rPr>
          <w:rFonts w:ascii="宋体" w:hAnsi="宋体"/>
          <w:strike w:val="0"/>
          <w:color w:val="auto"/>
          <w:highlight w:val="none"/>
        </w:rPr>
      </w:pPr>
      <w:r>
        <w:rPr>
          <w:rFonts w:ascii="宋体" w:hAnsi="宋体" w:eastAsia="宋体" w:cs="Times New Roman"/>
          <w:strike w:val="0"/>
          <w:color w:val="auto"/>
          <w:sz w:val="21"/>
          <w:szCs w:val="22"/>
          <w:highlight w:val="none"/>
          <w:lang w:val="en-US" w:eastAsia="zh-CN" w:bidi="ar-SA"/>
        </w:rPr>
        <w:t xml:space="preserve">（2）</w:t>
      </w:r>
      <w:r>
        <w:rPr>
          <w:rFonts w:hint="eastAsia" w:ascii="宋体" w:hAnsi="宋体"/>
          <w:strike w:val="0"/>
          <w:color w:val="auto"/>
          <w:highlight w:val="none"/>
        </w:rPr>
        <w:t xml:space="preserve">托管期间如遇能源单价调整，</w:t>
      </w:r>
      <w:r>
        <w:rPr>
          <w:rFonts w:hint="eastAsia" w:ascii="Calibri" w:hAnsi="Calibri" w:cs="Calibri"/>
          <w:strike w:val="0"/>
          <w:color w:val="auto"/>
          <w:szCs w:val="21"/>
          <w:highlight w:val="none"/>
        </w:rPr>
        <w:t xml:space="preserve">能源托管</w:t>
      </w:r>
      <w:r>
        <w:rPr>
          <w:rFonts w:hint="eastAsia" w:ascii="Calibri" w:hAnsi="Calibri" w:cs="Calibri"/>
          <w:strike w:val="0"/>
          <w:color w:val="auto"/>
          <w:szCs w:val="21"/>
          <w:highlight w:val="none"/>
          <w:lang w:val="en-US" w:eastAsia="zh-CN"/>
        </w:rPr>
        <w:t xml:space="preserve">费用</w:t>
      </w:r>
      <w:r>
        <w:rPr>
          <w:rFonts w:hint="eastAsia" w:cs="Calibri"/>
          <w:strike w:val="0"/>
          <w:color w:val="auto"/>
          <w:szCs w:val="21"/>
          <w:highlight w:val="none"/>
          <w:lang w:val="en-US" w:eastAsia="zh-CN"/>
        </w:rPr>
        <w:t xml:space="preserve">不调整</w:t>
      </w:r>
      <w:r>
        <w:rPr>
          <w:rFonts w:hint="eastAsia" w:ascii="宋体" w:hAnsi="宋体"/>
          <w:strike w:val="0"/>
          <w:color w:val="auto"/>
          <w:highlight w:val="none"/>
        </w:rPr>
        <w:t xml:space="preserve">。</w:t>
      </w:r>
      <w:r/>
    </w:p>
    <w:p>
      <w:pPr>
        <w:pStyle w:val="1280"/>
        <w:numPr>
          <w:ilvl w:val="0"/>
          <w:numId w:val="0"/>
        </w:numPr>
        <w:contextualSpacing/>
        <w:ind w:firstLine="420"/>
        <w:spacing w:line="360" w:lineRule="auto"/>
        <w:rPr>
          <w:rFonts w:ascii="宋体" w:hAnsi="宋体"/>
          <w:color w:val="auto"/>
          <w:highlight w:val="none"/>
        </w:rPr>
      </w:pPr>
      <w:r>
        <w:rPr>
          <w:rFonts w:ascii="宋体" w:hAnsi="宋体" w:eastAsia="宋体" w:cs="Times New Roman"/>
          <w:color w:val="auto"/>
          <w:sz w:val="21"/>
          <w:szCs w:val="22"/>
          <w:highlight w:val="none"/>
          <w:lang w:val="en-US" w:eastAsia="zh-CN" w:bidi="ar-SA"/>
        </w:rPr>
        <w:t xml:space="preserve">（3）</w:t>
      </w:r>
      <w:r>
        <w:rPr>
          <w:rFonts w:hint="eastAsia" w:ascii="宋体" w:hAnsi="宋体"/>
          <w:color w:val="auto"/>
          <w:highlight w:val="none"/>
        </w:rPr>
        <w:t xml:space="preserve">托管范围内费用的乙方收款账户为“5.9.账户信息”的“乙方收款账户”.</w:t>
      </w:r>
      <w:r/>
    </w:p>
    <w:p>
      <w:pPr>
        <w:pStyle w:val="1280"/>
        <w:numPr>
          <w:ilvl w:val="0"/>
          <w:numId w:val="0"/>
        </w:numPr>
        <w:contextualSpacing/>
        <w:ind w:firstLine="420"/>
        <w:spacing w:line="360" w:lineRule="auto"/>
        <w:rPr>
          <w:rFonts w:ascii="宋体" w:hAnsi="宋体"/>
          <w:color w:val="auto"/>
          <w:highlight w:val="none"/>
        </w:rPr>
      </w:pPr>
      <w:r>
        <w:rPr>
          <w:rFonts w:ascii="宋体" w:hAnsi="宋体" w:eastAsia="宋体" w:cs="Times New Roman"/>
          <w:color w:val="auto"/>
          <w:sz w:val="21"/>
          <w:szCs w:val="22"/>
          <w:highlight w:val="none"/>
          <w:lang w:val="en-US" w:eastAsia="zh-CN" w:bidi="ar-SA"/>
        </w:rPr>
        <w:t xml:space="preserve">（4）</w:t>
      </w:r>
      <w:r>
        <w:rPr>
          <w:rFonts w:hint="eastAsia" w:ascii="宋体" w:hAnsi="宋体"/>
          <w:color w:val="auto"/>
          <w:highlight w:val="none"/>
        </w:rPr>
        <w:t xml:space="preserve">双方确认，甲方如在能源托管第九年运营期满提前买断本项目财产的，本项目运维服务部分不受影响，甲方继续按合同约定支付乙方运维服务费至运维服务期限届满，合同约定的节能改造范围以内、乙方投资的供能设备仍由乙方负责，直至运维服务期限届满。</w:t>
      </w:r>
      <w:r/>
    </w:p>
    <w:p>
      <w:pPr>
        <w:ind w:left="227"/>
        <w:spacing w:line="360" w:lineRule="auto"/>
        <w:rPr>
          <w:rFonts w:ascii="宋体" w:hAnsi="宋体"/>
          <w:color w:val="auto"/>
          <w:highlight w:val="none"/>
        </w:rPr>
      </w:pPr>
      <w:r>
        <w:rPr>
          <w:rFonts w:ascii="宋体" w:hAnsi="宋体"/>
          <w:color w:val="auto"/>
          <w:highlight w:val="none"/>
        </w:rPr>
      </w:r>
      <w:r/>
    </w:p>
    <w:p>
      <w:pPr>
        <w:pStyle w:val="1280"/>
        <w:numPr>
          <w:ilvl w:val="2"/>
          <w:numId w:val="0"/>
        </w:numPr>
        <w:contextualSpacing/>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5.4.2.</w:t>
      </w:r>
      <w:r>
        <w:rPr>
          <w:rFonts w:hint="eastAsia" w:ascii="宋体" w:hAnsi="宋体"/>
          <w:color w:val="auto"/>
          <w:highlight w:val="none"/>
        </w:rPr>
        <w:t xml:space="preserve">托管范围外费用支付方式：</w:t>
      </w:r>
      <w:r/>
    </w:p>
    <w:p>
      <w:pPr>
        <w:pStyle w:val="1280"/>
        <w:ind w:left="0" w:firstLine="420"/>
        <w:spacing w:line="360" w:lineRule="auto"/>
        <w:rPr>
          <w:rFonts w:ascii="宋体" w:hAnsi="宋体"/>
          <w:color w:val="auto"/>
          <w:highlight w:val="none"/>
        </w:rPr>
      </w:pPr>
      <w:r>
        <w:rPr>
          <w:rFonts w:hint="eastAsia" w:ascii="宋体" w:hAnsi="宋体"/>
          <w:color w:val="auto"/>
          <w:highlight w:val="none"/>
        </w:rPr>
        <w:t xml:space="preserve">（1）托管范围外费用核算办法详见“第六条托管边界调整”。</w:t>
      </w:r>
      <w:r/>
    </w:p>
    <w:p>
      <w:pPr>
        <w:pStyle w:val="1280"/>
        <w:ind w:left="0" w:firstLine="420"/>
        <w:spacing w:line="360" w:lineRule="auto"/>
        <w:rPr>
          <w:rFonts w:ascii="宋体" w:hAnsi="宋体"/>
          <w:color w:val="auto"/>
          <w:highlight w:val="none"/>
        </w:rPr>
      </w:pPr>
      <w:r>
        <w:rPr>
          <w:rFonts w:hint="eastAsia" w:ascii="宋体" w:hAnsi="宋体"/>
          <w:color w:val="auto"/>
          <w:highlight w:val="none"/>
        </w:rPr>
        <w:t xml:space="preserve">（2）托管期内，乙方应在取得能源账单后5个工作日内向医院</w:t>
      </w:r>
      <w:r>
        <w:rPr>
          <w:rFonts w:hint="eastAsia" w:ascii="宋体" w:hAnsi="宋体"/>
          <w:color w:val="auto"/>
          <w:highlight w:val="none"/>
          <w:lang w:val="en-US" w:eastAsia="zh-CN"/>
        </w:rPr>
        <w:t xml:space="preserve">主管部门</w:t>
      </w:r>
      <w:r>
        <w:rPr>
          <w:rFonts w:hint="eastAsia" w:ascii="宋体" w:hAnsi="宋体"/>
          <w:color w:val="auto"/>
          <w:highlight w:val="none"/>
        </w:rPr>
        <w:t xml:space="preserve">提交上月《边界费用调整说明》，文件包含建筑用能面积变化调整、用能设备调整、供能变化调整等内容，甲方在乙方书面提交文件后的7个工作日内进行签字确认</w:t>
      </w:r>
      <w:r>
        <w:rPr>
          <w:rFonts w:hint="eastAsia" w:ascii="宋体" w:hAnsi="宋体"/>
          <w:strike w:val="0"/>
          <w:color w:val="auto"/>
          <w:highlight w:val="none"/>
          <w:lang w:eastAsia="zh-CN"/>
        </w:rPr>
        <w:t xml:space="preserve">。</w:t>
      </w:r>
      <w:r>
        <w:rPr>
          <w:rFonts w:hint="eastAsia" w:ascii="宋体" w:hAnsi="宋体"/>
          <w:strike w:val="0"/>
          <w:color w:val="auto"/>
          <w:highlight w:val="none"/>
          <w:lang w:val="en-US" w:eastAsia="zh-CN"/>
        </w:rPr>
        <w:t xml:space="preserve">医院</w:t>
      </w:r>
      <w:r>
        <w:rPr>
          <w:rFonts w:hint="eastAsia" w:ascii="宋体" w:hAnsi="宋体"/>
          <w:color w:val="auto"/>
          <w:highlight w:val="none"/>
          <w:lang w:eastAsia="zh-CN"/>
        </w:rPr>
        <w:t xml:space="preserve">主管部门</w:t>
      </w:r>
      <w:r>
        <w:rPr>
          <w:rFonts w:hint="eastAsia" w:ascii="宋体" w:hAnsi="宋体"/>
          <w:color w:val="auto"/>
          <w:highlight w:val="none"/>
        </w:rPr>
        <w:t xml:space="preserve">应积极协调医院各相关主管部门(如院</w:t>
      </w:r>
      <w:r>
        <w:rPr>
          <w:rFonts w:hint="eastAsia" w:ascii="宋体" w:hAnsi="宋体"/>
          <w:color w:val="auto"/>
          <w:highlight w:val="none"/>
          <w:lang w:val="en-US" w:eastAsia="zh-CN"/>
        </w:rPr>
        <w:t xml:space="preserve">长</w:t>
      </w:r>
      <w:r>
        <w:rPr>
          <w:rFonts w:hint="eastAsia" w:ascii="宋体" w:hAnsi="宋体"/>
          <w:color w:val="auto"/>
          <w:highlight w:val="none"/>
        </w:rPr>
        <w:t xml:space="preserve">办</w:t>
      </w:r>
      <w:r>
        <w:rPr>
          <w:rFonts w:hint="eastAsia" w:ascii="宋体" w:hAnsi="宋体"/>
          <w:color w:val="auto"/>
          <w:highlight w:val="none"/>
          <w:lang w:val="en-US" w:eastAsia="zh-CN"/>
        </w:rPr>
        <w:t xml:space="preserve">公</w:t>
      </w:r>
      <w:r>
        <w:rPr>
          <w:rFonts w:hint="eastAsia" w:ascii="宋体" w:hAnsi="宋体"/>
          <w:color w:val="auto"/>
          <w:highlight w:val="none"/>
        </w:rPr>
        <w:t xml:space="preserve">会、财务部门等)沟通履行合同费用变更流程及手续并进行结算。</w:t>
      </w:r>
      <w:r/>
    </w:p>
    <w:p>
      <w:pPr>
        <w:pStyle w:val="1280"/>
        <w:ind w:left="0" w:firstLine="420"/>
        <w:spacing w:line="360" w:lineRule="auto"/>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）托管范围外费用的乙方收款账户为“5.9.账户信息”的“乙方收款账户”.</w:t>
      </w:r>
      <w:r/>
    </w:p>
    <w:p>
      <w:pPr>
        <w:pStyle w:val="1280"/>
        <w:ind w:left="227" w:firstLine="0"/>
        <w:spacing w:line="360" w:lineRule="auto"/>
        <w:rPr>
          <w:rFonts w:ascii="宋体" w:hAnsi="宋体"/>
          <w:color w:val="auto"/>
          <w:highlight w:val="none"/>
        </w:rPr>
      </w:pPr>
      <w:r>
        <w:rPr>
          <w:rFonts w:ascii="宋体" w:hAnsi="宋体"/>
          <w:color w:val="auto"/>
          <w:highlight w:val="none"/>
        </w:rPr>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5.5.</w:t>
      </w:r>
      <w:r>
        <w:rPr>
          <w:rFonts w:hint="eastAsia" w:ascii="宋体" w:hAnsi="宋体"/>
          <w:color w:val="auto"/>
          <w:highlight w:val="none"/>
        </w:rPr>
        <w:t xml:space="preserve">预存能源费用</w:t>
      </w:r>
      <w:r/>
    </w:p>
    <w:p>
      <w:pPr>
        <w:pStyle w:val="1280"/>
        <w:ind w:firstLine="420"/>
        <w:spacing w:line="360" w:lineRule="auto"/>
        <w:rPr>
          <w:rFonts w:ascii="宋体" w:hAnsi="宋体"/>
          <w:color w:val="auto"/>
          <w:highlight w:val="none"/>
        </w:rPr>
      </w:pPr>
      <w:r>
        <w:rPr>
          <w:rFonts w:hint="eastAsia" w:ascii="宋体" w:hAnsi="宋体"/>
          <w:color w:val="auto"/>
          <w:highlight w:val="none"/>
        </w:rPr>
        <w:t xml:space="preserve">（1）在项目进入能源费用托管服务期前的1个月，甲方应确保本项目托管户号对应的账户的预存金额大于能源费用托管服务期第1个月的费用支出，如预存金额不足，乙方应补足预存金额。预存金额根据乙方代付凭证向甲方提供对应发票后报销。</w:t>
      </w:r>
      <w:r/>
    </w:p>
    <w:p>
      <w:pPr>
        <w:pStyle w:val="1280"/>
        <w:ind w:firstLine="420"/>
        <w:spacing w:line="360" w:lineRule="auto"/>
        <w:rPr>
          <w:rFonts w:ascii="宋体" w:hAnsi="宋体"/>
          <w:color w:val="auto"/>
          <w:highlight w:val="none"/>
        </w:rPr>
      </w:pPr>
      <w:r>
        <w:rPr>
          <w:rFonts w:hint="eastAsia" w:ascii="宋体" w:hAnsi="宋体"/>
          <w:color w:val="auto"/>
          <w:highlight w:val="none"/>
        </w:rPr>
        <w:t xml:space="preserve">（2）能源费用托管服务期结束且甲方付清合同所有费用后，乙方应确保本项目托管户号对应的账户的预存金额与进入能源费用托管服务期前的预存金额保持一致。</w:t>
      </w:r>
      <w:r/>
    </w:p>
    <w:p>
      <w:pPr>
        <w:pStyle w:val="1280"/>
        <w:ind w:left="227" w:firstLine="0"/>
        <w:spacing w:line="360" w:lineRule="auto"/>
        <w:rPr>
          <w:rFonts w:ascii="宋体" w:hAnsi="宋体"/>
          <w:color w:val="auto"/>
          <w:highlight w:val="none"/>
        </w:rPr>
      </w:pPr>
      <w:r>
        <w:rPr>
          <w:rFonts w:ascii="宋体" w:hAnsi="宋体"/>
          <w:color w:val="auto"/>
          <w:highlight w:val="none"/>
        </w:rPr>
      </w:r>
      <w:r/>
    </w:p>
    <w:p>
      <w:pPr>
        <w:pStyle w:val="1280"/>
        <w:numPr>
          <w:ilvl w:val="1"/>
          <w:numId w:val="0"/>
        </w:numPr>
        <w:contextualSpacing/>
        <w:ind w:left="454" w:hanging="454"/>
        <w:spacing w:line="360" w:lineRule="auto"/>
        <w:rPr>
          <w:color w:val="auto"/>
          <w:highlight w:val="none"/>
        </w:rPr>
      </w:pPr>
      <w:r>
        <w:rPr>
          <w:rFonts w:hint="default" w:ascii="Calibri" w:hAnsi="Calibri" w:eastAsia="宋体" w:cs="Times New Roman"/>
          <w:strike w:val="0"/>
          <w:color w:val="auto"/>
          <w:sz w:val="21"/>
          <w:szCs w:val="22"/>
          <w:highlight w:val="none"/>
          <w:lang w:val="en-US" w:eastAsia="zh-CN" w:bidi="ar-SA"/>
        </w:rPr>
        <w:t xml:space="preserve">5.6.</w:t>
      </w:r>
      <w:r>
        <w:rPr>
          <w:rFonts w:hint="eastAsia" w:ascii="宋体" w:hAnsi="宋体"/>
          <w:color w:val="auto"/>
          <w:highlight w:val="none"/>
        </w:rPr>
        <w:t xml:space="preserve">本项目各托管周期机电运维服务费</w:t>
      </w:r>
      <w:r/>
    </w:p>
    <w:tbl>
      <w:tblPr>
        <w:tblStyle w:val="10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5267"/>
      </w:tblGrid>
      <w:tr>
        <w:trPr>
          <w:trHeight w:val="664"/>
        </w:trPr>
        <w:tc>
          <w:tcPr>
            <w:tcW w:w="3261" w:type="dxa"/>
            <w:vAlign w:val="center"/>
            <w:textDirection w:val="lrTb"/>
            <w:noWrap w:val="false"/>
          </w:tcPr>
          <w:p>
            <w:pPr>
              <w:ind w:hanging="10"/>
              <w:jc w:val="center"/>
              <w:rPr>
                <w:rFonts w:ascii="Calibri" w:hAnsi="Calibri" w:cs="Calibri"/>
                <w:color w:val="auto"/>
                <w:szCs w:val="21"/>
                <w:highlight w:val="none"/>
              </w:rPr>
            </w:pPr>
            <w:r>
              <w:rPr>
                <w:rFonts w:hint="eastAsia" w:ascii="Calibri" w:hAnsi="Calibri" w:cs="Calibri"/>
                <w:bCs/>
                <w:color w:val="auto"/>
                <w:szCs w:val="21"/>
                <w:highlight w:val="none"/>
              </w:rPr>
              <w:t xml:space="preserve">托管周期</w:t>
            </w:r>
            <w:r/>
          </w:p>
        </w:tc>
        <w:tc>
          <w:tcPr>
            <w:tcW w:w="5267" w:type="dxa"/>
            <w:vAlign w:val="center"/>
            <w:textDirection w:val="lrTb"/>
            <w:noWrap w:val="false"/>
          </w:tcPr>
          <w:p>
            <w:pPr>
              <w:ind w:hanging="10"/>
              <w:jc w:val="center"/>
              <w:rPr>
                <w:rFonts w:ascii="Calibri" w:hAnsi="Calibri" w:cs="Calibri"/>
                <w:bCs/>
                <w:color w:val="auto"/>
                <w:szCs w:val="21"/>
                <w:highlight w:val="none"/>
              </w:rPr>
            </w:pPr>
            <w:r>
              <w:rPr>
                <w:rFonts w:hint="eastAsia" w:ascii="Calibri" w:hAnsi="Calibri" w:cs="Calibri"/>
                <w:bCs/>
                <w:color w:val="auto"/>
                <w:szCs w:val="21"/>
                <w:highlight w:val="none"/>
              </w:rPr>
              <w:t xml:space="preserve">机电运维服务费</w:t>
            </w:r>
            <w:r/>
          </w:p>
          <w:p>
            <w:pPr>
              <w:ind w:hanging="10"/>
              <w:jc w:val="center"/>
              <w:rPr>
                <w:rFonts w:ascii="宋体" w:hAnsi="宋体" w:cs="Calibri"/>
                <w:color w:val="auto"/>
                <w:sz w:val="24"/>
                <w:highlight w:val="none"/>
              </w:rPr>
            </w:pPr>
            <w:r>
              <w:rPr>
                <w:rFonts w:hint="eastAsia" w:ascii="Calibri" w:hAnsi="Calibri" w:cs="Calibri"/>
                <w:color w:val="auto"/>
                <w:szCs w:val="21"/>
                <w:highlight w:val="none"/>
              </w:rPr>
              <w:t xml:space="preserve">（万元）</w:t>
            </w:r>
            <w:r/>
          </w:p>
        </w:tc>
      </w:tr>
      <w:tr>
        <w:trPr>
          <w:trHeight w:val="247"/>
        </w:trPr>
        <w:tc>
          <w:tcPr>
            <w:tcW w:w="3261" w:type="dxa"/>
            <w:vAlign w:val="center"/>
            <w:textDirection w:val="lrTb"/>
            <w:noWrap w:val="false"/>
          </w:tcPr>
          <w:p>
            <w:pPr>
              <w:ind w:hanging="10"/>
              <w:jc w:val="center"/>
              <w:rPr>
                <w:rFonts w:ascii="Calibri" w:hAnsi="Calibri" w:cs="Calibri"/>
                <w:bCs/>
                <w:color w:val="auto"/>
                <w:szCs w:val="21"/>
                <w:highlight w:val="none"/>
              </w:rPr>
            </w:pPr>
            <w:r>
              <w:rPr>
                <w:rFonts w:hint="eastAsia" w:ascii="Calibri" w:hAnsi="Calibri" w:cs="Calibri"/>
                <w:bCs/>
                <w:color w:val="auto"/>
                <w:szCs w:val="21"/>
                <w:highlight w:val="none"/>
                <w:lang w:val="en-US" w:eastAsia="zh-CN"/>
              </w:rPr>
              <w:t xml:space="preserve">每</w:t>
            </w:r>
            <w:r>
              <w:rPr>
                <w:rFonts w:hint="eastAsia" w:ascii="Calibri" w:hAnsi="Calibri" w:cs="Calibri"/>
                <w:bCs/>
                <w:color w:val="auto"/>
                <w:szCs w:val="21"/>
                <w:highlight w:val="none"/>
              </w:rPr>
              <w:t xml:space="preserve">一期</w:t>
            </w:r>
            <w:r/>
          </w:p>
        </w:tc>
        <w:tc>
          <w:tcPr>
            <w:tcW w:w="5267" w:type="dxa"/>
            <w:vAlign w:val="center"/>
            <w:textDirection w:val="lrTb"/>
            <w:noWrap w:val="false"/>
          </w:tcPr>
          <w:p>
            <w:pPr>
              <w:jc w:val="center"/>
              <w:widowControl/>
              <w:rPr>
                <w:rFonts w:hint="default" w:ascii="宋体" w:hAnsi="宋体" w:eastAsia="宋体" w:cs="Calibri"/>
                <w:color w:val="auto"/>
                <w:sz w:val="24"/>
                <w:highlight w:val="none"/>
                <w:lang w:val="en-US" w:eastAsia="zh-CN"/>
              </w:rPr>
            </w:pPr>
            <w:r>
              <w:rPr>
                <w:rFonts w:hint="default" w:ascii="宋体" w:hAnsi="宋体" w:eastAsia="宋体" w:cs="Calibri"/>
                <w:color w:val="auto"/>
                <w:sz w:val="24"/>
                <w:highlight w:val="none"/>
                <w:lang w:val="en-US" w:eastAsia="zh-CN"/>
              </w:rPr>
            </w:r>
            <w:r/>
          </w:p>
        </w:tc>
      </w:tr>
      <w:tr>
        <w:trPr>
          <w:trHeight w:val="454"/>
        </w:trPr>
        <w:tc>
          <w:tcPr>
            <w:tcW w:w="3261" w:type="dxa"/>
            <w:vAlign w:val="center"/>
            <w:textDirection w:val="lrTb"/>
            <w:noWrap w:val="false"/>
          </w:tcPr>
          <w:p>
            <w:pPr>
              <w:ind w:hanging="10"/>
              <w:jc w:val="center"/>
              <w:rPr>
                <w:rFonts w:ascii="Calibri" w:hAnsi="Calibri" w:cs="Calibri"/>
                <w:bCs/>
                <w:color w:val="auto"/>
                <w:szCs w:val="21"/>
                <w:highlight w:val="none"/>
              </w:rPr>
            </w:pPr>
            <w:r>
              <w:rPr>
                <w:rFonts w:hint="eastAsia" w:ascii="Calibri" w:hAnsi="Calibri" w:cs="Calibri"/>
                <w:bCs/>
                <w:color w:val="auto"/>
                <w:szCs w:val="21"/>
                <w:highlight w:val="none"/>
                <w:lang w:val="en-US" w:eastAsia="zh-CN"/>
              </w:rPr>
              <w:t xml:space="preserve">十个周期</w:t>
            </w:r>
            <w:r>
              <w:rPr>
                <w:rFonts w:hint="eastAsia" w:ascii="Calibri" w:hAnsi="Calibri" w:cs="Calibri"/>
                <w:bCs/>
                <w:color w:val="auto"/>
                <w:szCs w:val="21"/>
                <w:highlight w:val="none"/>
              </w:rPr>
              <w:t xml:space="preserve">合计</w:t>
            </w:r>
            <w:r/>
          </w:p>
        </w:tc>
        <w:tc>
          <w:tcPr>
            <w:tcW w:w="5267" w:type="dxa"/>
            <w:vAlign w:val="center"/>
            <w:textDirection w:val="lrTb"/>
            <w:noWrap w:val="false"/>
          </w:tcPr>
          <w:p>
            <w:pPr>
              <w:jc w:val="center"/>
              <w:widowControl/>
              <w:rPr>
                <w:rFonts w:ascii="宋体" w:hAnsi="宋体" w:cs="Calibri"/>
                <w:color w:val="auto"/>
                <w:sz w:val="24"/>
                <w:highlight w:val="none"/>
              </w:rPr>
            </w:pPr>
            <w:r>
              <w:rPr>
                <w:rFonts w:ascii="宋体" w:hAnsi="宋体" w:cs="Calibri"/>
                <w:color w:val="auto"/>
                <w:sz w:val="24"/>
                <w:highlight w:val="none"/>
              </w:rPr>
            </w:r>
            <w:r/>
          </w:p>
        </w:tc>
      </w:tr>
    </w:tbl>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5.7.</w:t>
      </w:r>
      <w:r>
        <w:rPr>
          <w:rFonts w:hint="eastAsia" w:ascii="宋体" w:hAnsi="宋体"/>
          <w:color w:val="auto"/>
          <w:highlight w:val="none"/>
        </w:rPr>
        <w:t xml:space="preserve">机电运维服务费支付</w:t>
      </w:r>
      <w:r/>
    </w:p>
    <w:p>
      <w:pPr>
        <w:ind w:firstLine="480"/>
        <w:spacing w:line="360" w:lineRule="auto"/>
        <w:rPr>
          <w:rFonts w:ascii="宋体" w:hAnsi="宋体"/>
          <w:bCs/>
          <w:color w:val="auto"/>
          <w:sz w:val="21"/>
          <w:szCs w:val="21"/>
          <w:highlight w:val="none"/>
        </w:rPr>
      </w:pPr>
      <w:r>
        <w:rPr>
          <w:rFonts w:hint="eastAsia" w:ascii="宋体" w:hAnsi="宋体" w:cs="仿宋"/>
          <w:color w:val="auto"/>
          <w:sz w:val="21"/>
          <w:szCs w:val="21"/>
          <w:highlight w:val="none"/>
        </w:rPr>
        <w:t xml:space="preserve">按</w:t>
      </w:r>
      <w:r>
        <w:rPr>
          <w:rFonts w:hint="eastAsia" w:ascii="宋体" w:hAnsi="宋体" w:cs="仿宋"/>
          <w:color w:val="auto"/>
          <w:sz w:val="21"/>
          <w:szCs w:val="21"/>
          <w:highlight w:val="none"/>
          <w:lang w:val="en-US" w:eastAsia="zh-CN"/>
        </w:rPr>
        <w:t xml:space="preserve">月</w:t>
      </w:r>
      <w:r>
        <w:rPr>
          <w:rFonts w:hint="eastAsia" w:ascii="宋体" w:hAnsi="宋体" w:cs="仿宋"/>
          <w:color w:val="auto"/>
          <w:sz w:val="21"/>
          <w:szCs w:val="21"/>
          <w:highlight w:val="none"/>
        </w:rPr>
        <w:t xml:space="preserve">度支付，采购人根据考核结果支付托管运维服务费用（</w:t>
      </w:r>
      <w:r>
        <w:rPr>
          <w:rFonts w:hint="eastAsia" w:ascii="宋体" w:hAnsi="宋体"/>
          <w:color w:val="auto"/>
          <w:sz w:val="21"/>
          <w:szCs w:val="21"/>
          <w:highlight w:val="none"/>
        </w:rPr>
        <w:t xml:space="preserve">每个周期的</w:t>
      </w:r>
      <w:r>
        <w:rPr>
          <w:rFonts w:hint="eastAsia" w:ascii="宋体" w:hAnsi="宋体" w:cs="仿宋"/>
          <w:color w:val="auto"/>
          <w:sz w:val="21"/>
          <w:szCs w:val="21"/>
          <w:highlight w:val="none"/>
        </w:rPr>
        <w:t xml:space="preserve">运维</w:t>
      </w:r>
      <w:r>
        <w:rPr>
          <w:rFonts w:hint="eastAsia" w:ascii="宋体" w:hAnsi="宋体"/>
          <w:color w:val="auto"/>
          <w:sz w:val="21"/>
          <w:szCs w:val="21"/>
          <w:highlight w:val="none"/>
        </w:rPr>
        <w:t xml:space="preserve">服务费金额=10年</w:t>
      </w:r>
      <w:r>
        <w:rPr>
          <w:rFonts w:hint="eastAsia" w:ascii="宋体" w:hAnsi="宋体" w:cs="仿宋"/>
          <w:color w:val="auto"/>
          <w:sz w:val="21"/>
          <w:szCs w:val="21"/>
          <w:highlight w:val="none"/>
        </w:rPr>
        <w:t xml:space="preserve">托管运维服务</w:t>
      </w:r>
      <w:r>
        <w:rPr>
          <w:rFonts w:hint="eastAsia" w:ascii="宋体" w:hAnsi="宋体"/>
          <w:color w:val="auto"/>
          <w:sz w:val="21"/>
          <w:szCs w:val="21"/>
          <w:highlight w:val="none"/>
        </w:rPr>
        <w:t xml:space="preserve">费÷10÷</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rPr>
        <w:t xml:space="preserve">-考核扣款</w:t>
      </w:r>
      <w:r>
        <w:rPr>
          <w:rFonts w:hint="eastAsia" w:ascii="宋体" w:hAnsi="宋体" w:cs="仿宋"/>
          <w:color w:val="auto"/>
          <w:sz w:val="21"/>
          <w:szCs w:val="21"/>
          <w:highlight w:val="none"/>
        </w:rPr>
        <w:t xml:space="preserve">）。甲方收到乙方开具增值税专用发票后15天内支付能源托管费用</w:t>
      </w:r>
      <w:r>
        <w:rPr>
          <w:rFonts w:hint="eastAsia" w:ascii="宋体" w:hAnsi="宋体"/>
          <w:bCs/>
          <w:color w:val="auto"/>
          <w:sz w:val="21"/>
          <w:szCs w:val="21"/>
          <w:highlight w:val="none"/>
        </w:rPr>
        <w:t xml:space="preserve">。</w:t>
      </w:r>
      <w:r/>
    </w:p>
    <w:p>
      <w:pPr>
        <w:pStyle w:val="1280"/>
        <w:numPr>
          <w:ilvl w:val="1"/>
          <w:numId w:val="0"/>
        </w:numPr>
        <w:contextualSpacing/>
        <w:ind w:left="454" w:hanging="454"/>
        <w:spacing w:line="360" w:lineRule="auto"/>
        <w:rPr>
          <w:rFonts w:cs="Arial"/>
          <w:b/>
          <w:bCs/>
          <w:color w:val="auto"/>
          <w:sz w:val="24"/>
          <w:highlight w:val="none"/>
        </w:rPr>
      </w:pPr>
      <w:r>
        <w:rPr>
          <w:rFonts w:hint="default" w:ascii="Calibri" w:hAnsi="Calibri" w:eastAsia="宋体" w:cs="Arial"/>
          <w:b/>
          <w:bCs/>
          <w:strike w:val="0"/>
          <w:color w:val="auto"/>
          <w:sz w:val="24"/>
          <w:szCs w:val="22"/>
          <w:highlight w:val="none"/>
          <w:lang w:val="en-US" w:eastAsia="zh-CN" w:bidi="ar-SA"/>
        </w:rPr>
        <w:t xml:space="preserve">5.8.</w:t>
      </w:r>
      <w:r>
        <w:rPr>
          <w:rFonts w:hint="eastAsia" w:cs="Arial"/>
          <w:b/>
          <w:bCs/>
          <w:color w:val="auto"/>
          <w:sz w:val="24"/>
          <w:highlight w:val="none"/>
        </w:rPr>
        <w:t xml:space="preserve">账户信息</w:t>
      </w:r>
      <w:r/>
    </w:p>
    <w:p>
      <w:pPr>
        <w:pStyle w:val="1280"/>
        <w:ind w:firstLine="0"/>
        <w:rPr>
          <w:rFonts w:ascii="宋体" w:hAnsi="宋体" w:cs="宋体"/>
          <w:color w:val="auto"/>
          <w:sz w:val="24"/>
          <w:highlight w:val="none"/>
        </w:rPr>
      </w:pPr>
      <w:r>
        <w:rPr>
          <w:rFonts w:hint="eastAsia" w:ascii="宋体" w:hAnsi="宋体" w:cs="宋体"/>
          <w:color w:val="auto"/>
          <w:sz w:val="24"/>
          <w:highlight w:val="none"/>
        </w:rPr>
        <w:t xml:space="preserve">（1)甲方收款账户：</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开户银行：</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账号： </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统一社会信用代码：</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开户行联行号：</w:t>
      </w:r>
      <w:r/>
    </w:p>
    <w:p>
      <w:pPr>
        <w:pStyle w:val="1280"/>
        <w:ind w:left="709" w:firstLine="480"/>
        <w:rPr>
          <w:rFonts w:ascii="宋体" w:hAnsi="宋体" w:cs="宋体"/>
          <w:color w:val="auto"/>
          <w:sz w:val="24"/>
          <w:highlight w:val="none"/>
        </w:rPr>
      </w:pPr>
      <w:r>
        <w:rPr>
          <w:rFonts w:ascii="宋体" w:hAnsi="宋体" w:cs="宋体"/>
          <w:color w:val="auto"/>
          <w:sz w:val="24"/>
          <w:highlight w:val="none"/>
        </w:rPr>
      </w:r>
      <w:r/>
    </w:p>
    <w:p>
      <w:pPr>
        <w:pStyle w:val="1280"/>
        <w:ind w:left="709" w:firstLine="480"/>
        <w:rPr>
          <w:rFonts w:ascii="宋体" w:hAnsi="宋体" w:cs="宋体"/>
          <w:color w:val="auto"/>
          <w:sz w:val="24"/>
          <w:highlight w:val="none"/>
        </w:rPr>
      </w:pPr>
      <w:r>
        <w:rPr>
          <w:rFonts w:ascii="宋体" w:hAnsi="宋体" w:cs="宋体"/>
          <w:color w:val="auto"/>
          <w:sz w:val="24"/>
          <w:highlight w:val="none"/>
        </w:rPr>
      </w:r>
      <w:r/>
    </w:p>
    <w:p>
      <w:pPr>
        <w:pStyle w:val="1280"/>
        <w:ind w:firstLine="0"/>
        <w:rPr>
          <w:rFonts w:ascii="宋体" w:hAnsi="宋体" w:cs="宋体"/>
          <w:color w:val="auto"/>
          <w:sz w:val="24"/>
          <w:highlight w:val="none"/>
        </w:rPr>
      </w:pPr>
      <w:r>
        <w:rPr>
          <w:rFonts w:hint="eastAsia" w:ascii="宋体" w:hAnsi="宋体" w:cs="宋体"/>
          <w:color w:val="auto"/>
          <w:sz w:val="24"/>
          <w:highlight w:val="none"/>
        </w:rPr>
        <w:t xml:space="preserve">（2）乙方收款账户：</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开户银行：</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账号： </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统一社会信用代码：</w:t>
      </w:r>
      <w:r/>
    </w:p>
    <w:p>
      <w:pPr>
        <w:pStyle w:val="1280"/>
        <w:ind w:left="535" w:firstLine="480"/>
        <w:rPr>
          <w:rFonts w:ascii="宋体" w:hAnsi="宋体" w:cs="宋体"/>
          <w:color w:val="auto"/>
          <w:sz w:val="24"/>
          <w:highlight w:val="none"/>
          <w:u w:val="single"/>
        </w:rPr>
      </w:pPr>
      <w:r>
        <w:rPr>
          <w:rFonts w:hint="eastAsia" w:ascii="宋体" w:hAnsi="宋体" w:cs="宋体"/>
          <w:color w:val="auto"/>
          <w:sz w:val="24"/>
          <w:highlight w:val="none"/>
        </w:rPr>
        <w:t xml:space="preserve">开户行联行号：</w:t>
      </w:r>
      <w:r/>
    </w:p>
    <w:p>
      <w:pPr>
        <w:rPr>
          <w:color w:val="auto"/>
          <w:highlight w:val="none"/>
        </w:rPr>
      </w:pPr>
      <w:r>
        <w:rPr>
          <w:color w:val="auto"/>
          <w:highlight w:val="none"/>
        </w:rPr>
        <w:br w:type="page" w:clear="all"/>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第六条</w:t>
      </w:r>
      <w:r>
        <w:rPr>
          <w:rFonts w:hint="eastAsia"/>
          <w:color w:val="auto"/>
          <w:highlight w:val="none"/>
        </w:rPr>
        <w:t xml:space="preserve">托管边界调整</w:t>
      </w:r>
      <w:r/>
    </w:p>
    <w:p>
      <w:pPr>
        <w:numPr>
          <w:ilvl w:val="0"/>
          <w:numId w:val="9"/>
        </w:numPr>
        <w:ind w:firstLine="480"/>
        <w:spacing w:line="360" w:lineRule="auto"/>
        <w:rPr>
          <w:rFonts w:ascii="宋体" w:hAnsi="宋体"/>
          <w:bCs/>
          <w:color w:val="auto"/>
          <w:sz w:val="24"/>
          <w:highlight w:val="none"/>
        </w:rPr>
      </w:pPr>
      <w:r>
        <w:rPr>
          <w:rFonts w:hint="eastAsia" w:ascii="宋体" w:hAnsi="宋体" w:cs="仿宋"/>
          <w:color w:val="auto"/>
          <w:sz w:val="24"/>
          <w:highlight w:val="none"/>
        </w:rPr>
        <w:t xml:space="preserve">自能源审计报告出具后至合同签约前</w:t>
      </w:r>
      <w:r>
        <w:rPr>
          <w:rFonts w:hint="eastAsia" w:ascii="宋体" w:hAnsi="宋体"/>
          <w:bCs/>
          <w:color w:val="auto"/>
          <w:sz w:val="24"/>
          <w:highlight w:val="none"/>
        </w:rPr>
        <w:t xml:space="preserve">，若本项目触发以下边界调整规则，经甲乙双方确认后</w:t>
      </w:r>
      <w:r>
        <w:rPr>
          <w:rFonts w:hint="eastAsia" w:ascii="宋体" w:hAnsi="宋体"/>
          <w:color w:val="auto"/>
          <w:sz w:val="24"/>
          <w:highlight w:val="none"/>
        </w:rPr>
        <w:t xml:space="preserve">形成托管边界费用调整报告作为合同附件或补充协议，协议</w:t>
      </w:r>
      <w:r>
        <w:rPr>
          <w:rFonts w:hint="eastAsia" w:ascii="宋体" w:hAnsi="宋体"/>
          <w:bCs/>
          <w:color w:val="auto"/>
          <w:sz w:val="24"/>
          <w:highlight w:val="none"/>
        </w:rPr>
        <w:t xml:space="preserve">签订前乙方有权延迟开工。</w:t>
      </w:r>
      <w:r/>
    </w:p>
    <w:p>
      <w:pPr>
        <w:numPr>
          <w:ilvl w:val="0"/>
          <w:numId w:val="9"/>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从合同签约之日起至进入托管期前，若本项目触发以下边界调整规则，由甲乙双方协商并在建设内容验收合格后的2个月内，签订托管边界费用调整补充协议，签订补充协议后正式进入项目托管期。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（3）进入托管期后乙方应按以下边界调整规则每月整理数据，编写托管边界费用调整报告并书面提交报医院主管部门审核。甲方应在乙方书面提交后的7个工作日内</w:t>
      </w:r>
      <w:r>
        <w:rPr>
          <w:rFonts w:hint="eastAsia" w:ascii="宋体" w:hAnsi="宋体" w:cs="仿宋"/>
          <w:color w:val="auto"/>
          <w:sz w:val="24"/>
          <w:highlight w:val="none"/>
        </w:rPr>
        <w:t xml:space="preserve">完成审核、签字确认托管费用调整报告，并积极协调医院各部门履行相关流程及手续。</w:t>
      </w:r>
      <w:r>
        <w:rPr>
          <w:rFonts w:hint="eastAsia" w:ascii="宋体" w:hAnsi="宋体"/>
          <w:bCs/>
          <w:color w:val="auto"/>
          <w:sz w:val="24"/>
          <w:highlight w:val="none"/>
        </w:rPr>
        <w:t xml:space="preserve">若甲方无正当理由不在上述期限内进行签字确认，则自第8个工作日起视为甲方认可乙方书面提交的边界费用调整说明。</w:t>
      </w:r>
      <w:r/>
    </w:p>
    <w:p>
      <w:pPr>
        <w:pStyle w:val="1280"/>
        <w:numPr>
          <w:ilvl w:val="1"/>
          <w:numId w:val="0"/>
        </w:numPr>
        <w:contextualSpacing/>
        <w:ind w:left="454" w:hanging="454"/>
        <w:spacing w:line="360" w:lineRule="auto"/>
        <w:rPr>
          <w:rFonts w:ascii="宋体" w:hAnsi="宋体"/>
          <w:b/>
          <w:bCs/>
          <w:color w:val="auto"/>
          <w:highlight w:val="none"/>
        </w:rPr>
      </w:pPr>
      <w:r>
        <w:rPr>
          <w:rFonts w:hint="default" w:ascii="宋体" w:hAnsi="宋体" w:eastAsia="宋体" w:cs="Times New Roman"/>
          <w:b/>
          <w:bCs/>
          <w:strike w:val="0"/>
          <w:color w:val="auto"/>
          <w:sz w:val="21"/>
          <w:szCs w:val="22"/>
          <w:highlight w:val="none"/>
          <w:lang w:val="en-US" w:eastAsia="zh-CN" w:bidi="ar-SA"/>
        </w:rPr>
        <w:t xml:space="preserve">6.1.</w:t>
      </w:r>
      <w:r>
        <w:rPr>
          <w:rFonts w:ascii="宋体" w:hAnsi="宋体"/>
          <w:b/>
          <w:bCs/>
          <w:color w:val="auto"/>
          <w:highlight w:val="none"/>
        </w:rPr>
        <w:t xml:space="preserve">建筑用能面积变化调整规则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（1）原有托管建筑用能区域调整</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托管期内医院托管建筑用能区域发生</w:t>
      </w:r>
      <w:r>
        <w:rPr>
          <w:rFonts w:hint="eastAsia" w:ascii="宋体" w:hAnsi="宋体"/>
          <w:color w:val="auto"/>
          <w:sz w:val="24"/>
          <w:highlight w:val="none"/>
        </w:rPr>
        <w:t xml:space="preserve">新增/减少、重新启用/闲置、区域用途变化时，应安装智能表计进行独立计量，并根据该楼栋目前实际使用面积的能源单耗进行边界调整费用核算。假定目前实际投用面积为A，各月用电量为B1、B2、……、B12，则对应能源单耗为B1/A、B2/A、……，B12/A。如果大楼内功能区域重新使用或闲置的面积为ΔC，则该区域每月调整能源用量为对应月的能源单耗乘以ΔC。如果大楼内功能区域的用途变化，则根据能源单耗变化和调整面积计算调整用量。若已有大楼无实际用能数据，可以基于第三方机构出具审计报告为依据，以全院单位面积能耗进行计算。</w:t>
      </w:r>
      <w:r>
        <w:rPr>
          <w:rFonts w:hint="eastAsia" w:ascii="宋体" w:hAnsi="宋体"/>
          <w:color w:val="auto"/>
          <w:sz w:val="24"/>
          <w:highlight w:val="none"/>
          <w:lang w:eastAsia="zh-CN"/>
        </w:rPr>
        <w:t xml:space="preserve">此部分每季度一次性结算，多退少补。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（2）大楼新建或拆除的情况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对于新建大楼，在新建大楼用能趋于稳定之前安装智能表计据实结算，实报实销，用能稳定后由采购人和中标供应商双方协商纳入托管范围内。对于大楼拆除，在大楼拆除前安装智能表计，拆除后根据计量数值退减托管费用。</w:t>
      </w:r>
      <w:r/>
    </w:p>
    <w:p>
      <w:pPr>
        <w:pStyle w:val="1043"/>
        <w:rPr>
          <w:color w:val="auto"/>
          <w:highlight w:val="none"/>
        </w:rPr>
      </w:pPr>
      <w:r>
        <w:rPr>
          <w:color w:val="auto"/>
          <w:highlight w:val="none"/>
        </w:rPr>
      </w:r>
      <w:r/>
    </w:p>
    <w:p>
      <w:pPr>
        <w:pStyle w:val="1280"/>
        <w:numPr>
          <w:ilvl w:val="1"/>
          <w:numId w:val="0"/>
        </w:numPr>
        <w:contextualSpacing/>
        <w:ind w:left="454" w:hanging="454"/>
        <w:spacing w:line="360" w:lineRule="auto"/>
        <w:rPr>
          <w:rFonts w:ascii="宋体" w:hAnsi="宋体"/>
          <w:b/>
          <w:bCs/>
          <w:color w:val="auto"/>
          <w:highlight w:val="none"/>
        </w:rPr>
      </w:pPr>
      <w:r>
        <w:rPr>
          <w:rFonts w:hint="default" w:ascii="宋体" w:hAnsi="宋体" w:eastAsia="宋体" w:cs="Times New Roman"/>
          <w:b/>
          <w:bCs/>
          <w:strike w:val="0"/>
          <w:color w:val="auto"/>
          <w:sz w:val="21"/>
          <w:szCs w:val="22"/>
          <w:highlight w:val="none"/>
          <w:lang w:val="en-US" w:eastAsia="zh-CN" w:bidi="ar-SA"/>
        </w:rPr>
        <w:t xml:space="preserve">6.2.</w:t>
      </w:r>
      <w:r>
        <w:rPr>
          <w:rFonts w:hint="eastAsia" w:ascii="宋体" w:hAnsi="宋体"/>
          <w:b/>
          <w:bCs/>
          <w:color w:val="auto"/>
          <w:highlight w:val="none"/>
        </w:rPr>
        <w:t xml:space="preserve">用能设备及器具变化调整规则</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托管期内如用电/用气/用水设备或器具发生调整（包括但不限于增加、减少、使用状态或时长变化）,采购人设备采购科室应于设备到场后5个工作日内书面告知中标供应商，中标供应商协助采购人完善用能设备台账。当添加或减少的用电设备累计铭牌功率≥3kW，用气设备累计额定燃气消耗量≥3m³/h，用水设备累计额定用水量≥500kg时，对能源托管用量进行调整。调整计算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当具备条件安装表计进行独立计量的用能设备，由中标供应商在采购人指导下加装计量表计，按照实际用量进行调整。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当不具备条件安装表计进行独立计量的用能设备，调整费用=增减设备总铭牌额定功率×月运行时长（小时）×当月实际能源单价。</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此部分每季度一次性结算，多退少补。</w:t>
      </w:r>
      <w:r/>
    </w:p>
    <w:p>
      <w:pPr>
        <w:pStyle w:val="1280"/>
        <w:numPr>
          <w:ilvl w:val="1"/>
          <w:numId w:val="0"/>
        </w:numPr>
        <w:contextualSpacing/>
        <w:ind w:left="454" w:hanging="454"/>
        <w:spacing w:line="360" w:lineRule="auto"/>
        <w:rPr>
          <w:rFonts w:ascii="宋体" w:hAnsi="宋体"/>
          <w:b/>
          <w:bCs/>
          <w:color w:val="auto"/>
          <w:highlight w:val="none"/>
        </w:rPr>
      </w:pPr>
      <w:r>
        <w:rPr>
          <w:rFonts w:hint="default" w:ascii="宋体" w:hAnsi="宋体" w:eastAsia="宋体" w:cs="Times New Roman"/>
          <w:b/>
          <w:bCs/>
          <w:strike w:val="0"/>
          <w:color w:val="auto"/>
          <w:sz w:val="21"/>
          <w:szCs w:val="22"/>
          <w:highlight w:val="none"/>
          <w:lang w:val="en-US" w:eastAsia="zh-CN" w:bidi="ar-SA"/>
        </w:rPr>
        <w:t xml:space="preserve">6.3.</w:t>
      </w:r>
      <w:r>
        <w:rPr>
          <w:rFonts w:hint="eastAsia" w:ascii="宋体" w:hAnsi="宋体"/>
          <w:b/>
          <w:bCs/>
          <w:color w:val="auto"/>
          <w:highlight w:val="none"/>
        </w:rPr>
        <w:t xml:space="preserve">医院供能变化调整规则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（1）医院供冷/供暖变化调整规则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在托管期内每个供冷季/供暖季，由中标供应商向医院</w:t>
      </w:r>
      <w:r>
        <w:rPr>
          <w:rFonts w:hint="eastAsia" w:ascii="宋体" w:hAnsi="宋体"/>
          <w:color w:val="auto"/>
          <w:sz w:val="24"/>
          <w:highlight w:val="none"/>
          <w:lang w:eastAsia="zh-CN"/>
        </w:rPr>
        <w:t xml:space="preserve">主管部门</w:t>
      </w:r>
      <w:r>
        <w:rPr>
          <w:rFonts w:hint="eastAsia" w:ascii="宋体" w:hAnsi="宋体"/>
          <w:color w:val="auto"/>
          <w:sz w:val="24"/>
          <w:highlight w:val="none"/>
        </w:rPr>
        <w:t xml:space="preserve">提交《供冷季/供暖季开始确认函》，供冷/供暖开始日期记为A供冷/A供暖。中标供应商按照“能源供应及服务标准”进行供冷/供暖，供冷/供暖结束日期记为B供冷/B供暖。在供冷/供暖季结束日期前的5个工作日内，由中标供应商向医院</w:t>
      </w:r>
      <w:r>
        <w:rPr>
          <w:rFonts w:hint="eastAsia" w:ascii="宋体" w:hAnsi="宋体"/>
          <w:color w:val="auto"/>
          <w:sz w:val="24"/>
          <w:highlight w:val="none"/>
          <w:lang w:eastAsia="zh-CN"/>
        </w:rPr>
        <w:t xml:space="preserve">主管部门</w:t>
      </w:r>
      <w:r>
        <w:rPr>
          <w:rFonts w:hint="eastAsia" w:ascii="宋体" w:hAnsi="宋体"/>
          <w:color w:val="auto"/>
          <w:sz w:val="24"/>
          <w:highlight w:val="none"/>
        </w:rPr>
        <w:t xml:space="preserve">提供《供冷/供暖季结束确认函》，如医院同意结束供冷/供暖，即在供冷/供暖季结束日期B供冷/B供暖时停止供冷/供暖；如医院要求延长供冷/供暖，则双方签订《供冷/供暖季延长确认函》，当医院决定停止供冷/供暖时，双方签订《供冷/供暖季延长结束确认函》，停止供冷/供暖日期记为C供冷/C供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托管期内如医院供冷或供暖时间发生变化，具备表计进行独立计量的设备，在约定的时间节点（A供冷/A供暖、B供冷/B供暖、C供冷/C供暖）采集用能数据；不具备条件安装表计进行独立计量的设备，由医院与中标供应商双方协商并书面确认其运行时间，通过【铭牌额定或者实际用电量×运行时间】方式计算。延长供冷调整费用=延长供冷能耗用量*延长供冷当月的能耗实际单价，延长供暖调整费用=延长供暖能耗用量*延长供暖当月的能耗实际单价。双方于每个制冷季/供暖季结束后的10个工作日内结算边界调整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（2）医院生活热水供应变化调整规则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托管期内如医院生活热水供应时长相较“能源供应及服务标准”发生变化，具备表计进行独立计量的设备在开启时间采集用能数据，不具备条件安装表计进行独立计量的设备，由医院与中标供应商双方协商并书面确认其运行时间，通过【铭牌额定或者实际用电量×运行时间】方式计算。调整费用=(月实际供应小时数-月标准供应小时数)*月生活热水用能量/月实际供应小时数*月实际能源单价。</w:t>
      </w:r>
      <w:r>
        <w:rPr>
          <w:rFonts w:hint="eastAsia" w:ascii="宋体" w:hAnsi="宋体"/>
          <w:color w:val="auto"/>
          <w:sz w:val="24"/>
          <w:highlight w:val="none"/>
          <w:lang w:eastAsia="zh-CN"/>
        </w:rPr>
        <w:t xml:space="preserve">此部分每季度一次性结算，多退少补。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（3）医院蒸汽供应变化调整规则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托管期内如医院蒸汽供应时长相较“能源供应及服务标准”发生变化，则调整费用=(月度实际供应小时数-月度标准供应小时数)*月度蒸汽用能量/月度实际蒸汽供应小时数。</w:t>
      </w:r>
      <w:r>
        <w:rPr>
          <w:rFonts w:hint="eastAsia" w:ascii="宋体" w:hAnsi="宋体"/>
          <w:color w:val="auto"/>
          <w:sz w:val="24"/>
          <w:highlight w:val="none"/>
          <w:lang w:eastAsia="zh-CN"/>
        </w:rPr>
        <w:t xml:space="preserve">此部分每季度一次性结算，多退少补。</w:t>
      </w:r>
      <w:r/>
    </w:p>
    <w:p>
      <w:pPr>
        <w:pStyle w:val="1280"/>
        <w:numPr>
          <w:ilvl w:val="1"/>
          <w:numId w:val="0"/>
        </w:numPr>
        <w:contextualSpacing/>
        <w:ind w:left="454" w:hanging="454"/>
        <w:spacing w:line="360" w:lineRule="auto"/>
        <w:rPr>
          <w:rFonts w:ascii="宋体" w:hAnsi="宋体"/>
          <w:b/>
          <w:bCs/>
          <w:color w:val="auto"/>
          <w:highlight w:val="none"/>
        </w:rPr>
      </w:pPr>
      <w:r>
        <w:rPr>
          <w:rFonts w:hint="default" w:ascii="宋体" w:hAnsi="宋体" w:eastAsia="宋体" w:cs="Times New Roman"/>
          <w:b/>
          <w:bCs/>
          <w:strike w:val="0"/>
          <w:color w:val="auto"/>
          <w:sz w:val="21"/>
          <w:szCs w:val="22"/>
          <w:highlight w:val="none"/>
          <w:lang w:val="en-US" w:eastAsia="zh-CN" w:bidi="ar-SA"/>
        </w:rPr>
        <w:t xml:space="preserve">6.4.</w:t>
      </w:r>
      <w:r>
        <w:rPr>
          <w:rFonts w:hint="eastAsia" w:ascii="宋体" w:hAnsi="宋体"/>
          <w:b/>
          <w:bCs/>
          <w:color w:val="auto"/>
          <w:highlight w:val="none"/>
        </w:rPr>
        <w:t xml:space="preserve">工程施工用能调整规则</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本项目</w:t>
      </w:r>
      <w:r>
        <w:rPr>
          <w:rFonts w:hint="eastAsia" w:ascii="宋体" w:hAnsi="宋体"/>
          <w:color w:val="auto"/>
          <w:sz w:val="24"/>
          <w:highlight w:val="none"/>
        </w:rPr>
        <w:t xml:space="preserve">托管期</w:t>
      </w:r>
      <w:r>
        <w:rPr>
          <w:rFonts w:ascii="宋体" w:hAnsi="宋体"/>
          <w:color w:val="auto"/>
          <w:sz w:val="24"/>
          <w:highlight w:val="none"/>
        </w:rPr>
        <w:t xml:space="preserve">内如发生工程施工作业用能（包括但不限于新建建筑、既有业务楼栋/区域翻新、装修和改扩建等），</w:t>
      </w:r>
      <w:r>
        <w:rPr>
          <w:rFonts w:hint="eastAsia" w:ascii="宋体" w:hAnsi="宋体"/>
          <w:color w:val="auto"/>
          <w:sz w:val="24"/>
          <w:highlight w:val="none"/>
        </w:rPr>
        <w:t xml:space="preserve">用能调整方式如下：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（1）如工程施工作业用能独立开户（未计入本合同第2.2条约定的托管能源计量户号中），由甲方或第三方自行缴纳能源费用，则不产生合同费用调整。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（2）如工程施工作业用能未独立开户，第三方使用本合同第2.2条约定的托管能源计量户号中相关能源，则</w:t>
      </w:r>
      <w:r>
        <w:rPr>
          <w:rFonts w:ascii="宋体" w:hAnsi="宋体"/>
          <w:color w:val="auto"/>
          <w:sz w:val="24"/>
          <w:highlight w:val="none"/>
        </w:rPr>
        <w:t xml:space="preserve">由乙方对第三方</w:t>
      </w:r>
      <w:r>
        <w:rPr>
          <w:rFonts w:hint="eastAsia" w:ascii="宋体" w:hAnsi="宋体"/>
          <w:color w:val="auto"/>
          <w:sz w:val="24"/>
          <w:highlight w:val="none"/>
        </w:rPr>
        <w:t xml:space="preserve">施工</w:t>
      </w:r>
      <w:r>
        <w:rPr>
          <w:rFonts w:ascii="宋体" w:hAnsi="宋体"/>
          <w:color w:val="auto"/>
          <w:sz w:val="24"/>
          <w:highlight w:val="none"/>
        </w:rPr>
        <w:t xml:space="preserve">用能进行挂表计量，按实际计量的能源消耗量进行调整并核算费用，相关能源费用由甲方于次月</w:t>
      </w:r>
      <w:r>
        <w:rPr>
          <w:rFonts w:hint="eastAsia" w:ascii="宋体" w:hAnsi="宋体"/>
          <w:color w:val="auto"/>
          <w:sz w:val="24"/>
          <w:highlight w:val="none"/>
        </w:rPr>
        <w:t xml:space="preserve">15号前</w:t>
      </w:r>
      <w:r>
        <w:rPr>
          <w:rFonts w:ascii="宋体" w:hAnsi="宋体"/>
          <w:color w:val="auto"/>
          <w:sz w:val="24"/>
          <w:highlight w:val="none"/>
        </w:rPr>
        <w:t xml:space="preserve">另行支付给乙方，调整费用=调整用量*当</w:t>
      </w:r>
      <w:r>
        <w:rPr>
          <w:rFonts w:hint="eastAsia" w:ascii="宋体" w:hAnsi="宋体"/>
          <w:color w:val="auto"/>
          <w:sz w:val="24"/>
          <w:highlight w:val="none"/>
        </w:rPr>
        <w:t xml:space="preserve">月</w:t>
      </w:r>
      <w:r>
        <w:rPr>
          <w:rFonts w:ascii="宋体" w:hAnsi="宋体"/>
          <w:color w:val="auto"/>
          <w:sz w:val="24"/>
          <w:highlight w:val="none"/>
        </w:rPr>
        <w:t xml:space="preserve">能耗实际单价。</w:t>
      </w:r>
      <w:r>
        <w:rPr>
          <w:rFonts w:hint="eastAsia" w:ascii="宋体" w:hAnsi="宋体"/>
          <w:color w:val="auto"/>
          <w:sz w:val="24"/>
          <w:highlight w:val="none"/>
          <w:lang w:eastAsia="zh-CN"/>
        </w:rPr>
        <w:t xml:space="preserve">此部分每季度一次性结算，多退少补。</w:t>
      </w:r>
      <w:r/>
    </w:p>
    <w:p>
      <w:pPr>
        <w:pStyle w:val="1280"/>
        <w:numPr>
          <w:ilvl w:val="1"/>
          <w:numId w:val="0"/>
        </w:numPr>
        <w:contextualSpacing/>
        <w:ind w:left="454" w:hanging="454"/>
        <w:spacing w:line="360" w:lineRule="auto"/>
        <w:rPr>
          <w:rFonts w:ascii="宋体" w:hAnsi="宋体"/>
          <w:b/>
          <w:bCs/>
          <w:color w:val="auto"/>
          <w:highlight w:val="none"/>
        </w:rPr>
      </w:pPr>
      <w:r>
        <w:rPr>
          <w:rFonts w:hint="default" w:ascii="宋体" w:hAnsi="宋体" w:eastAsia="宋体" w:cs="Times New Roman"/>
          <w:b/>
          <w:bCs/>
          <w:strike w:val="0"/>
          <w:color w:val="auto"/>
          <w:sz w:val="21"/>
          <w:szCs w:val="22"/>
          <w:highlight w:val="none"/>
          <w:lang w:val="en-US" w:eastAsia="zh-CN" w:bidi="ar-SA"/>
        </w:rPr>
        <w:t xml:space="preserve">6.</w:t>
      </w:r>
      <w:r>
        <w:rPr>
          <w:rFonts w:hint="eastAsia" w:ascii="宋体" w:hAnsi="宋体" w:cs="Times New Roman"/>
          <w:b/>
          <w:bCs/>
          <w:strike w:val="0"/>
          <w:color w:val="auto"/>
          <w:sz w:val="21"/>
          <w:szCs w:val="22"/>
          <w:highlight w:val="none"/>
          <w:lang w:val="en-US" w:eastAsia="zh-CN" w:bidi="ar-SA"/>
        </w:rPr>
        <w:t xml:space="preserve">5</w:t>
      </w:r>
      <w:r>
        <w:rPr>
          <w:rFonts w:hint="default" w:ascii="宋体" w:hAnsi="宋体" w:eastAsia="宋体" w:cs="Times New Roman"/>
          <w:b/>
          <w:bCs/>
          <w:strike w:val="0"/>
          <w:color w:val="auto"/>
          <w:sz w:val="21"/>
          <w:szCs w:val="22"/>
          <w:highlight w:val="none"/>
          <w:lang w:val="en-US" w:eastAsia="zh-CN" w:bidi="ar-SA"/>
        </w:rPr>
        <w:t xml:space="preserve">.</w:t>
      </w:r>
      <w:r>
        <w:rPr>
          <w:rFonts w:hint="eastAsia" w:ascii="宋体" w:hAnsi="宋体"/>
          <w:b/>
          <w:bCs/>
          <w:color w:val="auto"/>
          <w:highlight w:val="none"/>
        </w:rPr>
        <w:t xml:space="preserve">其他情况下的调整规则</w:t>
      </w:r>
      <w:r/>
    </w:p>
    <w:p>
      <w:pPr>
        <w:ind w:firstLine="240"/>
        <w:spacing w:line="360" w:lineRule="auto"/>
        <w:rPr>
          <w:rFonts w:ascii="宋体" w:hAnsi="宋体"/>
          <w:color w:val="auto"/>
          <w:sz w:val="24"/>
          <w:highlight w:val="none"/>
        </w:rPr>
      </w:pPr>
      <w:r>
        <w:rPr>
          <w:rFonts w:hint="eastAsia" w:ascii="宋体" w:hAnsi="宋体"/>
          <w:color w:val="auto"/>
          <w:sz w:val="24"/>
          <w:highlight w:val="none"/>
        </w:rPr>
        <w:t xml:space="preserve">在托管期内，如有发生以下情况的，双方需根据实际情况对托管基准进行调整：</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（1）医院综合业务量发生较大变化，就诊量变化：门急诊量变化不调整；以202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年度床日数作为基准（202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年实际</w:t>
      </w:r>
      <w:r>
        <w:rPr>
          <w:rFonts w:hint="eastAsia" w:ascii="宋体" w:hAnsi="宋体"/>
          <w:color w:val="auto"/>
          <w:sz w:val="24"/>
          <w:highlight w:val="none"/>
          <w:lang w:eastAsia="zh-CN"/>
        </w:rPr>
        <w:t xml:space="preserve">占用床日数为</w:t>
      </w:r>
      <w:r>
        <w:rPr>
          <w:rFonts w:hint="eastAsia" w:ascii="宋体" w:hAnsi="宋体"/>
          <w:color w:val="auto"/>
          <w:sz w:val="24"/>
          <w:highlight w:val="none"/>
          <w:lang w:val="en-US" w:eastAsia="zh-CN"/>
        </w:rPr>
        <w:t xml:space="preserve">220973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若托管期内年度实际占用床日数变化幅度超过2%，双方对能源费用进行调整。</w:t>
      </w:r>
      <w:r>
        <w:rPr>
          <w:rFonts w:hint="eastAsia" w:ascii="宋体" w:hAnsi="宋体"/>
          <w:color w:val="auto"/>
          <w:sz w:val="24"/>
          <w:highlight w:val="none"/>
        </w:rPr>
        <w:t xml:space="preserve">托管期内，每年1月底对上一年全年实际床日数进行统计，并对上年的能源托管费用基准同比例进行修正。床日数变化率 = (上年实际床日数 - 基准床日数) / 基准床日数。如果 |床日数变化率| ≤ 2%则上年能源费用不予调整，如果 |床日数变化率| &gt; 2%，则上年能源费用按床日数变化比例进行调整，即：实际应付费用 = 基准能源费用 × {(上年实际床日数 / 基准床日数)</w:t>
      </w:r>
      <w:r>
        <w:rPr>
          <w:rFonts w:hint="eastAsia" w:ascii="宋体" w:hAnsi="宋体"/>
          <w:b/>
          <w:bCs/>
          <w:color w:val="auto"/>
          <w:sz w:val="24"/>
          <w:highlight w:val="none"/>
        </w:rPr>
        <w:t xml:space="preserve">-2%</w:t>
      </w:r>
      <w:r>
        <w:rPr>
          <w:rFonts w:hint="eastAsia" w:ascii="宋体" w:hAnsi="宋体"/>
          <w:color w:val="auto"/>
          <w:sz w:val="24"/>
          <w:highlight w:val="none"/>
        </w:rPr>
        <w:t xml:space="preserve">}。</w:t>
      </w:r>
      <w:r/>
    </w:p>
    <w:p>
      <w:pPr>
        <w:ind w:firstLine="24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因不可控因素（包括</w:t>
      </w:r>
      <w:r>
        <w:rPr>
          <w:rFonts w:hint="eastAsia" w:ascii="宋体" w:hAnsi="宋体"/>
          <w:color w:val="auto"/>
          <w:sz w:val="24"/>
          <w:highlight w:val="none"/>
          <w:lang w:val="en-US" w:eastAsia="zh-CN"/>
        </w:rPr>
        <w:t xml:space="preserve">停业破产、搬迁、重大公共卫生事件、重大活动、外力破坏、极端气候等）</w:t>
      </w:r>
      <w:r>
        <w:rPr>
          <w:rFonts w:hint="eastAsia" w:ascii="宋体" w:hAnsi="宋体"/>
          <w:color w:val="auto"/>
          <w:sz w:val="24"/>
          <w:highlight w:val="none"/>
          <w:lang w:eastAsia="zh-CN"/>
        </w:rPr>
        <w:t xml:space="preserve">导致用能出现重大增减变动，且变动幅度超出本能源托管周期能源基准的5%时，由双方协商调整本能源托管周期的能源基准用量。</w:t>
      </w:r>
      <w:r/>
    </w:p>
    <w:p>
      <w:pPr>
        <w:ind w:firstLine="240"/>
        <w:spacing w:line="360" w:lineRule="auto"/>
        <w:rPr>
          <w:rFonts w:ascii="宋体" w:hAnsi="宋体"/>
          <w:color w:val="auto"/>
          <w:sz w:val="24"/>
          <w:highlight w:val="none"/>
        </w:rPr>
      </w:pPr>
      <w:r>
        <w:rPr>
          <w:rFonts w:hint="eastAsia" w:ascii="宋体" w:hAnsi="宋体"/>
          <w:color w:val="auto"/>
          <w:sz w:val="24"/>
          <w:highlight w:val="none"/>
        </w:rPr>
        <w:t xml:space="preserve">（3）增加服务内容引起的服务费用调整。</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可以根据实际需求调整服务内容，如运维值守人员和值守范围、机电设备维修维保、平台功能拓展等内容。双方根据实际变化调整托管费用。</w:t>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第七条</w:t>
      </w:r>
      <w:r>
        <w:rPr>
          <w:rFonts w:hint="eastAsia"/>
          <w:color w:val="auto"/>
          <w:highlight w:val="none"/>
        </w:rPr>
        <w:t xml:space="preserve">甲方的责任义务</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7.1.</w:t>
      </w:r>
      <w:r>
        <w:rPr>
          <w:rFonts w:hint="eastAsia" w:ascii="宋体" w:hAnsi="宋体"/>
          <w:color w:val="auto"/>
          <w:highlight w:val="none"/>
        </w:rPr>
        <w:t xml:space="preserve">根据相关法律法规和政策要求，甲方应及时向有关部门申请各类审批或许可，配合乙方工作的正常开展。</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7.2.</w:t>
      </w:r>
      <w:r>
        <w:rPr>
          <w:rFonts w:hint="eastAsia" w:ascii="宋体" w:hAnsi="宋体"/>
          <w:color w:val="auto"/>
          <w:highlight w:val="none"/>
        </w:rPr>
        <w:t xml:space="preserve">甲方应当根据乙方的合理要求，及时提供本项目设计和实施所必须的资料和数据，并确保其真实、准确、完整。</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7.3.</w:t>
      </w:r>
      <w:r>
        <w:rPr>
          <w:rFonts w:hint="eastAsia" w:ascii="宋体" w:hAnsi="宋体"/>
          <w:color w:val="auto"/>
          <w:highlight w:val="none"/>
          <w:lang w:eastAsia="zh-CN"/>
        </w:rPr>
        <w:t xml:space="preserve">甲方既有</w:t>
      </w:r>
      <w:r>
        <w:rPr>
          <w:rFonts w:hint="eastAsia" w:ascii="宋体" w:hAnsi="宋体"/>
          <w:color w:val="auto"/>
          <w:highlight w:val="none"/>
          <w:lang w:val="en-US" w:eastAsia="zh-CN"/>
        </w:rPr>
        <w:t xml:space="preserve">后勤大型设备，包括但不限于中央空调机组、热水炉、锅炉的日常维保与综合维修，按照托管前的管理制度及相关国家标准有序开展。针对设备产权归属医院的，采取半包形式，即中标人承担设备维护保养维修所涉及的人工费用，采购人承担维修涉及的备件更换及材料费用；针对设备产权归属供应商的，采取全保形式，即中标人承担设备维护保养维修所涉及的人工费用和维修涉及的备件更换及材料费用。</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7.4.</w:t>
      </w:r>
      <w:r>
        <w:rPr>
          <w:rFonts w:hint="eastAsia" w:ascii="宋体" w:hAnsi="宋体"/>
          <w:color w:val="auto"/>
          <w:highlight w:val="none"/>
        </w:rPr>
        <w:t xml:space="preserve">甲方应保证项目相关的设备、设施的运行良好及符合国家法律法规及行业政策要求。涉及乙方技改措施或供能系统运营，甲方合理采纳乙方建议并授权乙方供能系统调控权限。</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7.5.</w:t>
      </w:r>
      <w:r>
        <w:rPr>
          <w:rFonts w:hint="eastAsia" w:ascii="宋体" w:hAnsi="宋体"/>
          <w:color w:val="auto"/>
          <w:highlight w:val="none"/>
        </w:rPr>
        <w:t xml:space="preserve">甲方应当将与本项目有关的内部规章制度和特殊安全规定要求及时提前告知乙方。</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7.6.</w:t>
      </w:r>
      <w:r>
        <w:rPr>
          <w:rFonts w:hint="eastAsia" w:ascii="宋体" w:hAnsi="宋体"/>
          <w:color w:val="auto"/>
          <w:highlight w:val="none"/>
        </w:rPr>
        <w:t xml:space="preserve">甲方应当提供项目实施所需要的现场条件和必要的协助，如清理施工现场、合理调整生产、设备试运行等。甲方应根据项目方案的相关规定，及时协助乙方完成项目的试运行和验收。</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7.7.</w:t>
      </w:r>
      <w:r>
        <w:rPr>
          <w:rFonts w:hint="eastAsia" w:ascii="宋体" w:hAnsi="宋体"/>
          <w:color w:val="auto"/>
          <w:highlight w:val="none"/>
        </w:rPr>
        <w:t xml:space="preserve">甲方应按照合同规定，及时向乙方付款，如甲方未能按时足额支付托管费用，经乙方催告后仍不支付而引起的经济损失由甲方承担。</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7.8.</w:t>
      </w:r>
      <w:r>
        <w:rPr>
          <w:rFonts w:hint="eastAsia" w:ascii="宋体" w:hAnsi="宋体"/>
          <w:color w:val="auto"/>
          <w:highlight w:val="none"/>
        </w:rPr>
        <w:t xml:space="preserve">甲方应当配合乙方的能源经理，针对乙方能源经理提供的节能方案建议书进行审核，通过后签字确认并有效执行。 </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7.9.</w:t>
      </w:r>
      <w:r>
        <w:rPr>
          <w:rFonts w:hint="eastAsia" w:ascii="宋体" w:hAnsi="宋体"/>
          <w:color w:val="auto"/>
          <w:highlight w:val="none"/>
        </w:rPr>
        <w:t xml:space="preserve">因为运行管理不规范导致节能量发生变化，甲方应当及时改正。甲方应当保持设备或系统的节能运行状态,不得随意将项目设备/系统从节能控制状态切换到非节能状态运行。</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7.10.</w:t>
      </w:r>
      <w:r>
        <w:rPr>
          <w:rFonts w:hint="eastAsia" w:ascii="宋体" w:hAnsi="宋体"/>
          <w:color w:val="auto"/>
          <w:highlight w:val="none"/>
        </w:rPr>
        <w:t xml:space="preserve">托管服务期内，甲方应确保医院原有用能设备遵循行业标准进行定期且适当的维护保养，并对达到国家规定更换标准的设备进行及时更新。若甲方未能遵守上述维护保养标准，导致设备效率显著下降、运行故障或停机，甲方自行负责。在此情形下，乙方有权对由此产生的用能增加进行核算，并要求甲方承担相应的能源费用。具体费用由甲乙双方协商确定。</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7.11.</w:t>
      </w:r>
      <w:r>
        <w:rPr>
          <w:rFonts w:hint="eastAsia" w:ascii="宋体" w:hAnsi="宋体"/>
          <w:color w:val="auto"/>
          <w:highlight w:val="none"/>
        </w:rPr>
        <w:t xml:space="preserve">甲方在托管期内应提供正常供电的外部双电源供电线路、供水管路、供气管路，否则因上述线路/管路故障造成的停电、停水、停气后果由甲方自行负责。</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7.12.</w:t>
      </w:r>
      <w:r>
        <w:rPr>
          <w:rFonts w:hint="eastAsia" w:ascii="宋体" w:hAnsi="宋体"/>
          <w:bCs/>
          <w:color w:val="auto"/>
          <w:highlight w:val="none"/>
        </w:rPr>
        <w:t xml:space="preserve">托管期间因非乙方原因造成的事故抢修或应急相关支出，需额外给付第三方费用，由甲方单独支付，不含在托管费用内。</w:t>
      </w:r>
      <w:r/>
    </w:p>
    <w:p>
      <w:pPr>
        <w:pStyle w:val="1280"/>
        <w:numPr>
          <w:ilvl w:val="1"/>
          <w:numId w:val="0"/>
        </w:numPr>
        <w:contextualSpacing/>
        <w:ind w:left="454" w:hanging="454"/>
        <w:spacing w:line="360" w:lineRule="auto"/>
        <w:rPr>
          <w:rFonts w:ascii="宋体" w:hAnsi="宋体"/>
          <w:bCs/>
          <w:color w:val="auto"/>
          <w:highlight w:val="none"/>
        </w:rPr>
      </w:pPr>
      <w:r>
        <w:rPr>
          <w:rFonts w:hint="default" w:ascii="宋体" w:hAnsi="宋体" w:eastAsia="宋体" w:cs="Times New Roman"/>
          <w:bCs/>
          <w:strike w:val="0"/>
          <w:color w:val="auto"/>
          <w:sz w:val="21"/>
          <w:szCs w:val="22"/>
          <w:highlight w:val="none"/>
          <w:lang w:val="en-US" w:eastAsia="zh-CN" w:bidi="ar-SA"/>
        </w:rPr>
        <w:t xml:space="preserve">7.13.</w:t>
      </w:r>
      <w:r>
        <w:rPr>
          <w:rFonts w:hint="eastAsia" w:ascii="宋体" w:hAnsi="宋体"/>
          <w:bCs/>
          <w:color w:val="auto"/>
          <w:highlight w:val="none"/>
        </w:rPr>
        <w:t xml:space="preserve">甲方</w:t>
      </w:r>
      <w:r>
        <w:rPr>
          <w:rFonts w:hint="eastAsia" w:ascii="宋体" w:hAnsi="宋体"/>
          <w:bCs/>
          <w:color w:val="auto"/>
          <w:highlight w:val="none"/>
          <w:lang w:val="en-US" w:eastAsia="zh-CN"/>
        </w:rPr>
        <w:t xml:space="preserve">和</w:t>
      </w:r>
      <w:r>
        <w:rPr>
          <w:rFonts w:hint="eastAsia" w:ascii="宋体" w:hAnsi="宋体"/>
          <w:bCs/>
          <w:color w:val="auto"/>
          <w:highlight w:val="none"/>
        </w:rPr>
        <w:t xml:space="preserve">乙方向有关政府机构或者组织申请与项目相关的补助、奖励或其他可适用的优惠政策</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产生的收益双方另行协商</w:t>
      </w:r>
      <w:r>
        <w:rPr>
          <w:rFonts w:hint="eastAsia" w:ascii="宋体" w:hAnsi="宋体"/>
          <w:bCs/>
          <w:color w:val="auto"/>
          <w:highlight w:val="none"/>
        </w:rPr>
        <w:t xml:space="preserve">。</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7.14.</w:t>
      </w:r>
      <w:r>
        <w:rPr>
          <w:rFonts w:hint="eastAsia" w:ascii="宋体" w:hAnsi="宋体"/>
          <w:color w:val="auto"/>
          <w:highlight w:val="none"/>
        </w:rPr>
        <w:t xml:space="preserve">其他：合同及其附件以及本合同适用的法律所规定的其他甲方应承担的义务。</w:t>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第八条</w:t>
      </w:r>
      <w:r>
        <w:rPr>
          <w:rFonts w:hint="eastAsia"/>
          <w:color w:val="auto"/>
          <w:highlight w:val="none"/>
        </w:rPr>
        <w:t xml:space="preserve">乙方的责任义务</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w:t>
      </w:r>
      <w:r>
        <w:rPr>
          <w:rFonts w:hint="eastAsia" w:ascii="宋体" w:hAnsi="宋体"/>
          <w:color w:val="auto"/>
          <w:highlight w:val="none"/>
        </w:rPr>
        <w:t xml:space="preserve">乙方应当配合甲方建立和完善能源管理和使用规章制度。</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8.2.</w:t>
      </w:r>
      <w:r>
        <w:rPr>
          <w:rFonts w:hint="eastAsia" w:ascii="宋体" w:hAnsi="宋体"/>
          <w:color w:val="auto"/>
          <w:highlight w:val="none"/>
        </w:rPr>
        <w:t xml:space="preserve">乙方人员进入甲方的相关场所，应当遵守甲方的规章制度。</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8.3.</w:t>
      </w:r>
      <w:r>
        <w:rPr>
          <w:rFonts w:hint="eastAsia" w:ascii="宋体" w:hAnsi="宋体"/>
          <w:color w:val="auto"/>
          <w:highlight w:val="none"/>
        </w:rPr>
        <w:t xml:space="preserve">乙方在服务时内应不影响甲方的正常工作，若必须要甲方停止相关工作时，乙方应当提前通报甲方并协调安排好相应的工作。</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8.4.</w:t>
      </w:r>
      <w:r>
        <w:rPr>
          <w:rFonts w:hint="eastAsia" w:ascii="宋体" w:hAnsi="宋体"/>
          <w:color w:val="auto"/>
          <w:highlight w:val="none"/>
        </w:rPr>
        <w:t xml:space="preserve">乙方应该保持跟甲方的管理、经营目标一致，始终站在甲方的角度进行日常性的运维业务的开展。</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8.5.</w:t>
      </w:r>
      <w:r>
        <w:rPr>
          <w:rFonts w:hint="eastAsia" w:ascii="宋体" w:hAnsi="宋体"/>
          <w:color w:val="auto"/>
          <w:highlight w:val="none"/>
        </w:rPr>
        <w:t xml:space="preserve">根据有关法律法规及本合同的约定，制定各项方案及制度，并且得到甲方认可才能执行。</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8.6.</w:t>
      </w:r>
      <w:r>
        <w:rPr>
          <w:rFonts w:hint="eastAsia" w:ascii="宋体" w:hAnsi="宋体"/>
          <w:color w:val="auto"/>
          <w:highlight w:val="none"/>
        </w:rPr>
        <w:t xml:space="preserve">乙方对于甲方的用能情况进行科学的诊断，并且制定切实可行的节能方案，每个月度需要出具能源分析报告及整改措施供甲方审核。</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8.7.</w:t>
      </w:r>
      <w:r>
        <w:rPr>
          <w:rFonts w:hint="eastAsia" w:ascii="宋体" w:hAnsi="宋体"/>
          <w:color w:val="auto"/>
          <w:highlight w:val="none"/>
        </w:rPr>
        <w:t xml:space="preserve">接受甲方监督、检查，认真做好各部门的回访工作，发现问题及时处理，重要事项应及时向甲方汇报。</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8.8.</w:t>
      </w:r>
      <w:r>
        <w:rPr>
          <w:rFonts w:hint="eastAsia" w:ascii="宋体" w:hAnsi="宋体"/>
          <w:color w:val="auto"/>
          <w:highlight w:val="none"/>
        </w:rPr>
        <w:t xml:space="preserve">配合甲方接受相关部门的监督和检查，并做好检查前的各项准备工作，对于甲方发生的临时事件，在不影响正常综合运维服务工作的前提下乙方予以积极配合。</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8.9.</w:t>
      </w:r>
      <w:r>
        <w:rPr>
          <w:rFonts w:hint="eastAsia" w:ascii="宋体" w:hAnsi="宋体"/>
          <w:color w:val="auto"/>
          <w:highlight w:val="none"/>
        </w:rPr>
        <w:t xml:space="preserve">乙方应当确保其工作人员严格遵守项目服务地点的安全规定，并听从合理的现场指挥。乙方提供的人员如发生工伤或其他意外伤害，由乙方负责赔偿，甲方不承担任何责任。如乙方提供的人员故意或过失导致甲方的工作人员、或者是任何第三方的人身或者是财产损害，由乙方负责赔偿由此造成的一切损失；如甲方为此垫付或支出了费用，包括但不限于赔偿金、律师费、诉讼费、合理的调查费、公证费等，乙方须赔偿甲方，且甲方有权从应付款中予以抵扣。</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8.10.</w:t>
      </w:r>
      <w:r>
        <w:rPr>
          <w:rFonts w:hint="eastAsia" w:ascii="宋体" w:hAnsi="宋体"/>
          <w:color w:val="auto"/>
          <w:highlight w:val="none"/>
          <w:lang w:val="en-US" w:eastAsia="zh-CN"/>
        </w:rPr>
        <w:t xml:space="preserve">乙方需配合甲方进行既有特种设备的送检送验工作。</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8.11.</w:t>
      </w:r>
      <w:r>
        <w:rPr>
          <w:rFonts w:hint="eastAsia" w:ascii="宋体" w:hAnsi="宋体"/>
          <w:color w:val="auto"/>
          <w:highlight w:val="none"/>
        </w:rPr>
        <w:t xml:space="preserve">乙方进行的节能改造部分，由于乙方原因导致改造自身存在系统缺陷或施工质量导致安全事故和经济损失由乙方负责。</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8.12.</w:t>
      </w:r>
      <w:r>
        <w:rPr>
          <w:rFonts w:hint="eastAsia" w:ascii="宋体" w:hAnsi="宋体"/>
          <w:color w:val="auto"/>
          <w:highlight w:val="none"/>
        </w:rPr>
        <w:t xml:space="preserve">乙方在服务过程中应当严格遵守能源管理使用的法律、法规、规章制度，因违章操作或不尽职尽责导致在运行期间出现安全事故和经济损失由乙方负责。</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8.13.</w:t>
      </w:r>
      <w:r>
        <w:rPr>
          <w:rFonts w:hint="eastAsia" w:ascii="宋体" w:hAnsi="宋体"/>
          <w:color w:val="auto"/>
          <w:highlight w:val="none"/>
        </w:rPr>
        <w:t xml:space="preserve">乙方应提供相应的设备和人员保障，同时对在本项目服务期内所涉及财产、设备、人员安全负责，做好项目成本核算及风险防控措施。</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8.14.</w:t>
      </w:r>
      <w:r>
        <w:rPr>
          <w:rFonts w:hint="eastAsia" w:ascii="宋体" w:hAnsi="宋体"/>
          <w:color w:val="auto"/>
          <w:highlight w:val="none"/>
        </w:rPr>
        <w:t xml:space="preserve">乙方人员在工作期间，要遵守甲方的各项规章制度，包括防火、交通、治安等规定。乙方人员如违反医院综合运维管理制度，甲方有权要求乙方进行人员更换，乙方应配合甲方要求，按照相关制度对医院综合运维服务人员进行妥善管理。</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8.15.</w:t>
      </w:r>
      <w:r>
        <w:rPr>
          <w:rFonts w:hint="eastAsia" w:ascii="宋体" w:hAnsi="宋体"/>
          <w:color w:val="auto"/>
          <w:highlight w:val="none"/>
        </w:rPr>
        <w:t xml:space="preserve">乙方安装和调试的相关设备、设施应符合国家、行业有关施工管理法律法规、与项目相对应的技术标准规范要求，以及甲方合理的特有的施工、管理要求。乙方应保证与项目相关的设备、设施连续稳定运行且运行状况良好。</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8.16.</w:t>
      </w:r>
      <w:r>
        <w:rPr>
          <w:rFonts w:hint="eastAsia" w:ascii="宋体" w:hAnsi="宋体"/>
          <w:color w:val="auto"/>
          <w:highlight w:val="none"/>
        </w:rPr>
        <w:t xml:space="preserve">乙方各项技改成果需满足甲方日后设备升级改造所必须的相关技术要求，提供相关技改资料，开放技改窗口，不可设限；</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8.17.</w:t>
      </w:r>
      <w:r>
        <w:rPr>
          <w:rFonts w:hint="eastAsia" w:ascii="宋体" w:hAnsi="宋体"/>
          <w:color w:val="auto"/>
          <w:highlight w:val="none"/>
        </w:rPr>
        <w:t xml:space="preserve">乙方可采取规劝等必要措施，制止物业使用单位（或个人）违反能源托管规章制度的行为。</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8.18.</w:t>
      </w:r>
      <w:r>
        <w:rPr>
          <w:rFonts w:hint="eastAsia" w:ascii="宋体" w:hAnsi="宋体"/>
          <w:color w:val="auto"/>
          <w:highlight w:val="none"/>
        </w:rPr>
        <w:t xml:space="preserve">甲方向有关政府机构或者组织申请与项目相关的课题、补助、奖励或其他可适用的优惠政策时,乙方应尽协调事宜</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产生的收益归甲方</w:t>
      </w:r>
      <w:r>
        <w:rPr>
          <w:rFonts w:hint="eastAsia" w:ascii="宋体" w:hAnsi="宋体"/>
          <w:color w:val="auto"/>
          <w:highlight w:val="none"/>
        </w:rPr>
        <w:t xml:space="preserve">。</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8.19.</w:t>
      </w:r>
      <w:r>
        <w:rPr>
          <w:rFonts w:hint="eastAsia" w:ascii="宋体" w:hAnsi="宋体"/>
          <w:color w:val="auto"/>
          <w:highlight w:val="none"/>
        </w:rPr>
        <w:t xml:space="preserve">乙方在托管期内需配合甲方开展电价管理等工作，包括但限于售电业务、分布式光伏、储能等，由此产生的收益由甲、乙双方分享，具体细节可另行签订补充协议。</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8.20.</w:t>
      </w:r>
      <w:r>
        <w:rPr>
          <w:rFonts w:hint="eastAsia" w:ascii="宋体" w:hAnsi="宋体"/>
          <w:color w:val="auto"/>
          <w:highlight w:val="none"/>
        </w:rPr>
        <w:t xml:space="preserve">其他：合同及其附件以及本合同适用的法律所规定的其他乙方应承担的义务。</w:t>
      </w:r>
      <w:r/>
    </w:p>
    <w:p>
      <w:pPr>
        <w:pStyle w:val="1032"/>
        <w:numPr>
          <w:ilvl w:val="0"/>
          <w:numId w:val="0"/>
        </w:numPr>
        <w:contextualSpacing/>
        <w:ind w:left="425" w:hanging="425"/>
        <w:spacing w:after="240" w:line="240" w:lineRule="auto"/>
        <w:rPr>
          <w:rFonts w:ascii="宋体" w:hAnsi="宋体"/>
          <w:color w:val="auto"/>
          <w:highlight w:val="none"/>
        </w:rPr>
      </w:pPr>
      <w:r>
        <w:rPr>
          <w:rFonts w:hint="eastAsia" w:ascii="宋体" w:hAnsi="宋体" w:eastAsia="宋体" w:cs="Times New Roman"/>
          <w:b/>
          <w:color w:val="auto"/>
          <w:sz w:val="32"/>
          <w:szCs w:val="20"/>
          <w:highlight w:val="none"/>
          <w:lang w:val="en-US" w:eastAsia="zh-CN" w:bidi="ar-SA"/>
        </w:rPr>
        <w:t xml:space="preserve">第九条</w:t>
      </w:r>
      <w:r>
        <w:rPr>
          <w:rFonts w:hint="eastAsia"/>
          <w:color w:val="auto"/>
          <w:highlight w:val="none"/>
        </w:rPr>
        <w:t xml:space="preserve">违约责任</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9.1.</w:t>
      </w:r>
      <w:r>
        <w:rPr>
          <w:rFonts w:hint="eastAsia" w:ascii="宋体" w:hAnsi="宋体"/>
          <w:color w:val="auto"/>
          <w:highlight w:val="none"/>
        </w:rPr>
        <w:t xml:space="preserve">如甲方逾期或未足额支付能源托管费用，按以下方式处理。</w:t>
      </w:r>
      <w:r/>
    </w:p>
    <w:p>
      <w:pPr>
        <w:pStyle w:val="1280"/>
        <w:numPr>
          <w:ilvl w:val="2"/>
          <w:numId w:val="0"/>
        </w:numPr>
        <w:contextualSpacing/>
        <w:ind w:left="907" w:hanging="680"/>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9.1.1.</w:t>
      </w:r>
      <w:r>
        <w:rPr>
          <w:rFonts w:hint="eastAsia" w:ascii="宋体" w:hAnsi="宋体"/>
          <w:color w:val="auto"/>
          <w:highlight w:val="none"/>
        </w:rPr>
        <w:t xml:space="preserve">每逾期一天按迟延或未足额的付款款项的万分之三向乙方支付违约金，直至甲方履行完成所有付款任务；</w:t>
      </w:r>
      <w:r/>
    </w:p>
    <w:p>
      <w:pPr>
        <w:pStyle w:val="1280"/>
        <w:numPr>
          <w:ilvl w:val="2"/>
          <w:numId w:val="0"/>
        </w:numPr>
        <w:contextualSpacing/>
        <w:ind w:left="907" w:hanging="680"/>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9.1.2.</w:t>
      </w:r>
      <w:r>
        <w:rPr>
          <w:rFonts w:hint="eastAsia" w:ascii="宋体" w:hAnsi="宋体"/>
          <w:color w:val="auto"/>
          <w:highlight w:val="none"/>
        </w:rPr>
        <w:t xml:space="preserve">逾期超过60 </w:t>
      </w:r>
      <w:r>
        <w:rPr>
          <w:rFonts w:hint="eastAsia" w:ascii="宋体" w:hAnsi="宋体"/>
          <w:color w:val="auto"/>
          <w:highlight w:val="none"/>
          <w:lang w:val="en-US" w:eastAsia="zh-CN"/>
        </w:rPr>
        <w:t xml:space="preserve">天</w:t>
      </w:r>
      <w:r>
        <w:rPr>
          <w:rFonts w:hint="eastAsia" w:ascii="宋体" w:hAnsi="宋体"/>
          <w:color w:val="auto"/>
          <w:highlight w:val="none"/>
        </w:rPr>
        <w:t xml:space="preserve">的，乙方有权停止缴纳由乙方承担的能源费用直至甲方履行完成所有付款义务，由此引起的一切损失由甲方负责；</w:t>
      </w:r>
      <w:r/>
    </w:p>
    <w:p>
      <w:pPr>
        <w:pStyle w:val="1280"/>
        <w:numPr>
          <w:ilvl w:val="2"/>
          <w:numId w:val="0"/>
        </w:numPr>
        <w:contextualSpacing/>
        <w:ind w:left="907" w:hanging="680"/>
        <w:spacing w:line="360" w:lineRule="auto"/>
        <w:rPr>
          <w:rFonts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9.1.3.</w:t>
      </w:r>
      <w:r>
        <w:rPr>
          <w:rFonts w:hint="eastAsia" w:ascii="宋体" w:hAnsi="宋体"/>
          <w:color w:val="auto"/>
          <w:highlight w:val="none"/>
        </w:rPr>
        <w:t xml:space="preserve">逾期超过90</w:t>
      </w:r>
      <w:r>
        <w:rPr>
          <w:rFonts w:hint="eastAsia" w:ascii="宋体" w:hAnsi="宋体"/>
          <w:color w:val="auto"/>
          <w:highlight w:val="none"/>
          <w:lang w:val="en-US" w:eastAsia="zh-CN"/>
        </w:rPr>
        <w:t xml:space="preserve">天</w:t>
      </w:r>
      <w:r>
        <w:rPr>
          <w:rFonts w:hint="eastAsia" w:ascii="宋体" w:hAnsi="宋体"/>
          <w:color w:val="auto"/>
          <w:highlight w:val="none"/>
        </w:rPr>
        <w:t xml:space="preserve">的，乙方有权书面通知甲方后解除本合同，甲方应按本合同第10.7条约定承担违约责任。</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9.2.</w:t>
      </w:r>
      <w:r>
        <w:rPr>
          <w:rFonts w:hint="eastAsia" w:ascii="宋体" w:hAnsi="宋体"/>
          <w:color w:val="auto"/>
          <w:highlight w:val="none"/>
        </w:rPr>
        <w:t xml:space="preserve">如甲方未遵守能源使用规章制度导致浪费，浪费的费用由甲方自行承担。</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9.3.</w:t>
      </w:r>
      <w:r>
        <w:rPr>
          <w:rFonts w:hint="eastAsia" w:ascii="宋体" w:hAnsi="宋体"/>
          <w:color w:val="auto"/>
          <w:highlight w:val="none"/>
        </w:rPr>
        <w:t xml:space="preserve">如甲方未遵守本合同附件及其他条款约定，导致乙方未达成规定管理目标，乙方有权要求甲方在一定期限内解决，逾期未解决的，乙方有权要求甲方赔偿。</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9.4.</w:t>
      </w:r>
      <w:r>
        <w:rPr>
          <w:rFonts w:hint="eastAsia" w:ascii="宋体" w:hAnsi="宋体"/>
          <w:color w:val="auto"/>
          <w:highlight w:val="none"/>
        </w:rPr>
        <w:t xml:space="preserve">乙方未按合同约定的质量标准履行能源托管服务职责，给甲方造成损失的，甲方可要求乙方按实赔偿。</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9.5.</w:t>
      </w:r>
      <w:r>
        <w:rPr>
          <w:rFonts w:hint="eastAsia" w:ascii="宋体" w:hAnsi="宋体"/>
          <w:color w:val="auto"/>
          <w:highlight w:val="none"/>
        </w:rPr>
        <w:t xml:space="preserve">如乙方未能遵守能源使用的规章制度导致浪费，浪费的费用乙方自行承担。</w:t>
      </w:r>
      <w:r/>
    </w:p>
    <w:p>
      <w:pPr>
        <w:pStyle w:val="1280"/>
        <w:numPr>
          <w:ilvl w:val="1"/>
          <w:numId w:val="0"/>
        </w:numPr>
        <w:contextualSpacing/>
        <w:ind w:left="454" w:hanging="454"/>
        <w:spacing w:line="360" w:lineRule="auto"/>
        <w:rPr>
          <w:rFonts w:hint="eastAsia"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9.6.</w:t>
      </w:r>
      <w:r>
        <w:rPr>
          <w:rFonts w:hint="eastAsia" w:ascii="宋体" w:hAnsi="宋体"/>
          <w:color w:val="auto"/>
          <w:highlight w:val="none"/>
        </w:rPr>
        <w:t xml:space="preserve">如乙方未遵守本合同附件及其他条款规定，导致甲方经济损失，应当按照甲方的实际损失额向甲方赔偿。</w:t>
      </w:r>
      <w:r/>
    </w:p>
    <w:p>
      <w:pPr>
        <w:pStyle w:val="1280"/>
        <w:numPr>
          <w:ilvl w:val="1"/>
          <w:numId w:val="0"/>
        </w:numPr>
        <w:contextualSpacing/>
        <w:ind w:left="454" w:hanging="454"/>
        <w:spacing w:line="360" w:lineRule="auto"/>
        <w:rPr>
          <w:rFonts w:hint="eastAsia"/>
          <w:color w:val="auto"/>
          <w:szCs w:val="21"/>
          <w:highlight w:val="none"/>
        </w:rPr>
      </w:pPr>
      <w:r>
        <w:rPr>
          <w:rFonts w:hint="default" w:ascii="宋体" w:hAnsi="宋体" w:eastAsia="宋体" w:cs="Times New Roman"/>
          <w:strike w:val="0"/>
          <w:color w:val="auto"/>
          <w:sz w:val="21"/>
          <w:szCs w:val="22"/>
          <w:highlight w:val="none"/>
          <w:lang w:val="en-US" w:eastAsia="zh-CN" w:bidi="ar-SA"/>
        </w:rPr>
        <w:t xml:space="preserve">9.7.</w:t>
      </w:r>
      <w:r>
        <w:rPr>
          <w:rFonts w:hint="eastAsia"/>
          <w:color w:val="auto"/>
          <w:szCs w:val="21"/>
          <w:highlight w:val="none"/>
        </w:rPr>
        <w:t xml:space="preserve">甲乙双方应遵守《安全生产法》及其他法律、法规、规章规定的义务，并享有相应的权利。对违反本合同约定行为的（无论是否造成损害结果），双方均有权予以制止，涉及违法行为的将依法追究法律责任。造成生产安全事故的，由责任归属方依法承担相应责任，并依法赔偿相应经济损失。</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9.8.</w:t>
      </w:r>
      <w:r>
        <w:rPr>
          <w:rFonts w:hint="eastAsia" w:ascii="宋体" w:hAnsi="宋体"/>
          <w:color w:val="auto"/>
          <w:highlight w:val="none"/>
        </w:rPr>
        <w:t xml:space="preserve">本合同履行中如有任何一方违约，那么守约方为保障自己合法权益，采取索赔、损失、法律行动、诉讼等方式实际产生的支出和合理的费用（包括律师费、案件受理费、公证费等），由违约方承担。一方违约后，另一方应采取适当措施，防止损失的扩大，否则不得就扩大部分的损失要求赔偿。</w:t>
      </w:r>
      <w:r/>
    </w:p>
    <w:p>
      <w:pPr>
        <w:pStyle w:val="1032"/>
        <w:numPr>
          <w:ilvl w:val="0"/>
          <w:numId w:val="0"/>
        </w:numPr>
        <w:ind w:left="425" w:hanging="425"/>
        <w:jc w:val="both"/>
        <w:spacing w:after="240" w:line="240" w:lineRule="auto"/>
        <w:rPr>
          <w:color w:val="auto"/>
          <w:highlight w:val="none"/>
        </w:rPr>
      </w:pPr>
      <w:r/>
      <w:bookmarkStart w:id="828" w:name="_Ref101786697"/>
      <w:r>
        <w:rPr>
          <w:rFonts w:hint="eastAsia" w:ascii="宋体" w:hAnsi="Times New Roman" w:eastAsia="宋体" w:cs="Times New Roman"/>
          <w:b/>
          <w:color w:val="auto"/>
          <w:sz w:val="32"/>
          <w:szCs w:val="20"/>
          <w:highlight w:val="none"/>
          <w:lang w:val="en-US" w:eastAsia="zh-CN" w:bidi="ar-SA"/>
        </w:rPr>
        <w:t xml:space="preserve">第十条</w:t>
      </w:r>
      <w:r>
        <w:rPr>
          <w:rFonts w:hint="eastAsia"/>
          <w:color w:val="auto"/>
          <w:highlight w:val="none"/>
        </w:rPr>
        <w:t xml:space="preserve">合同变更、中止、解除</w:t>
      </w:r>
      <w:bookmarkEnd w:id="828"/>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10.1.</w:t>
      </w:r>
      <w:r>
        <w:rPr>
          <w:rFonts w:hint="eastAsia" w:ascii="宋体" w:hAnsi="宋体"/>
          <w:color w:val="auto"/>
          <w:highlight w:val="none"/>
        </w:rPr>
        <w:t xml:space="preserve">如项目服务过程中出现需要变更合同规定的服务内容时，需经甲乙双方共同同意，经双方协商一致可以变更合同内容，并按合同变更程序办理。</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10.2.</w:t>
      </w:r>
      <w:r>
        <w:rPr>
          <w:rFonts w:hint="eastAsia" w:ascii="宋体" w:hAnsi="宋体"/>
          <w:color w:val="auto"/>
          <w:highlight w:val="none"/>
        </w:rPr>
        <w:t xml:space="preserve">本合同的权利义务不可转让，特殊情况下，如乙方确需转让本合同权利义务，须经甲方书面同意，并另行签署合同约定。</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10.3.</w:t>
      </w:r>
      <w:r>
        <w:rPr>
          <w:rFonts w:hint="eastAsia" w:ascii="宋体" w:hAnsi="宋体"/>
          <w:color w:val="auto"/>
          <w:highlight w:val="none"/>
        </w:rPr>
        <w:t xml:space="preserve">因不可抗力导致合同无法实施，任何一方均有权解除本合同。</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10.4.</w:t>
      </w:r>
      <w:r>
        <w:rPr>
          <w:rFonts w:hint="eastAsia" w:ascii="宋体" w:hAnsi="宋体"/>
          <w:color w:val="auto"/>
          <w:highlight w:val="none"/>
        </w:rPr>
        <w:t xml:space="preserve">一方严重违约，导致合同不能继续履行或者使合同履行成为不必要。守约方有权解除合同,守约方应当书面通知对方，书面通知到达违约方时即产生解除合同的效力。</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10.5.</w:t>
      </w:r>
      <w:r>
        <w:rPr>
          <w:rFonts w:hint="eastAsia" w:ascii="宋体" w:hAnsi="宋体"/>
          <w:color w:val="auto"/>
          <w:highlight w:val="none"/>
        </w:rPr>
        <w:t xml:space="preserve">乙方在甲方提供必要的改造条件后  60  日未开工建设的或乙方原因（如在改造过程中发生重大质量、安全事故等）导致合同无法履行的，甲方有权书面通知乙方后解除本合同。</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10.6.</w:t>
      </w:r>
      <w:r>
        <w:rPr>
          <w:rFonts w:hint="eastAsia" w:ascii="宋体" w:hAnsi="宋体"/>
          <w:color w:val="auto"/>
          <w:highlight w:val="none"/>
        </w:rPr>
        <w:t xml:space="preserve">发生下列情形之一时，乙方有权书面通知甲方后解除本合同：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（1）经乙方书面通知而甲方未按合同约定提供改造所必要的条件达</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w:t>
      </w:r>
      <w:r/>
    </w:p>
    <w:p>
      <w:pPr>
        <w:ind w:firstLine="480"/>
        <w:spacing w:line="360" w:lineRule="auto"/>
        <w:rPr>
          <w:color w:val="auto"/>
          <w:highlight w:val="none"/>
        </w:rPr>
      </w:pPr>
      <w:r>
        <w:rPr>
          <w:rFonts w:hint="eastAsia" w:ascii="宋体" w:hAnsi="宋体" w:cs="宋体"/>
          <w:color w:val="auto"/>
          <w:sz w:val="24"/>
          <w:highlight w:val="none"/>
        </w:rPr>
        <w:t xml:space="preserve">（2）甲方迟延履行任何一期付款义务达 </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日。</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10.7.</w:t>
      </w:r>
      <w:r>
        <w:rPr>
          <w:rFonts w:hint="eastAsia" w:ascii="宋体" w:hAnsi="宋体"/>
          <w:color w:val="auto"/>
          <w:highlight w:val="none"/>
        </w:rPr>
        <w:t xml:space="preserve">合同解除后，本项目应终止实施。</w:t>
      </w:r>
      <w:r/>
    </w:p>
    <w:p>
      <w:pPr>
        <w:pStyle w:val="1280"/>
        <w:ind w:left="454"/>
        <w:spacing w:line="360" w:lineRule="auto"/>
        <w:rPr>
          <w:rFonts w:ascii="宋体" w:hAnsi="宋体"/>
          <w:color w:val="auto"/>
          <w:highlight w:val="none"/>
        </w:rPr>
      </w:pPr>
      <w:r>
        <w:rPr>
          <w:rFonts w:hint="eastAsia" w:ascii="宋体" w:hAnsi="宋体"/>
          <w:color w:val="auto"/>
          <w:highlight w:val="none"/>
        </w:rPr>
        <w:t xml:space="preserve">(1)如乙方完工前因甲方违约导致本合同解除的,甲方应支付乙方实际投入总金额及乙方实际投入总金额（需经双方认可的第三方审计）的20%的违约金。甲方付清上述款项后，乙方已完成建设的设备产权归属于甲方所有，已完成建设的软件甲方拥有无限期使用权。</w:t>
      </w:r>
      <w:r/>
    </w:p>
    <w:p>
      <w:pPr>
        <w:pStyle w:val="1280"/>
        <w:ind w:left="454"/>
        <w:spacing w:line="360" w:lineRule="auto"/>
        <w:rPr>
          <w:rFonts w:hint="eastAsia" w:ascii="宋体" w:hAnsi="宋体" w:eastAsia="宋体"/>
          <w:color w:val="auto"/>
          <w:highlight w:val="none"/>
          <w:lang w:val="en-US"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w:t>
      </w:r>
      <w:r>
        <w:rPr>
          <w:rFonts w:hint="eastAsia" w:ascii="宋体" w:hAnsi="宋体"/>
          <w:color w:val="auto"/>
          <w:highlight w:val="none"/>
        </w:rPr>
        <w:t xml:space="preserve">如乙方完工后因甲方违约导致本合同解除的，甲方应赔偿乙方的实际损失，计算方式为乙方经双方共同委托的第三方审计机构确认的、截至合同解除日尚未通过服务费收回的投资成本，再加上该未摊销投资金额的</w:t>
      </w:r>
      <w:r>
        <w:rPr>
          <w:rFonts w:hint="eastAsia" w:ascii="宋体" w:hAnsi="宋体"/>
          <w:color w:val="auto"/>
          <w:highlight w:val="none"/>
          <w:lang w:val="en-US" w:eastAsia="zh-CN"/>
        </w:rPr>
        <w:t xml:space="preserve">10%</w:t>
      </w:r>
      <w:r>
        <w:rPr>
          <w:rFonts w:hint="eastAsia" w:ascii="宋体" w:hAnsi="宋体"/>
          <w:color w:val="auto"/>
          <w:highlight w:val="none"/>
        </w:rPr>
        <w:t xml:space="preserve">作为对乙方预期利润损失的合理补偿。甲方付清上述款项后，本项目设备及软件产权随之转移至甲方。在任何情况下，甲方根据本款承担的赔偿总额不超过本合同项下最近三个托管周期甲方已支付能源托管费总额的</w:t>
      </w:r>
      <w:r>
        <w:rPr>
          <w:rFonts w:hint="eastAsia" w:ascii="宋体" w:hAnsi="宋体"/>
          <w:color w:val="auto"/>
          <w:highlight w:val="none"/>
          <w:lang w:val="en-US" w:eastAsia="zh-CN"/>
        </w:rPr>
        <w:t xml:space="preserve">20%</w:t>
      </w:r>
      <w:r>
        <w:rPr>
          <w:rFonts w:hint="eastAsia" w:ascii="宋体" w:hAnsi="宋体"/>
          <w:color w:val="auto"/>
          <w:highlight w:val="none"/>
          <w:lang w:eastAsia="zh-CN"/>
        </w:rPr>
        <w:t xml:space="preserve">。</w:t>
      </w:r>
      <w:r/>
    </w:p>
    <w:p>
      <w:pPr>
        <w:pStyle w:val="1280"/>
        <w:ind w:left="454"/>
        <w:spacing w:line="360" w:lineRule="auto"/>
        <w:rPr>
          <w:rFonts w:hint="eastAsia" w:ascii="宋体" w:hAnsi="宋体"/>
          <w:color w:val="auto"/>
          <w:highlight w:val="none"/>
        </w:rPr>
      </w:pPr>
      <w:r>
        <w:rPr>
          <w:rFonts w:hint="eastAsia" w:ascii="宋体" w:hAnsi="宋体"/>
          <w:color w:val="auto"/>
          <w:highlight w:val="none"/>
        </w:rPr>
        <w:t xml:space="preserve">(3)如因乙方违约导致本合同解除的，乙方投资建设的资产，由甲方按经审计的未摊销投资金额的 70%向乙方支付补偿后，产权转移至甲方；乙方应赔偿甲方因此遭受的实际损失（包括但不限于替代服务商差价、过渡期能源费增加、医疗业务受影响损失等），违约金不足以弥补的，甲方有权追偿； 技术资料、软件授权、运行数据一并移交。</w:t>
      </w:r>
      <w:r/>
    </w:p>
    <w:p>
      <w:pPr>
        <w:pStyle w:val="1280"/>
        <w:ind w:left="454"/>
        <w:spacing w:line="360" w:lineRule="auto"/>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上述甲方违约情形不包括本合同11.2</w:t>
      </w:r>
      <w:r>
        <w:rPr>
          <w:rFonts w:hint="eastAsia" w:ascii="宋体" w:hAnsi="宋体"/>
          <w:color w:val="auto"/>
          <w:highlight w:val="none"/>
          <w:lang w:val="en-US" w:eastAsia="zh-CN"/>
        </w:rPr>
        <w:t xml:space="preserve">.1</w:t>
      </w:r>
      <w:r>
        <w:rPr>
          <w:rFonts w:hint="eastAsia" w:ascii="宋体" w:hAnsi="宋体"/>
          <w:color w:val="auto"/>
          <w:highlight w:val="none"/>
        </w:rPr>
        <w:t xml:space="preserve">所列举的情势变更的情形。</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10.8.</w:t>
      </w:r>
      <w:r>
        <w:rPr>
          <w:rFonts w:hint="eastAsia" w:ascii="宋体" w:hAnsi="宋体"/>
          <w:color w:val="auto"/>
          <w:highlight w:val="none"/>
        </w:rPr>
        <w:t xml:space="preserve">本合同的解除不影响任意一方根据本合同或者相关的法律法规向对方寻求赔偿的权利，也不影响一方在合同解除前到期的付款、支付违约金等义务的履行。</w:t>
      </w:r>
      <w:r/>
    </w:p>
    <w:p>
      <w:pPr>
        <w:pStyle w:val="1032"/>
        <w:numPr>
          <w:ilvl w:val="0"/>
          <w:numId w:val="0"/>
        </w:numPr>
        <w:ind w:left="425" w:hanging="425"/>
        <w:jc w:val="both"/>
        <w:spacing w:after="240" w:line="240" w:lineRule="auto"/>
        <w:rPr>
          <w:rFonts w:hint="default" w:eastAsia="宋体"/>
          <w:color w:val="auto"/>
          <w:highlight w:val="none"/>
          <w:lang w:val="en-US" w:eastAsia="zh-CN"/>
        </w:rPr>
      </w:pPr>
      <w:r>
        <w:rPr>
          <w:rFonts w:hint="eastAsia" w:ascii="宋体" w:hAnsi="Times New Roman" w:eastAsia="宋体" w:cs="Times New Roman"/>
          <w:b/>
          <w:color w:val="auto"/>
          <w:sz w:val="32"/>
          <w:szCs w:val="20"/>
          <w:highlight w:val="none"/>
          <w:lang w:val="en-US" w:eastAsia="zh-CN" w:bidi="ar-SA"/>
        </w:rPr>
        <w:t xml:space="preserve">第十一条</w:t>
      </w:r>
      <w:r>
        <w:rPr>
          <w:rFonts w:hint="eastAsia"/>
          <w:color w:val="auto"/>
          <w:highlight w:val="none"/>
        </w:rPr>
        <w:t xml:space="preserve">不可抗力</w:t>
      </w:r>
      <w:r>
        <w:rPr>
          <w:rFonts w:hint="eastAsia"/>
          <w:color w:val="auto"/>
          <w:highlight w:val="none"/>
          <w:lang w:val="en-US" w:eastAsia="zh-CN"/>
        </w:rPr>
        <w:t xml:space="preserve">&amp;情势变更</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11.1.</w:t>
      </w:r>
      <w:r>
        <w:rPr>
          <w:rFonts w:hint="eastAsia" w:ascii="宋体" w:hAnsi="宋体" w:cs="Times New Roman"/>
          <w:strike w:val="0"/>
          <w:color w:val="auto"/>
          <w:sz w:val="21"/>
          <w:szCs w:val="22"/>
          <w:highlight w:val="none"/>
          <w:lang w:val="en-US" w:eastAsia="zh-CN" w:bidi="ar-SA"/>
        </w:rPr>
        <w:t xml:space="preserve">1.</w:t>
      </w:r>
      <w:r>
        <w:rPr>
          <w:rFonts w:hint="eastAsia" w:ascii="宋体" w:hAnsi="宋体"/>
          <w:color w:val="auto"/>
          <w:highlight w:val="none"/>
        </w:rPr>
        <w:t xml:space="preserve">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11.</w:t>
      </w:r>
      <w:r>
        <w:rPr>
          <w:rFonts w:hint="eastAsia" w:ascii="宋体" w:hAnsi="宋体" w:cs="Times New Roman"/>
          <w:strike w:val="0"/>
          <w:color w:val="auto"/>
          <w:sz w:val="21"/>
          <w:szCs w:val="22"/>
          <w:highlight w:val="none"/>
          <w:lang w:val="en-US" w:eastAsia="zh-CN" w:bidi="ar-SA"/>
        </w:rPr>
        <w:t xml:space="preserve">1.</w:t>
      </w:r>
      <w:r>
        <w:rPr>
          <w:rFonts w:hint="default" w:ascii="宋体" w:hAnsi="宋体" w:eastAsia="宋体" w:cs="Times New Roman"/>
          <w:strike w:val="0"/>
          <w:color w:val="auto"/>
          <w:sz w:val="21"/>
          <w:szCs w:val="22"/>
          <w:highlight w:val="none"/>
          <w:lang w:val="en-US" w:eastAsia="zh-CN" w:bidi="ar-SA"/>
        </w:rPr>
        <w:t xml:space="preserve">2</w:t>
      </w:r>
      <w:r>
        <w:rPr>
          <w:rFonts w:hint="eastAsia" w:ascii="宋体" w:hAnsi="宋体" w:cs="Times New Roman"/>
          <w:strike w:val="0"/>
          <w:color w:val="auto"/>
          <w:sz w:val="21"/>
          <w:szCs w:val="22"/>
          <w:highlight w:val="none"/>
          <w:lang w:val="en-US" w:eastAsia="zh-CN" w:bidi="ar-SA"/>
        </w:rPr>
        <w:t xml:space="preserve">.</w:t>
      </w:r>
      <w:r>
        <w:rPr>
          <w:rFonts w:hint="eastAsia" w:ascii="宋体" w:hAnsi="宋体"/>
          <w:color w:val="auto"/>
          <w:highlight w:val="none"/>
        </w:rPr>
        <w:t xml:space="preserve">遇有不可抗力事件的一方可以中止履行，直至不可抗力事件结束，但中止最长时间不超过90天，超过90天，终止本合同的履行。</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11.</w:t>
      </w:r>
      <w:r>
        <w:rPr>
          <w:rFonts w:hint="eastAsia" w:ascii="宋体" w:hAnsi="宋体" w:cs="Times New Roman"/>
          <w:strike w:val="0"/>
          <w:color w:val="auto"/>
          <w:sz w:val="21"/>
          <w:szCs w:val="22"/>
          <w:highlight w:val="none"/>
          <w:lang w:val="en-US" w:eastAsia="zh-CN" w:bidi="ar-SA"/>
        </w:rPr>
        <w:t xml:space="preserve">1.</w:t>
      </w:r>
      <w:r>
        <w:rPr>
          <w:rFonts w:hint="default" w:ascii="宋体" w:hAnsi="宋体" w:eastAsia="宋体" w:cs="Times New Roman"/>
          <w:strike w:val="0"/>
          <w:color w:val="auto"/>
          <w:sz w:val="21"/>
          <w:szCs w:val="22"/>
          <w:highlight w:val="none"/>
          <w:lang w:val="en-US" w:eastAsia="zh-CN" w:bidi="ar-SA"/>
        </w:rPr>
        <w:t xml:space="preserve">3</w:t>
      </w:r>
      <w:r>
        <w:rPr>
          <w:rFonts w:hint="eastAsia" w:ascii="宋体" w:hAnsi="宋体" w:cs="Times New Roman"/>
          <w:strike w:val="0"/>
          <w:color w:val="auto"/>
          <w:sz w:val="21"/>
          <w:szCs w:val="22"/>
          <w:highlight w:val="none"/>
          <w:lang w:val="en-US" w:eastAsia="zh-CN" w:bidi="ar-SA"/>
        </w:rPr>
        <w:t xml:space="preserve">.</w:t>
      </w:r>
      <w:r>
        <w:rPr>
          <w:rFonts w:hint="eastAsia" w:ascii="宋体" w:hAnsi="宋体"/>
          <w:color w:val="auto"/>
          <w:highlight w:val="none"/>
        </w:rPr>
        <w:t xml:space="preserve">遇有不可抗力事件的一方可以在通知另一方后10日内终止合同，任何一方将不对另一方继续承担义务，但甲方和乙方应当据实结算托管费用。仅仅发生不可抗力事件并不能必然减轻或影响具有付款义务的一方向另一方付款。</w:t>
      </w:r>
      <w:r/>
    </w:p>
    <w:p>
      <w:pPr>
        <w:pStyle w:val="1280"/>
        <w:numPr>
          <w:ilvl w:val="1"/>
          <w:numId w:val="0"/>
        </w:numPr>
        <w:contextualSpacing/>
        <w:ind w:left="454" w:hanging="454"/>
        <w:spacing w:line="360" w:lineRule="auto"/>
        <w:rPr>
          <w:rFonts w:hint="eastAsia"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11.</w:t>
      </w:r>
      <w:r>
        <w:rPr>
          <w:rFonts w:hint="eastAsia" w:ascii="宋体" w:hAnsi="宋体" w:cs="Times New Roman"/>
          <w:strike w:val="0"/>
          <w:color w:val="auto"/>
          <w:sz w:val="21"/>
          <w:szCs w:val="22"/>
          <w:highlight w:val="none"/>
          <w:lang w:val="en-US" w:eastAsia="zh-CN" w:bidi="ar-SA"/>
        </w:rPr>
        <w:t xml:space="preserve">1.</w:t>
      </w:r>
      <w:r>
        <w:rPr>
          <w:rFonts w:hint="default" w:ascii="宋体" w:hAnsi="宋体" w:eastAsia="宋体" w:cs="Times New Roman"/>
          <w:strike w:val="0"/>
          <w:color w:val="auto"/>
          <w:sz w:val="21"/>
          <w:szCs w:val="22"/>
          <w:highlight w:val="none"/>
          <w:lang w:val="en-US" w:eastAsia="zh-CN" w:bidi="ar-SA"/>
        </w:rPr>
        <w:t xml:space="preserve">4</w:t>
      </w:r>
      <w:r>
        <w:rPr>
          <w:rFonts w:hint="eastAsia" w:ascii="宋体" w:hAnsi="宋体" w:cs="Times New Roman"/>
          <w:strike w:val="0"/>
          <w:color w:val="auto"/>
          <w:sz w:val="21"/>
          <w:szCs w:val="22"/>
          <w:highlight w:val="none"/>
          <w:lang w:val="en-US" w:eastAsia="zh-CN" w:bidi="ar-SA"/>
        </w:rPr>
        <w:t xml:space="preserve">.</w:t>
      </w:r>
      <w:r>
        <w:rPr>
          <w:rFonts w:hint="eastAsia" w:ascii="宋体" w:hAnsi="宋体"/>
          <w:color w:val="auto"/>
          <w:highlight w:val="none"/>
        </w:rPr>
        <w:t xml:space="preserve">遇有不可抗力事件的一方应采取措施，避免损失的扩大。如因一方未采取相应的措施而导致损失扩大，应向另一方承担赔偿责任。</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11.2.1.在本合同履行期间，如因下列任一情形导致本合同无法继续履行或继续履行已无实际意义的，甲方有权书面通知乙方解除本合同，且不视为甲方违约：</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（1）甲方所在建筑物或场地被政府依法征收、征用或拆迁；</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（2）甲方经上级主管部门批准进行整体搬迁；</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（3）甲方与其他医疗机构进行合并、分立或改制，导致本合同项下的能源托管服务无法延续；</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（4）国家或地方出台新的法律法规、政策，导致本合同继续履行将违反强制性规定或显失公平；</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（5）其他经双方书面确认的、非因甲方过错导致的重大客观情况变化。</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11.2.2. 甲方应在知晓上述情形后15个工作日内书面通知乙方，并附上相关证明文件。双方应在收到通知后30日内就合同终止后的善后事宜进行协商，包括但不限于：</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（1）乙方投资建设资产的处置方式；</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（2）乙方已提供服务的费用结算；</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（3）乙方未摊销投资成本的补偿方案。</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11.2.3.若双方无法在30日内就补偿方案达成一致，则按以下原则处理：</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（1）资产处置：​ 乙方投资建设的、可拆卸且不影响甲方建筑物安全的设备，由乙方在60日内自行拆除并运走，费用由乙方承担；不可拆卸或拆除后将严重影响甲方建筑物安全的设备（如管道、电缆等），无偿归甲方所有。</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（2）费用结算：​ 甲方应按实际服务天数向乙方支付截至合同终止日已发生的能源托管费和运维服务费。</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（3）未摊销投资补偿：​ 对于乙方已投入但尚未通过合同期内的服务费收回的投资成本（以下简称“未摊销投资”），由双方共同委托具备资质的第三方审计机构进行审计确认。甲方按审计确认的未摊销投资余额的70%​ 向乙方支付一次性补偿。补偿款应在审计报告出具后30日内支付。</w:t>
      </w:r>
      <w:r/>
    </w:p>
    <w:p>
      <w:pPr>
        <w:pStyle w:val="1280"/>
        <w:numPr>
          <w:ilvl w:val="1"/>
          <w:numId w:val="0"/>
        </w:numPr>
        <w:contextualSpacing/>
        <w:ind w:left="454" w:hanging="454"/>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（4）免责：​ 除上述补偿外，甲方无需向乙方承担任何其他违约责任或赔偿（包括但不限于预期利润损失）。</w:t>
      </w:r>
      <w:r/>
    </w:p>
    <w:p>
      <w:pPr>
        <w:pStyle w:val="1280"/>
        <w:numPr>
          <w:ilvl w:val="1"/>
          <w:numId w:val="0"/>
        </w:numPr>
        <w:contextualSpacing/>
        <w:ind w:left="454" w:hanging="454"/>
        <w:spacing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11.2.4.甲方支付完毕上述补偿款后，乙方投资建设的、留在甲方场地的所有资产的所有权即无偿转移至甲方，乙方应同时移交相关技术资料、软件授权及运行数据。</w:t>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第十二条</w:t>
      </w:r>
      <w:r>
        <w:rPr>
          <w:rFonts w:hint="eastAsia"/>
          <w:color w:val="auto"/>
          <w:highlight w:val="none"/>
        </w:rPr>
        <w:t xml:space="preserve">禁止商业贿赂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甲、乙双方应当遵守廉洁从政、廉洁经商的有关规定，禁止一方向另一方提供实物、现金、有价证券、超标准宴请、高消费娱乐活动等违法违规行为。</w:t>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第十三条</w:t>
      </w:r>
      <w:r>
        <w:rPr>
          <w:rFonts w:hint="eastAsia"/>
          <w:color w:val="auto"/>
          <w:highlight w:val="none"/>
        </w:rPr>
        <w:t xml:space="preserve">法律适用和争议解决</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13.1.</w:t>
      </w:r>
      <w:r>
        <w:rPr>
          <w:rFonts w:hint="eastAsia" w:ascii="宋体" w:hAnsi="宋体"/>
          <w:color w:val="auto"/>
          <w:highlight w:val="none"/>
        </w:rPr>
        <w:t xml:space="preserve">本合同的订立、履行和解释，应遵守中华人民共和国法律、法规，并应遵守行业惯例。</w:t>
      </w:r>
      <w:r/>
    </w:p>
    <w:p>
      <w:pPr>
        <w:pStyle w:val="1280"/>
        <w:numPr>
          <w:ilvl w:val="1"/>
          <w:numId w:val="0"/>
        </w:numPr>
        <w:contextualSpacing/>
        <w:ind w:left="454" w:hanging="454"/>
        <w:spacing w:line="360" w:lineRule="auto"/>
        <w:rPr>
          <w:rFonts w:ascii="宋体" w:hAnsi="宋体"/>
          <w:color w:val="auto"/>
          <w:highlight w:val="none"/>
        </w:rPr>
      </w:pPr>
      <w:r>
        <w:rPr>
          <w:rFonts w:hint="default" w:ascii="宋体" w:hAnsi="宋体" w:eastAsia="宋体" w:cs="Times New Roman"/>
          <w:strike w:val="0"/>
          <w:color w:val="auto"/>
          <w:sz w:val="21"/>
          <w:szCs w:val="22"/>
          <w:highlight w:val="none"/>
          <w:lang w:val="en-US" w:eastAsia="zh-CN" w:bidi="ar-SA"/>
        </w:rPr>
        <w:t xml:space="preserve">13.2.</w:t>
      </w:r>
      <w:r>
        <w:rPr>
          <w:rFonts w:hint="eastAsia" w:ascii="宋体" w:hAnsi="宋体"/>
          <w:color w:val="auto"/>
          <w:highlight w:val="none"/>
        </w:rPr>
        <w:t xml:space="preserve">因本协议引起的或与本协议有关的任何争议，双方应协商解决，如协商不成，应当首先向相关机构申请调解，如调解不成，由调解机构出具仲裁或诉讼建议书。任何一方均可向</w:t>
      </w:r>
      <w:r>
        <w:rPr>
          <w:rFonts w:hint="eastAsia" w:ascii="宋体" w:hAnsi="宋体"/>
          <w:color w:val="auto"/>
          <w:highlight w:val="none"/>
          <w:lang w:val="en-US" w:eastAsia="zh-CN"/>
        </w:rPr>
        <w:t xml:space="preserve">甲方</w:t>
      </w:r>
      <w:r>
        <w:rPr>
          <w:rFonts w:hint="eastAsia" w:ascii="宋体" w:hAnsi="宋体"/>
          <w:color w:val="auto"/>
          <w:highlight w:val="none"/>
        </w:rPr>
        <w:t xml:space="preserve">所在地法院提起诉讼。</w:t>
      </w:r>
      <w:r/>
    </w:p>
    <w:p>
      <w:pPr>
        <w:pStyle w:val="1032"/>
        <w:numPr>
          <w:ilvl w:val="0"/>
          <w:numId w:val="0"/>
        </w:numPr>
        <w:ind w:left="425" w:hanging="425"/>
        <w:jc w:val="both"/>
        <w:spacing w:after="240" w:line="240" w:lineRule="auto"/>
        <w:rPr>
          <w:color w:val="auto"/>
          <w:highlight w:val="none"/>
        </w:rPr>
      </w:pPr>
      <w:r>
        <w:rPr>
          <w:rFonts w:hint="eastAsia" w:ascii="宋体" w:hAnsi="Times New Roman" w:eastAsia="宋体" w:cs="Times New Roman"/>
          <w:b/>
          <w:color w:val="auto"/>
          <w:sz w:val="32"/>
          <w:szCs w:val="20"/>
          <w:highlight w:val="none"/>
          <w:lang w:val="en-US" w:eastAsia="zh-CN" w:bidi="ar-SA"/>
        </w:rPr>
        <w:t xml:space="preserve">第十四条</w:t>
      </w:r>
      <w:r>
        <w:rPr>
          <w:rFonts w:hint="eastAsia"/>
          <w:color w:val="auto"/>
          <w:highlight w:val="none"/>
        </w:rPr>
        <w:t xml:space="preserve">合同的生效及其他</w:t>
      </w:r>
      <w:r/>
    </w:p>
    <w:p>
      <w:pPr>
        <w:pStyle w:val="1280"/>
        <w:numPr>
          <w:ilvl w:val="1"/>
          <w:numId w:val="0"/>
        </w:numPr>
        <w:contextualSpacing/>
        <w:ind w:left="454" w:hanging="454"/>
        <w:spacing w:line="360" w:lineRule="auto"/>
        <w:rPr>
          <w:rFonts w:ascii="宋体" w:hAnsi="宋体" w:cs="宋体"/>
          <w:color w:val="auto"/>
          <w:highlight w:val="none"/>
        </w:rPr>
      </w:pPr>
      <w:r>
        <w:rPr>
          <w:rFonts w:hint="default" w:ascii="宋体" w:hAnsi="宋体" w:eastAsia="宋体" w:cs="宋体"/>
          <w:strike w:val="0"/>
          <w:color w:val="auto"/>
          <w:sz w:val="21"/>
          <w:szCs w:val="22"/>
          <w:highlight w:val="none"/>
          <w:lang w:val="en-US" w:eastAsia="zh-CN" w:bidi="ar-SA"/>
        </w:rPr>
        <w:t xml:space="preserve">14.1.</w:t>
      </w:r>
      <w:r>
        <w:rPr>
          <w:rFonts w:hint="eastAsia" w:ascii="宋体" w:hAnsi="宋体"/>
          <w:color w:val="auto"/>
          <w:highlight w:val="none"/>
        </w:rPr>
        <w:t xml:space="preserve">本合同一式</w:t>
      </w:r>
      <w:r>
        <w:rPr>
          <w:rFonts w:hint="eastAsia" w:ascii="宋体" w:hAnsi="宋体"/>
          <w:color w:val="auto"/>
          <w:highlight w:val="none"/>
          <w:u w:val="single"/>
        </w:rPr>
        <w:t xml:space="preserve"> 陆 </w:t>
      </w:r>
      <w:r>
        <w:rPr>
          <w:rFonts w:hint="eastAsia" w:ascii="宋体" w:hAnsi="宋体"/>
          <w:color w:val="auto"/>
          <w:highlight w:val="none"/>
        </w:rPr>
        <w:t xml:space="preserve">份，甲方</w:t>
      </w:r>
      <w:r>
        <w:rPr>
          <w:rFonts w:hint="eastAsia" w:ascii="宋体" w:hAnsi="宋体"/>
          <w:color w:val="auto"/>
          <w:highlight w:val="none"/>
          <w:u w:val="single"/>
        </w:rPr>
        <w:t xml:space="preserve"> 两 </w:t>
      </w:r>
      <w:r>
        <w:rPr>
          <w:rFonts w:hint="eastAsia" w:ascii="宋体" w:hAnsi="宋体"/>
          <w:color w:val="auto"/>
          <w:highlight w:val="none"/>
        </w:rPr>
        <w:t xml:space="preserve">份、乙方</w:t>
      </w:r>
      <w:r>
        <w:rPr>
          <w:rFonts w:hint="eastAsia" w:ascii="宋体" w:hAnsi="宋体"/>
          <w:color w:val="auto"/>
          <w:highlight w:val="none"/>
          <w:u w:val="single"/>
        </w:rPr>
        <w:t xml:space="preserve"> 肆 </w:t>
      </w:r>
      <w:r>
        <w:rPr>
          <w:rFonts w:hint="eastAsia" w:ascii="宋体" w:hAnsi="宋体"/>
          <w:color w:val="auto"/>
          <w:highlight w:val="none"/>
        </w:rPr>
        <w:t xml:space="preserve">份，具有同等法律效力。本合同经双方法定代表人签字并加盖公章后生效。</w:t>
      </w:r>
      <w:r/>
    </w:p>
    <w:p>
      <w:pPr>
        <w:pStyle w:val="1280"/>
        <w:numPr>
          <w:ilvl w:val="1"/>
          <w:numId w:val="0"/>
        </w:numPr>
        <w:contextualSpacing/>
        <w:ind w:left="454" w:hanging="454"/>
        <w:spacing w:line="360" w:lineRule="auto"/>
        <w:rPr>
          <w:rFonts w:ascii="宋体" w:hAnsi="宋体" w:cs="宋体"/>
          <w:color w:val="auto"/>
          <w:highlight w:val="none"/>
        </w:rPr>
      </w:pPr>
      <w:r>
        <w:rPr>
          <w:rFonts w:hint="default" w:ascii="宋体" w:hAnsi="宋体" w:eastAsia="宋体" w:cs="宋体"/>
          <w:strike w:val="0"/>
          <w:color w:val="auto"/>
          <w:sz w:val="21"/>
          <w:szCs w:val="22"/>
          <w:highlight w:val="none"/>
          <w:lang w:val="en-US" w:eastAsia="zh-CN" w:bidi="ar-SA"/>
        </w:rPr>
        <w:t xml:space="preserve">14.2.</w:t>
      </w:r>
      <w:r>
        <w:rPr>
          <w:rFonts w:hint="eastAsia" w:ascii="宋体" w:hAnsi="宋体" w:cs="宋体"/>
          <w:color w:val="auto"/>
          <w:highlight w:val="none"/>
        </w:rPr>
        <w:t xml:space="preserve">本合同未尽事宜，甲乙双方可另行以书面形式签订补充协议，补充协议与本合同存在冲突的，以补充协议为准。</w:t>
      </w:r>
      <w:r/>
    </w:p>
    <w:p>
      <w:pPr>
        <w:pStyle w:val="1280"/>
        <w:numPr>
          <w:ilvl w:val="1"/>
          <w:numId w:val="0"/>
        </w:numPr>
        <w:contextualSpacing/>
        <w:ind w:left="454" w:hanging="454"/>
        <w:spacing w:line="360" w:lineRule="auto"/>
        <w:rPr>
          <w:rFonts w:ascii="宋体" w:hAnsi="宋体" w:cs="宋体"/>
          <w:color w:val="auto"/>
          <w:highlight w:val="none"/>
        </w:rPr>
      </w:pPr>
      <w:r>
        <w:rPr>
          <w:rFonts w:hint="default" w:ascii="宋体" w:hAnsi="宋体" w:eastAsia="宋体" w:cs="宋体"/>
          <w:strike w:val="0"/>
          <w:color w:val="auto"/>
          <w:sz w:val="21"/>
          <w:szCs w:val="22"/>
          <w:highlight w:val="none"/>
          <w:lang w:val="en-US" w:eastAsia="zh-CN" w:bidi="ar-SA"/>
        </w:rPr>
        <w:t xml:space="preserve">14.3.</w:t>
      </w:r>
      <w:r>
        <w:rPr>
          <w:rFonts w:hint="eastAsia" w:ascii="宋体" w:hAnsi="宋体" w:cs="宋体"/>
          <w:color w:val="auto"/>
          <w:highlight w:val="none"/>
        </w:rPr>
        <w:t xml:space="preserve">本合同的附件为本合同不可分割的组成部分，与本合同具有同等法律效力。如附件内容与合同正文不一致，应优先适用合同正文的规定。</w:t>
      </w:r>
      <w:r/>
    </w:p>
    <w:p>
      <w:pPr>
        <w:ind w:firstLine="480"/>
        <w:spacing w:line="360" w:lineRule="auto"/>
        <w:rPr>
          <w:rFonts w:ascii="宋体" w:hAnsi="宋体" w:cs="宋体"/>
          <w:color w:val="auto"/>
          <w:sz w:val="24"/>
          <w:highlight w:val="none"/>
        </w:rPr>
        <w:sectPr>
          <w:headerReference w:type="even" r:id="rId14"/>
          <w:headerReference w:type="first" r:id="rId15"/>
          <w:footerReference w:type="default" r:id="rId24"/>
          <w:footerReference w:type="even" r:id="rId25"/>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color w:val="auto"/>
          <w:sz w:val="24"/>
          <w:highlight w:val="none"/>
        </w:rPr>
      </w:r>
      <w:r/>
    </w:p>
    <w:p>
      <w:pPr>
        <w:spacing w:line="360" w:lineRule="auto"/>
        <w:rPr>
          <w:rFonts w:ascii="黑体" w:hAnsi="黑体" w:eastAsia="黑体"/>
          <w:b/>
          <w:bCs/>
          <w:color w:val="auto"/>
          <w:sz w:val="40"/>
          <w:szCs w:val="56"/>
          <w:highlight w:val="none"/>
        </w:rPr>
      </w:pPr>
      <w:r>
        <w:rPr>
          <w:rFonts w:hint="eastAsia" w:ascii="黑体" w:hAnsi="黑体" w:eastAsia="黑体"/>
          <w:b/>
          <w:bCs/>
          <w:color w:val="auto"/>
          <w:sz w:val="40"/>
          <w:szCs w:val="56"/>
          <w:highlight w:val="none"/>
        </w:rPr>
        <w:t xml:space="preserve">签署页</w:t>
      </w:r>
      <w:r/>
    </w:p>
    <w:tbl>
      <w:tblPr>
        <w:tblStyle w:val="1042"/>
        <w:tblW w:w="13272" w:type="dxa"/>
        <w:tblInd w:w="0" w:type="dxa"/>
        <w:tblLayout w:type="fixed"/>
        <w:tblCellMar>
          <w:left w:w="108" w:type="dxa"/>
          <w:top w:w="0" w:type="dxa"/>
          <w:right w:w="108" w:type="dxa"/>
          <w:bottom w:w="0" w:type="dxa"/>
        </w:tblCellMar>
        <w:tblLook w:val="04A0" w:firstRow="1" w:lastRow="0" w:firstColumn="1" w:lastColumn="0" w:noHBand="0" w:noVBand="1"/>
      </w:tblPr>
      <w:tblGrid>
        <w:gridCol w:w="4251"/>
        <w:gridCol w:w="236"/>
        <w:gridCol w:w="4251"/>
        <w:gridCol w:w="283"/>
        <w:gridCol w:w="4251"/>
      </w:tblGrid>
      <w:tr>
        <w:trPr/>
        <w:tc>
          <w:tcPr>
            <w:tcW w:w="4252" w:type="dxa"/>
            <w:textDirection w:val="lrTb"/>
            <w:noWrap w:val="false"/>
          </w:tcPr>
          <w:p>
            <w:pPr>
              <w:rPr>
                <w:color w:val="auto"/>
                <w:highlight w:val="none"/>
              </w:rPr>
            </w:pPr>
            <w:r>
              <w:rPr>
                <w:rFonts w:hint="eastAsia"/>
                <w:color w:val="auto"/>
                <w:highlight w:val="none"/>
              </w:rPr>
              <w:t xml:space="preserve">甲方：</w:t>
            </w:r>
            <w:r/>
          </w:p>
          <w:p>
            <w:pPr>
              <w:rPr>
                <w:color w:val="auto"/>
                <w:highlight w:val="none"/>
              </w:rPr>
            </w:pPr>
            <w:r>
              <w:rPr>
                <w:color w:val="auto"/>
                <w:highlight w:val="none"/>
              </w:rPr>
            </w:r>
            <w:r/>
          </w:p>
          <w:p>
            <w:pPr>
              <w:rPr>
                <w:color w:val="auto"/>
                <w:highlight w:val="none"/>
              </w:rPr>
            </w:pPr>
            <w:r>
              <w:rPr>
                <w:rFonts w:hint="eastAsia"/>
                <w:color w:val="auto"/>
                <w:highlight w:val="none"/>
              </w:rPr>
              <w:t xml:space="preserve">（盖章）</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pStyle w:val="1076"/>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乙方： </w:t>
            </w:r>
            <w:r/>
          </w:p>
          <w:p>
            <w:pPr>
              <w:rPr>
                <w:color w:val="auto"/>
                <w:highlight w:val="none"/>
              </w:rPr>
            </w:pPr>
            <w:r>
              <w:rPr>
                <w:color w:val="auto"/>
                <w:highlight w:val="none"/>
              </w:rPr>
            </w:r>
            <w:r/>
          </w:p>
          <w:p>
            <w:pPr>
              <w:rPr>
                <w:color w:val="auto"/>
                <w:highlight w:val="none"/>
              </w:rPr>
            </w:pPr>
            <w:r>
              <w:rPr>
                <w:rFonts w:hint="eastAsia"/>
                <w:color w:val="auto"/>
                <w:highlight w:val="none"/>
              </w:rPr>
              <w:t xml:space="preserve">（盖章）</w:t>
            </w:r>
            <w:r/>
          </w:p>
          <w:p>
            <w:pPr>
              <w:rPr>
                <w:color w:val="auto"/>
                <w:highlight w:val="none"/>
              </w:rPr>
            </w:pPr>
            <w:r>
              <w:rPr>
                <w:color w:val="auto"/>
                <w:highlight w:val="none"/>
              </w:rPr>
            </w:r>
            <w:r/>
          </w:p>
        </w:tc>
      </w:tr>
      <w:tr>
        <w:trPr/>
        <w:tc>
          <w:tcPr>
            <w:tcW w:w="4252" w:type="dxa"/>
            <w:textDirection w:val="lrTb"/>
            <w:noWrap w:val="false"/>
          </w:tcPr>
          <w:p>
            <w:pPr>
              <w:rPr>
                <w:color w:val="auto"/>
                <w:highlight w:val="none"/>
              </w:rPr>
            </w:pPr>
            <w:r>
              <w:rPr>
                <w:rFonts w:hint="eastAsia"/>
                <w:color w:val="auto"/>
                <w:highlight w:val="none"/>
              </w:rPr>
              <w:t xml:space="preserve">法定代表人（负责人）或</w:t>
            </w:r>
            <w:r/>
          </w:p>
          <w:p>
            <w:pPr>
              <w:rPr>
                <w:color w:val="auto"/>
                <w:highlight w:val="none"/>
              </w:rPr>
            </w:pPr>
            <w:r>
              <w:rPr>
                <w:rFonts w:hint="eastAsia"/>
                <w:color w:val="auto"/>
                <w:highlight w:val="none"/>
              </w:rPr>
              <w:t xml:space="preserve">授权代表（签字）：</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法定代表人（负责人）或</w:t>
            </w:r>
            <w:r/>
          </w:p>
          <w:p>
            <w:pPr>
              <w:rPr>
                <w:color w:val="auto"/>
                <w:highlight w:val="none"/>
              </w:rPr>
            </w:pPr>
            <w:r>
              <w:rPr>
                <w:rFonts w:hint="eastAsia"/>
                <w:color w:val="auto"/>
                <w:highlight w:val="none"/>
              </w:rPr>
              <w:t xml:space="preserve">授权代表（签字）：</w:t>
            </w:r>
            <w:r/>
          </w:p>
          <w:p>
            <w:pPr>
              <w:rPr>
                <w:color w:val="auto"/>
                <w:highlight w:val="none"/>
              </w:rPr>
            </w:pPr>
            <w:r>
              <w:rPr>
                <w:color w:val="auto"/>
                <w:highlight w:val="none"/>
              </w:rPr>
            </w:r>
            <w:r/>
          </w:p>
        </w:tc>
      </w:tr>
      <w:tr>
        <w:trPr/>
        <w:tc>
          <w:tcPr>
            <w:tcW w:w="4252" w:type="dxa"/>
            <w:textDirection w:val="lrTb"/>
            <w:noWrap w:val="false"/>
          </w:tcPr>
          <w:p>
            <w:pPr>
              <w:rPr>
                <w:color w:val="auto"/>
                <w:highlight w:val="none"/>
              </w:rPr>
            </w:pPr>
            <w:r>
              <w:rPr>
                <w:rFonts w:hint="eastAsia"/>
                <w:color w:val="auto"/>
                <w:highlight w:val="none"/>
              </w:rPr>
              <w:t xml:space="preserve">签订日期：</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签订日期：</w:t>
            </w:r>
            <w:r/>
          </w:p>
        </w:tc>
      </w:tr>
      <w:tr>
        <w:trPr/>
        <w:tc>
          <w:tcPr>
            <w:tcW w:w="4252" w:type="dxa"/>
            <w:textDirection w:val="lrTb"/>
            <w:noWrap w:val="false"/>
          </w:tcPr>
          <w:p>
            <w:pPr>
              <w:rPr>
                <w:color w:val="auto"/>
                <w:highlight w:val="none"/>
              </w:rPr>
            </w:pPr>
            <w:r>
              <w:rPr>
                <w:rFonts w:hint="eastAsia"/>
                <w:color w:val="auto"/>
                <w:highlight w:val="none"/>
              </w:rPr>
              <w:t xml:space="preserve">地址：</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地址：</w:t>
            </w:r>
            <w:r/>
          </w:p>
        </w:tc>
      </w:tr>
      <w:tr>
        <w:trPr/>
        <w:tc>
          <w:tcPr>
            <w:tcW w:w="4252" w:type="dxa"/>
            <w:textDirection w:val="lrTb"/>
            <w:noWrap w:val="false"/>
          </w:tcPr>
          <w:p>
            <w:pPr>
              <w:rPr>
                <w:color w:val="auto"/>
                <w:highlight w:val="none"/>
              </w:rPr>
            </w:pPr>
            <w:r>
              <w:rPr>
                <w:rFonts w:hint="eastAsia"/>
                <w:color w:val="auto"/>
                <w:highlight w:val="none"/>
              </w:rPr>
              <w:t xml:space="preserve">联系人：</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联系人：</w:t>
            </w:r>
            <w:r/>
          </w:p>
        </w:tc>
      </w:tr>
      <w:tr>
        <w:trPr/>
        <w:tc>
          <w:tcPr>
            <w:tcW w:w="4252" w:type="dxa"/>
            <w:textDirection w:val="lrTb"/>
            <w:noWrap w:val="false"/>
          </w:tcPr>
          <w:p>
            <w:pPr>
              <w:rPr>
                <w:color w:val="auto"/>
                <w:highlight w:val="none"/>
              </w:rPr>
            </w:pPr>
            <w:r>
              <w:rPr>
                <w:rFonts w:hint="eastAsia"/>
                <w:color w:val="auto"/>
                <w:highlight w:val="none"/>
              </w:rPr>
              <w:t xml:space="preserve">电话：</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电话：</w:t>
            </w:r>
            <w:r/>
          </w:p>
        </w:tc>
      </w:tr>
      <w:tr>
        <w:trPr/>
        <w:tc>
          <w:tcPr>
            <w:tcW w:w="4252" w:type="dxa"/>
            <w:textDirection w:val="lrTb"/>
            <w:noWrap w:val="false"/>
          </w:tcPr>
          <w:p>
            <w:pPr>
              <w:rPr>
                <w:color w:val="auto"/>
                <w:highlight w:val="none"/>
              </w:rPr>
            </w:pPr>
            <w:r>
              <w:rPr>
                <w:rFonts w:hint="eastAsia"/>
                <w:color w:val="auto"/>
                <w:highlight w:val="none"/>
              </w:rPr>
              <w:t xml:space="preserve">传真：</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传真：</w:t>
            </w:r>
            <w:r/>
          </w:p>
        </w:tc>
      </w:tr>
      <w:tr>
        <w:trPr/>
        <w:tc>
          <w:tcPr>
            <w:tcW w:w="4252" w:type="dxa"/>
            <w:textDirection w:val="lrTb"/>
            <w:noWrap w:val="false"/>
          </w:tcPr>
          <w:p>
            <w:pPr>
              <w:rPr>
                <w:color w:val="auto"/>
                <w:highlight w:val="none"/>
              </w:rPr>
            </w:pPr>
            <w:r>
              <w:rPr>
                <w:rFonts w:hint="eastAsia"/>
                <w:color w:val="auto"/>
                <w:highlight w:val="none"/>
              </w:rPr>
              <w:t xml:space="preserve">Email：</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Email：</w:t>
            </w:r>
            <w:r/>
          </w:p>
        </w:tc>
      </w:tr>
      <w:tr>
        <w:trPr/>
        <w:tc>
          <w:tcPr>
            <w:tcW w:w="4252" w:type="dxa"/>
            <w:textDirection w:val="lrTb"/>
            <w:noWrap w:val="false"/>
          </w:tcPr>
          <w:p>
            <w:pPr>
              <w:rPr>
                <w:color w:val="auto"/>
                <w:highlight w:val="none"/>
              </w:rPr>
            </w:pPr>
            <w:r>
              <w:rPr>
                <w:rFonts w:hint="eastAsia"/>
                <w:color w:val="auto"/>
                <w:highlight w:val="none"/>
              </w:rPr>
              <w:t xml:space="preserve">开户银行：</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开户银行：</w:t>
            </w:r>
            <w:r/>
          </w:p>
        </w:tc>
      </w:tr>
      <w:tr>
        <w:trPr/>
        <w:tc>
          <w:tcPr>
            <w:tcW w:w="4252" w:type="dxa"/>
            <w:textDirection w:val="lrTb"/>
            <w:noWrap w:val="false"/>
          </w:tcPr>
          <w:p>
            <w:pPr>
              <w:rPr>
                <w:color w:val="auto"/>
                <w:highlight w:val="none"/>
              </w:rPr>
            </w:pPr>
            <w:r>
              <w:rPr>
                <w:rFonts w:hint="eastAsia"/>
                <w:color w:val="auto"/>
                <w:highlight w:val="none"/>
              </w:rPr>
              <w:t xml:space="preserve">账号：</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账号：</w:t>
            </w:r>
            <w:r/>
          </w:p>
        </w:tc>
      </w:tr>
      <w:tr>
        <w:trPr/>
        <w:tc>
          <w:tcPr>
            <w:tcW w:w="4252" w:type="dxa"/>
            <w:textDirection w:val="lrTb"/>
            <w:noWrap w:val="false"/>
          </w:tcPr>
          <w:p>
            <w:pPr>
              <w:rPr>
                <w:color w:val="auto"/>
                <w:highlight w:val="none"/>
              </w:rPr>
            </w:pPr>
            <w:r>
              <w:rPr>
                <w:rFonts w:hint="eastAsia"/>
                <w:color w:val="auto"/>
                <w:highlight w:val="none"/>
              </w:rPr>
              <w:t xml:space="preserve">统一社会信用代码：</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统一社会信用代码：</w:t>
            </w:r>
            <w:r/>
          </w:p>
          <w:p>
            <w:pPr>
              <w:rPr>
                <w:color w:val="auto"/>
                <w:highlight w:val="none"/>
              </w:rPr>
            </w:pPr>
            <w:r>
              <w:rPr>
                <w:color w:val="auto"/>
                <w:highlight w:val="none"/>
              </w:rPr>
            </w:r>
            <w:r/>
          </w:p>
        </w:tc>
      </w:tr>
      <w:tr>
        <w:trPr/>
        <w:tc>
          <w:tcPr>
            <w:tcW w:w="4252" w:type="dxa"/>
            <w:textDirection w:val="lrTb"/>
            <w:noWrap w:val="false"/>
          </w:tcPr>
          <w:p>
            <w:pPr>
              <w:rPr>
                <w:color w:val="auto"/>
                <w:highlight w:val="none"/>
              </w:rPr>
            </w:pPr>
            <w:r>
              <w:rPr>
                <w:rFonts w:hint="eastAsia"/>
                <w:color w:val="auto"/>
                <w:highlight w:val="none"/>
              </w:rPr>
              <w:t xml:space="preserve">开户行联行号：</w:t>
            </w:r>
            <w:r/>
          </w:p>
          <w:p>
            <w:pPr>
              <w:rPr>
                <w:color w:val="auto"/>
                <w:highlight w:val="none"/>
              </w:rPr>
            </w:pPr>
            <w:r>
              <w:rPr>
                <w:color w:val="auto"/>
                <w:highlight w:val="none"/>
              </w:rPr>
            </w:r>
            <w:r/>
          </w:p>
        </w:tc>
        <w:tc>
          <w:tcPr>
            <w:tcW w:w="23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color w:val="auto"/>
                <w:highlight w:val="none"/>
              </w:rPr>
            </w:r>
            <w:r/>
          </w:p>
        </w:tc>
        <w:tc>
          <w:tcPr>
            <w:tcW w:w="283" w:type="dxa"/>
            <w:textDirection w:val="lrTb"/>
            <w:noWrap w:val="false"/>
          </w:tcPr>
          <w:p>
            <w:pPr>
              <w:rPr>
                <w:color w:val="auto"/>
                <w:highlight w:val="none"/>
              </w:rPr>
            </w:pPr>
            <w:r>
              <w:rPr>
                <w:color w:val="auto"/>
                <w:highlight w:val="none"/>
              </w:rPr>
            </w:r>
            <w:r/>
          </w:p>
        </w:tc>
        <w:tc>
          <w:tcPr>
            <w:tcW w:w="4252" w:type="dxa"/>
            <w:textDirection w:val="lrTb"/>
            <w:noWrap w:val="false"/>
          </w:tcPr>
          <w:p>
            <w:pPr>
              <w:rPr>
                <w:color w:val="auto"/>
                <w:highlight w:val="none"/>
              </w:rPr>
            </w:pPr>
            <w:r>
              <w:rPr>
                <w:rFonts w:hint="eastAsia"/>
                <w:color w:val="auto"/>
                <w:highlight w:val="none"/>
              </w:rPr>
              <w:t xml:space="preserve">开户行联行号：</w:t>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1076"/>
        <w:rPr>
          <w:color w:val="auto"/>
          <w:highlight w:val="none"/>
        </w:rPr>
        <w:sectPr>
          <w:footnotePr/>
          <w:endnotePr/>
          <w:type w:val="nextPage"/>
          <w:pgSz w:w="16838" w:h="11906" w:orient="landscape"/>
          <w:pgMar w:top="1418" w:right="1440" w:bottom="1418" w:left="1440" w:header="851" w:footer="992" w:gutter="0"/>
          <w:cols w:num="1" w:sep="0" w:space="720" w:equalWidth="1"/>
          <w:docGrid w:linePitch="360"/>
        </w:sectPr>
      </w:pPr>
      <w:r>
        <w:rPr>
          <w:color w:val="auto"/>
          <w:highlight w:val="none"/>
        </w:rPr>
      </w:r>
      <w:r/>
    </w:p>
    <w:p>
      <w:pPr>
        <w:pStyle w:val="1032"/>
        <w:spacing w:after="240"/>
        <w:rPr>
          <w:rFonts w:hAnsi="宋体"/>
          <w:color w:val="auto"/>
          <w:highlight w:val="none"/>
        </w:rPr>
      </w:pPr>
      <w:r/>
      <w:bookmarkStart w:id="829" w:name="_Ref101614900"/>
      <w:r>
        <w:rPr>
          <w:rFonts w:hint="eastAsia"/>
          <w:color w:val="auto"/>
          <w:highlight w:val="none"/>
        </w:rPr>
        <w:t xml:space="preserve">附件一：医院</w:t>
      </w:r>
      <w:r>
        <w:rPr>
          <w:rFonts w:hint="eastAsia" w:hAnsi="宋体"/>
          <w:color w:val="auto"/>
          <w:highlight w:val="none"/>
        </w:rPr>
        <w:t xml:space="preserve">托管用能建筑信息</w:t>
      </w:r>
      <w:bookmarkEnd w:id="829"/>
      <w:r/>
      <w:r/>
    </w:p>
    <w:p>
      <w:pPr>
        <w:rPr>
          <w:color w:val="auto"/>
          <w:highlight w:val="none"/>
        </w:rPr>
      </w:pPr>
      <w:r>
        <w:rPr>
          <w:color w:val="auto"/>
          <w:highlight w:val="none"/>
        </w:rPr>
      </w:r>
      <w:r/>
    </w:p>
    <w:tbl>
      <w:tblPr>
        <w:tblStyle w:val="1042"/>
        <w:tblW w:w="4919" w:type="pct"/>
        <w:jc w:val="center"/>
        <w:tblLayout w:type="fixed"/>
        <w:tblCellMar>
          <w:left w:w="108" w:type="dxa"/>
          <w:top w:w="0" w:type="dxa"/>
          <w:right w:w="108" w:type="dxa"/>
          <w:bottom w:w="0" w:type="dxa"/>
        </w:tblCellMar>
        <w:tblLook w:val="04A0" w:firstRow="1" w:lastRow="0" w:firstColumn="1" w:lastColumn="0" w:noHBand="0" w:noVBand="1"/>
      </w:tblPr>
      <w:tblGrid>
        <w:gridCol w:w="836"/>
        <w:gridCol w:w="1125"/>
        <w:gridCol w:w="1172"/>
        <w:gridCol w:w="1171"/>
        <w:gridCol w:w="2093"/>
        <w:gridCol w:w="2741"/>
      </w:tblGrid>
      <w:tr>
        <w:trPr>
          <w:jc w:val="center"/>
          <w:trHeight w:val="9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建筑名称</w:t>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楼层</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建筑面积</w:t>
            </w:r>
            <w:r/>
          </w:p>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w:t>
            </w:r>
            <w:r>
              <w:rPr>
                <w:rFonts w:hint="eastAsia"/>
                <w:b/>
                <w:bCs/>
                <w:color w:val="auto"/>
                <w:highlight w:val="none"/>
              </w:rPr>
              <w:t xml:space="preserve">㎡</w:t>
            </w:r>
            <w:r>
              <w:rPr>
                <w:rFonts w:hint="eastAsia" w:ascii="宋体" w:hAnsi="宋体"/>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用途</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托管范围</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right w:val="single" w:color="000000" w:sz="4" w:space="0"/>
            </w:tcBorders>
            <w:tcW w:w="1125" w:type="dxa"/>
            <w:vAlign w:val="center"/>
            <w:vMerge w:val="restart"/>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2</w:t>
            </w:r>
            <w:r/>
          </w:p>
        </w:tc>
        <w:tc>
          <w:tcPr>
            <w:tcBorders>
              <w:left w:val="single" w:color="000000" w:sz="4" w:space="0"/>
              <w:right w:val="single" w:color="000000" w:sz="4" w:space="0"/>
            </w:tcBorders>
            <w:tcW w:w="1125"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1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3</w:t>
            </w:r>
            <w:r/>
          </w:p>
        </w:tc>
        <w:tc>
          <w:tcPr>
            <w:tcBorders>
              <w:left w:val="single" w:color="000000" w:sz="4" w:space="0"/>
              <w:right w:val="single" w:color="000000" w:sz="4" w:space="0"/>
            </w:tcBorders>
            <w:tcW w:w="1125"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4</w:t>
            </w:r>
            <w:r/>
          </w:p>
        </w:tc>
        <w:tc>
          <w:tcPr>
            <w:tcBorders>
              <w:left w:val="single" w:color="000000" w:sz="4" w:space="0"/>
              <w:bottom w:val="single" w:color="000000" w:sz="4" w:space="0"/>
              <w:right w:val="single" w:color="000000" w:sz="4" w:space="0"/>
            </w:tcBorders>
            <w:tcW w:w="1125"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right w:val="single" w:color="000000" w:sz="4" w:space="0"/>
            </w:tcBorders>
            <w:tcW w:w="1125" w:type="dxa"/>
            <w:vAlign w:val="center"/>
            <w:vMerge w:val="restart"/>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6</w:t>
            </w:r>
            <w:r/>
          </w:p>
        </w:tc>
        <w:tc>
          <w:tcPr>
            <w:tcBorders>
              <w:left w:val="single" w:color="000000" w:sz="4" w:space="0"/>
              <w:right w:val="single" w:color="000000" w:sz="4" w:space="0"/>
            </w:tcBorders>
            <w:tcW w:w="1125"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7</w:t>
            </w:r>
            <w:r/>
          </w:p>
        </w:tc>
        <w:tc>
          <w:tcPr>
            <w:tcBorders>
              <w:left w:val="single" w:color="000000" w:sz="4" w:space="0"/>
              <w:right w:val="single" w:color="000000" w:sz="4" w:space="0"/>
            </w:tcBorders>
            <w:tcW w:w="1125"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1043"/>
              <w:ind w:firstLine="0"/>
              <w:jc w:val="cente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43"/>
              <w:ind w:firstLine="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8</w:t>
            </w:r>
            <w:r/>
          </w:p>
        </w:tc>
        <w:tc>
          <w:tcPr>
            <w:tcBorders>
              <w:left w:val="single" w:color="000000" w:sz="4" w:space="0"/>
              <w:right w:val="single" w:color="000000" w:sz="4" w:space="0"/>
            </w:tcBorders>
            <w:tcW w:w="1125"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9</w:t>
            </w:r>
            <w:r/>
          </w:p>
        </w:tc>
        <w:tc>
          <w:tcPr>
            <w:tcBorders>
              <w:left w:val="single" w:color="000000" w:sz="4" w:space="0"/>
              <w:bottom w:val="single" w:color="000000" w:sz="4" w:space="0"/>
              <w:right w:val="single" w:color="000000" w:sz="4" w:space="0"/>
            </w:tcBorders>
            <w:tcW w:w="1125"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ascii="宋体" w:hAnsi="宋体"/>
                <w:b/>
                <w:bCs/>
                <w:color w:val="auto"/>
                <w:szCs w:val="21"/>
                <w:highlight w:val="none"/>
              </w:rPr>
            </w:pPr>
            <w:r>
              <w:rPr>
                <w:rFonts w:ascii="宋体" w:hAnsi="宋体"/>
                <w:b/>
                <w:bCs/>
                <w:color w:val="auto"/>
                <w:szCs w:val="21"/>
                <w:highlight w:val="none"/>
              </w:rPr>
            </w:r>
            <w:r/>
          </w:p>
        </w:tc>
      </w:tr>
    </w:tbl>
    <w:p>
      <w:pPr>
        <w:rPr>
          <w:color w:val="auto"/>
          <w:highlight w:val="none"/>
        </w:rPr>
      </w:pPr>
      <w:r>
        <w:rPr>
          <w:color w:val="auto"/>
          <w:highlight w:val="none"/>
        </w:rPr>
      </w:r>
      <w:r/>
    </w:p>
    <w:p>
      <w:pPr>
        <w:pStyle w:val="1032"/>
        <w:spacing w:after="240"/>
        <w:rPr>
          <w:color w:val="auto"/>
          <w:highlight w:val="none"/>
        </w:rPr>
      </w:pPr>
      <w:r/>
      <w:bookmarkStart w:id="830" w:name="_Ref101615091"/>
      <w:r>
        <w:rPr>
          <w:rFonts w:hint="eastAsia"/>
          <w:color w:val="auto"/>
          <w:highlight w:val="none"/>
        </w:rPr>
        <w:t xml:space="preserve">附件二：医院托管用能设备及器具清单</w:t>
      </w:r>
      <w:bookmarkEnd w:id="830"/>
      <w:r/>
      <w:r/>
    </w:p>
    <w:p>
      <w:pPr>
        <w:rPr>
          <w:color w:val="auto"/>
          <w:highlight w:val="none"/>
        </w:rPr>
      </w:pPr>
      <w:r>
        <w:rPr>
          <w:color w:val="auto"/>
          <w:highlight w:val="none"/>
        </w:rPr>
      </w:r>
      <w:r/>
    </w:p>
    <w:p>
      <w:pPr>
        <w:jc w:val="center"/>
        <w:rPr>
          <w:b/>
          <w:bCs/>
          <w:color w:val="auto"/>
          <w:highlight w:val="none"/>
        </w:rPr>
        <w:outlineLvl w:val="2"/>
      </w:pPr>
      <w:r>
        <w:rPr>
          <w:rFonts w:hint="eastAsia"/>
          <w:b/>
          <w:bCs/>
          <w:color w:val="auto"/>
          <w:highlight w:val="none"/>
        </w:rPr>
        <w:t xml:space="preserve">医疗设备清单</w:t>
      </w:r>
      <w:r/>
    </w:p>
    <w:tbl>
      <w:tblPr>
        <w:tblStyle w:val="1042"/>
        <w:tblW w:w="4996" w:type="pct"/>
        <w:jc w:val="center"/>
        <w:tblLayout w:type="fixed"/>
        <w:tblCellMar>
          <w:left w:w="108" w:type="dxa"/>
          <w:top w:w="0" w:type="dxa"/>
          <w:right w:w="108" w:type="dxa"/>
          <w:bottom w:w="0" w:type="dxa"/>
        </w:tblCellMar>
        <w:tblLook w:val="04A0" w:firstRow="1" w:lastRow="0" w:firstColumn="1" w:lastColumn="0" w:noHBand="0" w:noVBand="1"/>
      </w:tblPr>
      <w:tblGrid>
        <w:gridCol w:w="579"/>
        <w:gridCol w:w="1861"/>
        <w:gridCol w:w="2429"/>
        <w:gridCol w:w="677"/>
        <w:gridCol w:w="666"/>
        <w:gridCol w:w="1535"/>
        <w:gridCol w:w="1535"/>
      </w:tblGrid>
      <w:tr>
        <w:trPr>
          <w:jc w:val="center"/>
          <w:trHeight w:val="278"/>
          <w:tblHeader/>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品牌型号</w:t>
            </w:r>
            <w:r/>
          </w:p>
        </w:tc>
        <w:tc>
          <w:tcPr>
            <w:shd w:val="clear" w:color="auto" w:fill="ffffff"/>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当前状态</w:t>
            </w:r>
            <w:r/>
          </w:p>
        </w:tc>
        <w:tc>
          <w:tcPr>
            <w:shd w:val="clear" w:color="auto" w:fill="ffffff"/>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使用时长</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bl>
    <w:p>
      <w:pPr>
        <w:rPr>
          <w:color w:val="auto"/>
          <w:highlight w:val="none"/>
        </w:rPr>
      </w:pPr>
      <w:r>
        <w:rPr>
          <w:color w:val="auto"/>
          <w:highlight w:val="none"/>
        </w:rPr>
      </w:r>
      <w:r/>
    </w:p>
    <w:p>
      <w:pPr>
        <w:jc w:val="center"/>
        <w:rPr>
          <w:b/>
          <w:bCs/>
          <w:color w:val="auto"/>
          <w:highlight w:val="none"/>
        </w:rPr>
        <w:outlineLvl w:val="2"/>
      </w:pPr>
      <w:r>
        <w:rPr>
          <w:rFonts w:hint="eastAsia"/>
          <w:b/>
          <w:bCs/>
          <w:color w:val="auto"/>
          <w:highlight w:val="none"/>
        </w:rPr>
        <w:t xml:space="preserve">机电设备清单</w:t>
      </w:r>
      <w:r/>
    </w:p>
    <w:tbl>
      <w:tblPr>
        <w:tblStyle w:val="1042"/>
        <w:tblW w:w="4923" w:type="pct"/>
        <w:tblInd w:w="113" w:type="dxa"/>
        <w:tblLayout w:type="fixed"/>
        <w:tblCellMar>
          <w:left w:w="108" w:type="dxa"/>
          <w:top w:w="0" w:type="dxa"/>
          <w:right w:w="108" w:type="dxa"/>
          <w:bottom w:w="0" w:type="dxa"/>
        </w:tblCellMar>
        <w:tblLook w:val="04A0" w:firstRow="1" w:lastRow="0" w:firstColumn="1" w:lastColumn="0" w:noHBand="0" w:noVBand="1"/>
      </w:tblPr>
      <w:tblGrid>
        <w:gridCol w:w="480"/>
        <w:gridCol w:w="1031"/>
        <w:gridCol w:w="1306"/>
        <w:gridCol w:w="1200"/>
        <w:gridCol w:w="1471"/>
        <w:gridCol w:w="481"/>
        <w:gridCol w:w="481"/>
        <w:gridCol w:w="481"/>
        <w:gridCol w:w="1395"/>
        <w:gridCol w:w="818"/>
      </w:tblGrid>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位置</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功率</w:t>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当前状态</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b/>
                <w:bCs/>
                <w:color w:val="auto"/>
                <w:sz w:val="18"/>
                <w:szCs w:val="18"/>
                <w:highlight w:val="none"/>
              </w:rPr>
            </w:pPr>
            <w:r>
              <w:rPr>
                <w:rFonts w:hint="eastAsia"/>
                <w:b/>
                <w:bCs/>
                <w:color w:val="auto"/>
                <w:sz w:val="18"/>
                <w:szCs w:val="18"/>
                <w:highlight w:val="none"/>
              </w:rPr>
              <w:t xml:space="preserve">使用时长</w:t>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18"/>
                <w:szCs w:val="18"/>
                <w:highlight w:val="none"/>
              </w:rPr>
            </w:pPr>
            <w:r>
              <w:rPr>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right w:val="single" w:color="000000" w:sz="4" w:space="0"/>
            </w:tcBorders>
            <w:tcW w:w="1031" w:type="dxa"/>
            <w:vAlign w:val="center"/>
            <w:vMerge w:val="restart"/>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color w:val="auto"/>
                <w:sz w:val="20"/>
                <w:szCs w:val="20"/>
                <w:highlight w:val="none"/>
              </w:rPr>
            </w:pPr>
            <w:r>
              <w:rPr>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color w:val="auto"/>
                <w:sz w:val="20"/>
                <w:szCs w:val="20"/>
                <w:highlight w:val="none"/>
              </w:rPr>
            </w:pPr>
            <w:r>
              <w:rPr>
                <w:color w:val="auto"/>
                <w:sz w:val="20"/>
                <w:szCs w:val="20"/>
                <w:highlight w:val="none"/>
              </w:rPr>
            </w:r>
            <w:r/>
          </w:p>
        </w:tc>
      </w:tr>
    </w:tbl>
    <w:p>
      <w:pPr>
        <w:rPr>
          <w:color w:val="auto"/>
          <w:highlight w:val="none"/>
        </w:rPr>
      </w:pPr>
      <w:r>
        <w:rPr>
          <w:color w:val="auto"/>
          <w:highlight w:val="none"/>
        </w:rPr>
      </w:r>
      <w:r/>
    </w:p>
    <w:p>
      <w:pPr>
        <w:pStyle w:val="1032"/>
        <w:spacing w:after="240"/>
        <w:rPr>
          <w:color w:val="auto"/>
          <w:highlight w:val="none"/>
        </w:rPr>
      </w:pPr>
      <w:r/>
      <w:bookmarkStart w:id="831" w:name="_Ref101784656"/>
      <w:r>
        <w:rPr>
          <w:rFonts w:hint="eastAsia"/>
          <w:color w:val="auto"/>
          <w:highlight w:val="none"/>
        </w:rPr>
        <w:t xml:space="preserve">附件三：能源供应及服务标准</w:t>
      </w:r>
      <w:r/>
    </w:p>
    <w:tbl>
      <w:tblPr>
        <w:tblStyle w:val="1042"/>
        <w:tblW w:w="4921" w:type="pct"/>
        <w:tblInd w:w="113" w:type="dxa"/>
        <w:tblLayout w:type="fixed"/>
        <w:tblCellMar>
          <w:left w:w="108" w:type="dxa"/>
          <w:top w:w="0" w:type="dxa"/>
          <w:right w:w="108" w:type="dxa"/>
          <w:bottom w:w="0" w:type="dxa"/>
        </w:tblCellMar>
        <w:tblLook w:val="04A0" w:firstRow="1" w:lastRow="0" w:firstColumn="1" w:lastColumn="0" w:noHBand="0" w:noVBand="1"/>
      </w:tblPr>
      <w:tblGrid>
        <w:gridCol w:w="1250"/>
        <w:gridCol w:w="1512"/>
        <w:gridCol w:w="6379"/>
      </w:tblGrid>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供能类型</w:t>
            </w:r>
            <w:r/>
          </w:p>
        </w:tc>
        <w:tc>
          <w:tcPr>
            <w:gridSpan w:val="2"/>
            <w:tcBorders>
              <w:top w:val="single" w:color="000000" w:sz="4" w:space="0"/>
              <w:left w:val="single" w:color="000000" w:sz="4" w:space="0"/>
              <w:bottom w:val="single" w:color="000000" w:sz="4" w:space="0"/>
              <w:right w:val="single" w:color="000000" w:sz="4" w:space="0"/>
            </w:tcBorders>
            <w:tcW w:w="789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服务标准</w:t>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供冷</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供冷时间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供冷范围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供冷条件</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供冷标准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供冷时段</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供暖</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供暖时间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供暖范围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供暖条件</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供暖标准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供暖时段</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生活热水</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供热水时间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供热水范围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i/>
                <w:iCs/>
                <w:color w:val="auto"/>
                <w:sz w:val="22"/>
                <w:szCs w:val="22"/>
                <w:highlight w:val="none"/>
              </w:rPr>
            </w:pPr>
            <w:r>
              <w:rPr>
                <w:rFonts w:ascii="宋体" w:hAnsi="宋体" w:cs="宋体"/>
                <w:i/>
                <w:iCs/>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供热水标准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日供时段</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消毒蒸汽</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供蒸汽时间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供蒸汽范围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供蒸汽标准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日供时段</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r>
    </w:tbl>
    <w:p>
      <w:pPr>
        <w:spacing w:line="360" w:lineRule="auto"/>
        <w:rPr>
          <w:color w:val="auto"/>
          <w:highlight w:val="none"/>
        </w:rPr>
      </w:pPr>
      <w:r>
        <w:rPr>
          <w:rFonts w:hint="eastAsia"/>
          <w:color w:val="auto"/>
          <w:highlight w:val="none"/>
        </w:rPr>
        <w:t xml:space="preserve">注：如供能时间、质量与约定标准发生变化时，应参照“第六条托管费用调整”进行多退少补。</w:t>
      </w:r>
      <w:r/>
    </w:p>
    <w:p>
      <w:pPr>
        <w:pStyle w:val="1032"/>
        <w:jc w:val="both"/>
        <w:spacing w:after="240"/>
        <w:rPr>
          <w:color w:val="auto"/>
          <w:highlight w:val="none"/>
        </w:rPr>
      </w:pPr>
      <w:r>
        <w:rPr>
          <w:rFonts w:hint="eastAsia"/>
          <w:color w:val="auto"/>
          <w:highlight w:val="none"/>
        </w:rPr>
        <w:t xml:space="preserve">附件四：《节能改造（建设）清单及方案》</w:t>
      </w:r>
      <w:r/>
    </w:p>
    <w:p>
      <w:pPr>
        <w:pStyle w:val="1032"/>
        <w:jc w:val="both"/>
        <w:spacing w:after="240"/>
        <w:rPr>
          <w:color w:val="auto"/>
          <w:highlight w:val="none"/>
        </w:rPr>
      </w:pPr>
      <w:r>
        <w:rPr>
          <w:rFonts w:hint="eastAsia"/>
          <w:color w:val="auto"/>
          <w:highlight w:val="none"/>
        </w:rPr>
        <w:t xml:space="preserve">附件五：机电运维服务考核办法</w:t>
      </w:r>
      <w:r/>
    </w:p>
    <w:p>
      <w:pPr>
        <w:pStyle w:val="1032"/>
        <w:spacing w:after="240"/>
        <w:rPr>
          <w:color w:val="auto"/>
          <w:highlight w:val="none"/>
        </w:rPr>
      </w:pPr>
      <w:r>
        <w:rPr>
          <w:rFonts w:hint="eastAsia"/>
          <w:color w:val="auto"/>
          <w:highlight w:val="none"/>
        </w:rPr>
        <w:t xml:space="preserve">附件六：医院既有暖通空调、生活热水系统维保内容及维保标准</w:t>
      </w:r>
      <w:bookmarkEnd w:id="831"/>
      <w:r/>
      <w:r/>
    </w:p>
    <w:p>
      <w:pPr>
        <w:pStyle w:val="1032"/>
        <w:jc w:val="both"/>
        <w:spacing w:after="240"/>
        <w:rPr>
          <w:color w:val="auto"/>
          <w:highlight w:val="none"/>
        </w:rPr>
        <w:sectPr>
          <w:footnotePr/>
          <w:endnotePr/>
          <w:type w:val="nextPage"/>
          <w:pgSz w:w="11907" w:h="16840" w:orient="portrait"/>
          <w:pgMar w:top="1418" w:right="1134" w:bottom="1418" w:left="1701" w:header="851" w:footer="851" w:gutter="0"/>
          <w:cols w:num="1" w:sep="0" w:space="720" w:equalWidth="1"/>
          <w:docGrid w:linePitch="360"/>
        </w:sectPr>
      </w:pPr>
      <w:r/>
      <w:bookmarkStart w:id="832" w:name="_Ref101784362"/>
      <w:r>
        <w:rPr>
          <w:rFonts w:hint="eastAsia"/>
          <w:color w:val="auto"/>
          <w:highlight w:val="none"/>
        </w:rPr>
        <w:t xml:space="preserve">附件七：《廉洁协议》</w:t>
      </w:r>
      <w:bookmarkEnd w:id="832"/>
      <w:r/>
      <w:r/>
    </w:p>
    <w:p>
      <w:pPr>
        <w:pStyle w:val="1032"/>
        <w:jc w:val="both"/>
        <w:spacing w:after="240"/>
        <w:rPr>
          <w:color w:val="auto"/>
          <w:highlight w:val="none"/>
        </w:rPr>
      </w:pPr>
      <w:r>
        <w:rPr>
          <w:color w:val="auto"/>
          <w:highlight w:val="none"/>
        </w:rPr>
      </w:r>
      <w:r/>
    </w:p>
    <w:p>
      <w:pPr>
        <w:spacing w:line="360" w:lineRule="auto"/>
        <w:rPr>
          <w:rFonts w:ascii="黑体" w:hAnsi="黑体" w:eastAsia="黑体"/>
          <w:b/>
          <w:bCs/>
          <w:color w:val="auto"/>
          <w:sz w:val="36"/>
          <w:szCs w:val="44"/>
          <w:highlight w:val="none"/>
        </w:rPr>
      </w:pPr>
      <w:r>
        <w:rPr>
          <w:rFonts w:hint="eastAsia" w:ascii="黑体" w:hAnsi="黑体" w:eastAsia="黑体"/>
          <w:b/>
          <w:bCs/>
          <w:color w:val="auto"/>
          <w:sz w:val="36"/>
          <w:szCs w:val="44"/>
          <w:highlight w:val="none"/>
        </w:rPr>
        <w:t xml:space="preserve">廉洁协议</w:t>
      </w:r>
      <w:r/>
    </w:p>
    <w:p>
      <w:pPr>
        <w:spacing w:line="440" w:lineRule="exact"/>
        <w:rPr>
          <w:color w:val="auto"/>
          <w:sz w:val="28"/>
          <w:highlight w:val="none"/>
        </w:rPr>
      </w:pPr>
      <w:r>
        <w:rPr>
          <w:rFonts w:hint="eastAsia"/>
          <w:color w:val="auto"/>
          <w:sz w:val="28"/>
          <w:highlight w:val="none"/>
        </w:rPr>
        <w:t xml:space="preserve">甲方：</w:t>
      </w:r>
      <w:r/>
    </w:p>
    <w:p>
      <w:pPr>
        <w:spacing w:line="440" w:lineRule="exact"/>
        <w:rPr>
          <w:color w:val="auto"/>
          <w:sz w:val="28"/>
          <w:highlight w:val="none"/>
        </w:rPr>
      </w:pPr>
      <w:r>
        <w:rPr>
          <w:rFonts w:hint="eastAsia"/>
          <w:color w:val="auto"/>
          <w:sz w:val="28"/>
          <w:highlight w:val="none"/>
        </w:rPr>
        <w:t xml:space="preserve">乙方：</w:t>
      </w:r>
      <w:r/>
    </w:p>
    <w:p>
      <w:pPr>
        <w:pStyle w:val="1076"/>
        <w:rPr>
          <w:color w:val="auto"/>
          <w:highlight w:val="none"/>
        </w:rPr>
      </w:pPr>
      <w:r>
        <w:rPr>
          <w:color w:val="auto"/>
          <w:highlight w:val="none"/>
        </w:rPr>
      </w:r>
      <w:r/>
    </w:p>
    <w:p>
      <w:pPr>
        <w:ind w:firstLine="560"/>
        <w:spacing w:line="440" w:lineRule="exact"/>
        <w:rPr>
          <w:color w:val="auto"/>
          <w:sz w:val="28"/>
          <w:highlight w:val="none"/>
        </w:rPr>
      </w:pPr>
      <w:r>
        <w:rPr>
          <w:rFonts w:hint="eastAsia"/>
          <w:color w:val="auto"/>
          <w:sz w:val="28"/>
          <w:highlight w:val="none"/>
        </w:rPr>
        <w:t xml:space="preserve">为了在本合同履行中防止各种不正当行为的发生，促进本单位的党风廉政建设，根据国家廉政建设的各项规定，特订立如下协议：</w:t>
      </w:r>
      <w:r/>
    </w:p>
    <w:p>
      <w:pPr>
        <w:ind w:firstLine="560"/>
        <w:spacing w:line="440" w:lineRule="exact"/>
        <w:rPr>
          <w:color w:val="auto"/>
          <w:sz w:val="28"/>
          <w:highlight w:val="none"/>
        </w:rPr>
      </w:pPr>
      <w:r>
        <w:rPr>
          <w:rFonts w:hint="eastAsia"/>
          <w:color w:val="auto"/>
          <w:sz w:val="28"/>
          <w:highlight w:val="none"/>
        </w:rPr>
        <w:t xml:space="preserve">一、甲乙双方应当共同自觉遵守国家关于党风廉政建设的各项规定。</w:t>
      </w:r>
      <w:r/>
    </w:p>
    <w:p>
      <w:pPr>
        <w:ind w:firstLine="560"/>
        <w:spacing w:line="440" w:lineRule="exact"/>
        <w:rPr>
          <w:color w:val="auto"/>
          <w:sz w:val="28"/>
          <w:highlight w:val="none"/>
        </w:rPr>
      </w:pPr>
      <w:r>
        <w:rPr>
          <w:rFonts w:hint="eastAsia"/>
          <w:color w:val="auto"/>
          <w:sz w:val="28"/>
          <w:highlight w:val="none"/>
        </w:rPr>
        <w:t xml:space="preserve">二、甲方及其工作人员应做到</w:t>
      </w:r>
      <w:r/>
    </w:p>
    <w:p>
      <w:pPr>
        <w:ind w:firstLine="560"/>
        <w:spacing w:line="440" w:lineRule="exact"/>
        <w:rPr>
          <w:color w:val="auto"/>
          <w:sz w:val="28"/>
          <w:highlight w:val="none"/>
        </w:rPr>
      </w:pPr>
      <w:r>
        <w:rPr>
          <w:rFonts w:hint="eastAsia"/>
          <w:color w:val="auto"/>
          <w:sz w:val="28"/>
          <w:highlight w:val="none"/>
        </w:rPr>
        <w:t xml:space="preserve">（一）甲方工作人员（含家属、子女，下同）不得以任何形式向乙方索要赞助和收受回扣等好处费。</w:t>
      </w:r>
      <w:r/>
    </w:p>
    <w:p>
      <w:pPr>
        <w:ind w:firstLine="560"/>
        <w:spacing w:line="440" w:lineRule="exact"/>
        <w:rPr>
          <w:color w:val="auto"/>
          <w:sz w:val="28"/>
          <w:highlight w:val="none"/>
        </w:rPr>
      </w:pPr>
      <w:r>
        <w:rPr>
          <w:rFonts w:hint="eastAsia"/>
          <w:color w:val="auto"/>
          <w:sz w:val="28"/>
          <w:highlight w:val="none"/>
        </w:rPr>
        <w:t xml:space="preserve">（二）甲方工作人员应当保持与乙方的正常业务交往，不得接受乙方的礼金、有价证券和贵重物品，不得向乙方索要（或接受）通讯工具、交通工具、家电及高档办公用品，不得在乙方报销任何应由单位或个人支付的费用。</w:t>
      </w:r>
      <w:r/>
    </w:p>
    <w:p>
      <w:pPr>
        <w:ind w:firstLine="560"/>
        <w:spacing w:line="440" w:lineRule="exact"/>
        <w:rPr>
          <w:color w:val="auto"/>
          <w:sz w:val="28"/>
          <w:highlight w:val="none"/>
        </w:rPr>
      </w:pPr>
      <w:r>
        <w:rPr>
          <w:rFonts w:hint="eastAsia"/>
          <w:color w:val="auto"/>
          <w:sz w:val="28"/>
          <w:highlight w:val="none"/>
        </w:rPr>
        <w:t xml:space="preserve">（三）甲方工作人员不得参加可能影响公正执行公务的宴请和高消费的娱乐活动。</w:t>
      </w:r>
      <w:r/>
    </w:p>
    <w:p>
      <w:pPr>
        <w:ind w:firstLine="560"/>
        <w:spacing w:line="440" w:lineRule="exact"/>
        <w:rPr>
          <w:color w:val="auto"/>
          <w:sz w:val="28"/>
          <w:highlight w:val="none"/>
        </w:rPr>
      </w:pPr>
      <w:r>
        <w:rPr>
          <w:rFonts w:hint="eastAsia"/>
          <w:color w:val="auto"/>
          <w:sz w:val="28"/>
          <w:highlight w:val="none"/>
        </w:rPr>
        <w:t xml:space="preserve">（四）甲方工作人员不得要求或者接受乙方为其住房装修、婚丧嫁娶、家属和子女的工作安排，以及出国出境提供方便。</w:t>
      </w:r>
      <w:r/>
    </w:p>
    <w:p>
      <w:pPr>
        <w:ind w:firstLine="560"/>
        <w:spacing w:line="440" w:lineRule="exact"/>
        <w:rPr>
          <w:color w:val="auto"/>
          <w:sz w:val="28"/>
          <w:highlight w:val="none"/>
        </w:rPr>
      </w:pPr>
      <w:r>
        <w:rPr>
          <w:rFonts w:hint="eastAsia"/>
          <w:color w:val="auto"/>
          <w:sz w:val="28"/>
          <w:highlight w:val="none"/>
        </w:rPr>
        <w:t xml:space="preserve">（五）甲方工作人员不得以考察、参观等名义参加乙方安排的国内外旅游活动。</w:t>
      </w:r>
      <w:r/>
    </w:p>
    <w:p>
      <w:pPr>
        <w:ind w:firstLine="560"/>
        <w:spacing w:line="440" w:lineRule="exact"/>
        <w:rPr>
          <w:color w:val="auto"/>
          <w:sz w:val="28"/>
          <w:highlight w:val="none"/>
        </w:rPr>
      </w:pPr>
      <w:r>
        <w:rPr>
          <w:rFonts w:hint="eastAsia"/>
          <w:color w:val="auto"/>
          <w:sz w:val="28"/>
          <w:highlight w:val="none"/>
        </w:rPr>
        <w:t xml:space="preserve">（六）甲方工作人员不得向乙方介绍家属或亲友从事与本合同有关的材料设备供应、工程分包等经济活动。</w:t>
      </w:r>
      <w:r/>
    </w:p>
    <w:p>
      <w:pPr>
        <w:ind w:firstLine="560"/>
        <w:spacing w:line="440" w:lineRule="exact"/>
        <w:rPr>
          <w:color w:val="auto"/>
          <w:sz w:val="28"/>
          <w:highlight w:val="none"/>
        </w:rPr>
      </w:pPr>
      <w:r>
        <w:rPr>
          <w:rFonts w:hint="eastAsia"/>
          <w:color w:val="auto"/>
          <w:sz w:val="28"/>
          <w:highlight w:val="none"/>
        </w:rPr>
        <w:t xml:space="preserve">三、乙方及其工作人员应当做到</w:t>
      </w:r>
      <w:r/>
    </w:p>
    <w:p>
      <w:pPr>
        <w:ind w:firstLine="560"/>
        <w:spacing w:line="440" w:lineRule="exact"/>
        <w:rPr>
          <w:color w:val="auto"/>
          <w:sz w:val="28"/>
          <w:highlight w:val="none"/>
        </w:rPr>
      </w:pPr>
      <w:r>
        <w:rPr>
          <w:rFonts w:hint="eastAsia"/>
          <w:color w:val="auto"/>
          <w:sz w:val="28"/>
          <w:highlight w:val="none"/>
        </w:rPr>
        <w:t xml:space="preserve">（一）乙方应当通过正常途径开展相对业务工作，不得为获取某些不正当利益而向甲方工作人员（含家属、子女，下同）赠送礼金、有价证券和贵重物品等。</w:t>
      </w:r>
      <w:r/>
    </w:p>
    <w:p>
      <w:pPr>
        <w:ind w:firstLine="560"/>
        <w:spacing w:line="440" w:lineRule="exact"/>
        <w:rPr>
          <w:color w:val="auto"/>
          <w:sz w:val="28"/>
          <w:highlight w:val="none"/>
        </w:rPr>
      </w:pPr>
      <w:r>
        <w:rPr>
          <w:rFonts w:hint="eastAsia"/>
          <w:color w:val="auto"/>
          <w:sz w:val="28"/>
          <w:highlight w:val="none"/>
        </w:rPr>
        <w:t xml:space="preserve">（二）乙方工作人员不得为谋取私利擅自与甲方工作人员就工程承包、工程费用、材料设备供应、工程量变动、工程验收、工程质量问题处理等进行私下商谈或者达成默契。</w:t>
      </w:r>
      <w:r/>
    </w:p>
    <w:p>
      <w:pPr>
        <w:ind w:firstLine="560"/>
        <w:spacing w:line="440" w:lineRule="exact"/>
        <w:rPr>
          <w:color w:val="auto"/>
          <w:sz w:val="28"/>
          <w:highlight w:val="none"/>
        </w:rPr>
      </w:pPr>
      <w:r>
        <w:rPr>
          <w:rFonts w:hint="eastAsia"/>
          <w:color w:val="auto"/>
          <w:sz w:val="28"/>
          <w:highlight w:val="none"/>
        </w:rPr>
        <w:t xml:space="preserve">（三）乙方不得以洽谈业务、签订经济协议等为借口，邀请甲方工作人员外出旅游或进入营业性高档娱乐场所。</w:t>
      </w:r>
      <w:r/>
    </w:p>
    <w:p>
      <w:pPr>
        <w:ind w:firstLine="560"/>
        <w:spacing w:line="440" w:lineRule="exact"/>
        <w:rPr>
          <w:color w:val="auto"/>
          <w:sz w:val="28"/>
          <w:highlight w:val="none"/>
        </w:rPr>
      </w:pPr>
      <w:r>
        <w:rPr>
          <w:rFonts w:hint="eastAsia"/>
          <w:color w:val="auto"/>
          <w:sz w:val="28"/>
          <w:highlight w:val="none"/>
        </w:rPr>
        <w:t xml:space="preserve">（四）乙方不得为甲方单位和个人购置或者提供通讯工具、交通工具、家电及高档办公用品等物品。</w:t>
      </w:r>
      <w:r/>
    </w:p>
    <w:p>
      <w:pPr>
        <w:ind w:firstLine="560"/>
        <w:spacing w:line="440" w:lineRule="exact"/>
        <w:rPr>
          <w:color w:val="auto"/>
          <w:sz w:val="28"/>
          <w:highlight w:val="none"/>
        </w:rPr>
      </w:pPr>
      <w:r>
        <w:rPr>
          <w:rFonts w:hint="eastAsia"/>
          <w:color w:val="auto"/>
          <w:sz w:val="28"/>
          <w:highlight w:val="none"/>
        </w:rPr>
        <w:t xml:space="preserve">四、乙方如发现甲方其工作人员有违反上述协议者，应当向甲方领导或者甲方上级单位举报，甲方不得找任何借口对乙方进行报复或刁难、延误工作。</w:t>
      </w:r>
      <w:r/>
    </w:p>
    <w:p>
      <w:pPr>
        <w:ind w:firstLine="560"/>
        <w:spacing w:line="440" w:lineRule="exact"/>
        <w:rPr>
          <w:color w:val="auto"/>
          <w:sz w:val="28"/>
          <w:highlight w:val="none"/>
        </w:rPr>
      </w:pPr>
      <w:r>
        <w:rPr>
          <w:rFonts w:hint="eastAsia"/>
          <w:color w:val="auto"/>
          <w:sz w:val="28"/>
          <w:highlight w:val="none"/>
        </w:rPr>
        <w:t xml:space="preserve">五、甲方发现乙方有违反本协议或者采用不正当的手段贿赂甲方工作人员，甲方应向乙方上级领导或有关部门举报，由此给甲方单位造成的损失均由乙方承担。</w:t>
      </w:r>
      <w:r/>
    </w:p>
    <w:p>
      <w:pPr>
        <w:ind w:firstLine="560"/>
        <w:spacing w:line="440" w:lineRule="exact"/>
        <w:rPr>
          <w:color w:val="auto"/>
          <w:sz w:val="28"/>
          <w:highlight w:val="none"/>
        </w:rPr>
      </w:pPr>
      <w:r>
        <w:rPr>
          <w:rFonts w:hint="eastAsia"/>
          <w:color w:val="auto"/>
          <w:sz w:val="28"/>
          <w:highlight w:val="none"/>
        </w:rPr>
        <w:t xml:space="preserve">六、本协议作为合同附件，经协议双方签署后立即生效。</w:t>
      </w:r>
      <w:r/>
    </w:p>
    <w:p>
      <w:pPr>
        <w:ind w:firstLine="560"/>
        <w:spacing w:line="440" w:lineRule="exact"/>
        <w:rPr>
          <w:color w:val="auto"/>
          <w:sz w:val="28"/>
          <w:highlight w:val="none"/>
        </w:rPr>
      </w:pPr>
      <w:r>
        <w:rPr>
          <w:rFonts w:hint="eastAsia"/>
          <w:color w:val="auto"/>
          <w:sz w:val="28"/>
          <w:highlight w:val="none"/>
        </w:rPr>
        <w:t xml:space="preserve">七、本协议一式份，甲乙双方各执份。</w:t>
      </w:r>
      <w:r/>
    </w:p>
    <w:tbl>
      <w:tblPr>
        <w:tblStyle w:val="10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4493"/>
        <w:gridCol w:w="303"/>
        <w:gridCol w:w="4492"/>
      </w:tblGrid>
      <w:tr>
        <w:trPr/>
        <w:tc>
          <w:tcPr>
            <w:tcW w:w="4493" w:type="dxa"/>
            <w:textDirection w:val="lrTb"/>
            <w:noWrap w:val="false"/>
          </w:tcPr>
          <w:p>
            <w:pPr>
              <w:spacing w:line="440" w:lineRule="exact"/>
              <w:rPr>
                <w:color w:val="auto"/>
                <w:sz w:val="28"/>
                <w:highlight w:val="none"/>
              </w:rPr>
            </w:pPr>
            <w:r>
              <w:rPr>
                <w:color w:val="auto"/>
                <w:sz w:val="28"/>
                <w:highlight w:val="none"/>
              </w:rPr>
              <w:t xml:space="preserve">甲方</w:t>
            </w:r>
            <w:r>
              <w:rPr>
                <w:rFonts w:hint="eastAsia"/>
                <w:color w:val="auto"/>
                <w:sz w:val="28"/>
                <w:highlight w:val="none"/>
              </w:rPr>
              <w:t xml:space="preserve">（盖章）：</w:t>
            </w:r>
            <w:r/>
          </w:p>
          <w:p>
            <w:pPr>
              <w:spacing w:line="440" w:lineRule="exact"/>
              <w:rPr>
                <w:color w:val="auto"/>
                <w:sz w:val="28"/>
                <w:highlight w:val="none"/>
              </w:rPr>
            </w:pPr>
            <w:r>
              <w:rPr>
                <w:color w:val="auto"/>
                <w:sz w:val="28"/>
                <w:highlight w:val="none"/>
              </w:rPr>
            </w:r>
            <w:r/>
          </w:p>
        </w:tc>
        <w:tc>
          <w:tcPr>
            <w:tcW w:w="303" w:type="dxa"/>
            <w:textDirection w:val="lrTb"/>
            <w:noWrap w:val="false"/>
          </w:tcPr>
          <w:p>
            <w:pPr>
              <w:spacing w:line="440" w:lineRule="exact"/>
              <w:rPr>
                <w:color w:val="auto"/>
                <w:sz w:val="28"/>
                <w:highlight w:val="none"/>
              </w:rPr>
            </w:pPr>
            <w:r>
              <w:rPr>
                <w:color w:val="auto"/>
                <w:sz w:val="28"/>
                <w:highlight w:val="none"/>
              </w:rPr>
            </w:r>
            <w:r/>
          </w:p>
        </w:tc>
        <w:tc>
          <w:tcPr>
            <w:tcW w:w="4492" w:type="dxa"/>
            <w:textDirection w:val="lrTb"/>
            <w:noWrap w:val="false"/>
          </w:tcPr>
          <w:p>
            <w:pPr>
              <w:spacing w:line="440" w:lineRule="exact"/>
              <w:rPr>
                <w:color w:val="auto"/>
                <w:sz w:val="28"/>
                <w:highlight w:val="none"/>
              </w:rPr>
            </w:pPr>
            <w:r>
              <w:rPr>
                <w:rFonts w:hint="eastAsia"/>
                <w:color w:val="auto"/>
                <w:sz w:val="28"/>
                <w:highlight w:val="none"/>
              </w:rPr>
              <w:t xml:space="preserve">乙</w:t>
            </w:r>
            <w:r>
              <w:rPr>
                <w:color w:val="auto"/>
                <w:sz w:val="28"/>
                <w:highlight w:val="none"/>
              </w:rPr>
              <w:t xml:space="preserve">方</w:t>
            </w:r>
            <w:r>
              <w:rPr>
                <w:rFonts w:hint="eastAsia"/>
                <w:color w:val="auto"/>
                <w:sz w:val="28"/>
                <w:highlight w:val="none"/>
              </w:rPr>
              <w:t xml:space="preserve">（盖章）：</w:t>
            </w:r>
            <w:r/>
          </w:p>
          <w:p>
            <w:pPr>
              <w:spacing w:line="440" w:lineRule="exact"/>
              <w:rPr>
                <w:color w:val="auto"/>
                <w:sz w:val="28"/>
                <w:highlight w:val="none"/>
              </w:rPr>
            </w:pPr>
            <w:r>
              <w:rPr>
                <w:color w:val="auto"/>
                <w:sz w:val="28"/>
                <w:highlight w:val="none"/>
              </w:rPr>
            </w:r>
            <w:r/>
          </w:p>
        </w:tc>
      </w:tr>
      <w:tr>
        <w:trPr/>
        <w:tc>
          <w:tcPr>
            <w:tcW w:w="4493" w:type="dxa"/>
            <w:textDirection w:val="lrTb"/>
            <w:noWrap w:val="false"/>
          </w:tcPr>
          <w:p>
            <w:pPr>
              <w:spacing w:line="440" w:lineRule="exact"/>
              <w:rPr>
                <w:color w:val="auto"/>
                <w:sz w:val="28"/>
                <w:highlight w:val="none"/>
              </w:rPr>
            </w:pPr>
            <w:r>
              <w:rPr>
                <w:color w:val="auto"/>
                <w:sz w:val="28"/>
                <w:highlight w:val="none"/>
              </w:rPr>
              <w:t xml:space="preserve">法定代表人（负责人）或</w:t>
            </w:r>
            <w:r/>
          </w:p>
          <w:p>
            <w:pPr>
              <w:spacing w:line="440" w:lineRule="exact"/>
              <w:rPr>
                <w:color w:val="auto"/>
                <w:sz w:val="28"/>
                <w:highlight w:val="none"/>
              </w:rPr>
            </w:pPr>
            <w:r>
              <w:rPr>
                <w:color w:val="auto"/>
                <w:sz w:val="28"/>
                <w:highlight w:val="none"/>
              </w:rPr>
              <w:t xml:space="preserve">授权代表（签字）</w:t>
            </w:r>
            <w:r>
              <w:rPr>
                <w:rFonts w:hint="eastAsia"/>
                <w:color w:val="auto"/>
                <w:sz w:val="28"/>
                <w:highlight w:val="none"/>
              </w:rPr>
              <w:t xml:space="preserve">：</w:t>
            </w:r>
            <w:r/>
          </w:p>
          <w:p>
            <w:pPr>
              <w:spacing w:line="440" w:lineRule="exact"/>
              <w:rPr>
                <w:color w:val="auto"/>
                <w:sz w:val="28"/>
                <w:highlight w:val="none"/>
              </w:rPr>
            </w:pPr>
            <w:r>
              <w:rPr>
                <w:color w:val="auto"/>
                <w:sz w:val="28"/>
                <w:highlight w:val="none"/>
              </w:rPr>
            </w:r>
            <w:r/>
          </w:p>
        </w:tc>
        <w:tc>
          <w:tcPr>
            <w:tcW w:w="303" w:type="dxa"/>
            <w:textDirection w:val="lrTb"/>
            <w:noWrap w:val="false"/>
          </w:tcPr>
          <w:p>
            <w:pPr>
              <w:spacing w:line="440" w:lineRule="exact"/>
              <w:rPr>
                <w:color w:val="auto"/>
                <w:sz w:val="28"/>
                <w:highlight w:val="none"/>
              </w:rPr>
            </w:pPr>
            <w:r>
              <w:rPr>
                <w:color w:val="auto"/>
                <w:sz w:val="28"/>
                <w:highlight w:val="none"/>
              </w:rPr>
            </w:r>
            <w:r/>
          </w:p>
        </w:tc>
        <w:tc>
          <w:tcPr>
            <w:tcW w:w="4492" w:type="dxa"/>
            <w:textDirection w:val="lrTb"/>
            <w:noWrap w:val="false"/>
          </w:tcPr>
          <w:p>
            <w:pPr>
              <w:spacing w:line="440" w:lineRule="exact"/>
              <w:rPr>
                <w:color w:val="auto"/>
                <w:sz w:val="28"/>
                <w:highlight w:val="none"/>
              </w:rPr>
            </w:pPr>
            <w:r>
              <w:rPr>
                <w:color w:val="auto"/>
                <w:sz w:val="28"/>
                <w:highlight w:val="none"/>
              </w:rPr>
              <w:t xml:space="preserve">法定代表人（负责人）或</w:t>
            </w:r>
            <w:r/>
          </w:p>
          <w:p>
            <w:pPr>
              <w:spacing w:line="440" w:lineRule="exact"/>
              <w:rPr>
                <w:color w:val="auto"/>
                <w:sz w:val="28"/>
                <w:highlight w:val="none"/>
              </w:rPr>
            </w:pPr>
            <w:r>
              <w:rPr>
                <w:color w:val="auto"/>
                <w:sz w:val="28"/>
                <w:highlight w:val="none"/>
              </w:rPr>
              <w:t xml:space="preserve">授权代表（签字）</w:t>
            </w:r>
            <w:r>
              <w:rPr>
                <w:rFonts w:hint="eastAsia"/>
                <w:color w:val="auto"/>
                <w:sz w:val="28"/>
                <w:highlight w:val="none"/>
              </w:rPr>
              <w:t xml:space="preserve">：</w:t>
            </w:r>
            <w:r/>
          </w:p>
          <w:p>
            <w:pPr>
              <w:spacing w:line="440" w:lineRule="exact"/>
              <w:rPr>
                <w:color w:val="auto"/>
                <w:sz w:val="28"/>
                <w:highlight w:val="none"/>
              </w:rPr>
            </w:pPr>
            <w:r>
              <w:rPr>
                <w:color w:val="auto"/>
                <w:sz w:val="28"/>
                <w:highlight w:val="none"/>
              </w:rPr>
            </w:r>
            <w:r/>
          </w:p>
        </w:tc>
      </w:tr>
      <w:tr>
        <w:trPr>
          <w:trHeight w:val="70"/>
        </w:trPr>
        <w:tc>
          <w:tcPr>
            <w:tcW w:w="4493" w:type="dxa"/>
            <w:textDirection w:val="lrTb"/>
            <w:noWrap w:val="false"/>
          </w:tcPr>
          <w:p>
            <w:pPr>
              <w:spacing w:line="440" w:lineRule="exact"/>
              <w:rPr>
                <w:color w:val="auto"/>
                <w:sz w:val="28"/>
                <w:highlight w:val="none"/>
              </w:rPr>
            </w:pPr>
            <w:r>
              <w:rPr>
                <w:color w:val="auto"/>
                <w:sz w:val="28"/>
                <w:highlight w:val="none"/>
              </w:rPr>
              <w:t xml:space="preserve">签订日期：</w:t>
            </w:r>
            <w:r/>
          </w:p>
        </w:tc>
        <w:tc>
          <w:tcPr>
            <w:tcW w:w="303" w:type="dxa"/>
            <w:textDirection w:val="lrTb"/>
            <w:noWrap w:val="false"/>
          </w:tcPr>
          <w:p>
            <w:pPr>
              <w:spacing w:line="440" w:lineRule="exact"/>
              <w:rPr>
                <w:color w:val="auto"/>
                <w:sz w:val="28"/>
                <w:highlight w:val="none"/>
              </w:rPr>
            </w:pPr>
            <w:r>
              <w:rPr>
                <w:color w:val="auto"/>
                <w:sz w:val="28"/>
                <w:highlight w:val="none"/>
              </w:rPr>
            </w:r>
            <w:r/>
          </w:p>
        </w:tc>
        <w:tc>
          <w:tcPr>
            <w:tcW w:w="4492" w:type="dxa"/>
            <w:textDirection w:val="lrTb"/>
            <w:noWrap w:val="false"/>
          </w:tcPr>
          <w:p>
            <w:pPr>
              <w:spacing w:line="440" w:lineRule="exact"/>
              <w:rPr>
                <w:color w:val="auto"/>
                <w:sz w:val="28"/>
                <w:highlight w:val="none"/>
              </w:rPr>
            </w:pPr>
            <w:r>
              <w:rPr>
                <w:color w:val="auto"/>
                <w:sz w:val="28"/>
                <w:highlight w:val="none"/>
              </w:rPr>
              <w:t xml:space="preserve">签订日期：</w:t>
            </w:r>
            <w:r/>
          </w:p>
        </w:tc>
      </w:tr>
    </w:tbl>
    <w:p>
      <w:pPr>
        <w:spacing w:line="360" w:lineRule="auto"/>
        <w:rPr>
          <w:rFonts w:ascii="宋体" w:hAnsi="宋体" w:cs="宋体"/>
          <w:color w:val="auto"/>
          <w:sz w:val="24"/>
          <w:highlight w:val="none"/>
        </w:rPr>
      </w:pPr>
      <w:r>
        <w:rPr>
          <w:rFonts w:ascii="宋体" w:hAnsi="宋体" w:cs="宋体"/>
          <w:color w:val="auto"/>
          <w:sz w:val="24"/>
          <w:highlight w:val="none"/>
        </w:rPr>
        <w:br w:type="page" w:clear="all"/>
      </w:r>
      <w:r/>
    </w:p>
    <w:p>
      <w:pPr>
        <w:pStyle w:val="1034"/>
        <w:numPr>
          <w:ilvl w:val="2"/>
          <w:numId w:val="10"/>
        </w:numPr>
        <w:contextualSpacing/>
        <w:ind w:firstLine="643"/>
        <w:jc w:val="center"/>
        <w:spacing w:after="0" w:line="360" w:lineRule="auto"/>
        <w:tabs>
          <w:tab w:val="center" w:pos="4677" w:leader="none"/>
          <w:tab w:val="left" w:pos="7652" w:leader="none"/>
        </w:tabs>
        <w:rPr>
          <w:rFonts w:hAnsi="宋体"/>
          <w:color w:val="auto"/>
          <w:sz w:val="32"/>
          <w:szCs w:val="32"/>
          <w:highlight w:val="none"/>
          <w:u w:val="none"/>
        </w:rPr>
      </w:pPr>
      <w:r>
        <w:rPr>
          <w:rFonts w:hint="eastAsia" w:hAnsi="宋体"/>
          <w:color w:val="auto"/>
          <w:sz w:val="32"/>
          <w:szCs w:val="32"/>
          <w:highlight w:val="none"/>
          <w:u w:val="none"/>
        </w:rPr>
        <w:t xml:space="preserve">安全协议</w:t>
      </w:r>
      <w:r/>
    </w:p>
    <w:p>
      <w:pPr>
        <w:contextualSpacing/>
        <w:ind w:firstLine="420"/>
        <w:spacing w:line="360" w:lineRule="auto"/>
        <w:rPr>
          <w:rFonts w:ascii="宋体" w:hAnsi="宋体"/>
          <w:color w:val="auto"/>
          <w:szCs w:val="21"/>
          <w:highlight w:val="none"/>
        </w:rPr>
      </w:pPr>
      <w:r>
        <w:rPr>
          <w:rFonts w:ascii="宋体" w:hAnsi="宋体"/>
          <w:color w:val="auto"/>
          <w:szCs w:val="21"/>
          <w:highlight w:val="none"/>
        </w:rPr>
      </w:r>
      <w:r/>
    </w:p>
    <w:p>
      <w:pPr>
        <w:contextualSpacing/>
        <w:ind w:firstLine="480"/>
        <w:spacing w:after="120" w:line="360" w:lineRule="auto"/>
        <w:rPr>
          <w:rFonts w:ascii="宋体" w:hAnsi="宋体"/>
          <w:b/>
          <w:color w:val="auto"/>
          <w:sz w:val="24"/>
          <w:highlight w:val="none"/>
          <w:u w:val="single"/>
        </w:rPr>
      </w:pPr>
      <w:r>
        <w:rPr>
          <w:rFonts w:hint="eastAsia" w:ascii="宋体" w:hAnsi="宋体"/>
          <w:color w:val="auto"/>
          <w:sz w:val="24"/>
          <w:highlight w:val="none"/>
        </w:rPr>
        <w:t xml:space="preserve">甲方：</w:t>
      </w:r>
      <w:r/>
    </w:p>
    <w:p>
      <w:pPr>
        <w:contextualSpacing/>
        <w:ind w:firstLine="480"/>
        <w:spacing w:after="120" w:line="360" w:lineRule="auto"/>
        <w:rPr>
          <w:rFonts w:ascii="宋体" w:hAnsi="宋体"/>
          <w:bCs/>
          <w:color w:val="auto"/>
          <w:sz w:val="24"/>
          <w:highlight w:val="none"/>
        </w:rPr>
      </w:pPr>
      <w:r>
        <w:rPr>
          <w:rFonts w:hint="eastAsia" w:ascii="宋体" w:hAnsi="宋体"/>
          <w:bCs/>
          <w:color w:val="auto"/>
          <w:sz w:val="24"/>
          <w:highlight w:val="none"/>
        </w:rPr>
        <w:t xml:space="preserve">乙方：</w:t>
      </w:r>
      <w:r/>
    </w:p>
    <w:p>
      <w:pPr>
        <w:contextualSpacing/>
        <w:ind w:firstLine="480"/>
        <w:spacing w:after="120" w:line="360" w:lineRule="auto"/>
        <w:rPr>
          <w:rFonts w:ascii="宋体" w:hAnsi="宋体"/>
          <w:bCs/>
          <w:color w:val="auto"/>
          <w:sz w:val="24"/>
          <w:highlight w:val="none"/>
        </w:rPr>
      </w:pPr>
      <w:r>
        <w:rPr>
          <w:rFonts w:hint="eastAsia" w:ascii="宋体" w:hAnsi="宋体"/>
          <w:bCs/>
          <w:color w:val="auto"/>
          <w:sz w:val="24"/>
          <w:highlight w:val="none"/>
        </w:rPr>
        <w:t xml:space="preserve">监理单位：</w:t>
      </w:r>
      <w:r/>
    </w:p>
    <w:p>
      <w:pPr>
        <w:contextualSpacing/>
        <w:ind w:firstLine="480"/>
        <w:spacing w:after="120" w:line="360" w:lineRule="auto"/>
        <w:rPr>
          <w:rFonts w:ascii="宋体" w:hAnsi="宋体"/>
          <w:bCs/>
          <w:color w:val="auto"/>
          <w:sz w:val="24"/>
          <w:highlight w:val="none"/>
        </w:rPr>
      </w:pPr>
      <w:r>
        <w:rPr>
          <w:rFonts w:hint="eastAsia" w:ascii="宋体" w:hAnsi="宋体"/>
          <w:bCs/>
          <w:color w:val="auto"/>
          <w:sz w:val="24"/>
          <w:highlight w:val="none"/>
        </w:rPr>
        <w:t xml:space="preserve">工程名称：</w:t>
      </w:r>
      <w:r/>
    </w:p>
    <w:p>
      <w:pPr>
        <w:contextualSpacing/>
        <w:ind w:firstLine="480"/>
        <w:spacing w:line="360" w:lineRule="auto"/>
        <w:rPr>
          <w:rFonts w:ascii="宋体" w:hAnsi="宋体"/>
          <w:color w:val="auto"/>
          <w:sz w:val="24"/>
          <w:highlight w:val="none"/>
        </w:rPr>
      </w:pPr>
      <w:r>
        <w:rPr>
          <w:rFonts w:hint="eastAsia" w:ascii="宋体" w:hAnsi="宋体"/>
          <w:color w:val="auto"/>
          <w:sz w:val="24"/>
          <w:highlight w:val="none"/>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ascii="宋体" w:hAnsi="宋体"/>
          <w:color w:val="auto"/>
          <w:sz w:val="24"/>
          <w:highlight w:val="none"/>
        </w:rPr>
      </w:pPr>
      <w:r>
        <w:rPr>
          <w:rFonts w:hint="eastAsia" w:ascii="宋体" w:hAnsi="宋体"/>
          <w:color w:val="auto"/>
          <w:sz w:val="24"/>
          <w:highlight w:val="none"/>
        </w:rPr>
        <w:t xml:space="preserve">一、甲方责任</w:t>
      </w:r>
      <w:r/>
    </w:p>
    <w:p>
      <w:pPr>
        <w:contextualSpacing/>
        <w:ind w:firstLine="480"/>
        <w:spacing w:line="360" w:lineRule="auto"/>
        <w:tabs>
          <w:tab w:val="left" w:pos="537"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贯彻执行“安全第一、预防为主”的方针，国家现行的安全生产的法律、法规建设行政主管部门的安全生产规章和标准。</w:t>
      </w:r>
      <w:r/>
    </w:p>
    <w:p>
      <w:pPr>
        <w:contextualSpacing/>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督促乙方落实安全生产的组织保证体系，建立健全安全生产责任制。</w:t>
      </w:r>
      <w:r/>
    </w:p>
    <w:p>
      <w:pPr>
        <w:contextualSpacing/>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督促乙方对供热进行安全生产教育及分部分项工程的安全技术交底。</w:t>
      </w:r>
      <w:r/>
    </w:p>
    <w:p>
      <w:pPr>
        <w:contextualSpacing/>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审查施工方案及安全技术措施。</w:t>
      </w:r>
      <w:r/>
    </w:p>
    <w:p>
      <w:pPr>
        <w:contextualSpacing/>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检查督促乙方，按照建设施工安全技术标准和规范要求，落实分部、分项工程或个工序、关键部位的安全防护措施。</w:t>
      </w:r>
      <w:r/>
    </w:p>
    <w:p>
      <w:pPr>
        <w:contextualSpacing/>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监督检查施工现场的消防工作、冬季防寒、夏季防暑、文明施工、卫生防疫等工作。</w:t>
      </w:r>
      <w:r/>
    </w:p>
    <w:p>
      <w:pPr>
        <w:contextualSpacing/>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w:t>
      </w:r>
      <w:r>
        <w:rPr>
          <w:rFonts w:hint="eastAsia" w:ascii="宋体" w:hAnsi="宋体"/>
          <w:color w:val="auto"/>
          <w:sz w:val="24"/>
          <w:highlight w:val="none"/>
        </w:rPr>
        <w:t xml:space="preserve">配合乙方的安全文明施工，在乙方施工区域遵守乙方制定的相关安全文明施工条款。</w:t>
      </w:r>
      <w:r/>
    </w:p>
    <w:p>
      <w:pPr>
        <w:numPr>
          <w:ilvl w:val="0"/>
          <w:numId w:val="11"/>
        </w:numPr>
        <w:contextualSpacing/>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乙方责任</w:t>
      </w:r>
      <w:r/>
    </w:p>
    <w:p>
      <w:pPr>
        <w:contextualSpacing/>
        <w:ind w:firstLine="480"/>
        <w:jc w:val="left"/>
        <w:spacing w:line="360" w:lineRule="auto"/>
        <w:widowControl/>
        <w:tabs>
          <w:tab w:val="left" w:pos="537"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要做到有制度、有奖惩，实现安全文明施工无事故。</w:t>
      </w:r>
      <w:r/>
    </w:p>
    <w:p>
      <w:pPr>
        <w:contextualSpacing/>
        <w:ind w:firstLine="480"/>
        <w:jc w:val="left"/>
        <w:spacing w:line="360" w:lineRule="auto"/>
        <w:widowControl/>
        <w:tabs>
          <w:tab w:val="left" w:pos="537"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做好各类安全资料台账工作，严禁后补。</w:t>
      </w:r>
      <w:r/>
    </w:p>
    <w:p>
      <w:pPr>
        <w:contextualSpacing/>
        <w:ind w:firstLine="480"/>
        <w:jc w:val="left"/>
        <w:spacing w:line="360" w:lineRule="auto"/>
        <w:widowControl/>
        <w:tabs>
          <w:tab w:val="left" w:pos="537" w:leader="none"/>
        </w:tabs>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ascii="宋体" w:hAnsi="宋体"/>
          <w:color w:val="auto"/>
          <w:sz w:val="24"/>
          <w:highlight w:val="none"/>
        </w:rPr>
      </w:pPr>
      <w:r>
        <w:rPr>
          <w:rFonts w:ascii="宋体" w:hAnsi="宋体"/>
          <w:color w:val="auto"/>
          <w:sz w:val="24"/>
          <w:highlight w:val="none"/>
        </w:rPr>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甲方（盖章）：            乙方（盖章）：</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日期：    年   月   日        日期：     年   月   日</w:t>
      </w:r>
      <w:r/>
    </w:p>
    <w:p>
      <w:pPr>
        <w:pStyle w:val="1034"/>
        <w:numPr>
          <w:ilvl w:val="2"/>
          <w:numId w:val="10"/>
        </w:numPr>
        <w:contextualSpacing/>
        <w:ind w:firstLine="482"/>
        <w:jc w:val="center"/>
        <w:spacing w:after="0" w:line="360" w:lineRule="auto"/>
        <w:tabs>
          <w:tab w:val="center" w:pos="4677" w:leader="none"/>
          <w:tab w:val="left" w:pos="7652" w:leader="none"/>
        </w:tabs>
        <w:rPr>
          <w:rFonts w:hAnsi="宋体"/>
          <w:b w:val="0"/>
          <w:color w:val="auto"/>
          <w:sz w:val="32"/>
          <w:szCs w:val="32"/>
          <w:highlight w:val="none"/>
        </w:rPr>
      </w:pPr>
      <w:r>
        <w:rPr>
          <w:rFonts w:hAnsi="宋体"/>
          <w:color w:val="auto"/>
          <w:highlight w:val="none"/>
        </w:rPr>
        <w:br w:type="page" w:clear="all"/>
      </w:r>
      <w:r>
        <w:rPr>
          <w:rFonts w:hint="eastAsia" w:hAnsi="宋体"/>
          <w:color w:val="auto"/>
          <w:sz w:val="32"/>
          <w:szCs w:val="32"/>
          <w:highlight w:val="none"/>
          <w:u w:val="none"/>
        </w:rPr>
        <w:t xml:space="preserve">廉 政 责 任 书</w:t>
      </w:r>
      <w:r/>
    </w:p>
    <w:p>
      <w:pPr>
        <w:ind w:firstLine="560"/>
        <w:spacing w:line="400" w:lineRule="exact"/>
        <w:widowControl/>
        <w:rPr>
          <w:rFonts w:ascii="宋体" w:hAnsi="宋体"/>
          <w:color w:val="auto"/>
          <w:sz w:val="28"/>
          <w:szCs w:val="28"/>
          <w:highlight w:val="none"/>
        </w:rPr>
      </w:pPr>
      <w:r>
        <w:rPr>
          <w:rFonts w:ascii="宋体" w:hAnsi="宋体"/>
          <w:color w:val="auto"/>
          <w:sz w:val="28"/>
          <w:szCs w:val="28"/>
          <w:highlight w:val="none"/>
        </w:rPr>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为进一步加强廉政建设，特订立如下责任书：</w:t>
      </w:r>
      <w:r/>
    </w:p>
    <w:p>
      <w:pPr>
        <w:ind w:firstLine="482"/>
        <w:spacing w:line="540" w:lineRule="exact"/>
        <w:widowControl/>
        <w:rPr>
          <w:rFonts w:ascii="宋体" w:hAnsi="宋体"/>
          <w:b/>
          <w:color w:val="auto"/>
          <w:sz w:val="24"/>
          <w:highlight w:val="none"/>
        </w:rPr>
      </w:pPr>
      <w:r>
        <w:rPr>
          <w:rFonts w:hint="eastAsia" w:ascii="宋体" w:hAnsi="宋体"/>
          <w:b/>
          <w:color w:val="auto"/>
          <w:sz w:val="24"/>
          <w:highlight w:val="none"/>
        </w:rPr>
        <w:t xml:space="preserve">一、甲、乙双方的权利和义务</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1. 甲乙双方应严格遵守党的政策规定和国家有关法律法规。</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2. 甲乙双方应严格执行项目的合同文件，自觉按合同办事。</w:t>
      </w:r>
      <w:r/>
    </w:p>
    <w:p>
      <w:pPr>
        <w:ind w:firstLine="464"/>
        <w:spacing w:line="540" w:lineRule="exact"/>
        <w:widowControl/>
        <w:rPr>
          <w:rFonts w:ascii="宋体" w:hAnsi="宋体"/>
          <w:color w:val="auto"/>
          <w:sz w:val="24"/>
          <w:highlight w:val="none"/>
        </w:rPr>
      </w:pPr>
      <w:r>
        <w:rPr>
          <w:rFonts w:hint="eastAsia" w:ascii="宋体" w:hAnsi="宋体"/>
          <w:color w:val="auto"/>
          <w:spacing w:val="-4"/>
          <w:sz w:val="24"/>
          <w:highlight w:val="none"/>
        </w:rPr>
        <w:t xml:space="preserve">3．甲乙双方的业务活动应坚持公开、公平、公正、诚信、透明的原则</w:t>
      </w:r>
      <w:r>
        <w:rPr>
          <w:rFonts w:hint="eastAsia" w:ascii="宋体" w:hAnsi="宋体"/>
          <w:color w:val="auto"/>
          <w:sz w:val="24"/>
          <w:highlight w:val="none"/>
        </w:rPr>
        <w:t xml:space="preserve">。</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4．甲乙双方不得以任何理由向对方工作人员行贿或馈赠礼金、有价证券、贵重礼品。不得在对方报销任何应由个人支付的费用。</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5．甲乙双方不得以任何理由违反廉洁自律的有关规定。</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ascii="宋体" w:hAnsi="宋体"/>
          <w:b/>
          <w:color w:val="auto"/>
          <w:sz w:val="24"/>
          <w:highlight w:val="none"/>
        </w:rPr>
      </w:pPr>
      <w:r>
        <w:rPr>
          <w:rFonts w:hint="eastAsia" w:ascii="宋体" w:hAnsi="宋体"/>
          <w:b/>
          <w:color w:val="auto"/>
          <w:sz w:val="24"/>
          <w:highlight w:val="none"/>
        </w:rPr>
        <w:t xml:space="preserve">二、违约责任</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2．本协议一式三份，由甲、乙双方各执一份，送交甲方的监督单位一份。</w:t>
      </w:r>
      <w:r/>
    </w:p>
    <w:p>
      <w:pPr>
        <w:ind w:firstLine="480"/>
        <w:spacing w:line="540" w:lineRule="exact"/>
        <w:widowControl/>
        <w:rPr>
          <w:rFonts w:ascii="宋体" w:hAnsi="宋体"/>
          <w:color w:val="auto"/>
          <w:sz w:val="24"/>
          <w:highlight w:val="none"/>
        </w:rPr>
      </w:pPr>
      <w:r>
        <w:rPr>
          <w:rFonts w:ascii="宋体" w:hAnsi="宋体"/>
          <w:color w:val="auto"/>
          <w:sz w:val="24"/>
          <w:highlight w:val="none"/>
        </w:rPr>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甲方（盖章）：            乙方（盖章）：</w:t>
      </w:r>
      <w:r/>
    </w:p>
    <w:p>
      <w:pPr>
        <w:ind w:firstLine="480"/>
        <w:spacing w:line="540" w:lineRule="exact"/>
        <w:widowControl/>
        <w:rPr>
          <w:rFonts w:ascii="宋体" w:hAnsi="宋体"/>
          <w:color w:val="auto"/>
          <w:sz w:val="24"/>
          <w:highlight w:val="none"/>
        </w:rPr>
      </w:pPr>
      <w:r>
        <w:rPr>
          <w:rFonts w:hint="eastAsia" w:ascii="宋体" w:hAnsi="宋体"/>
          <w:color w:val="auto"/>
          <w:sz w:val="24"/>
          <w:highlight w:val="none"/>
        </w:rPr>
        <w:t xml:space="preserve">日期：    年   月   日        日期：     年   月   日</w:t>
      </w:r>
      <w:r/>
    </w:p>
    <w:p>
      <w:pPr>
        <w:jc w:val="center"/>
        <w:spacing w:line="360" w:lineRule="auto"/>
        <w:rPr>
          <w:rFonts w:ascii="宋体" w:hAnsi="宋体"/>
          <w:b/>
          <w:color w:val="auto"/>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第七章   投标文件格式</w:t>
      </w:r>
      <w:bookmarkEnd w:id="820"/>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firstLine="48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b/>
          <w:color w:val="auto"/>
          <w:sz w:val="30"/>
          <w:szCs w:val="20"/>
          <w:highlight w:val="none"/>
        </w:rPr>
        <w:outlineLvl w:val="1"/>
      </w:pPr>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rPr>
      </w:pPr>
      <w:r>
        <w:rPr>
          <w:rFonts w:hint="eastAsia" w:ascii="宋体" w:hAnsi="宋体"/>
          <w:b/>
          <w:color w:val="auto"/>
          <w:sz w:val="36"/>
          <w:highlight w:val="none"/>
        </w:rPr>
        <w:t xml:space="preserve">      日      期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t xml:space="preserve">1 </w:t>
      </w:r>
      <w:r>
        <w:rPr>
          <w:rFonts w:ascii="宋体" w:hAnsi="宋体"/>
          <w:b/>
          <w:color w:val="auto"/>
          <w:sz w:val="24"/>
          <w:highlight w:val="none"/>
        </w:rPr>
        <w:t xml:space="preserve">满足《中华人民共和国政府采购法》第二十二条规定及法律法规的其他规定</w:t>
      </w:r>
      <w:r/>
    </w:p>
    <w:p>
      <w:pPr>
        <w:pStyle w:val="1034"/>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color w:val="auto"/>
          <w:highlight w:val="none"/>
          <w:u w:val="none"/>
        </w:rPr>
        <w:t xml:space="preserve">投标人资格声明</w:t>
      </w:r>
      <w:r>
        <w:rPr>
          <w:rFonts w:hint="eastAsia" w:hAnsi="宋体"/>
          <w:color w:val="auto"/>
          <w:highlight w:val="none"/>
          <w:u w:val="none"/>
        </w:rPr>
        <w:t xml:space="preserve">函</w:t>
      </w:r>
      <w:r>
        <w:rPr>
          <w:rFonts w:hAnsi="宋体"/>
          <w:color w:val="auto"/>
          <w:highlight w:val="none"/>
          <w:u w:val="none"/>
        </w:rPr>
        <w:t xml:space="preserve">（实质性格式）</w:t>
      </w:r>
      <w:r/>
    </w:p>
    <w:p>
      <w:pPr>
        <w:jc w:val="cente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43"/>
        <w:ind w:firstLine="480"/>
        <w:spacing w:line="460" w:lineRule="exact"/>
        <w:rPr>
          <w:rFonts w:hAnsi="宋体"/>
          <w:color w:val="auto"/>
          <w:highlight w:val="none"/>
        </w:rPr>
      </w:pPr>
      <w:r>
        <w:rPr>
          <w:rFonts w:hAnsi="宋体"/>
          <w:color w:val="auto"/>
          <w:highlight w:val="none"/>
        </w:rPr>
      </w:r>
      <w:r/>
    </w:p>
    <w:p>
      <w:pPr>
        <w:pStyle w:val="1043"/>
        <w:ind w:firstLine="480"/>
        <w:spacing w:line="460" w:lineRule="exact"/>
        <w:rPr>
          <w:rFonts w:hAnsi="宋体"/>
          <w:color w:val="auto"/>
          <w:highlight w:val="none"/>
        </w:rPr>
      </w:pPr>
      <w:r>
        <w:rPr>
          <w:rFonts w:hint="eastAsia" w:hAnsi="宋体"/>
          <w:color w:val="auto"/>
          <w:highlight w:val="none"/>
        </w:rPr>
        <w:t xml:space="preserve">致：常州市城投建设工程招标有限公司</w:t>
      </w:r>
      <w:r/>
    </w:p>
    <w:p>
      <w:pPr>
        <w:pStyle w:val="1043"/>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43"/>
        <w:ind w:firstLine="480"/>
        <w:spacing w:line="460" w:lineRule="exact"/>
        <w:rPr>
          <w:rFonts w:hAnsi="宋体"/>
          <w:color w:val="auto"/>
          <w:highlight w:val="none"/>
        </w:rPr>
      </w:pPr>
      <w:r>
        <w:rPr>
          <w:rFonts w:hAnsi="宋体"/>
          <w:color w:val="auto"/>
          <w:highlight w:val="none"/>
        </w:rPr>
      </w:r>
      <w:r/>
    </w:p>
    <w:p>
      <w:pPr>
        <w:pStyle w:val="1043"/>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43"/>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一、我单位是按照中华人民共和国法律规定登记注册的，注册地点为，全称为，统一社会信用代码为 ，法定代表人（单位负责人）为，具有独立承担民事责任的能力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43"/>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43"/>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43"/>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43"/>
        <w:ind w:firstLine="480"/>
        <w:spacing w:line="460" w:lineRule="exact"/>
        <w:rPr>
          <w:rFonts w:hAnsi="宋体"/>
          <w:color w:val="auto"/>
          <w:highlight w:val="none"/>
        </w:rPr>
      </w:pPr>
      <w:r>
        <w:rPr>
          <w:rFonts w:hint="eastAsia" w:hAnsi="宋体"/>
          <w:color w:val="auto"/>
          <w:highlight w:val="none"/>
        </w:rPr>
        <w:t xml:space="preserve">主要设备有：</w:t>
      </w:r>
      <w:r/>
    </w:p>
    <w:p>
      <w:pPr>
        <w:pStyle w:val="1043"/>
        <w:ind w:firstLine="480"/>
        <w:spacing w:line="460" w:lineRule="exact"/>
        <w:rPr>
          <w:rFonts w:hAnsi="宋体"/>
          <w:color w:val="auto"/>
          <w:highlight w:val="none"/>
        </w:rPr>
      </w:pPr>
      <w:r>
        <w:rPr>
          <w:rFonts w:hint="eastAsia" w:hAnsi="宋体"/>
          <w:color w:val="auto"/>
          <w:highlight w:val="none"/>
        </w:rPr>
        <w:t xml:space="preserve">主要专业技术能力有</w:t>
      </w:r>
      <w:r/>
    </w:p>
    <w:p>
      <w:pPr>
        <w:pStyle w:val="1043"/>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3"/>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43"/>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43"/>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p>
    <w:p>
      <w:pPr>
        <w:pStyle w:val="1043"/>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p>
    <w:p>
      <w:pPr>
        <w:pStyle w:val="1043"/>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p>
    <w:p>
      <w:pPr>
        <w:pStyle w:val="1043"/>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43"/>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43"/>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43"/>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43"/>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043"/>
        <w:ind w:firstLine="480"/>
        <w:spacing w:line="460" w:lineRule="exact"/>
        <w:rPr>
          <w:rFonts w:hAnsi="宋体"/>
          <w:color w:val="auto"/>
          <w:highlight w:val="none"/>
        </w:rPr>
      </w:pPr>
      <w:r>
        <w:rPr>
          <w:rFonts w:hAnsi="宋体"/>
          <w:color w:val="auto"/>
          <w:highlight w:val="none"/>
        </w:rPr>
      </w:r>
      <w:r/>
    </w:p>
    <w:p>
      <w:pPr>
        <w:pStyle w:val="1043"/>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43"/>
        <w:ind w:firstLine="480"/>
        <w:spacing w:line="460" w:lineRule="exact"/>
        <w:rPr>
          <w:rFonts w:hAnsi="宋体"/>
          <w:color w:val="auto"/>
          <w:highlight w:val="none"/>
        </w:rPr>
      </w:pPr>
      <w:r>
        <w:rPr>
          <w:rFonts w:hAnsi="宋体"/>
          <w:color w:val="auto"/>
          <w:highlight w:val="none"/>
        </w:rPr>
      </w:r>
      <w:r/>
    </w:p>
    <w:p>
      <w:pPr>
        <w:pStyle w:val="1043"/>
        <w:ind w:firstLine="480"/>
        <w:spacing w:line="460" w:lineRule="exact"/>
        <w:rPr>
          <w:rFonts w:hAnsi="宋体"/>
          <w:color w:val="auto"/>
          <w:highlight w:val="none"/>
        </w:rPr>
      </w:pPr>
      <w:r>
        <w:rPr>
          <w:rFonts w:hAnsi="宋体"/>
          <w:color w:val="auto"/>
          <w:highlight w:val="none"/>
        </w:rPr>
      </w:r>
      <w:r/>
    </w:p>
    <w:p>
      <w:pPr>
        <w:pStyle w:val="1043"/>
        <w:ind w:firstLine="840"/>
        <w:spacing w:line="460" w:lineRule="exact"/>
        <w:rPr>
          <w:rFonts w:hAnsi="宋体"/>
          <w:color w:val="auto"/>
          <w:highlight w:val="none"/>
        </w:rPr>
      </w:pPr>
      <w:r>
        <w:rPr>
          <w:rFonts w:hint="eastAsia" w:hAnsi="宋体"/>
          <w:color w:val="auto"/>
          <w:highlight w:val="none"/>
        </w:rPr>
        <w:t xml:space="preserve">投标人：（加盖公章）</w:t>
      </w:r>
      <w:r/>
    </w:p>
    <w:p>
      <w:pPr>
        <w:pStyle w:val="1043"/>
        <w:ind w:firstLine="840"/>
        <w:spacing w:line="460" w:lineRule="exact"/>
        <w:rPr>
          <w:rFonts w:hAnsi="宋体"/>
          <w:color w:val="auto"/>
          <w:highlight w:val="none"/>
        </w:rPr>
      </w:pPr>
      <w:r>
        <w:rPr>
          <w:rFonts w:hint="eastAsia" w:hAnsi="宋体"/>
          <w:color w:val="auto"/>
          <w:highlight w:val="none"/>
        </w:rPr>
        <w:t xml:space="preserve">法定代表人（或单位负责人）签字或盖章：</w:t>
      </w:r>
      <w:r/>
    </w:p>
    <w:p>
      <w:pPr>
        <w:pStyle w:val="1043"/>
        <w:ind w:firstLine="84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供应商承诺不实的，依据《政府采购法》第七十七条“提供虚假材料谋取中标、成交的”有关规定予以处理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2-3 </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jc w:val="left"/>
        <w:widowControl/>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b/>
          <w:color w:val="auto"/>
          <w:sz w:val="24"/>
          <w:highlight w:val="none"/>
        </w:rPr>
        <w:outlineLvl w:val="2"/>
      </w:pPr>
      <w:r>
        <w:rPr>
          <w:rFonts w:ascii="宋体" w:hAnsi="宋体"/>
          <w:color w:val="auto"/>
          <w:sz w:val="24"/>
          <w:highlight w:val="none"/>
        </w:rPr>
        <w:br w:type="page" w:clear="all"/>
      </w:r>
      <w:r>
        <w:rPr>
          <w:rFonts w:ascii="宋体" w:hAnsi="宋体"/>
          <w:b/>
          <w:color w:val="auto"/>
          <w:sz w:val="24"/>
          <w:szCs w:val="20"/>
          <w:highlight w:val="none"/>
        </w:rPr>
        <w:t xml:space="preserve">3 本项目的特定资格要求（如有）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3-2其他特定资格要求</w:t>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ind w:left="719" w:hanging="240"/>
        <w:spacing w:line="360" w:lineRule="auto"/>
        <w:rPr>
          <w:rFonts w:ascii="宋体" w:hAnsi="宋体"/>
          <w:color w:val="auto"/>
          <w:sz w:val="24"/>
          <w:szCs w:val="20"/>
          <w:highlight w:val="none"/>
        </w:rPr>
      </w:pPr>
      <w:r>
        <w:rPr>
          <w:rFonts w:ascii="宋体" w:hAnsi="宋体"/>
          <w:color w:val="auto"/>
          <w:sz w:val="24"/>
          <w:szCs w:val="20"/>
          <w:highlight w:val="none"/>
        </w:rPr>
      </w:r>
      <w:r/>
    </w:p>
    <w:p>
      <w:pPr>
        <w:jc w:val="left"/>
        <w:keepLines/>
        <w:keepNext/>
        <w:spacing w:before="120" w:line="300" w:lineRule="auto"/>
        <w:rPr>
          <w:rFonts w:ascii="宋体" w:hAnsi="宋体"/>
          <w:b/>
          <w:color w:val="auto"/>
          <w:sz w:val="32"/>
          <w:szCs w:val="32"/>
          <w:highlight w:val="none"/>
        </w:rPr>
        <w:outlineLvl w:val="1"/>
      </w:pPr>
      <w:r>
        <w:rPr>
          <w:rFonts w:ascii="宋体" w:hAnsi="宋体"/>
          <w:b/>
          <w:color w:val="auto"/>
          <w:spacing w:val="20"/>
          <w:sz w:val="24"/>
          <w:highlight w:val="none"/>
        </w:rPr>
        <w:t xml:space="preserve">二、商务技术文件格式</w:t>
      </w:r>
      <w:bookmarkStart w:id="833" w:name="_Ref467988698"/>
      <w:r/>
      <w:bookmarkStart w:id="834" w:name="_Toc150480794"/>
      <w:r/>
      <w:bookmarkStart w:id="835" w:name="_Toc226309800"/>
      <w:r/>
      <w:bookmarkStart w:id="836" w:name="_Toc226965829"/>
      <w:r/>
      <w:bookmarkStart w:id="837" w:name="_Toc142311058"/>
      <w:r/>
      <w:bookmarkStart w:id="838" w:name="_Toc195842921"/>
      <w:r/>
      <w:bookmarkStart w:id="839" w:name="_Toc520356217"/>
      <w:r/>
      <w:bookmarkStart w:id="840" w:name="_Toc127151556"/>
      <w:r/>
      <w:bookmarkStart w:id="841" w:name="_Toc226337252"/>
      <w:r/>
      <w:bookmarkStart w:id="842" w:name="_Toc226965746"/>
      <w:r/>
      <w:bookmarkStart w:id="843" w:name="_Toc480942349"/>
      <w:r/>
      <w:bookmarkStart w:id="844" w:name="_Toc150774761"/>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ascii="宋体" w:hAnsi="宋体"/>
          <w:b/>
          <w:color w:val="auto"/>
          <w:sz w:val="24"/>
          <w:highlight w:val="none"/>
        </w:rPr>
        <w:t xml:space="preserve">投标</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ascii="宋体" w:hAnsi="宋体"/>
          <w:b/>
          <w:color w:val="auto"/>
          <w:sz w:val="24"/>
          <w:highlight w:val="none"/>
        </w:rPr>
        <w:t xml:space="preserve">函</w:t>
      </w:r>
      <w:r>
        <w:rPr>
          <w:rFonts w:ascii="宋体" w:hAnsi="宋体"/>
          <w:b/>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 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b/>
          <w:color w:val="auto"/>
          <w:sz w:val="24"/>
          <w:highlight w:val="none"/>
        </w:rPr>
      </w:pPr>
      <w:r/>
      <w:bookmarkStart w:id="845" w:name="_Hlt520355938"/>
      <w:r/>
      <w:bookmarkEnd w:id="845"/>
      <w:r/>
      <w:bookmarkStart w:id="846" w:name="_Hlt520356243"/>
      <w:r/>
      <w:bookmarkEnd w:id="846"/>
      <w:r>
        <w:rPr>
          <w:rFonts w:ascii="宋体" w:hAnsi="宋体"/>
          <w:color w:val="auto"/>
          <w:sz w:val="24"/>
          <w:highlight w:val="none"/>
        </w:rPr>
        <w:br w:type="page" w:clear="all"/>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2法定代表人资格证明书</w:t>
      </w:r>
      <w:r>
        <w:rPr>
          <w:rFonts w:ascii="宋体" w:hAnsi="宋体"/>
          <w:b/>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4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3授权委托书（实质性格式）</w:t>
      </w:r>
      <w:r/>
    </w:p>
    <w:p>
      <w:pPr>
        <w:jc w:val="center"/>
        <w:rPr>
          <w:rFonts w:ascii="宋体" w:hAnsi="宋体"/>
          <w:b/>
          <w:color w:val="auto"/>
          <w:sz w:val="32"/>
          <w:szCs w:val="32"/>
          <w:highlight w:val="none"/>
        </w:rPr>
      </w:pPr>
      <w:r>
        <w:rPr>
          <w:rFonts w:ascii="宋体" w:hAnsi="宋体"/>
          <w:b/>
          <w:color w:val="auto"/>
          <w:sz w:val="32"/>
          <w:szCs w:val="32"/>
          <w:highlight w:val="none"/>
        </w:rPr>
      </w:r>
      <w:r/>
    </w:p>
    <w:p>
      <w:pPr>
        <w:pStyle w:val="1438"/>
        <w:jc w:val="center"/>
        <w:spacing w:line="480" w:lineRule="auto"/>
        <w:rPr>
          <w:rFonts w:cs="宋体"/>
          <w:color w:val="auto"/>
          <w:sz w:val="24"/>
          <w:highlight w:val="none"/>
        </w:rPr>
      </w:pPr>
      <w:r>
        <w:rPr>
          <w:rFonts w:hint="eastAsia"/>
          <w:b/>
          <w:color w:val="auto"/>
          <w:sz w:val="36"/>
          <w:szCs w:val="36"/>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364"/>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1049"/>
        <w:ind w:right="-46"/>
        <w:spacing w:line="583" w:lineRule="auto"/>
        <w:rPr>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10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pStyle w:val="1049"/>
        <w:ind w:right="-46"/>
        <w:spacing w:line="583" w:lineRule="auto"/>
        <w:rPr>
          <w:b/>
          <w:bCs/>
          <w:color w:val="auto"/>
          <w:highlight w:val="none"/>
        </w:rPr>
      </w:pPr>
      <w:r>
        <w:rPr>
          <w:rFonts w:hint="eastAsia"/>
          <w:b/>
          <w:bCs/>
          <w:color w:val="auto"/>
          <w:highlight w:val="none"/>
        </w:rPr>
        <w:t xml:space="preserve">投标人近三个月内任意一个月（自开标之日往前推）为其缴纳社保的记录</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1.法定代表人参加投标时，不需要提供本授权委托书，需投标本人身份证。</w:t>
      </w:r>
      <w:r/>
    </w:p>
    <w:p>
      <w:pPr>
        <w:pStyle w:val="1438"/>
        <w:spacing w:line="360" w:lineRule="exact"/>
        <w:rPr>
          <w:rFonts w:cs="宋体"/>
          <w:color w:val="auto"/>
          <w:sz w:val="21"/>
          <w:szCs w:val="21"/>
          <w:highlight w:val="none"/>
        </w:rPr>
      </w:pPr>
      <w:r>
        <w:rPr>
          <w:rFonts w:hint="eastAsia" w:cs="宋体"/>
          <w:color w:val="auto"/>
          <w:sz w:val="21"/>
          <w:szCs w:val="21"/>
          <w:highlight w:val="none"/>
        </w:rPr>
        <w:t xml:space="preserve">2.投标人为自然人的情形，可不提供本《授权委托书》。</w:t>
      </w:r>
      <w:r/>
    </w:p>
    <w:p>
      <w:pPr>
        <w:jc w:val="left"/>
        <w:widowControl/>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b/>
          <w:color w:val="auto"/>
          <w:sz w:val="24"/>
          <w:highlight w:val="none"/>
        </w:rPr>
        <w:outlineLvl w:val="2"/>
      </w:pPr>
      <w:r>
        <w:rPr>
          <w:rFonts w:ascii="宋体" w:hAnsi="宋体"/>
          <w:b/>
          <w:color w:val="auto"/>
          <w:sz w:val="24"/>
          <w:highlight w:val="none"/>
        </w:rPr>
        <w:br w:type="page" w:clear="all"/>
      </w:r>
      <w:r>
        <w:rPr>
          <w:rFonts w:hint="eastAsia" w:ascii="宋体" w:hAnsi="宋体"/>
          <w:b/>
          <w:color w:val="auto"/>
          <w:sz w:val="24"/>
          <w:highlight w:val="none"/>
        </w:rPr>
        <w:t xml:space="preserve">4  政府采购供应商信用承诺书</w:t>
      </w:r>
      <w:r>
        <w:rPr>
          <w:rFonts w:ascii="宋体" w:hAnsi="宋体"/>
          <w:b/>
          <w:color w:val="auto"/>
          <w:sz w:val="24"/>
          <w:highlight w:val="none"/>
        </w:rPr>
        <w:t xml:space="preserve">（实质性格式）</w:t>
      </w:r>
      <w:r/>
    </w:p>
    <w:p>
      <w:pPr>
        <w:ind w:firstLine="321"/>
        <w:jc w:val="center"/>
        <w:spacing w:line="560" w:lineRule="exact"/>
        <w:rPr>
          <w:rFonts w:ascii="宋体" w:hAnsi="宋体"/>
          <w:b/>
          <w:color w:val="auto"/>
          <w:sz w:val="32"/>
          <w:szCs w:val="32"/>
          <w:highlight w:val="none"/>
        </w:rPr>
      </w:pPr>
      <w:r>
        <w:rPr>
          <w:rFonts w:ascii="宋体" w:hAnsi="宋体"/>
          <w:b/>
          <w:color w:val="auto"/>
          <w:sz w:val="32"/>
          <w:szCs w:val="32"/>
          <w:highlight w:val="none"/>
        </w:rPr>
      </w:r>
      <w:r/>
    </w:p>
    <w:p>
      <w:pPr>
        <w:ind w:firstLine="321"/>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政府采购供应商信用承诺书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433"/>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47" w:name="_Hlt520343000"/>
      <w:r/>
      <w:bookmarkEnd w:id="847"/>
      <w:r/>
      <w:bookmarkStart w:id="848" w:name="_Hlt520274393"/>
      <w:r/>
      <w:bookmarkEnd w:id="848"/>
      <w:r/>
      <w:bookmarkStart w:id="849" w:name="_Hlt520343392"/>
      <w:r/>
      <w:bookmarkEnd w:id="849"/>
      <w:r/>
      <w:bookmarkStart w:id="850" w:name="_Hlt520274407"/>
      <w:r/>
      <w:bookmarkEnd w:id="850"/>
      <w:r/>
      <w:bookmarkStart w:id="851" w:name="_Hlt520274121"/>
      <w:r/>
      <w:bookmarkEnd w:id="851"/>
      <w:r/>
      <w:bookmarkStart w:id="852" w:name="_Hlt520274065"/>
      <w:r/>
      <w:bookmarkEnd w:id="852"/>
      <w:r/>
      <w:bookmarkStart w:id="853" w:name="_Hlt520271212"/>
      <w:r/>
      <w:bookmarkEnd w:id="853"/>
      <w:r/>
      <w:bookmarkStart w:id="854" w:name="_Hlt520350918"/>
      <w:r/>
      <w:bookmarkEnd w:id="854"/>
      <w:r/>
      <w:bookmarkStart w:id="855" w:name="_Hlt520355504"/>
      <w:r/>
      <w:bookmarkEnd w:id="855"/>
      <w:r/>
      <w:bookmarkStart w:id="856" w:name="_Hlt520273711"/>
      <w:r/>
      <w:bookmarkEnd w:id="856"/>
      <w:r/>
      <w:bookmarkStart w:id="857" w:name="_Toc226337253"/>
      <w:r/>
      <w:bookmarkStart w:id="858" w:name="_Toc265228395"/>
      <w:r/>
      <w:bookmarkStart w:id="859" w:name="_Ref467988705"/>
      <w:r/>
      <w:bookmarkStart w:id="860" w:name="_Toc150774762"/>
      <w:r/>
      <w:bookmarkStart w:id="861" w:name="_Toc480942350"/>
      <w:r/>
      <w:bookmarkStart w:id="862" w:name="_Toc226309801"/>
      <w:r/>
      <w:bookmarkStart w:id="863" w:name="_Toc305158825"/>
      <w:r/>
      <w:bookmarkStart w:id="864" w:name="_Toc520356218"/>
      <w:r/>
      <w:bookmarkStart w:id="865" w:name="_Toc226965747"/>
      <w:r/>
      <w:bookmarkStart w:id="866" w:name="_Toc150480795"/>
      <w:r/>
      <w:bookmarkStart w:id="867" w:name="_Toc127151557"/>
      <w:r/>
      <w:bookmarkStart w:id="868" w:name="_Toc305158899"/>
      <w:r/>
      <w:bookmarkStart w:id="869" w:name="_Toc226965830"/>
      <w:r/>
      <w:bookmarkStart w:id="870" w:name="_Toc195842922"/>
      <w:r/>
      <w:bookmarkStart w:id="871" w:name="_Toc264969247"/>
      <w:r/>
      <w:bookmarkStart w:id="872" w:name="_Toc142311059"/>
      <w:r>
        <w:rPr>
          <w:rFonts w:ascii="宋体" w:hAnsi="宋体"/>
          <w:color w:val="auto"/>
          <w:sz w:val="24"/>
          <w:szCs w:val="20"/>
          <w:highlight w:val="none"/>
        </w:rPr>
        <w:br w:type="page" w:clear="all"/>
      </w:r>
      <w:r>
        <w:rPr>
          <w:rFonts w:hint="eastAsia" w:ascii="宋体" w:hAnsi="宋体"/>
          <w:b/>
          <w:color w:val="auto"/>
          <w:sz w:val="24"/>
          <w:highlight w:val="none"/>
        </w:rPr>
        <w:t xml:space="preserve">5</w:t>
      </w:r>
      <w:r>
        <w:rPr>
          <w:rFonts w:ascii="宋体" w:hAnsi="宋体"/>
          <w:b/>
          <w:color w:val="auto"/>
          <w:sz w:val="24"/>
          <w:highlight w:val="none"/>
        </w:rPr>
        <w:t xml:space="preserve">  开标一览表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rFonts w:ascii="宋体" w:hAnsi="宋体"/>
          <w:b/>
          <w:color w:val="auto"/>
          <w:sz w:val="24"/>
          <w:highlight w:val="none"/>
        </w:rPr>
        <w:t xml:space="preserve">（实质性格式）</w:t>
      </w:r>
      <w:r/>
    </w:p>
    <w:p>
      <w:pPr>
        <w:jc w:val="center"/>
        <w:spacing w:line="360" w:lineRule="exact"/>
        <w:rPr>
          <w:rFonts w:ascii="宋体" w:hAnsi="宋体"/>
          <w:b/>
          <w:color w:val="auto"/>
          <w:sz w:val="36"/>
          <w:szCs w:val="36"/>
          <w:highlight w:val="none"/>
        </w:rPr>
      </w:pPr>
      <w:r/>
      <w:bookmarkStart w:id="873" w:name="_Toc226965831"/>
      <w:r/>
      <w:bookmarkStart w:id="874" w:name="_Toc265228396"/>
      <w:r/>
      <w:bookmarkStart w:id="875" w:name="_Toc264969248"/>
      <w:r/>
      <w:bookmarkStart w:id="876" w:name="_Toc305158900"/>
      <w:r/>
      <w:bookmarkStart w:id="877" w:name="_Toc164608672"/>
      <w:r/>
      <w:bookmarkStart w:id="878" w:name="_Toc305158826"/>
      <w:r/>
      <w:bookmarkStart w:id="879" w:name="_Toc226337254"/>
      <w:r/>
      <w:bookmarkStart w:id="880" w:name="_Toc226309802"/>
      <w:r/>
      <w:bookmarkStart w:id="881" w:name="_Toc164608827"/>
      <w:r/>
      <w:bookmarkStart w:id="882" w:name="_Toc195842923"/>
      <w:r/>
      <w:bookmarkStart w:id="883" w:name="_Toc226965748"/>
      <w:r>
        <w:rPr>
          <w:rFonts w:hint="eastAsia" w:ascii="宋体" w:hAnsi="宋体"/>
          <w:b/>
          <w:color w:val="auto"/>
          <w:sz w:val="36"/>
          <w:szCs w:val="36"/>
          <w:highlight w:val="none"/>
        </w:rPr>
        <w:t xml:space="preserve">开标一览表</w:t>
      </w:r>
      <w:bookmarkEnd w:id="873"/>
      <w:r/>
      <w:bookmarkEnd w:id="874"/>
      <w:r/>
      <w:bookmarkEnd w:id="875"/>
      <w:r/>
      <w:bookmarkEnd w:id="876"/>
      <w:r/>
      <w:bookmarkEnd w:id="877"/>
      <w:r/>
      <w:bookmarkEnd w:id="878"/>
      <w:r/>
      <w:bookmarkEnd w:id="879"/>
      <w:r/>
      <w:bookmarkEnd w:id="880"/>
      <w:r/>
      <w:bookmarkEnd w:id="881"/>
      <w:r/>
      <w:bookmarkEnd w:id="882"/>
      <w:r/>
      <w:bookmarkEnd w:id="883"/>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10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10"/>
        <w:gridCol w:w="1989"/>
        <w:gridCol w:w="1984"/>
      </w:tblGrid>
      <w:tr>
        <w:trPr>
          <w:jc w:val="center"/>
          <w:trHeight w:val="531"/>
        </w:trPr>
        <w:tc>
          <w:tcPr>
            <w:tcW w:w="690" w:type="dxa"/>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序号</w:t>
            </w:r>
            <w:r/>
          </w:p>
        </w:tc>
        <w:tc>
          <w:tcPr>
            <w:tcW w:w="3709" w:type="dxa"/>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投标报价</w:t>
            </w:r>
            <w:r/>
          </w:p>
        </w:tc>
      </w:tr>
      <w:tr>
        <w:trPr>
          <w:jc w:val="center"/>
          <w:trHeight w:val="674"/>
        </w:trPr>
        <w:tc>
          <w:tcPr>
            <w:tcW w:w="690" w:type="dxa"/>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3709" w:type="dxa"/>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989" w:type="dxa"/>
            <w:vAlign w:val="center"/>
            <w:textDirection w:val="lrTb"/>
            <w:noWrap w:val="false"/>
          </w:tcPr>
          <w:p>
            <w:pPr>
              <w:jc w:val="center"/>
              <w:tabs>
                <w:tab w:val="left" w:pos="5580" w:leader="none"/>
              </w:tabs>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小写</w:t>
            </w:r>
            <w:r/>
          </w:p>
        </w:tc>
        <w:tc>
          <w:tcPr>
            <w:tcW w:w="1984" w:type="dxa"/>
            <w:vAlign w:val="center"/>
            <w:textDirection w:val="lrTb"/>
            <w:noWrap w:val="false"/>
          </w:tcPr>
          <w:p>
            <w:pPr>
              <w:jc w:val="center"/>
              <w:tabs>
                <w:tab w:val="left" w:pos="5580" w:leader="none"/>
              </w:tabs>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大写</w:t>
            </w:r>
            <w:r/>
          </w:p>
        </w:tc>
      </w:tr>
      <w:tr>
        <w:trPr>
          <w:jc w:val="center"/>
          <w:trHeight w:val="976"/>
        </w:trPr>
        <w:tc>
          <w:tcPr>
            <w:tcW w:w="690"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3709"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989"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984"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w:t>
      </w:r>
      <w:r>
        <w:rPr>
          <w:rFonts w:hint="eastAsia" w:ascii="宋体" w:hAnsi="宋体"/>
          <w:color w:val="auto"/>
          <w:sz w:val="24"/>
          <w:szCs w:val="20"/>
          <w:highlight w:val="none"/>
        </w:rPr>
        <w:t xml:space="preserve">与</w:t>
      </w:r>
      <w:r>
        <w:rPr>
          <w:rFonts w:ascii="宋体" w:hAnsi="宋体"/>
          <w:color w:val="auto"/>
          <w:sz w:val="24"/>
          <w:szCs w:val="20"/>
          <w:highlight w:val="none"/>
        </w:rPr>
        <w:t xml:space="preserve">《投标分项报价表》</w:t>
      </w:r>
      <w:r>
        <w:rPr>
          <w:rFonts w:hint="eastAsia" w:ascii="宋体" w:hAnsi="宋体"/>
          <w:color w:val="auto"/>
          <w:sz w:val="24"/>
          <w:szCs w:val="20"/>
          <w:highlight w:val="none"/>
        </w:rPr>
        <w:t xml:space="preserve">的总和</w:t>
      </w:r>
      <w:r>
        <w:rPr>
          <w:rFonts w:ascii="宋体" w:hAnsi="宋体"/>
          <w:color w:val="auto"/>
          <w:sz w:val="24"/>
          <w:szCs w:val="20"/>
          <w:highlight w:val="none"/>
        </w:rPr>
        <w:t xml:space="preserve">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84" w:name="_Toc226965749"/>
      <w:r/>
      <w:bookmarkStart w:id="885" w:name="_Toc305158901"/>
      <w:r/>
      <w:bookmarkStart w:id="886" w:name="_Toc305158827"/>
      <w:r/>
      <w:bookmarkStart w:id="887" w:name="_Toc226337255"/>
      <w:r/>
      <w:bookmarkStart w:id="888" w:name="_Toc150774763"/>
      <w:r/>
      <w:bookmarkStart w:id="889" w:name="_Toc226965832"/>
      <w:r/>
      <w:bookmarkStart w:id="890" w:name="_Toc264969249"/>
      <w:r/>
      <w:bookmarkStart w:id="891" w:name="_Toc226309803"/>
      <w:r/>
      <w:bookmarkStart w:id="892" w:name="_Toc195842924"/>
      <w:r/>
      <w:bookmarkStart w:id="893" w:name="_Toc142311060"/>
      <w:r/>
      <w:bookmarkStart w:id="894" w:name="_Toc265228397"/>
      <w:r/>
      <w:bookmarkStart w:id="895" w:name="_Toc150480796"/>
      <w:r/>
      <w:bookmarkStart w:id="896" w:name="_Toc127151558"/>
      <w:r>
        <w:rPr>
          <w:rFonts w:ascii="宋体" w:hAnsi="宋体"/>
          <w:color w:val="auto"/>
          <w:sz w:val="24"/>
          <w:szCs w:val="20"/>
          <w:highlight w:val="none"/>
        </w:rPr>
        <w:br w:type="page" w:clear="all"/>
      </w:r>
      <w:r>
        <w:rPr>
          <w:rFonts w:hint="eastAsia" w:ascii="宋体" w:hAnsi="宋体"/>
          <w:b/>
          <w:color w:val="auto"/>
          <w:sz w:val="24"/>
          <w:highlight w:val="none"/>
        </w:rPr>
        <w:t xml:space="preserve">6</w:t>
      </w:r>
      <w:r>
        <w:rPr>
          <w:rFonts w:ascii="宋体" w:hAnsi="宋体"/>
          <w:b/>
          <w:color w:val="auto"/>
          <w:sz w:val="24"/>
          <w:highlight w:val="none"/>
        </w:rPr>
        <w:t xml:space="preserve">  投标分项报价表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ascii="宋体" w:hAnsi="宋体"/>
          <w:b/>
          <w:color w:val="auto"/>
          <w:sz w:val="24"/>
          <w:highlight w:val="none"/>
        </w:rPr>
        <w:t xml:space="preserve">（实质性格式）</w:t>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投标分项报价表</w:t>
      </w:r>
      <w:r/>
    </w:p>
    <w:p>
      <w:pPr>
        <w:jc w:val="center"/>
        <w:spacing w:line="260" w:lineRule="exact"/>
        <w:rPr>
          <w:rFonts w:ascii="宋体" w:hAnsi="宋体"/>
          <w:color w:val="auto"/>
          <w:sz w:val="36"/>
          <w:szCs w:val="36"/>
          <w:highlight w:val="none"/>
        </w:rPr>
      </w:pPr>
      <w:r>
        <w:rPr>
          <w:rFonts w:ascii="宋体" w:hAnsi="宋体"/>
          <w:color w:val="auto"/>
          <w:sz w:val="36"/>
          <w:szCs w:val="36"/>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 项目名称：__________报价单位：人民币元</w:t>
      </w:r>
      <w:r/>
    </w:p>
    <w:tbl>
      <w:tblPr>
        <w:tblStyle w:val="10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0"/>
        <w:gridCol w:w="4254"/>
        <w:gridCol w:w="1581"/>
        <w:gridCol w:w="1586"/>
      </w:tblGrid>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一</w:t>
            </w:r>
            <w:r/>
          </w:p>
        </w:tc>
        <w:tc>
          <w:tcPr>
            <w:gridSpan w:val="3"/>
            <w:tcBorders>
              <w:top w:val="single" w:color="auto" w:sz="4" w:space="0"/>
              <w:left w:val="single" w:color="auto" w:sz="4" w:space="0"/>
              <w:bottom w:val="single" w:color="auto" w:sz="4" w:space="0"/>
              <w:right w:val="single" w:color="auto" w:sz="4" w:space="0"/>
            </w:tcBorders>
            <w:tcW w:w="3997" w:type="pct"/>
            <w:vAlign w:val="center"/>
            <w:textDirection w:val="lrTb"/>
            <w:noWrap w:val="false"/>
          </w:tcPr>
          <w:p>
            <w:pPr>
              <w:jc w:val="center"/>
              <w:widowControl/>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 xml:space="preserve">能源托管费</w:t>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托管周期</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pacing w:val="-4"/>
                <w:sz w:val="24"/>
                <w:szCs w:val="24"/>
                <w:highlight w:val="none"/>
              </w:rPr>
              <w:t xml:space="preserve">能源托管</w:t>
            </w:r>
            <w:r>
              <w:rPr>
                <w:rFonts w:hint="eastAsia" w:asciiTheme="minorEastAsia" w:hAnsiTheme="minorEastAsia" w:eastAsiaTheme="minorEastAsia" w:cstheme="minorEastAsia"/>
                <w:color w:val="auto"/>
                <w:spacing w:val="-4"/>
                <w:sz w:val="24"/>
                <w:szCs w:val="24"/>
                <w:highlight w:val="none"/>
                <w:lang w:val="en-US" w:eastAsia="zh-CN"/>
              </w:rPr>
              <w:t xml:space="preserve">费用</w:t>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第一年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第三年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第四年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第五年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第六年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第七年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第八年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第九年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第十年</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3294"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合计</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w:t>
            </w:r>
            <w:r/>
          </w:p>
        </w:tc>
        <w:tc>
          <w:tcPr>
            <w:gridSpan w:val="3"/>
            <w:tcBorders>
              <w:top w:val="single" w:color="auto" w:sz="4" w:space="0"/>
              <w:left w:val="single" w:color="auto" w:sz="4" w:space="0"/>
              <w:bottom w:val="single" w:color="auto" w:sz="4" w:space="0"/>
              <w:right w:val="single" w:color="auto" w:sz="4" w:space="0"/>
            </w:tcBorders>
            <w:tcW w:w="3997"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运维托管费</w:t>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托管周期</w:t>
            </w:r>
            <w:r/>
          </w:p>
        </w:tc>
        <w:tc>
          <w:tcPr>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4"/>
                <w:sz w:val="24"/>
                <w:szCs w:val="24"/>
                <w:highlight w:val="none"/>
                <w:lang w:val="en-US" w:eastAsia="zh-CN"/>
              </w:rPr>
              <w:t xml:space="preserve">单价</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widowControl/>
              <w:rPr>
                <w:rFonts w:hint="eastAsia" w:asciiTheme="minorEastAsia" w:hAnsiTheme="minorEastAsia" w:eastAsiaTheme="minorEastAsia" w:cstheme="minorEastAsia"/>
                <w:color w:val="auto"/>
                <w:spacing w:val="-4"/>
                <w:sz w:val="24"/>
                <w:szCs w:val="24"/>
                <w:highlight w:val="none"/>
                <w:lang w:val="en-US" w:eastAsia="zh-CN"/>
              </w:rPr>
            </w:pPr>
            <w:r>
              <w:rPr>
                <w:rFonts w:hint="eastAsia" w:asciiTheme="minorEastAsia" w:hAnsiTheme="minorEastAsia" w:eastAsiaTheme="minorEastAsia" w:cstheme="minorEastAsia"/>
                <w:color w:val="auto"/>
                <w:spacing w:val="-4"/>
                <w:sz w:val="24"/>
                <w:szCs w:val="24"/>
                <w:highlight w:val="none"/>
                <w:lang w:val="en-US" w:eastAsia="zh-CN"/>
              </w:rPr>
              <w:t xml:space="preserve">总价</w:t>
            </w:r>
            <w:r/>
          </w:p>
        </w:tc>
      </w:tr>
      <w:tr>
        <w:trPr>
          <w:jc w:val="center"/>
          <w:trHeight w:val="255"/>
        </w:trPr>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10年</w:t>
            </w:r>
            <w:r/>
          </w:p>
        </w:tc>
        <w:tc>
          <w:tcPr>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widowControl/>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widowControl/>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3294"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合计</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3294" w:type="pct"/>
            <w:vAlign w:val="center"/>
            <w:textDirection w:val="lrTb"/>
            <w:noWrap w:val="false"/>
          </w:tcPr>
          <w:p>
            <w:pPr>
              <w:jc w:val="center"/>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总计</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jc w:val="center"/>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jc w:val="center"/>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能源托管费合计金额+</w:t>
            </w:r>
            <w:r>
              <w:rPr>
                <w:rFonts w:hint="eastAsia" w:asciiTheme="minorEastAsia" w:hAnsiTheme="minorEastAsia" w:eastAsiaTheme="minorEastAsia" w:cstheme="minorEastAsia"/>
                <w:color w:val="auto"/>
                <w:sz w:val="24"/>
                <w:szCs w:val="24"/>
                <w:highlight w:val="none"/>
              </w:rPr>
              <w:t xml:space="preserve">运维托管费</w:t>
            </w:r>
            <w:r>
              <w:rPr>
                <w:rFonts w:hint="eastAsia" w:asciiTheme="minorEastAsia" w:hAnsiTheme="minorEastAsia" w:eastAsiaTheme="minorEastAsia" w:cstheme="minorEastAsia"/>
                <w:color w:val="auto"/>
                <w:sz w:val="24"/>
                <w:szCs w:val="24"/>
                <w:highlight w:val="none"/>
                <w:lang w:val="en-US" w:eastAsia="zh-CN"/>
              </w:rPr>
              <w:t xml:space="preserve">合计金额</w:t>
            </w:r>
            <w:r>
              <w:rPr>
                <w:rFonts w:hint="eastAsia" w:asciiTheme="minorEastAsia" w:hAnsiTheme="minorEastAsia" w:eastAsiaTheme="minorEastAsia" w:cstheme="minorEastAsia"/>
                <w:color w:val="auto"/>
                <w:sz w:val="24"/>
                <w:szCs w:val="24"/>
                <w:highlight w:val="none"/>
                <w:lang w:eastAsia="zh-CN"/>
              </w:rPr>
              <w:t xml:space="preserve">）</w:t>
            </w:r>
            <w:r/>
          </w:p>
        </w:tc>
      </w:tr>
      <w:tr>
        <w:trPr>
          <w:jc w:val="center"/>
          <w:trHeight w:val="568"/>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eastAsia="zh-CN"/>
              </w:rPr>
            </w:pPr>
            <w:r>
              <w:rPr>
                <w:rFonts w:hint="eastAsia" w:ascii="宋体" w:hAnsi="宋体" w:cs="Arial"/>
                <w:color w:val="auto"/>
                <w:sz w:val="24"/>
                <w:highlight w:val="none"/>
              </w:rPr>
              <w:t xml:space="preserve">本采购包中提供的符合本国产品标准的产品成本之和占该采购包提供的全部产品成本之和的比例为***%。</w:t>
            </w:r>
            <w:r/>
          </w:p>
        </w:tc>
      </w:tr>
    </w:tbl>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上述各项的详细规格</w:t>
      </w:r>
      <w:r>
        <w:rPr>
          <w:rFonts w:hint="eastAsia" w:ascii="宋体" w:hAnsi="宋体"/>
          <w:color w:val="auto"/>
          <w:sz w:val="24"/>
          <w:highlight w:val="none"/>
        </w:rPr>
        <w:t xml:space="preserve">、技术参数如表格中填写不下的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rPr>
          <w:rFonts w:ascii="宋体" w:hAnsi="宋体"/>
          <w:color w:val="auto"/>
          <w:sz w:val="24"/>
          <w:highlight w:val="none"/>
          <w:lang w:val="zh-CN"/>
        </w:rPr>
      </w:pPr>
      <w:r>
        <w:rPr>
          <w:rFonts w:hint="eastAsia" w:ascii="宋体" w:hAnsi="宋体"/>
          <w:color w:val="auto"/>
          <w:sz w:val="24"/>
          <w:highlight w:val="none"/>
        </w:rPr>
        <w:t xml:space="preserve">5.</w:t>
      </w:r>
      <w:r>
        <w:rPr>
          <w:rFonts w:hint="eastAsia" w:ascii="宋体" w:hAnsi="宋体"/>
          <w:color w:val="auto"/>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jc w:val="left"/>
        <w:rPr>
          <w:rFonts w:ascii="宋体" w:hAnsi="宋体"/>
          <w:b/>
          <w:i/>
          <w:color w:val="auto"/>
          <w:sz w:val="24"/>
          <w:highlight w:val="none"/>
        </w:rPr>
      </w:pPr>
      <w:r>
        <w:rPr>
          <w:rFonts w:ascii="宋体" w:hAnsi="宋体"/>
          <w:b/>
          <w:i/>
          <w:color w:val="auto"/>
          <w:sz w:val="24"/>
          <w:highlight w:val="none"/>
        </w:rPr>
      </w:r>
      <w:r/>
    </w:p>
    <w:p>
      <w:pPr>
        <w:spacing w:line="360" w:lineRule="auto"/>
        <w:rPr>
          <w:rFonts w:ascii="宋体" w:hAnsi="宋体"/>
          <w:b/>
          <w:color w:val="auto"/>
          <w:sz w:val="24"/>
          <w:szCs w:val="20"/>
          <w:highlight w:val="none"/>
        </w:rPr>
        <w:outlineLvl w:val="2"/>
      </w:pPr>
      <w:r/>
      <w:bookmarkStart w:id="897" w:name="_Toc150774765"/>
      <w:r/>
      <w:bookmarkStart w:id="898" w:name="_Toc264969252"/>
      <w:r/>
      <w:bookmarkStart w:id="899" w:name="_Toc305158904"/>
      <w:r/>
      <w:bookmarkStart w:id="900" w:name="_Toc226337258"/>
      <w:r/>
      <w:bookmarkStart w:id="901" w:name="_Toc195842927"/>
      <w:r/>
      <w:bookmarkStart w:id="902" w:name="_Toc226965835"/>
      <w:r/>
      <w:bookmarkStart w:id="903" w:name="_Toc150480798"/>
      <w:r/>
      <w:bookmarkStart w:id="904" w:name="_Toc127151562"/>
      <w:r/>
      <w:bookmarkStart w:id="905" w:name="_Toc265228400"/>
      <w:r/>
      <w:bookmarkStart w:id="906" w:name="_Toc226309806"/>
      <w:r/>
      <w:bookmarkStart w:id="907" w:name="_Toc226965752"/>
      <w:r/>
      <w:bookmarkStart w:id="908" w:name="_Toc142311062"/>
      <w:r/>
      <w:bookmarkStart w:id="909" w:name="_Toc305158830"/>
      <w:r/>
      <w:bookmarkStart w:id="910" w:name="_Toc226965834"/>
      <w:r/>
      <w:bookmarkStart w:id="911" w:name="_Toc226965751"/>
      <w:r/>
      <w:bookmarkStart w:id="912" w:name="_Toc305158829"/>
      <w:r/>
      <w:bookmarkStart w:id="913" w:name="_Toc305158903"/>
      <w:r/>
      <w:bookmarkStart w:id="914" w:name="_Toc142311061"/>
      <w:r/>
      <w:bookmarkStart w:id="915" w:name="_Toc150480797"/>
      <w:r/>
      <w:bookmarkStart w:id="916" w:name="_Toc226337257"/>
      <w:r/>
      <w:bookmarkStart w:id="917" w:name="_Toc226309805"/>
      <w:r/>
      <w:bookmarkStart w:id="918" w:name="_Toc264969251"/>
      <w:r/>
      <w:bookmarkStart w:id="919" w:name="_Toc150774764"/>
      <w:r/>
      <w:bookmarkStart w:id="920" w:name="_Toc127151561"/>
      <w:r/>
      <w:bookmarkStart w:id="921" w:name="_Toc195842926"/>
      <w:r/>
      <w:bookmarkStart w:id="922" w:name="_Toc265228399"/>
      <w:r>
        <w:rPr>
          <w:rFonts w:ascii="宋体" w:hAnsi="宋体"/>
          <w:color w:val="auto"/>
          <w:sz w:val="24"/>
          <w:szCs w:val="20"/>
          <w:highlight w:val="none"/>
        </w:rPr>
        <w:br w:type="page" w:clear="all"/>
      </w:r>
      <w:r>
        <w:rPr>
          <w:rFonts w:hint="eastAsia" w:ascii="宋体" w:hAnsi="宋体"/>
          <w:b/>
          <w:color w:val="auto"/>
          <w:sz w:val="24"/>
          <w:highlight w:val="none"/>
        </w:rPr>
        <w:t xml:space="preserve">7</w:t>
      </w:r>
      <w:r>
        <w:rPr>
          <w:rFonts w:ascii="宋体" w:hAnsi="宋体"/>
          <w:b/>
          <w:color w:val="auto"/>
          <w:sz w:val="24"/>
          <w:highlight w:val="none"/>
        </w:rPr>
        <w:t xml:space="preserve">  合同条款偏离表</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ascii="宋体" w:hAnsi="宋体"/>
          <w:b/>
          <w:color w:val="auto"/>
          <w:sz w:val="24"/>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w:t>
      </w:r>
      <w:r/>
    </w:p>
    <w:tbl>
      <w:tblPr>
        <w:tblStyle w:val="10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290"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1980"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198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9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9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9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29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2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填写“正偏离”或“负偏离”或“无偏离”。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8</w:t>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rFonts w:ascii="宋体" w:hAnsi="宋体"/>
          <w:b/>
          <w:color w:val="auto"/>
          <w:sz w:val="24"/>
          <w:szCs w:val="20"/>
          <w:highlight w:val="none"/>
        </w:rPr>
        <w:t xml:space="preserve">采购需求偏离表（实质性格式）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10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项目采购需求</w:t>
            </w:r>
            <w:r>
              <w:rPr>
                <w:rFonts w:ascii="宋体" w:hAnsi="宋体"/>
                <w:b/>
                <w:color w:val="auto"/>
                <w:sz w:val="24"/>
                <w:highlight w:val="none"/>
              </w:rPr>
              <w:t xml:space="preserve">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填写“正偏离”或“负偏离”或“无偏离”。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  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087"/>
          <w:rFonts w:ascii="宋体" w:hAnsi="宋体"/>
          <w:color w:val="auto"/>
          <w:sz w:val="24"/>
          <w:highlight w:val="none"/>
        </w:rPr>
        <w:t xml:space="preserve">http://202.106.120.146/baosong/appweb/orgScale.html</w:t>
      </w:r>
      <w:r>
        <w:rPr>
          <w:rStyle w:val="1087"/>
          <w:rFonts w:ascii="宋体" w:hAnsi="宋体"/>
          <w:color w:val="auto"/>
          <w:sz w:val="24"/>
          <w:highlight w:val="none"/>
        </w:rPr>
        <w:fldChar w:fldCharType="end"/>
      </w:r>
      <w:r>
        <w:rPr>
          <w:rFonts w:hint="eastAsia" w:ascii="宋体" w:hAnsi="宋体"/>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rFonts w:ascii="宋体" w:hAnsi="宋体"/>
          <w:b/>
          <w:bCs/>
          <w:color w:val="auto"/>
          <w:sz w:val="24"/>
          <w:highlight w:val="none"/>
        </w:rPr>
      </w:pPr>
      <w:r>
        <w:rPr>
          <w:rFonts w:ascii="宋体" w:hAnsi="宋体"/>
          <w:b/>
          <w:bCs/>
          <w:color w:val="auto"/>
          <w:sz w:val="24"/>
          <w:highlight w:val="none"/>
        </w:rPr>
        <w:br w:type="page" w:clear="all"/>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中小企业声明函（服务）格式</w:t>
      </w:r>
      <w:r/>
    </w:p>
    <w:p>
      <w:pPr>
        <w:ind w:left="220" w:right="415" w:firstLine="64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i/>
          <w:color w:val="auto"/>
          <w:sz w:val="24"/>
          <w:highlight w:val="none"/>
          <w:u w:val="single"/>
        </w:rPr>
        <w:t xml:space="preserve">（单位名称）</w:t>
      </w:r>
      <w:r>
        <w:rPr>
          <w:rFonts w:ascii="宋体" w:hAnsi="宋体"/>
          <w:color w:val="auto"/>
          <w:sz w:val="24"/>
          <w:highlight w:val="none"/>
        </w:rPr>
        <w:t xml:space="preserve">的</w:t>
      </w:r>
      <w:r>
        <w:rPr>
          <w:rFonts w:ascii="宋体" w:hAnsi="宋体"/>
          <w:i/>
          <w:color w:val="auto"/>
          <w:sz w:val="24"/>
          <w:highlight w:val="none"/>
          <w:u w:val="single"/>
        </w:rPr>
        <w:t xml:space="preserve">（项目名称）</w:t>
      </w:r>
      <w:r>
        <w:rPr>
          <w:rFonts w:ascii="宋体" w:hAnsi="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2"/>
        </w:numPr>
        <w:ind w:left="284" w:right="236" w:firstLine="576"/>
        <w:jc w:val="left"/>
        <w:spacing w:line="360" w:lineRule="auto"/>
        <w:tabs>
          <w:tab w:val="left" w:pos="1276" w:leader="none"/>
          <w:tab w:val="left" w:pos="5005" w:leader="none"/>
          <w:tab w:val="left" w:pos="7227"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ascii="宋体" w:hAnsi="宋体"/>
          <w:i/>
          <w:color w:val="auto"/>
          <w:sz w:val="24"/>
          <w:highlight w:val="none"/>
          <w:u w:val="single"/>
        </w:rPr>
        <w:t xml:space="preserve">采购文件中明确的所属行业）</w:t>
      </w:r>
      <w:r>
        <w:rPr>
          <w:rFonts w:ascii="宋体" w:hAnsi="宋体"/>
          <w:color w:val="auto"/>
          <w:sz w:val="24"/>
          <w:highlight w:val="none"/>
        </w:rPr>
        <w:t xml:space="preserve">；承建（承接）企业为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ascii="宋体" w:hAnsi="宋体"/>
          <w:color w:val="auto"/>
          <w:position w:val="16"/>
          <w:sz w:val="24"/>
          <w:highlight w:val="none"/>
        </w:rPr>
        <w:t xml:space="preserve">1</w:t>
      </w:r>
      <w:r>
        <w:rPr>
          <w:rFonts w:ascii="宋体" w:hAnsi="宋体"/>
          <w:color w:val="auto"/>
          <w:position w:val="16"/>
          <w:sz w:val="24"/>
          <w:highlight w:val="none"/>
        </w:rPr>
        <w:fldChar w:fldCharType="end"/>
      </w:r>
      <w:r>
        <w:rPr>
          <w:rFonts w:ascii="宋体" w:hAnsi="宋体"/>
          <w:color w:val="auto"/>
          <w:sz w:val="24"/>
          <w:highlight w:val="none"/>
        </w:rPr>
        <w:t xml:space="preserve">，属于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numPr>
          <w:ilvl w:val="0"/>
          <w:numId w:val="12"/>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ascii="宋体" w:hAnsi="宋体"/>
          <w:i/>
          <w:color w:val="auto"/>
          <w:sz w:val="24"/>
          <w:highlight w:val="none"/>
          <w:u w:val="single"/>
        </w:rPr>
        <w:t xml:space="preserve">采购文件中明确的所属行业）</w:t>
      </w:r>
      <w:r>
        <w:rPr>
          <w:rFonts w:ascii="宋体" w:hAnsi="宋体"/>
          <w:color w:val="auto"/>
          <w:sz w:val="24"/>
          <w:highlight w:val="none"/>
        </w:rPr>
        <w:t xml:space="preserve">；承建（承接）企业为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ind w:left="860"/>
        <w:jc w:val="left"/>
        <w:spacing w:line="360" w:lineRule="auto"/>
        <w:rPr>
          <w:rFonts w:ascii="宋体" w:hAnsi="宋体"/>
          <w:color w:val="auto"/>
          <w:sz w:val="24"/>
          <w:highlight w:val="none"/>
        </w:rPr>
      </w:pPr>
      <w:r>
        <w:rPr>
          <w:rFonts w:ascii="宋体" w:hAnsi="宋体"/>
          <w:color w:val="auto"/>
          <w:sz w:val="24"/>
          <w:highlight w:val="none"/>
        </w:rPr>
        <w:t xml:space="preserve">……</w:t>
      </w:r>
      <w:r/>
    </w:p>
    <w:p>
      <w:pPr>
        <w:ind w:left="220" w:right="417" w:firstLine="645"/>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olor w:val="auto"/>
          <w:spacing w:val="6"/>
          <w:sz w:val="24"/>
          <w:highlight w:val="none"/>
        </w:rPr>
      </w:pPr>
      <w:r>
        <w:rPr>
          <w:rFonts w:ascii="宋体" w:hAnsi="宋体"/>
          <w:color w:val="auto"/>
          <w:sz w:val="24"/>
          <w:highlight w:val="none"/>
        </w:rPr>
        <w:t xml:space="preserve">本企业对上述声明内容的真实性负责。如有虚假，将依法承担相应责任。</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企业名称（加盖公章）：________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日 期：________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1"/>
          <w:highlight w:val="none"/>
        </w:rPr>
      </w:pPr>
      <w:r>
        <w:rPr>
          <w:rFonts w:ascii="宋体" w:hAnsi="宋体"/>
          <w:color w:val="auto"/>
          <w:sz w:val="24"/>
          <w:szCs w:val="21"/>
          <w:highlight w:val="none"/>
        </w:rPr>
      </w:r>
      <w:r/>
    </w:p>
    <w:tbl>
      <w:tblPr>
        <w:tblStyle w:val="10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jc w:val="left"/>
        <w:rPr>
          <w:rFonts w:ascii="宋体" w:hAnsi="宋体"/>
          <w:color w:val="auto"/>
          <w:szCs w:val="21"/>
          <w:highlight w:val="none"/>
          <w:vertAlign w:val="superscript"/>
        </w:rPr>
      </w:pPr>
      <w:r>
        <w:rPr>
          <w:rFonts w:ascii="宋体" w:hAnsi="宋体"/>
          <w:color w:val="auto"/>
          <w:szCs w:val="21"/>
          <w:highlight w:val="none"/>
          <w:vertAlign w:val="superscript"/>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36"/>
          <w:szCs w:val="36"/>
          <w:highlight w:val="none"/>
        </w:rPr>
      </w:pPr>
      <w:r>
        <w:rPr>
          <w:rFonts w:ascii="宋体" w:hAnsi="宋体"/>
          <w:b/>
          <w:bCs/>
          <w:color w:val="auto"/>
          <w:sz w:val="36"/>
          <w:szCs w:val="36"/>
          <w:highlight w:val="none"/>
        </w:rPr>
        <w:br w:type="page" w:clear="all"/>
      </w:r>
      <w:r>
        <w:rPr>
          <w:rFonts w:ascii="宋体" w:hAnsi="宋体"/>
          <w:b/>
          <w:bCs/>
          <w:color w:val="auto"/>
          <w:sz w:val="36"/>
          <w:szCs w:val="36"/>
          <w:highlight w:val="none"/>
        </w:rPr>
        <w:t xml:space="preserve">残疾人福利性单位声明函格式</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10  关于符合本国产品标准的声明函</w:t>
      </w:r>
      <w:r>
        <w:rPr>
          <w:rFonts w:hint="eastAsia" w:ascii="方正魏碑_GBK" w:hAnsi="方正魏碑_GBK" w:eastAsia="方正魏碑_GBK" w:cs="方正魏碑_GBK"/>
          <w:b/>
          <w:color w:val="auto"/>
          <w:sz w:val="24"/>
          <w:highlight w:val="none"/>
        </w:rPr>
        <w:t xml:space="preserve">（采购包号：**）</w:t>
      </w:r>
      <w:r/>
    </w:p>
    <w:p>
      <w:pPr>
        <w:pStyle w:val="1074"/>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74"/>
        <w:ind w:firstLine="420"/>
        <w:spacing w:before="0" w:beforeAutospacing="0" w:after="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4"/>
        <w:ind w:firstLine="420"/>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2302510</wp:posOffset>
                </wp:positionH>
                <wp:positionV relativeFrom="paragraph">
                  <wp:posOffset>233680</wp:posOffset>
                </wp:positionV>
                <wp:extent cx="723900" cy="137795"/>
                <wp:effectExtent l="635" t="4445" r="18415" b="10160"/>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723900" cy="1377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2112645</wp:posOffset>
                </wp:positionH>
                <wp:positionV relativeFrom="paragraph">
                  <wp:posOffset>447675</wp:posOffset>
                </wp:positionV>
                <wp:extent cx="816610" cy="147320"/>
                <wp:effectExtent l="635" t="4445" r="1905" b="19685"/>
                <wp:wrapNone/>
                <wp:docPr id="11" name="自选图形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1087755</wp:posOffset>
                </wp:positionH>
                <wp:positionV relativeFrom="paragraph">
                  <wp:posOffset>445770</wp:posOffset>
                </wp:positionV>
                <wp:extent cx="876300" cy="120015"/>
                <wp:effectExtent l="635" t="4445" r="18415" b="8890"/>
                <wp:wrapNone/>
                <wp:docPr id="12"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4589145</wp:posOffset>
                </wp:positionH>
                <wp:positionV relativeFrom="paragraph">
                  <wp:posOffset>252730</wp:posOffset>
                </wp:positionV>
                <wp:extent cx="659765" cy="135890"/>
                <wp:effectExtent l="1270" t="4445" r="5715" b="12065"/>
                <wp:wrapNone/>
                <wp:docPr id="13" name="自选图形 5"/>
                <wp:cNvGraphicFramePr/>
                <a:graphic xmlns:a="http://schemas.openxmlformats.org/drawingml/2006/main">
                  <a:graphicData uri="http://schemas.microsoft.com/office/word/2010/wordprocessingShape">
                    <wps:wsp>
                      <wps:cNvPr id="0" name=""/>
                      <wps:cNvSpPr/>
                      <wps:spPr bwMode="auto">
                        <a:xfrm flipV="1">
                          <a:off x="0" y="0"/>
                          <a:ext cx="659765" cy="1358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3380740</wp:posOffset>
                </wp:positionH>
                <wp:positionV relativeFrom="paragraph">
                  <wp:posOffset>278765</wp:posOffset>
                </wp:positionV>
                <wp:extent cx="816610" cy="103505"/>
                <wp:effectExtent l="635" t="4445" r="1905" b="6350"/>
                <wp:wrapNone/>
                <wp:docPr id="14" name="自选图形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62230</wp:posOffset>
                </wp:positionV>
                <wp:extent cx="602615" cy="116840"/>
                <wp:effectExtent l="635" t="4445" r="6350" b="12065"/>
                <wp:wrapNone/>
                <wp:docPr id="15" name="自选图形 7"/>
                <wp:cNvGraphicFramePr/>
                <a:graphic xmlns:a="http://schemas.openxmlformats.org/drawingml/2006/main">
                  <a:graphicData uri="http://schemas.microsoft.com/office/word/2010/wordprocessingShape">
                    <wps:wsp>
                      <wps:cNvPr id="0" name=""/>
                      <wps:cNvSpPr/>
                      <wps:spPr bwMode="auto">
                        <a:xfrm flipV="1">
                          <a:off x="0" y="0"/>
                          <a:ext cx="602615" cy="11684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086"/>
          <w:rFonts w:hint="eastAsia" w:ascii="方正魏碑_GBK" w:hAnsi="方正魏碑_GBK" w:eastAsia="方正魏碑_GBK" w:cs="方正魏碑_GBK"/>
          <w:color w:val="auto"/>
          <w:highlight w:val="none"/>
          <w:u w:val="single"/>
          <w:shd w:val="clear" w:color="auto" w:fill="ffffff"/>
        </w:rPr>
        <w:t xml:space="preserve">（产品名称1）</w:t>
      </w:r>
      <w:r>
        <w:rPr>
          <w:rStyle w:val="1086"/>
          <w:rFonts w:hint="eastAsia" w:ascii="方正魏碑_GBK" w:hAnsi="方正魏碑_GBK" w:eastAsia="方正魏碑_GBK" w:cs="方正魏碑_GBK"/>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086"/>
          <w:rFonts w:hint="eastAsia" w:ascii="方正魏碑_GBK" w:hAnsi="方正魏碑_GBK" w:eastAsia="方正魏碑_GBK" w:cs="方正魏碑_GBK"/>
          <w:color w:val="auto"/>
          <w:highlight w:val="none"/>
          <w:u w:val="single"/>
          <w:shd w:val="clear" w:color="auto" w:fill="ffffff"/>
        </w:rPr>
        <w:t xml:space="preserve">（厂名）</w:t>
      </w:r>
      <w:r>
        <w:rPr>
          <w:rStyle w:val="1086"/>
          <w:rFonts w:hint="eastAsia" w:ascii="方正魏碑_GBK" w:hAnsi="方正魏碑_GBK" w:eastAsia="方正魏碑_GBK" w:cs="方正魏碑_GBK"/>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086"/>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086"/>
          <w:rFonts w:hint="eastAsia" w:ascii="方正魏碑_GBK" w:hAnsi="方正魏碑_GBK" w:eastAsia="方正魏碑_GBK" w:cs="方正魏碑_GBK"/>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86"/>
          <w:rFonts w:hint="eastAsia" w:ascii="方正魏碑_GBK" w:hAnsi="方正魏碑_GBK" w:eastAsia="方正魏碑_GBK" w:cs="方正魏碑_GBK"/>
          <w:color w:val="auto"/>
          <w:highlight w:val="none"/>
          <w:u w:val="single"/>
          <w:shd w:val="clear" w:color="auto" w:fill="ffffff"/>
        </w:rPr>
        <w:t xml:space="preserve">（规定</w:t>
      </w:r>
      <w:r>
        <w:rPr>
          <w:rStyle w:val="1086"/>
          <w:rFonts w:ascii="方正魏碑_GBK" w:hAnsi="方正魏碑_GBK" w:eastAsia="方正魏碑_GBK" w:cs="方正魏碑_GBK"/>
          <w:color w:val="auto"/>
          <w:highlight w:val="none"/>
          <w:u w:val="single"/>
          <w:shd w:val="clear" w:color="auto" w:fill="ffffff"/>
        </w:rPr>
        <w:t xml:space="preserve">比例</w:t>
      </w:r>
      <w:r>
        <w:rPr>
          <w:rStyle w:val="1086"/>
          <w:rFonts w:hint="eastAsia" w:ascii="方正魏碑_GBK" w:hAnsi="方正魏碑_GBK" w:eastAsia="方正魏碑_GBK" w:cs="方正魏碑_GBK"/>
          <w:color w:val="auto"/>
          <w:highlight w:val="none"/>
          <w:u w:val="single"/>
          <w:shd w:val="clear" w:color="auto" w:fill="ffffff"/>
        </w:rPr>
        <w:t xml:space="preserve">）</w:t>
      </w:r>
      <w:r>
        <w:rPr>
          <w:rStyle w:val="1086"/>
          <w:rFonts w:hint="eastAsia" w:ascii="方正魏碑_GBK" w:hAnsi="方正魏碑_GBK" w:eastAsia="方正魏碑_GBK" w:cs="方正魏碑_GBK"/>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086"/>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86"/>
          <w:rFonts w:hint="eastAsia" w:ascii="方正魏碑_GBK" w:hAnsi="方正魏碑_GBK" w:eastAsia="方正魏碑_GBK" w:cs="方正魏碑_GBK"/>
          <w:color w:val="auto"/>
          <w:highlight w:val="none"/>
          <w:u w:val="single"/>
          <w:shd w:val="clear" w:color="auto" w:fill="ffffff"/>
        </w:rPr>
        <w:t xml:space="preserve">（关键</w:t>
      </w:r>
      <w:r>
        <w:rPr>
          <w:rStyle w:val="1086"/>
          <w:rFonts w:ascii="方正魏碑_GBK" w:hAnsi="方正魏碑_GBK" w:eastAsia="方正魏碑_GBK" w:cs="方正魏碑_GBK"/>
          <w:color w:val="auto"/>
          <w:highlight w:val="none"/>
          <w:u w:val="single"/>
          <w:shd w:val="clear" w:color="auto" w:fill="ffffff"/>
        </w:rPr>
        <w:t xml:space="preserve">组件</w:t>
      </w:r>
      <w:r>
        <w:rPr>
          <w:rStyle w:val="1086"/>
          <w:rFonts w:hint="eastAsia" w:ascii="方正魏碑_GBK" w:hAnsi="方正魏碑_GBK" w:eastAsia="方正魏碑_GBK" w:cs="方正魏碑_GBK"/>
          <w:color w:val="auto"/>
          <w:highlight w:val="none"/>
          <w:u w:val="single"/>
          <w:shd w:val="clear" w:color="auto" w:fill="ffffff"/>
        </w:rPr>
        <w:t xml:space="preserve">）</w:t>
      </w:r>
      <w:r>
        <w:rPr>
          <w:rStyle w:val="1086"/>
          <w:rFonts w:hint="eastAsia" w:ascii="方正魏碑_GBK" w:hAnsi="方正魏碑_GBK" w:eastAsia="方正魏碑_GBK" w:cs="方正魏碑_GBK"/>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086"/>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86"/>
          <w:rFonts w:hint="eastAsia" w:ascii="方正魏碑_GBK" w:hAnsi="方正魏碑_GBK" w:eastAsia="方正魏碑_GBK" w:cs="方正魏碑_GBK"/>
          <w:color w:val="auto"/>
          <w:highlight w:val="none"/>
          <w:u w:val="single"/>
          <w:shd w:val="clear" w:color="auto" w:fill="ffffff"/>
        </w:rPr>
        <w:t xml:space="preserve">（关键工序）</w:t>
      </w:r>
      <w:r>
        <w:rPr>
          <w:rStyle w:val="1086"/>
          <w:rFonts w:hint="eastAsia" w:ascii="方正魏碑_GBK" w:hAnsi="方正魏碑_GBK" w:eastAsia="方正魏碑_GBK" w:cs="方正魏碑_GBK"/>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74"/>
        <w:ind w:firstLine="420"/>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2059305</wp:posOffset>
                </wp:positionH>
                <wp:positionV relativeFrom="paragraph">
                  <wp:posOffset>227330</wp:posOffset>
                </wp:positionV>
                <wp:extent cx="843915" cy="125730"/>
                <wp:effectExtent l="635" t="4445" r="12700" b="22225"/>
                <wp:wrapNone/>
                <wp:docPr id="16" name="自选图形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1917065</wp:posOffset>
                </wp:positionH>
                <wp:positionV relativeFrom="paragraph">
                  <wp:posOffset>473710</wp:posOffset>
                </wp:positionV>
                <wp:extent cx="821690" cy="102870"/>
                <wp:effectExtent l="635" t="4445" r="15875" b="6985"/>
                <wp:wrapNone/>
                <wp:docPr id="17" name="自选图形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686435</wp:posOffset>
                </wp:positionH>
                <wp:positionV relativeFrom="paragraph">
                  <wp:posOffset>432435</wp:posOffset>
                </wp:positionV>
                <wp:extent cx="908685" cy="140970"/>
                <wp:effectExtent l="635" t="4445" r="5080" b="6985"/>
                <wp:wrapNone/>
                <wp:docPr id="18" name="自选图形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4404995</wp:posOffset>
                </wp:positionH>
                <wp:positionV relativeFrom="paragraph">
                  <wp:posOffset>263525</wp:posOffset>
                </wp:positionV>
                <wp:extent cx="659765" cy="135890"/>
                <wp:effectExtent l="1270" t="4445" r="5715" b="12065"/>
                <wp:wrapNone/>
                <wp:docPr id="19" name="自选图形 11"/>
                <wp:cNvGraphicFramePr/>
                <a:graphic xmlns:a="http://schemas.openxmlformats.org/drawingml/2006/main">
                  <a:graphicData uri="http://schemas.microsoft.com/office/word/2010/wordprocessingShape">
                    <wps:wsp>
                      <wps:cNvPr id="0" name=""/>
                      <wps:cNvSpPr/>
                      <wps:spPr bwMode="auto">
                        <a:xfrm flipV="1">
                          <a:off x="0" y="0"/>
                          <a:ext cx="659765" cy="1358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3177540</wp:posOffset>
                </wp:positionH>
                <wp:positionV relativeFrom="paragraph">
                  <wp:posOffset>252095</wp:posOffset>
                </wp:positionV>
                <wp:extent cx="849630" cy="120015"/>
                <wp:effectExtent l="635" t="4445" r="6985" b="8890"/>
                <wp:wrapNone/>
                <wp:docPr id="20"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71552;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22225</wp:posOffset>
                </wp:positionV>
                <wp:extent cx="690245" cy="135255"/>
                <wp:effectExtent l="635" t="4445" r="13970" b="12700"/>
                <wp:wrapNone/>
                <wp:docPr id="21" name="自选图形 13"/>
                <wp:cNvGraphicFramePr/>
                <a:graphic xmlns:a="http://schemas.openxmlformats.org/drawingml/2006/main">
                  <a:graphicData uri="http://schemas.microsoft.com/office/word/2010/wordprocessingShape">
                    <wps:wsp>
                      <wps:cNvPr id="0" name=""/>
                      <wps:cNvSpPr/>
                      <wps:spPr bwMode="auto">
                        <a:xfrm flipV="1">
                          <a:off x="0" y="0"/>
                          <a:ext cx="690245" cy="1352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2576;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086"/>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086"/>
          <w:rFonts w:hint="eastAsia" w:ascii="方正魏碑_GBK" w:hAnsi="方正魏碑_GBK" w:eastAsia="方正魏碑_GBK" w:cs="方正魏碑_GBK"/>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086"/>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086"/>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86"/>
          <w:rFonts w:hint="eastAsia" w:ascii="方正魏碑_GBK" w:hAnsi="方正魏碑_GBK" w:eastAsia="方正魏碑_GBK" w:cs="方正魏碑_GBK"/>
          <w:color w:val="auto"/>
          <w:highlight w:val="none"/>
          <w:u w:val="single"/>
          <w:shd w:val="clear" w:color="auto" w:fill="ffffff"/>
        </w:rPr>
        <w:t xml:space="preserve">（规定</w:t>
      </w:r>
      <w:r>
        <w:rPr>
          <w:rStyle w:val="1086"/>
          <w:rFonts w:ascii="方正魏碑_GBK" w:hAnsi="方正魏碑_GBK" w:eastAsia="方正魏碑_GBK" w:cs="方正魏碑_GBK"/>
          <w:color w:val="auto"/>
          <w:highlight w:val="none"/>
          <w:u w:val="single"/>
          <w:shd w:val="clear" w:color="auto" w:fill="ffffff"/>
        </w:rPr>
        <w:t xml:space="preserve">比例</w:t>
      </w:r>
      <w:r>
        <w:rPr>
          <w:rStyle w:val="1086"/>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086"/>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086"/>
          <w:rFonts w:hint="eastAsia" w:ascii="方正魏碑_GBK" w:hAnsi="方正魏碑_GBK" w:eastAsia="方正魏碑_GBK" w:cs="方正魏碑_GBK"/>
          <w:color w:val="auto"/>
          <w:highlight w:val="none"/>
          <w:u w:val="single"/>
          <w:shd w:val="clear" w:color="auto" w:fill="ffffff"/>
        </w:rPr>
        <w:t xml:space="preserve">（关键</w:t>
      </w:r>
      <w:r>
        <w:rPr>
          <w:rStyle w:val="1086"/>
          <w:rFonts w:ascii="方正魏碑_GBK" w:hAnsi="方正魏碑_GBK" w:eastAsia="方正魏碑_GBK" w:cs="方正魏碑_GBK"/>
          <w:color w:val="auto"/>
          <w:highlight w:val="none"/>
          <w:u w:val="single"/>
          <w:shd w:val="clear" w:color="auto" w:fill="ffffff"/>
        </w:rPr>
        <w:t xml:space="preserve">组件</w:t>
      </w:r>
      <w:r>
        <w:rPr>
          <w:rStyle w:val="1086"/>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086"/>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086"/>
          <w:rFonts w:hint="eastAsia" w:ascii="方正魏碑_GBK" w:hAnsi="方正魏碑_GBK" w:eastAsia="方正魏碑_GBK" w:cs="方正魏碑_GBK"/>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74"/>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074"/>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074"/>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74"/>
        <w:ind w:right="480" w:firstLine="37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074"/>
        <w:jc w:val="center"/>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日期：　   年　  月　  日         </w:t>
      </w:r>
      <w:r/>
    </w:p>
    <w:p>
      <w:pPr>
        <w:pStyle w:val="1074"/>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074"/>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074"/>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074"/>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074"/>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07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107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107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107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rPr>
          <w:rFonts w:ascii="宋体" w:hAnsi="宋体"/>
          <w:b/>
          <w:color w:val="auto"/>
          <w:sz w:val="24"/>
          <w:highlight w:val="none"/>
        </w:rPr>
        <w:sectPr>
          <w:headerReference w:type="even" r:id="rId16"/>
          <w:headerReference w:type="first" r:id="rId17"/>
          <w:footerReference w:type="even" r:id="rId26"/>
          <w:footerReference w:type="first" r:id="rId27"/>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b/>
          <w:color w:val="auto"/>
          <w:sz w:val="24"/>
          <w:highlight w:val="none"/>
        </w:rPr>
      </w:r>
      <w:r/>
    </w:p>
    <w:p>
      <w:pPr>
        <w:rPr>
          <w:rFonts w:ascii="宋体" w:hAnsi="宋体" w:cs="仿宋"/>
          <w:b/>
          <w:bCs/>
          <w:color w:val="auto"/>
          <w:spacing w:val="-4"/>
          <w:sz w:val="24"/>
          <w:highlight w:val="none"/>
        </w:rPr>
      </w:pPr>
      <w:r>
        <w:rPr>
          <w:rFonts w:hint="eastAsia" w:ascii="宋体" w:hAnsi="宋体"/>
          <w:b/>
          <w:color w:val="auto"/>
          <w:sz w:val="24"/>
          <w:highlight w:val="none"/>
        </w:rPr>
        <w:t xml:space="preserve">11投资建设项目</w:t>
      </w:r>
      <w:r>
        <w:rPr>
          <w:rFonts w:hint="eastAsia" w:ascii="宋体" w:hAnsi="宋体" w:cs="仿宋"/>
          <w:b/>
          <w:bCs/>
          <w:color w:val="auto"/>
          <w:spacing w:val="-4"/>
          <w:sz w:val="24"/>
          <w:highlight w:val="none"/>
        </w:rPr>
        <w:t xml:space="preserve">（实质性格式）</w:t>
      </w:r>
      <w:r/>
    </w:p>
    <w:p>
      <w:pPr>
        <w:rPr>
          <w:rFonts w:ascii="宋体" w:hAnsi="宋体" w:cs="仿宋"/>
          <w:b/>
          <w:bCs/>
          <w:color w:val="auto"/>
          <w:spacing w:val="-4"/>
          <w:sz w:val="24"/>
          <w:highlight w:val="none"/>
        </w:rPr>
      </w:pPr>
      <w:r>
        <w:rPr>
          <w:rFonts w:hint="eastAsia" w:ascii="宋体" w:hAnsi="宋体" w:cs="仿宋"/>
          <w:b/>
          <w:bCs/>
          <w:color w:val="auto"/>
          <w:spacing w:val="-4"/>
          <w:sz w:val="24"/>
          <w:highlight w:val="none"/>
        </w:rPr>
        <w:t xml:space="preserve">表一：</w:t>
      </w:r>
      <w:r>
        <w:rPr>
          <w:rFonts w:hint="eastAsia" w:ascii="宋体" w:hAnsi="宋体" w:cs="宋体"/>
          <w:b/>
          <w:bCs/>
          <w:color w:val="auto"/>
          <w:sz w:val="24"/>
          <w:highlight w:val="none"/>
        </w:rPr>
        <w:t xml:space="preserve">项目建设费用构成汇总表</w:t>
      </w:r>
      <w:r/>
    </w:p>
    <w:tbl>
      <w:tblPr>
        <w:tblStyle w:val="104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347"/>
        <w:gridCol w:w="5560"/>
        <w:gridCol w:w="2381"/>
      </w:tblGrid>
      <w:tr>
        <w:trPr>
          <w:jc w:val="center"/>
          <w:trHeight w:val="600"/>
        </w:trPr>
        <w:tc>
          <w:tcPr>
            <w:gridSpan w:val="3"/>
            <w:tcBorders>
              <w:top w:val="single" w:color="auto" w:sz="4" w:space="0"/>
              <w:left w:val="single" w:color="auto" w:sz="4" w:space="0"/>
              <w:bottom w:val="none" w:color="000000" w:sz="4" w:space="0"/>
              <w:right w:val="single" w:color="auto" w:sz="4" w:space="0"/>
            </w:tcBorders>
            <w:tcW w:w="9288"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项目建设费用构成汇总表</w:t>
            </w:r>
            <w:r/>
          </w:p>
        </w:tc>
      </w:tr>
      <w:tr>
        <w:trPr>
          <w:jc w:val="center"/>
          <w:trHeight w:val="600"/>
        </w:trPr>
        <w:tc>
          <w:tcPr>
            <w:gridSpan w:val="3"/>
            <w:tcBorders>
              <w:top w:val="single" w:color="auto" w:sz="4" w:space="0"/>
              <w:left w:val="single" w:color="auto" w:sz="4" w:space="0"/>
              <w:bottom w:val="none" w:color="000000" w:sz="4" w:space="0"/>
              <w:right w:val="single" w:color="auto" w:sz="4" w:space="0"/>
            </w:tcBorders>
            <w:tcW w:w="9288" w:type="dxa"/>
            <w:vAlign w:val="center"/>
            <w:textDirection w:val="lrTb"/>
            <w:noWrap w:val="false"/>
          </w:tcPr>
          <w:p>
            <w:pPr>
              <w:widowControl/>
              <w:rPr>
                <w:color w:val="auto"/>
                <w:sz w:val="24"/>
                <w:highlight w:val="none"/>
              </w:rPr>
            </w:pPr>
            <w:r>
              <w:rPr>
                <w:color w:val="auto"/>
                <w:sz w:val="24"/>
                <w:highlight w:val="none"/>
              </w:rPr>
              <w:t xml:space="preserve">项目编号/包号：</w:t>
            </w:r>
            <w:r/>
          </w:p>
          <w:p>
            <w:pPr>
              <w:widowControl/>
              <w:rPr>
                <w:color w:val="auto"/>
                <w:sz w:val="24"/>
                <w:highlight w:val="none"/>
              </w:rPr>
            </w:pPr>
            <w:r>
              <w:rPr>
                <w:color w:val="auto"/>
                <w:sz w:val="24"/>
                <w:highlight w:val="none"/>
              </w:rPr>
              <w:t xml:space="preserve">项目名称：</w:t>
            </w:r>
            <w:r/>
          </w:p>
          <w:p>
            <w:pPr>
              <w:widowControl/>
              <w:rPr>
                <w:color w:val="auto"/>
                <w:sz w:val="24"/>
                <w:highlight w:val="none"/>
              </w:rPr>
            </w:pPr>
            <w:r>
              <w:rPr>
                <w:color w:val="auto"/>
                <w:sz w:val="24"/>
                <w:highlight w:val="none"/>
              </w:rPr>
              <w:t xml:space="preserve">报价单位：</w:t>
            </w:r>
            <w:r>
              <w:rPr>
                <w:rFonts w:hint="eastAsia"/>
                <w:color w:val="auto"/>
                <w:sz w:val="24"/>
                <w:highlight w:val="none"/>
              </w:rPr>
              <w:t xml:space="preserve">元</w:t>
            </w:r>
            <w:r/>
          </w:p>
        </w:tc>
      </w:tr>
      <w:tr>
        <w:trPr>
          <w:jc w:val="center"/>
          <w:trHeight w:val="570"/>
        </w:trPr>
        <w:tc>
          <w:tcPr>
            <w:tcBorders>
              <w:top w:val="single" w:color="000000" w:sz="4" w:space="0"/>
              <w:left w:val="single" w:color="auto" w:sz="4" w:space="0"/>
              <w:bottom w:val="single" w:color="000000" w:sz="4" w:space="0"/>
              <w:right w:val="single" w:color="000000" w:sz="4" w:space="0"/>
            </w:tcBorders>
            <w:tcW w:w="134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56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改造项目</w:t>
            </w:r>
            <w:r/>
          </w:p>
        </w:tc>
        <w:tc>
          <w:tcPr>
            <w:tcBorders>
              <w:top w:val="single" w:color="000000" w:sz="4" w:space="0"/>
              <w:left w:val="single" w:color="000000" w:sz="4" w:space="0"/>
              <w:bottom w:val="single" w:color="000000" w:sz="4" w:space="0"/>
              <w:right w:val="single" w:color="auto" w:sz="4" w:space="0"/>
            </w:tcBorders>
            <w:tcW w:w="2381"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价格</w:t>
            </w:r>
            <w:r/>
          </w:p>
        </w:tc>
      </w:tr>
      <w:tr>
        <w:trPr>
          <w:jc w:val="center"/>
          <w:trHeight w:val="480"/>
        </w:trPr>
        <w:tc>
          <w:tcPr>
            <w:tcBorders>
              <w:top w:val="single" w:color="000000" w:sz="4" w:space="0"/>
              <w:left w:val="single" w:color="auto" w:sz="4" w:space="0"/>
              <w:bottom w:val="single" w:color="000000" w:sz="4" w:space="0"/>
              <w:right w:val="single" w:color="000000" w:sz="4" w:space="0"/>
            </w:tcBorders>
            <w:tcW w:w="134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6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auto" w:sz="4" w:space="0"/>
            </w:tcBorders>
            <w:tcW w:w="23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Borders>
              <w:top w:val="single" w:color="000000" w:sz="4" w:space="0"/>
              <w:left w:val="single" w:color="auto" w:sz="4" w:space="0"/>
              <w:bottom w:val="single" w:color="000000" w:sz="4" w:space="0"/>
              <w:right w:val="single" w:color="000000" w:sz="4" w:space="0"/>
            </w:tcBorders>
            <w:tcW w:w="134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6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auto" w:sz="4" w:space="0"/>
            </w:tcBorders>
            <w:tcW w:w="23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Borders>
              <w:top w:val="single" w:color="000000" w:sz="4" w:space="0"/>
              <w:left w:val="single" w:color="auto" w:sz="4" w:space="0"/>
              <w:bottom w:val="single" w:color="000000" w:sz="4" w:space="0"/>
              <w:right w:val="single" w:color="000000" w:sz="4" w:space="0"/>
            </w:tcBorders>
            <w:tcW w:w="134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6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auto" w:sz="4" w:space="0"/>
            </w:tcBorders>
            <w:tcW w:w="23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Borders>
              <w:top w:val="single" w:color="000000" w:sz="4" w:space="0"/>
              <w:left w:val="single" w:color="auto" w:sz="4" w:space="0"/>
              <w:bottom w:val="single" w:color="000000" w:sz="4" w:space="0"/>
              <w:right w:val="single" w:color="000000" w:sz="4" w:space="0"/>
            </w:tcBorders>
            <w:tcW w:w="134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6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auto" w:sz="4" w:space="0"/>
            </w:tcBorders>
            <w:tcW w:w="23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Borders>
              <w:top w:val="single" w:color="000000" w:sz="4" w:space="0"/>
              <w:left w:val="single" w:color="auto" w:sz="4" w:space="0"/>
              <w:bottom w:val="single" w:color="000000" w:sz="4" w:space="0"/>
              <w:right w:val="single" w:color="000000" w:sz="4" w:space="0"/>
            </w:tcBorders>
            <w:tcW w:w="134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6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auto" w:sz="4" w:space="0"/>
            </w:tcBorders>
            <w:tcW w:w="23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Borders>
              <w:top w:val="single" w:color="000000" w:sz="4" w:space="0"/>
              <w:left w:val="single" w:color="auto" w:sz="4" w:space="0"/>
              <w:bottom w:val="single" w:color="000000" w:sz="4" w:space="0"/>
              <w:right w:val="single" w:color="000000" w:sz="4" w:space="0"/>
            </w:tcBorders>
            <w:tcW w:w="1347"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560"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Borders>
              <w:top w:val="single" w:color="000000" w:sz="4" w:space="0"/>
              <w:left w:val="single" w:color="000000" w:sz="4" w:space="0"/>
              <w:bottom w:val="single" w:color="000000" w:sz="4" w:space="0"/>
              <w:right w:val="single" w:color="auto" w:sz="4" w:space="0"/>
            </w:tcBorders>
            <w:tcW w:w="2381"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480"/>
        </w:trPr>
        <w:tc>
          <w:tcPr>
            <w:tcBorders>
              <w:top w:val="single" w:color="000000" w:sz="4" w:space="0"/>
              <w:left w:val="single" w:color="auto" w:sz="4" w:space="0"/>
              <w:bottom w:val="single" w:color="auto" w:sz="4" w:space="0"/>
              <w:right w:val="single" w:color="000000" w:sz="4" w:space="0"/>
            </w:tcBorders>
            <w:tcW w:w="1347"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合计</w:t>
            </w:r>
            <w:r/>
          </w:p>
        </w:tc>
        <w:tc>
          <w:tcPr>
            <w:gridSpan w:val="2"/>
            <w:tcBorders>
              <w:top w:val="single" w:color="000000" w:sz="4" w:space="0"/>
              <w:left w:val="single" w:color="000000" w:sz="4" w:space="0"/>
              <w:bottom w:val="single" w:color="auto" w:sz="4" w:space="0"/>
              <w:right w:val="single" w:color="auto" w:sz="4" w:space="0"/>
            </w:tcBorders>
            <w:tcW w:w="7941"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bl>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注：本表行数可以按照项目分项情况增加。</w:t>
      </w:r>
      <w:r/>
    </w:p>
    <w:p>
      <w:pPr>
        <w:pStyle w:val="1371"/>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rFonts w:hint="eastAsia"/>
          <w:color w:val="auto"/>
          <w:sz w:val="24"/>
          <w:highlight w:val="none"/>
        </w:rPr>
        <w:t xml:space="preserve">投标人</w:t>
      </w:r>
      <w:r>
        <w:rPr>
          <w:color w:val="auto"/>
          <w:sz w:val="24"/>
          <w:highlight w:val="none"/>
        </w:rPr>
        <w:t xml:space="preserve">名称（加盖公章）</w:t>
      </w:r>
      <w:r>
        <w:rPr>
          <w:color w:val="auto"/>
          <w:sz w:val="24"/>
          <w:highlight w:val="none"/>
          <w:lang w:val="zh-CN"/>
        </w:rPr>
        <w:t xml:space="preserve">：____________</w:t>
      </w:r>
      <w:r/>
    </w:p>
    <w:p>
      <w:pPr>
        <w:rPr>
          <w:rFonts w:ascii="宋体" w:hAnsi="宋体" w:cs="仿宋"/>
          <w:b/>
          <w:bCs/>
          <w:color w:val="auto"/>
          <w:spacing w:val="-4"/>
          <w:sz w:val="24"/>
          <w:highlight w:val="none"/>
        </w:rPr>
      </w:pPr>
      <w:r>
        <w:rPr>
          <w:color w:val="auto"/>
          <w:sz w:val="24"/>
          <w:szCs w:val="20"/>
          <w:highlight w:val="none"/>
        </w:rPr>
        <w:t xml:space="preserve">日期：_____年______月______日</w:t>
      </w:r>
      <w:r/>
    </w:p>
    <w:p>
      <w:pPr>
        <w:rPr>
          <w:rFonts w:ascii="宋体" w:hAnsi="宋体" w:cs="仿宋"/>
          <w:b/>
          <w:bCs/>
          <w:color w:val="auto"/>
          <w:spacing w:val="-4"/>
          <w:sz w:val="24"/>
          <w:highlight w:val="none"/>
        </w:rPr>
      </w:pPr>
      <w:r>
        <w:rPr>
          <w:rFonts w:ascii="宋体" w:hAnsi="宋体" w:cs="仿宋"/>
          <w:b/>
          <w:bCs/>
          <w:color w:val="auto"/>
          <w:spacing w:val="-4"/>
          <w:sz w:val="24"/>
          <w:highlight w:val="none"/>
        </w:rPr>
      </w:r>
      <w:r/>
    </w:p>
    <w:p>
      <w:pPr>
        <w:rPr>
          <w:rFonts w:ascii="宋体" w:hAnsi="宋体" w:cs="仿宋"/>
          <w:b/>
          <w:bCs/>
          <w:color w:val="auto"/>
          <w:spacing w:val="-4"/>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s="仿宋"/>
          <w:b/>
          <w:bCs/>
          <w:color w:val="auto"/>
          <w:spacing w:val="-4"/>
          <w:sz w:val="24"/>
          <w:highlight w:val="none"/>
        </w:rPr>
      </w:r>
      <w:r/>
    </w:p>
    <w:p>
      <w:pPr>
        <w:rPr>
          <w:rFonts w:ascii="宋体" w:hAnsi="宋体" w:cs="宋体"/>
          <w:b/>
          <w:bCs/>
          <w:color w:val="auto"/>
          <w:sz w:val="24"/>
          <w:highlight w:val="none"/>
        </w:rPr>
      </w:pPr>
      <w:r>
        <w:rPr>
          <w:rFonts w:hint="eastAsia" w:ascii="宋体" w:hAnsi="宋体" w:cs="仿宋"/>
          <w:b/>
          <w:bCs/>
          <w:color w:val="auto"/>
          <w:spacing w:val="-4"/>
          <w:sz w:val="24"/>
          <w:highlight w:val="none"/>
        </w:rPr>
        <w:t xml:space="preserve">表二：</w:t>
      </w:r>
      <w:r>
        <w:rPr>
          <w:rFonts w:hint="eastAsia" w:ascii="宋体" w:hAnsi="宋体" w:cs="宋体"/>
          <w:b/>
          <w:bCs/>
          <w:color w:val="auto"/>
          <w:sz w:val="24"/>
          <w:highlight w:val="none"/>
        </w:rPr>
        <w:t xml:space="preserve">项目建设费用构成明细表</w:t>
      </w:r>
      <w:r/>
    </w:p>
    <w:tbl>
      <w:tblPr>
        <w:tblStyle w:val="10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599"/>
        <w:gridCol w:w="1336"/>
        <w:gridCol w:w="1586"/>
        <w:gridCol w:w="628"/>
        <w:gridCol w:w="669"/>
        <w:gridCol w:w="1258"/>
        <w:gridCol w:w="1425"/>
      </w:tblGrid>
      <w:tr>
        <w:trPr>
          <w:jc w:val="center"/>
          <w:trHeight w:val="940"/>
        </w:trPr>
        <w:tc>
          <w:tcPr>
            <w:gridSpan w:val="8"/>
            <w:tcW w:w="9288"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项目建设费用构成明细表</w:t>
            </w:r>
            <w:r/>
          </w:p>
        </w:tc>
      </w:tr>
      <w:tr>
        <w:trPr>
          <w:jc w:val="center"/>
          <w:trHeight w:val="940"/>
        </w:trPr>
        <w:tc>
          <w:tcPr>
            <w:gridSpan w:val="8"/>
            <w:tcW w:w="9288" w:type="dxa"/>
            <w:vAlign w:val="center"/>
            <w:textDirection w:val="lrTb"/>
            <w:noWrap w:val="false"/>
          </w:tcPr>
          <w:p>
            <w:pPr>
              <w:widowControl/>
              <w:rPr>
                <w:color w:val="auto"/>
                <w:sz w:val="24"/>
                <w:highlight w:val="none"/>
              </w:rPr>
            </w:pPr>
            <w:r>
              <w:rPr>
                <w:color w:val="auto"/>
                <w:sz w:val="24"/>
                <w:highlight w:val="none"/>
              </w:rPr>
              <w:t xml:space="preserve">项目编号/包号：</w:t>
            </w:r>
            <w:r/>
          </w:p>
          <w:p>
            <w:pPr>
              <w:widowControl/>
              <w:rPr>
                <w:color w:val="auto"/>
                <w:sz w:val="24"/>
                <w:highlight w:val="none"/>
              </w:rPr>
            </w:pPr>
            <w:r>
              <w:rPr>
                <w:color w:val="auto"/>
                <w:sz w:val="24"/>
                <w:highlight w:val="none"/>
              </w:rPr>
              <w:t xml:space="preserve">项目名称：</w:t>
            </w:r>
            <w:r/>
          </w:p>
          <w:p>
            <w:pPr>
              <w:widowControl/>
              <w:rPr>
                <w:rFonts w:ascii="宋体" w:hAnsi="宋体" w:cs="宋体"/>
                <w:b/>
                <w:bCs/>
                <w:color w:val="auto"/>
                <w:sz w:val="24"/>
                <w:highlight w:val="none"/>
              </w:rPr>
            </w:pPr>
            <w:r>
              <w:rPr>
                <w:color w:val="auto"/>
                <w:sz w:val="24"/>
                <w:highlight w:val="none"/>
              </w:rPr>
              <w:t xml:space="preserve">报价单位：</w:t>
            </w:r>
            <w:r>
              <w:rPr>
                <w:rFonts w:hint="eastAsia"/>
                <w:color w:val="auto"/>
                <w:sz w:val="24"/>
                <w:highlight w:val="none"/>
              </w:rPr>
              <w:t xml:space="preserve">元</w:t>
            </w:r>
            <w:r/>
          </w:p>
        </w:tc>
      </w:tr>
      <w:tr>
        <w:trPr>
          <w:jc w:val="center"/>
          <w:trHeight w:val="660"/>
        </w:trPr>
        <w:tc>
          <w:tcPr>
            <w:tcW w:w="787"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W w:w="1599"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主要设备</w:t>
            </w:r>
            <w:r/>
          </w:p>
        </w:tc>
        <w:tc>
          <w:tcPr>
            <w:tcW w:w="1336"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品牌</w:t>
            </w:r>
            <w:r/>
          </w:p>
        </w:tc>
        <w:tc>
          <w:tcPr>
            <w:tcW w:w="1586"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参数</w:t>
            </w:r>
            <w:r/>
          </w:p>
        </w:tc>
        <w:tc>
          <w:tcPr>
            <w:tcW w:w="628"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单位</w:t>
            </w:r>
            <w:r/>
          </w:p>
        </w:tc>
        <w:tc>
          <w:tcPr>
            <w:tcW w:w="669"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数量</w:t>
            </w:r>
            <w:r/>
          </w:p>
        </w:tc>
        <w:tc>
          <w:tcPr>
            <w:tcW w:w="1258"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 单价（元） </w:t>
            </w:r>
            <w:r/>
          </w:p>
        </w:tc>
        <w:tc>
          <w:tcPr>
            <w:tcW w:w="1425"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合价（元）</w:t>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ffffff" w:fill="ffffff"/>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tcW w:w="787"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9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336"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586"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tcW w:w="628"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669"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60"/>
        </w:trPr>
        <w:tc>
          <w:tcPr>
            <w:gridSpan w:val="6"/>
            <w:tcW w:w="660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b/>
                <w:bCs/>
                <w:color w:val="auto"/>
                <w:sz w:val="24"/>
                <w:highlight w:val="none"/>
              </w:rPr>
              <w:t xml:space="preserve">合计</w:t>
            </w:r>
            <w:r/>
          </w:p>
        </w:tc>
        <w:tc>
          <w:tcPr>
            <w:tcW w:w="1258"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W w:w="14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注：本表行数可以按照项目分项情况增加。</w:t>
      </w:r>
      <w:r/>
    </w:p>
    <w:p>
      <w:pPr>
        <w:pStyle w:val="1371"/>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rFonts w:hint="eastAsia"/>
          <w:color w:val="auto"/>
          <w:sz w:val="24"/>
          <w:highlight w:val="none"/>
        </w:rPr>
        <w:t xml:space="preserve">投标人</w:t>
      </w:r>
      <w:r>
        <w:rPr>
          <w:color w:val="auto"/>
          <w:sz w:val="24"/>
          <w:highlight w:val="none"/>
        </w:rPr>
        <w:t xml:space="preserve">名称（加盖公章）</w:t>
      </w:r>
      <w:r>
        <w:rPr>
          <w:color w:val="auto"/>
          <w:sz w:val="24"/>
          <w:highlight w:val="none"/>
          <w:lang w:val="zh-CN"/>
        </w:rPr>
        <w:t xml:space="preserve">：____________</w:t>
      </w:r>
      <w:r/>
    </w:p>
    <w:p>
      <w:pPr>
        <w:rPr>
          <w:rFonts w:ascii="宋体" w:hAnsi="宋体" w:cs="宋体"/>
          <w:b/>
          <w:bCs/>
          <w:color w:val="auto"/>
          <w:sz w:val="24"/>
          <w:highlight w:val="none"/>
        </w:rPr>
      </w:pPr>
      <w:r>
        <w:rPr>
          <w:color w:val="auto"/>
          <w:sz w:val="24"/>
          <w:szCs w:val="20"/>
          <w:highlight w:val="none"/>
        </w:rPr>
        <w:t xml:space="preserve">日期：_____年______月______日</w:t>
      </w:r>
      <w:r/>
    </w:p>
    <w:p>
      <w:pPr>
        <w:rPr>
          <w:rFonts w:ascii="方正魏碑_GBK" w:hAnsi="方正魏碑_GBK" w:eastAsia="方正魏碑_GBK" w:cs="方正魏碑_GBK"/>
          <w:color w:val="auto"/>
          <w:highlight w:val="none"/>
        </w:rPr>
      </w:pPr>
      <w:r>
        <w:rPr>
          <w:rFonts w:hint="eastAsia" w:ascii="宋体" w:hAnsi="宋体"/>
          <w:b/>
          <w:color w:val="auto"/>
          <w:sz w:val="24"/>
          <w:highlight w:val="none"/>
        </w:rPr>
        <w:br w:type="page" w:clear="all"/>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12项目实施方案等，包括但不限于如下主题：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13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104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2"/>
          <w:highlight w:val="none"/>
        </w:rPr>
        <w:br w:type="page" w:clear="all"/>
      </w:r>
      <w:bookmarkStart w:id="923" w:name="_Toc288738839"/>
      <w:r/>
      <w:bookmarkStart w:id="924" w:name="_Toc288738397"/>
      <w:r>
        <w:rPr>
          <w:rFonts w:hint="eastAsia" w:ascii="宋体" w:hAnsi="宋体"/>
          <w:b/>
          <w:color w:val="auto"/>
          <w:sz w:val="24"/>
          <w:highlight w:val="none"/>
        </w:rPr>
        <w:t xml:space="preserve">14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23"/>
      <w:r/>
      <w:bookmarkEnd w:id="924"/>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104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ind w:firstLine="420"/>
        <w:jc w:val="right"/>
        <w:spacing w:line="360" w:lineRule="auto"/>
        <w:rPr>
          <w:rFonts w:ascii="宋体" w:hAnsi="宋体"/>
          <w:color w:val="auto"/>
          <w:sz w:val="24"/>
          <w:highlight w:val="none"/>
        </w:rPr>
      </w:pPr>
      <w:r>
        <w:rPr>
          <w:rFonts w:ascii="宋体" w:hAnsi="宋体"/>
          <w:color w:val="auto"/>
          <w:highlight w:val="none"/>
        </w:rPr>
        <w:br w:type="page" w:clear="all"/>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15  </w:t>
      </w:r>
      <w:r>
        <w:rPr>
          <w:rFonts w:ascii="宋体" w:hAnsi="宋体"/>
          <w:b/>
          <w:color w:val="auto"/>
          <w:sz w:val="24"/>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spacing w:line="360" w:lineRule="auto"/>
        <w:rPr>
          <w:rFonts w:ascii="宋体" w:hAnsi="宋体" w:cs="黑体"/>
          <w:bCs/>
          <w:color w:val="auto"/>
          <w:sz w:val="24"/>
          <w:highlight w:val="none"/>
        </w:rPr>
      </w:pPr>
      <w:r>
        <w:rPr>
          <w:rFonts w:hint="eastAsia" w:ascii="宋体" w:hAnsi="宋体" w:cs="黑体"/>
          <w:b/>
          <w:color w:val="auto"/>
          <w:sz w:val="28"/>
          <w:szCs w:val="28"/>
          <w:highlight w:val="none"/>
        </w:rPr>
        <w:t xml:space="preserve">本招标文件的最终解释权归常州市城投建设工程招标有限公司所有</w:t>
      </w:r>
      <w:r>
        <w:rPr>
          <w:rFonts w:hint="eastAsia" w:ascii="宋体" w:hAnsi="宋体" w:cs="黑体"/>
          <w:bCs/>
          <w:color w:val="auto"/>
          <w:sz w:val="24"/>
          <w:highlight w:val="none"/>
        </w:rPr>
        <w:t xml:space="preserve">。</w:t>
      </w:r>
      <w:r/>
    </w:p>
    <w:p>
      <w:pPr>
        <w:jc w:val="center"/>
        <w:rPr>
          <w:rFonts w:ascii="宋体" w:hAnsi="宋体" w:cs="黑体"/>
          <w:color w:val="auto"/>
          <w:highlight w:val="none"/>
        </w:rPr>
      </w:pPr>
      <w:r>
        <w:rPr>
          <w:rFonts w:hint="eastAsia" w:ascii="宋体" w:hAnsi="宋体" w:cs="黑体"/>
          <w:b/>
          <w:color w:val="auto"/>
          <w:sz w:val="32"/>
          <w:highlight w:val="none"/>
        </w:rPr>
        <w:t xml:space="preserve">（全文完）</w:t>
      </w:r>
      <w:r/>
    </w:p>
    <w:p>
      <w:pPr>
        <w:rPr>
          <w:rFonts w:ascii="宋体" w:hAnsi="宋体"/>
          <w:color w:val="auto"/>
          <w:sz w:val="36"/>
          <w:szCs w:val="36"/>
          <w:highlight w:val="none"/>
        </w:rPr>
      </w:pPr>
      <w:r>
        <w:rPr>
          <w:rFonts w:ascii="宋体" w:hAnsi="宋体"/>
          <w:color w:val="auto"/>
          <w:sz w:val="36"/>
          <w:szCs w:val="36"/>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60"/>
      <w:rPr>
        <w:rStyle w:val="1084"/>
      </w:rPr>
      <w:framePr w:wrap="around" w:vAnchor="text" w:hAnchor="margin" w:y="1"/>
    </w:pPr>
    <w:r/>
    <w:r/>
  </w:p>
  <w:p>
    <w:pPr>
      <w:pStyle w:val="106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4"/>
      </w:rPr>
      <w:framePr w:wrap="around" w:vAnchor="text" w:hAnchor="margin" w:xAlign="center" w:y="1"/>
    </w:pPr>
    <w:r>
      <w:fldChar w:fldCharType="begin"/>
    </w:r>
    <w:r>
      <w:rPr>
        <w:rStyle w:val="1084"/>
      </w:rPr>
      <w:instrText xml:space="preserve">PAGE  </w:instrText>
    </w:r>
    <w:r>
      <w:fldChar w:fldCharType="end"/>
    </w:r>
    <w:r/>
  </w:p>
  <w:p>
    <w:pPr>
      <w:pStyle w:val="106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4"/>
      </w:rPr>
      <w:framePr w:wrap="around" w:vAnchor="text" w:hAnchor="margin" w:xAlign="right" w:y="1"/>
    </w:pPr>
    <w:r/>
    <w:r/>
  </w:p>
  <w:p>
    <w:pPr>
      <w:pStyle w:val="106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4"/>
      </w:rPr>
      <w:framePr w:wrap="around" w:vAnchor="text" w:hAnchor="margin" w:xAlign="right" w:y="1"/>
    </w:pPr>
    <w:r>
      <w:rPr>
        <w:rStyle w:val="1084"/>
      </w:rPr>
      <w:fldChar w:fldCharType="begin"/>
    </w:r>
    <w:r>
      <w:rPr>
        <w:rStyle w:val="1084"/>
      </w:rPr>
      <w:instrText xml:space="preserve">PAGE  </w:instrText>
    </w:r>
    <w:r>
      <w:rPr>
        <w:rStyle w:val="1084"/>
      </w:rPr>
      <w:fldChar w:fldCharType="end"/>
    </w:r>
    <w:r/>
  </w:p>
  <w:p>
    <w:pPr>
      <w:pStyle w:val="106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504190" cy="306705"/>
              <wp:effectExtent l="0" t="0" r="0" b="0"/>
              <wp:wrapNone/>
              <wp:docPr id="6" name="410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04190" cy="306705"/>
                      </a:xfrm>
                      <a:prstGeom prst="rect">
                        <a:avLst/>
                      </a:prstGeom>
                      <a:noFill/>
                      <a:ln>
                        <a:noFill/>
                      </a:ln>
                      <a:effectLst/>
                    </wps:spPr>
                    <wps:txbx>
                      <w:txbxContent>
                        <w:p>
                          <w:pPr>
                            <w:pStyle w:val="1062"/>
                          </w:pPr>
                          <w:r>
                            <w:rPr>
                              <w:b/>
                              <w:bCs/>
                              <w:sz w:val="24"/>
                            </w:rPr>
                            <w:fldChar w:fldCharType="begin"/>
                          </w:r>
                          <w:r>
                            <w:rPr>
                              <w:b/>
                              <w:bCs/>
                            </w:rPr>
                            <w:instrText xml:space="preserve">PAGE</w:instrText>
                          </w:r>
                          <w:r>
                            <w:rPr>
                              <w:b/>
                              <w:bCs/>
                              <w:sz w:val="24"/>
                            </w:rPr>
                            <w:fldChar w:fldCharType="separate"/>
                          </w:r>
                          <w:r>
                            <w:rPr>
                              <w:b/>
                              <w:bCs/>
                            </w:rPr>
                            <w:t xml:space="preserve">90</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131</w:t>
                          </w:r>
                          <w:r>
                            <w:rPr>
                              <w:b/>
                              <w:bCs/>
                              <w:sz w:val="24"/>
                            </w:rPr>
                            <w:fldChar w:fldCharType="end"/>
                          </w:r>
                          <w:r/>
                        </w:p>
                        <w:p>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39.7pt;height:24.1pt;mso-wrap-distance-left:9.0pt;mso-wrap-distance-top:0.0pt;mso-wrap-distance-right:9.0pt;mso-wrap-distance-bottom:0.0pt;v-text-anchor:top;visibility:visible;" filled="f" stroked="f">
              <v:textbox inset="0,0,0,0">
                <w:txbxContent>
                  <w:p>
                    <w:pPr>
                      <w:pStyle w:val="1062"/>
                    </w:pPr>
                    <w:r>
                      <w:rPr>
                        <w:b/>
                        <w:bCs/>
                        <w:sz w:val="24"/>
                      </w:rPr>
                      <w:fldChar w:fldCharType="begin"/>
                    </w:r>
                    <w:r>
                      <w:rPr>
                        <w:b/>
                        <w:bCs/>
                      </w:rPr>
                      <w:instrText xml:space="preserve">PAGE</w:instrText>
                    </w:r>
                    <w:r>
                      <w:rPr>
                        <w:b/>
                        <w:bCs/>
                        <w:sz w:val="24"/>
                      </w:rPr>
                      <w:fldChar w:fldCharType="separate"/>
                    </w:r>
                    <w:r>
                      <w:rPr>
                        <w:b/>
                        <w:bCs/>
                      </w:rPr>
                      <w:t xml:space="preserve">90</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131</w:t>
                    </w:r>
                    <w:r>
                      <w:rPr>
                        <w:b/>
                        <w:bCs/>
                        <w:sz w:val="24"/>
                      </w:rPr>
                      <w:fldChar w:fldCharType="end"/>
                    </w:r>
                    <w:r/>
                  </w:p>
                  <w:p>
                    <w:r/>
                    <w:r/>
                  </w:p>
                </w:txbxContent>
              </v:textbox>
            </v:shape>
          </w:pict>
        </mc:Fallback>
      </mc:AlternateContent>
    </w:r>
    <w:r/>
  </w:p>
  <w:p>
    <w:pPr>
      <w:pStyle w:val="106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p>
    <w:pPr>
      <w:pStyle w:val="106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4"/>
      </w:rPr>
      <w:framePr w:wrap="around" w:vAnchor="text" w:hAnchor="margin" w:xAlign="right" w:y="1"/>
    </w:pPr>
    <w:r>
      <w:rPr>
        <w:rStyle w:val="1084"/>
      </w:rPr>
      <w:fldChar w:fldCharType="begin"/>
    </w:r>
    <w:r>
      <w:rPr>
        <w:rStyle w:val="1084"/>
      </w:rPr>
      <w:instrText xml:space="preserve">PAGE  </w:instrText>
    </w:r>
    <w:r>
      <w:rPr>
        <w:rStyle w:val="1084"/>
      </w:rPr>
      <w:fldChar w:fldCharType="end"/>
    </w:r>
    <w:r/>
  </w:p>
  <w:p>
    <w:pPr>
      <w:pStyle w:val="1062"/>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0" allowOverlap="1">
              <wp:simplePos x="0" y="0"/>
              <wp:positionH relativeFrom="margin">
                <wp:posOffset>53340</wp:posOffset>
              </wp:positionH>
              <wp:positionV relativeFrom="margin">
                <wp:posOffset>1817370</wp:posOffset>
              </wp:positionV>
              <wp:extent cx="5401310" cy="5401310"/>
              <wp:effectExtent l="0" t="0" r="8890" b="8890"/>
              <wp:wrapNone/>
              <wp:docPr id="1"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margin">
                <wp:posOffset>271145</wp:posOffset>
              </wp:positionH>
              <wp:positionV relativeFrom="margin">
                <wp:posOffset>1451610</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0" allowOverlap="1">
              <wp:simplePos x="0" y="0"/>
              <wp:positionH relativeFrom="margin">
                <wp:posOffset>351155</wp:posOffset>
              </wp:positionH>
              <wp:positionV relativeFrom="margin">
                <wp:posOffset>1917065</wp:posOffset>
              </wp:positionV>
              <wp:extent cx="5401310" cy="5401310"/>
              <wp:effectExtent l="0" t="0" r="8890" b="8890"/>
              <wp:wrapNone/>
              <wp:docPr id="3" name="图片 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0" allowOverlap="1">
              <wp:simplePos x="0" y="0"/>
              <wp:positionH relativeFrom="margin">
                <wp:align>center</wp:align>
              </wp:positionH>
              <wp:positionV relativeFrom="margin">
                <wp:align>center</wp:align>
              </wp:positionV>
              <wp:extent cx="6686550" cy="754380"/>
              <wp:effectExtent l="2966085" t="0" r="0" b="0"/>
              <wp:wrapNone/>
              <wp:docPr id="4" name="4102"/>
              <wp:cNvGraphicFramePr/>
              <a:graphic xmlns:a="http://schemas.openxmlformats.org/drawingml/2006/main">
                <a:graphicData uri="http://schemas.microsoft.com/office/word/2010/wordprocessingShape">
                  <wps:wsp>
                    <wps:cNvPr id="0" name=""/>
                    <wps:cNvSpPr txBox="1">
                      <a:spLocks noChangeArrowheads="1" noChangeShapeType="1" noTextEdit="1"/>
                    </wps:cNvSpPr>
                    <wps:spPr bwMode="auto">
                      <a:xfrm rot="-2700000">
                        <a:off x="0" y="0"/>
                        <a:ext cx="6686550" cy="754379"/>
                      </a:xfrm>
                      <a:prstGeom prst="rect">
                        <a:avLst/>
                      </a:prstGeom>
                      <a:noFill/>
                      <a:ln>
                        <a:noFill/>
                      </a:ln>
                      <a:effectLst/>
                    </wps:spPr>
                    <wps:txbx>
                      <w:txbxContent>
                        <w:p>
                          <w:pPr>
                            <w:jc w:val="center"/>
                            <w:rPr>
                              <w:color w:val="c0c0c0"/>
                              <w:sz w:val="2"/>
                              <w:szCs w:val="2"/>
                            </w:rPr>
                          </w:pPr>
                          <w:r>
                            <w:rPr>
                              <w:rFonts w:hint="eastAsia"/>
                              <w:color w:val="c0c0c0"/>
                              <w:sz w:val="2"/>
                              <w:szCs w:val="2"/>
                            </w:rPr>
                            <w:t xml:space="preserve">综能三方合同V3.0</w:t>
                          </w:r>
                          <w:r/>
                        </w:p>
                      </w:txbxContent>
                    </wps:txbx>
                    <wps:bodyPr wrap="square" numCol="1" fromWordArt="1">
                      <a:prstTxWarp prst="textPlain">
                        <a:avLst>
                          <a:gd name="adj" fmla="val 50000"/>
                        </a:avLst>
                      </a:prstTxWarp>
                      <a:spAutoFit/>
                    </wps:bodyPr>
                  </wps:wsp>
                </a:graphicData>
              </a:graphic>
            </wp:anchor>
          </w:drawing>
        </mc:Choice>
        <mc:Fallback>
          <w:pict>
            <v:shape id="shape 3" o:spid="_x0000_s3" o:spt="202" type="#_x0000_t202" style="position:absolute;z-index:-251668480;o:allowoverlap:true;o:allowincell:false;mso-position-horizontal-relative:margin;mso-position-horizontal:center;mso-position-vertical-relative:margin;mso-position-vertical:center;width:526.5pt;height:59.4pt;mso-wrap-distance-left:9.0pt;mso-wrap-distance-top:0.0pt;mso-wrap-distance-right:9.0pt;mso-wrap-distance-bottom:0.0pt;rotation:-45;visibility:visible;" filled="f" stroked="f">
              <v:textbox inset="0,0,0,0">
                <w:txbxContent>
                  <w:p>
                    <w:pPr>
                      <w:jc w:val="center"/>
                      <w:rPr>
                        <w:color w:val="c0c0c0"/>
                        <w:sz w:val="2"/>
                        <w:szCs w:val="2"/>
                      </w:rPr>
                    </w:pPr>
                    <w:r>
                      <w:rPr>
                        <w:rFonts w:hint="eastAsia"/>
                        <w:color w:val="c0c0c0"/>
                        <w:sz w:val="2"/>
                        <w:szCs w:val="2"/>
                      </w:rPr>
                      <w:t xml:space="preserve">综能三方合同V3.0</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0" allowOverlap="1">
              <wp:simplePos x="0" y="0"/>
              <wp:positionH relativeFrom="margin">
                <wp:align>center</wp:align>
              </wp:positionH>
              <wp:positionV relativeFrom="margin">
                <wp:align>center</wp:align>
              </wp:positionV>
              <wp:extent cx="6686550" cy="754380"/>
              <wp:effectExtent l="2966085" t="0" r="0" b="0"/>
              <wp:wrapNone/>
              <wp:docPr id="5" name="4104"/>
              <wp:cNvGraphicFramePr/>
              <a:graphic xmlns:a="http://schemas.openxmlformats.org/drawingml/2006/main">
                <a:graphicData uri="http://schemas.microsoft.com/office/word/2010/wordprocessingShape">
                  <wps:wsp>
                    <wps:cNvPr id="0" name=""/>
                    <wps:cNvSpPr txBox="1">
                      <a:spLocks noChangeArrowheads="1" noChangeShapeType="1" noTextEdit="1"/>
                    </wps:cNvSpPr>
                    <wps:spPr bwMode="auto">
                      <a:xfrm rot="-2700000">
                        <a:off x="0" y="0"/>
                        <a:ext cx="6686550" cy="754379"/>
                      </a:xfrm>
                      <a:prstGeom prst="rect">
                        <a:avLst/>
                      </a:prstGeom>
                      <a:noFill/>
                      <a:ln>
                        <a:noFill/>
                      </a:ln>
                      <a:effectLst/>
                    </wps:spPr>
                    <wps:txbx>
                      <w:txbxContent>
                        <w:p>
                          <w:pPr>
                            <w:jc w:val="center"/>
                            <w:rPr>
                              <w:color w:val="c0c0c0"/>
                              <w:sz w:val="2"/>
                              <w:szCs w:val="2"/>
                            </w:rPr>
                          </w:pPr>
                          <w:r>
                            <w:rPr>
                              <w:rFonts w:hint="eastAsia"/>
                              <w:color w:val="c0c0c0"/>
                              <w:sz w:val="2"/>
                              <w:szCs w:val="2"/>
                            </w:rPr>
                            <w:t xml:space="preserve">综能三方合同V3.0</w:t>
                          </w:r>
                          <w:r/>
                        </w:p>
                      </w:txbxContent>
                    </wps:txbx>
                    <wps:bodyPr wrap="square" numCol="1" fromWordArt="1">
                      <a:prstTxWarp prst="textPlain">
                        <a:avLst>
                          <a:gd name="adj" fmla="val 50000"/>
                        </a:avLst>
                      </a:prstTxWarp>
                      <a:spAutoFit/>
                    </wps:bodyPr>
                  </wps:wsp>
                </a:graphicData>
              </a:graphic>
            </wp:anchor>
          </w:drawing>
        </mc:Choice>
        <mc:Fallback>
          <w:pict>
            <v:shape id="shape 4" o:spid="_x0000_s4" o:spt="202" type="#_x0000_t202" style="position:absolute;z-index:-251667456;o:allowoverlap:true;o:allowincell:false;mso-position-horizontal-relative:margin;mso-position-horizontal:center;mso-position-vertical-relative:margin;mso-position-vertical:center;width:526.5pt;height:59.4pt;mso-wrap-distance-left:9.0pt;mso-wrap-distance-top:0.0pt;mso-wrap-distance-right:9.0pt;mso-wrap-distance-bottom:0.0pt;rotation:-45;visibility:visible;" filled="f" stroked="f">
              <v:textbox inset="0,0,0,0">
                <w:txbxContent>
                  <w:p>
                    <w:pPr>
                      <w:jc w:val="center"/>
                      <w:rPr>
                        <w:color w:val="c0c0c0"/>
                        <w:sz w:val="2"/>
                        <w:szCs w:val="2"/>
                      </w:rPr>
                    </w:pPr>
                    <w:r>
                      <w:rPr>
                        <w:rFonts w:hint="eastAsia"/>
                        <w:color w:val="c0c0c0"/>
                        <w:sz w:val="2"/>
                        <w:szCs w:val="2"/>
                      </w:rPr>
                      <w:t xml:space="preserve">综能三方合同V3.0</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egacy w:legacy="1" w:legacyIndent="0" w:legacySpace="0"/>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name w:val="Heading 1"/>
    <w:basedOn w:val="1031"/>
    <w:next w:val="1031"/>
    <w:link w:val="1238"/>
    <w:uiPriority w:val="0"/>
    <w:qFormat/>
    <w:pPr>
      <w:jc w:val="center"/>
      <w:keepLines/>
      <w:keepNext/>
      <w:spacing w:before="240" w:after="120" w:line="300" w:lineRule="auto"/>
      <w:outlineLvl w:val="0"/>
    </w:pPr>
    <w:rPr>
      <w:rFonts w:ascii="宋体"/>
      <w:b/>
      <w:sz w:val="32"/>
      <w:szCs w:val="20"/>
    </w:rPr>
  </w:style>
  <w:style w:type="paragraph" w:styleId="1033">
    <w:name w:val="Heading 2"/>
    <w:basedOn w:val="1031"/>
    <w:next w:val="1043"/>
    <w:link w:val="1239"/>
    <w:uiPriority w:val="0"/>
    <w:qFormat/>
    <w:pPr>
      <w:jc w:val="center"/>
      <w:keepLines/>
      <w:keepNext/>
      <w:spacing w:before="120" w:line="300" w:lineRule="auto"/>
      <w:outlineLvl w:val="1"/>
    </w:pPr>
    <w:rPr>
      <w:rFonts w:ascii="Arial" w:hAnsi="Arial" w:eastAsia="黑体"/>
      <w:b/>
      <w:sz w:val="30"/>
      <w:szCs w:val="20"/>
    </w:rPr>
  </w:style>
  <w:style w:type="paragraph" w:styleId="1034">
    <w:name w:val="Heading 3"/>
    <w:basedOn w:val="1031"/>
    <w:next w:val="1031"/>
    <w:link w:val="1241"/>
    <w:uiPriority w:val="0"/>
    <w:qFormat/>
    <w:pPr>
      <w:jc w:val="left"/>
      <w:keepLines/>
      <w:keepNext/>
      <w:spacing w:before="360" w:after="120"/>
      <w:outlineLvl w:val="2"/>
    </w:pPr>
    <w:rPr>
      <w:rFonts w:ascii="宋体"/>
      <w:b/>
      <w:sz w:val="24"/>
      <w:szCs w:val="20"/>
      <w:u w:val="single"/>
    </w:rPr>
  </w:style>
  <w:style w:type="paragraph" w:styleId="1035">
    <w:name w:val="Heading 4"/>
    <w:basedOn w:val="1031"/>
    <w:next w:val="1031"/>
    <w:link w:val="1242"/>
    <w:uiPriority w:val="0"/>
    <w:qFormat/>
    <w:pPr>
      <w:keepLines/>
      <w:keepNext/>
      <w:spacing w:before="280" w:after="290" w:line="376" w:lineRule="atLeast"/>
      <w:outlineLvl w:val="3"/>
    </w:pPr>
    <w:rPr>
      <w:rFonts w:ascii="Arial" w:hAnsi="Arial" w:eastAsia="黑体"/>
      <w:b/>
      <w:sz w:val="28"/>
      <w:szCs w:val="20"/>
    </w:rPr>
  </w:style>
  <w:style w:type="paragraph" w:styleId="1036">
    <w:name w:val="Heading 5"/>
    <w:basedOn w:val="1031"/>
    <w:next w:val="1031"/>
    <w:link w:val="1243"/>
    <w:uiPriority w:val="0"/>
    <w:qFormat/>
    <w:pPr>
      <w:keepLines/>
      <w:keepNext/>
      <w:spacing w:before="280" w:after="290" w:line="376" w:lineRule="atLeast"/>
      <w:outlineLvl w:val="4"/>
    </w:pPr>
    <w:rPr>
      <w:b/>
      <w:sz w:val="28"/>
      <w:szCs w:val="20"/>
    </w:rPr>
  </w:style>
  <w:style w:type="paragraph" w:styleId="1037">
    <w:name w:val="Heading 6"/>
    <w:basedOn w:val="1031"/>
    <w:next w:val="1031"/>
    <w:link w:val="1244"/>
    <w:uiPriority w:val="0"/>
    <w:qFormat/>
    <w:pPr>
      <w:keepLines/>
      <w:keepNext/>
      <w:spacing w:before="240" w:after="64" w:line="320" w:lineRule="atLeast"/>
      <w:outlineLvl w:val="5"/>
    </w:pPr>
    <w:rPr>
      <w:rFonts w:ascii="Arial" w:hAnsi="Arial" w:eastAsia="黑体"/>
      <w:b/>
      <w:sz w:val="24"/>
      <w:szCs w:val="20"/>
    </w:rPr>
  </w:style>
  <w:style w:type="paragraph" w:styleId="1038">
    <w:name w:val="Heading 7"/>
    <w:basedOn w:val="1031"/>
    <w:next w:val="1031"/>
    <w:link w:val="1245"/>
    <w:uiPriority w:val="0"/>
    <w:qFormat/>
    <w:pPr>
      <w:keepLines/>
      <w:keepNext/>
      <w:spacing w:before="240" w:after="64" w:line="320" w:lineRule="atLeast"/>
      <w:outlineLvl w:val="6"/>
    </w:pPr>
    <w:rPr>
      <w:b/>
      <w:sz w:val="24"/>
      <w:szCs w:val="20"/>
    </w:rPr>
  </w:style>
  <w:style w:type="paragraph" w:styleId="1039">
    <w:name w:val="Heading 8"/>
    <w:basedOn w:val="1031"/>
    <w:next w:val="1031"/>
    <w:link w:val="1246"/>
    <w:uiPriority w:val="0"/>
    <w:qFormat/>
    <w:pPr>
      <w:keepLines/>
      <w:keepNext/>
      <w:spacing w:before="240" w:after="64" w:line="320" w:lineRule="atLeast"/>
      <w:outlineLvl w:val="7"/>
    </w:pPr>
    <w:rPr>
      <w:rFonts w:ascii="Arial" w:hAnsi="Arial" w:eastAsia="黑体"/>
      <w:sz w:val="24"/>
      <w:szCs w:val="20"/>
    </w:rPr>
  </w:style>
  <w:style w:type="paragraph" w:styleId="1040">
    <w:name w:val="Heading 9"/>
    <w:basedOn w:val="1031"/>
    <w:next w:val="1031"/>
    <w:link w:val="1247"/>
    <w:uiPriority w:val="0"/>
    <w:qFormat/>
    <w:pPr>
      <w:keepLines/>
      <w:keepNext/>
      <w:spacing w:before="240" w:after="64" w:line="320" w:lineRule="atLeast"/>
      <w:outlineLvl w:val="8"/>
    </w:pPr>
    <w:rPr>
      <w:rFonts w:ascii="Arial" w:hAnsi="Arial" w:eastAsia="黑体"/>
      <w:szCs w:val="20"/>
    </w:rPr>
  </w:style>
  <w:style w:type="character" w:styleId="1041" w:default="1">
    <w:name w:val="Default Paragraph Font"/>
    <w:uiPriority w:val="1"/>
    <w:semiHidden/>
    <w:unhideWhenUsed/>
    <w:qFormat/>
  </w:style>
  <w:style w:type="table" w:styleId="1042" w:default="1">
    <w:name w:val="Normal Table"/>
    <w:uiPriority w:val="99"/>
    <w:semiHidden/>
    <w:unhideWhenUsed/>
    <w:qFormat/>
    <w:tblPr>
      <w:tblCellMar>
        <w:left w:w="108" w:type="dxa"/>
        <w:top w:w="0" w:type="dxa"/>
        <w:right w:w="108" w:type="dxa"/>
        <w:bottom w:w="0" w:type="dxa"/>
      </w:tblCellMar>
    </w:tblPr>
  </w:style>
  <w:style w:type="paragraph" w:styleId="1043">
    <w:name w:val="Normal Indent"/>
    <w:basedOn w:val="1031"/>
    <w:link w:val="1240"/>
    <w:uiPriority w:val="0"/>
    <w:qFormat/>
    <w:pPr>
      <w:ind w:firstLine="420"/>
      <w:jc w:val="left"/>
    </w:pPr>
    <w:rPr>
      <w:rFonts w:ascii="宋体"/>
      <w:sz w:val="24"/>
    </w:rPr>
  </w:style>
  <w:style w:type="paragraph" w:styleId="1044">
    <w:name w:val="toc 7"/>
    <w:basedOn w:val="1031"/>
    <w:next w:val="1031"/>
    <w:uiPriority w:val="0"/>
    <w:qFormat/>
    <w:pPr>
      <w:ind w:left="2520"/>
    </w:pPr>
  </w:style>
  <w:style w:type="paragraph" w:styleId="1045">
    <w:name w:val="Caption"/>
    <w:basedOn w:val="1031"/>
    <w:next w:val="1031"/>
    <w:uiPriority w:val="0"/>
    <w:qFormat/>
    <w:pPr>
      <w:spacing w:line="480" w:lineRule="auto"/>
    </w:pPr>
    <w:rPr>
      <w:rFonts w:ascii="华文中宋" w:hAnsi="华文中宋" w:eastAsia="华文中宋"/>
      <w:sz w:val="36"/>
      <w:szCs w:val="20"/>
    </w:rPr>
  </w:style>
  <w:style w:type="paragraph" w:styleId="1046">
    <w:name w:val="Document Map"/>
    <w:basedOn w:val="1031"/>
    <w:link w:val="1248"/>
    <w:uiPriority w:val="0"/>
    <w:qFormat/>
    <w:pPr>
      <w:shd w:val="clear" w:color="auto" w:fill="000080"/>
    </w:pPr>
  </w:style>
  <w:style w:type="paragraph" w:styleId="1047">
    <w:name w:val="annotation text"/>
    <w:basedOn w:val="1031"/>
    <w:link w:val="1249"/>
    <w:uiPriority w:val="99"/>
    <w:qFormat/>
    <w:pPr>
      <w:jc w:val="left"/>
    </w:pPr>
  </w:style>
  <w:style w:type="paragraph" w:styleId="1048">
    <w:name w:val="Body Text 3"/>
    <w:basedOn w:val="1031"/>
    <w:link w:val="1250"/>
    <w:uiPriority w:val="0"/>
    <w:qFormat/>
    <w:pPr>
      <w:spacing w:after="120"/>
    </w:pPr>
    <w:rPr>
      <w:sz w:val="16"/>
      <w:szCs w:val="16"/>
    </w:rPr>
  </w:style>
  <w:style w:type="paragraph" w:styleId="1049">
    <w:name w:val="Body Text"/>
    <w:basedOn w:val="1031"/>
    <w:link w:val="1251"/>
    <w:uiPriority w:val="0"/>
    <w:qFormat/>
    <w:pPr>
      <w:spacing w:before="120" w:line="22" w:lineRule="atLeast"/>
      <w:tabs>
        <w:tab w:val="left" w:pos="567" w:leader="none"/>
      </w:tabs>
    </w:pPr>
    <w:rPr>
      <w:rFonts w:ascii="宋体" w:hAnsi="宋体"/>
      <w:sz w:val="24"/>
    </w:rPr>
  </w:style>
  <w:style w:type="paragraph" w:styleId="1050">
    <w:name w:val="Body Text Indent"/>
    <w:basedOn w:val="1031"/>
    <w:next w:val="1051"/>
    <w:link w:val="1252"/>
    <w:uiPriority w:val="0"/>
    <w:qFormat/>
    <w:pPr>
      <w:ind w:firstLine="570"/>
      <w:spacing w:line="360" w:lineRule="auto"/>
    </w:pPr>
    <w:rPr>
      <w:sz w:val="24"/>
    </w:rPr>
  </w:style>
  <w:style w:type="paragraph" w:styleId="1051" w:customStyle="1">
    <w:name w:val="目录 51"/>
    <w:basedOn w:val="1031"/>
    <w:next w:val="1031"/>
    <w:uiPriority w:val="0"/>
    <w:qFormat/>
    <w:pPr>
      <w:ind w:left="1680"/>
    </w:pPr>
  </w:style>
  <w:style w:type="paragraph" w:styleId="1052">
    <w:name w:val="List 2"/>
    <w:basedOn w:val="1031"/>
    <w:uiPriority w:val="0"/>
    <w:qFormat/>
    <w:pPr>
      <w:ind w:left="100" w:hanging="200"/>
    </w:pPr>
  </w:style>
  <w:style w:type="paragraph" w:styleId="1053">
    <w:name w:val="Block Text"/>
    <w:basedOn w:val="1031"/>
    <w:uiPriority w:val="0"/>
    <w:qFormat/>
    <w:pPr>
      <w:ind w:left="480" w:right="-341" w:firstLine="513"/>
      <w:widowControl/>
    </w:pPr>
    <w:rPr>
      <w:sz w:val="24"/>
      <w:szCs w:val="20"/>
    </w:rPr>
  </w:style>
  <w:style w:type="paragraph" w:styleId="1054">
    <w:name w:val="toc 5"/>
    <w:basedOn w:val="1031"/>
    <w:next w:val="1031"/>
    <w:uiPriority w:val="0"/>
    <w:qFormat/>
    <w:pPr>
      <w:ind w:left="1680"/>
    </w:pPr>
  </w:style>
  <w:style w:type="paragraph" w:styleId="1055">
    <w:name w:val="toc 3"/>
    <w:basedOn w:val="1031"/>
    <w:next w:val="1031"/>
    <w:uiPriority w:val="39"/>
    <w:qFormat/>
    <w:pPr>
      <w:ind w:left="840"/>
    </w:pPr>
  </w:style>
  <w:style w:type="paragraph" w:styleId="1056">
    <w:name w:val="Plain Text"/>
    <w:basedOn w:val="1031"/>
    <w:link w:val="1253"/>
    <w:uiPriority w:val="0"/>
    <w:qFormat/>
    <w:rPr>
      <w:rFonts w:hint="eastAsia" w:ascii="宋体" w:hAnsi="Courier New"/>
      <w:szCs w:val="20"/>
    </w:rPr>
  </w:style>
  <w:style w:type="paragraph" w:styleId="1057">
    <w:name w:val="toc 8"/>
    <w:basedOn w:val="1031"/>
    <w:next w:val="1031"/>
    <w:uiPriority w:val="0"/>
    <w:qFormat/>
    <w:pPr>
      <w:ind w:left="2940"/>
    </w:pPr>
  </w:style>
  <w:style w:type="paragraph" w:styleId="1058">
    <w:name w:val="Date"/>
    <w:basedOn w:val="1031"/>
    <w:next w:val="1031"/>
    <w:link w:val="1254"/>
    <w:uiPriority w:val="0"/>
    <w:qFormat/>
    <w:pPr>
      <w:ind w:left="100"/>
    </w:pPr>
    <w:rPr>
      <w:rFonts w:ascii="仿宋_GB2312" w:hAnsi="宋体" w:eastAsia="仿宋_GB2312"/>
      <w:color w:val="000000"/>
      <w:sz w:val="24"/>
    </w:rPr>
  </w:style>
  <w:style w:type="paragraph" w:styleId="1059">
    <w:name w:val="Body Text Indent 2"/>
    <w:basedOn w:val="1031"/>
    <w:link w:val="1255"/>
    <w:uiPriority w:val="0"/>
    <w:qFormat/>
    <w:pPr>
      <w:ind w:firstLine="480"/>
    </w:pPr>
    <w:rPr>
      <w:rFonts w:ascii="仿宋_GB2312" w:eastAsia="仿宋_GB2312"/>
      <w:sz w:val="24"/>
    </w:rPr>
  </w:style>
  <w:style w:type="paragraph" w:styleId="1060">
    <w:name w:val="endnote text"/>
    <w:basedOn w:val="1031"/>
    <w:link w:val="1236"/>
    <w:uiPriority w:val="99"/>
    <w:semiHidden/>
    <w:unhideWhenUsed/>
    <w:qFormat/>
    <w:pPr>
      <w:spacing w:after="0" w:line="240" w:lineRule="auto"/>
    </w:pPr>
    <w:rPr>
      <w:sz w:val="20"/>
    </w:rPr>
  </w:style>
  <w:style w:type="paragraph" w:styleId="1061">
    <w:name w:val="Balloon Text"/>
    <w:basedOn w:val="1031"/>
    <w:link w:val="1256"/>
    <w:uiPriority w:val="0"/>
    <w:qFormat/>
    <w:rPr>
      <w:sz w:val="18"/>
      <w:szCs w:val="18"/>
    </w:rPr>
  </w:style>
  <w:style w:type="paragraph" w:styleId="1062">
    <w:name w:val="Footer"/>
    <w:basedOn w:val="1031"/>
    <w:link w:val="1257"/>
    <w:uiPriority w:val="99"/>
    <w:qFormat/>
    <w:pPr>
      <w:jc w:val="left"/>
      <w:tabs>
        <w:tab w:val="center" w:pos="4153" w:leader="none"/>
        <w:tab w:val="right" w:pos="8306" w:leader="none"/>
      </w:tabs>
    </w:pPr>
    <w:rPr>
      <w:rFonts w:ascii="宋体"/>
      <w:sz w:val="18"/>
      <w:szCs w:val="20"/>
    </w:rPr>
  </w:style>
  <w:style w:type="paragraph" w:styleId="1063">
    <w:name w:val="Header"/>
    <w:basedOn w:val="1031"/>
    <w:link w:val="1258"/>
    <w:uiPriority w:val="0"/>
    <w:qFormat/>
    <w:pPr>
      <w:jc w:val="center"/>
      <w:tabs>
        <w:tab w:val="center" w:pos="4153" w:leader="none"/>
        <w:tab w:val="right" w:pos="8306" w:leader="none"/>
      </w:tabs>
      <w:pBdr>
        <w:bottom w:val="single" w:color="auto" w:sz="6" w:space="1"/>
      </w:pBdr>
    </w:pPr>
    <w:rPr>
      <w:sz w:val="18"/>
      <w:szCs w:val="18"/>
    </w:rPr>
  </w:style>
  <w:style w:type="paragraph" w:styleId="1064">
    <w:name w:val="toc 1"/>
    <w:basedOn w:val="1031"/>
    <w:next w:val="1031"/>
    <w:uiPriority w:val="39"/>
    <w:qFormat/>
    <w:pPr>
      <w:spacing w:line="300" w:lineRule="auto"/>
      <w:tabs>
        <w:tab w:val="left" w:pos="1050" w:leader="none"/>
        <w:tab w:val="right" w:pos="8937" w:leader="dot"/>
      </w:tabs>
    </w:pPr>
    <w:rPr>
      <w:rFonts w:ascii="宋体" w:hAnsi="宋体"/>
      <w:b/>
      <w:sz w:val="24"/>
    </w:rPr>
  </w:style>
  <w:style w:type="paragraph" w:styleId="1065">
    <w:name w:val="toc 4"/>
    <w:basedOn w:val="1031"/>
    <w:next w:val="1031"/>
    <w:uiPriority w:val="0"/>
    <w:qFormat/>
    <w:pPr>
      <w:ind w:left="1260"/>
    </w:pPr>
  </w:style>
  <w:style w:type="paragraph" w:styleId="1066">
    <w:name w:val="Subtitle"/>
    <w:basedOn w:val="1031"/>
    <w:next w:val="1031"/>
    <w:link w:val="1102"/>
    <w:uiPriority w:val="11"/>
    <w:qFormat/>
    <w:pPr>
      <w:spacing w:before="200" w:after="200"/>
    </w:pPr>
    <w:rPr>
      <w:sz w:val="24"/>
      <w:szCs w:val="24"/>
    </w:rPr>
  </w:style>
  <w:style w:type="paragraph" w:styleId="1067">
    <w:name w:val="footnote text"/>
    <w:basedOn w:val="1031"/>
    <w:link w:val="1235"/>
    <w:uiPriority w:val="99"/>
    <w:semiHidden/>
    <w:unhideWhenUsed/>
    <w:qFormat/>
    <w:pPr>
      <w:spacing w:after="40" w:line="240" w:lineRule="auto"/>
    </w:pPr>
    <w:rPr>
      <w:sz w:val="18"/>
    </w:rPr>
  </w:style>
  <w:style w:type="paragraph" w:styleId="1068">
    <w:name w:val="toc 6"/>
    <w:basedOn w:val="1031"/>
    <w:next w:val="1031"/>
    <w:uiPriority w:val="0"/>
    <w:qFormat/>
    <w:pPr>
      <w:ind w:left="2100"/>
    </w:pPr>
  </w:style>
  <w:style w:type="paragraph" w:styleId="1069">
    <w:name w:val="Body Text Indent 3"/>
    <w:basedOn w:val="1031"/>
    <w:link w:val="1259"/>
    <w:uiPriority w:val="0"/>
    <w:qFormat/>
    <w:pPr>
      <w:ind w:left="720" w:firstLine="480"/>
      <w:jc w:val="left"/>
      <w:spacing w:before="120" w:line="22" w:lineRule="atLeast"/>
    </w:pPr>
    <w:rPr>
      <w:rFonts w:ascii="宋体"/>
      <w:sz w:val="24"/>
      <w:szCs w:val="20"/>
    </w:rPr>
  </w:style>
  <w:style w:type="paragraph" w:styleId="1070">
    <w:name w:val="table of figures"/>
    <w:basedOn w:val="1031"/>
    <w:next w:val="1031"/>
    <w:uiPriority w:val="99"/>
    <w:unhideWhenUsed/>
    <w:qFormat/>
    <w:pPr>
      <w:spacing w:after="0" w:afterAutospacing="0"/>
    </w:pPr>
  </w:style>
  <w:style w:type="paragraph" w:styleId="1071">
    <w:name w:val="toc 2"/>
    <w:basedOn w:val="1031"/>
    <w:next w:val="1031"/>
    <w:uiPriority w:val="39"/>
    <w:qFormat/>
    <w:pPr>
      <w:ind w:left="420"/>
      <w:spacing w:line="312" w:lineRule="auto"/>
      <w:tabs>
        <w:tab w:val="right" w:pos="8937" w:leader="dot"/>
      </w:tabs>
    </w:pPr>
  </w:style>
  <w:style w:type="paragraph" w:styleId="1072">
    <w:name w:val="toc 9"/>
    <w:basedOn w:val="1031"/>
    <w:next w:val="1031"/>
    <w:uiPriority w:val="0"/>
    <w:qFormat/>
    <w:pPr>
      <w:ind w:left="3360"/>
    </w:pPr>
  </w:style>
  <w:style w:type="paragraph" w:styleId="1073">
    <w:name w:val="HTML Preformatted"/>
    <w:basedOn w:val="1031"/>
    <w:link w:val="12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4">
    <w:name w:val="Normal (Web)"/>
    <w:basedOn w:val="1031"/>
    <w:uiPriority w:val="99"/>
    <w:unhideWhenUsed/>
    <w:qFormat/>
    <w:pPr>
      <w:jc w:val="left"/>
      <w:spacing w:before="100" w:beforeAutospacing="1" w:after="100" w:afterAutospacing="1"/>
      <w:widowControl/>
    </w:pPr>
    <w:rPr>
      <w:rFonts w:ascii="宋体" w:hAnsi="宋体" w:cs="宋体"/>
      <w:sz w:val="24"/>
    </w:rPr>
  </w:style>
  <w:style w:type="paragraph" w:styleId="1075">
    <w:name w:val="index 1"/>
    <w:basedOn w:val="1031"/>
    <w:next w:val="1031"/>
    <w:uiPriority w:val="0"/>
    <w:qFormat/>
    <w:rPr>
      <w:szCs w:val="20"/>
    </w:rPr>
  </w:style>
  <w:style w:type="paragraph" w:styleId="1076">
    <w:name w:val="Title"/>
    <w:basedOn w:val="1031"/>
    <w:link w:val="1261"/>
    <w:uiPriority w:val="0"/>
    <w:qFormat/>
    <w:pPr>
      <w:jc w:val="center"/>
      <w:outlineLvl w:val="0"/>
    </w:pPr>
    <w:rPr>
      <w:b/>
      <w:sz w:val="32"/>
      <w:szCs w:val="20"/>
    </w:rPr>
  </w:style>
  <w:style w:type="paragraph" w:styleId="1077">
    <w:name w:val="annotation subject"/>
    <w:basedOn w:val="1047"/>
    <w:next w:val="1047"/>
    <w:link w:val="1262"/>
    <w:uiPriority w:val="0"/>
    <w:qFormat/>
    <w:rPr>
      <w:b/>
      <w:bCs/>
    </w:rPr>
  </w:style>
  <w:style w:type="paragraph" w:styleId="1078">
    <w:name w:val="Body Text First Indent"/>
    <w:basedOn w:val="1049"/>
    <w:uiPriority w:val="0"/>
    <w:qFormat/>
    <w:pPr>
      <w:ind w:firstLine="420"/>
      <w:spacing w:after="120"/>
    </w:pPr>
    <w:rPr>
      <w:rFonts w:ascii="Calibri" w:hAnsi="Calibri"/>
      <w:sz w:val="21"/>
    </w:rPr>
  </w:style>
  <w:style w:type="paragraph" w:styleId="1079">
    <w:name w:val="Body Text First Indent 2"/>
    <w:basedOn w:val="1050"/>
    <w:link w:val="1263"/>
    <w:uiPriority w:val="0"/>
    <w:qFormat/>
    <w:pPr>
      <w:ind w:left="420" w:firstLine="420"/>
      <w:spacing w:after="120" w:line="480" w:lineRule="exact"/>
    </w:pPr>
  </w:style>
  <w:style w:type="table" w:styleId="1080">
    <w:name w:val="Table Grid"/>
    <w:basedOn w:val="10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1">
    <w:name w:val="Medium Grid 1 Accent 2"/>
    <w:basedOn w:val="104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82">
    <w:name w:val="Strong"/>
    <w:uiPriority w:val="0"/>
    <w:qFormat/>
    <w:rPr>
      <w:b/>
      <w:bCs/>
    </w:rPr>
  </w:style>
  <w:style w:type="character" w:styleId="1083">
    <w:name w:val="endnote reference"/>
    <w:basedOn w:val="1041"/>
    <w:uiPriority w:val="99"/>
    <w:semiHidden/>
    <w:unhideWhenUsed/>
    <w:qFormat/>
    <w:rPr>
      <w:vertAlign w:val="superscript"/>
    </w:rPr>
  </w:style>
  <w:style w:type="character" w:styleId="1084">
    <w:name w:val="page number"/>
    <w:uiPriority w:val="0"/>
    <w:qFormat/>
  </w:style>
  <w:style w:type="character" w:styleId="1085">
    <w:name w:val="FollowedHyperlink"/>
    <w:uiPriority w:val="0"/>
    <w:qFormat/>
    <w:rPr>
      <w:color w:val="800080"/>
      <w:u w:val="single"/>
    </w:rPr>
  </w:style>
  <w:style w:type="character" w:styleId="1086">
    <w:name w:val="Emphasis"/>
    <w:uiPriority w:val="0"/>
    <w:qFormat/>
    <w:rPr>
      <w:color w:val="cc0033"/>
    </w:rPr>
  </w:style>
  <w:style w:type="character" w:styleId="1087">
    <w:name w:val="Hyperlink"/>
    <w:uiPriority w:val="99"/>
    <w:qFormat/>
    <w:rPr>
      <w:color w:val="0000ff"/>
      <w:u w:val="single"/>
    </w:rPr>
  </w:style>
  <w:style w:type="character" w:styleId="1088">
    <w:name w:val="annotation reference"/>
    <w:uiPriority w:val="99"/>
    <w:qFormat/>
    <w:rPr>
      <w:sz w:val="21"/>
      <w:szCs w:val="21"/>
    </w:rPr>
  </w:style>
  <w:style w:type="character" w:styleId="1089">
    <w:name w:val="HTML Cite"/>
    <w:uiPriority w:val="0"/>
    <w:qFormat/>
    <w:rPr>
      <w:i/>
      <w:iCs/>
    </w:rPr>
  </w:style>
  <w:style w:type="character" w:styleId="1090">
    <w:name w:val="footnote reference"/>
    <w:basedOn w:val="1041"/>
    <w:uiPriority w:val="99"/>
    <w:unhideWhenUsed/>
    <w:qFormat/>
    <w:rPr>
      <w:vertAlign w:val="superscript"/>
    </w:rPr>
  </w:style>
  <w:style w:type="character" w:styleId="1091" w:customStyle="1">
    <w:name w:val="Heading 1 Char"/>
    <w:basedOn w:val="1041"/>
    <w:uiPriority w:val="9"/>
    <w:qFormat/>
    <w:rPr>
      <w:rFonts w:ascii="Arial" w:hAnsi="Arial" w:eastAsia="Arial" w:cs="Arial"/>
      <w:sz w:val="40"/>
      <w:szCs w:val="40"/>
    </w:rPr>
  </w:style>
  <w:style w:type="character" w:styleId="1092" w:customStyle="1">
    <w:name w:val="Heading 2 Char"/>
    <w:basedOn w:val="1041"/>
    <w:uiPriority w:val="9"/>
    <w:qFormat/>
    <w:rPr>
      <w:rFonts w:ascii="Arial" w:hAnsi="Arial" w:eastAsia="Arial" w:cs="Arial"/>
      <w:sz w:val="34"/>
    </w:rPr>
  </w:style>
  <w:style w:type="character" w:styleId="1093" w:customStyle="1">
    <w:name w:val="Heading 3 Char"/>
    <w:basedOn w:val="1041"/>
    <w:uiPriority w:val="9"/>
    <w:qFormat/>
    <w:rPr>
      <w:rFonts w:ascii="Arial" w:hAnsi="Arial" w:eastAsia="Arial" w:cs="Arial"/>
      <w:sz w:val="30"/>
      <w:szCs w:val="30"/>
    </w:rPr>
  </w:style>
  <w:style w:type="character" w:styleId="1094" w:customStyle="1">
    <w:name w:val="Heading 4 Char"/>
    <w:basedOn w:val="1041"/>
    <w:uiPriority w:val="9"/>
    <w:qFormat/>
    <w:rPr>
      <w:rFonts w:ascii="Arial" w:hAnsi="Arial" w:eastAsia="Arial" w:cs="Arial"/>
      <w:b/>
      <w:bCs/>
      <w:sz w:val="26"/>
      <w:szCs w:val="26"/>
    </w:rPr>
  </w:style>
  <w:style w:type="character" w:styleId="1095" w:customStyle="1">
    <w:name w:val="Heading 5 Char"/>
    <w:basedOn w:val="1041"/>
    <w:uiPriority w:val="9"/>
    <w:qFormat/>
    <w:rPr>
      <w:rFonts w:ascii="Arial" w:hAnsi="Arial" w:eastAsia="Arial" w:cs="Arial"/>
      <w:b/>
      <w:bCs/>
      <w:sz w:val="24"/>
      <w:szCs w:val="24"/>
    </w:rPr>
  </w:style>
  <w:style w:type="character" w:styleId="1096" w:customStyle="1">
    <w:name w:val="Heading 6 Char"/>
    <w:basedOn w:val="1041"/>
    <w:uiPriority w:val="9"/>
    <w:qFormat/>
    <w:rPr>
      <w:rFonts w:ascii="Arial" w:hAnsi="Arial" w:eastAsia="Arial" w:cs="Arial"/>
      <w:b/>
      <w:bCs/>
      <w:sz w:val="22"/>
      <w:szCs w:val="22"/>
    </w:rPr>
  </w:style>
  <w:style w:type="character" w:styleId="1097" w:customStyle="1">
    <w:name w:val="Heading 7 Char"/>
    <w:basedOn w:val="1041"/>
    <w:uiPriority w:val="9"/>
    <w:qFormat/>
    <w:rPr>
      <w:rFonts w:ascii="Arial" w:hAnsi="Arial" w:eastAsia="Arial" w:cs="Arial"/>
      <w:b/>
      <w:bCs/>
      <w:i/>
      <w:iCs/>
      <w:sz w:val="22"/>
      <w:szCs w:val="22"/>
    </w:rPr>
  </w:style>
  <w:style w:type="character" w:styleId="1098" w:customStyle="1">
    <w:name w:val="Heading 8 Char"/>
    <w:basedOn w:val="1041"/>
    <w:uiPriority w:val="9"/>
    <w:qFormat/>
    <w:rPr>
      <w:rFonts w:ascii="Arial" w:hAnsi="Arial" w:eastAsia="Arial" w:cs="Arial"/>
      <w:i/>
      <w:iCs/>
      <w:sz w:val="22"/>
      <w:szCs w:val="22"/>
    </w:rPr>
  </w:style>
  <w:style w:type="character" w:styleId="1099" w:customStyle="1">
    <w:name w:val="Heading 9 Char"/>
    <w:basedOn w:val="1041"/>
    <w:uiPriority w:val="9"/>
    <w:qFormat/>
    <w:rPr>
      <w:rFonts w:ascii="Arial" w:hAnsi="Arial" w:eastAsia="Arial" w:cs="Arial"/>
      <w:i/>
      <w:iCs/>
      <w:sz w:val="21"/>
      <w:szCs w:val="21"/>
    </w:rPr>
  </w:style>
  <w:style w:type="paragraph" w:styleId="1100">
    <w:name w:val="No Spacing"/>
    <w:uiPriority w:val="1"/>
    <w:qFormat/>
    <w:pPr>
      <w:spacing w:before="0" w:after="0" w:line="240" w:lineRule="auto"/>
    </w:pPr>
    <w:rPr>
      <w:rFonts w:hint="default" w:ascii="Times New Roman" w:hAnsi="Times New Roman" w:eastAsia="宋体" w:cs="Times New Roman"/>
    </w:rPr>
  </w:style>
  <w:style w:type="character" w:styleId="1101" w:customStyle="1">
    <w:name w:val="Title Char"/>
    <w:basedOn w:val="1041"/>
    <w:uiPriority w:val="10"/>
    <w:qFormat/>
    <w:rPr>
      <w:sz w:val="48"/>
      <w:szCs w:val="48"/>
    </w:rPr>
  </w:style>
  <w:style w:type="character" w:styleId="1102" w:customStyle="1">
    <w:name w:val="Subtitle Char"/>
    <w:basedOn w:val="1041"/>
    <w:link w:val="1066"/>
    <w:uiPriority w:val="11"/>
    <w:qFormat/>
    <w:rPr>
      <w:sz w:val="24"/>
      <w:szCs w:val="24"/>
    </w:rPr>
  </w:style>
  <w:style w:type="paragraph" w:styleId="1103">
    <w:name w:val="Quote"/>
    <w:basedOn w:val="1031"/>
    <w:next w:val="1031"/>
    <w:link w:val="1104"/>
    <w:uiPriority w:val="29"/>
    <w:qFormat/>
    <w:pPr>
      <w:ind w:left="720" w:right="720"/>
    </w:pPr>
    <w:rPr>
      <w:i/>
    </w:rPr>
  </w:style>
  <w:style w:type="character" w:styleId="1104" w:customStyle="1">
    <w:name w:val="Quote Char"/>
    <w:link w:val="1103"/>
    <w:uiPriority w:val="29"/>
    <w:qFormat/>
    <w:rPr>
      <w:i/>
    </w:rPr>
  </w:style>
  <w:style w:type="paragraph" w:styleId="1105">
    <w:name w:val="Intense Quote"/>
    <w:basedOn w:val="1031"/>
    <w:next w:val="1031"/>
    <w:link w:val="11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6" w:customStyle="1">
    <w:name w:val="Intense Quote Char"/>
    <w:link w:val="1105"/>
    <w:uiPriority w:val="30"/>
    <w:qFormat/>
    <w:rPr>
      <w:i/>
    </w:rPr>
  </w:style>
  <w:style w:type="character" w:styleId="1107" w:customStyle="1">
    <w:name w:val="Header Char"/>
    <w:basedOn w:val="1041"/>
    <w:uiPriority w:val="99"/>
    <w:qFormat/>
  </w:style>
  <w:style w:type="character" w:styleId="1108" w:customStyle="1">
    <w:name w:val="Footer Char"/>
    <w:basedOn w:val="1041"/>
    <w:uiPriority w:val="99"/>
    <w:qFormat/>
  </w:style>
  <w:style w:type="character" w:styleId="1109" w:customStyle="1">
    <w:name w:val="Caption Char"/>
    <w:uiPriority w:val="99"/>
    <w:qFormat/>
  </w:style>
  <w:style w:type="table" w:styleId="1110" w:customStyle="1">
    <w:name w:val="Table Grid Light"/>
    <w:basedOn w:val="10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1" w:customStyle="1">
    <w:name w:val="Plain Table 1"/>
    <w:basedOn w:val="10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2" w:customStyle="1">
    <w:name w:val="Plain Table 2"/>
    <w:basedOn w:val="10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3" w:customStyle="1">
    <w:name w:val="Plain Table 3"/>
    <w:basedOn w:val="10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4" w:customStyle="1">
    <w:name w:val="Plain Table 4"/>
    <w:basedOn w:val="10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5" w:customStyle="1">
    <w:name w:val="Plain Table 5"/>
    <w:basedOn w:val="10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6" w:customStyle="1">
    <w:name w:val="Grid Table 1 Light"/>
    <w:basedOn w:val="10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1"/>
    <w:basedOn w:val="104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2"/>
    <w:basedOn w:val="104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3"/>
    <w:basedOn w:val="10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4"/>
    <w:basedOn w:val="10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5"/>
    <w:basedOn w:val="10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6"/>
    <w:basedOn w:val="10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3" w:customStyle="1">
    <w:name w:val="Grid Table 2"/>
    <w:basedOn w:val="10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4" w:customStyle="1">
    <w:name w:val="Grid Table 2 - Accent 1"/>
    <w:basedOn w:val="10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5" w:customStyle="1">
    <w:name w:val="Grid Table 2 - Accent 2"/>
    <w:basedOn w:val="10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6" w:customStyle="1">
    <w:name w:val="Grid Table 2 - Accent 3"/>
    <w:basedOn w:val="10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7" w:customStyle="1">
    <w:name w:val="Grid Table 2 - Accent 4"/>
    <w:basedOn w:val="10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8" w:customStyle="1">
    <w:name w:val="Grid Table 2 - Accent 5"/>
    <w:basedOn w:val="10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9" w:customStyle="1">
    <w:name w:val="Grid Table 2 - Accent 6"/>
    <w:basedOn w:val="104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0" w:customStyle="1">
    <w:name w:val="Grid Table 3"/>
    <w:basedOn w:val="10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1"/>
    <w:basedOn w:val="10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2"/>
    <w:basedOn w:val="10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3"/>
    <w:basedOn w:val="10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4"/>
    <w:basedOn w:val="10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5"/>
    <w:basedOn w:val="10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6"/>
    <w:basedOn w:val="104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4"/>
    <w:basedOn w:val="10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8" w:customStyle="1">
    <w:name w:val="Grid Table 4 - Accent 1"/>
    <w:basedOn w:val="104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9" w:customStyle="1">
    <w:name w:val="Grid Table 4 - Accent 2"/>
    <w:basedOn w:val="104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0" w:customStyle="1">
    <w:name w:val="Grid Table 4 - Accent 3"/>
    <w:basedOn w:val="104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1" w:customStyle="1">
    <w:name w:val="Grid Table 4 - Accent 4"/>
    <w:basedOn w:val="104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2" w:customStyle="1">
    <w:name w:val="Grid Table 4 - Accent 5"/>
    <w:basedOn w:val="104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3" w:customStyle="1">
    <w:name w:val="Grid Table 4 - Accent 6"/>
    <w:basedOn w:val="104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4" w:customStyle="1">
    <w:name w:val="Grid Table 5 Dark"/>
    <w:basedOn w:val="10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5" w:customStyle="1">
    <w:name w:val="Grid Table 5 Dark- Accent 1"/>
    <w:basedOn w:val="10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6" w:customStyle="1">
    <w:name w:val="Grid Table 5 Dark - Accent 2"/>
    <w:basedOn w:val="10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7" w:customStyle="1">
    <w:name w:val="Grid Table 5 Dark - Accent 3"/>
    <w:basedOn w:val="10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8" w:customStyle="1">
    <w:name w:val="Grid Table 5 Dark- Accent 4"/>
    <w:basedOn w:val="10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9" w:customStyle="1">
    <w:name w:val="Grid Table 5 Dark - Accent 5"/>
    <w:basedOn w:val="10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0" w:customStyle="1">
    <w:name w:val="Grid Table 5 Dark - Accent 6"/>
    <w:basedOn w:val="10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1" w:customStyle="1">
    <w:name w:val="Grid Table 6 Colorful"/>
    <w:basedOn w:val="10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2" w:customStyle="1">
    <w:name w:val="Grid Table 6 Colorful - Accent 1"/>
    <w:basedOn w:val="104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3" w:customStyle="1">
    <w:name w:val="Grid Table 6 Colorful - Accent 2"/>
    <w:basedOn w:val="10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4" w:customStyle="1">
    <w:name w:val="Grid Table 6 Colorful - Accent 3"/>
    <w:basedOn w:val="104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5" w:customStyle="1">
    <w:name w:val="Grid Table 6 Colorful - Accent 4"/>
    <w:basedOn w:val="10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6" w:customStyle="1">
    <w:name w:val="Grid Table 6 Colorful - Accent 5"/>
    <w:basedOn w:val="104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7" w:customStyle="1">
    <w:name w:val="Grid Table 6 Colorful - Accent 6"/>
    <w:basedOn w:val="104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8" w:customStyle="1">
    <w:name w:val="Grid Table 7 Colorful"/>
    <w:basedOn w:val="10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9" w:customStyle="1">
    <w:name w:val="Grid Table 7 Colorful - Accent 1"/>
    <w:basedOn w:val="104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0" w:customStyle="1">
    <w:name w:val="Grid Table 7 Colorful - Accent 2"/>
    <w:basedOn w:val="104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1" w:customStyle="1">
    <w:name w:val="Grid Table 7 Colorful - Accent 3"/>
    <w:basedOn w:val="104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2" w:customStyle="1">
    <w:name w:val="Grid Table 7 Colorful - Accent 4"/>
    <w:basedOn w:val="104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3" w:customStyle="1">
    <w:name w:val="Grid Table 7 Colorful - Accent 5"/>
    <w:basedOn w:val="104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4" w:customStyle="1">
    <w:name w:val="Grid Table 7 Colorful - Accent 6"/>
    <w:basedOn w:val="104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5" w:customStyle="1">
    <w:name w:val="List Table 1 Light"/>
    <w:basedOn w:val="10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6" w:customStyle="1">
    <w:name w:val="List Table 1 Light - Accent 1"/>
    <w:basedOn w:val="104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7" w:customStyle="1">
    <w:name w:val="List Table 1 Light - Accent 2"/>
    <w:basedOn w:val="104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8" w:customStyle="1">
    <w:name w:val="List Table 1 Light - Accent 3"/>
    <w:basedOn w:val="104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9" w:customStyle="1">
    <w:name w:val="List Table 1 Light - Accent 4"/>
    <w:basedOn w:val="104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0" w:customStyle="1">
    <w:name w:val="List Table 1 Light - Accent 5"/>
    <w:basedOn w:val="104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1" w:customStyle="1">
    <w:name w:val="List Table 1 Light - Accent 6"/>
    <w:basedOn w:val="104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2" w:customStyle="1">
    <w:name w:val="List Table 2"/>
    <w:basedOn w:val="10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3" w:customStyle="1">
    <w:name w:val="List Table 2 - Accent 1"/>
    <w:basedOn w:val="104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4" w:customStyle="1">
    <w:name w:val="List Table 2 - Accent 2"/>
    <w:basedOn w:val="104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5" w:customStyle="1">
    <w:name w:val="List Table 2 - Accent 3"/>
    <w:basedOn w:val="104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6" w:customStyle="1">
    <w:name w:val="List Table 2 - Accent 4"/>
    <w:basedOn w:val="104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7" w:customStyle="1">
    <w:name w:val="List Table 2 - Accent 5"/>
    <w:basedOn w:val="104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8" w:customStyle="1">
    <w:name w:val="List Table 2 - Accent 6"/>
    <w:basedOn w:val="104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9" w:customStyle="1">
    <w:name w:val="List Table 3"/>
    <w:basedOn w:val="10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0" w:customStyle="1">
    <w:name w:val="List Table 3 - Accent 1"/>
    <w:basedOn w:val="104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1" w:customStyle="1">
    <w:name w:val="List Table 3 - Accent 2"/>
    <w:basedOn w:val="10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2" w:customStyle="1">
    <w:name w:val="List Table 3 - Accent 3"/>
    <w:basedOn w:val="104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3" w:customStyle="1">
    <w:name w:val="List Table 3 - Accent 4"/>
    <w:basedOn w:val="10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4" w:customStyle="1">
    <w:name w:val="List Table 3 - Accent 5"/>
    <w:basedOn w:val="104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5" w:customStyle="1">
    <w:name w:val="List Table 3 - Accent 6"/>
    <w:basedOn w:val="104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6" w:customStyle="1">
    <w:name w:val="List Table 4"/>
    <w:basedOn w:val="10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7" w:customStyle="1">
    <w:name w:val="List Table 4 - Accent 1"/>
    <w:basedOn w:val="104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8" w:customStyle="1">
    <w:name w:val="List Table 4 - Accent 2"/>
    <w:basedOn w:val="104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9" w:customStyle="1">
    <w:name w:val="List Table 4 - Accent 3"/>
    <w:basedOn w:val="104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0" w:customStyle="1">
    <w:name w:val="List Table 4 - Accent 4"/>
    <w:basedOn w:val="104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1" w:customStyle="1">
    <w:name w:val="List Table 4 - Accent 5"/>
    <w:basedOn w:val="104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2" w:customStyle="1">
    <w:name w:val="List Table 4 - Accent 6"/>
    <w:basedOn w:val="104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3" w:customStyle="1">
    <w:name w:val="List Table 5 Dark"/>
    <w:basedOn w:val="10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1"/>
    <w:basedOn w:val="104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2"/>
    <w:basedOn w:val="104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3"/>
    <w:basedOn w:val="104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4"/>
    <w:basedOn w:val="104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5"/>
    <w:basedOn w:val="104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6"/>
    <w:basedOn w:val="104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6 Colorful"/>
    <w:basedOn w:val="10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1" w:customStyle="1">
    <w:name w:val="List Table 6 Colorful - Accent 1"/>
    <w:basedOn w:val="104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2" w:customStyle="1">
    <w:name w:val="List Table 6 Colorful - Accent 2"/>
    <w:basedOn w:val="104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3" w:customStyle="1">
    <w:name w:val="List Table 6 Colorful - Accent 3"/>
    <w:basedOn w:val="104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4" w:customStyle="1">
    <w:name w:val="List Table 6 Colorful - Accent 4"/>
    <w:basedOn w:val="104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5" w:customStyle="1">
    <w:name w:val="List Table 6 Colorful - Accent 5"/>
    <w:basedOn w:val="1042"/>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6" w:customStyle="1">
    <w:name w:val="List Table 6 Colorful - Accent 6"/>
    <w:basedOn w:val="104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7" w:customStyle="1">
    <w:name w:val="List Table 7 Colorful"/>
    <w:basedOn w:val="10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8" w:customStyle="1">
    <w:name w:val="List Table 7 Colorful - Accent 1"/>
    <w:basedOn w:val="104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9" w:customStyle="1">
    <w:name w:val="List Table 7 Colorful - Accent 2"/>
    <w:basedOn w:val="104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0" w:customStyle="1">
    <w:name w:val="List Table 7 Colorful - Accent 3"/>
    <w:basedOn w:val="104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1" w:customStyle="1">
    <w:name w:val="List Table 7 Colorful - Accent 4"/>
    <w:basedOn w:val="104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2" w:customStyle="1">
    <w:name w:val="List Table 7 Colorful - Accent 5"/>
    <w:basedOn w:val="104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3" w:customStyle="1">
    <w:name w:val="List Table 7 Colorful - Accent 6"/>
    <w:basedOn w:val="104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4" w:customStyle="1">
    <w:name w:val="Lined - Accent"/>
    <w:basedOn w:val="10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5" w:customStyle="1">
    <w:name w:val="Lined - Accent 1"/>
    <w:basedOn w:val="10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6" w:customStyle="1">
    <w:name w:val="Lined - Accent 2"/>
    <w:basedOn w:val="10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7" w:customStyle="1">
    <w:name w:val="Lined - Accent 3"/>
    <w:basedOn w:val="10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8" w:customStyle="1">
    <w:name w:val="Lined - Accent 4"/>
    <w:basedOn w:val="10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9" w:customStyle="1">
    <w:name w:val="Lined - Accent 5"/>
    <w:basedOn w:val="10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0" w:customStyle="1">
    <w:name w:val="Lined - Accent 6"/>
    <w:basedOn w:val="10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1" w:customStyle="1">
    <w:name w:val="Bordered &amp; Lined - Accent"/>
    <w:basedOn w:val="104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2" w:customStyle="1">
    <w:name w:val="Bordered &amp; Lined - Accent 1"/>
    <w:basedOn w:val="1042"/>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3" w:customStyle="1">
    <w:name w:val="Bordered &amp; Lined - Accent 2"/>
    <w:basedOn w:val="104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4" w:customStyle="1">
    <w:name w:val="Bordered &amp; Lined - Accent 3"/>
    <w:basedOn w:val="104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5" w:customStyle="1">
    <w:name w:val="Bordered &amp; Lined - Accent 4"/>
    <w:basedOn w:val="104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6" w:customStyle="1">
    <w:name w:val="Bordered &amp; Lined - Accent 5"/>
    <w:basedOn w:val="104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7" w:customStyle="1">
    <w:name w:val="Bordered &amp; Lined - Accent 6"/>
    <w:basedOn w:val="104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8" w:customStyle="1">
    <w:name w:val="Bordered"/>
    <w:basedOn w:val="104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9" w:customStyle="1">
    <w:name w:val="Bordered - Accent 1"/>
    <w:basedOn w:val="1042"/>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0" w:customStyle="1">
    <w:name w:val="Bordered - Accent 2"/>
    <w:basedOn w:val="104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1" w:customStyle="1">
    <w:name w:val="Bordered - Accent 3"/>
    <w:basedOn w:val="10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2" w:customStyle="1">
    <w:name w:val="Bordered - Accent 4"/>
    <w:basedOn w:val="10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3" w:customStyle="1">
    <w:name w:val="Bordered - Accent 5"/>
    <w:basedOn w:val="10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4" w:customStyle="1">
    <w:name w:val="Bordered - Accent 6"/>
    <w:basedOn w:val="10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5" w:customStyle="1">
    <w:name w:val="Footnote Text Char"/>
    <w:link w:val="1067"/>
    <w:uiPriority w:val="99"/>
    <w:qFormat/>
    <w:rPr>
      <w:sz w:val="18"/>
    </w:rPr>
  </w:style>
  <w:style w:type="character" w:styleId="1236" w:customStyle="1">
    <w:name w:val="Endnote Text Char"/>
    <w:link w:val="1060"/>
    <w:uiPriority w:val="99"/>
    <w:rPr>
      <w:sz w:val="20"/>
    </w:rPr>
  </w:style>
  <w:style w:type="paragraph" w:styleId="1237" w:customStyle="1">
    <w:name w:val="TOC Heading"/>
    <w:uiPriority w:val="39"/>
    <w:unhideWhenUsed/>
    <w:qFormat/>
    <w:rPr>
      <w:rFonts w:hint="default" w:ascii="Times New Roman" w:hAnsi="Times New Roman" w:eastAsia="宋体" w:cs="Times New Roman"/>
    </w:rPr>
  </w:style>
  <w:style w:type="character" w:styleId="1238" w:customStyle="1">
    <w:name w:val="标题 1 Char"/>
    <w:link w:val="1032"/>
    <w:uiPriority w:val="0"/>
    <w:qFormat/>
    <w:rPr>
      <w:rFonts w:ascii="宋体"/>
      <w:b/>
      <w:sz w:val="32"/>
    </w:rPr>
  </w:style>
  <w:style w:type="character" w:styleId="1239" w:customStyle="1">
    <w:name w:val="标题 2 Char1"/>
    <w:link w:val="1033"/>
    <w:uiPriority w:val="0"/>
    <w:qFormat/>
    <w:rPr>
      <w:rFonts w:ascii="Arial" w:hAnsi="Arial" w:eastAsia="黑体"/>
      <w:b/>
      <w:sz w:val="30"/>
      <w:lang w:val="en-US" w:eastAsia="zh-CN" w:bidi="ar-SA"/>
    </w:rPr>
  </w:style>
  <w:style w:type="character" w:styleId="1240" w:customStyle="1">
    <w:name w:val="正文缩进 Char1"/>
    <w:link w:val="1043"/>
    <w:uiPriority w:val="0"/>
    <w:qFormat/>
    <w:rPr>
      <w:rFonts w:ascii="宋体" w:eastAsia="宋体"/>
      <w:sz w:val="24"/>
      <w:szCs w:val="24"/>
      <w:lang w:val="en-US" w:eastAsia="zh-CN" w:bidi="ar-SA"/>
    </w:rPr>
  </w:style>
  <w:style w:type="character" w:styleId="1241" w:customStyle="1">
    <w:name w:val="标题 3 Char1"/>
    <w:link w:val="1034"/>
    <w:uiPriority w:val="0"/>
    <w:qFormat/>
    <w:rPr>
      <w:rFonts w:ascii="宋体" w:eastAsia="宋体"/>
      <w:b/>
      <w:sz w:val="24"/>
      <w:u w:val="single"/>
      <w:lang w:val="en-US" w:eastAsia="zh-CN" w:bidi="ar-SA"/>
    </w:rPr>
  </w:style>
  <w:style w:type="character" w:styleId="1242" w:customStyle="1">
    <w:name w:val="标题 4 Char"/>
    <w:link w:val="1035"/>
    <w:uiPriority w:val="0"/>
    <w:qFormat/>
    <w:rPr>
      <w:rFonts w:ascii="Arial" w:hAnsi="Arial" w:eastAsia="黑体"/>
      <w:b/>
      <w:sz w:val="28"/>
    </w:rPr>
  </w:style>
  <w:style w:type="character" w:styleId="1243" w:customStyle="1">
    <w:name w:val="标题 5 Char"/>
    <w:link w:val="1036"/>
    <w:uiPriority w:val="0"/>
    <w:qFormat/>
    <w:rPr>
      <w:b/>
      <w:sz w:val="28"/>
    </w:rPr>
  </w:style>
  <w:style w:type="character" w:styleId="1244" w:customStyle="1">
    <w:name w:val="标题 6 Char"/>
    <w:link w:val="1037"/>
    <w:uiPriority w:val="0"/>
    <w:qFormat/>
    <w:rPr>
      <w:rFonts w:ascii="Arial" w:hAnsi="Arial" w:eastAsia="黑体"/>
      <w:b/>
      <w:sz w:val="24"/>
    </w:rPr>
  </w:style>
  <w:style w:type="character" w:styleId="1245" w:customStyle="1">
    <w:name w:val="标题 7 Char"/>
    <w:link w:val="1038"/>
    <w:uiPriority w:val="0"/>
    <w:qFormat/>
    <w:rPr>
      <w:b/>
      <w:sz w:val="24"/>
    </w:rPr>
  </w:style>
  <w:style w:type="character" w:styleId="1246" w:customStyle="1">
    <w:name w:val="标题 8 Char"/>
    <w:link w:val="1039"/>
    <w:uiPriority w:val="0"/>
    <w:qFormat/>
    <w:rPr>
      <w:rFonts w:ascii="Arial" w:hAnsi="Arial" w:eastAsia="黑体"/>
      <w:sz w:val="24"/>
    </w:rPr>
  </w:style>
  <w:style w:type="character" w:styleId="1247" w:customStyle="1">
    <w:name w:val="标题 9 Char"/>
    <w:link w:val="1040"/>
    <w:uiPriority w:val="0"/>
    <w:qFormat/>
    <w:rPr>
      <w:rFonts w:ascii="Arial" w:hAnsi="Arial" w:eastAsia="黑体"/>
      <w:sz w:val="21"/>
    </w:rPr>
  </w:style>
  <w:style w:type="character" w:styleId="1248" w:customStyle="1">
    <w:name w:val="文档结构图 Char"/>
    <w:link w:val="1046"/>
    <w:uiPriority w:val="0"/>
    <w:qFormat/>
    <w:rPr>
      <w:sz w:val="21"/>
      <w:szCs w:val="24"/>
      <w:shd w:val="clear" w:color="auto" w:fill="000080"/>
    </w:rPr>
  </w:style>
  <w:style w:type="character" w:styleId="1249" w:customStyle="1">
    <w:name w:val="批注文字 Char1"/>
    <w:link w:val="1047"/>
    <w:uiPriority w:val="99"/>
    <w:qFormat/>
    <w:rPr>
      <w:sz w:val="21"/>
      <w:szCs w:val="24"/>
    </w:rPr>
  </w:style>
  <w:style w:type="character" w:styleId="1250" w:customStyle="1">
    <w:name w:val="正文文本 3 Char"/>
    <w:link w:val="1048"/>
    <w:uiPriority w:val="0"/>
    <w:qFormat/>
    <w:rPr>
      <w:sz w:val="16"/>
      <w:szCs w:val="16"/>
    </w:rPr>
  </w:style>
  <w:style w:type="character" w:styleId="1251" w:customStyle="1">
    <w:name w:val="正文文本 Char"/>
    <w:link w:val="1049"/>
    <w:uiPriority w:val="0"/>
    <w:qFormat/>
    <w:rPr>
      <w:rFonts w:ascii="宋体" w:hAnsi="宋体"/>
      <w:sz w:val="24"/>
      <w:szCs w:val="24"/>
    </w:rPr>
  </w:style>
  <w:style w:type="character" w:styleId="1252" w:customStyle="1">
    <w:name w:val="正文文本缩进 Char2"/>
    <w:link w:val="1050"/>
    <w:uiPriority w:val="0"/>
    <w:qFormat/>
    <w:rPr>
      <w:rFonts w:eastAsia="宋体"/>
      <w:sz w:val="24"/>
      <w:szCs w:val="24"/>
      <w:lang w:val="en-US" w:eastAsia="zh-CN" w:bidi="ar-SA"/>
    </w:rPr>
  </w:style>
  <w:style w:type="character" w:styleId="1253" w:customStyle="1">
    <w:name w:val="纯文本 Char"/>
    <w:link w:val="1056"/>
    <w:uiPriority w:val="0"/>
    <w:qFormat/>
    <w:rPr>
      <w:rFonts w:hint="eastAsia" w:ascii="宋体" w:hAnsi="Courier New" w:eastAsia="宋体" w:cs="宋体"/>
      <w:sz w:val="21"/>
    </w:rPr>
  </w:style>
  <w:style w:type="character" w:styleId="1254" w:customStyle="1">
    <w:name w:val="日期 Char"/>
    <w:link w:val="1058"/>
    <w:uiPriority w:val="0"/>
    <w:qFormat/>
    <w:rPr>
      <w:rFonts w:ascii="仿宋_GB2312" w:hAnsi="宋体" w:eastAsia="仿宋_GB2312"/>
      <w:color w:val="000000"/>
      <w:sz w:val="24"/>
      <w:szCs w:val="24"/>
    </w:rPr>
  </w:style>
  <w:style w:type="character" w:styleId="1255" w:customStyle="1">
    <w:name w:val="正文文本缩进 2 Char"/>
    <w:link w:val="1059"/>
    <w:uiPriority w:val="0"/>
    <w:qFormat/>
    <w:rPr>
      <w:rFonts w:ascii="仿宋_GB2312" w:eastAsia="仿宋_GB2312"/>
      <w:sz w:val="24"/>
      <w:szCs w:val="24"/>
    </w:rPr>
  </w:style>
  <w:style w:type="character" w:styleId="1256" w:customStyle="1">
    <w:name w:val="批注框文本 Char"/>
    <w:link w:val="1061"/>
    <w:uiPriority w:val="0"/>
    <w:qFormat/>
    <w:rPr>
      <w:sz w:val="18"/>
      <w:szCs w:val="18"/>
    </w:rPr>
  </w:style>
  <w:style w:type="character" w:styleId="1257" w:customStyle="1">
    <w:name w:val="页脚 Char1"/>
    <w:link w:val="1062"/>
    <w:uiPriority w:val="99"/>
    <w:qFormat/>
    <w:rPr>
      <w:rFonts w:ascii="宋体" w:eastAsia="宋体"/>
      <w:sz w:val="18"/>
      <w:lang w:val="en-US" w:eastAsia="zh-CN" w:bidi="ar-SA"/>
    </w:rPr>
  </w:style>
  <w:style w:type="character" w:styleId="1258" w:customStyle="1">
    <w:name w:val="页眉 Char1"/>
    <w:link w:val="1063"/>
    <w:uiPriority w:val="0"/>
    <w:qFormat/>
    <w:rPr>
      <w:rFonts w:eastAsia="宋体"/>
      <w:sz w:val="18"/>
      <w:szCs w:val="18"/>
      <w:lang w:val="en-US" w:eastAsia="zh-CN" w:bidi="ar-SA"/>
    </w:rPr>
  </w:style>
  <w:style w:type="character" w:styleId="1259" w:customStyle="1">
    <w:name w:val="正文文本缩进 3 Char"/>
    <w:link w:val="1069"/>
    <w:uiPriority w:val="0"/>
    <w:qFormat/>
    <w:rPr>
      <w:rFonts w:ascii="宋体"/>
      <w:sz w:val="24"/>
    </w:rPr>
  </w:style>
  <w:style w:type="character" w:styleId="1260" w:customStyle="1">
    <w:name w:val="HTML 预设格式 Char"/>
    <w:link w:val="1073"/>
    <w:uiPriority w:val="0"/>
    <w:qFormat/>
    <w:rPr>
      <w:rFonts w:ascii="宋体" w:hAnsi="宋体" w:cs="宋体"/>
      <w:sz w:val="24"/>
      <w:szCs w:val="24"/>
    </w:rPr>
  </w:style>
  <w:style w:type="character" w:styleId="1261" w:customStyle="1">
    <w:name w:val="标题 Char1"/>
    <w:link w:val="1076"/>
    <w:uiPriority w:val="0"/>
    <w:qFormat/>
    <w:rPr>
      <w:b/>
      <w:sz w:val="32"/>
    </w:rPr>
  </w:style>
  <w:style w:type="character" w:styleId="1262" w:customStyle="1">
    <w:name w:val="批注主题 Char"/>
    <w:link w:val="1077"/>
    <w:uiPriority w:val="0"/>
    <w:qFormat/>
    <w:rPr>
      <w:rFonts w:ascii="Times New Roman" w:hAnsi="Times New Roman" w:eastAsia="宋体" w:cs="Times New Roman"/>
      <w:b/>
      <w:bCs/>
      <w:sz w:val="21"/>
      <w:szCs w:val="24"/>
      <w:lang w:val="en-US" w:eastAsia="zh-CN" w:bidi="ar-SA"/>
    </w:rPr>
  </w:style>
  <w:style w:type="character" w:styleId="1263" w:customStyle="1">
    <w:name w:val="正文首行缩进 2 Char"/>
    <w:link w:val="1079"/>
    <w:uiPriority w:val="0"/>
    <w:qFormat/>
    <w:rPr>
      <w:rFonts w:eastAsia="宋体"/>
      <w:sz w:val="24"/>
      <w:szCs w:val="24"/>
      <w:lang w:val="en-US" w:eastAsia="zh-CN" w:bidi="ar-SA"/>
    </w:rPr>
  </w:style>
  <w:style w:type="character" w:styleId="1264" w:customStyle="1">
    <w:name w:val="批注文字 字符"/>
    <w:uiPriority w:val="99"/>
    <w:qFormat/>
    <w:rPr>
      <w:rFonts w:ascii="Times New Roman" w:hAnsi="Times New Roman" w:eastAsia="宋体" w:cs="Times New Roman"/>
      <w:sz w:val="24"/>
      <w:lang w:val="en-US" w:eastAsia="zh-CN" w:bidi="ar-SA"/>
    </w:rPr>
  </w:style>
  <w:style w:type="character" w:styleId="1265" w:customStyle="1">
    <w:name w:val="c21"/>
    <w:uiPriority w:val="0"/>
    <w:qFormat/>
    <w:rPr>
      <w:rFonts w:hint="default" w:ascii="ˎ̥" w:hAnsi="ˎ̥"/>
      <w:color w:val="000000"/>
      <w:sz w:val="20"/>
      <w:szCs w:val="20"/>
      <w:u w:val="none"/>
    </w:rPr>
  </w:style>
  <w:style w:type="character" w:styleId="1266" w:customStyle="1">
    <w:name w:val="title4"/>
    <w:uiPriority w:val="0"/>
    <w:qFormat/>
    <w:rPr>
      <w:b/>
      <w:bCs/>
      <w:color w:val="1d87b3"/>
      <w:sz w:val="15"/>
      <w:szCs w:val="15"/>
    </w:rPr>
  </w:style>
  <w:style w:type="character" w:styleId="1267" w:customStyle="1">
    <w:name w:val="标题 2 Char Char"/>
    <w:uiPriority w:val="0"/>
    <w:qFormat/>
    <w:rPr>
      <w:rFonts w:ascii="Arial" w:hAnsi="Arial" w:eastAsia="黑体"/>
      <w:b/>
      <w:bCs/>
      <w:sz w:val="32"/>
      <w:szCs w:val="32"/>
      <w:lang w:val="en-US" w:eastAsia="zh-CN" w:bidi="ar-SA"/>
    </w:rPr>
  </w:style>
  <w:style w:type="character" w:styleId="1268" w:customStyle="1">
    <w:name w:val="black1"/>
    <w:uiPriority w:val="0"/>
    <w:qFormat/>
    <w:rPr>
      <w:color w:val="000000"/>
    </w:rPr>
  </w:style>
  <w:style w:type="character" w:styleId="1269" w:customStyle="1">
    <w:name w:val="street-address"/>
    <w:uiPriority w:val="0"/>
    <w:qFormat/>
  </w:style>
  <w:style w:type="character" w:styleId="1270" w:customStyle="1">
    <w:name w:val="locality"/>
    <w:uiPriority w:val="0"/>
    <w:qFormat/>
  </w:style>
  <w:style w:type="character" w:styleId="1271" w:customStyle="1">
    <w:name w:val="正文文本缩进 Char1"/>
    <w:link w:val="1272"/>
    <w:uiPriority w:val="0"/>
    <w:qFormat/>
    <w:rPr>
      <w:rFonts w:ascii="宋体" w:hAnsi="宋体" w:eastAsia="宋体"/>
      <w:sz w:val="24"/>
      <w:szCs w:val="24"/>
      <w:lang w:bidi="ar-SA"/>
    </w:rPr>
  </w:style>
  <w:style w:type="paragraph" w:styleId="1272" w:customStyle="1">
    <w:name w:val="正文文本缩进1"/>
    <w:basedOn w:val="1031"/>
    <w:link w:val="1271"/>
    <w:uiPriority w:val="0"/>
    <w:qFormat/>
    <w:pPr>
      <w:ind w:firstLine="480"/>
      <w:spacing w:line="480" w:lineRule="exact"/>
    </w:pPr>
    <w:rPr>
      <w:rFonts w:ascii="宋体" w:hAnsi="宋体"/>
      <w:sz w:val="24"/>
    </w:rPr>
  </w:style>
  <w:style w:type="character" w:styleId="1273" w:customStyle="1">
    <w:name w:val="Char Char11"/>
    <w:uiPriority w:val="0"/>
    <w:qFormat/>
    <w:rPr>
      <w:rFonts w:ascii="宋体" w:eastAsia="宋体"/>
      <w:b/>
      <w:sz w:val="24"/>
      <w:u w:val="single"/>
      <w:lang w:val="en-US" w:eastAsia="zh-CN" w:bidi="ar-SA"/>
    </w:rPr>
  </w:style>
  <w:style w:type="character" w:styleId="1274" w:customStyle="1">
    <w:name w:val="txt"/>
    <w:uiPriority w:val="0"/>
    <w:qFormat/>
  </w:style>
  <w:style w:type="character" w:styleId="1275" w:customStyle="1">
    <w:name w:val="正文缩进 Char Char"/>
    <w:link w:val="1276"/>
    <w:uiPriority w:val="0"/>
    <w:qFormat/>
    <w:rPr>
      <w:rFonts w:ascii="宋体" w:eastAsia="宋体"/>
      <w:color w:val="000000"/>
      <w:sz w:val="28"/>
      <w:lang w:bidi="ar-SA"/>
    </w:rPr>
  </w:style>
  <w:style w:type="paragraph" w:styleId="1276" w:customStyle="1">
    <w:name w:val="正文缩进1"/>
    <w:basedOn w:val="1031"/>
    <w:link w:val="1275"/>
    <w:uiPriority w:val="0"/>
    <w:qFormat/>
    <w:pPr>
      <w:ind w:firstLine="567"/>
      <w:spacing w:line="480" w:lineRule="exact"/>
      <w:widowControl/>
    </w:pPr>
    <w:rPr>
      <w:rFonts w:ascii="宋体"/>
      <w:color w:val="000000"/>
      <w:sz w:val="28"/>
      <w:szCs w:val="20"/>
    </w:rPr>
  </w:style>
  <w:style w:type="character" w:styleId="1277" w:customStyle="1">
    <w:name w:val="普通文字1 Char1"/>
    <w:uiPriority w:val="0"/>
    <w:qFormat/>
    <w:rPr>
      <w:rFonts w:ascii="宋体" w:hAnsi="Courier New" w:eastAsia="宋体"/>
      <w:sz w:val="21"/>
      <w:lang w:val="en-US" w:eastAsia="zh-CN" w:bidi="ar-SA"/>
    </w:rPr>
  </w:style>
  <w:style w:type="character" w:styleId="1278" w:customStyle="1">
    <w:name w:val="chanpin1"/>
    <w:uiPriority w:val="0"/>
    <w:qFormat/>
    <w:rPr>
      <w:rFonts w:hint="default" w:ascii="ˎ̥" w:hAnsi="ˎ̥"/>
      <w:color w:val="000000"/>
      <w:sz w:val="20"/>
      <w:szCs w:val="20"/>
      <w:u w:val="none"/>
    </w:rPr>
  </w:style>
  <w:style w:type="character" w:styleId="1279" w:customStyle="1">
    <w:name w:val="列表段落 字符"/>
    <w:link w:val="1280"/>
    <w:uiPriority w:val="34"/>
    <w:qFormat/>
    <w:rPr>
      <w:rFonts w:ascii="Calibri" w:hAnsi="Calibri" w:eastAsia="宋体"/>
      <w:sz w:val="21"/>
      <w:szCs w:val="22"/>
      <w:lang w:val="en-US" w:eastAsia="zh-CN" w:bidi="ar-SA"/>
    </w:rPr>
  </w:style>
  <w:style w:type="paragraph" w:styleId="1280" w:customStyle="1">
    <w:name w:val="列出段落1"/>
    <w:basedOn w:val="1031"/>
    <w:link w:val="1279"/>
    <w:uiPriority w:val="34"/>
    <w:qFormat/>
    <w:pPr>
      <w:ind w:firstLine="420"/>
    </w:pPr>
    <w:rPr>
      <w:rFonts w:ascii="Calibri" w:hAnsi="Calibri"/>
      <w:szCs w:val="22"/>
    </w:rPr>
  </w:style>
  <w:style w:type="character" w:styleId="1281" w:customStyle="1">
    <w:name w:val="标题 3 Char Char"/>
    <w:uiPriority w:val="0"/>
    <w:qFormat/>
    <w:rPr>
      <w:rFonts w:eastAsia="宋体"/>
      <w:b/>
      <w:bCs/>
      <w:sz w:val="32"/>
      <w:szCs w:val="32"/>
      <w:lang w:val="en-US" w:eastAsia="zh-CN" w:bidi="ar-SA"/>
    </w:rPr>
  </w:style>
  <w:style w:type="character" w:styleId="1282" w:customStyle="1">
    <w:name w:val="段1 Char"/>
    <w:uiPriority w:val="0"/>
    <w:qFormat/>
    <w:rPr>
      <w:rFonts w:ascii="宋体" w:eastAsia="宋体"/>
      <w:sz w:val="24"/>
      <w:lang w:val="en-US" w:eastAsia="zh-CN" w:bidi="ar-SA"/>
    </w:rPr>
  </w:style>
  <w:style w:type="character" w:styleId="1283" w:customStyle="1">
    <w:name w:val="chanpin拷贝"/>
    <w:uiPriority w:val="0"/>
    <w:qFormat/>
  </w:style>
  <w:style w:type="character" w:styleId="1284" w:customStyle="1">
    <w:name w:val="纯文本 Char1"/>
    <w:uiPriority w:val="99"/>
    <w:qFormat/>
    <w:rPr>
      <w:rFonts w:ascii="宋体" w:hAnsi="Courier New" w:eastAsia="宋体"/>
      <w:sz w:val="21"/>
      <w:lang w:val="en-US" w:eastAsia="zh-CN" w:bidi="ar-SA"/>
    </w:rPr>
  </w:style>
  <w:style w:type="character" w:styleId="1285" w:customStyle="1">
    <w:name w:val="apple-style-span"/>
    <w:uiPriority w:val="0"/>
    <w:qFormat/>
    <w:rPr>
      <w:rFonts w:cs="Times New Roman"/>
    </w:rPr>
  </w:style>
  <w:style w:type="paragraph" w:styleId="1286" w:customStyle="1">
    <w:name w:val="二级条标题"/>
    <w:basedOn w:val="1287"/>
    <w:next w:val="1031"/>
    <w:uiPriority w:val="0"/>
    <w:qFormat/>
    <w:pPr>
      <w:tabs>
        <w:tab w:val="left" w:pos="360" w:leader="none"/>
        <w:tab w:val="left" w:pos="840" w:leader="none"/>
      </w:tabs>
      <w:outlineLvl w:val="2"/>
    </w:pPr>
    <w:rPr>
      <w:rFonts w:ascii="宋体" w:eastAsia="宋体"/>
      <w:b w:val="0"/>
    </w:rPr>
  </w:style>
  <w:style w:type="paragraph" w:styleId="1287" w:customStyle="1">
    <w:name w:val="一级条标题"/>
    <w:basedOn w:val="1288"/>
    <w:next w:val="1031"/>
    <w:uiPriority w:val="0"/>
    <w:qFormat/>
    <w:pPr>
      <w:ind w:hanging="840"/>
      <w:tabs>
        <w:tab w:val="left" w:pos="360" w:leader="none"/>
        <w:tab w:val="left" w:pos="840" w:leader="none"/>
      </w:tabs>
      <w:outlineLvl w:val="1"/>
    </w:pPr>
  </w:style>
  <w:style w:type="paragraph" w:styleId="1288" w:customStyle="1">
    <w:name w:val="章标题"/>
    <w:next w:val="1031"/>
    <w:uiPriority w:val="0"/>
    <w:qFormat/>
    <w:pPr>
      <w:jc w:val="both"/>
      <w:spacing w:line="460" w:lineRule="exact"/>
      <w:outlineLvl w:val="0"/>
    </w:pPr>
    <w:rPr>
      <w:rFonts w:hint="default" w:ascii="黑体" w:hAnsi="Times New Roman" w:eastAsia="黑体" w:cs="Times New Roman"/>
      <w:b/>
      <w:sz w:val="28"/>
      <w:lang w:val="en-US" w:eastAsia="zh-CN" w:bidi="ar-SA"/>
    </w:rPr>
  </w:style>
  <w:style w:type="paragraph" w:styleId="1289" w:customStyle="1">
    <w:name w:val="font7"/>
    <w:basedOn w:val="1031"/>
    <w:uiPriority w:val="0"/>
    <w:qFormat/>
    <w:pPr>
      <w:jc w:val="left"/>
      <w:spacing w:before="100" w:beforeAutospacing="1" w:after="100" w:afterAutospacing="1"/>
      <w:widowControl/>
    </w:pPr>
    <w:rPr>
      <w:rFonts w:eastAsia="Arial Unicode MS"/>
      <w:b/>
      <w:bCs/>
      <w:color w:val="000000"/>
      <w:sz w:val="20"/>
      <w:szCs w:val="20"/>
    </w:rPr>
  </w:style>
  <w:style w:type="paragraph" w:styleId="1290" w:customStyle="1">
    <w:name w:val="字元 字元"/>
    <w:basedOn w:val="1031"/>
    <w:uiPriority w:val="0"/>
    <w:qFormat/>
    <w:rPr>
      <w:rFonts w:ascii="Tahoma" w:hAnsi="Tahoma"/>
      <w:sz w:val="24"/>
      <w:szCs w:val="20"/>
    </w:rPr>
  </w:style>
  <w:style w:type="paragraph" w:styleId="1291" w:customStyle="1">
    <w:name w:val="Char3 Char Char Char"/>
    <w:basedOn w:val="1031"/>
    <w:uiPriority w:val="0"/>
    <w:qFormat/>
    <w:rPr>
      <w:rFonts w:ascii="Tahoma" w:hAnsi="Tahoma"/>
      <w:sz w:val="24"/>
      <w:szCs w:val="20"/>
    </w:rPr>
  </w:style>
  <w:style w:type="paragraph" w:styleId="1292" w:customStyle="1">
    <w:name w:val="font6"/>
    <w:basedOn w:val="1031"/>
    <w:uiPriority w:val="0"/>
    <w:qFormat/>
    <w:pPr>
      <w:jc w:val="left"/>
      <w:spacing w:before="100" w:beforeAutospacing="1" w:after="100" w:afterAutospacing="1"/>
      <w:widowControl/>
    </w:pPr>
    <w:rPr>
      <w:rFonts w:ascii="宋体" w:hAnsi="宋体" w:cs="宋体"/>
      <w:sz w:val="20"/>
      <w:szCs w:val="20"/>
    </w:rPr>
  </w:style>
  <w:style w:type="paragraph" w:styleId="1293" w:customStyle="1">
    <w:name w:val="项目编号2"/>
    <w:basedOn w:val="1294"/>
    <w:uiPriority w:val="0"/>
    <w:qFormat/>
  </w:style>
  <w:style w:type="paragraph" w:styleId="1294" w:customStyle="1">
    <w:name w:val="项目编号1"/>
    <w:basedOn w:val="1031"/>
    <w:uiPriority w:val="0"/>
    <w:qFormat/>
    <w:pPr>
      <w:ind w:left="420" w:hanging="420"/>
      <w:spacing w:before="100" w:beforeAutospacing="1" w:after="100" w:afterAutospacing="1" w:line="360" w:lineRule="auto"/>
    </w:pPr>
    <w:rPr>
      <w:sz w:val="24"/>
    </w:rPr>
  </w:style>
  <w:style w:type="paragraph" w:styleId="1295" w:customStyle="1">
    <w:name w:val="图中文字"/>
    <w:basedOn w:val="1031"/>
    <w:uiPriority w:val="0"/>
    <w:qFormat/>
    <w:pPr>
      <w:jc w:val="center"/>
      <w:spacing w:line="0" w:lineRule="atLeast"/>
    </w:pPr>
    <w:rPr>
      <w:sz w:val="24"/>
      <w:szCs w:val="20"/>
    </w:rPr>
  </w:style>
  <w:style w:type="paragraph" w:styleId="1296" w:customStyle="1">
    <w:name w:val="xl46"/>
    <w:basedOn w:val="103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97" w:customStyle="1">
    <w:name w:val="xl25"/>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8" w:customStyle="1">
    <w:name w:val="Char2"/>
    <w:basedOn w:val="1031"/>
    <w:uiPriority w:val="0"/>
    <w:qFormat/>
    <w:rPr>
      <w:rFonts w:ascii="Tahoma" w:hAnsi="Tahoma"/>
      <w:sz w:val="24"/>
      <w:szCs w:val="20"/>
    </w:rPr>
  </w:style>
  <w:style w:type="paragraph" w:styleId="1299" w:customStyle="1">
    <w:name w:val="xl35"/>
    <w:basedOn w:val="103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0" w:customStyle="1">
    <w:name w:val="xl40"/>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1" w:customStyle="1">
    <w:name w:val="xl52"/>
    <w:basedOn w:val="10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302" w:customStyle="1">
    <w:name w:val="xl43"/>
    <w:basedOn w:val="103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03" w:customStyle="1">
    <w:name w:val="background1"/>
    <w:basedOn w:val="1031"/>
    <w:uiPriority w:val="0"/>
    <w:qFormat/>
    <w:pPr>
      <w:jc w:val="left"/>
      <w:spacing w:before="100" w:beforeAutospacing="1" w:after="100" w:afterAutospacing="1"/>
      <w:widowControl/>
    </w:pPr>
    <w:rPr>
      <w:rFonts w:ascii="宋体" w:hAnsi="宋体" w:cs="宋体"/>
      <w:sz w:val="24"/>
    </w:rPr>
  </w:style>
  <w:style w:type="paragraph" w:styleId="1304" w:customStyle="1">
    <w:name w:val="Char Char Char Char Char Char Char"/>
    <w:basedOn w:val="1031"/>
    <w:uiPriority w:val="0"/>
    <w:qFormat/>
    <w:pPr>
      <w:ind w:firstLine="200"/>
      <w:spacing w:line="360" w:lineRule="auto"/>
    </w:pPr>
    <w:rPr>
      <w:rFonts w:eastAsia="仿宋_GB2312"/>
      <w:sz w:val="24"/>
    </w:rPr>
  </w:style>
  <w:style w:type="paragraph" w:styleId="1305" w:customStyle="1">
    <w:name w:val="xl38"/>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306" w:customStyle="1">
    <w:name w:val="xl36"/>
    <w:basedOn w:val="103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7" w:customStyle="1">
    <w:name w:val="正文 + 宋体"/>
    <w:basedOn w:val="1031"/>
    <w:uiPriority w:val="0"/>
    <w:qFormat/>
    <w:pPr>
      <w:ind w:left="360" w:hanging="360"/>
      <w:jc w:val="left"/>
      <w:widowControl/>
    </w:pPr>
    <w:rPr>
      <w:rFonts w:ascii="宋体" w:hAnsi="宋体" w:cs="宋体"/>
      <w:b/>
      <w:bCs/>
      <w:color w:val="000000"/>
      <w:sz w:val="18"/>
      <w:szCs w:val="18"/>
    </w:rPr>
  </w:style>
  <w:style w:type="paragraph" w:styleId="1308" w:customStyle="1">
    <w:name w:val="正文列项_数字"/>
    <w:basedOn w:val="1031"/>
    <w:uiPriority w:val="0"/>
    <w:qFormat/>
    <w:pPr>
      <w:ind w:left="680" w:hanging="150"/>
      <w:spacing w:line="460" w:lineRule="exact"/>
      <w:outlineLvl w:val="7"/>
    </w:pPr>
    <w:rPr>
      <w:rFonts w:ascii="宋体"/>
      <w:sz w:val="28"/>
      <w:szCs w:val="20"/>
    </w:rPr>
  </w:style>
  <w:style w:type="paragraph" w:styleId="1309" w:customStyle="1">
    <w:name w:val="xl39"/>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0" w:customStyle="1">
    <w:name w:val="xl37"/>
    <w:basedOn w:val="103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1" w:customStyle="1">
    <w:name w:val="xl32"/>
    <w:basedOn w:val="10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2" w:customStyle="1">
    <w:name w:val="font8"/>
    <w:basedOn w:val="1031"/>
    <w:uiPriority w:val="0"/>
    <w:qFormat/>
    <w:pPr>
      <w:jc w:val="left"/>
      <w:spacing w:before="100" w:beforeAutospacing="1" w:after="100" w:afterAutospacing="1"/>
      <w:widowControl/>
    </w:pPr>
    <w:rPr>
      <w:sz w:val="36"/>
      <w:szCs w:val="36"/>
    </w:rPr>
  </w:style>
  <w:style w:type="paragraph" w:styleId="1313" w:customStyle="1">
    <w:name w:val="Char"/>
    <w:basedOn w:val="1031"/>
    <w:uiPriority w:val="0"/>
    <w:qFormat/>
    <w:pPr>
      <w:tabs>
        <w:tab w:val="left" w:pos="360" w:leader="none"/>
      </w:tabs>
    </w:pPr>
    <w:rPr>
      <w:sz w:val="24"/>
    </w:rPr>
  </w:style>
  <w:style w:type="paragraph" w:styleId="1314" w:customStyle="1">
    <w:name w:val="Char Char Char Char Char Char Char Char Char Char Char Char Char Char Char Char"/>
    <w:basedOn w:val="1031"/>
    <w:uiPriority w:val="0"/>
    <w:qFormat/>
    <w:pPr>
      <w:jc w:val="center"/>
      <w:spacing w:after="160" w:line="240" w:lineRule="exact"/>
      <w:widowControl/>
    </w:pPr>
    <w:rPr>
      <w:rFonts w:ascii="宋体" w:hAnsi="宋体"/>
      <w:b/>
      <w:sz w:val="30"/>
      <w:szCs w:val="30"/>
      <w:lang w:eastAsia="en-US"/>
    </w:rPr>
  </w:style>
  <w:style w:type="paragraph" w:styleId="1315" w:customStyle="1">
    <w:name w:val="xl45"/>
    <w:basedOn w:val="103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16" w:customStyle="1">
    <w:name w:val="Char Char1 Char Char Char Char Char Char"/>
    <w:basedOn w:val="1031"/>
    <w:uiPriority w:val="0"/>
    <w:qFormat/>
    <w:pPr>
      <w:jc w:val="left"/>
      <w:spacing w:after="160" w:line="240" w:lineRule="exact"/>
      <w:widowControl/>
    </w:pPr>
    <w:rPr>
      <w:rFonts w:ascii="Verdana" w:hAnsi="Verdana" w:eastAsia="仿宋_GB2312"/>
      <w:sz w:val="24"/>
      <w:szCs w:val="20"/>
      <w:lang w:eastAsia="en-US"/>
    </w:rPr>
  </w:style>
  <w:style w:type="paragraph" w:styleId="1317" w:customStyle="1">
    <w:name w:val="Char Char1"/>
    <w:basedOn w:val="1046"/>
    <w:uiPriority w:val="0"/>
    <w:qFormat/>
    <w:rPr>
      <w:rFonts w:ascii="Tahoma" w:hAnsi="Tahoma"/>
      <w:sz w:val="24"/>
    </w:rPr>
  </w:style>
  <w:style w:type="paragraph" w:styleId="1318" w:customStyle="1">
    <w:name w:val="xl26"/>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19" w:customStyle="1">
    <w:name w:val="xl30"/>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20" w:customStyle="1">
    <w:name w:val="xl41"/>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21" w:customStyle="1">
    <w:name w:val="样式 宋体 五号 行距: 单倍行距"/>
    <w:basedOn w:val="1031"/>
    <w:uiPriority w:val="0"/>
    <w:qFormat/>
    <w:pPr>
      <w:jc w:val="left"/>
    </w:pPr>
    <w:rPr>
      <w:rFonts w:ascii="宋体" w:hAnsi="宋体"/>
      <w:szCs w:val="20"/>
    </w:rPr>
  </w:style>
  <w:style w:type="paragraph" w:styleId="1322" w:customStyle="1">
    <w:name w:val="Char1 Char Char Char1"/>
    <w:basedOn w:val="1031"/>
    <w:uiPriority w:val="0"/>
    <w:qFormat/>
    <w:rPr>
      <w:rFonts w:ascii="Tahoma" w:hAnsi="Tahoma" w:cs="仿宋_GB2312"/>
      <w:sz w:val="24"/>
      <w:szCs w:val="28"/>
    </w:rPr>
  </w:style>
  <w:style w:type="paragraph" w:styleId="1323" w:customStyle="1">
    <w:name w:val="四级条标题"/>
    <w:basedOn w:val="1324"/>
    <w:next w:val="1031"/>
    <w:uiPriority w:val="0"/>
    <w:qFormat/>
    <w:pPr>
      <w:tabs>
        <w:tab w:val="left" w:pos="360" w:leader="none"/>
        <w:tab w:val="left" w:pos="840" w:leader="none"/>
      </w:tabs>
      <w:outlineLvl w:val="4"/>
    </w:pPr>
  </w:style>
  <w:style w:type="paragraph" w:styleId="1324" w:customStyle="1">
    <w:name w:val="三级条标题"/>
    <w:basedOn w:val="1286"/>
    <w:next w:val="1031"/>
    <w:uiPriority w:val="0"/>
    <w:qFormat/>
    <w:pPr>
      <w:outlineLvl w:val="3"/>
    </w:pPr>
  </w:style>
  <w:style w:type="paragraph" w:styleId="132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26" w:customStyle="1">
    <w:name w:val="样式 标题 2 + 宋体 五号 行距: 单倍行距"/>
    <w:basedOn w:val="1033"/>
    <w:uiPriority w:val="0"/>
    <w:qFormat/>
    <w:pPr>
      <w:ind w:left="1188" w:hanging="360"/>
      <w:jc w:val="left"/>
      <w:spacing w:before="260" w:after="260" w:line="240" w:lineRule="auto"/>
      <w:tabs>
        <w:tab w:val="left" w:pos="1188" w:leader="none"/>
      </w:tabs>
    </w:pPr>
    <w:rPr>
      <w:rFonts w:ascii="宋体" w:hAnsi="宋体" w:eastAsia="宋体"/>
      <w:bCs/>
      <w:sz w:val="21"/>
    </w:rPr>
  </w:style>
  <w:style w:type="paragraph" w:styleId="1327" w:customStyle="1">
    <w:name w:val="List Paragraph1"/>
    <w:basedOn w:val="1031"/>
    <w:uiPriority w:val="0"/>
    <w:qFormat/>
    <w:pPr>
      <w:ind w:firstLine="420"/>
    </w:pPr>
    <w:rPr>
      <w:rFonts w:ascii="Calibri" w:hAnsi="Calibri"/>
      <w:szCs w:val="22"/>
    </w:rPr>
  </w:style>
  <w:style w:type="paragraph" w:styleId="1328" w:customStyle="1">
    <w:name w:val="项目符号1"/>
    <w:basedOn w:val="1329"/>
    <w:uiPriority w:val="0"/>
    <w:qFormat/>
    <w:pPr>
      <w:ind w:left="-25" w:firstLine="0"/>
    </w:pPr>
  </w:style>
  <w:style w:type="paragraph" w:styleId="1329" w:customStyle="1">
    <w:name w:val="正文文本样式"/>
    <w:basedOn w:val="1031"/>
    <w:uiPriority w:val="0"/>
    <w:qFormat/>
    <w:pPr>
      <w:ind w:firstLine="482"/>
      <w:spacing w:line="360" w:lineRule="auto"/>
    </w:pPr>
    <w:rPr>
      <w:rFonts w:cs="宋体"/>
      <w:sz w:val="24"/>
      <w:szCs w:val="20"/>
    </w:rPr>
  </w:style>
  <w:style w:type="paragraph" w:styleId="1330" w:customStyle="1">
    <w:name w:val="xl27"/>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31" w:customStyle="1">
    <w:name w:val="font5"/>
    <w:basedOn w:val="1031"/>
    <w:uiPriority w:val="0"/>
    <w:qFormat/>
    <w:pPr>
      <w:jc w:val="left"/>
      <w:spacing w:before="100" w:beforeAutospacing="1" w:after="100" w:afterAutospacing="1"/>
      <w:widowControl/>
    </w:pPr>
    <w:rPr>
      <w:rFonts w:ascii="宋体" w:hAnsi="宋体" w:cs="宋体"/>
      <w:sz w:val="18"/>
      <w:szCs w:val="18"/>
    </w:rPr>
  </w:style>
  <w:style w:type="paragraph" w:styleId="1332" w:customStyle="1">
    <w:name w:val="五级条标题"/>
    <w:basedOn w:val="1323"/>
    <w:next w:val="1031"/>
    <w:uiPriority w:val="0"/>
    <w:qFormat/>
    <w:pPr>
      <w:outlineLvl w:val="5"/>
    </w:pPr>
  </w:style>
  <w:style w:type="paragraph" w:styleId="1333" w:customStyle="1">
    <w:name w:val="xl49"/>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34" w:customStyle="1">
    <w:name w:val="文档正文"/>
    <w:basedOn w:val="1031"/>
    <w:uiPriority w:val="0"/>
    <w:qFormat/>
    <w:pPr>
      <w:spacing w:before="120" w:after="120" w:line="180" w:lineRule="auto"/>
    </w:pPr>
    <w:rPr>
      <w:rFonts w:ascii="Arial" w:hAnsi="Arial"/>
      <w:szCs w:val="20"/>
    </w:rPr>
  </w:style>
  <w:style w:type="paragraph" w:styleId="1335" w:customStyle="1">
    <w:name w:val="xl33"/>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36" w:customStyle="1">
    <w:name w:val="xl42"/>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37" w:customStyle="1">
    <w:name w:val="Char Char Char1 Char"/>
    <w:basedOn w:val="1031"/>
    <w:uiPriority w:val="0"/>
    <w:qFormat/>
    <w:rPr>
      <w:rFonts w:ascii="Tahoma" w:hAnsi="Tahoma"/>
      <w:sz w:val="24"/>
      <w:szCs w:val="20"/>
    </w:rPr>
  </w:style>
  <w:style w:type="paragraph" w:styleId="1338" w:customStyle="1">
    <w:name w:val="xl44"/>
    <w:basedOn w:val="103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39" w:customStyle="1">
    <w:name w:val="1名"/>
    <w:basedOn w:val="1031"/>
    <w:uiPriority w:val="0"/>
    <w:qFormat/>
    <w:pPr>
      <w:ind w:left="360" w:hanging="360"/>
      <w:spacing w:before="120"/>
      <w:tabs>
        <w:tab w:val="left" w:pos="360" w:leader="none"/>
      </w:tabs>
    </w:pPr>
    <w:rPr>
      <w:rFonts w:ascii="宋体"/>
      <w:sz w:val="28"/>
      <w:szCs w:val="20"/>
    </w:rPr>
  </w:style>
  <w:style w:type="paragraph" w:styleId="1340" w:customStyle="1">
    <w:name w:val="font9"/>
    <w:basedOn w:val="103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41" w:customStyle="1">
    <w:name w:val="Char Char Char1 Char1"/>
    <w:basedOn w:val="1031"/>
    <w:uiPriority w:val="0"/>
    <w:qFormat/>
    <w:rPr>
      <w:rFonts w:ascii="Tahoma" w:hAnsi="Tahoma"/>
      <w:sz w:val="24"/>
      <w:szCs w:val="20"/>
    </w:rPr>
  </w:style>
  <w:style w:type="paragraph" w:styleId="1342" w:customStyle="1">
    <w:name w:val="Char Char Char Char Char Char Char Char Char Char"/>
    <w:basedOn w:val="1031"/>
    <w:uiPriority w:val="0"/>
    <w:qFormat/>
  </w:style>
  <w:style w:type="paragraph" w:styleId="1343" w:customStyle="1">
    <w:name w:val="Char Char1 Char Char Char Char Char Char Char Char"/>
    <w:basedOn w:val="1031"/>
    <w:uiPriority w:val="0"/>
    <w:qFormat/>
    <w:pPr>
      <w:jc w:val="left"/>
      <w:spacing w:after="160" w:line="240" w:lineRule="exact"/>
      <w:widowControl/>
    </w:pPr>
    <w:rPr>
      <w:rFonts w:ascii="Verdana" w:hAnsi="Verdana"/>
      <w:sz w:val="20"/>
      <w:szCs w:val="20"/>
      <w:lang w:eastAsia="en-US"/>
    </w:rPr>
  </w:style>
  <w:style w:type="paragraph" w:styleId="1344" w:customStyle="1">
    <w:name w:val="Char1"/>
    <w:basedOn w:val="1031"/>
    <w:uiPriority w:val="0"/>
    <w:qFormat/>
    <w:pPr>
      <w:tabs>
        <w:tab w:val="left" w:pos="360" w:leader="none"/>
      </w:tabs>
    </w:pPr>
    <w:rPr>
      <w:sz w:val="24"/>
    </w:rPr>
  </w:style>
  <w:style w:type="paragraph" w:styleId="1345" w:customStyle="1">
    <w:name w:val="正文列项_字母"/>
    <w:basedOn w:val="1031"/>
    <w:uiPriority w:val="0"/>
    <w:qFormat/>
    <w:pPr>
      <w:ind w:left="480" w:hanging="180"/>
      <w:spacing w:line="460" w:lineRule="exact"/>
      <w:outlineLvl w:val="6"/>
    </w:pPr>
    <w:rPr>
      <w:rFonts w:ascii="宋体"/>
      <w:sz w:val="28"/>
      <w:szCs w:val="20"/>
    </w:rPr>
  </w:style>
  <w:style w:type="paragraph" w:styleId="1346" w:customStyle="1">
    <w:name w:val="xl28"/>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7" w:customStyle="1">
    <w:name w:val="xl47"/>
    <w:basedOn w:val="103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8" w:customStyle="1">
    <w:name w:val="默认段落字体 Para Char Char Char Char"/>
    <w:basedOn w:val="1031"/>
    <w:uiPriority w:val="0"/>
    <w:qFormat/>
    <w:rPr>
      <w:rFonts w:ascii="Arial" w:hAnsi="Arial" w:cs="Arial"/>
      <w:szCs w:val="21"/>
    </w:rPr>
  </w:style>
  <w:style w:type="paragraph" w:styleId="1349" w:customStyle="1">
    <w:name w:val="xl48"/>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50" w:customStyle="1">
    <w:name w:val="xl31"/>
    <w:basedOn w:val="10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51" w:customStyle="1">
    <w:name w:val="xl53"/>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2" w:customStyle="1">
    <w:name w:val="Char Char Char"/>
    <w:basedOn w:val="1031"/>
    <w:uiPriority w:val="0"/>
    <w:qFormat/>
    <w:rPr>
      <w:rFonts w:ascii="Tahoma" w:hAnsi="Tahoma"/>
      <w:sz w:val="24"/>
      <w:szCs w:val="20"/>
    </w:rPr>
  </w:style>
  <w:style w:type="paragraph" w:styleId="1353" w:customStyle="1">
    <w:name w:val="xl50"/>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54" w:customStyle="1">
    <w:name w:val="缺省文本"/>
    <w:basedOn w:val="1031"/>
    <w:uiPriority w:val="0"/>
    <w:qFormat/>
    <w:pPr>
      <w:jc w:val="left"/>
    </w:pPr>
    <w:rPr>
      <w:sz w:val="24"/>
    </w:rPr>
  </w:style>
  <w:style w:type="paragraph" w:styleId="1355" w:customStyle="1">
    <w:name w:val="Char Char Char1"/>
    <w:basedOn w:val="1031"/>
    <w:uiPriority w:val="0"/>
    <w:qFormat/>
    <w:rPr>
      <w:rFonts w:ascii="Tahoma" w:hAnsi="Tahoma"/>
      <w:sz w:val="24"/>
      <w:szCs w:val="20"/>
    </w:rPr>
  </w:style>
  <w:style w:type="paragraph" w:styleId="1356" w:customStyle="1">
    <w:name w:val="Char Char Char Char Char Char Char1"/>
    <w:basedOn w:val="1031"/>
    <w:uiPriority w:val="0"/>
    <w:qFormat/>
    <w:pPr>
      <w:ind w:firstLine="200"/>
      <w:spacing w:line="360" w:lineRule="auto"/>
    </w:pPr>
    <w:rPr>
      <w:rFonts w:eastAsia="仿宋_GB2312"/>
      <w:sz w:val="24"/>
    </w:rPr>
  </w:style>
  <w:style w:type="paragraph" w:styleId="1357" w:customStyle="1">
    <w:name w:val="xl51"/>
    <w:basedOn w:val="10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8" w:customStyle="1">
    <w:name w:val="样式2"/>
    <w:basedOn w:val="1075"/>
    <w:uiPriority w:val="0"/>
    <w:qFormat/>
    <w:pPr>
      <w:jc w:val="center"/>
      <w:spacing w:line="360" w:lineRule="auto"/>
    </w:pPr>
    <w:rPr>
      <w:sz w:val="24"/>
    </w:rPr>
  </w:style>
  <w:style w:type="paragraph" w:styleId="1359" w:customStyle="1">
    <w:name w:val="xl24"/>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60" w:customStyle="1">
    <w:name w:val="xl29"/>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61" w:customStyle="1">
    <w:name w:val="正文 + 楷体_GB2312"/>
    <w:basedOn w:val="1031"/>
    <w:uiPriority w:val="0"/>
    <w:qFormat/>
    <w:pPr>
      <w:jc w:val="left"/>
      <w:widowControl/>
    </w:pPr>
    <w:rPr>
      <w:rFonts w:ascii="楷体_GB2312" w:eastAsia="楷体_GB2312" w:cs="Arial"/>
      <w:sz w:val="24"/>
    </w:rPr>
  </w:style>
  <w:style w:type="paragraph" w:styleId="1362" w:customStyle="1">
    <w:name w:val="xl34"/>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63" w:customStyle="1">
    <w:name w:val="1 Char Char Char Char"/>
    <w:basedOn w:val="1031"/>
    <w:uiPriority w:val="0"/>
    <w:qFormat/>
    <w:rPr>
      <w:rFonts w:ascii="Tahoma" w:hAnsi="Tahoma"/>
      <w:sz w:val="24"/>
      <w:szCs w:val="20"/>
    </w:rPr>
  </w:style>
  <w:style w:type="paragraph" w:styleId="136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65" w:customStyle="1">
    <w:name w:val="列出段落11"/>
    <w:basedOn w:val="1031"/>
    <w:uiPriority w:val="0"/>
    <w:qFormat/>
    <w:pPr>
      <w:ind w:firstLine="420"/>
    </w:pPr>
    <w:rPr>
      <w:rFonts w:ascii="Calibri" w:hAnsi="Calibri"/>
      <w:szCs w:val="22"/>
    </w:rPr>
  </w:style>
  <w:style w:type="paragraph" w:styleId="1366" w:customStyle="1">
    <w:name w:val="default"/>
    <w:basedOn w:val="1031"/>
    <w:uiPriority w:val="0"/>
    <w:qFormat/>
    <w:pPr>
      <w:jc w:val="left"/>
      <w:spacing w:before="100" w:beforeAutospacing="1" w:after="100" w:afterAutospacing="1"/>
      <w:widowControl/>
    </w:pPr>
    <w:rPr>
      <w:rFonts w:ascii="宋体" w:hAnsi="宋体" w:cs="宋体"/>
      <w:sz w:val="24"/>
    </w:rPr>
  </w:style>
  <w:style w:type="paragraph" w:styleId="1367" w:customStyle="1">
    <w:name w:val="字元 字元1"/>
    <w:basedOn w:val="1031"/>
    <w:uiPriority w:val="0"/>
    <w:qFormat/>
    <w:rPr>
      <w:rFonts w:ascii="Tahoma" w:hAnsi="Tahoma"/>
      <w:sz w:val="24"/>
      <w:szCs w:val="20"/>
    </w:rPr>
  </w:style>
  <w:style w:type="paragraph" w:styleId="1368" w:customStyle="1">
    <w:name w:val="_Style 160"/>
    <w:uiPriority w:val="0"/>
    <w:qFormat/>
    <w:rPr>
      <w:rFonts w:hint="default" w:ascii="Times New Roman" w:hAnsi="Times New Roman" w:eastAsia="宋体" w:cs="Times New Roman"/>
      <w:sz w:val="21"/>
      <w:szCs w:val="24"/>
      <w:lang w:val="en-US" w:eastAsia="zh-CN" w:bidi="ar-SA"/>
    </w:rPr>
  </w:style>
  <w:style w:type="paragraph" w:styleId="1369" w:customStyle="1">
    <w:name w:val="项目编号3"/>
    <w:basedOn w:val="1329"/>
    <w:uiPriority w:val="0"/>
    <w:qFormat/>
    <w:pPr>
      <w:ind w:left="902" w:hanging="420"/>
    </w:pPr>
  </w:style>
  <w:style w:type="paragraph" w:styleId="1370" w:customStyle="1">
    <w:name w:val="Char21"/>
    <w:basedOn w:val="1031"/>
    <w:uiPriority w:val="0"/>
    <w:qFormat/>
    <w:rPr>
      <w:rFonts w:ascii="Tahoma" w:hAnsi="Tahoma"/>
      <w:sz w:val="24"/>
      <w:szCs w:val="20"/>
    </w:rPr>
  </w:style>
  <w:style w:type="paragraph" w:styleId="1371" w:customStyle="1">
    <w:name w:val="表格文字"/>
    <w:basedOn w:val="1050"/>
    <w:uiPriority w:val="0"/>
    <w:qFormat/>
    <w:pPr>
      <w:ind w:firstLine="0"/>
      <w:spacing w:before="20" w:after="20" w:line="240" w:lineRule="auto"/>
    </w:pPr>
    <w:rPr>
      <w:rFonts w:ascii="Century Gothic" w:hAnsi="Century Gothic"/>
      <w:sz w:val="20"/>
      <w:szCs w:val="20"/>
    </w:rPr>
  </w:style>
  <w:style w:type="paragraph" w:styleId="1372" w:customStyle="1">
    <w:name w:val="Char Char Char Char Char Char Char Char Char Char1"/>
    <w:basedOn w:val="1031"/>
    <w:uiPriority w:val="0"/>
    <w:qFormat/>
    <w:rPr>
      <w:rFonts w:ascii="宋体" w:hAnsi="宋体" w:cs="Courier New"/>
      <w:sz w:val="32"/>
      <w:szCs w:val="32"/>
    </w:rPr>
  </w:style>
  <w:style w:type="paragraph" w:styleId="1373" w:customStyle="1">
    <w:name w:val="正文文本样式 加粗"/>
    <w:basedOn w:val="1329"/>
    <w:uiPriority w:val="0"/>
    <w:qFormat/>
    <w:rPr>
      <w:b/>
    </w:rPr>
  </w:style>
  <w:style w:type="paragraph" w:styleId="1374" w:customStyle="1">
    <w:name w:val="Char2 Char Char Char Char Char Char"/>
    <w:basedOn w:val="1031"/>
    <w:uiPriority w:val="0"/>
    <w:qFormat/>
    <w:pPr>
      <w:jc w:val="center"/>
      <w:spacing w:line="400" w:lineRule="exact"/>
      <w:widowControl/>
    </w:pPr>
  </w:style>
  <w:style w:type="paragraph" w:styleId="1375" w:customStyle="1">
    <w:name w:val="Char Char4"/>
    <w:basedOn w:val="1031"/>
    <w:uiPriority w:val="0"/>
    <w:qFormat/>
    <w:pPr>
      <w:jc w:val="center"/>
      <w:spacing w:line="400" w:lineRule="exact"/>
      <w:widowControl/>
    </w:pPr>
  </w:style>
  <w:style w:type="paragraph" w:styleId="1376" w:customStyle="1">
    <w:name w:val="Char3 Char Char Char1"/>
    <w:basedOn w:val="1031"/>
    <w:uiPriority w:val="0"/>
    <w:qFormat/>
    <w:rPr>
      <w:rFonts w:ascii="Tahoma" w:hAnsi="Tahoma"/>
      <w:sz w:val="24"/>
      <w:szCs w:val="20"/>
    </w:rPr>
  </w:style>
  <w:style w:type="paragraph" w:styleId="137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22222222222222"/>
    <w:basedOn w:val="1031"/>
    <w:uiPriority w:val="0"/>
    <w:qFormat/>
    <w:pPr>
      <w:ind w:firstLine="480"/>
      <w:jc w:val="left"/>
      <w:spacing w:line="360" w:lineRule="auto"/>
      <w:widowControl/>
    </w:pPr>
    <w:rPr>
      <w:color w:val="ff0000"/>
      <w:sz w:val="24"/>
      <w:szCs w:val="20"/>
    </w:rPr>
  </w:style>
  <w:style w:type="character" w:styleId="1379" w:customStyle="1">
    <w:name w:val="中等深浅网格 1 - 强调文字颜色 2 Char"/>
    <w:link w:val="1380"/>
    <w:uiPriority w:val="0"/>
    <w:qFormat/>
    <w:rPr>
      <w:sz w:val="21"/>
      <w:szCs w:val="24"/>
      <w:lang w:val="zh-CN" w:eastAsia="zh-CN" w:bidi="ar-SA"/>
    </w:rPr>
  </w:style>
  <w:style w:type="paragraph" w:styleId="1380" w:customStyle="1">
    <w:name w:val="1"/>
    <w:link w:val="1379"/>
    <w:uiPriority w:val="0"/>
    <w:qFormat/>
    <w:rPr>
      <w:rFonts w:hint="default" w:ascii="Times New Roman" w:hAnsi="Times New Roman" w:eastAsia="宋体" w:cs="Times New Roman"/>
      <w:sz w:val="21"/>
      <w:szCs w:val="24"/>
      <w:lang w:val="zh-CN" w:eastAsia="zh-CN" w:bidi="ar-SA"/>
    </w:rPr>
  </w:style>
  <w:style w:type="paragraph" w:styleId="1381" w:customStyle="1">
    <w:name w:val="图文"/>
    <w:basedOn w:val="1031"/>
    <w:uiPriority w:val="0"/>
    <w:qFormat/>
    <w:pPr>
      <w:spacing w:after="50" w:line="360" w:lineRule="auto"/>
    </w:pPr>
    <w:rPr>
      <w:sz w:val="24"/>
    </w:rPr>
  </w:style>
  <w:style w:type="paragraph" w:styleId="1382" w:customStyle="1">
    <w:name w:val="xl23"/>
    <w:basedOn w:val="1031"/>
    <w:uiPriority w:val="0"/>
    <w:qFormat/>
    <w:pPr>
      <w:spacing w:before="100" w:beforeAutospacing="1" w:after="100" w:afterAutospacing="1" w:line="360" w:lineRule="auto"/>
      <w:widowControl/>
    </w:pPr>
    <w:rPr>
      <w:sz w:val="24"/>
      <w:szCs w:val="20"/>
    </w:rPr>
  </w:style>
  <w:style w:type="paragraph" w:styleId="1383" w:customStyle="1">
    <w:name w:val="正文表格"/>
    <w:basedOn w:val="1031"/>
    <w:link w:val="1384"/>
    <w:uiPriority w:val="0"/>
    <w:qFormat/>
    <w:pPr>
      <w:jc w:val="left"/>
    </w:pPr>
    <w:rPr>
      <w:rFonts w:ascii="宋体" w:hAnsi="宋体"/>
      <w:color w:val="000000"/>
      <w:szCs w:val="21"/>
    </w:rPr>
  </w:style>
  <w:style w:type="character" w:styleId="1384" w:customStyle="1">
    <w:name w:val="正文表格 Char"/>
    <w:link w:val="1383"/>
    <w:uiPriority w:val="0"/>
    <w:qFormat/>
    <w:rPr>
      <w:rFonts w:ascii="宋体" w:hAnsi="宋体"/>
      <w:color w:val="000000"/>
      <w:sz w:val="21"/>
      <w:szCs w:val="21"/>
    </w:rPr>
  </w:style>
  <w:style w:type="paragraph" w:styleId="1385" w:customStyle="1">
    <w:name w:val="正文重点"/>
    <w:basedOn w:val="1031"/>
    <w:link w:val="1386"/>
    <w:uiPriority w:val="0"/>
    <w:qFormat/>
    <w:pPr>
      <w:ind w:firstLine="482"/>
      <w:jc w:val="left"/>
      <w:spacing w:line="360" w:lineRule="auto"/>
    </w:pPr>
    <w:rPr>
      <w:b/>
      <w:sz w:val="24"/>
      <w:szCs w:val="20"/>
    </w:rPr>
  </w:style>
  <w:style w:type="character" w:styleId="1386" w:customStyle="1">
    <w:name w:val="正文重点 Char"/>
    <w:link w:val="1385"/>
    <w:uiPriority w:val="0"/>
    <w:qFormat/>
    <w:rPr>
      <w:b/>
      <w:sz w:val="24"/>
    </w:rPr>
  </w:style>
  <w:style w:type="paragraph" w:styleId="1387" w:customStyle="1">
    <w:name w:val="标题1-附件"/>
    <w:basedOn w:val="1032"/>
    <w:uiPriority w:val="0"/>
    <w:qFormat/>
    <w:pPr>
      <w:jc w:val="left"/>
    </w:pPr>
    <w:rPr>
      <w:sz w:val="24"/>
      <w:szCs w:val="24"/>
    </w:rPr>
  </w:style>
  <w:style w:type="paragraph" w:styleId="1388" w:customStyle="1">
    <w:name w:val="正文小标题"/>
    <w:basedOn w:val="1031"/>
    <w:next w:val="1043"/>
    <w:link w:val="1389"/>
    <w:uiPriority w:val="0"/>
    <w:qFormat/>
    <w:pPr>
      <w:ind w:firstLine="482"/>
      <w:jc w:val="left"/>
    </w:pPr>
    <w:rPr>
      <w:rFonts w:ascii="宋体" w:hAnsi="宋体"/>
      <w:b/>
      <w:i/>
      <w:color w:val="ff0000"/>
      <w:sz w:val="24"/>
      <w:szCs w:val="20"/>
    </w:rPr>
  </w:style>
  <w:style w:type="character" w:styleId="1389" w:customStyle="1">
    <w:name w:val="正文小标题 Char"/>
    <w:link w:val="1388"/>
    <w:uiPriority w:val="0"/>
    <w:qFormat/>
    <w:rPr>
      <w:rFonts w:ascii="宋体" w:hAnsi="宋体"/>
      <w:b/>
      <w:i/>
      <w:color w:val="ff0000"/>
      <w:sz w:val="24"/>
    </w:rPr>
  </w:style>
  <w:style w:type="paragraph" w:styleId="1390" w:customStyle="1">
    <w:name w:val="正文大标题"/>
    <w:basedOn w:val="1388"/>
    <w:next w:val="1043"/>
    <w:link w:val="1391"/>
    <w:uiPriority w:val="0"/>
    <w:qFormat/>
    <w:pPr>
      <w:jc w:val="center"/>
    </w:pPr>
    <w:rPr>
      <w:i w:val="0"/>
      <w:color w:val="000000"/>
      <w:sz w:val="28"/>
      <w:szCs w:val="21"/>
    </w:rPr>
  </w:style>
  <w:style w:type="character" w:styleId="1391" w:customStyle="1">
    <w:name w:val="正文大标题 Char"/>
    <w:link w:val="1390"/>
    <w:uiPriority w:val="0"/>
    <w:qFormat/>
    <w:rPr>
      <w:rFonts w:ascii="宋体" w:hAnsi="宋体"/>
      <w:b/>
      <w:color w:val="000000"/>
      <w:sz w:val="28"/>
      <w:szCs w:val="21"/>
    </w:rPr>
  </w:style>
  <w:style w:type="paragraph" w:styleId="1392" w:customStyle="1">
    <w:name w:val="注释"/>
    <w:basedOn w:val="1031"/>
    <w:link w:val="1393"/>
    <w:uiPriority w:val="0"/>
    <w:qFormat/>
    <w:pPr>
      <w:ind w:left="420" w:hanging="420"/>
      <w:jc w:val="left"/>
    </w:pPr>
    <w:rPr>
      <w:rFonts w:ascii="宋体" w:hAnsi="宋体"/>
      <w:szCs w:val="21"/>
    </w:rPr>
  </w:style>
  <w:style w:type="character" w:styleId="1393" w:customStyle="1">
    <w:name w:val="注释 Char"/>
    <w:link w:val="1392"/>
    <w:uiPriority w:val="0"/>
    <w:qFormat/>
    <w:rPr>
      <w:rFonts w:ascii="宋体" w:hAnsi="宋体"/>
      <w:sz w:val="21"/>
      <w:szCs w:val="21"/>
    </w:rPr>
  </w:style>
  <w:style w:type="paragraph" w:styleId="1394" w:customStyle="1">
    <w:name w:val="正文须知-1级"/>
    <w:basedOn w:val="1031"/>
    <w:next w:val="1031"/>
    <w:uiPriority w:val="0"/>
    <w:qFormat/>
    <w:pPr>
      <w:ind w:left="680" w:hanging="680"/>
      <w:spacing w:line="300" w:lineRule="auto"/>
    </w:pPr>
    <w:rPr>
      <w:rFonts w:ascii="宋体" w:hAnsi="Calibri"/>
      <w:sz w:val="24"/>
      <w:szCs w:val="21"/>
    </w:rPr>
  </w:style>
  <w:style w:type="paragraph" w:styleId="1395" w:customStyle="1">
    <w:name w:val="正文须知-2级"/>
    <w:basedOn w:val="1031"/>
    <w:uiPriority w:val="0"/>
    <w:qFormat/>
    <w:pPr>
      <w:ind w:left="851" w:hanging="851"/>
      <w:spacing w:line="300" w:lineRule="auto"/>
    </w:pPr>
    <w:rPr>
      <w:rFonts w:ascii="宋体" w:hAnsi="Calibri"/>
      <w:sz w:val="24"/>
      <w:szCs w:val="21"/>
    </w:rPr>
  </w:style>
  <w:style w:type="paragraph" w:styleId="1396" w:customStyle="1">
    <w:name w:val="正文须知-3级"/>
    <w:basedOn w:val="1031"/>
    <w:uiPriority w:val="0"/>
    <w:qFormat/>
    <w:pPr>
      <w:ind w:left="851" w:hanging="355"/>
      <w:spacing w:line="300" w:lineRule="auto"/>
    </w:pPr>
    <w:rPr>
      <w:rFonts w:ascii="宋体" w:hAnsi="Calibri"/>
      <w:sz w:val="24"/>
      <w:szCs w:val="21"/>
    </w:rPr>
  </w:style>
  <w:style w:type="character" w:styleId="1397" w:customStyle="1">
    <w:name w:val="纯文本 字符"/>
    <w:uiPriority w:val="99"/>
    <w:qFormat/>
    <w:rPr>
      <w:rFonts w:ascii="宋体" w:hAnsi="Courier New" w:eastAsia="宋体" w:cs="Times New Roman"/>
      <w:sz w:val="21"/>
      <w:szCs w:val="21"/>
      <w:lang w:val="en-US" w:eastAsia="zh-CN" w:bidi="ar-SA"/>
    </w:rPr>
  </w:style>
  <w:style w:type="paragraph" w:styleId="1398" w:customStyle="1">
    <w:name w:val="表格1"/>
    <w:basedOn w:val="1031"/>
    <w:uiPriority w:val="0"/>
    <w:qFormat/>
    <w:pPr>
      <w:ind w:firstLine="480"/>
      <w:jc w:val="center"/>
    </w:pPr>
    <w:rPr>
      <w:sz w:val="24"/>
      <w:szCs w:val="20"/>
    </w:rPr>
  </w:style>
  <w:style w:type="character" w:styleId="1399" w:customStyle="1">
    <w:name w:val="纯文本 字符1"/>
    <w:uiPriority w:val="0"/>
    <w:qFormat/>
    <w:rPr>
      <w:rFonts w:ascii="宋体" w:hAnsi="Courier New"/>
    </w:rPr>
  </w:style>
  <w:style w:type="character" w:styleId="1400" w:customStyle="1">
    <w:name w:val="bjh-p"/>
    <w:uiPriority w:val="0"/>
    <w:qFormat/>
  </w:style>
  <w:style w:type="paragraph" w:styleId="1401" w:customStyle="1">
    <w:name w:val="无标题条"/>
    <w:next w:val="1031"/>
    <w:uiPriority w:val="0"/>
    <w:qFormat/>
    <w:pPr>
      <w:jc w:val="both"/>
    </w:pPr>
    <w:rPr>
      <w:rFonts w:hint="default" w:ascii="Times New Roman" w:hAnsi="Times New Roman" w:eastAsia="宋体" w:cs="Times New Roman"/>
      <w:sz w:val="21"/>
      <w:lang w:val="en-US" w:eastAsia="zh-CN" w:bidi="ar-SA"/>
    </w:rPr>
  </w:style>
  <w:style w:type="character" w:styleId="1402" w:customStyle="1">
    <w:name w:val="正文格式 Char"/>
    <w:link w:val="1403"/>
    <w:uiPriority w:val="0"/>
    <w:qFormat/>
    <w:rPr>
      <w:rFonts w:ascii="宋体" w:hAnsi="宋体"/>
      <w:sz w:val="24"/>
      <w:szCs w:val="24"/>
      <w:lang w:val="en-GB"/>
    </w:rPr>
  </w:style>
  <w:style w:type="paragraph" w:styleId="1403" w:customStyle="1">
    <w:name w:val="正文格式"/>
    <w:basedOn w:val="1031"/>
    <w:link w:val="1402"/>
    <w:uiPriority w:val="0"/>
    <w:qFormat/>
    <w:pPr>
      <w:ind w:firstLine="480"/>
      <w:spacing w:line="360" w:lineRule="auto"/>
    </w:pPr>
    <w:rPr>
      <w:rFonts w:ascii="宋体" w:hAnsi="宋体"/>
      <w:sz w:val="24"/>
      <w:lang w:val="en-GB"/>
    </w:rPr>
  </w:style>
  <w:style w:type="character" w:styleId="1404" w:customStyle="1">
    <w:name w:val="标题 3 Char"/>
    <w:uiPriority w:val="0"/>
    <w:qFormat/>
    <w:rPr>
      <w:rFonts w:ascii="宋体" w:eastAsia="宋体"/>
      <w:b/>
      <w:sz w:val="24"/>
      <w:u w:val="single"/>
      <w:lang w:val="en-US" w:eastAsia="zh-CN" w:bidi="ar-SA"/>
    </w:rPr>
  </w:style>
  <w:style w:type="character" w:styleId="1405" w:customStyle="1">
    <w:name w:val="正文缩进 Char"/>
    <w:uiPriority w:val="0"/>
    <w:qFormat/>
    <w:rPr>
      <w:rFonts w:ascii="宋体" w:eastAsia="宋体"/>
      <w:sz w:val="24"/>
      <w:szCs w:val="24"/>
      <w:lang w:val="en-US" w:eastAsia="zh-CN" w:bidi="ar-SA"/>
    </w:rPr>
  </w:style>
  <w:style w:type="character" w:styleId="1406" w:customStyle="1">
    <w:name w:val="Char Char111"/>
    <w:uiPriority w:val="0"/>
    <w:qFormat/>
    <w:rPr>
      <w:rFonts w:ascii="宋体" w:eastAsia="宋体"/>
      <w:b/>
      <w:sz w:val="24"/>
      <w:u w:val="single"/>
      <w:lang w:val="en-US" w:eastAsia="zh-CN" w:bidi="ar-SA"/>
    </w:rPr>
  </w:style>
  <w:style w:type="character" w:styleId="1407" w:customStyle="1">
    <w:name w:val="正文文本缩进 Char"/>
    <w:uiPriority w:val="0"/>
    <w:qFormat/>
    <w:rPr>
      <w:rFonts w:eastAsia="宋体"/>
      <w:sz w:val="24"/>
      <w:szCs w:val="24"/>
      <w:lang w:val="en-US" w:eastAsia="zh-CN" w:bidi="ar-SA"/>
    </w:rPr>
  </w:style>
  <w:style w:type="character" w:styleId="1408" w:customStyle="1">
    <w:name w:val="列出段落 Char"/>
    <w:uiPriority w:val="0"/>
    <w:qFormat/>
    <w:rPr>
      <w:rFonts w:ascii="Calibri" w:hAnsi="Calibri" w:eastAsia="宋体"/>
      <w:sz w:val="21"/>
      <w:szCs w:val="22"/>
      <w:lang w:val="en-US" w:eastAsia="zh-CN" w:bidi="ar-SA"/>
    </w:rPr>
  </w:style>
  <w:style w:type="character" w:styleId="1409" w:customStyle="1">
    <w:name w:val="页眉 Char"/>
    <w:uiPriority w:val="0"/>
    <w:qFormat/>
    <w:rPr>
      <w:rFonts w:eastAsia="宋体"/>
      <w:sz w:val="18"/>
      <w:szCs w:val="18"/>
      <w:lang w:val="en-US" w:eastAsia="zh-CN" w:bidi="ar-SA"/>
    </w:rPr>
  </w:style>
  <w:style w:type="character" w:styleId="1410" w:customStyle="1">
    <w:name w:val="标题 2 Char"/>
    <w:uiPriority w:val="0"/>
    <w:qFormat/>
    <w:rPr>
      <w:rFonts w:ascii="Arial" w:hAnsi="Arial" w:eastAsia="黑体"/>
      <w:b/>
      <w:sz w:val="30"/>
      <w:lang w:val="en-US" w:eastAsia="zh-CN" w:bidi="ar-SA"/>
    </w:rPr>
  </w:style>
  <w:style w:type="paragraph" w:styleId="1411" w:customStyle="1">
    <w:name w:val="字元 字元2"/>
    <w:basedOn w:val="1031"/>
    <w:uiPriority w:val="0"/>
    <w:qFormat/>
    <w:rPr>
      <w:rFonts w:ascii="Tahoma" w:hAnsi="Tahoma"/>
      <w:sz w:val="24"/>
      <w:szCs w:val="20"/>
    </w:rPr>
  </w:style>
  <w:style w:type="paragraph" w:styleId="1412" w:customStyle="1">
    <w:name w:val="Char3 Char Char Char2"/>
    <w:basedOn w:val="1031"/>
    <w:uiPriority w:val="0"/>
    <w:qFormat/>
    <w:rPr>
      <w:rFonts w:ascii="Tahoma" w:hAnsi="Tahoma"/>
      <w:sz w:val="24"/>
      <w:szCs w:val="20"/>
    </w:rPr>
  </w:style>
  <w:style w:type="paragraph" w:styleId="1413" w:customStyle="1">
    <w:name w:val="正文文本缩进2"/>
    <w:basedOn w:val="1031"/>
    <w:uiPriority w:val="0"/>
    <w:qFormat/>
    <w:pPr>
      <w:ind w:firstLine="480"/>
      <w:spacing w:line="480" w:lineRule="exact"/>
    </w:pPr>
    <w:rPr>
      <w:rFonts w:ascii="宋体" w:hAnsi="宋体"/>
      <w:sz w:val="24"/>
      <w:lang w:val="zh-CN"/>
    </w:rPr>
  </w:style>
  <w:style w:type="paragraph" w:styleId="1414" w:customStyle="1">
    <w:name w:val="Char3"/>
    <w:basedOn w:val="1031"/>
    <w:uiPriority w:val="0"/>
    <w:qFormat/>
    <w:pPr>
      <w:tabs>
        <w:tab w:val="left" w:pos="360" w:leader="none"/>
      </w:tabs>
    </w:pPr>
    <w:rPr>
      <w:sz w:val="24"/>
    </w:rPr>
  </w:style>
  <w:style w:type="paragraph" w:styleId="1415" w:customStyle="1">
    <w:name w:val="Char Char Char Char Char Char Char Char Char Char Char Char Char Char Char Char1"/>
    <w:basedOn w:val="1031"/>
    <w:uiPriority w:val="0"/>
    <w:qFormat/>
    <w:pPr>
      <w:jc w:val="center"/>
      <w:spacing w:after="160" w:line="240" w:lineRule="exact"/>
      <w:widowControl/>
    </w:pPr>
    <w:rPr>
      <w:rFonts w:ascii="宋体" w:hAnsi="宋体"/>
      <w:b/>
      <w:sz w:val="30"/>
      <w:szCs w:val="30"/>
      <w:lang w:eastAsia="en-US"/>
    </w:rPr>
  </w:style>
  <w:style w:type="paragraph" w:styleId="1416" w:customStyle="1">
    <w:name w:val="Char Char1 Char Char Char Char Char Char1"/>
    <w:basedOn w:val="1031"/>
    <w:uiPriority w:val="0"/>
    <w:qFormat/>
    <w:pPr>
      <w:jc w:val="left"/>
      <w:spacing w:after="160" w:line="240" w:lineRule="exact"/>
      <w:widowControl/>
    </w:pPr>
    <w:rPr>
      <w:rFonts w:ascii="Verdana" w:hAnsi="Verdana" w:eastAsia="仿宋_GB2312"/>
      <w:sz w:val="24"/>
      <w:szCs w:val="20"/>
      <w:lang w:eastAsia="en-US"/>
    </w:rPr>
  </w:style>
  <w:style w:type="paragraph" w:styleId="1417" w:customStyle="1">
    <w:name w:val="列出段落2"/>
    <w:basedOn w:val="1031"/>
    <w:uiPriority w:val="0"/>
    <w:qFormat/>
    <w:pPr>
      <w:ind w:firstLine="420"/>
    </w:pPr>
    <w:rPr>
      <w:rFonts w:ascii="Calibri" w:hAnsi="Calibri"/>
      <w:szCs w:val="22"/>
    </w:rPr>
  </w:style>
  <w:style w:type="paragraph" w:styleId="1418" w:customStyle="1">
    <w:name w:val="Char Char Char1 Char2"/>
    <w:basedOn w:val="1031"/>
    <w:uiPriority w:val="0"/>
    <w:qFormat/>
    <w:rPr>
      <w:rFonts w:ascii="Tahoma" w:hAnsi="Tahoma"/>
      <w:sz w:val="24"/>
      <w:szCs w:val="20"/>
    </w:rPr>
  </w:style>
  <w:style w:type="paragraph" w:styleId="1419" w:customStyle="1">
    <w:name w:val="Char Char Char2"/>
    <w:basedOn w:val="1031"/>
    <w:uiPriority w:val="0"/>
    <w:qFormat/>
    <w:rPr>
      <w:rFonts w:ascii="Tahoma" w:hAnsi="Tahoma"/>
      <w:sz w:val="24"/>
      <w:szCs w:val="20"/>
    </w:rPr>
  </w:style>
  <w:style w:type="paragraph" w:styleId="1420" w:customStyle="1">
    <w:name w:val="Char Char Char Char Char Char Char2"/>
    <w:basedOn w:val="1031"/>
    <w:uiPriority w:val="0"/>
    <w:qFormat/>
    <w:pPr>
      <w:ind w:firstLine="200"/>
      <w:spacing w:line="360" w:lineRule="auto"/>
    </w:pPr>
    <w:rPr>
      <w:rFonts w:eastAsia="仿宋_GB2312"/>
      <w:sz w:val="24"/>
    </w:rPr>
  </w:style>
  <w:style w:type="paragraph" w:styleId="1421" w:customStyle="1">
    <w:name w:val="正文缩进2"/>
    <w:basedOn w:val="1031"/>
    <w:uiPriority w:val="0"/>
    <w:qFormat/>
    <w:pPr>
      <w:ind w:firstLine="567"/>
      <w:spacing w:line="480" w:lineRule="exact"/>
      <w:widowControl/>
    </w:pPr>
    <w:rPr>
      <w:rFonts w:ascii="宋体"/>
      <w:color w:val="000000"/>
      <w:sz w:val="28"/>
      <w:szCs w:val="20"/>
      <w:lang w:val="zh-CN"/>
    </w:rPr>
  </w:style>
  <w:style w:type="paragraph" w:styleId="1422" w:customStyle="1">
    <w:name w:val="修订1"/>
    <w:uiPriority w:val="0"/>
    <w:qFormat/>
    <w:rPr>
      <w:rFonts w:hint="default" w:ascii="Times New Roman" w:hAnsi="Times New Roman" w:eastAsia="宋体" w:cs="Times New Roman"/>
      <w:sz w:val="21"/>
      <w:szCs w:val="24"/>
      <w:lang w:val="en-US" w:eastAsia="zh-CN" w:bidi="ar-SA"/>
    </w:rPr>
  </w:style>
  <w:style w:type="paragraph" w:styleId="1423" w:customStyle="1">
    <w:name w:val="Char22"/>
    <w:basedOn w:val="1031"/>
    <w:uiPriority w:val="0"/>
    <w:qFormat/>
    <w:rPr>
      <w:rFonts w:ascii="Tahoma" w:hAnsi="Tahoma"/>
      <w:sz w:val="24"/>
      <w:szCs w:val="20"/>
    </w:rPr>
  </w:style>
  <w:style w:type="paragraph" w:styleId="1424" w:customStyle="1">
    <w:name w:val="Char Char Char Char Char Char Char Char Char Char2"/>
    <w:basedOn w:val="1031"/>
    <w:uiPriority w:val="0"/>
    <w:qFormat/>
    <w:rPr>
      <w:rFonts w:ascii="宋体" w:hAnsi="宋体" w:cs="Courier New"/>
      <w:sz w:val="32"/>
      <w:szCs w:val="32"/>
    </w:rPr>
  </w:style>
  <w:style w:type="paragraph" w:styleId="1425" w:customStyle="1">
    <w:name w:val="Char2 Char Char Char Char Char Char1"/>
    <w:basedOn w:val="1031"/>
    <w:uiPriority w:val="0"/>
    <w:qFormat/>
    <w:pPr>
      <w:jc w:val="center"/>
      <w:spacing w:line="400" w:lineRule="exact"/>
      <w:widowControl/>
    </w:pPr>
  </w:style>
  <w:style w:type="character" w:styleId="1426" w:customStyle="1">
    <w:name w:val="页脚 Char"/>
    <w:uiPriority w:val="0"/>
    <w:qFormat/>
    <w:rPr>
      <w:rFonts w:ascii="宋体" w:eastAsia="宋体"/>
      <w:sz w:val="18"/>
      <w:lang w:val="en-US" w:eastAsia="zh-CN" w:bidi="ar-SA"/>
    </w:rPr>
  </w:style>
  <w:style w:type="paragraph" w:styleId="1427" w:customStyle="1">
    <w:name w:val="Char Char41"/>
    <w:basedOn w:val="1031"/>
    <w:uiPriority w:val="0"/>
    <w:qFormat/>
    <w:pPr>
      <w:jc w:val="center"/>
      <w:spacing w:line="400" w:lineRule="exact"/>
      <w:widowControl/>
    </w:pPr>
  </w:style>
  <w:style w:type="character" w:styleId="1428" w:customStyle="1">
    <w:name w:val="批注文字 Char"/>
    <w:uiPriority w:val="99"/>
    <w:qFormat/>
    <w:rPr>
      <w:sz w:val="21"/>
      <w:szCs w:val="24"/>
    </w:rPr>
  </w:style>
  <w:style w:type="character" w:styleId="1429" w:customStyle="1">
    <w:name w:val="标题 Char"/>
    <w:uiPriority w:val="0"/>
    <w:qFormat/>
    <w:rPr>
      <w:b/>
      <w:sz w:val="32"/>
    </w:rPr>
  </w:style>
  <w:style w:type="paragraph" w:styleId="1430" w:customStyle="1">
    <w:name w:val="图例"/>
    <w:basedOn w:val="1031"/>
    <w:uiPriority w:val="0"/>
    <w:qFormat/>
    <w:pPr>
      <w:jc w:val="center"/>
      <w:spacing w:before="120" w:after="120" w:line="360" w:lineRule="auto"/>
    </w:pPr>
    <w:rPr>
      <w:rFonts w:eastAsia="仿宋_GB2312"/>
      <w:b/>
      <w:sz w:val="24"/>
      <w:szCs w:val="20"/>
    </w:rPr>
  </w:style>
  <w:style w:type="table" w:styleId="143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32" w:customStyle="1">
    <w:name w:val="Table Paragraph"/>
    <w:basedOn w:val="1031"/>
    <w:uiPriority w:val="1"/>
    <w:qFormat/>
    <w:pPr>
      <w:jc w:val="left"/>
    </w:pPr>
    <w:rPr>
      <w:rFonts w:ascii="宋体" w:hAnsi="宋体" w:cs="宋体"/>
      <w:sz w:val="22"/>
      <w:szCs w:val="22"/>
      <w:lang w:eastAsia="en-US"/>
    </w:rPr>
  </w:style>
  <w:style w:type="paragraph" w:styleId="1433" w:customStyle="1">
    <w:name w:val="成文日期"/>
    <w:basedOn w:val="1031"/>
    <w:link w:val="1434"/>
    <w:uiPriority w:val="0"/>
    <w:qFormat/>
    <w:pPr>
      <w:ind w:right="400" w:firstLine="200"/>
      <w:jc w:val="right"/>
      <w:spacing w:line="570" w:lineRule="exact"/>
    </w:pPr>
    <w:rPr>
      <w:rFonts w:ascii="仿宋_GB2312" w:eastAsia="仿宋_GB2312"/>
      <w:sz w:val="32"/>
      <w:szCs w:val="20"/>
    </w:rPr>
  </w:style>
  <w:style w:type="character" w:styleId="1434" w:customStyle="1">
    <w:name w:val="成文日期 Char"/>
    <w:link w:val="1433"/>
    <w:uiPriority w:val="0"/>
    <w:qFormat/>
    <w:rPr>
      <w:rFonts w:ascii="仿宋_GB2312" w:eastAsia="仿宋_GB2312"/>
      <w:sz w:val="32"/>
    </w:rPr>
  </w:style>
  <w:style w:type="paragraph" w:styleId="1435" w:customStyle="1">
    <w:name w:val="Revision1"/>
    <w:uiPriority w:val="99"/>
    <w:unhideWhenUsed/>
    <w:qFormat/>
    <w:rPr>
      <w:rFonts w:hint="default" w:ascii="Times New Roman" w:hAnsi="Times New Roman" w:eastAsia="宋体" w:cs="Times New Roman"/>
      <w:sz w:val="21"/>
      <w:szCs w:val="24"/>
      <w:lang w:val="en-US" w:eastAsia="zh-CN" w:bidi="ar-SA"/>
    </w:rPr>
  </w:style>
  <w:style w:type="character" w:styleId="1436" w:customStyle="1">
    <w:name w:val="正文缩进 字符"/>
    <w:uiPriority w:val="99"/>
    <w:qFormat/>
    <w:rPr>
      <w:rFonts w:ascii="宋体" w:hAnsi="Times New Roman" w:eastAsia="宋体" w:cs="Times New Roman"/>
      <w:sz w:val="24"/>
    </w:rPr>
  </w:style>
  <w:style w:type="character" w:styleId="1437" w:customStyle="1">
    <w:name w:val="正文文本 字符"/>
    <w:uiPriority w:val="0"/>
    <w:qFormat/>
    <w:rPr>
      <w:rFonts w:ascii="宋体" w:hAnsi="宋体"/>
      <w:sz w:val="24"/>
      <w:szCs w:val="24"/>
    </w:rPr>
  </w:style>
  <w:style w:type="paragraph" w:styleId="1438" w:customStyle="1">
    <w:name w:val="纯文本1"/>
    <w:next w:val="1065"/>
    <w:uiPriority w:val="0"/>
    <w:qFormat/>
    <w:pPr>
      <w:jc w:val="both"/>
      <w:widowControl w:val="off"/>
    </w:pPr>
    <w:rPr>
      <w:rFonts w:hint="default" w:ascii="宋体" w:hAnsi="宋体" w:eastAsia="宋体" w:cs="Times New Roman"/>
      <w:sz w:val="26"/>
      <w:szCs w:val="24"/>
      <w:lang w:val="en-US" w:eastAsia="zh-CN" w:bidi="ar-SA"/>
    </w:rPr>
  </w:style>
  <w:style w:type="paragraph" w:styleId="14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0" w:customStyle="1">
    <w:name w:val="Table Text"/>
    <w:basedOn w:val="1031"/>
    <w:uiPriority w:val="0"/>
    <w:qFormat/>
    <w:pPr>
      <w:jc w:val="left"/>
      <w:widowControl/>
    </w:pPr>
    <w:rPr>
      <w:rFonts w:ascii="宋体" w:hAnsi="宋体" w:cs="宋体"/>
      <w:color w:val="000000"/>
      <w:szCs w:val="21"/>
      <w:lang w:eastAsia="en-US"/>
    </w:rPr>
  </w:style>
  <w:style w:type="paragraph" w:styleId="1441" w:customStyle="1">
    <w:name w:val="X-表格"/>
    <w:basedOn w:val="1031"/>
    <w:uiPriority w:val="0"/>
    <w:qFormat/>
    <w:pPr>
      <w:jc w:val="center"/>
      <w:widowControl/>
    </w:pPr>
    <w:rPr>
      <w:rFonts w:ascii="仿宋" w:hAnsi="仿宋" w:eastAsia="仿宋" w:cs="仿宋"/>
      <w:color w:val="000000"/>
      <w:sz w:val="20"/>
      <w:szCs w:val="20"/>
    </w:rPr>
  </w:style>
  <w:style w:type="paragraph" w:styleId="1442" w:customStyle="1">
    <w:name w:val="XY-正文"/>
    <w:basedOn w:val="1031"/>
    <w:uiPriority w:val="0"/>
    <w:qFormat/>
    <w:pPr>
      <w:ind w:firstLine="504"/>
      <w:spacing w:line="360" w:lineRule="auto"/>
    </w:pPr>
    <w:rPr>
      <w:rFonts w:ascii="仿宋" w:hAnsi="仿宋" w:eastAsia="仿宋"/>
      <w:spacing w:val="6"/>
      <w:sz w:val="24"/>
      <w:szCs w:val="21"/>
    </w:rPr>
  </w:style>
  <w:style w:type="character" w:styleId="1443" w:customStyle="1">
    <w:name w:val="font11"/>
    <w:uiPriority w:val="0"/>
    <w:qFormat/>
    <w:rPr>
      <w:rFonts w:ascii="Calibri" w:hAnsi="Calibri" w:cs="Calibri"/>
      <w:color w:val="000000"/>
      <w:sz w:val="21"/>
      <w:szCs w:val="21"/>
      <w:u w:val="none"/>
    </w:rPr>
  </w:style>
  <w:style w:type="character" w:styleId="1444" w:customStyle="1">
    <w:name w:val="font01"/>
    <w:uiPriority w:val="0"/>
    <w:qFormat/>
    <w:rPr>
      <w:rFonts w:hint="eastAsia" w:ascii="等线" w:hAnsi="等线" w:eastAsia="等线" w:cs="等线"/>
      <w:color w:val="000000"/>
      <w:sz w:val="22"/>
      <w:szCs w:val="22"/>
      <w:u w:val="none"/>
    </w:rPr>
  </w:style>
  <w:style w:type="paragraph" w:styleId="1445" w:customStyle="1">
    <w:name w:val="表格"/>
    <w:basedOn w:val="1031"/>
    <w:uiPriority w:val="0"/>
    <w:qFormat/>
    <w:pPr>
      <w:spacing w:line="400" w:lineRule="exact"/>
    </w:pPr>
    <w:rPr>
      <w:color w:val="000000"/>
      <w:sz w:val="24"/>
    </w:rPr>
  </w:style>
  <w:style w:type="paragraph" w:styleId="1446" w:customStyle="1">
    <w:name w:val="null3"/>
    <w:uiPriority w:val="0"/>
    <w:qFormat/>
    <w:rPr>
      <w:rFonts w:hint="eastAsia" w:ascii="Arial" w:hAnsi="Arial" w:eastAsia="宋体" w:cs="Arial"/>
      <w:lang w:val="en-US" w:eastAsia="zh-CN" w:bidi="ar-SA"/>
    </w:rPr>
  </w:style>
  <w:style w:type="character" w:styleId="1447" w:customStyle="1">
    <w:name w:val="font81"/>
    <w:uiPriority w:val="0"/>
    <w:qFormat/>
    <w:rPr>
      <w:rFonts w:hint="default" w:ascii="Times New Roman" w:hAnsi="Times New Roman" w:cs="Times New Roman"/>
      <w:color w:val="000000"/>
      <w:sz w:val="24"/>
      <w:szCs w:val="24"/>
      <w:u w:val="none"/>
    </w:rPr>
  </w:style>
  <w:style w:type="character" w:styleId="1448" w:customStyle="1">
    <w:name w:val="font71"/>
    <w:uiPriority w:val="0"/>
    <w:qFormat/>
    <w:rPr>
      <w:rFonts w:ascii="宋体" w:hAnsi="宋体" w:eastAsia="宋体" w:cs="宋体"/>
      <w:color w:val="000000"/>
      <w:sz w:val="24"/>
      <w:szCs w:val="24"/>
      <w:u w:val="none"/>
    </w:rPr>
  </w:style>
  <w:style w:type="character" w:styleId="1449" w:customStyle="1">
    <w:name w:val="font112"/>
    <w:uiPriority w:val="0"/>
    <w:qFormat/>
    <w:rPr>
      <w:rFonts w:hint="default" w:ascii="Times New Roman" w:hAnsi="Times New Roman" w:cs="Times New Roman"/>
      <w:color w:val="000000"/>
      <w:sz w:val="14"/>
      <w:szCs w:val="14"/>
      <w:u w:val="none"/>
    </w:rPr>
  </w:style>
  <w:style w:type="character" w:styleId="1450" w:customStyle="1">
    <w:name w:val="font91"/>
    <w:uiPriority w:val="0"/>
    <w:qFormat/>
    <w:rPr>
      <w:rFonts w:hint="eastAsia" w:ascii="宋体" w:hAnsi="宋体" w:eastAsia="宋体" w:cs="宋体"/>
      <w:color w:val="000000"/>
      <w:sz w:val="22"/>
      <w:szCs w:val="22"/>
      <w:u w:val="none"/>
    </w:rPr>
  </w:style>
  <w:style w:type="character" w:styleId="1451" w:customStyle="1">
    <w:name w:val="font121"/>
    <w:uiPriority w:val="0"/>
    <w:qFormat/>
    <w:rPr>
      <w:rFonts w:hint="default" w:ascii="Arial" w:hAnsi="Arial" w:cs="Arial"/>
      <w:color w:val="000000"/>
      <w:sz w:val="22"/>
      <w:szCs w:val="22"/>
      <w:u w:val="none"/>
    </w:rPr>
  </w:style>
  <w:style w:type="character" w:styleId="1452" w:customStyle="1">
    <w:name w:val="font131"/>
    <w:uiPriority w:val="0"/>
    <w:qFormat/>
    <w:rPr>
      <w:rFonts w:hint="eastAsia" w:ascii="宋体" w:hAnsi="宋体" w:eastAsia="宋体" w:cs="宋体"/>
      <w:color w:val="000000"/>
      <w:sz w:val="22"/>
      <w:szCs w:val="22"/>
      <w:u w:val="none"/>
    </w:rPr>
  </w:style>
  <w:style w:type="character" w:styleId="1453" w:customStyle="1">
    <w:name w:val="font141"/>
    <w:uiPriority w:val="0"/>
    <w:qFormat/>
    <w:rPr>
      <w:rFonts w:hint="default" w:ascii="Times New Roman" w:hAnsi="Times New Roman" w:cs="Times New Roman"/>
      <w:color w:val="000000"/>
      <w:sz w:val="24"/>
      <w:szCs w:val="24"/>
      <w:u w:val="none"/>
    </w:rPr>
  </w:style>
  <w:style w:type="character" w:styleId="1454" w:customStyle="1">
    <w:name w:val="font101"/>
    <w:uiPriority w:val="0"/>
    <w:qFormat/>
    <w:rPr>
      <w:rFonts w:hint="eastAsia" w:ascii="宋体" w:hAnsi="宋体" w:eastAsia="宋体" w:cs="宋体"/>
      <w:color w:val="000000"/>
      <w:sz w:val="24"/>
      <w:szCs w:val="24"/>
      <w:u w:val="none"/>
    </w:rPr>
  </w:style>
  <w:style w:type="paragraph" w:styleId="1455" w:customStyle="1">
    <w:name w:val="_Style 271"/>
    <w:basedOn w:val="1031"/>
    <w:next w:val="1456"/>
    <w:uiPriority w:val="34"/>
    <w:qFormat/>
    <w:pPr>
      <w:ind w:firstLine="420"/>
    </w:pPr>
  </w:style>
  <w:style w:type="paragraph" w:styleId="1456">
    <w:name w:val="List Paragraph"/>
    <w:basedOn w:val="1031"/>
    <w:uiPriority w:val="99"/>
    <w:semiHidden/>
    <w:unhideWhenUsed/>
    <w:qFormat/>
    <w:pPr>
      <w:ind w:firstLine="420"/>
    </w:pPr>
  </w:style>
  <w:style w:type="numbering" w:styleId="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魏海玲</cp:lastModifiedBy>
  <cp:revision>10</cp:revision>
  <dcterms:created xsi:type="dcterms:W3CDTF">2026-05-15T08:24:00Z</dcterms:created>
  <dcterms:modified xsi:type="dcterms:W3CDTF">2026-07-10T08:11:47Z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C194652B045947B2BF905160B1D3670D_13</vt:lpwstr>
  </property>
  <property fmtid="{D5CDD505-2E9C-101B-9397-08002B2CF9AE}" pid="4" name="KSOTemplateDocerSaveRecord">
    <vt:lpwstr>eyJoZGlkIjoiZDBiNTA3OWI5NTI5NzliMDdhOTA5Nzg1YzIyNTUzZDkiLCJ1c2VySWQiOiIyNzYwMTEwNDMifQ==</vt:lpwstr>
  </property>
</Properties>
</file>