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4"/>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2025年尚庄镇东片区占补平衡项目土方回填工程</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602"/>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JSZC-320903-JSZH-C2026-0053</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尚庄</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2026年7月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513029200"/>
      <w:r/>
      <w:bookmarkStart w:id="2" w:name="_Toc16938516"/>
      <w:r/>
      <w:bookmarkStart w:id="3" w:name="_Toc523127445"/>
      <w:r/>
      <w:bookmarkStart w:id="4" w:name="_Toc20823272"/>
      <w:r/>
      <w:bookmarkStart w:id="5" w:name="_Toc479757206"/>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621"/>
      <w:r/>
      <w:bookmarkStart w:id="7" w:name="_Toc28359002"/>
      <w:r/>
      <w:bookmarkStart w:id="8" w:name="_Toc35393790"/>
      <w:r/>
      <w:bookmarkStart w:id="9" w:name="_Toc28359079"/>
      <w:r/>
      <w:bookmarkStart w:id="10" w:name="_Hlk24379207"/>
      <w:r>
        <w:rPr>
          <w:rFonts w:hint="eastAsia" w:ascii="宋体" w:hAnsi="宋体" w:cs="宋体"/>
          <w:i w:val="0"/>
          <w:iCs w:val="0"/>
          <w:color w:val="auto"/>
          <w:sz w:val="24"/>
          <w:szCs w:val="24"/>
          <w:highlight w:val="none"/>
          <w:u w:val="single"/>
          <w:lang w:eastAsia="zh-CN"/>
        </w:rPr>
        <w:t xml:space="preserve">2025年尚庄镇东片区占补平衡项目土方回填工程</w:t>
      </w:r>
      <w:r>
        <w:rPr>
          <w:rStyle w:val="1041"/>
          <w:rFonts w:hint="eastAsia" w:ascii="宋体" w:hAnsi="宋体" w:eastAsia="宋体" w:cs="宋体"/>
          <w:i w:val="0"/>
          <w:iCs w:val="0"/>
          <w:color w:val="000000"/>
          <w:sz w:val="24"/>
          <w:szCs w:val="24"/>
          <w:lang w:val="en-US"/>
        </w:rPr>
        <w:t xml:space="preserve">潜在供应商应在“苏采云”系统内免费下载（投标人必须在苏采云系统中获取磋商文件，方能参与政府采购项目）；并于</w:t>
      </w:r>
      <w:r>
        <w:rPr>
          <w:rStyle w:val="1041"/>
          <w:rFonts w:hint="eastAsia" w:ascii="宋体" w:hAnsi="宋体" w:cs="宋体"/>
          <w:i w:val="0"/>
          <w:iCs w:val="0"/>
          <w:color w:val="000000"/>
          <w:sz w:val="24"/>
          <w:szCs w:val="24"/>
          <w:lang w:val="en-US"/>
        </w:rPr>
        <w:t xml:space="preserve">2026年  08月06日</w:t>
      </w:r>
      <w:r>
        <w:rPr>
          <w:rStyle w:val="1041"/>
          <w:rFonts w:hint="eastAsia" w:ascii="宋体" w:hAnsi="宋体" w:eastAsia="宋体" w:cs="宋体"/>
          <w:i w:val="0"/>
          <w:iCs w:val="0"/>
          <w:color w:val="000000"/>
          <w:sz w:val="24"/>
          <w:szCs w:val="24"/>
          <w:lang w:val="en-US"/>
        </w:rPr>
        <w:t xml:space="preserve">9点00分（北京时间）前递交响应文件。</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JSZC-320903-JSZH-C2026-0053</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2025年尚庄镇东片区占补平衡项目土方回填工程</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3128112.02</w:t>
      </w:r>
      <w:r>
        <w:rPr>
          <w:rFonts w:hint="eastAsia" w:ascii="宋体" w:hAnsi="宋体" w:eastAsia="宋体" w:cs="宋体"/>
          <w:i w:val="0"/>
          <w:iCs w:val="0"/>
          <w:sz w:val="24"/>
          <w:szCs w:val="24"/>
          <w:lang w:val="en-US" w:eastAsia="zh-CN"/>
        </w:rPr>
        <w:t xml:space="preserve">元</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3128112.02</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35393791"/>
      <w:r/>
      <w:bookmarkStart w:id="12" w:name="_Toc28359003"/>
      <w:r/>
      <w:bookmarkStart w:id="13" w:name="_Toc35393622"/>
      <w:r/>
      <w:bookmarkStart w:id="14" w:name="_Toc28359080"/>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2025年尚庄镇东片区占补平衡项目土方回填工程</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的施工，主要包括</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东塘村、上潘居委会</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等地块土地复垦。详细内容以采购人提供的施工图纸及工程量清单为准，采购人保留对采购范围适当调整的权利。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 </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50日历天 </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28359081"/>
      <w:r/>
      <w:bookmarkStart w:id="16" w:name="_Toc35393623"/>
      <w:r/>
      <w:bookmarkStart w:id="17" w:name="_Toc35393792"/>
      <w:r/>
      <w:bookmarkStart w:id="18" w:name="_Toc28359004"/>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none"/>
          <w:lang w:val="en-US" w:eastAsia="zh-CN"/>
        </w:rPr>
      </w:pPr>
      <w:r>
        <w:rPr>
          <w:rStyle w:val="1041"/>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yellow"/>
          <w:lang w:val="en-US" w:eastAsia="zh-CN"/>
        </w:rPr>
      </w:pPr>
      <w:r>
        <w:rPr>
          <w:rStyle w:val="1041"/>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41"/>
          <w:rFonts w:hint="eastAsia" w:ascii="宋体" w:hAnsi="宋体" w:cs="宋体"/>
          <w:bCs/>
          <w:i w:val="0"/>
          <w:iCs w:val="0"/>
          <w:sz w:val="24"/>
          <w:szCs w:val="24"/>
          <w:highlight w:val="none"/>
          <w:lang w:val="en-US" w:eastAsia="zh-CN"/>
        </w:rPr>
        <w:t xml:space="preserve">二级</w:t>
      </w:r>
      <w:r>
        <w:rPr>
          <w:rStyle w:val="1041"/>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04</w:t>
      </w:r>
      <w:r>
        <w:rPr>
          <w:rFonts w:hint="eastAsia" w:ascii="宋体" w:hAnsi="宋体" w:eastAsia="宋体" w:cs="宋体"/>
          <w:b/>
          <w:bCs/>
          <w:i w:val="0"/>
          <w:iCs w:val="0"/>
          <w:color w:val="auto"/>
          <w:sz w:val="24"/>
          <w:szCs w:val="24"/>
          <w:highlight w:val="none"/>
          <w:lang w:val="en-US" w:eastAsia="zh-CN"/>
        </w:rPr>
        <w:t xml:space="preserve">月开始至投标截止之日当月内至少1个月在本单位缴纳养老保险缴费记录证明。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pStyle w:val="798"/>
        <w:ind w:firstLine="498"/>
        <w:jc w:val="both"/>
        <w:keepLines/>
        <w:keepNext/>
        <w:pageBreakBefore w:val="0"/>
        <w:spacing w:before="145" w:beforeAutospacing="0" w:after="145" w:afterAutospacing="0" w:line="380" w:lineRule="exact"/>
        <w:rPr>
          <w:rFonts w:hint="eastAsia" w:ascii="宋体" w:hAnsi="宋体" w:eastAsia="宋体" w:cs="宋体"/>
          <w:i w:val="0"/>
          <w:iCs w:val="0"/>
          <w:color w:val="auto"/>
          <w:sz w:val="24"/>
          <w:szCs w:val="24"/>
          <w:highlight w:val="none"/>
          <w:shd w:val="clear" w:color="auto" w:fill="auto"/>
        </w:rPr>
      </w:pPr>
      <w:r/>
      <w:bookmarkStart w:id="19" w:name="_Toc28359092"/>
      <w:r/>
      <w:bookmarkStart w:id="20" w:name="_Toc35393801"/>
      <w:r/>
      <w:bookmarkStart w:id="21" w:name="_Toc28359015"/>
      <w:r/>
      <w:bookmarkStart w:id="22" w:name="_Toc35393632"/>
      <w:r/>
      <w:bookmarkStart w:id="23" w:name="_Toc28359005"/>
      <w:r/>
      <w:bookmarkStart w:id="24" w:name="_Toc28359082"/>
      <w:r/>
      <w:bookmarkStart w:id="25" w:name="_Toc35393793"/>
      <w:r/>
      <w:bookmarkStart w:id="26" w:name="_Toc35393624"/>
      <w:r>
        <w:rPr>
          <w:rFonts w:hint="eastAsia" w:ascii="宋体" w:hAnsi="宋体" w:eastAsia="宋体" w:cs="宋体"/>
          <w:b/>
          <w:i w:val="0"/>
          <w:iCs w:val="0"/>
          <w:color w:val="auto"/>
          <w:sz w:val="24"/>
          <w:szCs w:val="24"/>
          <w:highlight w:val="none"/>
          <w:shd w:val="clear" w:color="auto" w:fill="auto"/>
        </w:rPr>
        <w:t xml:space="preserve">三、获取</w:t>
      </w:r>
      <w:r>
        <w:rPr>
          <w:rFonts w:hint="eastAsia" w:ascii="宋体" w:hAnsi="宋体" w:eastAsia="宋体" w:cs="宋体"/>
          <w:b/>
          <w:i w:val="0"/>
          <w:iCs w:val="0"/>
          <w:color w:val="auto"/>
          <w:sz w:val="24"/>
          <w:szCs w:val="24"/>
          <w:highlight w:val="none"/>
          <w:shd w:val="clear" w:color="auto" w:fill="auto"/>
          <w:lang w:val="en-US" w:eastAsia="zh-CN"/>
        </w:rPr>
        <w:t xml:space="preserve">磋商</w:t>
      </w:r>
      <w:r>
        <w:rPr>
          <w:rFonts w:hint="eastAsia" w:ascii="宋体" w:hAnsi="宋体" w:eastAsia="宋体" w:cs="宋体"/>
          <w:b/>
          <w:i w:val="0"/>
          <w:iCs w:val="0"/>
          <w:color w:val="auto"/>
          <w:sz w:val="24"/>
          <w:szCs w:val="24"/>
          <w:highlight w:val="none"/>
          <w:shd w:val="clear" w:color="auto" w:fill="auto"/>
        </w:rPr>
        <w:t xml:space="preserve">文件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bookmarkStart w:id="27" w:name="_Toc38985266"/>
      <w:r>
        <w:rPr>
          <w:rFonts w:hint="eastAsia" w:ascii="宋体" w:hAnsi="宋体" w:eastAsia="宋体" w:cs="宋体"/>
          <w:i w:val="0"/>
          <w:iCs w:val="0"/>
          <w:color w:val="auto"/>
          <w:sz w:val="24"/>
          <w:szCs w:val="24"/>
          <w:highlight w:val="none"/>
        </w:rPr>
        <w:t xml:space="preserve">1.时间：</w:t>
      </w:r>
      <w:r>
        <w:rPr>
          <w:rFonts w:hint="eastAsia" w:ascii="宋体" w:hAnsi="宋体" w:eastAsia="宋体" w:cs="宋体"/>
          <w:i w:val="0"/>
          <w:iCs w:val="0"/>
          <w:color w:val="auto"/>
          <w:sz w:val="24"/>
          <w:szCs w:val="24"/>
          <w:highlight w:val="none"/>
          <w:lang w:val="en-US" w:eastAsia="zh-CN"/>
        </w:rPr>
        <w:t xml:space="preserve">自磋商文件公告发布之日起5个工作日。</w:t>
      </w:r>
      <w:bookmarkEnd w:id="27"/>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2.地点：“苏采云”系统内免费下载（投标人必须在苏采云系统中获取磋商文件，方能参与政府采购项目）；</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 xml:space="preserve">3.方式：本项目采用网上注册登记方式。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lang w:val="en-US"/>
        </w:rPr>
      </w:pPr>
      <w:r>
        <w:rPr>
          <w:rFonts w:hint="eastAsia" w:ascii="宋体" w:hAnsi="宋体" w:eastAsia="宋体" w:cs="宋体"/>
          <w:i w:val="0"/>
          <w:iCs w:val="0"/>
          <w:color w:val="auto"/>
          <w:sz w:val="24"/>
          <w:szCs w:val="24"/>
          <w:highlight w:val="none"/>
          <w:lang w:val="en-US" w:eastAsia="zh-CN"/>
        </w:rPr>
        <w:t xml:space="preserve">4.售价：0元</w:t>
      </w:r>
      <w:r/>
    </w:p>
    <w:p>
      <w:pPr>
        <w:ind w:firstLine="482"/>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rPr>
          <w:rFonts w:hint="eastAsia" w:ascii="宋体" w:hAnsi="宋体" w:eastAsia="宋体" w:cs="宋体"/>
          <w:b/>
          <w:bCs/>
          <w:i w:val="0"/>
          <w:iCs w:val="0"/>
          <w:color w:val="auto"/>
          <w:sz w:val="24"/>
          <w:szCs w:val="24"/>
          <w:highlight w:val="none"/>
        </w:rPr>
        <w:t xml:space="preserve">四、响应文件提交</w:t>
      </w:r>
      <w:bookmarkEnd w:id="19"/>
      <w:r/>
      <w:bookmarkEnd w:id="20"/>
      <w:r/>
      <w:bookmarkEnd w:id="21"/>
      <w:r/>
      <w:bookmarkEnd w:id="22"/>
      <w:r/>
      <w:r/>
    </w:p>
    <w:p>
      <w:pPr>
        <w:pStyle w:val="798"/>
        <w:ind w:firstLine="480"/>
        <w:jc w:val="both"/>
        <w:pageBreakBefore w:val="0"/>
        <w:spacing w:beforeAutospacing="0" w:afterAutospacing="0" w:line="380" w:lineRule="exact"/>
        <w:rPr>
          <w:rFonts w:hint="eastAsia" w:ascii="宋体" w:hAnsi="宋体" w:eastAsia="宋体" w:cs="宋体"/>
          <w:i w:val="0"/>
          <w:iCs w:val="0"/>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cs="宋体"/>
          <w:i w:val="0"/>
          <w:iCs w:val="0"/>
          <w:color w:val="auto"/>
          <w:sz w:val="24"/>
          <w:szCs w:val="24"/>
          <w:highlight w:val="none"/>
          <w:u w:val="single"/>
          <w:shd w:val="clear" w:color="auto" w:fill="auto"/>
          <w:lang w:val="en-US" w:eastAsia="zh-CN"/>
        </w:rPr>
        <w:t xml:space="preserve">2026</w:t>
      </w:r>
      <w:r>
        <w:rPr>
          <w:rFonts w:hint="eastAsia" w:ascii="宋体" w:hAnsi="宋体" w:eastAsia="宋体" w:cs="宋体"/>
          <w:i w:val="0"/>
          <w:iCs w:val="0"/>
          <w:color w:val="auto"/>
          <w:sz w:val="24"/>
          <w:szCs w:val="24"/>
          <w:highlight w:val="none"/>
          <w:u w:val="single"/>
          <w:shd w:val="clear" w:color="auto" w:fill="auto"/>
        </w:rPr>
        <w:t xml:space="preserve">年08</w:t>
      </w:r>
      <w:r>
        <w:rPr>
          <w:rFonts w:hint="eastAsia" w:ascii="宋体" w:hAnsi="宋体" w:eastAsia="宋体" w:cs="宋体"/>
          <w:i w:val="0"/>
          <w:iCs w:val="0"/>
          <w:color w:val="auto"/>
          <w:sz w:val="24"/>
          <w:szCs w:val="24"/>
          <w:highlight w:val="none"/>
          <w:u w:val="single"/>
          <w:shd w:val="clear" w:color="auto" w:fill="auto"/>
        </w:rPr>
        <w:t xml:space="preserve">月06</w:t>
      </w:r>
      <w:r>
        <w:rPr>
          <w:rFonts w:hint="eastAsia" w:ascii="宋体" w:hAnsi="宋体" w:eastAsia="宋体" w:cs="宋体"/>
          <w:i w:val="0"/>
          <w:iCs w:val="0"/>
          <w:color w:val="auto"/>
          <w:sz w:val="24"/>
          <w:szCs w:val="24"/>
          <w:highlight w:val="none"/>
          <w:u w:val="single"/>
          <w:shd w:val="clear" w:color="auto" w:fill="auto"/>
        </w:rPr>
        <w:t xml:space="preserve">日</w:t>
      </w:r>
      <w:r>
        <w:rPr>
          <w:rFonts w:hint="eastAsia" w:cs="宋体"/>
          <w:i w:val="0"/>
          <w:iCs w:val="0"/>
          <w:color w:val="auto"/>
          <w:sz w:val="24"/>
          <w:szCs w:val="24"/>
          <w:highlight w:val="none"/>
          <w:u w:val="single"/>
          <w:shd w:val="clear" w:color="auto" w:fill="auto"/>
          <w:lang w:val="en-US" w:eastAsia="zh-CN"/>
        </w:rPr>
        <w:t xml:space="preserve">09</w:t>
      </w:r>
      <w:r>
        <w:rPr>
          <w:rFonts w:hint="eastAsia" w:ascii="宋体" w:hAnsi="宋体" w:eastAsia="宋体" w:cs="宋体"/>
          <w:i w:val="0"/>
          <w:iCs w:val="0"/>
          <w:color w:val="auto"/>
          <w:sz w:val="24"/>
          <w:szCs w:val="24"/>
          <w:highlight w:val="none"/>
          <w:u w:val="single"/>
          <w:shd w:val="clear" w:color="auto" w:fill="auto"/>
        </w:rPr>
        <w:t xml:space="preserve">点</w:t>
      </w:r>
      <w:r>
        <w:rPr>
          <w:rFonts w:hint="eastAsia" w:cs="宋体"/>
          <w:i w:val="0"/>
          <w:iCs w:val="0"/>
          <w:color w:val="auto"/>
          <w:sz w:val="24"/>
          <w:szCs w:val="24"/>
          <w:highlight w:val="none"/>
          <w:u w:val="single"/>
          <w:shd w:val="clear" w:color="auto" w:fill="auto"/>
          <w:lang w:val="en-US" w:eastAsia="zh-CN"/>
        </w:rPr>
        <w:t xml:space="preserve">00</w:t>
      </w:r>
      <w:r>
        <w:rPr>
          <w:rFonts w:hint="eastAsia" w:ascii="宋体" w:hAnsi="宋体" w:eastAsia="宋体" w:cs="宋体"/>
          <w:i w:val="0"/>
          <w:iCs w:val="0"/>
          <w:color w:val="auto"/>
          <w:sz w:val="24"/>
          <w:szCs w:val="24"/>
          <w:highlight w:val="none"/>
          <w:u w:val="single"/>
          <w:shd w:val="clear" w:color="auto" w:fill="auto"/>
        </w:rPr>
        <w:t xml:space="preserve">分</w:t>
      </w:r>
      <w:r>
        <w:rPr>
          <w:rFonts w:hint="eastAsia" w:ascii="宋体" w:hAnsi="宋体" w:eastAsia="宋体" w:cs="宋体"/>
          <w:i w:val="0"/>
          <w:iCs w:val="0"/>
          <w:color w:val="auto"/>
          <w:sz w:val="24"/>
          <w:szCs w:val="24"/>
          <w:highlight w:val="none"/>
          <w:shd w:val="clear" w:color="auto" w:fill="auto"/>
        </w:rPr>
        <w:t xml:space="preserve">（北京时间）。</w:t>
      </w:r>
      <w:r/>
    </w:p>
    <w:p>
      <w:pPr>
        <w:pStyle w:val="798"/>
        <w:ind w:firstLine="480"/>
        <w:jc w:val="both"/>
        <w:pageBreakBefore w:val="0"/>
        <w:spacing w:beforeAutospacing="0" w:afterAutospacing="0" w:line="380" w:lineRule="exact"/>
        <w:rPr>
          <w:rFonts w:hint="eastAsia" w:ascii="宋体" w:hAnsi="宋体" w:eastAsia="宋体" w:cs="宋体"/>
          <w:i w:val="0"/>
          <w:iCs w:val="0"/>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i w:val="0"/>
          <w:iCs w:val="0"/>
          <w:color w:val="000000"/>
          <w:sz w:val="24"/>
          <w:szCs w:val="24"/>
          <w:highlight w:val="none"/>
          <w:shd w:val="clear" w:color="auto" w:fill="auto"/>
        </w:rPr>
        <w:t xml:space="preserve">苏采云“不见面”开标大厅 </w:t>
      </w:r>
      <w:r>
        <w:rPr>
          <w:rFonts w:hint="eastAsia" w:ascii="宋体" w:hAnsi="宋体" w:eastAsia="宋体" w:cs="宋体"/>
          <w:i w:val="0"/>
          <w:iCs w:val="0"/>
          <w:color w:val="000000"/>
          <w:sz w:val="24"/>
          <w:szCs w:val="24"/>
          <w:highlight w:val="none"/>
          <w:shd w:val="clear" w:color="auto" w:fill="auto"/>
          <w:lang w:eastAsia="zh-CN"/>
        </w:rPr>
        <w:t xml:space="preserve">。</w:t>
      </w:r>
      <w:bookmarkEnd w:id="23"/>
      <w:r/>
      <w:bookmarkEnd w:id="24"/>
      <w:r/>
      <w:bookmarkEnd w:id="25"/>
      <w:r/>
      <w:bookmarkEnd w:id="26"/>
      <w:r/>
      <w:r/>
    </w:p>
    <w:p>
      <w:pPr>
        <w:pStyle w:val="717"/>
        <w:ind w:firstLine="482"/>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bookmarkStart w:id="28" w:name="_Toc28359084"/>
      <w:r/>
      <w:bookmarkStart w:id="29" w:name="_Toc35393794"/>
      <w:r/>
      <w:bookmarkStart w:id="30" w:name="_Toc28359007"/>
      <w:r/>
      <w:bookmarkStart w:id="31" w:name="_Toc35393625"/>
      <w:r>
        <w:rPr>
          <w:rFonts w:hint="eastAsia" w:ascii="宋体" w:hAnsi="宋体" w:eastAsia="宋体" w:cs="宋体"/>
          <w:b/>
          <w:bCs/>
          <w:i w:val="0"/>
          <w:iCs w:val="0"/>
          <w:sz w:val="24"/>
          <w:szCs w:val="24"/>
          <w:lang w:val="en-US" w:eastAsia="zh-CN"/>
        </w:rPr>
        <w:t xml:space="preserve">五</w:t>
      </w:r>
      <w:r>
        <w:rPr>
          <w:rFonts w:hint="eastAsia" w:ascii="宋体" w:hAnsi="宋体" w:eastAsia="宋体" w:cs="宋体"/>
          <w:b/>
          <w:bCs/>
          <w:i w:val="0"/>
          <w:iCs w:val="0"/>
          <w:sz w:val="24"/>
          <w:szCs w:val="24"/>
        </w:rPr>
        <w:t xml:space="preserve">、公告期限</w:t>
      </w:r>
      <w:bookmarkEnd w:id="28"/>
      <w:r/>
      <w:bookmarkEnd w:id="29"/>
      <w:r/>
      <w:bookmarkEnd w:id="30"/>
      <w:r/>
      <w:bookmarkEnd w:id="31"/>
      <w:r/>
      <w:r/>
    </w:p>
    <w:p>
      <w:pPr>
        <w:ind w:firstLine="54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自本公告发布之日起</w:t>
      </w:r>
      <w:r>
        <w:rPr>
          <w:rFonts w:hint="eastAsia" w:ascii="宋体" w:hAnsi="宋体" w:eastAsia="宋体" w:cs="宋体"/>
          <w:i w:val="0"/>
          <w:iCs w:val="0"/>
          <w:sz w:val="24"/>
          <w:szCs w:val="24"/>
          <w:lang w:val="en-US" w:eastAsia="zh-CN"/>
        </w:rPr>
        <w:t xml:space="preserve">3</w:t>
      </w:r>
      <w:r>
        <w:rPr>
          <w:rFonts w:hint="eastAsia" w:ascii="宋体" w:hAnsi="宋体" w:eastAsia="宋体" w:cs="宋体"/>
          <w:i w:val="0"/>
          <w:iCs w:val="0"/>
          <w:sz w:val="24"/>
          <w:szCs w:val="24"/>
        </w:rPr>
        <w:t xml:space="preserve">个工作日。</w:t>
      </w:r>
      <w:bookmarkStart w:id="32" w:name="_Toc28359085"/>
      <w:r/>
      <w:bookmarkStart w:id="33" w:name="_Toc28359008"/>
      <w:r/>
      <w:bookmarkStart w:id="34" w:name="_Toc35393627"/>
      <w:r/>
      <w:bookmarkStart w:id="35" w:name="_Toc35393796"/>
      <w:r/>
      <w:r/>
    </w:p>
    <w:p>
      <w:pPr>
        <w:ind w:firstLine="482"/>
        <w:keepLines w:val="0"/>
        <w:pageBreakBefore w:val="0"/>
        <w:spacing w:line="38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六</w:t>
      </w:r>
      <w:r>
        <w:rPr>
          <w:rFonts w:hint="eastAsia" w:ascii="宋体" w:hAnsi="宋体" w:eastAsia="宋体" w:cs="宋体"/>
          <w:b/>
          <w:bCs/>
          <w:i w:val="0"/>
          <w:iCs w:val="0"/>
          <w:sz w:val="24"/>
          <w:szCs w:val="24"/>
        </w:rPr>
        <w:t xml:space="preserve">、其他补充事宜</w:t>
      </w:r>
      <w:bookmarkEnd w:id="32"/>
      <w:r/>
      <w:bookmarkEnd w:id="33"/>
      <w:r/>
      <w:bookmarkEnd w:id="34"/>
      <w:r/>
      <w:bookmarkEnd w:id="35"/>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28359096"/>
      <w:r/>
      <w:bookmarkStart w:id="37" w:name="_Toc35393637"/>
      <w:r/>
      <w:bookmarkStart w:id="38" w:name="_Toc28359019"/>
      <w:r/>
      <w:bookmarkStart w:id="39" w:name="_Toc35393806"/>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5.电子投标文件一份（通过系统提交）；纸质投标文件正本一份，副本三份（评审结束后由中标候选人邮寄至江苏智汇锡建工程项目管理有限公司，未中标单位不需要提供）。</w:t>
      </w:r>
      <w:bookmarkEnd w:id="36"/>
      <w:r/>
      <w:bookmarkEnd w:id="37"/>
      <w:r/>
      <w:bookmarkEnd w:id="38"/>
      <w:r/>
      <w:bookmarkEnd w:id="39"/>
      <w:r/>
      <w:r/>
    </w:p>
    <w:p>
      <w:pPr>
        <w:pStyle w:val="804"/>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七</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eastAsia="zh-CN"/>
        </w:rPr>
      </w:pPr>
      <w:r>
        <w:rPr>
          <w:rFonts w:hint="eastAsia" w:ascii="宋体" w:hAnsi="宋体" w:eastAsia="宋体" w:cs="宋体"/>
          <w:i w:val="0"/>
          <w:iCs w:val="0"/>
          <w:color w:val="auto"/>
          <w:sz w:val="24"/>
          <w:szCs w:val="24"/>
        </w:rPr>
        <w:t xml:space="preserve">名    称：</w:t>
      </w:r>
      <w:r>
        <w:rPr>
          <w:rFonts w:hint="eastAsia" w:ascii="宋体" w:hAnsi="宋体" w:eastAsia="宋体" w:cs="宋体"/>
          <w:i w:val="0"/>
          <w:iCs w:val="0"/>
          <w:color w:val="auto"/>
          <w:sz w:val="24"/>
          <w:szCs w:val="24"/>
          <w:u w:val="single"/>
          <w:lang w:val="en-US" w:eastAsia="zh-CN"/>
        </w:rPr>
        <w:t xml:space="preserve">盐城市盐都区</w:t>
      </w:r>
      <w:r>
        <w:rPr>
          <w:rFonts w:hint="eastAsia" w:ascii="宋体" w:hAnsi="宋体" w:cs="宋体"/>
          <w:i w:val="0"/>
          <w:iCs w:val="0"/>
          <w:color w:val="auto"/>
          <w:sz w:val="24"/>
          <w:szCs w:val="24"/>
          <w:u w:val="single"/>
          <w:lang w:val="en-US" w:eastAsia="zh-CN"/>
        </w:rPr>
        <w:t xml:space="preserve">尚庄</w:t>
      </w:r>
      <w:r>
        <w:rPr>
          <w:rFonts w:hint="eastAsia" w:ascii="宋体" w:hAnsi="宋体" w:eastAsia="宋体" w:cs="宋体"/>
          <w:i w:val="0"/>
          <w:iCs w:val="0"/>
          <w:color w:val="auto"/>
          <w:sz w:val="24"/>
          <w:szCs w:val="24"/>
          <w:u w:val="singl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rPr>
      </w:pPr>
      <w:r>
        <w:rPr>
          <w:rFonts w:hint="eastAsia" w:ascii="宋体" w:hAnsi="宋体" w:eastAsia="宋体" w:cs="宋体"/>
          <w:i w:val="0"/>
          <w:iCs w:val="0"/>
          <w:color w:val="auto"/>
          <w:sz w:val="24"/>
          <w:szCs w:val="24"/>
        </w:rPr>
        <w:t xml:space="preserve">地    址：</w:t>
      </w:r>
      <w:r>
        <w:rPr>
          <w:rFonts w:hint="eastAsia" w:ascii="宋体" w:hAnsi="宋体" w:eastAsia="宋体" w:cs="宋体"/>
          <w:i w:val="0"/>
          <w:iCs w:val="0"/>
          <w:color w:val="auto"/>
          <w:sz w:val="24"/>
          <w:szCs w:val="24"/>
          <w:u w:val="single"/>
        </w:rPr>
        <w:t xml:space="preserve">江苏省盐城市盐都区尚庄镇人民中路46号‌</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式：15305107023</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名      称：</w:t>
      </w:r>
      <w:r>
        <w:rPr>
          <w:rFonts w:hint="eastAsia" w:ascii="宋体" w:hAnsi="宋体" w:eastAsia="宋体" w:cs="宋体"/>
          <w:i w:val="0"/>
          <w:iCs w:val="0"/>
          <w:color w:val="auto"/>
          <w:sz w:val="24"/>
          <w:szCs w:val="24"/>
          <w:u w:val="single"/>
          <w:lang w:val="en-US" w:eastAsia="zh-CN"/>
        </w:rPr>
        <w:t xml:space="preserve">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lang w:val="en-US" w:eastAsia="zh-CN"/>
        </w:rPr>
        <w:t xml:space="preserve">地　     址：</w:t>
      </w:r>
      <w:r>
        <w:rPr>
          <w:rFonts w:hint="eastAsia" w:ascii="宋体" w:hAnsi="宋体" w:eastAsia="宋体" w:cs="宋体"/>
          <w:i w:val="0"/>
          <w:iCs w:val="0"/>
          <w:color w:val="auto"/>
          <w:sz w:val="24"/>
          <w:szCs w:val="24"/>
          <w:u w:val="single"/>
          <w:lang w:val="en-US" w:eastAsia="zh-CN"/>
        </w:rPr>
        <w:t xml:space="preserve">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联  系   人：</w:t>
      </w:r>
      <w:r>
        <w:rPr>
          <w:rFonts w:hint="eastAsia" w:ascii="宋体" w:hAnsi="宋体" w:eastAsia="宋体" w:cs="宋体"/>
          <w:i w:val="0"/>
          <w:iCs w:val="0"/>
          <w:color w:val="auto"/>
          <w:sz w:val="24"/>
          <w:szCs w:val="24"/>
          <w:u w:val="single"/>
          <w:lang w:val="en-US" w:eastAsia="zh-CN"/>
        </w:rPr>
        <w:t xml:space="preserve">张先生</w:t>
      </w:r>
      <w:r>
        <w:rPr>
          <w:rFonts w:hint="eastAsia" w:ascii="宋体" w:hAnsi="宋体" w:eastAsia="宋体" w:cs="宋体"/>
          <w:i w:val="0"/>
          <w:iCs w:val="0"/>
          <w:color w:val="auto"/>
          <w:sz w:val="24"/>
          <w:szCs w:val="24"/>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singl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cs="宋体"/>
          <w:i w:val="0"/>
          <w:iCs w:val="0"/>
          <w:sz w:val="24"/>
          <w:szCs w:val="24"/>
          <w:lang w:val="en-US" w:eastAsia="zh-CN"/>
        </w:rPr>
        <w:t xml:space="preserve">倪先生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式：15305107023</w:t>
      </w:r>
      <w:r/>
    </w:p>
    <w:p>
      <w:pPr>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18"/>
        <w:numPr>
          <w:ilvl w:val="0"/>
          <w:numId w:val="13"/>
        </w:numPr>
        <w:spacing w:line="500" w:lineRule="exact"/>
        <w:rPr>
          <w:rFonts w:hint="eastAsia" w:ascii="宋体" w:hAnsi="宋体" w:eastAsia="宋体" w:cs="宋体"/>
          <w:i w:val="0"/>
          <w:iCs w:val="0"/>
        </w:rPr>
      </w:pPr>
      <w:r/>
      <w:bookmarkStart w:id="41" w:name="_Toc16938518"/>
      <w:r/>
      <w:bookmarkStart w:id="42" w:name="_Toc513029202"/>
      <w:r/>
      <w:bookmarkStart w:id="43" w:name="_Toc120614213"/>
      <w:r/>
      <w:bookmarkStart w:id="44" w:name="_Toc20823274"/>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479757207"/>
      <w:r/>
      <w:bookmarkStart w:id="46" w:name="_Toc16938558"/>
      <w:r/>
      <w:bookmarkStart w:id="47" w:name="_Toc20823314"/>
      <w:r/>
      <w:bookmarkStart w:id="48" w:name="_Toc513029242"/>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14577351"/>
      <w:r/>
      <w:bookmarkStart w:id="51" w:name="_Toc462564072"/>
      <w:r/>
      <w:bookmarkStart w:id="52" w:name="_Toc513029213"/>
      <w:r/>
      <w:bookmarkStart w:id="53" w:name="_Toc61149553"/>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1.响应报价低于全部通过符合性审查投标人响应报价平均值50%的，即响应报价&lt;全部通过符合性审查投标人响应报价平均值×50%；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2.响应报价低于通过符合性审查的次低报价投标人响应报价50%的，即响应报价&lt;通过符合性审查的次低报价投标人响应报价×50%；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3.响应报价低于采购项目最高限价45%的，即响应报价&lt;采购项目最高限价×45%；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启动异常低价响应审查后，属于前述第1项至第4项情形的，应当要求相关投标人在评审现场合理的时间内对响应价格作出解释，提供项目具体成本测算等与报价合理性相关的书面说明及必要的证明材料，包括但不限于原材料成本、人工成本、制造费用等，给予相关投标人的合理时间一般不少于30分钟。其中，属于第3项情形，投标人已随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依据专业经验，参考同类项目中标（成交）价格、类似产品市场价格水平、行业人工费用标准、国家有关部门指导行业协会发布的行业平均成本等情况，对报价合理性进行判断。响应投标人不能提供书面说明、证明材料，或者提供的书面说明、证明材料不能证明其报价合理性的，</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应当将其作为无效响应处理。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异常低价响应审查的启动原因、审查意见和审查结果应当在评审报告中记录，并随投标人提供的相关书面说明及证明材料，以及</w:t>
      </w:r>
      <w:r>
        <w:rPr>
          <w:rFonts w:hint="eastAsia" w:ascii="宋体" w:hAnsi="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lang w:val="en-US" w:eastAsia="zh-CN"/>
        </w:rPr>
        <w:t xml:space="preserve">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20614244"/>
      <w:r/>
      <w:bookmarkStart w:id="55" w:name="_Toc20823346"/>
      <w:r/>
      <w:bookmarkStart w:id="56" w:name="_Toc16938590"/>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16938559"/>
      <w:r/>
      <w:bookmarkStart w:id="61" w:name="_Toc20823315"/>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尚庄</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63"/>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63"/>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63"/>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2025年尚庄镇东片区占补平衡项目土方回填工程</w:t>
      </w:r>
      <w:r>
        <w:rPr>
          <w:rFonts w:hint="eastAsia" w:ascii="宋体" w:hAnsi="宋体" w:eastAsia="宋体" w:cs="宋体"/>
          <w:i w:val="0"/>
          <w:iCs w:val="0"/>
          <w:color w:val="auto"/>
          <w:sz w:val="24"/>
          <w:szCs w:val="24"/>
          <w:lang w:val="en-US" w:eastAsia="zh-CN"/>
        </w:rPr>
        <w:t xml:space="preserve">的施工，主要包括</w:t>
      </w:r>
      <w:r>
        <w:rPr>
          <w:rFonts w:hint="eastAsia" w:ascii="宋体" w:hAnsi="宋体" w:cs="宋体"/>
          <w:i w:val="0"/>
          <w:iCs w:val="0"/>
          <w:color w:val="auto"/>
          <w:sz w:val="24"/>
          <w:szCs w:val="24"/>
          <w:lang w:val="en-US" w:eastAsia="zh-CN"/>
        </w:rPr>
        <w:t xml:space="preserve">东塘村、上潘居委会</w:t>
      </w:r>
      <w:r>
        <w:rPr>
          <w:rFonts w:hint="eastAsia" w:ascii="宋体" w:hAnsi="宋体" w:eastAsia="宋体" w:cs="宋体"/>
          <w:i w:val="0"/>
          <w:iCs w:val="0"/>
          <w:color w:val="auto"/>
          <w:sz w:val="24"/>
          <w:szCs w:val="24"/>
          <w:lang w:val="en-US" w:eastAsia="zh-CN"/>
        </w:rPr>
        <w:t xml:space="preserve">等地块土地复垦。具体以采购人提供的施工图纸及工程量清单为准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8"/>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本工程质量标准</w:t>
      </w:r>
      <w:r>
        <w:rPr>
          <w:rFonts w:hint="eastAsia" w:ascii="宋体" w:hAnsi="宋体" w:cs="宋体"/>
          <w:i w:val="0"/>
          <w:iCs w:val="0"/>
          <w:sz w:val="24"/>
          <w:szCs w:val="28"/>
          <w:highlight w:val="none"/>
          <w:lang w:val="en-US" w:eastAsia="zh-CN"/>
        </w:rPr>
        <w:t xml:space="preserve">合格</w:t>
      </w:r>
      <w:r>
        <w:rPr>
          <w:rFonts w:hint="eastAsia" w:ascii="宋体" w:hAnsi="宋体" w:eastAsia="宋体" w:cs="宋体"/>
          <w:i w:val="0"/>
          <w:iCs w:val="0"/>
          <w:sz w:val="24"/>
          <w:szCs w:val="28"/>
          <w:highlight w:val="none"/>
          <w:lang w:val="en-US" w:eastAsia="zh-CN"/>
        </w:rPr>
        <w:t xml:space="preserve">，</w:t>
      </w:r>
      <w:r>
        <w:rPr>
          <w:rFonts w:hint="eastAsia" w:ascii="宋体" w:hAnsi="宋体" w:cs="宋体"/>
          <w:i w:val="0"/>
          <w:iCs w:val="0"/>
          <w:sz w:val="24"/>
          <w:szCs w:val="28"/>
          <w:highlight w:val="none"/>
          <w:lang w:val="en-US" w:eastAsia="zh-CN"/>
        </w:rPr>
        <w:t xml:space="preserve">耕地质量等级不低于上年度建设占用耕地质量平均等级</w:t>
      </w:r>
      <w:r>
        <w:rPr>
          <w:rFonts w:hint="eastAsia" w:ascii="宋体" w:hAnsi="宋体" w:eastAsia="宋体" w:cs="宋体"/>
          <w:i w:val="0"/>
          <w:iCs w:val="0"/>
          <w:sz w:val="24"/>
          <w:szCs w:val="28"/>
          <w:highlight w:val="none"/>
          <w:lang w:val="en-US" w:eastAsia="zh-CN"/>
        </w:rPr>
        <w:t xml:space="preserve">。</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5.1</w:t>
      </w:r>
      <w:r>
        <w:rPr>
          <w:rFonts w:hint="eastAsia" w:ascii="宋体" w:hAnsi="宋体" w:eastAsia="宋体" w:cs="宋体"/>
          <w:b/>
          <w:bCs/>
          <w:i w:val="0"/>
          <w:iCs w:val="0"/>
          <w:color w:val="0000ff"/>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                                    </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5.2工程竣工验收合格，耕地质量等级达到上年度建设占用耕地质量平均等级后支付合同金额的80%</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0000ff"/>
          <w:sz w:val="24"/>
          <w:szCs w:val="28"/>
          <w:highlight w:val="yellow"/>
          <w:lang w:val="en-US" w:eastAsia="zh-CN"/>
        </w:rPr>
      </w:pPr>
      <w:r>
        <w:rPr>
          <w:rFonts w:hint="eastAsia" w:ascii="宋体" w:hAnsi="宋体" w:cs="宋体"/>
          <w:b/>
          <w:bCs/>
          <w:i w:val="0"/>
          <w:iCs w:val="0"/>
          <w:color w:val="0000ff"/>
          <w:sz w:val="24"/>
          <w:szCs w:val="28"/>
          <w:highlight w:val="yellow"/>
          <w:lang w:val="en-US" w:eastAsia="zh-CN"/>
        </w:rPr>
        <w:t xml:space="preserve">5.3工程竣工验收合格，耕地质量等级达到上年度建设占用耕地质量平均等级满一年后经审计付至审定价的95%</w:t>
      </w:r>
      <w:r>
        <w:rPr>
          <w:rFonts w:hint="eastAsia" w:ascii="宋体" w:hAnsi="宋体" w:eastAsia="宋体" w:cs="宋体"/>
          <w:b/>
          <w:bCs/>
          <w:i w:val="0"/>
          <w:iCs w:val="0"/>
          <w:color w:val="0000ff"/>
          <w:sz w:val="24"/>
          <w:szCs w:val="28"/>
          <w:highlight w:val="yellow"/>
          <w:lang w:val="en-US" w:eastAsia="zh-CN"/>
        </w:rPr>
        <w:t xml:space="preserve">;</w:t>
      </w:r>
      <w:r/>
    </w:p>
    <w:p>
      <w:pPr>
        <w:ind w:left="489" w:hanging="10"/>
        <w:pageBreakBefore w:val="0"/>
        <w:spacing w:line="440" w:lineRule="exact"/>
        <w:rPr>
          <w:rFonts w:hint="eastAsia" w:ascii="宋体" w:hAnsi="宋体" w:eastAsia="宋体" w:cs="宋体"/>
          <w:b/>
          <w:bCs/>
          <w:i w:val="0"/>
          <w:iCs w:val="0"/>
          <w:color w:val="92d050"/>
          <w:sz w:val="24"/>
          <w:szCs w:val="28"/>
          <w:highlight w:val="yellow"/>
          <w:lang w:eastAsia="zh-CN"/>
        </w:rPr>
      </w:pPr>
      <w:r>
        <w:rPr>
          <w:rFonts w:hint="eastAsia" w:ascii="宋体" w:hAnsi="宋体" w:cs="宋体"/>
          <w:b/>
          <w:bCs/>
          <w:i w:val="0"/>
          <w:iCs w:val="0"/>
          <w:color w:val="0000ff"/>
          <w:sz w:val="24"/>
          <w:szCs w:val="28"/>
          <w:highlight w:val="yellow"/>
          <w:lang w:val="en-US" w:eastAsia="zh-CN"/>
        </w:rPr>
        <w:t xml:space="preserve">5.4</w:t>
      </w:r>
      <w:r>
        <w:rPr>
          <w:rFonts w:hint="eastAsia" w:ascii="宋体" w:hAnsi="宋体" w:eastAsia="宋体" w:cs="宋体"/>
          <w:b/>
          <w:bCs/>
          <w:i w:val="0"/>
          <w:iCs w:val="0"/>
          <w:color w:val="0000ff"/>
          <w:sz w:val="24"/>
          <w:szCs w:val="28"/>
          <w:highlight w:val="yellow"/>
          <w:lang w:val="en-US" w:eastAsia="zh-CN"/>
        </w:rPr>
        <w:t xml:space="preserve">工程竣工验收合格，耕地质量等级达到上年度建设占用耕地质量平均等级满</w:t>
      </w:r>
      <w:r>
        <w:rPr>
          <w:rFonts w:hint="eastAsia" w:ascii="宋体" w:hAnsi="宋体" w:cs="宋体"/>
          <w:b/>
          <w:bCs/>
          <w:i w:val="0"/>
          <w:iCs w:val="0"/>
          <w:color w:val="0000ff"/>
          <w:sz w:val="24"/>
          <w:szCs w:val="28"/>
          <w:highlight w:val="yellow"/>
          <w:lang w:val="en-US" w:eastAsia="zh-CN"/>
        </w:rPr>
        <w:t xml:space="preserve">两</w:t>
      </w:r>
      <w:r>
        <w:rPr>
          <w:rFonts w:hint="eastAsia" w:ascii="宋体" w:hAnsi="宋体" w:eastAsia="宋体" w:cs="宋体"/>
          <w:b/>
          <w:bCs/>
          <w:i w:val="0"/>
          <w:iCs w:val="0"/>
          <w:color w:val="0000ff"/>
          <w:sz w:val="24"/>
          <w:szCs w:val="28"/>
          <w:highlight w:val="yellow"/>
          <w:lang w:val="en-US" w:eastAsia="zh-CN"/>
        </w:rPr>
        <w:t xml:space="preserve">年后</w:t>
      </w:r>
      <w:r>
        <w:rPr>
          <w:rFonts w:hint="eastAsia" w:ascii="宋体" w:hAnsi="宋体" w:cs="宋体"/>
          <w:b/>
          <w:bCs/>
          <w:i w:val="0"/>
          <w:iCs w:val="0"/>
          <w:color w:val="0000ff"/>
          <w:sz w:val="24"/>
          <w:szCs w:val="28"/>
          <w:highlight w:val="yellow"/>
          <w:lang w:val="en-US" w:eastAsia="zh-CN"/>
        </w:rPr>
        <w:t xml:space="preserve">按审定价付清余款</w:t>
      </w:r>
      <w:r>
        <w:rPr>
          <w:rFonts w:hint="eastAsia" w:ascii="宋体" w:hAnsi="宋体" w:eastAsia="宋体" w:cs="宋体"/>
          <w:b/>
          <w:bCs/>
          <w:i w:val="0"/>
          <w:iCs w:val="0"/>
          <w:color w:val="0000ff"/>
          <w:sz w:val="24"/>
          <w:szCs w:val="28"/>
          <w:highlight w:val="yellow"/>
          <w:lang w:val="en-US" w:eastAsia="zh-CN"/>
        </w:rPr>
        <w:t xml:space="preserve">。</w:t>
      </w:r>
      <w:r/>
    </w:p>
    <w:p>
      <w:pPr>
        <w:pStyle w:val="803"/>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6.1塘内及塘边的杂草、杂物必须清理清运出现场，严禁就地深埋，</w:t>
      </w:r>
      <w:r>
        <w:rPr>
          <w:rFonts w:hint="eastAsia" w:ascii="宋体" w:hAnsi="宋体" w:cs="宋体"/>
          <w:i w:val="0"/>
          <w:iCs w:val="0"/>
          <w:color w:val="auto"/>
          <w:sz w:val="24"/>
          <w:szCs w:val="28"/>
          <w:highlight w:val="none"/>
          <w:lang w:val="en-US" w:eastAsia="zh-CN" w:bidi="ar-SA"/>
        </w:rPr>
        <w:t xml:space="preserve">甲方</w:t>
      </w:r>
      <w:r>
        <w:rPr>
          <w:rFonts w:hint="eastAsia" w:ascii="宋体" w:hAnsi="宋体" w:eastAsia="宋体" w:cs="宋体"/>
          <w:i w:val="0"/>
          <w:iCs w:val="0"/>
          <w:color w:val="auto"/>
          <w:sz w:val="24"/>
          <w:szCs w:val="28"/>
          <w:highlight w:val="none"/>
          <w:lang w:val="en-US" w:eastAsia="zh-CN" w:bidi="ar-SA"/>
        </w:rPr>
        <w:t xml:space="preserve">不提供堆放场地，</w:t>
      </w:r>
      <w:r>
        <w:rPr>
          <w:rFonts w:hint="eastAsia" w:ascii="宋体" w:hAnsi="宋体" w:cs="宋体"/>
          <w:i w:val="0"/>
          <w:iCs w:val="0"/>
          <w:color w:val="auto"/>
          <w:sz w:val="24"/>
          <w:szCs w:val="28"/>
          <w:highlight w:val="none"/>
          <w:lang w:val="en-US" w:eastAsia="zh-CN" w:bidi="ar-SA"/>
        </w:rPr>
        <w:t xml:space="preserve">乙方</w:t>
      </w:r>
      <w:r>
        <w:rPr>
          <w:rFonts w:hint="eastAsia" w:ascii="宋体" w:hAnsi="宋体" w:eastAsia="宋体" w:cs="宋体"/>
          <w:i w:val="0"/>
          <w:iCs w:val="0"/>
          <w:color w:val="auto"/>
          <w:sz w:val="24"/>
          <w:szCs w:val="28"/>
          <w:highlight w:val="none"/>
          <w:lang w:val="en-US" w:eastAsia="zh-CN" w:bidi="ar-SA"/>
        </w:rPr>
        <w:t xml:space="preserve">自行考虑堆放场所及运距。淤泥必须晾晒，清淤量以测绘结果为准，淤泥晾晒后经</w:t>
      </w:r>
      <w:r>
        <w:rPr>
          <w:rFonts w:hint="eastAsia" w:ascii="宋体" w:hAnsi="宋体" w:cs="宋体"/>
          <w:i w:val="0"/>
          <w:iCs w:val="0"/>
          <w:color w:val="auto"/>
          <w:sz w:val="24"/>
          <w:szCs w:val="28"/>
          <w:highlight w:val="none"/>
          <w:lang w:val="en-US" w:eastAsia="zh-CN" w:bidi="ar-SA"/>
        </w:rPr>
        <w:t xml:space="preserve">甲方</w:t>
      </w:r>
      <w:r>
        <w:rPr>
          <w:rFonts w:hint="eastAsia" w:ascii="宋体" w:hAnsi="宋体" w:eastAsia="宋体" w:cs="宋体"/>
          <w:i w:val="0"/>
          <w:iCs w:val="0"/>
          <w:color w:val="auto"/>
          <w:sz w:val="24"/>
          <w:szCs w:val="28"/>
          <w:highlight w:val="none"/>
          <w:lang w:val="en-US" w:eastAsia="zh-CN" w:bidi="ar-SA"/>
        </w:rPr>
        <w:t xml:space="preserve">确认后可用于回填作业。</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6.3本项目土源甲供，乙方需严格按照甲方提供的取土区域在指定范围内取土，未在指定范围或私自取土的，甲方有权拒绝履行合同并要求恢复原状，造成损失的由乙方承担。</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yellow"/>
          <w:lang w:val="en-US" w:eastAsia="zh-CN" w:bidi="ar-SA"/>
        </w:rPr>
      </w:pPr>
      <w:r>
        <w:rPr>
          <w:rFonts w:hint="eastAsia" w:ascii="宋体" w:hAnsi="宋体" w:eastAsia="宋体" w:cs="宋体"/>
          <w:i w:val="0"/>
          <w:iCs w:val="0"/>
          <w:color w:val="auto"/>
          <w:sz w:val="24"/>
          <w:szCs w:val="28"/>
          <w:highlight w:val="none"/>
          <w:lang w:val="en-US" w:eastAsia="zh-CN" w:bidi="ar-SA"/>
        </w:rPr>
        <w:t xml:space="preserve">6.4甲供土由乙方负责起挖、装车、运输、回填，一切相关费用均包含在合同价格之中。</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20"/>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296503045"/>
      <w:r/>
      <w:bookmarkStart w:id="63" w:name="_Toc351203518"/>
      <w:r/>
      <w:bookmarkStart w:id="64" w:name="_Toc296346546"/>
      <w:r/>
      <w:bookmarkStart w:id="65" w:name="_Toc3375587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296346547"/>
      <w:r/>
      <w:bookmarkStart w:id="67" w:name="_Toc351203519"/>
      <w:r/>
      <w:bookmarkStart w:id="68" w:name="_Toc296503046"/>
      <w:r/>
      <w:bookmarkStart w:id="69" w:name="_Toc337558747"/>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7"/>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98"/>
        <w:gridCol w:w="1233"/>
        <w:gridCol w:w="1230"/>
        <w:gridCol w:w="1847"/>
        <w:gridCol w:w="1383"/>
        <w:gridCol w:w="1697"/>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51"/>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03"/>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63"/>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48497790"/>
      <w:r/>
      <w:bookmarkStart w:id="71" w:name="_Toc18858"/>
      <w:r/>
      <w:bookmarkStart w:id="72" w:name="_Toc46309689"/>
      <w:r/>
      <w:bookmarkStart w:id="73" w:name="_Toc30576034"/>
      <w:r/>
      <w:bookmarkStart w:id="74" w:name="_Toc20152126"/>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18"/>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26554093"/>
      <w:r/>
      <w:bookmarkStart w:id="76" w:name="_Toc120614281"/>
      <w:r/>
      <w:bookmarkStart w:id="77" w:name="_Toc49090575"/>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2025年尚庄镇东片区占补平衡项目土方回填工程</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cs="宋体"/>
          <w:b/>
          <w:i w:val="0"/>
          <w:iCs w:val="0"/>
          <w:sz w:val="28"/>
          <w:szCs w:val="28"/>
          <w:lang w:val="en-US" w:eastAsia="zh-CN"/>
        </w:rPr>
        <w:t xml:space="preserve">一</w:t>
      </w:r>
      <w:r>
        <w:rPr>
          <w:rFonts w:hint="eastAsia" w:ascii="宋体" w:hAnsi="宋体" w:eastAsia="宋体" w:cs="宋体"/>
          <w:b/>
          <w:i w:val="0"/>
          <w:iCs w:val="0"/>
          <w:sz w:val="28"/>
          <w:szCs w:val="28"/>
        </w:rPr>
        <w:t xml:space="preserve">、项目概况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2025年尚庄镇东片区占补平衡项目土方回填工程</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尚庄</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eastAsia" w:ascii="宋体" w:hAnsi="宋体" w:cs="宋体"/>
          <w:i w:val="0"/>
          <w:iCs w:val="0"/>
          <w:sz w:val="24"/>
          <w:szCs w:val="24"/>
          <w:lang w:val="en-US" w:eastAsia="zh-CN"/>
        </w:rPr>
      </w:pPr>
      <w:r>
        <w:rPr>
          <w:rFonts w:hint="eastAsia" w:ascii="宋体" w:hAnsi="宋体" w:cs="宋体"/>
          <w:i w:val="0"/>
          <w:iCs w:val="0"/>
          <w:sz w:val="24"/>
          <w:szCs w:val="24"/>
          <w:lang w:val="en-US" w:eastAsia="zh-CN"/>
        </w:rPr>
        <w:t xml:space="preserve">1.3采购范围：本工程建设地点位于尚庄镇境内东塘村、上潘居委会等村，采购范围为：盐城市盐都区尚庄镇F25J03042-01、F25J03042-02、F25J03041-01等地块施工。</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2025年尚庄镇东片区占补平衡项目土方回填工程</w:t>
      </w:r>
      <w:r>
        <w:rPr>
          <w:rFonts w:hint="eastAsia" w:ascii="宋体" w:hAnsi="宋体" w:eastAsia="宋体" w:cs="宋体"/>
          <w:i w:val="0"/>
          <w:iCs w:val="0"/>
          <w:sz w:val="24"/>
          <w:szCs w:val="24"/>
          <w:lang w:val="en-US" w:eastAsia="zh-CN"/>
        </w:rPr>
        <w:t xml:space="preserve">的施工，总投资约</w:t>
      </w:r>
      <w:r>
        <w:rPr>
          <w:rFonts w:hint="eastAsia" w:ascii="宋体" w:hAnsi="宋体" w:cs="宋体"/>
          <w:i w:val="0"/>
          <w:iCs w:val="0"/>
          <w:sz w:val="24"/>
          <w:szCs w:val="24"/>
          <w:lang w:val="en-US" w:eastAsia="zh-CN"/>
        </w:rPr>
        <w:t xml:space="preserve">3128112.02</w:t>
      </w:r>
      <w:r>
        <w:rPr>
          <w:rFonts w:hint="eastAsia" w:ascii="宋体" w:hAnsi="宋体" w:eastAsia="宋体" w:cs="宋体"/>
          <w:i w:val="0"/>
          <w:iCs w:val="0"/>
          <w:sz w:val="24"/>
          <w:szCs w:val="24"/>
          <w:lang w:val="en-US" w:eastAsia="zh-CN"/>
        </w:rPr>
        <w:t xml:space="preserve">元</w:t>
      </w:r>
      <w:r>
        <w:rPr>
          <w:rFonts w:hint="eastAsia" w:ascii="宋体" w:hAnsi="宋体" w:cs="宋体"/>
          <w:i w:val="0"/>
          <w:iCs w:val="0"/>
          <w:sz w:val="24"/>
          <w:szCs w:val="24"/>
          <w:lang w:val="en-US" w:eastAsia="zh-CN"/>
        </w:rPr>
        <w:t xml:space="preserve">，土方量约32666.9立方米</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51"/>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51"/>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50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 </w:t>
      </w:r>
      <w:r>
        <w:rPr>
          <w:rFonts w:hint="eastAsia" w:ascii="宋体" w:hAnsi="宋体" w:eastAsia="宋体" w:cs="宋体"/>
          <w:i w:val="0"/>
          <w:iCs w:val="0"/>
          <w:color w:val="auto"/>
          <w:sz w:val="24"/>
          <w:szCs w:val="24"/>
          <w:highlight w:val="none"/>
          <w:lang w:val="en-US" w:eastAsia="zh-CN"/>
        </w:rPr>
        <w:t xml:space="preserve">   </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51"/>
        <w:ind w:firstLine="480"/>
        <w:spacing w:line="500" w:lineRule="exact"/>
        <w:rPr>
          <w:rFonts w:hint="default"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rPr>
          <w:rFonts w:hint="eastAsia" w:ascii="宋体" w:hAnsi="宋体" w:cs="宋体"/>
          <w:i w:val="0"/>
          <w:iCs w:val="0"/>
          <w:color w:val="auto"/>
          <w:sz w:val="24"/>
          <w:szCs w:val="24"/>
          <w:highlight w:val="none"/>
          <w:lang w:val="en-US" w:eastAsia="zh-CN" w:bidi="ar-SA"/>
        </w:rPr>
        <w:t xml:space="preserve">淤泥必须晾晒，清淤量以测绘结果为准，淤泥晾晒后经采购人确认后可用于回填作业。</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3.3本项目土源甲供，乙方需严格按照甲方提供的取土区域在指定范围内取土，未在指定范围或私自取土的，甲方有权拒绝履行合同并要求恢复原状，造成损失的由乙方承担。</w:t>
      </w:r>
      <w:r/>
    </w:p>
    <w:p>
      <w:pPr>
        <w:pStyle w:val="1051"/>
        <w:ind w:firstLine="480"/>
        <w:spacing w:line="500" w:lineRule="exact"/>
        <w:rPr>
          <w:rFonts w:hint="default" w:ascii="宋体" w:hAnsi="宋体" w:eastAsia="宋体" w:cs="宋体"/>
          <w:i w:val="0"/>
          <w:iCs w:val="0"/>
          <w:color w:val="auto"/>
          <w:sz w:val="24"/>
          <w:szCs w:val="24"/>
          <w:highlight w:val="yellow"/>
          <w:lang w:val="en-US" w:eastAsia="zh-CN" w:bidi="ar-SA"/>
        </w:rPr>
      </w:pPr>
      <w:r>
        <w:rPr>
          <w:rFonts w:hint="eastAsia" w:ascii="宋体" w:hAnsi="宋体" w:eastAsia="宋体" w:cs="宋体"/>
          <w:i w:val="0"/>
          <w:iCs w:val="0"/>
          <w:color w:val="auto"/>
          <w:sz w:val="24"/>
          <w:szCs w:val="24"/>
          <w:highlight w:val="none"/>
          <w:lang w:val="en-US" w:eastAsia="zh-CN" w:bidi="ar-SA"/>
        </w:rPr>
        <w:t xml:space="preserve">3.4甲供土由乙方负责起挖、装车、运输、回填，一切相关费用均包含在报价之中。</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51"/>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3128112.02</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51"/>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51"/>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cs="宋体"/>
          <w:b/>
          <w:i w:val="0"/>
          <w:iCs w:val="0"/>
          <w:color w:val="auto"/>
          <w:szCs w:val="24"/>
          <w:highlight w:val="none"/>
          <w:lang w:val="en-US" w:eastAsia="zh-CN"/>
        </w:rPr>
        <w:t xml:space="preserve">三</w:t>
      </w:r>
      <w:r>
        <w:rPr>
          <w:rFonts w:hint="eastAsia" w:ascii="宋体" w:hAnsi="宋体" w:eastAsia="宋体" w:cs="宋体"/>
          <w:b/>
          <w:i w:val="0"/>
          <w:iCs w:val="0"/>
          <w:color w:val="auto"/>
          <w:szCs w:val="24"/>
          <w:highlight w:val="none"/>
        </w:rPr>
        <w:t xml:space="preserve">、</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3.1</w:t>
      </w:r>
      <w:r>
        <w:rPr>
          <w:rFonts w:hint="eastAsia" w:ascii="宋体" w:hAnsi="宋体" w:eastAsia="宋体" w:cs="宋体"/>
          <w:i w:val="0"/>
          <w:iCs w:val="0"/>
          <w:sz w:val="24"/>
          <w:szCs w:val="24"/>
          <w:lang w:val="en-US" w:eastAsia="zh-CN"/>
        </w:rPr>
        <w:t xml:space="preserve">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w:t>
      </w:r>
      <w:r>
        <w:rPr>
          <w:rFonts w:hint="eastAsia" w:ascii="宋体" w:hAnsi="宋体" w:eastAsia="宋体" w:cs="宋体"/>
          <w:i w:val="0"/>
          <w:iCs w:val="0"/>
          <w:sz w:val="24"/>
          <w:szCs w:val="24"/>
          <w:lang w:val="en-US" w:eastAsia="zh-CN"/>
        </w:rPr>
        <w:t xml:space="preserve">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w:t>
      </w:r>
      <w:r>
        <w:rPr>
          <w:rFonts w:hint="eastAsia" w:ascii="宋体" w:hAnsi="宋体" w:eastAsia="宋体" w:cs="宋体"/>
          <w:i w:val="0"/>
          <w:iCs w:val="0"/>
          <w:sz w:val="24"/>
          <w:szCs w:val="24"/>
          <w:lang w:val="en-US" w:eastAsia="zh-CN"/>
        </w:rPr>
        <w:t xml:space="preserve">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3.2.1</w:t>
      </w:r>
      <w:r>
        <w:rPr>
          <w:rFonts w:hint="eastAsia" w:ascii="宋体" w:hAnsi="宋体" w:eastAsia="宋体" w:cs="宋体"/>
          <w:i w:val="0"/>
          <w:iCs w:val="0"/>
          <w:sz w:val="24"/>
          <w:szCs w:val="24"/>
          <w:lang w:val="en-US" w:eastAsia="zh-CN"/>
        </w:rPr>
        <w:t xml:space="preserve">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cs="宋体"/>
          <w:i w:val="0"/>
          <w:iCs w:val="0"/>
          <w:sz w:val="24"/>
          <w:szCs w:val="24"/>
          <w:lang w:val="en-US" w:eastAsia="zh-CN"/>
        </w:rPr>
        <w:t xml:space="preserve">3.2.2</w:t>
      </w:r>
      <w:r>
        <w:rPr>
          <w:rFonts w:hint="eastAsia" w:ascii="宋体" w:hAnsi="宋体" w:eastAsia="宋体" w:cs="宋体"/>
          <w:i w:val="0"/>
          <w:iCs w:val="0"/>
          <w:sz w:val="24"/>
          <w:szCs w:val="24"/>
          <w:lang w:val="en-US" w:eastAsia="zh-CN"/>
        </w:rPr>
        <w:t xml:space="preserve">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19、安全文明措施费为不可竞争费。水利工程的安全文明措施费具体费用组成按安全文明措施费分解表填写。 安全文明施工措施费的使用和管理参照《江苏省水利建设工程安全文明施工措施费使用管理办法》（苏水规〔2017 〕2 号）执行。投标人应当根据招标文件，结合工程特点及自身的施工技术和管理水平，按照“ 安全文明措施费分解表” 格式及工程量清单投标报价说明要求进行逐项、合理报价。 安全文明措施费分解表格式要求见 《江苏省水利建设工程安全文明施工措施费分解表》（苏水安〔2017 〕3 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20、供应商最后报价为响应文件中已标价工程量清单总价下浮后得到（各清单项的数量不变，单价同比例下浮，其中不可竞争费用项目或费率不下浮）。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eastAsia="宋体" w:cs="宋体"/>
          <w:i w:val="0"/>
          <w:iCs w:val="0"/>
          <w:sz w:val="24"/>
          <w:szCs w:val="24"/>
          <w:lang w:val="en-US" w:eastAsia="zh-CN"/>
        </w:rPr>
        <w:t xml:space="preserve">21、磋商文件中“磋商响应报价表”均指已标价工程量清单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i w:val="0"/>
          <w:iCs w:val="0"/>
          <w:color w:val="000000"/>
          <w:sz w:val="24"/>
          <w:szCs w:val="24"/>
          <w:highlight w:val="none"/>
          <w:lang w:val="en-US" w:eastAsia="zh-CN"/>
        </w:rPr>
        <w:t xml:space="preserve">四</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2025年尚庄镇东片区占补平衡项目土方回填工程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120614282"/>
      <w:r/>
      <w:bookmarkStart w:id="79" w:name="_Toc49090576"/>
      <w:r/>
      <w:bookmarkStart w:id="80" w:name="_Toc26554094"/>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9"/>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4"/>
        <w:ind w:firstLine="0"/>
        <w:rPr>
          <w:rFonts w:hint="eastAsia" w:ascii="宋体" w:hAnsi="宋体" w:eastAsia="宋体" w:cs="宋体"/>
          <w:bCs/>
          <w:i w:val="0"/>
          <w:iCs w:val="0"/>
          <w:sz w:val="24"/>
          <w:szCs w:val="24"/>
        </w:rPr>
      </w:pPr>
      <w:r>
        <w:rPr>
          <w:rFonts w:hint="eastAsia" w:ascii="宋体" w:hAnsi="宋体" w:eastAsia="宋体" w:cs="宋体"/>
          <w:i w:val="0"/>
          <w:iCs w:val="0"/>
          <w:color w:val="000000"/>
          <w:sz w:val="24"/>
          <w:szCs w:val="24"/>
        </w:rPr>
        <w:t xml:space="preserve">本项目评分总分值为100分。</w:t>
      </w:r>
      <w:r/>
    </w:p>
    <w:tbl>
      <w:tblPr>
        <w:tblStyle w:val="805"/>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 </w:t>
            </w:r>
            <w:r>
              <w:rPr>
                <w:rFonts w:hint="eastAsia" w:ascii="宋体" w:hAnsi="宋体" w:eastAsia="宋体" w:cs="宋体"/>
                <w:b/>
                <w:i w:val="0"/>
                <w:iCs w:val="0"/>
                <w:color w:val="000000"/>
                <w:sz w:val="24"/>
                <w:szCs w:val="24"/>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rPr>
              <w:t xml:space="preserve">评分标准</w:t>
            </w:r>
            <w:r/>
          </w:p>
        </w:tc>
      </w:tr>
      <w:tr>
        <w:trPr>
          <w:trHeight w:val="20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自202</w:t>
            </w:r>
            <w:r>
              <w:rPr>
                <w:rFonts w:hint="eastAsia" w:ascii="宋体" w:hAnsi="宋体" w:cs="宋体"/>
                <w:i w:val="0"/>
                <w:iCs w:val="0"/>
                <w:color w:val="000000"/>
                <w:sz w:val="22"/>
                <w:szCs w:val="22"/>
                <w:highlight w:val="none"/>
                <w:lang w:val="en-US" w:eastAsia="zh-CN"/>
              </w:rPr>
              <w:t xml:space="preserve">2</w:t>
            </w:r>
            <w:r>
              <w:rPr>
                <w:rFonts w:hint="eastAsia" w:ascii="宋体" w:hAnsi="宋体" w:eastAsia="宋体" w:cs="宋体"/>
                <w:i w:val="0"/>
                <w:iCs w:val="0"/>
                <w:color w:val="000000"/>
                <w:sz w:val="22"/>
                <w:szCs w:val="22"/>
                <w:highlight w:val="none"/>
                <w:lang w:val="en-US" w:eastAsia="zh-CN"/>
              </w:rPr>
              <w:t xml:space="preserve">年7月1日以来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，承担过类似项目等业绩的，每提供一份业绩得2分，本项最高10分。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p>
        </w:tc>
      </w:tr>
      <w:tr>
        <w:trPr>
          <w:trHeight w:val="6764"/>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资源配置（1</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4"/>
              <w:ind w:left="0" w:firstLine="0"/>
              <w:jc w:val="both"/>
              <w:spacing w:line="360" w:lineRule="auto"/>
              <w:rPr>
                <w:rFonts w:hint="default" w:ascii="宋体" w:hAnsi="宋体" w:eastAsia="宋体" w:cs="宋体"/>
                <w:color w:val="auto"/>
                <w:sz w:val="22"/>
                <w:szCs w:val="22"/>
                <w:highlight w:val="none"/>
                <w:lang w:val="en-US" w:eastAsia="zh-CN"/>
                <w14:ligatures w14:val="none"/>
              </w:rPr>
            </w:pPr>
            <w:r>
              <w:rPr>
                <w:rFonts w:hint="eastAsia" w:ascii="宋体" w:hAnsi="宋体" w:eastAsia="宋体" w:cs="宋体"/>
                <w:sz w:val="22"/>
                <w:szCs w:val="22"/>
                <w:lang w:val="en-US" w:eastAsia="zh-CN"/>
              </w:rPr>
              <w:t xml:space="preserve">4、</w:t>
            </w:r>
            <w:r>
              <w:rPr>
                <w:rFonts w:hint="eastAsia" w:ascii="宋体" w:hAnsi="宋体" w:eastAsia="宋体" w:cs="宋体"/>
                <w:color w:val="auto"/>
                <w:sz w:val="22"/>
                <w:szCs w:val="22"/>
                <w:highlight w:val="none"/>
                <w:lang w:val="en-US" w:eastAsia="zh-CN"/>
              </w:rPr>
              <w:t xml:space="preserve">项目组成员中（项目负责人、技术负责人除外）</w:t>
            </w:r>
            <w:r>
              <w:rPr>
                <w:rFonts w:hint="eastAsia" w:ascii="宋体" w:hAnsi="宋体" w:eastAsia="宋体" w:cs="宋体"/>
                <w:color w:val="auto"/>
                <w:sz w:val="22"/>
                <w:szCs w:val="22"/>
                <w:highlight w:val="none"/>
                <w14:ligatures w14:val="none"/>
              </w:rPr>
              <w:t xml:space="preserve">，具有二级注册造价工程师证书的，每有1人得1分，具有一级注册造价工程师证书每有1人得2分，</w:t>
            </w:r>
            <w:r>
              <w:rPr>
                <w:rFonts w:hint="eastAsia" w:ascii="宋体" w:hAnsi="宋体" w:cs="宋体"/>
                <w:color w:val="auto"/>
                <w:sz w:val="22"/>
                <w:szCs w:val="22"/>
                <w:highlight w:val="none"/>
                <w:lang w:val="en-US" w:eastAsia="zh-CN"/>
                <w14:ligatures w14:val="none"/>
              </w:rPr>
              <w:t xml:space="preserve">本项最高得3分。</w:t>
            </w:r>
            <w:r/>
          </w:p>
          <w:p>
            <w:pPr>
              <w:pStyle w:val="814"/>
              <w:ind w:left="0" w:firstLine="0"/>
              <w:jc w:val="both"/>
              <w:spacing w:line="360" w:lineRule="auto"/>
              <w:rPr>
                <w:rFonts w:hint="eastAsia" w:ascii="宋体" w:hAnsi="宋体" w:eastAsia="宋体" w:cs="宋体"/>
                <w:sz w:val="22"/>
                <w:szCs w:val="22"/>
                <w:lang w:val="en-US" w:eastAsia="zh-CN"/>
              </w:rPr>
            </w:pPr>
            <w:r>
              <w:rPr>
                <w:rFonts w:hint="eastAsia" w:ascii="宋体" w:hAnsi="宋体" w:cs="宋体"/>
                <w:color w:val="auto"/>
                <w:sz w:val="22"/>
                <w:szCs w:val="22"/>
                <w:highlight w:val="none"/>
                <w:lang w:val="en-US" w:eastAsia="zh-CN"/>
                <w14:ligatures w14:val="none"/>
              </w:rPr>
              <w:t xml:space="preserve">5、施工员、质检（量）员、资料员配备齐全（以提供的相关证书扫描件为准）的得2分，否则不得分。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同一人员不重复计分，</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4月份以来任意一个月在本单位缴纳养老保险证明的复印件加盖投标人公章，未提供的人员不得分。</w:t>
            </w:r>
            <w:r/>
          </w:p>
        </w:tc>
      </w:tr>
      <w:tr>
        <w:trP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rPr>
                <w:rFonts w:hint="eastAsia" w:ascii="宋体" w:hAnsi="宋体" w:cs="宋体"/>
                <w:b w:val="0"/>
                <w:bCs w:val="0"/>
                <w:color w:val="auto"/>
                <w:sz w:val="22"/>
                <w:szCs w:val="22"/>
                <w:highlight w:val="none"/>
                <w:lang w:val="en-US" w:eastAsia="zh-CN" w:bidi="ar-SA"/>
              </w:rPr>
              <w:t xml:space="preserve">45</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1.总体概述（</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2.现场布置方案（</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3.土方工程（</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4.安全文明施工及环境保护措施（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5.资源配置计划（</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6.工程进度计划与措施（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结合本项目农渠、砂石路、机口、泵站、涵洞、土地平整、土壤改良、土方回填等项目的施工进度计划合理、工期保证措施；方案优于本项目采购需求的得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8"/>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8"/>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798"/>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798"/>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8"/>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8"/>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8"/>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8"/>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8"/>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8"/>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8"/>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br w:type="page" w:clear="all"/>
      </w:r>
      <w:r/>
    </w:p>
    <w:p>
      <w:pPr>
        <w:jc w:val="center"/>
        <w:spacing w:after="286" w:line="360" w:lineRule="auto"/>
        <w:rPr>
          <w:rFonts w:hint="eastAsia" w:ascii="宋体" w:hAnsi="宋体" w:eastAsia="宋体" w:cs="宋体"/>
          <w:b/>
          <w:bCs/>
          <w:i w:val="0"/>
          <w:iCs w:val="0"/>
          <w:sz w:val="32"/>
          <w:szCs w:val="32"/>
          <w:highlight w:val="none"/>
        </w:rPr>
        <w:outlineLvl w:val="1"/>
      </w:pPr>
      <w:r/>
      <w:bookmarkStart w:id="90" w:name="_GoBack"/>
      <w:r/>
      <w:bookmarkEnd w:id="90"/>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default" w:ascii="宋体" w:hAnsi="宋体" w:eastAsia="宋体" w:cs="宋体"/>
          <w:b/>
          <w:bCs w:val="0"/>
          <w:i w:val="0"/>
          <w:lang w:val="en-US" w:eastAsia="zh-CN"/>
        </w:rPr>
      </w:pPr>
      <w:r>
        <w:rPr>
          <w:rFonts w:hint="eastAsia" w:ascii="宋体" w:hAnsi="宋体" w:eastAsia="宋体" w:cs="宋体"/>
          <w:b/>
          <w:bCs/>
          <w:i w:val="0"/>
          <w:iCs w:val="0"/>
        </w:rPr>
        <w:t xml:space="preserve">清单获取方式：</w:t>
      </w:r>
      <w:r>
        <w:rPr>
          <w:rFonts w:hint="eastAsia" w:ascii="宋体" w:hAnsi="宋体" w:cs="宋体"/>
          <w:b/>
          <w:bCs/>
          <w:i w:val="0"/>
          <w:iCs w:val="0"/>
          <w:lang w:val="en-US" w:eastAsia="zh-CN"/>
        </w:rPr>
        <w:t xml:space="preserve">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bookmarkStart w:id="82" w:name="_Hlt26955056"/>
            <w:r/>
            <w:bookmarkStart w:id="83" w:name="_Hlt26671343"/>
            <w:r/>
            <w:bookmarkStart w:id="84" w:name="_Hlt26955064"/>
            <w:r/>
            <w:bookmarkStart w:id="85" w:name="_Hlt26782999"/>
            <w:r/>
            <w:bookmarkStart w:id="86" w:name="_Hlt26671372"/>
            <w:r/>
            <w:bookmarkStart w:id="87" w:name="_Hlt26609391"/>
            <w:r/>
            <w:bookmarkStart w:id="88" w:name="_Hlt26580838"/>
            <w:r/>
            <w:bookmarkStart w:id="89" w:name="_Hlt24879081"/>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bookmarkEnd w:id="58"/>
      <w:bookmarkEnd w:id="81"/>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62"/>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8"/>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22"/>
      <w:isLgl w:val="false"/>
      <w:suff w:val="nothing"/>
      <w:lvlText w:val=""/>
      <w:lvlJc w:val="left"/>
      <w:pPr/>
      <w:rPr>
        <w:rFonts w:hint="eastAsia" w:cs="Times New Roman"/>
      </w:rPr>
    </w:lvl>
    <w:lvl w:ilvl="6">
      <w:start w:val="1"/>
      <w:numFmt w:val="none"/>
      <w:pStyle w:val="723"/>
      <w:isLgl w:val="false"/>
      <w:suff w:val="nothing"/>
      <w:lvlText w:val=""/>
      <w:lvlJc w:val="left"/>
      <w:pPr/>
      <w:rPr>
        <w:rFonts w:hint="eastAsia" w:cs="Times New Roman"/>
      </w:rPr>
    </w:lvl>
    <w:lvl w:ilvl="7">
      <w:start w:val="1"/>
      <w:numFmt w:val="none"/>
      <w:pStyle w:val="724"/>
      <w:isLgl w:val="false"/>
      <w:suff w:val="nothing"/>
      <w:lvlText w:val=""/>
      <w:lvlJc w:val="left"/>
      <w:pPr/>
      <w:rPr>
        <w:rFonts w:hint="eastAsia" w:cs="Times New Roman"/>
      </w:rPr>
    </w:lvl>
    <w:lvl w:ilvl="8">
      <w:start w:val="1"/>
      <w:numFmt w:val="none"/>
      <w:pStyle w:val="725"/>
      <w:isLgl w:val="false"/>
      <w:suff w:val="nothing"/>
      <w:lvlText w:val=""/>
      <w:lvlJc w:val="left"/>
      <w:pPr/>
      <w:rPr>
        <w:rFonts w:hint="eastAsia" w:cs="Times New Roman"/>
      </w:rPr>
    </w:lvl>
  </w:abstractNum>
  <w:abstractNum w:abstractNumId="7">
    <w:multiLevelType w:val="hybridMultilevel"/>
    <w:lvl w:ilvl="0">
      <w:start w:val="1"/>
      <w:numFmt w:val="bullet"/>
      <w:pStyle w:val="7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966"/>
    <w:uiPriority w:val="0"/>
    <w:qFormat/>
    <w:pPr>
      <w:jc w:val="center"/>
      <w:keepNext/>
      <w:outlineLvl w:val="0"/>
    </w:pPr>
    <w:rPr>
      <w:rFonts w:ascii="方正仿宋_GB2312" w:eastAsia="方正仿宋_GB2312"/>
      <w:sz w:val="28"/>
      <w:szCs w:val="28"/>
    </w:rPr>
  </w:style>
  <w:style w:type="paragraph" w:styleId="718">
    <w:name w:val="Heading 2"/>
    <w:basedOn w:val="716"/>
    <w:next w:val="71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link w:val="968"/>
    <w:uiPriority w:val="99"/>
    <w:qFormat/>
    <w:pPr>
      <w:keepLines/>
      <w:keepNext/>
      <w:spacing w:before="260" w:after="260" w:line="416" w:lineRule="auto"/>
      <w:outlineLvl w:val="2"/>
    </w:pPr>
    <w:rPr>
      <w:b/>
      <w:bCs/>
      <w:sz w:val="32"/>
      <w:szCs w:val="32"/>
    </w:rPr>
  </w:style>
  <w:style w:type="paragraph" w:styleId="720">
    <w:name w:val="Heading 4"/>
    <w:basedOn w:val="716"/>
    <w:next w:val="716"/>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4"/>
    <w:uiPriority w:val="99"/>
    <w:qFormat/>
    <w:pPr>
      <w:keepNext/>
      <w:outlineLvl w:val="4"/>
    </w:pPr>
    <w:rPr>
      <w:rFonts w:ascii="宋体"/>
      <w:color w:val="000000"/>
      <w:sz w:val="28"/>
      <w:szCs w:val="28"/>
    </w:rPr>
  </w:style>
  <w:style w:type="paragraph" w:styleId="722">
    <w:name w:val="Heading 6"/>
    <w:basedOn w:val="716"/>
    <w:next w:val="716"/>
    <w:link w:val="96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70"/>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7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2"/>
    <w:uiPriority w:val="99"/>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9">
    <w:name w:val="Normal Indent"/>
    <w:basedOn w:val="716"/>
    <w:next w:val="716"/>
    <w:link w:val="989"/>
    <w:uiPriority w:val="99"/>
    <w:qFormat/>
    <w:pPr>
      <w:ind w:firstLine="420"/>
    </w:pPr>
    <w:rPr>
      <w:szCs w:val="20"/>
    </w:rPr>
  </w:style>
  <w:style w:type="paragraph" w:styleId="730">
    <w:name w:val="List 3"/>
    <w:basedOn w:val="716"/>
    <w:uiPriority w:val="99"/>
    <w:qFormat/>
    <w:pPr>
      <w:ind w:left="100" w:hanging="200"/>
    </w:pPr>
  </w:style>
  <w:style w:type="paragraph" w:styleId="731">
    <w:name w:val="toc 7"/>
    <w:basedOn w:val="716"/>
    <w:next w:val="716"/>
    <w:uiPriority w:val="39"/>
    <w:semiHidden/>
    <w:unhideWhenUsed/>
    <w:qFormat/>
    <w:pPr>
      <w:ind w:left="2520"/>
    </w:pPr>
  </w:style>
  <w:style w:type="paragraph" w:styleId="732">
    <w:name w:val="List Number 2"/>
    <w:basedOn w:val="716"/>
    <w:uiPriority w:val="99"/>
    <w:semiHidden/>
    <w:unhideWhenUsed/>
    <w:qFormat/>
    <w:pPr>
      <w:numPr>
        <w:ilvl w:val="0"/>
        <w:numId w:val="2"/>
      </w:numPr>
    </w:pPr>
  </w:style>
  <w:style w:type="paragraph" w:styleId="733">
    <w:name w:val="table of authorities"/>
    <w:basedOn w:val="716"/>
    <w:next w:val="716"/>
    <w:uiPriority w:val="99"/>
    <w:semiHidden/>
    <w:unhideWhenUsed/>
    <w:qFormat/>
    <w:pPr>
      <w:ind w:left="420"/>
    </w:pPr>
  </w:style>
  <w:style w:type="paragraph" w:styleId="734">
    <w:name w:val="Note Heading"/>
    <w:basedOn w:val="716"/>
    <w:next w:val="716"/>
    <w:uiPriority w:val="99"/>
    <w:semiHidden/>
    <w:unhideWhenUsed/>
    <w:qFormat/>
    <w:pPr>
      <w:jc w:val="center"/>
    </w:pPr>
  </w:style>
  <w:style w:type="paragraph" w:styleId="735">
    <w:name w:val="List Bullet 4"/>
    <w:basedOn w:val="716"/>
    <w:uiPriority w:val="99"/>
    <w:semiHidden/>
    <w:unhideWhenUsed/>
    <w:qFormat/>
    <w:pPr>
      <w:numPr>
        <w:ilvl w:val="0"/>
        <w:numId w:val="3"/>
      </w:numPr>
    </w:pPr>
  </w:style>
  <w:style w:type="paragraph" w:styleId="736">
    <w:name w:val="index 8"/>
    <w:basedOn w:val="716"/>
    <w:next w:val="716"/>
    <w:uiPriority w:val="99"/>
    <w:semiHidden/>
    <w:unhideWhenUsed/>
    <w:qFormat/>
    <w:pPr>
      <w:ind w:left="1400"/>
    </w:pPr>
  </w:style>
  <w:style w:type="paragraph" w:styleId="737">
    <w:name w:val="E-mail Signature"/>
    <w:basedOn w:val="716"/>
    <w:uiPriority w:val="99"/>
    <w:semiHidden/>
    <w:unhideWhenUsed/>
    <w:qFormat/>
  </w:style>
  <w:style w:type="paragraph" w:styleId="738">
    <w:name w:val="List Number"/>
    <w:basedOn w:val="716"/>
    <w:uiPriority w:val="99"/>
    <w:semiHidden/>
    <w:unhideWhenUsed/>
    <w:qFormat/>
    <w:pPr>
      <w:numPr>
        <w:ilvl w:val="0"/>
        <w:numId w:val="4"/>
      </w:numPr>
    </w:pPr>
  </w:style>
  <w:style w:type="paragraph" w:styleId="739">
    <w:name w:val="Caption"/>
    <w:basedOn w:val="716"/>
    <w:next w:val="716"/>
    <w:uiPriority w:val="35"/>
    <w:semiHidden/>
    <w:unhideWhenUsed/>
    <w:qFormat/>
    <w:rPr>
      <w:rFonts w:ascii="Arial" w:hAnsi="Arial" w:eastAsia="黑体"/>
      <w:sz w:val="20"/>
    </w:rPr>
  </w:style>
  <w:style w:type="paragraph" w:styleId="740">
    <w:name w:val="index 5"/>
    <w:basedOn w:val="716"/>
    <w:next w:val="716"/>
    <w:uiPriority w:val="99"/>
    <w:semiHidden/>
    <w:unhideWhenUsed/>
    <w:qFormat/>
    <w:pPr>
      <w:ind w:left="800"/>
    </w:pPr>
  </w:style>
  <w:style w:type="paragraph" w:styleId="741">
    <w:name w:val="List Bullet"/>
    <w:basedOn w:val="716"/>
    <w:uiPriority w:val="99"/>
    <w:semiHidden/>
    <w:unhideWhenUsed/>
    <w:qFormat/>
    <w:pPr>
      <w:numPr>
        <w:ilvl w:val="0"/>
        <w:numId w:val="5"/>
      </w:numPr>
    </w:pPr>
  </w:style>
  <w:style w:type="paragraph" w:styleId="742">
    <w:name w:val="envelope address"/>
    <w:basedOn w:val="716"/>
    <w:uiPriority w:val="99"/>
    <w:semiHidden/>
    <w:unhideWhenUsed/>
    <w:qFormat/>
    <w:pPr>
      <w:ind w:left="100"/>
    </w:pPr>
    <w:rPr>
      <w:rFonts w:ascii="Arial" w:hAnsi="Arial"/>
      <w:sz w:val="24"/>
    </w:rPr>
  </w:style>
  <w:style w:type="paragraph" w:styleId="743">
    <w:name w:val="Document Map"/>
    <w:basedOn w:val="716"/>
    <w:link w:val="977"/>
    <w:uiPriority w:val="99"/>
    <w:semiHidden/>
    <w:qFormat/>
    <w:pPr>
      <w:shd w:val="clear" w:color="auto" w:fill="000080"/>
    </w:pPr>
  </w:style>
  <w:style w:type="paragraph" w:styleId="744">
    <w:name w:val="toa heading"/>
    <w:basedOn w:val="716"/>
    <w:next w:val="716"/>
    <w:uiPriority w:val="99"/>
    <w:semiHidden/>
    <w:unhideWhenUsed/>
    <w:qFormat/>
    <w:pPr>
      <w:spacing w:before="120" w:beforeAutospacing="0"/>
    </w:pPr>
    <w:rPr>
      <w:rFonts w:ascii="Arial" w:hAnsi="Arial"/>
      <w:sz w:val="24"/>
    </w:rPr>
  </w:style>
  <w:style w:type="paragraph" w:styleId="745">
    <w:name w:val="annotation text"/>
    <w:basedOn w:val="716"/>
    <w:link w:val="1010"/>
    <w:uiPriority w:val="99"/>
    <w:semiHidden/>
    <w:qFormat/>
    <w:pPr>
      <w:jc w:val="left"/>
    </w:pPr>
  </w:style>
  <w:style w:type="paragraph" w:styleId="746">
    <w:name w:val="index 6"/>
    <w:basedOn w:val="716"/>
    <w:next w:val="716"/>
    <w:uiPriority w:val="99"/>
    <w:semiHidden/>
    <w:unhideWhenUsed/>
    <w:qFormat/>
    <w:pPr>
      <w:ind w:left="1000"/>
    </w:pPr>
  </w:style>
  <w:style w:type="paragraph" w:styleId="747">
    <w:name w:val="Salutation"/>
    <w:basedOn w:val="716"/>
    <w:next w:val="716"/>
    <w:uiPriority w:val="99"/>
    <w:semiHidden/>
    <w:unhideWhenUsed/>
    <w:qFormat/>
  </w:style>
  <w:style w:type="paragraph" w:styleId="748">
    <w:name w:val="Body Text 3"/>
    <w:basedOn w:val="716"/>
    <w:link w:val="978"/>
    <w:uiPriority w:val="99"/>
    <w:qFormat/>
    <w:rPr>
      <w:rFonts w:ascii="仿宋_GB2312" w:hAnsi="Arial" w:eastAsia="仿宋_GB2312"/>
      <w:sz w:val="32"/>
      <w:szCs w:val="32"/>
    </w:rPr>
  </w:style>
  <w:style w:type="paragraph" w:styleId="749">
    <w:name w:val="Closing"/>
    <w:basedOn w:val="716"/>
    <w:uiPriority w:val="99"/>
    <w:semiHidden/>
    <w:unhideWhenUsed/>
    <w:qFormat/>
    <w:pPr>
      <w:ind w:left="100"/>
    </w:pPr>
  </w:style>
  <w:style w:type="paragraph" w:styleId="750">
    <w:name w:val="List Bullet 3"/>
    <w:basedOn w:val="716"/>
    <w:uiPriority w:val="99"/>
    <w:semiHidden/>
    <w:unhideWhenUsed/>
    <w:qFormat/>
    <w:pPr>
      <w:numPr>
        <w:ilvl w:val="0"/>
        <w:numId w:val="6"/>
      </w:numPr>
    </w:pPr>
  </w:style>
  <w:style w:type="paragraph" w:styleId="751">
    <w:name w:val="Body Text"/>
    <w:basedOn w:val="716"/>
    <w:link w:val="975"/>
    <w:uiPriority w:val="99"/>
    <w:qFormat/>
    <w:rPr>
      <w:rFonts w:ascii="方正仿宋_GB2312" w:hAnsi="Arial" w:eastAsia="方正仿宋_GB2312"/>
      <w:sz w:val="28"/>
      <w:szCs w:val="28"/>
    </w:rPr>
  </w:style>
  <w:style w:type="paragraph" w:styleId="752">
    <w:name w:val="Body Text Indent"/>
    <w:basedOn w:val="716"/>
    <w:next w:val="753"/>
    <w:link w:val="979"/>
    <w:uiPriority w:val="99"/>
    <w:qFormat/>
    <w:pPr>
      <w:ind w:firstLine="645"/>
    </w:pPr>
    <w:rPr>
      <w:rFonts w:ascii="方正仿宋_GB2312" w:eastAsia="方正仿宋_GB2312"/>
      <w:sz w:val="32"/>
      <w:szCs w:val="32"/>
    </w:rPr>
  </w:style>
  <w:style w:type="paragraph" w:styleId="753">
    <w:name w:val="envelope return"/>
    <w:basedOn w:val="716"/>
    <w:uiPriority w:val="0"/>
    <w:qFormat/>
    <w:rPr>
      <w:rFonts w:ascii="Arial" w:hAnsi="Arial"/>
    </w:rPr>
  </w:style>
  <w:style w:type="paragraph" w:styleId="754">
    <w:name w:val="List Number 3"/>
    <w:basedOn w:val="716"/>
    <w:uiPriority w:val="99"/>
    <w:semiHidden/>
    <w:unhideWhenUsed/>
    <w:qFormat/>
    <w:pPr>
      <w:numPr>
        <w:ilvl w:val="0"/>
        <w:numId w:val="7"/>
      </w:numPr>
    </w:pPr>
  </w:style>
  <w:style w:type="paragraph" w:styleId="755">
    <w:name w:val="List 2"/>
    <w:basedOn w:val="716"/>
    <w:uiPriority w:val="99"/>
    <w:qFormat/>
    <w:pPr>
      <w:ind w:left="100" w:hanging="200"/>
    </w:pPr>
  </w:style>
  <w:style w:type="paragraph" w:styleId="756">
    <w:name w:val="List Continue"/>
    <w:basedOn w:val="716"/>
    <w:uiPriority w:val="99"/>
    <w:semiHidden/>
    <w:unhideWhenUsed/>
    <w:qFormat/>
    <w:pPr>
      <w:ind w:left="420"/>
      <w:spacing w:after="120" w:afterAutospacing="0"/>
    </w:pPr>
  </w:style>
  <w:style w:type="paragraph" w:styleId="757">
    <w:name w:val="Block Text"/>
    <w:basedOn w:val="716"/>
    <w:uiPriority w:val="99"/>
    <w:semiHidden/>
    <w:unhideWhenUsed/>
    <w:qFormat/>
    <w:pPr>
      <w:ind w:left="1440"/>
      <w:spacing w:after="120" w:afterAutospacing="0"/>
    </w:pPr>
  </w:style>
  <w:style w:type="paragraph" w:styleId="758">
    <w:name w:val="List Bullet 2"/>
    <w:basedOn w:val="716"/>
    <w:uiPriority w:val="99"/>
    <w:semiHidden/>
    <w:unhideWhenUsed/>
    <w:qFormat/>
    <w:pPr>
      <w:numPr>
        <w:ilvl w:val="0"/>
        <w:numId w:val="8"/>
      </w:numPr>
    </w:pPr>
  </w:style>
  <w:style w:type="paragraph" w:styleId="759">
    <w:name w:val="HTML Address"/>
    <w:basedOn w:val="716"/>
    <w:uiPriority w:val="99"/>
    <w:semiHidden/>
    <w:unhideWhenUsed/>
    <w:qFormat/>
    <w:rPr>
      <w:i/>
    </w:rPr>
  </w:style>
  <w:style w:type="paragraph" w:styleId="760">
    <w:name w:val="index 4"/>
    <w:basedOn w:val="716"/>
    <w:next w:val="716"/>
    <w:uiPriority w:val="99"/>
    <w:semiHidden/>
    <w:unhideWhenUsed/>
    <w:qFormat/>
    <w:pPr>
      <w:ind w:left="600"/>
    </w:pPr>
  </w:style>
  <w:style w:type="paragraph" w:styleId="761">
    <w:name w:val="toc 5"/>
    <w:basedOn w:val="716"/>
    <w:next w:val="716"/>
    <w:uiPriority w:val="39"/>
    <w:semiHidden/>
    <w:unhideWhenUsed/>
    <w:qFormat/>
    <w:pPr>
      <w:ind w:left="1680"/>
    </w:pPr>
  </w:style>
  <w:style w:type="paragraph" w:styleId="762">
    <w:name w:val="toc 3"/>
    <w:basedOn w:val="716"/>
    <w:next w:val="716"/>
    <w:uiPriority w:val="39"/>
    <w:unhideWhenUsed/>
    <w:qFormat/>
    <w:pPr>
      <w:ind w:left="840"/>
      <w:spacing w:line="360" w:lineRule="auto"/>
    </w:pPr>
    <w:rPr>
      <w:sz w:val="24"/>
      <w:szCs w:val="22"/>
    </w:rPr>
  </w:style>
  <w:style w:type="paragraph" w:styleId="763">
    <w:name w:val="Plain Text"/>
    <w:basedOn w:val="716"/>
    <w:link w:val="980"/>
    <w:uiPriority w:val="0"/>
    <w:qFormat/>
    <w:rPr>
      <w:rFonts w:ascii="宋体" w:hAnsi="Courier New" w:cs="Courier New"/>
    </w:rPr>
  </w:style>
  <w:style w:type="paragraph" w:styleId="764">
    <w:name w:val="List Bullet 5"/>
    <w:basedOn w:val="716"/>
    <w:uiPriority w:val="99"/>
    <w:semiHidden/>
    <w:unhideWhenUsed/>
    <w:qFormat/>
    <w:pPr>
      <w:numPr>
        <w:ilvl w:val="0"/>
        <w:numId w:val="9"/>
      </w:numPr>
    </w:pPr>
  </w:style>
  <w:style w:type="paragraph" w:styleId="765">
    <w:name w:val="List Number 4"/>
    <w:basedOn w:val="716"/>
    <w:uiPriority w:val="99"/>
    <w:semiHidden/>
    <w:unhideWhenUsed/>
    <w:qFormat/>
    <w:pPr>
      <w:numPr>
        <w:ilvl w:val="0"/>
        <w:numId w:val="10"/>
      </w:numPr>
    </w:pPr>
  </w:style>
  <w:style w:type="paragraph" w:styleId="766">
    <w:name w:val="toc 8"/>
    <w:basedOn w:val="716"/>
    <w:next w:val="716"/>
    <w:uiPriority w:val="39"/>
    <w:semiHidden/>
    <w:unhideWhenUsed/>
    <w:qFormat/>
    <w:pPr>
      <w:ind w:left="2940"/>
    </w:pPr>
  </w:style>
  <w:style w:type="paragraph" w:styleId="767">
    <w:name w:val="index 3"/>
    <w:basedOn w:val="716"/>
    <w:next w:val="716"/>
    <w:uiPriority w:val="99"/>
    <w:semiHidden/>
    <w:unhideWhenUsed/>
    <w:qFormat/>
    <w:pPr>
      <w:ind w:left="400"/>
    </w:pPr>
  </w:style>
  <w:style w:type="paragraph" w:styleId="768">
    <w:name w:val="Date"/>
    <w:basedOn w:val="716"/>
    <w:next w:val="716"/>
    <w:link w:val="981"/>
    <w:uiPriority w:val="99"/>
    <w:qFormat/>
    <w:rPr>
      <w:sz w:val="24"/>
      <w:szCs w:val="24"/>
    </w:rPr>
  </w:style>
  <w:style w:type="paragraph" w:styleId="769">
    <w:name w:val="Body Text Indent 2"/>
    <w:basedOn w:val="716"/>
    <w:link w:val="982"/>
    <w:uiPriority w:val="99"/>
    <w:qFormat/>
    <w:pPr>
      <w:ind w:left="630" w:firstLine="645"/>
    </w:pPr>
    <w:rPr>
      <w:rFonts w:ascii="Arial" w:hAnsi="Arial" w:eastAsia="仿宋_GB2312" w:cs="Arial"/>
      <w:sz w:val="32"/>
      <w:szCs w:val="32"/>
    </w:rPr>
  </w:style>
  <w:style w:type="paragraph" w:styleId="770">
    <w:name w:val="endnote text"/>
    <w:basedOn w:val="716"/>
    <w:uiPriority w:val="99"/>
    <w:semiHidden/>
    <w:unhideWhenUsed/>
    <w:qFormat/>
    <w:pPr>
      <w:jc w:val="left"/>
    </w:pPr>
  </w:style>
  <w:style w:type="paragraph" w:styleId="771">
    <w:name w:val="List Continue 5"/>
    <w:basedOn w:val="716"/>
    <w:uiPriority w:val="99"/>
    <w:semiHidden/>
    <w:unhideWhenUsed/>
    <w:qFormat/>
    <w:pPr>
      <w:ind w:left="2100"/>
      <w:spacing w:after="120" w:afterAutospacing="0"/>
    </w:pPr>
  </w:style>
  <w:style w:type="paragraph" w:styleId="772">
    <w:name w:val="Balloon Text"/>
    <w:basedOn w:val="716"/>
    <w:link w:val="1012"/>
    <w:uiPriority w:val="99"/>
    <w:semiHidden/>
    <w:qFormat/>
    <w:rPr>
      <w:sz w:val="18"/>
      <w:szCs w:val="18"/>
    </w:rPr>
  </w:style>
  <w:style w:type="paragraph" w:styleId="773">
    <w:name w:val="Footer"/>
    <w:basedOn w:val="716"/>
    <w:link w:val="984"/>
    <w:uiPriority w:val="99"/>
    <w:qFormat/>
    <w:pPr>
      <w:jc w:val="left"/>
      <w:tabs>
        <w:tab w:val="center" w:pos="4153" w:leader="none"/>
        <w:tab w:val="right" w:pos="8306" w:leader="none"/>
      </w:tabs>
    </w:pPr>
    <w:rPr>
      <w:sz w:val="18"/>
      <w:szCs w:val="18"/>
    </w:rPr>
  </w:style>
  <w:style w:type="paragraph" w:styleId="774">
    <w:name w:val="Header"/>
    <w:basedOn w:val="716"/>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16"/>
    <w:uiPriority w:val="99"/>
    <w:semiHidden/>
    <w:unhideWhenUsed/>
    <w:qFormat/>
    <w:pPr>
      <w:ind w:left="100"/>
    </w:pPr>
  </w:style>
  <w:style w:type="paragraph" w:styleId="776">
    <w:name w:val="toc 1"/>
    <w:basedOn w:val="716"/>
    <w:next w:val="716"/>
    <w:uiPriority w:val="39"/>
    <w:unhideWhenUsed/>
    <w:qFormat/>
    <w:pPr>
      <w:spacing w:line="360" w:lineRule="auto"/>
    </w:pPr>
    <w:rPr>
      <w:sz w:val="24"/>
      <w:szCs w:val="22"/>
    </w:rPr>
  </w:style>
  <w:style w:type="paragraph" w:styleId="777">
    <w:name w:val="List Continue 4"/>
    <w:basedOn w:val="716"/>
    <w:uiPriority w:val="99"/>
    <w:semiHidden/>
    <w:unhideWhenUsed/>
    <w:qFormat/>
    <w:pPr>
      <w:ind w:left="1680"/>
      <w:spacing w:after="120" w:afterAutospacing="0"/>
    </w:pPr>
  </w:style>
  <w:style w:type="paragraph" w:styleId="778">
    <w:name w:val="toc 4"/>
    <w:basedOn w:val="716"/>
    <w:next w:val="716"/>
    <w:uiPriority w:val="39"/>
    <w:semiHidden/>
    <w:unhideWhenUsed/>
    <w:qFormat/>
    <w:pPr>
      <w:ind w:left="1260"/>
    </w:pPr>
  </w:style>
  <w:style w:type="paragraph" w:styleId="779">
    <w:name w:val="index heading"/>
    <w:basedOn w:val="716"/>
    <w:next w:val="780"/>
    <w:uiPriority w:val="99"/>
    <w:semiHidden/>
    <w:unhideWhenUsed/>
    <w:qFormat/>
    <w:rPr>
      <w:rFonts w:ascii="Arial" w:hAnsi="Arial"/>
      <w:b/>
    </w:rPr>
  </w:style>
  <w:style w:type="paragraph" w:styleId="780">
    <w:name w:val="index 1"/>
    <w:basedOn w:val="716"/>
    <w:next w:val="716"/>
    <w:uiPriority w:val="99"/>
    <w:semiHidden/>
    <w:unhideWhenUsed/>
    <w:qFormat/>
  </w:style>
  <w:style w:type="paragraph" w:styleId="781">
    <w:name w:val="Subtitle"/>
    <w:basedOn w:val="716"/>
    <w:uiPriority w:val="11"/>
    <w:qFormat/>
    <w:pPr>
      <w:jc w:val="center"/>
      <w:spacing w:before="240" w:beforeAutospacing="0" w:after="60" w:afterAutospacing="0" w:line="312" w:lineRule="auto"/>
      <w:outlineLvl w:val="1"/>
    </w:pPr>
    <w:rPr>
      <w:rFonts w:ascii="Arial" w:hAnsi="Arial"/>
      <w:b/>
      <w:sz w:val="32"/>
    </w:rPr>
  </w:style>
  <w:style w:type="paragraph" w:styleId="782">
    <w:name w:val="List Number 5"/>
    <w:basedOn w:val="716"/>
    <w:uiPriority w:val="99"/>
    <w:semiHidden/>
    <w:unhideWhenUsed/>
    <w:qFormat/>
    <w:pPr>
      <w:numPr>
        <w:ilvl w:val="0"/>
        <w:numId w:val="11"/>
      </w:numPr>
    </w:pPr>
  </w:style>
  <w:style w:type="paragraph" w:styleId="783">
    <w:name w:val="List"/>
    <w:basedOn w:val="716"/>
    <w:uiPriority w:val="99"/>
    <w:qFormat/>
    <w:pPr>
      <w:ind w:left="200" w:hanging="200"/>
    </w:pPr>
  </w:style>
  <w:style w:type="paragraph" w:styleId="784">
    <w:name w:val="footnote text"/>
    <w:basedOn w:val="716"/>
    <w:uiPriority w:val="99"/>
    <w:semiHidden/>
    <w:unhideWhenUsed/>
    <w:qFormat/>
    <w:pPr>
      <w:jc w:val="left"/>
    </w:pPr>
    <w:rPr>
      <w:sz w:val="18"/>
    </w:rPr>
  </w:style>
  <w:style w:type="paragraph" w:styleId="785">
    <w:name w:val="toc 6"/>
    <w:basedOn w:val="716"/>
    <w:next w:val="716"/>
    <w:uiPriority w:val="39"/>
    <w:semiHidden/>
    <w:unhideWhenUsed/>
    <w:qFormat/>
    <w:pPr>
      <w:ind w:left="2100"/>
    </w:pPr>
  </w:style>
  <w:style w:type="paragraph" w:styleId="786">
    <w:name w:val="List 5"/>
    <w:basedOn w:val="716"/>
    <w:uiPriority w:val="99"/>
    <w:semiHidden/>
    <w:unhideWhenUsed/>
    <w:qFormat/>
    <w:pPr>
      <w:ind w:left="100" w:hanging="200"/>
    </w:pPr>
  </w:style>
  <w:style w:type="paragraph" w:styleId="787">
    <w:name w:val="Body Text Indent 3"/>
    <w:basedOn w:val="716"/>
    <w:link w:val="987"/>
    <w:uiPriority w:val="99"/>
    <w:qFormat/>
    <w:pPr>
      <w:ind w:left="645" w:firstLine="645"/>
    </w:pPr>
    <w:rPr>
      <w:rFonts w:ascii="Arial" w:hAnsi="Arial" w:eastAsia="仿宋_GB2312" w:cs="Arial"/>
      <w:color w:val="ffff00"/>
      <w:sz w:val="32"/>
      <w:szCs w:val="32"/>
    </w:rPr>
  </w:style>
  <w:style w:type="paragraph" w:styleId="788">
    <w:name w:val="index 7"/>
    <w:basedOn w:val="716"/>
    <w:next w:val="716"/>
    <w:uiPriority w:val="99"/>
    <w:semiHidden/>
    <w:unhideWhenUsed/>
    <w:qFormat/>
    <w:pPr>
      <w:ind w:left="1200"/>
    </w:pPr>
  </w:style>
  <w:style w:type="paragraph" w:styleId="789">
    <w:name w:val="index 9"/>
    <w:basedOn w:val="716"/>
    <w:next w:val="716"/>
    <w:uiPriority w:val="99"/>
    <w:semiHidden/>
    <w:unhideWhenUsed/>
    <w:qFormat/>
    <w:pPr>
      <w:ind w:left="1600"/>
    </w:pPr>
  </w:style>
  <w:style w:type="paragraph" w:styleId="790">
    <w:name w:val="table of figures"/>
    <w:basedOn w:val="716"/>
    <w:next w:val="716"/>
    <w:uiPriority w:val="99"/>
    <w:semiHidden/>
    <w:unhideWhenUsed/>
    <w:qFormat/>
    <w:pPr>
      <w:ind w:hanging="200"/>
    </w:pPr>
  </w:style>
  <w:style w:type="paragraph" w:styleId="791">
    <w:name w:val="toc 2"/>
    <w:basedOn w:val="716"/>
    <w:next w:val="716"/>
    <w:uiPriority w:val="39"/>
    <w:unhideWhenUsed/>
    <w:qFormat/>
    <w:pPr>
      <w:ind w:left="420"/>
      <w:spacing w:line="360" w:lineRule="auto"/>
    </w:pPr>
    <w:rPr>
      <w:sz w:val="24"/>
      <w:szCs w:val="22"/>
    </w:rPr>
  </w:style>
  <w:style w:type="paragraph" w:styleId="792">
    <w:name w:val="toc 9"/>
    <w:basedOn w:val="716"/>
    <w:next w:val="716"/>
    <w:uiPriority w:val="39"/>
    <w:semiHidden/>
    <w:unhideWhenUsed/>
    <w:qFormat/>
    <w:pPr>
      <w:ind w:left="3360"/>
    </w:pPr>
  </w:style>
  <w:style w:type="paragraph" w:styleId="793">
    <w:name w:val="Body Text 2"/>
    <w:basedOn w:val="716"/>
    <w:link w:val="988"/>
    <w:uiPriority w:val="99"/>
    <w:qFormat/>
    <w:pPr>
      <w:jc w:val="center"/>
      <w:widowControl/>
    </w:pPr>
    <w:rPr>
      <w:rFonts w:ascii="方正仿宋_GB2312" w:eastAsia="方正仿宋_GB2312"/>
      <w:sz w:val="28"/>
      <w:szCs w:val="28"/>
    </w:rPr>
  </w:style>
  <w:style w:type="paragraph" w:styleId="794">
    <w:name w:val="List 4"/>
    <w:basedOn w:val="716"/>
    <w:uiPriority w:val="99"/>
    <w:semiHidden/>
    <w:unhideWhenUsed/>
    <w:qFormat/>
    <w:pPr>
      <w:ind w:left="100" w:hanging="200"/>
    </w:pPr>
  </w:style>
  <w:style w:type="paragraph" w:styleId="795">
    <w:name w:val="List Continue 2"/>
    <w:basedOn w:val="716"/>
    <w:uiPriority w:val="99"/>
    <w:semiHidden/>
    <w:unhideWhenUsed/>
    <w:qFormat/>
    <w:pPr>
      <w:ind w:left="840"/>
      <w:spacing w:after="120" w:afterAutospacing="0"/>
    </w:pPr>
  </w:style>
  <w:style w:type="paragraph" w:styleId="796">
    <w:name w:val="Message Header"/>
    <w:basedOn w:val="716"/>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7">
    <w:name w:val="HTML Preformatted"/>
    <w:basedOn w:val="716"/>
    <w:uiPriority w:val="99"/>
    <w:semiHidden/>
    <w:unhideWhenUsed/>
    <w:qFormat/>
    <w:rPr>
      <w:rFonts w:ascii="Courier New" w:hAnsi="Courier New"/>
      <w:sz w:val="20"/>
    </w:rPr>
  </w:style>
  <w:style w:type="paragraph" w:styleId="79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99">
    <w:name w:val="List Continue 3"/>
    <w:basedOn w:val="716"/>
    <w:uiPriority w:val="99"/>
    <w:semiHidden/>
    <w:unhideWhenUsed/>
    <w:qFormat/>
    <w:pPr>
      <w:ind w:left="1260"/>
      <w:spacing w:after="120" w:afterAutospacing="0"/>
    </w:pPr>
  </w:style>
  <w:style w:type="paragraph" w:styleId="800">
    <w:name w:val="index 2"/>
    <w:basedOn w:val="716"/>
    <w:next w:val="716"/>
    <w:uiPriority w:val="99"/>
    <w:semiHidden/>
    <w:unhideWhenUsed/>
    <w:qFormat/>
    <w:pPr>
      <w:ind w:left="200"/>
    </w:pPr>
  </w:style>
  <w:style w:type="paragraph" w:styleId="801">
    <w:name w:val="Title"/>
    <w:basedOn w:val="716"/>
    <w:uiPriority w:val="10"/>
    <w:qFormat/>
    <w:pPr>
      <w:jc w:val="center"/>
      <w:spacing w:before="240" w:beforeAutospacing="0" w:after="60" w:afterAutospacing="0"/>
      <w:outlineLvl w:val="0"/>
    </w:pPr>
    <w:rPr>
      <w:rFonts w:ascii="Arial" w:hAnsi="Arial"/>
      <w:b/>
      <w:sz w:val="32"/>
    </w:rPr>
  </w:style>
  <w:style w:type="paragraph" w:styleId="802">
    <w:name w:val="annotation subject"/>
    <w:basedOn w:val="745"/>
    <w:next w:val="745"/>
    <w:link w:val="1011"/>
    <w:uiPriority w:val="99"/>
    <w:semiHidden/>
    <w:qFormat/>
    <w:rPr>
      <w:b/>
      <w:bCs/>
    </w:rPr>
  </w:style>
  <w:style w:type="paragraph" w:styleId="803">
    <w:name w:val="Body Text First Indent"/>
    <w:basedOn w:val="716"/>
    <w:link w:val="976"/>
    <w:uiPriority w:val="99"/>
    <w:qFormat/>
    <w:pPr>
      <w:ind w:firstLine="200"/>
      <w:spacing w:line="360" w:lineRule="auto"/>
    </w:pPr>
    <w:rPr>
      <w:rFonts w:ascii="仿宋_GB2312" w:eastAsia="仿宋_GB2312"/>
      <w:sz w:val="30"/>
      <w:szCs w:val="30"/>
    </w:rPr>
  </w:style>
  <w:style w:type="paragraph" w:styleId="804">
    <w:name w:val="Body Text First Indent 2"/>
    <w:basedOn w:val="752"/>
    <w:next w:val="716"/>
    <w:link w:val="985"/>
    <w:uiPriority w:val="99"/>
    <w:qFormat/>
    <w:pPr>
      <w:ind w:firstLine="420"/>
      <w:spacing w:line="360" w:lineRule="auto"/>
    </w:pPr>
    <w:rPr>
      <w:rFonts w:ascii="宋体" w:hAnsi="宋体" w:eastAsia="宋体"/>
      <w:sz w:val="21"/>
      <w:szCs w:val="20"/>
    </w:rPr>
  </w:style>
  <w:style w:type="table" w:styleId="805">
    <w:name w:val="Table Grid"/>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basedOn w:val="726"/>
    <w:uiPriority w:val="22"/>
    <w:qFormat/>
    <w:rPr>
      <w:rFonts w:cs="Times New Roman"/>
      <w:b/>
    </w:rPr>
  </w:style>
  <w:style w:type="character" w:styleId="807">
    <w:name w:val="endnote reference"/>
    <w:basedOn w:val="726"/>
    <w:uiPriority w:val="99"/>
    <w:semiHidden/>
    <w:unhideWhenUsed/>
    <w:qFormat/>
    <w:rPr>
      <w:vertAlign w:val="superscript"/>
    </w:rPr>
  </w:style>
  <w:style w:type="character" w:styleId="808">
    <w:name w:val="page number"/>
    <w:basedOn w:val="726"/>
    <w:uiPriority w:val="99"/>
    <w:qFormat/>
    <w:rPr>
      <w:rFonts w:cs="Times New Roman"/>
    </w:rPr>
  </w:style>
  <w:style w:type="character" w:styleId="809">
    <w:name w:val="FollowedHyperlink"/>
    <w:basedOn w:val="726"/>
    <w:uiPriority w:val="99"/>
    <w:qFormat/>
    <w:rPr>
      <w:rFonts w:cs="Times New Roman"/>
      <w:color w:val="800080"/>
      <w:u w:val="single"/>
    </w:rPr>
  </w:style>
  <w:style w:type="character" w:styleId="810">
    <w:name w:val="Emphasis"/>
    <w:basedOn w:val="726"/>
    <w:uiPriority w:val="0"/>
    <w:qFormat/>
    <w:rPr>
      <w:i/>
    </w:rPr>
  </w:style>
  <w:style w:type="character" w:styleId="811">
    <w:name w:val="Hyperlink"/>
    <w:basedOn w:val="726"/>
    <w:uiPriority w:val="99"/>
    <w:qFormat/>
    <w:rPr>
      <w:rFonts w:cs="Times New Roman"/>
      <w:color w:val="0000ff"/>
      <w:u w:val="single"/>
    </w:rPr>
  </w:style>
  <w:style w:type="character" w:styleId="812">
    <w:name w:val="annotation reference"/>
    <w:basedOn w:val="726"/>
    <w:uiPriority w:val="99"/>
    <w:semiHidden/>
    <w:qFormat/>
    <w:rPr>
      <w:rFonts w:cs="Times New Roman"/>
      <w:sz w:val="21"/>
    </w:rPr>
  </w:style>
  <w:style w:type="character" w:styleId="813">
    <w:name w:val="footnote reference"/>
    <w:basedOn w:val="726"/>
    <w:uiPriority w:val="99"/>
    <w:unhideWhenUsed/>
    <w:qFormat/>
    <w:rPr>
      <w:vertAlign w:val="superscript"/>
    </w:rPr>
  </w:style>
  <w:style w:type="paragraph" w:styleId="814" w:customStyle="1">
    <w:name w:val="首行缩进"/>
    <w:basedOn w:val="716"/>
    <w:uiPriority w:val="0"/>
    <w:qFormat/>
    <w:pPr>
      <w:ind w:firstLine="480"/>
    </w:pPr>
    <w:rPr>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uiPriority w:val="9"/>
    <w:qFormat/>
    <w:rPr>
      <w:rFonts w:ascii="Arial" w:hAnsi="Arial" w:eastAsia="Arial" w:cs="Arial"/>
      <w:b/>
      <w:bCs/>
      <w:sz w:val="26"/>
      <w:szCs w:val="26"/>
    </w:rPr>
  </w:style>
  <w:style w:type="character" w:styleId="819" w:customStyle="1">
    <w:name w:val="Heading 5 Char"/>
    <w:basedOn w:val="726"/>
    <w:uiPriority w:val="9"/>
    <w:qFormat/>
    <w:rPr>
      <w:rFonts w:ascii="Arial" w:hAnsi="Arial" w:eastAsia="Arial" w:cs="Arial"/>
      <w:b/>
      <w:bCs/>
      <w:sz w:val="24"/>
      <w:szCs w:val="24"/>
    </w:rPr>
  </w:style>
  <w:style w:type="character" w:styleId="820" w:customStyle="1">
    <w:name w:val="Heading 6 Char"/>
    <w:basedOn w:val="726"/>
    <w:uiPriority w:val="9"/>
    <w:qFormat/>
    <w:rPr>
      <w:rFonts w:ascii="Arial" w:hAnsi="Arial" w:eastAsia="Arial" w:cs="Arial"/>
      <w:b/>
      <w:bCs/>
      <w:sz w:val="22"/>
      <w:szCs w:val="22"/>
    </w:rPr>
  </w:style>
  <w:style w:type="character" w:styleId="821" w:customStyle="1">
    <w:name w:val="Heading 7 Char"/>
    <w:basedOn w:val="726"/>
    <w:uiPriority w:val="9"/>
    <w:qFormat/>
    <w:rPr>
      <w:rFonts w:ascii="Arial" w:hAnsi="Arial" w:eastAsia="Arial" w:cs="Arial"/>
      <w:b/>
      <w:bCs/>
      <w:i/>
      <w:iCs/>
      <w:sz w:val="22"/>
      <w:szCs w:val="22"/>
    </w:rPr>
  </w:style>
  <w:style w:type="character" w:styleId="822" w:customStyle="1">
    <w:name w:val="Heading 8 Char"/>
    <w:basedOn w:val="726"/>
    <w:uiPriority w:val="9"/>
    <w:qFormat/>
    <w:rPr>
      <w:rFonts w:ascii="Arial" w:hAnsi="Arial" w:eastAsia="Arial" w:cs="Arial"/>
      <w:i/>
      <w:iCs/>
      <w:sz w:val="22"/>
      <w:szCs w:val="22"/>
    </w:rPr>
  </w:style>
  <w:style w:type="character" w:styleId="823" w:customStyle="1">
    <w:name w:val="Heading 9 Char"/>
    <w:basedOn w:val="726"/>
    <w:uiPriority w:val="9"/>
    <w:qFormat/>
    <w:rPr>
      <w:rFonts w:ascii="Arial" w:hAnsi="Arial" w:eastAsia="Arial" w:cs="Arial"/>
      <w:i/>
      <w:iCs/>
      <w:sz w:val="21"/>
      <w:szCs w:val="21"/>
    </w:r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paragraph" w:styleId="827">
    <w:name w:val="Quote"/>
    <w:basedOn w:val="716"/>
    <w:next w:val="716"/>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16"/>
    <w:next w:val="716"/>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26"/>
    <w:uiPriority w:val="99"/>
    <w:qFormat/>
  </w:style>
  <w:style w:type="character" w:styleId="832" w:customStyle="1">
    <w:name w:val="Footer Char"/>
    <w:basedOn w:val="726"/>
    <w:uiPriority w:val="99"/>
    <w:qFormat/>
  </w:style>
  <w:style w:type="character" w:styleId="833" w:customStyle="1">
    <w:name w:val="Caption Char"/>
    <w:uiPriority w:val="99"/>
    <w:qFormat/>
  </w:style>
  <w:style w:type="table" w:styleId="834"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27"/>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27"/>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27"/>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27"/>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63" w:customStyle="1">
    <w:name w:val="标题 4 字符"/>
    <w:basedOn w:val="726"/>
    <w:link w:val="720"/>
    <w:uiPriority w:val="99"/>
    <w:qFormat/>
    <w:rPr>
      <w:rFonts w:ascii="Arial" w:hAnsi="Arial" w:eastAsia="黑体" w:cs="Arial"/>
      <w:b/>
      <w:bCs/>
      <w:sz w:val="28"/>
      <w:szCs w:val="28"/>
    </w:rPr>
  </w:style>
  <w:style w:type="character" w:styleId="964" w:customStyle="1">
    <w:name w:val="标题 5 字符"/>
    <w:basedOn w:val="726"/>
    <w:link w:val="721"/>
    <w:uiPriority w:val="99"/>
    <w:qFormat/>
    <w:rPr>
      <w:rFonts w:ascii="宋体" w:hAnsi="Times New Roman" w:eastAsia="宋体" w:cs="Times New Roman"/>
      <w:color w:val="000000"/>
      <w:sz w:val="28"/>
      <w:szCs w:val="28"/>
    </w:rPr>
  </w:style>
  <w:style w:type="paragraph" w:styleId="965"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6" w:customStyle="1">
    <w:name w:val="标题 1 字符"/>
    <w:basedOn w:val="726"/>
    <w:link w:val="717"/>
    <w:uiPriority w:val="99"/>
    <w:qFormat/>
    <w:rPr>
      <w:rFonts w:ascii="方正仿宋_GB2312" w:hAnsi="Times New Roman" w:eastAsia="方正仿宋_GB2312" w:cs="Times New Roman"/>
      <w:sz w:val="28"/>
      <w:szCs w:val="28"/>
    </w:rPr>
  </w:style>
  <w:style w:type="character" w:styleId="967" w:customStyle="1">
    <w:name w:val="标题 2 字符"/>
    <w:basedOn w:val="726"/>
    <w:link w:val="718"/>
    <w:uiPriority w:val="99"/>
    <w:qFormat/>
    <w:rPr>
      <w:rFonts w:ascii="Arial" w:hAnsi="Arial" w:eastAsia="幼圆" w:cs="Arial"/>
      <w:b/>
      <w:bCs/>
      <w:sz w:val="44"/>
      <w:szCs w:val="44"/>
    </w:rPr>
  </w:style>
  <w:style w:type="character" w:styleId="968" w:customStyle="1">
    <w:name w:val="标题 3 字符"/>
    <w:basedOn w:val="726"/>
    <w:link w:val="719"/>
    <w:uiPriority w:val="99"/>
    <w:qFormat/>
    <w:rPr>
      <w:rFonts w:ascii="Times New Roman" w:hAnsi="Times New Roman" w:eastAsia="宋体" w:cs="Times New Roman"/>
      <w:b/>
      <w:bCs/>
      <w:sz w:val="32"/>
      <w:szCs w:val="32"/>
    </w:rPr>
  </w:style>
  <w:style w:type="character" w:styleId="969" w:customStyle="1">
    <w:name w:val="标题 6 字符"/>
    <w:basedOn w:val="726"/>
    <w:link w:val="722"/>
    <w:uiPriority w:val="99"/>
    <w:qFormat/>
    <w:rPr>
      <w:rFonts w:ascii="Arial" w:hAnsi="Arial" w:eastAsia="黑体" w:cs="Times New Roman"/>
      <w:b/>
      <w:bCs/>
      <w:sz w:val="24"/>
      <w:szCs w:val="24"/>
    </w:rPr>
  </w:style>
  <w:style w:type="character" w:styleId="970" w:customStyle="1">
    <w:name w:val="标题 7 字符"/>
    <w:basedOn w:val="726"/>
    <w:link w:val="723"/>
    <w:uiPriority w:val="99"/>
    <w:qFormat/>
    <w:rPr>
      <w:rFonts w:ascii="Times New Roman" w:hAnsi="Times New Roman" w:eastAsia="宋体" w:cs="Times New Roman"/>
      <w:b/>
      <w:bCs/>
      <w:sz w:val="24"/>
      <w:szCs w:val="24"/>
    </w:rPr>
  </w:style>
  <w:style w:type="character" w:styleId="971" w:customStyle="1">
    <w:name w:val="标题 8 字符"/>
    <w:basedOn w:val="726"/>
    <w:link w:val="724"/>
    <w:uiPriority w:val="99"/>
    <w:qFormat/>
    <w:rPr>
      <w:rFonts w:ascii="Arial" w:hAnsi="Arial" w:eastAsia="黑体" w:cs="Times New Roman"/>
      <w:sz w:val="24"/>
      <w:szCs w:val="24"/>
    </w:rPr>
  </w:style>
  <w:style w:type="character" w:styleId="972" w:customStyle="1">
    <w:name w:val="标题 9 字符"/>
    <w:basedOn w:val="726"/>
    <w:link w:val="725"/>
    <w:uiPriority w:val="99"/>
    <w:qFormat/>
    <w:rPr>
      <w:rFonts w:ascii="Arial" w:hAnsi="Arial" w:eastAsia="黑体" w:cs="Times New Roman"/>
      <w:sz w:val="21"/>
      <w:szCs w:val="21"/>
    </w:rPr>
  </w:style>
  <w:style w:type="character" w:styleId="973" w:customStyle="1">
    <w:name w:val="批注文字 Char1"/>
    <w:basedOn w:val="726"/>
    <w:uiPriority w:val="99"/>
    <w:semiHidden/>
    <w:qFormat/>
    <w:rPr>
      <w:rFonts w:ascii="Times New Roman" w:hAnsi="Times New Roman" w:eastAsia="宋体" w:cs="Times New Roman"/>
      <w:sz w:val="21"/>
      <w:szCs w:val="21"/>
    </w:rPr>
  </w:style>
  <w:style w:type="character" w:styleId="974" w:customStyle="1">
    <w:name w:val="批注主题 Char1"/>
    <w:basedOn w:val="973"/>
    <w:uiPriority w:val="99"/>
    <w:semiHidden/>
    <w:qFormat/>
    <w:rPr>
      <w:rFonts w:ascii="Times New Roman" w:hAnsi="Times New Roman" w:eastAsia="宋体" w:cs="Times New Roman"/>
      <w:b/>
      <w:bCs/>
      <w:sz w:val="21"/>
      <w:szCs w:val="21"/>
    </w:rPr>
  </w:style>
  <w:style w:type="character" w:styleId="975" w:customStyle="1">
    <w:name w:val="正文文本 字符"/>
    <w:basedOn w:val="726"/>
    <w:link w:val="751"/>
    <w:uiPriority w:val="99"/>
    <w:qFormat/>
    <w:rPr>
      <w:rFonts w:ascii="方正仿宋_GB2312" w:hAnsi="Arial" w:eastAsia="方正仿宋_GB2312" w:cs="Times New Roman"/>
      <w:sz w:val="28"/>
      <w:szCs w:val="28"/>
    </w:rPr>
  </w:style>
  <w:style w:type="character" w:styleId="976" w:customStyle="1">
    <w:name w:val="正文文本首行缩进 字符"/>
    <w:basedOn w:val="975"/>
    <w:link w:val="803"/>
    <w:uiPriority w:val="99"/>
    <w:qFormat/>
    <w:rPr>
      <w:rFonts w:ascii="仿宋_GB2312" w:hAnsi="Times New Roman" w:eastAsia="仿宋_GB2312" w:cs="Times New Roman"/>
      <w:sz w:val="30"/>
      <w:szCs w:val="30"/>
    </w:rPr>
  </w:style>
  <w:style w:type="character" w:styleId="977" w:customStyle="1">
    <w:name w:val="文档结构图 字符"/>
    <w:basedOn w:val="726"/>
    <w:link w:val="743"/>
    <w:uiPriority w:val="99"/>
    <w:semiHidden/>
    <w:qFormat/>
    <w:rPr>
      <w:rFonts w:ascii="Times New Roman" w:hAnsi="Times New Roman" w:eastAsia="宋体" w:cs="Times New Roman"/>
      <w:sz w:val="21"/>
      <w:szCs w:val="21"/>
      <w:shd w:val="clear" w:color="auto" w:fill="000080"/>
    </w:rPr>
  </w:style>
  <w:style w:type="character" w:styleId="978" w:customStyle="1">
    <w:name w:val="正文文本 3 字符"/>
    <w:basedOn w:val="726"/>
    <w:link w:val="748"/>
    <w:uiPriority w:val="99"/>
    <w:qFormat/>
    <w:rPr>
      <w:rFonts w:ascii="仿宋_GB2312" w:hAnsi="Arial" w:eastAsia="仿宋_GB2312" w:cs="Times New Roman"/>
      <w:sz w:val="32"/>
      <w:szCs w:val="32"/>
    </w:rPr>
  </w:style>
  <w:style w:type="character" w:styleId="979" w:customStyle="1">
    <w:name w:val="正文文本缩进 字符"/>
    <w:basedOn w:val="726"/>
    <w:link w:val="752"/>
    <w:uiPriority w:val="99"/>
    <w:qFormat/>
    <w:rPr>
      <w:rFonts w:ascii="方正仿宋_GB2312" w:hAnsi="Times New Roman" w:eastAsia="方正仿宋_GB2312" w:cs="Times New Roman"/>
      <w:sz w:val="32"/>
      <w:szCs w:val="32"/>
    </w:rPr>
  </w:style>
  <w:style w:type="character" w:styleId="980" w:customStyle="1">
    <w:name w:val="纯文本 字符"/>
    <w:basedOn w:val="726"/>
    <w:link w:val="763"/>
    <w:uiPriority w:val="0"/>
    <w:qFormat/>
    <w:rPr>
      <w:rFonts w:ascii="宋体" w:hAnsi="Courier New" w:eastAsia="宋体" w:cs="Courier New"/>
      <w:sz w:val="21"/>
      <w:szCs w:val="21"/>
    </w:rPr>
  </w:style>
  <w:style w:type="character" w:styleId="981" w:customStyle="1">
    <w:name w:val="日期 字符"/>
    <w:basedOn w:val="726"/>
    <w:link w:val="768"/>
    <w:uiPriority w:val="99"/>
    <w:qFormat/>
    <w:rPr>
      <w:rFonts w:ascii="Times New Roman" w:hAnsi="Times New Roman" w:eastAsia="宋体" w:cs="Times New Roman"/>
      <w:sz w:val="24"/>
      <w:szCs w:val="24"/>
    </w:rPr>
  </w:style>
  <w:style w:type="character" w:styleId="982" w:customStyle="1">
    <w:name w:val="正文文本缩进 2 字符"/>
    <w:basedOn w:val="726"/>
    <w:link w:val="769"/>
    <w:uiPriority w:val="99"/>
    <w:qFormat/>
    <w:rPr>
      <w:rFonts w:ascii="Arial" w:hAnsi="Arial" w:eastAsia="仿宋_GB2312" w:cs="Arial"/>
      <w:sz w:val="32"/>
      <w:szCs w:val="32"/>
    </w:rPr>
  </w:style>
  <w:style w:type="character" w:styleId="983" w:customStyle="1">
    <w:name w:val="批注框文本 Char1"/>
    <w:basedOn w:val="726"/>
    <w:uiPriority w:val="99"/>
    <w:semiHidden/>
    <w:qFormat/>
    <w:rPr>
      <w:rFonts w:ascii="Times New Roman" w:hAnsi="Times New Roman" w:eastAsia="宋体" w:cs="Times New Roman"/>
      <w:sz w:val="18"/>
      <w:szCs w:val="18"/>
    </w:rPr>
  </w:style>
  <w:style w:type="character" w:styleId="984" w:customStyle="1">
    <w:name w:val="页脚 字符"/>
    <w:basedOn w:val="726"/>
    <w:link w:val="773"/>
    <w:uiPriority w:val="99"/>
    <w:qFormat/>
    <w:rPr>
      <w:rFonts w:ascii="Times New Roman" w:hAnsi="Times New Roman" w:eastAsia="宋体" w:cs="Times New Roman"/>
      <w:sz w:val="18"/>
      <w:szCs w:val="18"/>
    </w:rPr>
  </w:style>
  <w:style w:type="character" w:styleId="985" w:customStyle="1">
    <w:name w:val="正文文本首行缩进 2 字符"/>
    <w:basedOn w:val="979"/>
    <w:link w:val="804"/>
    <w:uiPriority w:val="99"/>
    <w:qFormat/>
    <w:rPr>
      <w:rFonts w:ascii="宋体" w:hAnsi="宋体" w:eastAsia="宋体" w:cs="Times New Roman"/>
      <w:sz w:val="20"/>
      <w:szCs w:val="20"/>
    </w:rPr>
  </w:style>
  <w:style w:type="character" w:styleId="986" w:customStyle="1">
    <w:name w:val="页眉 字符"/>
    <w:basedOn w:val="726"/>
    <w:link w:val="774"/>
    <w:uiPriority w:val="99"/>
    <w:qFormat/>
    <w:rPr>
      <w:rFonts w:ascii="Times New Roman" w:hAnsi="Times New Roman" w:eastAsia="宋体" w:cs="Times New Roman"/>
      <w:sz w:val="18"/>
      <w:szCs w:val="18"/>
    </w:rPr>
  </w:style>
  <w:style w:type="character" w:styleId="987" w:customStyle="1">
    <w:name w:val="正文文本缩进 3 字符"/>
    <w:basedOn w:val="726"/>
    <w:link w:val="787"/>
    <w:uiPriority w:val="99"/>
    <w:qFormat/>
    <w:rPr>
      <w:rFonts w:ascii="Arial" w:hAnsi="Arial" w:eastAsia="仿宋_GB2312" w:cs="Arial"/>
      <w:color w:val="ffff00"/>
      <w:sz w:val="32"/>
      <w:szCs w:val="32"/>
    </w:rPr>
  </w:style>
  <w:style w:type="character" w:styleId="988" w:customStyle="1">
    <w:name w:val="正文文本 2 字符"/>
    <w:basedOn w:val="726"/>
    <w:link w:val="793"/>
    <w:uiPriority w:val="99"/>
    <w:qFormat/>
    <w:rPr>
      <w:rFonts w:ascii="方正仿宋_GB2312" w:hAnsi="Times New Roman" w:eastAsia="方正仿宋_GB2312" w:cs="Times New Roman"/>
      <w:sz w:val="28"/>
      <w:szCs w:val="28"/>
    </w:rPr>
  </w:style>
  <w:style w:type="character" w:styleId="989" w:customStyle="1">
    <w:name w:val="正文缩进 字符"/>
    <w:link w:val="729"/>
    <w:uiPriority w:val="99"/>
    <w:qFormat/>
    <w:rPr>
      <w:rFonts w:ascii="Times New Roman" w:hAnsi="Times New Roman" w:eastAsia="宋体"/>
      <w:sz w:val="21"/>
    </w:rPr>
  </w:style>
  <w:style w:type="paragraph" w:styleId="990"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91" w:customStyle="1">
    <w:name w:val="标题3"/>
    <w:basedOn w:val="716"/>
    <w:next w:val="716"/>
    <w:uiPriority w:val="99"/>
    <w:qFormat/>
    <w:pPr>
      <w:ind w:firstLine="624"/>
      <w:spacing w:line="590" w:lineRule="atLeast"/>
    </w:pPr>
    <w:rPr>
      <w:rFonts w:ascii="方正锐正黑_GBK 中" w:eastAsia="方正锐正黑_GBK 中"/>
      <w:sz w:val="32"/>
      <w:szCs w:val="32"/>
    </w:rPr>
  </w:style>
  <w:style w:type="paragraph" w:styleId="992"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4"/>
    <w:basedOn w:val="716"/>
    <w:next w:val="787"/>
    <w:uiPriority w:val="99"/>
    <w:qFormat/>
    <w:pPr>
      <w:ind w:firstLine="420"/>
      <w:spacing w:line="360" w:lineRule="auto"/>
    </w:pPr>
    <w:rPr>
      <w:color w:val="ff0000"/>
      <w:sz w:val="24"/>
      <w:szCs w:val="24"/>
    </w:rPr>
  </w:style>
  <w:style w:type="paragraph" w:styleId="995" w:customStyle="1">
    <w:name w:val="样式1"/>
    <w:basedOn w:val="716"/>
    <w:uiPriority w:val="99"/>
    <w:qFormat/>
    <w:pPr>
      <w:ind w:left="709" w:hanging="709"/>
      <w:tabs>
        <w:tab w:val="left" w:pos="709" w:leader="none"/>
      </w:tabs>
    </w:pPr>
    <w:rPr>
      <w:rFonts w:ascii="宋体" w:hAnsi="宋体"/>
    </w:rPr>
  </w:style>
  <w:style w:type="paragraph" w:styleId="996"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97" w:customStyle="1">
    <w:name w:val="Body Text(ch)"/>
    <w:basedOn w:val="716"/>
    <w:next w:val="751"/>
    <w:uiPriority w:val="99"/>
    <w:qFormat/>
    <w:pPr>
      <w:spacing w:after="120"/>
    </w:pPr>
    <w:rPr>
      <w:rFonts w:ascii="宋体" w:hAnsi="Arial"/>
      <w:bCs/>
      <w:iCs/>
      <w:szCs w:val="24"/>
    </w:rPr>
  </w:style>
  <w:style w:type="paragraph" w:styleId="998"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5"/>
    <w:basedOn w:val="716"/>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00" w:customStyle="1">
    <w:name w:val="font5"/>
    <w:basedOn w:val="716"/>
    <w:uiPriority w:val="99"/>
    <w:qFormat/>
    <w:pPr>
      <w:jc w:val="left"/>
      <w:spacing w:before="100" w:beforeAutospacing="1" w:after="100" w:afterAutospacing="1"/>
      <w:widowControl/>
    </w:pPr>
    <w:rPr>
      <w:rFonts w:ascii="宋体" w:hAnsi="宋体"/>
      <w:sz w:val="28"/>
      <w:szCs w:val="28"/>
    </w:rPr>
  </w:style>
  <w:style w:type="paragraph" w:styleId="1001" w:customStyle="1">
    <w:name w:val="font6"/>
    <w:basedOn w:val="716"/>
    <w:uiPriority w:val="99"/>
    <w:qFormat/>
    <w:pPr>
      <w:jc w:val="left"/>
      <w:spacing w:before="100" w:beforeAutospacing="1" w:after="100" w:afterAutospacing="1"/>
      <w:widowControl/>
    </w:pPr>
    <w:rPr>
      <w:rFonts w:ascii="宋体" w:hAnsi="宋体"/>
      <w:sz w:val="28"/>
      <w:szCs w:val="28"/>
      <w:u w:val="single"/>
    </w:rPr>
  </w:style>
  <w:style w:type="paragraph" w:styleId="1002" w:customStyle="1">
    <w:name w:val="font7"/>
    <w:basedOn w:val="716"/>
    <w:uiPriority w:val="99"/>
    <w:qFormat/>
    <w:pPr>
      <w:jc w:val="left"/>
      <w:spacing w:before="100" w:beforeAutospacing="1" w:after="100" w:afterAutospacing="1"/>
      <w:widowControl/>
    </w:pPr>
    <w:rPr>
      <w:rFonts w:ascii="宋体" w:hAnsi="宋体"/>
      <w:sz w:val="18"/>
      <w:szCs w:val="18"/>
    </w:rPr>
  </w:style>
  <w:style w:type="paragraph" w:styleId="1003" w:customStyle="1">
    <w:name w:val="xl24"/>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xl2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8"/>
    <w:basedOn w:val="7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xl29"/>
    <w:basedOn w:val="71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09" w:customStyle="1">
    <w:name w:val="Char"/>
    <w:basedOn w:val="743"/>
    <w:uiPriority w:val="0"/>
    <w:qFormat/>
    <w:rPr>
      <w:rFonts w:ascii="Tahoma" w:hAnsi="Tahoma"/>
      <w:sz w:val="24"/>
      <w:szCs w:val="24"/>
    </w:rPr>
  </w:style>
  <w:style w:type="character" w:styleId="1010" w:customStyle="1">
    <w:name w:val="批注文字 字符"/>
    <w:basedOn w:val="726"/>
    <w:link w:val="745"/>
    <w:uiPriority w:val="99"/>
    <w:semiHidden/>
    <w:qFormat/>
    <w:rPr>
      <w:rFonts w:ascii="Times New Roman" w:hAnsi="Times New Roman" w:eastAsia="宋体" w:cs="Times New Roman"/>
      <w:sz w:val="21"/>
      <w:szCs w:val="21"/>
    </w:rPr>
  </w:style>
  <w:style w:type="character" w:styleId="1011" w:customStyle="1">
    <w:name w:val="批注主题 字符"/>
    <w:basedOn w:val="1010"/>
    <w:link w:val="802"/>
    <w:uiPriority w:val="99"/>
    <w:semiHidden/>
    <w:qFormat/>
    <w:rPr>
      <w:rFonts w:ascii="Times New Roman" w:hAnsi="Times New Roman" w:eastAsia="宋体" w:cs="Times New Roman"/>
      <w:b/>
      <w:bCs/>
      <w:sz w:val="21"/>
      <w:szCs w:val="21"/>
    </w:rPr>
  </w:style>
  <w:style w:type="character" w:styleId="1012" w:customStyle="1">
    <w:name w:val="批注框文本 字符"/>
    <w:basedOn w:val="726"/>
    <w:link w:val="772"/>
    <w:uiPriority w:val="99"/>
    <w:semiHidden/>
    <w:qFormat/>
    <w:rPr>
      <w:rFonts w:ascii="Times New Roman" w:hAnsi="Times New Roman" w:eastAsia="宋体" w:cs="Times New Roman"/>
      <w:sz w:val="18"/>
      <w:szCs w:val="18"/>
    </w:rPr>
  </w:style>
  <w:style w:type="paragraph" w:styleId="1013" w:customStyle="1">
    <w:name w:val="table_1stline"/>
    <w:basedOn w:val="716"/>
    <w:uiPriority w:val="99"/>
    <w:qFormat/>
    <w:pPr>
      <w:jc w:val="left"/>
      <w:spacing w:before="120"/>
      <w:widowControl/>
    </w:pPr>
    <w:rPr>
      <w:bCs/>
      <w:sz w:val="20"/>
      <w:szCs w:val="20"/>
      <w:lang w:val="de-DE" w:eastAsia="de-DE"/>
    </w:rPr>
  </w:style>
  <w:style w:type="paragraph" w:styleId="1014" w:customStyle="1">
    <w:name w:val="table_lines"/>
    <w:basedOn w:val="716"/>
    <w:uiPriority w:val="99"/>
    <w:qFormat/>
    <w:pPr>
      <w:jc w:val="left"/>
      <w:widowControl/>
    </w:pPr>
    <w:rPr>
      <w:sz w:val="20"/>
      <w:szCs w:val="20"/>
      <w:lang w:val="de-DE" w:eastAsia="de-DE"/>
    </w:rPr>
  </w:style>
  <w:style w:type="character" w:styleId="1015" w:customStyle="1">
    <w:name w:val="font5 Char"/>
    <w:uiPriority w:val="99"/>
    <w:qFormat/>
    <w:rPr>
      <w:rFonts w:ascii="宋体" w:hAnsi="宋体" w:eastAsia="宋体"/>
      <w:sz w:val="28"/>
      <w:lang w:val="en-US" w:eastAsia="zh-CN"/>
    </w:rPr>
  </w:style>
  <w:style w:type="paragraph" w:styleId="1016" w:customStyle="1">
    <w:name w:val="Char Char Char Char"/>
    <w:basedOn w:val="743"/>
    <w:uiPriority w:val="99"/>
    <w:qFormat/>
    <w:pPr>
      <w:spacing w:line="360" w:lineRule="auto"/>
    </w:pPr>
    <w:rPr>
      <w:rFonts w:ascii="Tahoma" w:hAnsi="Tahoma"/>
      <w:sz w:val="24"/>
      <w:szCs w:val="24"/>
    </w:rPr>
  </w:style>
  <w:style w:type="paragraph" w:styleId="101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1018" w:customStyle="1">
    <w:name w:val="列出段落1"/>
    <w:basedOn w:val="716"/>
    <w:uiPriority w:val="99"/>
    <w:qFormat/>
    <w:pPr>
      <w:contextualSpacing/>
      <w:ind w:left="720"/>
      <w:jc w:val="left"/>
      <w:widowControl/>
    </w:pPr>
    <w:rPr>
      <w:rFonts w:ascii="Calibri" w:hAnsi="Calibri"/>
      <w:sz w:val="24"/>
      <w:szCs w:val="24"/>
      <w:lang w:eastAsia="en-US"/>
    </w:rPr>
  </w:style>
  <w:style w:type="paragraph" w:styleId="1019" w:customStyle="1">
    <w:name w:val="Char Char Char Char Char Char Char Char Char Char"/>
    <w:basedOn w:val="716"/>
    <w:uiPriority w:val="99"/>
    <w:qFormat/>
    <w:pPr>
      <w:spacing w:line="360" w:lineRule="auto"/>
    </w:pPr>
    <w:rPr>
      <w:sz w:val="24"/>
      <w:szCs w:val="20"/>
    </w:rPr>
  </w:style>
  <w:style w:type="character" w:styleId="1020" w:customStyle="1">
    <w:name w:val="列出段落 Char"/>
    <w:link w:val="1021"/>
    <w:uiPriority w:val="99"/>
    <w:qFormat/>
    <w:rPr>
      <w:rFonts w:ascii="Calibri" w:hAnsi="Calibri"/>
      <w:sz w:val="24"/>
      <w:lang w:eastAsia="en-US"/>
    </w:rPr>
  </w:style>
  <w:style w:type="paragraph" w:styleId="1021" w:customStyle="1">
    <w:name w:val="列出段落11"/>
    <w:basedOn w:val="716"/>
    <w:link w:val="1020"/>
    <w:uiPriority w:val="99"/>
    <w:qFormat/>
    <w:pPr>
      <w:contextualSpacing/>
      <w:ind w:left="720"/>
      <w:jc w:val="left"/>
      <w:widowControl/>
    </w:pPr>
    <w:rPr>
      <w:rFonts w:ascii="Calibri" w:hAnsi="Calibri"/>
      <w:sz w:val="24"/>
      <w:szCs w:val="20"/>
      <w:lang w:eastAsia="en-US"/>
    </w:rPr>
  </w:style>
  <w:style w:type="character" w:styleId="1022" w:customStyle="1">
    <w:name w:val="二级目录 Char"/>
    <w:link w:val="1023"/>
    <w:uiPriority w:val="99"/>
    <w:qFormat/>
    <w:rPr>
      <w:b/>
      <w:sz w:val="30"/>
      <w:szCs w:val="28"/>
      <w:lang w:val="en-US" w:eastAsia="zh-CN" w:bidi="ar-SA"/>
    </w:rPr>
  </w:style>
  <w:style w:type="paragraph" w:styleId="1023" w:customStyle="1">
    <w:name w:val="二级目录"/>
    <w:next w:val="716"/>
    <w:link w:val="1022"/>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news12241"/>
    <w:basedOn w:val="726"/>
    <w:uiPriority w:val="0"/>
    <w:qFormat/>
    <w:rPr>
      <w:color w:val="000000"/>
      <w:sz w:val="18"/>
      <w:szCs w:val="18"/>
      <w:u w:val="none"/>
    </w:rPr>
  </w:style>
  <w:style w:type="character" w:styleId="1025" w:customStyle="1">
    <w:name w:val="apple-converted-space"/>
    <w:basedOn w:val="726"/>
    <w:uiPriority w:val="0"/>
    <w:qFormat/>
  </w:style>
  <w:style w:type="paragraph" w:styleId="1026" w:customStyle="1">
    <w:name w:val="列出段落2"/>
    <w:basedOn w:val="716"/>
    <w:uiPriority w:val="0"/>
    <w:qFormat/>
    <w:pPr>
      <w:ind w:firstLine="420"/>
    </w:pPr>
    <w:rPr>
      <w:rFonts w:ascii="Calibri" w:hAnsi="Calibri"/>
      <w:szCs w:val="22"/>
    </w:rPr>
  </w:style>
  <w:style w:type="paragraph" w:styleId="1027">
    <w:name w:val="List Paragraph"/>
    <w:basedOn w:val="716"/>
    <w:link w:val="1030"/>
    <w:uiPriority w:val="34"/>
    <w:qFormat/>
    <w:pPr>
      <w:ind w:firstLine="420"/>
      <w:spacing w:line="360" w:lineRule="auto"/>
    </w:pPr>
    <w:rPr>
      <w:sz w:val="24"/>
      <w:szCs w:val="22"/>
    </w:rPr>
  </w:style>
  <w:style w:type="paragraph" w:styleId="1028" w:customStyle="1">
    <w:name w:val="TOC 标题1"/>
    <w:basedOn w:val="717"/>
    <w:next w:val="716"/>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9" w:customStyle="1">
    <w:name w:val="default"/>
    <w:basedOn w:val="716"/>
    <w:uiPriority w:val="99"/>
    <w:qFormat/>
    <w:pPr>
      <w:jc w:val="left"/>
      <w:widowControl/>
    </w:pPr>
    <w:rPr>
      <w:rFonts w:ascii="黑体" w:hAnsi="黑体" w:eastAsia="黑体" w:cs="宋体"/>
      <w:color w:val="000000"/>
      <w:sz w:val="24"/>
      <w:szCs w:val="24"/>
    </w:rPr>
  </w:style>
  <w:style w:type="character" w:styleId="1030" w:customStyle="1">
    <w:name w:val="列表段落 字符"/>
    <w:link w:val="1027"/>
    <w:uiPriority w:val="34"/>
    <w:qFormat/>
    <w:rPr>
      <w:rFonts w:ascii="Times New Roman" w:hAnsi="Times New Roman" w:eastAsia="宋体" w:cs="Times New Roman"/>
      <w:sz w:val="24"/>
      <w:szCs w:val="22"/>
    </w:rPr>
  </w:style>
  <w:style w:type="character" w:styleId="1031" w:customStyle="1">
    <w:name w:val="font61"/>
    <w:basedOn w:val="726"/>
    <w:uiPriority w:val="0"/>
    <w:qFormat/>
    <w:rPr>
      <w:rFonts w:hint="eastAsia" w:ascii="微软雅黑" w:hAnsi="微软雅黑" w:eastAsia="微软雅黑" w:cs="微软雅黑"/>
      <w:color w:val="000000"/>
      <w:sz w:val="20"/>
      <w:szCs w:val="20"/>
      <w:u w:val="none"/>
    </w:rPr>
  </w:style>
  <w:style w:type="character" w:styleId="1032" w:customStyle="1">
    <w:name w:val="font11"/>
    <w:basedOn w:val="726"/>
    <w:uiPriority w:val="0"/>
    <w:qFormat/>
    <w:rPr>
      <w:rFonts w:hint="eastAsia" w:ascii="宋体" w:hAnsi="宋体" w:eastAsia="宋体" w:cs="宋体"/>
      <w:color w:val="000000"/>
      <w:sz w:val="20"/>
      <w:szCs w:val="20"/>
      <w:u w:val="none"/>
    </w:rPr>
  </w:style>
  <w:style w:type="character" w:styleId="1033" w:customStyle="1">
    <w:name w:val="font31"/>
    <w:basedOn w:val="726"/>
    <w:uiPriority w:val="0"/>
    <w:qFormat/>
    <w:rPr>
      <w:rFonts w:hint="eastAsia" w:ascii="宋体" w:hAnsi="宋体" w:eastAsia="宋体" w:cs="宋体"/>
      <w:color w:val="000000"/>
      <w:sz w:val="18"/>
      <w:szCs w:val="18"/>
      <w:u w:val="none"/>
    </w:rPr>
  </w:style>
  <w:style w:type="character" w:styleId="1034" w:customStyle="1">
    <w:name w:val="font01"/>
    <w:basedOn w:val="726"/>
    <w:uiPriority w:val="0"/>
    <w:qFormat/>
    <w:rPr>
      <w:rFonts w:hint="eastAsia" w:ascii="宋体" w:hAnsi="宋体" w:eastAsia="宋体" w:cs="宋体"/>
      <w:color w:val="000000"/>
      <w:sz w:val="18"/>
      <w:szCs w:val="18"/>
      <w:u w:val="none"/>
    </w:rPr>
  </w:style>
  <w:style w:type="character" w:styleId="1035" w:customStyle="1">
    <w:name w:val="font21"/>
    <w:basedOn w:val="726"/>
    <w:uiPriority w:val="0"/>
    <w:qFormat/>
    <w:rPr>
      <w:rFonts w:hint="eastAsia" w:ascii="宋体" w:hAnsi="宋体" w:eastAsia="宋体" w:cs="宋体"/>
      <w:color w:val="ff0000"/>
      <w:sz w:val="18"/>
      <w:szCs w:val="18"/>
      <w:u w:val="none"/>
    </w:rPr>
  </w:style>
  <w:style w:type="character" w:styleId="1036" w:customStyle="1">
    <w:name w:val="font41"/>
    <w:basedOn w:val="726"/>
    <w:uiPriority w:val="0"/>
    <w:qFormat/>
    <w:rPr>
      <w:rFonts w:hint="eastAsia" w:ascii="宋体" w:hAnsi="宋体" w:eastAsia="宋体" w:cs="宋体"/>
      <w:color w:val="000000"/>
      <w:sz w:val="18"/>
      <w:szCs w:val="18"/>
      <w:u w:val="none"/>
    </w:rPr>
  </w:style>
  <w:style w:type="character" w:styleId="1037" w:customStyle="1">
    <w:name w:val="font51"/>
    <w:basedOn w:val="726"/>
    <w:uiPriority w:val="0"/>
    <w:qFormat/>
    <w:rPr>
      <w:rFonts w:hint="eastAsia" w:ascii="宋体" w:hAnsi="宋体" w:eastAsia="宋体" w:cs="宋体"/>
      <w:color w:val="000000"/>
      <w:sz w:val="18"/>
      <w:szCs w:val="18"/>
      <w:u w:val="none"/>
    </w:rPr>
  </w:style>
  <w:style w:type="character" w:styleId="1038" w:customStyle="1">
    <w:name w:val="font71"/>
    <w:basedOn w:val="726"/>
    <w:uiPriority w:val="0"/>
    <w:qFormat/>
    <w:rPr>
      <w:rFonts w:hint="eastAsia" w:ascii="宋体" w:hAnsi="宋体" w:eastAsia="宋体" w:cs="宋体"/>
      <w:b/>
      <w:bCs/>
      <w:color w:val="000000"/>
      <w:sz w:val="18"/>
      <w:szCs w:val="18"/>
      <w:u w:val="none"/>
    </w:rPr>
  </w:style>
  <w:style w:type="character" w:styleId="1039" w:customStyle="1">
    <w:name w:val="font81"/>
    <w:basedOn w:val="726"/>
    <w:uiPriority w:val="0"/>
    <w:qFormat/>
    <w:rPr>
      <w:rFonts w:hint="eastAsia" w:ascii="宋体" w:hAnsi="宋体" w:eastAsia="宋体" w:cs="宋体"/>
      <w:b/>
      <w:bCs/>
      <w:color w:val="000000"/>
      <w:sz w:val="18"/>
      <w:szCs w:val="18"/>
      <w:u w:val="none"/>
    </w:rPr>
  </w:style>
  <w:style w:type="paragraph" w:styleId="1040" w:customStyle="1">
    <w:name w:val="表格文字"/>
    <w:basedOn w:val="716"/>
    <w:next w:val="751"/>
    <w:uiPriority w:val="0"/>
    <w:qFormat/>
    <w:pPr>
      <w:jc w:val="left"/>
      <w:spacing w:before="25" w:after="25"/>
    </w:pPr>
    <w:rPr>
      <w:bCs/>
      <w:spacing w:val="10"/>
      <w:sz w:val="24"/>
      <w:szCs w:val="20"/>
    </w:rPr>
  </w:style>
  <w:style w:type="character" w:styleId="1041" w:customStyle="1">
    <w:name w:val="NormalCharacter"/>
    <w:uiPriority w:val="0"/>
    <w:qFormat/>
    <w:rPr>
      <w:rFonts w:ascii="Times New Roman" w:hAnsi="Times New Roman" w:eastAsia="宋体" w:cs="Times New Roman"/>
      <w:sz w:val="21"/>
      <w:szCs w:val="21"/>
      <w:lang w:val="en-US" w:eastAsia="zh-CN" w:bidi="ar-SA"/>
    </w:rPr>
  </w:style>
  <w:style w:type="paragraph" w:styleId="1042" w:customStyle="1">
    <w:name w:val="PlainText"/>
    <w:basedOn w:val="716"/>
    <w:uiPriority w:val="0"/>
    <w:qFormat/>
    <w:rPr>
      <w:rFonts w:ascii="宋体" w:hAnsi="Courier New"/>
    </w:rPr>
  </w:style>
  <w:style w:type="paragraph" w:styleId="1043" w:customStyle="1">
    <w:name w:val="BodyText"/>
    <w:basedOn w:val="716"/>
    <w:uiPriority w:val="0"/>
    <w:qFormat/>
    <w:rPr>
      <w:rFonts w:ascii="方正仿宋_GB2312" w:hAnsi="Arial" w:eastAsia="方正仿宋_GB2312"/>
      <w:sz w:val="28"/>
      <w:szCs w:val="28"/>
    </w:rPr>
  </w:style>
  <w:style w:type="paragraph" w:styleId="1044" w:customStyle="1">
    <w:name w:val="BlockQuote"/>
    <w:basedOn w:val="716"/>
    <w:uiPriority w:val="0"/>
    <w:qFormat/>
    <w:pPr>
      <w:ind w:left="1440" w:right="1440"/>
      <w:spacing w:after="120"/>
    </w:pPr>
  </w:style>
  <w:style w:type="paragraph" w:styleId="1045" w:customStyle="1">
    <w:name w:val="UserStyle_5"/>
    <w:next w:val="716"/>
    <w:uiPriority w:val="0"/>
    <w:qFormat/>
    <w:pPr>
      <w:ind w:firstLine="200"/>
      <w:jc w:val="both"/>
    </w:pPr>
    <w:rPr>
      <w:rFonts w:hint="default" w:ascii="宋体" w:hAnsi="Calibri" w:eastAsia="宋体" w:cs="Times New Roman"/>
      <w:sz w:val="21"/>
      <w:lang w:val="en-US" w:eastAsia="zh-CN" w:bidi="ar-SA"/>
    </w:rPr>
  </w:style>
  <w:style w:type="paragraph" w:styleId="1046" w:customStyle="1">
    <w:name w:val="BodyText1I"/>
    <w:basedOn w:val="1043"/>
    <w:uiPriority w:val="0"/>
    <w:qFormat/>
    <w:pPr>
      <w:ind w:firstLine="200"/>
      <w:spacing w:line="360" w:lineRule="auto"/>
    </w:pPr>
    <w:rPr>
      <w:rFonts w:ascii="仿宋_GB2312" w:eastAsia="仿宋_GB2312"/>
      <w:sz w:val="30"/>
      <w:szCs w:val="30"/>
    </w:rPr>
  </w:style>
  <w:style w:type="paragraph" w:styleId="1047" w:customStyle="1">
    <w:name w:val="GP正文(首行缩进)"/>
    <w:basedOn w:val="716"/>
    <w:uiPriority w:val="0"/>
    <w:qFormat/>
    <w:pPr>
      <w:ind w:firstLine="200"/>
      <w:jc w:val="left"/>
      <w:spacing w:line="360" w:lineRule="auto"/>
    </w:pPr>
    <w:rPr>
      <w:rFonts w:ascii="Times New Roman" w:hAnsi="Times New Roman"/>
      <w:sz w:val="24"/>
      <w:szCs w:val="21"/>
    </w:rPr>
  </w:style>
  <w:style w:type="paragraph" w:styleId="1048" w:customStyle="1">
    <w:name w:val="UserStyle_48"/>
    <w:basedOn w:val="716"/>
    <w:uiPriority w:val="99"/>
    <w:qFormat/>
    <w:pPr>
      <w:ind w:firstLine="480"/>
      <w:jc w:val="left"/>
      <w:spacing w:before="120" w:after="120" w:line="360" w:lineRule="auto"/>
    </w:pPr>
    <w:rPr>
      <w:rFonts w:ascii="Arial" w:hAnsi="Arial" w:cs="Arial"/>
      <w:sz w:val="24"/>
      <w:szCs w:val="24"/>
    </w:rPr>
  </w:style>
  <w:style w:type="paragraph" w:styleId="1049" w:customStyle="1">
    <w:name w:val="Heading 4"/>
    <w:basedOn w:val="716"/>
    <w:next w:val="1050"/>
    <w:uiPriority w:val="99"/>
    <w:qFormat/>
    <w:pPr>
      <w:keepLines/>
      <w:keepNext/>
      <w:spacing w:before="280" w:after="290" w:line="376" w:lineRule="auto"/>
    </w:pPr>
    <w:rPr>
      <w:rFonts w:ascii="Arial" w:hAnsi="Arial" w:eastAsia="黑体" w:cs="Arial"/>
      <w:b/>
      <w:bCs/>
      <w:sz w:val="28"/>
      <w:szCs w:val="28"/>
    </w:rPr>
  </w:style>
  <w:style w:type="paragraph" w:styleId="1050" w:customStyle="1">
    <w:name w:val="NormalIndent"/>
    <w:basedOn w:val="716"/>
    <w:uiPriority w:val="99"/>
    <w:qFormat/>
    <w:pPr>
      <w:ind w:firstLine="420"/>
    </w:pPr>
    <w:rPr>
      <w:rFonts w:ascii="Times New Roman" w:hAnsi="Times New Roman" w:cs="Times New Roman"/>
    </w:rPr>
  </w:style>
  <w:style w:type="paragraph" w:styleId="1051" w:customStyle="1">
    <w:name w:val="列出段落3"/>
    <w:basedOn w:val="716"/>
    <w:uiPriority w:val="0"/>
    <w:qFormat/>
    <w:pPr>
      <w:ind w:firstLine="420"/>
      <w:spacing w:line="360" w:lineRule="auto"/>
    </w:pPr>
    <w:rPr>
      <w:sz w:val="24"/>
      <w:szCs w:val="22"/>
    </w:rPr>
  </w:style>
  <w:style w:type="numbering" w:styleId="67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11</cp:revision>
  <dcterms:created xsi:type="dcterms:W3CDTF">2023-02-26T08:01:00Z</dcterms:created>
  <dcterms:modified xsi:type="dcterms:W3CDTF">2026-07-23T02:58:24Z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0505A688D73C4248B023BF7146F8299B_13</vt:lpwstr>
  </property>
  <property fmtid="{D5CDD505-2E9C-101B-9397-08002B2CF9AE}" pid="4" name="KSOTemplateDocerSaveRecord">
    <vt:lpwstr>eyJoZGlkIjoiMDljYzUzMWQ4OWI0YzBkYjYzMDRhZTY5ZjZkYmFmYTgiLCJ1c2VySWQiOiIzNzA2MTg2In0=</vt:lpwstr>
  </property>
</Properties>
</file>