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6B1C25">
      <w:pPr>
        <w:pStyle w:val="21"/>
        <w:adjustRightInd/>
        <w:ind w:firstLine="1928"/>
        <w:jc w:val="center"/>
        <w:rPr>
          <w:rFonts w:hint="eastAsia" w:ascii="新宋体" w:hAnsi="新宋体" w:eastAsia="新宋体"/>
          <w:b/>
          <w:bCs/>
          <w:color w:val="auto"/>
          <w:sz w:val="96"/>
          <w:highlight w:val="none"/>
          <w:u w:val="none"/>
        </w:rPr>
      </w:pPr>
    </w:p>
    <w:p w14:paraId="5723AFA0">
      <w:pPr>
        <w:pStyle w:val="21"/>
        <w:adjustRightInd/>
        <w:ind w:firstLine="472" w:firstLineChars="56"/>
        <w:jc w:val="center"/>
        <w:rPr>
          <w:rFonts w:hint="eastAsia" w:ascii="新宋体" w:hAnsi="新宋体" w:eastAsia="新宋体"/>
          <w:b/>
          <w:bCs/>
          <w:color w:val="auto"/>
          <w:sz w:val="96"/>
          <w:highlight w:val="none"/>
          <w:u w:val="none"/>
        </w:rPr>
      </w:pPr>
      <w:r>
        <w:rPr>
          <w:rFonts w:hint="eastAsia" w:ascii="新宋体" w:hAnsi="新宋体" w:eastAsia="新宋体"/>
          <w:b/>
          <w:bCs/>
          <w:color w:val="auto"/>
          <w:sz w:val="84"/>
          <w:szCs w:val="84"/>
          <w:highlight w:val="none"/>
          <w:u w:val="none"/>
        </w:rPr>
        <w:t>竞争性磋商文件</w:t>
      </w:r>
    </w:p>
    <w:p w14:paraId="0F157474">
      <w:pPr>
        <w:pStyle w:val="21"/>
        <w:adjustRightInd/>
        <w:ind w:firstLine="0" w:firstLineChars="0"/>
        <w:jc w:val="center"/>
        <w:rPr>
          <w:rFonts w:hint="eastAsia" w:ascii="新宋体" w:hAnsi="新宋体" w:eastAsia="新宋体"/>
          <w:b/>
          <w:bCs/>
          <w:color w:val="auto"/>
          <w:sz w:val="32"/>
          <w:szCs w:val="32"/>
          <w:highlight w:val="none"/>
          <w:u w:val="none"/>
        </w:rPr>
      </w:pPr>
      <w:r>
        <w:rPr>
          <w:rFonts w:hint="eastAsia" w:ascii="新宋体" w:hAnsi="新宋体" w:eastAsia="新宋体"/>
          <w:b/>
          <w:bCs/>
          <w:color w:val="auto"/>
          <w:sz w:val="32"/>
          <w:szCs w:val="32"/>
          <w:highlight w:val="none"/>
          <w:u w:val="none"/>
        </w:rPr>
        <w:t>（全流程电子化）</w:t>
      </w:r>
    </w:p>
    <w:p w14:paraId="45214C20">
      <w:pPr>
        <w:pStyle w:val="21"/>
        <w:adjustRightInd/>
        <w:rPr>
          <w:rFonts w:hint="eastAsia" w:ascii="新宋体" w:hAnsi="新宋体" w:eastAsia="新宋体"/>
          <w:b/>
          <w:bCs/>
          <w:color w:val="auto"/>
          <w:highlight w:val="none"/>
          <w:u w:val="none"/>
        </w:rPr>
      </w:pPr>
    </w:p>
    <w:p w14:paraId="29723421">
      <w:pPr>
        <w:pStyle w:val="21"/>
        <w:adjustRightInd/>
        <w:rPr>
          <w:rFonts w:hint="eastAsia" w:ascii="新宋体" w:hAnsi="新宋体" w:eastAsia="新宋体"/>
          <w:b/>
          <w:bCs/>
          <w:color w:val="auto"/>
          <w:highlight w:val="none"/>
          <w:u w:val="none"/>
        </w:rPr>
      </w:pPr>
    </w:p>
    <w:p w14:paraId="1D469AED">
      <w:pPr>
        <w:pStyle w:val="21"/>
        <w:adjustRightInd/>
        <w:rPr>
          <w:rFonts w:hint="eastAsia" w:ascii="新宋体" w:hAnsi="新宋体" w:eastAsia="新宋体"/>
          <w:b/>
          <w:bCs/>
          <w:color w:val="auto"/>
          <w:highlight w:val="none"/>
          <w:u w:val="none"/>
        </w:rPr>
      </w:pPr>
    </w:p>
    <w:p w14:paraId="38B22DC5">
      <w:pPr>
        <w:pStyle w:val="21"/>
        <w:adjustRightInd/>
        <w:rPr>
          <w:rFonts w:hint="eastAsia" w:ascii="新宋体" w:hAnsi="新宋体" w:eastAsia="新宋体"/>
          <w:b/>
          <w:bCs/>
          <w:color w:val="auto"/>
          <w:highlight w:val="none"/>
          <w:u w:val="none"/>
        </w:rPr>
      </w:pPr>
    </w:p>
    <w:p w14:paraId="2692B6D5">
      <w:pPr>
        <w:pStyle w:val="21"/>
        <w:adjustRightInd/>
        <w:rPr>
          <w:rFonts w:hint="eastAsia" w:ascii="新宋体" w:hAnsi="新宋体" w:eastAsia="新宋体"/>
          <w:b/>
          <w:bCs/>
          <w:color w:val="auto"/>
          <w:highlight w:val="none"/>
          <w:u w:val="none"/>
        </w:rPr>
      </w:pPr>
    </w:p>
    <w:p w14:paraId="657CE22B">
      <w:pPr>
        <w:pStyle w:val="21"/>
        <w:adjustRightInd/>
        <w:rPr>
          <w:rFonts w:hint="eastAsia" w:ascii="新宋体" w:hAnsi="新宋体" w:eastAsia="新宋体"/>
          <w:b/>
          <w:bCs/>
          <w:color w:val="auto"/>
          <w:highlight w:val="none"/>
          <w:u w:val="none"/>
        </w:rPr>
      </w:pPr>
    </w:p>
    <w:p w14:paraId="02FD6ED5">
      <w:pPr>
        <w:pStyle w:val="21"/>
        <w:adjustRightInd/>
        <w:ind w:firstLine="0" w:firstLineChars="0"/>
        <w:jc w:val="both"/>
        <w:rPr>
          <w:rFonts w:hint="eastAsia" w:ascii="新宋体" w:hAnsi="新宋体" w:eastAsia="新宋体"/>
          <w:b/>
          <w:bCs/>
          <w:color w:val="auto"/>
          <w:sz w:val="32"/>
          <w:szCs w:val="32"/>
          <w:highlight w:val="none"/>
          <w:u w:val="none"/>
          <w:lang w:eastAsia="zh-CN"/>
        </w:rPr>
      </w:pPr>
      <w:r>
        <w:rPr>
          <w:rFonts w:hint="eastAsia" w:ascii="新宋体" w:hAnsi="新宋体" w:eastAsia="新宋体"/>
          <w:b/>
          <w:bCs/>
          <w:color w:val="auto"/>
          <w:sz w:val="32"/>
          <w:szCs w:val="32"/>
          <w:highlight w:val="none"/>
          <w:u w:val="none"/>
        </w:rPr>
        <w:t>项目名称：</w:t>
      </w:r>
      <w:r>
        <w:rPr>
          <w:rFonts w:hint="eastAsia" w:ascii="新宋体" w:hAnsi="新宋体" w:eastAsia="新宋体"/>
          <w:b/>
          <w:bCs/>
          <w:color w:val="auto"/>
          <w:sz w:val="32"/>
          <w:szCs w:val="32"/>
          <w:highlight w:val="none"/>
          <w:u w:val="none"/>
          <w:lang w:eastAsia="zh-CN"/>
        </w:rPr>
        <w:t>2026年泰州医药高新区（高港区）市场监督管理局食品安全快检服务</w:t>
      </w:r>
    </w:p>
    <w:p w14:paraId="4F91815F">
      <w:pPr>
        <w:pStyle w:val="21"/>
        <w:adjustRightInd/>
        <w:ind w:firstLine="0" w:firstLineChars="0"/>
        <w:jc w:val="both"/>
        <w:rPr>
          <w:rFonts w:hint="eastAsia" w:ascii="新宋体" w:hAnsi="新宋体" w:eastAsia="新宋体"/>
          <w:b/>
          <w:bCs/>
          <w:color w:val="auto"/>
          <w:sz w:val="32"/>
          <w:szCs w:val="32"/>
          <w:highlight w:val="none"/>
          <w:u w:val="none"/>
          <w:lang w:eastAsia="zh-CN"/>
        </w:rPr>
      </w:pPr>
      <w:r>
        <w:rPr>
          <w:rFonts w:hint="eastAsia" w:ascii="新宋体" w:hAnsi="新宋体" w:eastAsia="新宋体"/>
          <w:b/>
          <w:bCs/>
          <w:color w:val="auto"/>
          <w:sz w:val="32"/>
          <w:szCs w:val="32"/>
          <w:highlight w:val="none"/>
          <w:u w:val="none"/>
        </w:rPr>
        <w:t>项目编号：</w:t>
      </w:r>
      <w:r>
        <w:rPr>
          <w:rFonts w:hint="eastAsia" w:ascii="新宋体" w:hAnsi="新宋体" w:eastAsia="新宋体"/>
          <w:b/>
          <w:bCs/>
          <w:color w:val="auto"/>
          <w:sz w:val="32"/>
          <w:szCs w:val="32"/>
          <w:highlight w:val="none"/>
          <w:u w:val="none"/>
          <w:lang w:eastAsia="zh-CN"/>
        </w:rPr>
        <w:t>JSZC-321203-HQGC-C2026-0029</w:t>
      </w:r>
    </w:p>
    <w:p w14:paraId="1C1D08DC">
      <w:pPr>
        <w:spacing w:line="360" w:lineRule="auto"/>
        <w:rPr>
          <w:rFonts w:hint="eastAsia" w:ascii="新宋体" w:hAnsi="新宋体" w:eastAsia="新宋体"/>
          <w:b/>
          <w:bCs/>
          <w:color w:val="auto"/>
          <w:sz w:val="32"/>
          <w:szCs w:val="32"/>
          <w:highlight w:val="none"/>
          <w:u w:val="none"/>
          <w:lang w:eastAsia="zh-CN"/>
        </w:rPr>
      </w:pPr>
      <w:r>
        <w:rPr>
          <w:rFonts w:hint="eastAsia" w:ascii="新宋体" w:hAnsi="新宋体" w:eastAsia="新宋体"/>
          <w:b/>
          <w:bCs/>
          <w:color w:val="auto"/>
          <w:sz w:val="32"/>
          <w:szCs w:val="32"/>
          <w:highlight w:val="none"/>
          <w:u w:val="none"/>
        </w:rPr>
        <w:t>采 购 人：</w:t>
      </w:r>
      <w:r>
        <w:rPr>
          <w:rFonts w:hint="eastAsia" w:ascii="新宋体" w:hAnsi="新宋体" w:eastAsia="新宋体"/>
          <w:b/>
          <w:bCs/>
          <w:color w:val="auto"/>
          <w:sz w:val="32"/>
          <w:szCs w:val="32"/>
          <w:highlight w:val="none"/>
          <w:u w:val="none"/>
          <w:lang w:eastAsia="zh-CN"/>
        </w:rPr>
        <w:t>泰州医药高新技术产业开发区（泰州市高港区）市场监督管理局</w:t>
      </w:r>
    </w:p>
    <w:p w14:paraId="20E9A741">
      <w:pPr>
        <w:pStyle w:val="8"/>
        <w:spacing w:line="360" w:lineRule="auto"/>
        <w:rPr>
          <w:rFonts w:hint="eastAsia" w:ascii="新宋体" w:hAnsi="新宋体" w:eastAsia="新宋体"/>
          <w:b/>
          <w:bCs/>
          <w:color w:val="auto"/>
          <w:sz w:val="32"/>
          <w:szCs w:val="32"/>
          <w:highlight w:val="none"/>
          <w:u w:val="none"/>
        </w:rPr>
      </w:pPr>
    </w:p>
    <w:p w14:paraId="3EC23F75">
      <w:pPr>
        <w:pStyle w:val="8"/>
        <w:spacing w:line="360" w:lineRule="auto"/>
        <w:rPr>
          <w:rFonts w:hint="eastAsia" w:ascii="新宋体" w:hAnsi="新宋体" w:eastAsia="新宋体"/>
          <w:b/>
          <w:bCs/>
          <w:color w:val="auto"/>
          <w:sz w:val="32"/>
          <w:szCs w:val="32"/>
          <w:highlight w:val="none"/>
          <w:u w:val="none"/>
        </w:rPr>
      </w:pPr>
    </w:p>
    <w:p w14:paraId="05929FC2">
      <w:pPr>
        <w:pStyle w:val="8"/>
        <w:spacing w:line="360" w:lineRule="auto"/>
        <w:rPr>
          <w:rFonts w:hint="eastAsia" w:ascii="新宋体" w:hAnsi="新宋体" w:eastAsia="新宋体"/>
          <w:b/>
          <w:bCs/>
          <w:color w:val="auto"/>
          <w:sz w:val="32"/>
          <w:szCs w:val="32"/>
          <w:highlight w:val="none"/>
          <w:u w:val="none"/>
        </w:rPr>
      </w:pPr>
    </w:p>
    <w:p w14:paraId="650794A4">
      <w:pPr>
        <w:spacing w:line="360" w:lineRule="auto"/>
        <w:jc w:val="center"/>
        <w:rPr>
          <w:rFonts w:hint="eastAsia" w:ascii="新宋体" w:hAnsi="新宋体" w:eastAsia="新宋体"/>
          <w:b/>
          <w:bCs/>
          <w:color w:val="auto"/>
          <w:sz w:val="32"/>
          <w:szCs w:val="32"/>
          <w:highlight w:val="none"/>
          <w:u w:val="none"/>
        </w:rPr>
      </w:pPr>
      <w:r>
        <w:rPr>
          <w:rFonts w:hint="eastAsia" w:ascii="新宋体" w:hAnsi="新宋体" w:eastAsia="新宋体"/>
          <w:b/>
          <w:bCs/>
          <w:color w:val="auto"/>
          <w:sz w:val="32"/>
          <w:szCs w:val="32"/>
          <w:highlight w:val="none"/>
          <w:u w:val="none"/>
        </w:rPr>
        <w:t>采购代理机构：江苏华强工程投资管理咨询有限公司</w:t>
      </w:r>
    </w:p>
    <w:p w14:paraId="6EDE3623">
      <w:pPr>
        <w:pStyle w:val="21"/>
        <w:adjustRightInd/>
        <w:ind w:firstLine="643"/>
        <w:jc w:val="center"/>
        <w:rPr>
          <w:rFonts w:hint="eastAsia" w:ascii="新宋体" w:hAnsi="新宋体" w:eastAsia="新宋体"/>
          <w:b/>
          <w:bCs/>
          <w:color w:val="auto"/>
          <w:sz w:val="32"/>
          <w:szCs w:val="32"/>
          <w:highlight w:val="none"/>
          <w:u w:val="none"/>
        </w:rPr>
      </w:pPr>
      <w:r>
        <w:rPr>
          <w:rFonts w:hint="eastAsia" w:ascii="新宋体" w:hAnsi="新宋体" w:eastAsia="新宋体"/>
          <w:b/>
          <w:bCs/>
          <w:color w:val="auto"/>
          <w:sz w:val="32"/>
          <w:szCs w:val="32"/>
          <w:highlight w:val="none"/>
          <w:u w:val="none"/>
          <w:lang w:eastAsia="zh-CN"/>
        </w:rPr>
        <w:t>2026年</w:t>
      </w:r>
      <w:r>
        <w:rPr>
          <w:rFonts w:hint="eastAsia" w:ascii="新宋体" w:hAnsi="新宋体" w:eastAsia="新宋体"/>
          <w:b/>
          <w:bCs/>
          <w:color w:val="auto"/>
          <w:sz w:val="32"/>
          <w:szCs w:val="32"/>
          <w:highlight w:val="none"/>
          <w:u w:val="none"/>
          <w:lang w:val="en-US" w:eastAsia="zh-CN"/>
        </w:rPr>
        <w:t>8月</w:t>
      </w:r>
    </w:p>
    <w:p w14:paraId="5DCFBF65">
      <w:pPr>
        <w:pStyle w:val="21"/>
        <w:adjustRightInd/>
        <w:jc w:val="center"/>
        <w:rPr>
          <w:rFonts w:hint="eastAsia" w:ascii="新宋体" w:hAnsi="新宋体" w:eastAsia="新宋体"/>
          <w:b/>
          <w:bCs/>
          <w:color w:val="auto"/>
          <w:highlight w:val="none"/>
          <w:u w:val="none"/>
        </w:rPr>
        <w:sectPr>
          <w:footerReference r:id="rId5" w:type="first"/>
          <w:headerReference r:id="rId3" w:type="default"/>
          <w:footerReference r:id="rId4" w:type="default"/>
          <w:pgSz w:w="11906" w:h="16838"/>
          <w:pgMar w:top="1701" w:right="1134" w:bottom="1134" w:left="1134" w:header="851" w:footer="992" w:gutter="0"/>
          <w:pgBorders>
            <w:top w:val="none" w:sz="0" w:space="0"/>
            <w:left w:val="none" w:sz="0" w:space="0"/>
            <w:bottom w:val="none" w:sz="0" w:space="0"/>
            <w:right w:val="none" w:sz="0" w:space="0"/>
          </w:pgBorders>
          <w:cols w:space="720" w:num="1"/>
          <w:docGrid w:type="lines" w:linePitch="312" w:charSpace="0"/>
        </w:sectPr>
      </w:pPr>
    </w:p>
    <w:p w14:paraId="05EE6813">
      <w:pPr>
        <w:pStyle w:val="21"/>
        <w:adjustRightInd/>
        <w:jc w:val="center"/>
        <w:rPr>
          <w:rFonts w:hint="eastAsia" w:ascii="新宋体" w:hAnsi="新宋体" w:eastAsia="新宋体"/>
          <w:b/>
          <w:bCs/>
          <w:color w:val="auto"/>
          <w:highlight w:val="none"/>
          <w:u w:val="none"/>
        </w:rPr>
      </w:pPr>
    </w:p>
    <w:p w14:paraId="261B6756">
      <w:pPr>
        <w:pStyle w:val="21"/>
        <w:adjustRightInd/>
        <w:jc w:val="center"/>
        <w:rPr>
          <w:rFonts w:hint="eastAsia" w:ascii="新宋体" w:hAnsi="新宋体" w:eastAsia="新宋体"/>
          <w:b/>
          <w:bCs/>
          <w:color w:val="auto"/>
          <w:highlight w:val="none"/>
          <w:u w:val="none"/>
        </w:rPr>
      </w:pPr>
    </w:p>
    <w:p w14:paraId="04581E32">
      <w:pPr>
        <w:pStyle w:val="22"/>
        <w:spacing w:before="0" w:line="360" w:lineRule="auto"/>
        <w:jc w:val="center"/>
        <w:rPr>
          <w:rFonts w:hint="eastAsia" w:ascii="宋体" w:hAnsi="宋体" w:eastAsia="宋体"/>
          <w:b/>
          <w:color w:val="auto"/>
          <w:sz w:val="40"/>
          <w:highlight w:val="none"/>
          <w:u w:val="none"/>
          <w:lang w:val="zh-CN"/>
        </w:rPr>
      </w:pPr>
      <w:r>
        <w:rPr>
          <w:rFonts w:ascii="宋体" w:hAnsi="宋体" w:eastAsia="宋体"/>
          <w:b/>
          <w:color w:val="auto"/>
          <w:sz w:val="40"/>
          <w:highlight w:val="none"/>
          <w:u w:val="none"/>
          <w:lang w:val="zh-CN"/>
        </w:rPr>
        <w:t>目</w:t>
      </w:r>
      <w:r>
        <w:rPr>
          <w:rFonts w:hint="eastAsia" w:ascii="宋体" w:hAnsi="宋体" w:eastAsia="宋体"/>
          <w:b/>
          <w:color w:val="auto"/>
          <w:sz w:val="40"/>
          <w:highlight w:val="none"/>
          <w:u w:val="none"/>
        </w:rPr>
        <w:t xml:space="preserve">  </w:t>
      </w:r>
      <w:r>
        <w:rPr>
          <w:rFonts w:ascii="宋体" w:hAnsi="宋体" w:eastAsia="宋体"/>
          <w:b/>
          <w:color w:val="auto"/>
          <w:sz w:val="40"/>
          <w:highlight w:val="none"/>
          <w:u w:val="none"/>
          <w:lang w:val="zh-CN"/>
        </w:rPr>
        <w:t>录</w:t>
      </w:r>
    </w:p>
    <w:p w14:paraId="438B105F">
      <w:pPr>
        <w:spacing w:line="360" w:lineRule="auto"/>
        <w:ind w:firstLine="420" w:firstLineChars="200"/>
        <w:rPr>
          <w:color w:val="auto"/>
          <w:highlight w:val="none"/>
          <w:u w:val="none"/>
          <w:lang w:val="zh-CN"/>
        </w:rPr>
      </w:pPr>
    </w:p>
    <w:p w14:paraId="48FFECCB">
      <w:pPr>
        <w:pStyle w:val="12"/>
        <w:spacing w:line="360" w:lineRule="auto"/>
        <w:rPr>
          <w:rFonts w:hint="eastAsia" w:ascii="宋体" w:hAnsi="宋体" w:eastAsia="宋体"/>
          <w:caps w:val="0"/>
          <w:color w:val="auto"/>
          <w:sz w:val="21"/>
          <w:szCs w:val="21"/>
          <w:highlight w:val="none"/>
          <w:u w:val="none"/>
        </w:rPr>
      </w:pPr>
      <w:r>
        <w:rPr>
          <w:rStyle w:val="20"/>
          <w:rFonts w:ascii="宋体" w:hAnsi="宋体"/>
          <w:color w:val="auto"/>
          <w:highlight w:val="none"/>
          <w:u w:val="none"/>
        </w:rPr>
        <w:fldChar w:fldCharType="begin"/>
      </w:r>
      <w:r>
        <w:rPr>
          <w:rStyle w:val="20"/>
          <w:rFonts w:ascii="宋体" w:hAnsi="宋体"/>
          <w:color w:val="auto"/>
          <w:highlight w:val="none"/>
          <w:u w:val="none"/>
        </w:rPr>
        <w:instrText xml:space="preserve"> TOC \o "1-1" \h \z \u </w:instrText>
      </w:r>
      <w:r>
        <w:rPr>
          <w:rStyle w:val="20"/>
          <w:rFonts w:ascii="宋体" w:hAnsi="宋体"/>
          <w:color w:val="auto"/>
          <w:highlight w:val="none"/>
          <w:u w:val="none"/>
        </w:rPr>
        <w:fldChar w:fldCharType="separate"/>
      </w:r>
      <w:r>
        <w:rPr>
          <w:color w:val="auto"/>
          <w:highlight w:val="none"/>
          <w:u w:val="none"/>
        </w:rPr>
        <w:fldChar w:fldCharType="begin"/>
      </w:r>
      <w:r>
        <w:rPr>
          <w:color w:val="auto"/>
          <w:highlight w:val="none"/>
          <w:u w:val="none"/>
        </w:rPr>
        <w:instrText xml:space="preserve"> HYPERLINK \l "_Toc86268900" </w:instrText>
      </w:r>
      <w:r>
        <w:rPr>
          <w:color w:val="auto"/>
          <w:highlight w:val="none"/>
          <w:u w:val="none"/>
        </w:rPr>
        <w:fldChar w:fldCharType="separate"/>
      </w:r>
      <w:r>
        <w:rPr>
          <w:rFonts w:hint="eastAsia" w:ascii="宋体" w:hAnsi="宋体" w:eastAsia="宋体"/>
          <w:caps w:val="0"/>
          <w:color w:val="auto"/>
          <w:sz w:val="21"/>
          <w:szCs w:val="21"/>
          <w:highlight w:val="none"/>
          <w:u w:val="none"/>
        </w:rPr>
        <w:t>第一章 竞争性磋商采购公告</w:t>
      </w:r>
      <w:r>
        <w:rPr>
          <w:rFonts w:hint="eastAsia" w:ascii="宋体" w:hAnsi="宋体" w:eastAsia="宋体"/>
          <w:caps w:val="0"/>
          <w:color w:val="auto"/>
          <w:sz w:val="21"/>
          <w:szCs w:val="21"/>
          <w:highlight w:val="none"/>
          <w:u w:val="none"/>
        </w:rPr>
        <w:tab/>
      </w:r>
      <w:r>
        <w:rPr>
          <w:rFonts w:hint="eastAsia" w:ascii="宋体" w:hAnsi="宋体" w:eastAsia="宋体"/>
          <w:caps w:val="0"/>
          <w:color w:val="auto"/>
          <w:sz w:val="21"/>
          <w:szCs w:val="21"/>
          <w:highlight w:val="none"/>
          <w:u w:val="none"/>
        </w:rPr>
        <w:fldChar w:fldCharType="begin"/>
      </w:r>
      <w:r>
        <w:rPr>
          <w:rFonts w:hint="eastAsia" w:ascii="宋体" w:hAnsi="宋体" w:eastAsia="宋体"/>
          <w:caps w:val="0"/>
          <w:color w:val="auto"/>
          <w:sz w:val="21"/>
          <w:szCs w:val="21"/>
          <w:highlight w:val="none"/>
          <w:u w:val="none"/>
        </w:rPr>
        <w:instrText xml:space="preserve"> PAGEREF _Toc86268900 \h </w:instrText>
      </w:r>
      <w:r>
        <w:rPr>
          <w:rFonts w:hint="eastAsia" w:ascii="宋体" w:hAnsi="宋体" w:eastAsia="宋体"/>
          <w:caps w:val="0"/>
          <w:color w:val="auto"/>
          <w:sz w:val="21"/>
          <w:szCs w:val="21"/>
          <w:highlight w:val="none"/>
          <w:u w:val="none"/>
        </w:rPr>
        <w:fldChar w:fldCharType="separate"/>
      </w:r>
      <w:r>
        <w:rPr>
          <w:rFonts w:hint="eastAsia" w:ascii="宋体" w:hAnsi="宋体" w:eastAsia="宋体"/>
          <w:caps w:val="0"/>
          <w:color w:val="auto"/>
          <w:sz w:val="21"/>
          <w:szCs w:val="21"/>
          <w:highlight w:val="none"/>
          <w:u w:val="none"/>
        </w:rPr>
        <w:t>3</w:t>
      </w:r>
      <w:r>
        <w:rPr>
          <w:rFonts w:hint="eastAsia" w:ascii="宋体" w:hAnsi="宋体" w:eastAsia="宋体"/>
          <w:caps w:val="0"/>
          <w:color w:val="auto"/>
          <w:sz w:val="21"/>
          <w:szCs w:val="21"/>
          <w:highlight w:val="none"/>
          <w:u w:val="none"/>
        </w:rPr>
        <w:fldChar w:fldCharType="end"/>
      </w:r>
      <w:r>
        <w:rPr>
          <w:rFonts w:hint="eastAsia" w:ascii="宋体" w:hAnsi="宋体" w:eastAsia="宋体"/>
          <w:caps w:val="0"/>
          <w:color w:val="auto"/>
          <w:sz w:val="21"/>
          <w:szCs w:val="21"/>
          <w:highlight w:val="none"/>
          <w:u w:val="none"/>
        </w:rPr>
        <w:fldChar w:fldCharType="end"/>
      </w:r>
    </w:p>
    <w:p w14:paraId="1D2C113F">
      <w:pPr>
        <w:pStyle w:val="12"/>
        <w:spacing w:line="360" w:lineRule="auto"/>
        <w:rPr>
          <w:rFonts w:hint="eastAsia" w:ascii="宋体" w:hAnsi="宋体" w:eastAsia="宋体"/>
          <w:caps w:val="0"/>
          <w:color w:val="auto"/>
          <w:sz w:val="21"/>
          <w:szCs w:val="21"/>
          <w:highlight w:val="none"/>
          <w:u w:val="none"/>
        </w:rPr>
      </w:pPr>
      <w:r>
        <w:rPr>
          <w:color w:val="auto"/>
          <w:highlight w:val="none"/>
          <w:u w:val="none"/>
        </w:rPr>
        <w:fldChar w:fldCharType="begin"/>
      </w:r>
      <w:r>
        <w:rPr>
          <w:color w:val="auto"/>
          <w:highlight w:val="none"/>
          <w:u w:val="none"/>
        </w:rPr>
        <w:instrText xml:space="preserve"> HYPERLINK \l "_Toc86268900" </w:instrText>
      </w:r>
      <w:r>
        <w:rPr>
          <w:color w:val="auto"/>
          <w:highlight w:val="none"/>
          <w:u w:val="none"/>
        </w:rPr>
        <w:fldChar w:fldCharType="separate"/>
      </w:r>
      <w:r>
        <w:rPr>
          <w:rFonts w:hint="eastAsia" w:ascii="宋体" w:hAnsi="宋体" w:eastAsia="宋体"/>
          <w:caps w:val="0"/>
          <w:color w:val="auto"/>
          <w:sz w:val="21"/>
          <w:szCs w:val="21"/>
          <w:highlight w:val="none"/>
          <w:u w:val="none"/>
        </w:rPr>
        <w:t>第二章 参加磋商供应商须知</w:t>
      </w:r>
      <w:r>
        <w:rPr>
          <w:rFonts w:hint="eastAsia" w:ascii="宋体" w:hAnsi="宋体" w:eastAsia="宋体"/>
          <w:caps w:val="0"/>
          <w:color w:val="auto"/>
          <w:sz w:val="21"/>
          <w:szCs w:val="21"/>
          <w:highlight w:val="none"/>
          <w:u w:val="none"/>
        </w:rPr>
        <w:tab/>
      </w:r>
      <w:r>
        <w:rPr>
          <w:rFonts w:hint="eastAsia" w:ascii="宋体" w:hAnsi="宋体" w:eastAsia="宋体"/>
          <w:caps w:val="0"/>
          <w:color w:val="auto"/>
          <w:sz w:val="21"/>
          <w:szCs w:val="21"/>
          <w:highlight w:val="none"/>
          <w:u w:val="none"/>
          <w:lang w:val="en-US" w:eastAsia="zh-CN"/>
        </w:rPr>
        <w:t>8</w:t>
      </w:r>
      <w:r>
        <w:rPr>
          <w:rFonts w:hint="eastAsia" w:ascii="宋体" w:hAnsi="宋体" w:eastAsia="宋体"/>
          <w:caps w:val="0"/>
          <w:color w:val="auto"/>
          <w:sz w:val="21"/>
          <w:szCs w:val="21"/>
          <w:highlight w:val="none"/>
          <w:u w:val="none"/>
        </w:rPr>
        <w:fldChar w:fldCharType="end"/>
      </w:r>
    </w:p>
    <w:p w14:paraId="3E9E6E23">
      <w:pPr>
        <w:pStyle w:val="12"/>
        <w:spacing w:line="360" w:lineRule="auto"/>
        <w:rPr>
          <w:rFonts w:hint="eastAsia" w:ascii="宋体" w:hAnsi="宋体" w:eastAsia="宋体"/>
          <w:caps w:val="0"/>
          <w:color w:val="auto"/>
          <w:sz w:val="21"/>
          <w:szCs w:val="21"/>
          <w:highlight w:val="none"/>
          <w:u w:val="none"/>
          <w:lang w:eastAsia="zh-CN"/>
        </w:rPr>
      </w:pPr>
      <w:r>
        <w:rPr>
          <w:color w:val="auto"/>
          <w:highlight w:val="none"/>
          <w:u w:val="none"/>
        </w:rPr>
        <w:fldChar w:fldCharType="begin"/>
      </w:r>
      <w:r>
        <w:rPr>
          <w:color w:val="auto"/>
          <w:highlight w:val="none"/>
          <w:u w:val="none"/>
        </w:rPr>
        <w:instrText xml:space="preserve"> HYPERLINK \l "_Toc86268901" </w:instrText>
      </w:r>
      <w:r>
        <w:rPr>
          <w:color w:val="auto"/>
          <w:highlight w:val="none"/>
          <w:u w:val="none"/>
        </w:rPr>
        <w:fldChar w:fldCharType="separate"/>
      </w:r>
      <w:r>
        <w:rPr>
          <w:rFonts w:hint="eastAsia" w:ascii="宋体" w:hAnsi="宋体" w:eastAsia="宋体"/>
          <w:caps w:val="0"/>
          <w:color w:val="auto"/>
          <w:sz w:val="21"/>
          <w:szCs w:val="21"/>
          <w:highlight w:val="none"/>
          <w:u w:val="none"/>
        </w:rPr>
        <w:t>第三章 合同条款及格式</w:t>
      </w:r>
      <w:r>
        <w:rPr>
          <w:rFonts w:hint="eastAsia" w:ascii="宋体" w:hAnsi="宋体" w:eastAsia="宋体"/>
          <w:caps w:val="0"/>
          <w:color w:val="auto"/>
          <w:sz w:val="21"/>
          <w:szCs w:val="21"/>
          <w:highlight w:val="none"/>
          <w:u w:val="none"/>
        </w:rPr>
        <w:tab/>
      </w:r>
      <w:r>
        <w:rPr>
          <w:rFonts w:hint="eastAsia" w:ascii="宋体" w:hAnsi="宋体" w:eastAsia="宋体"/>
          <w:caps w:val="0"/>
          <w:color w:val="auto"/>
          <w:sz w:val="21"/>
          <w:szCs w:val="21"/>
          <w:highlight w:val="none"/>
          <w:u w:val="none"/>
        </w:rPr>
        <w:t>2</w:t>
      </w:r>
      <w:r>
        <w:rPr>
          <w:rFonts w:hint="eastAsia" w:ascii="宋体" w:hAnsi="宋体" w:eastAsia="宋体"/>
          <w:caps w:val="0"/>
          <w:color w:val="auto"/>
          <w:sz w:val="21"/>
          <w:szCs w:val="21"/>
          <w:highlight w:val="none"/>
          <w:u w:val="none"/>
        </w:rPr>
        <w:fldChar w:fldCharType="end"/>
      </w:r>
      <w:r>
        <w:rPr>
          <w:rFonts w:hint="eastAsia" w:ascii="宋体" w:hAnsi="宋体" w:eastAsia="宋体"/>
          <w:caps w:val="0"/>
          <w:color w:val="auto"/>
          <w:sz w:val="21"/>
          <w:szCs w:val="21"/>
          <w:highlight w:val="none"/>
          <w:u w:val="none"/>
          <w:lang w:val="en-US" w:eastAsia="zh-CN"/>
        </w:rPr>
        <w:t>3</w:t>
      </w:r>
    </w:p>
    <w:p w14:paraId="5EF3FCCB">
      <w:pPr>
        <w:pStyle w:val="12"/>
        <w:spacing w:line="360" w:lineRule="auto"/>
        <w:rPr>
          <w:rFonts w:hint="eastAsia" w:ascii="宋体" w:hAnsi="宋体" w:eastAsia="宋体"/>
          <w:caps w:val="0"/>
          <w:color w:val="auto"/>
          <w:sz w:val="21"/>
          <w:szCs w:val="21"/>
          <w:highlight w:val="none"/>
          <w:u w:val="none"/>
          <w:lang w:eastAsia="zh-CN"/>
        </w:rPr>
      </w:pPr>
      <w:r>
        <w:rPr>
          <w:color w:val="auto"/>
          <w:highlight w:val="none"/>
          <w:u w:val="none"/>
        </w:rPr>
        <w:fldChar w:fldCharType="begin"/>
      </w:r>
      <w:r>
        <w:rPr>
          <w:color w:val="auto"/>
          <w:highlight w:val="none"/>
          <w:u w:val="none"/>
        </w:rPr>
        <w:instrText xml:space="preserve"> HYPERLINK \l "_Toc86268902" </w:instrText>
      </w:r>
      <w:r>
        <w:rPr>
          <w:color w:val="auto"/>
          <w:highlight w:val="none"/>
          <w:u w:val="none"/>
        </w:rPr>
        <w:fldChar w:fldCharType="separate"/>
      </w:r>
      <w:r>
        <w:rPr>
          <w:rFonts w:hint="eastAsia" w:ascii="宋体" w:hAnsi="宋体" w:eastAsia="宋体"/>
          <w:caps w:val="0"/>
          <w:color w:val="auto"/>
          <w:sz w:val="21"/>
          <w:szCs w:val="21"/>
          <w:highlight w:val="none"/>
          <w:u w:val="none"/>
        </w:rPr>
        <w:t>第四章 项目需求</w:t>
      </w:r>
      <w:r>
        <w:rPr>
          <w:rFonts w:hint="eastAsia" w:ascii="宋体" w:hAnsi="宋体" w:eastAsia="宋体"/>
          <w:caps w:val="0"/>
          <w:color w:val="auto"/>
          <w:sz w:val="21"/>
          <w:szCs w:val="21"/>
          <w:highlight w:val="none"/>
          <w:u w:val="none"/>
        </w:rPr>
        <w:tab/>
      </w:r>
      <w:r>
        <w:rPr>
          <w:rFonts w:hint="eastAsia" w:ascii="宋体" w:hAnsi="宋体" w:eastAsia="宋体"/>
          <w:caps w:val="0"/>
          <w:color w:val="auto"/>
          <w:sz w:val="21"/>
          <w:szCs w:val="21"/>
          <w:highlight w:val="none"/>
          <w:u w:val="none"/>
        </w:rPr>
        <w:fldChar w:fldCharType="begin"/>
      </w:r>
      <w:r>
        <w:rPr>
          <w:rFonts w:hint="eastAsia" w:ascii="宋体" w:hAnsi="宋体" w:eastAsia="宋体"/>
          <w:caps w:val="0"/>
          <w:color w:val="auto"/>
          <w:sz w:val="21"/>
          <w:szCs w:val="21"/>
          <w:highlight w:val="none"/>
          <w:u w:val="none"/>
        </w:rPr>
        <w:instrText xml:space="preserve"> PAGEREF _Toc86268902 \h </w:instrText>
      </w:r>
      <w:r>
        <w:rPr>
          <w:rFonts w:hint="eastAsia" w:ascii="宋体" w:hAnsi="宋体" w:eastAsia="宋体"/>
          <w:caps w:val="0"/>
          <w:color w:val="auto"/>
          <w:sz w:val="21"/>
          <w:szCs w:val="21"/>
          <w:highlight w:val="none"/>
          <w:u w:val="none"/>
        </w:rPr>
        <w:fldChar w:fldCharType="separate"/>
      </w:r>
      <w:r>
        <w:rPr>
          <w:rFonts w:hint="eastAsia" w:ascii="宋体" w:hAnsi="宋体" w:eastAsia="宋体"/>
          <w:caps w:val="0"/>
          <w:color w:val="auto"/>
          <w:sz w:val="21"/>
          <w:szCs w:val="21"/>
          <w:highlight w:val="none"/>
          <w:u w:val="none"/>
        </w:rPr>
        <w:t>2</w:t>
      </w:r>
      <w:r>
        <w:rPr>
          <w:rFonts w:hint="eastAsia" w:ascii="宋体" w:hAnsi="宋体" w:eastAsia="宋体"/>
          <w:caps w:val="0"/>
          <w:color w:val="auto"/>
          <w:sz w:val="21"/>
          <w:szCs w:val="21"/>
          <w:highlight w:val="none"/>
          <w:u w:val="none"/>
        </w:rPr>
        <w:fldChar w:fldCharType="end"/>
      </w:r>
      <w:r>
        <w:rPr>
          <w:rFonts w:hint="eastAsia" w:ascii="宋体" w:hAnsi="宋体" w:eastAsia="宋体"/>
          <w:caps w:val="0"/>
          <w:color w:val="auto"/>
          <w:sz w:val="21"/>
          <w:szCs w:val="21"/>
          <w:highlight w:val="none"/>
          <w:u w:val="none"/>
        </w:rPr>
        <w:fldChar w:fldCharType="end"/>
      </w:r>
      <w:r>
        <w:rPr>
          <w:rFonts w:hint="eastAsia" w:ascii="宋体" w:hAnsi="宋体" w:eastAsia="宋体"/>
          <w:caps w:val="0"/>
          <w:color w:val="auto"/>
          <w:sz w:val="21"/>
          <w:szCs w:val="21"/>
          <w:highlight w:val="none"/>
          <w:u w:val="none"/>
          <w:lang w:val="en-US" w:eastAsia="zh-CN"/>
        </w:rPr>
        <w:t>7</w:t>
      </w:r>
    </w:p>
    <w:p w14:paraId="5135EDE8">
      <w:pPr>
        <w:pStyle w:val="12"/>
        <w:spacing w:line="360" w:lineRule="auto"/>
        <w:rPr>
          <w:rFonts w:hint="default" w:ascii="宋体" w:hAnsi="宋体" w:eastAsia="宋体"/>
          <w:caps w:val="0"/>
          <w:color w:val="auto"/>
          <w:sz w:val="21"/>
          <w:szCs w:val="21"/>
          <w:highlight w:val="none"/>
          <w:u w:val="none"/>
          <w:lang w:val="en-US" w:eastAsia="zh-CN"/>
        </w:rPr>
      </w:pPr>
      <w:r>
        <w:rPr>
          <w:color w:val="auto"/>
          <w:highlight w:val="none"/>
          <w:u w:val="none"/>
        </w:rPr>
        <w:fldChar w:fldCharType="begin"/>
      </w:r>
      <w:r>
        <w:rPr>
          <w:color w:val="auto"/>
          <w:highlight w:val="none"/>
          <w:u w:val="none"/>
        </w:rPr>
        <w:instrText xml:space="preserve"> HYPERLINK \l "_Toc86268903" </w:instrText>
      </w:r>
      <w:r>
        <w:rPr>
          <w:color w:val="auto"/>
          <w:highlight w:val="none"/>
          <w:u w:val="none"/>
        </w:rPr>
        <w:fldChar w:fldCharType="separate"/>
      </w:r>
      <w:r>
        <w:rPr>
          <w:rFonts w:hint="eastAsia" w:ascii="宋体" w:hAnsi="宋体" w:eastAsia="宋体"/>
          <w:caps w:val="0"/>
          <w:color w:val="auto"/>
          <w:sz w:val="21"/>
          <w:szCs w:val="21"/>
          <w:highlight w:val="none"/>
          <w:u w:val="none"/>
        </w:rPr>
        <w:t>第五章 评审方法和评审标准</w:t>
      </w:r>
      <w:r>
        <w:rPr>
          <w:rFonts w:hint="eastAsia" w:ascii="宋体" w:hAnsi="宋体" w:eastAsia="宋体"/>
          <w:caps w:val="0"/>
          <w:color w:val="auto"/>
          <w:sz w:val="21"/>
          <w:szCs w:val="21"/>
          <w:highlight w:val="none"/>
          <w:u w:val="none"/>
        </w:rPr>
        <w:tab/>
      </w:r>
      <w:r>
        <w:rPr>
          <w:rFonts w:hint="eastAsia" w:ascii="宋体" w:hAnsi="宋体" w:eastAsia="宋体"/>
          <w:caps w:val="0"/>
          <w:color w:val="auto"/>
          <w:sz w:val="21"/>
          <w:szCs w:val="21"/>
          <w:highlight w:val="none"/>
          <w:u w:val="none"/>
        </w:rPr>
        <w:fldChar w:fldCharType="end"/>
      </w:r>
      <w:r>
        <w:rPr>
          <w:rFonts w:hint="eastAsia" w:ascii="宋体" w:hAnsi="宋体" w:eastAsia="宋体"/>
          <w:caps w:val="0"/>
          <w:color w:val="auto"/>
          <w:sz w:val="21"/>
          <w:szCs w:val="21"/>
          <w:highlight w:val="none"/>
          <w:u w:val="none"/>
          <w:lang w:val="en-US" w:eastAsia="zh-CN"/>
        </w:rPr>
        <w:t>32</w:t>
      </w:r>
    </w:p>
    <w:p w14:paraId="1CF4C848">
      <w:pPr>
        <w:pStyle w:val="12"/>
        <w:spacing w:line="360" w:lineRule="auto"/>
        <w:rPr>
          <w:rStyle w:val="20"/>
          <w:rFonts w:hint="eastAsia" w:ascii="宋体" w:hAnsi="宋体" w:eastAsia="宋体"/>
          <w:color w:val="auto"/>
          <w:highlight w:val="none"/>
          <w:u w:val="none"/>
          <w:lang w:eastAsia="zh-CN"/>
        </w:rPr>
      </w:pPr>
      <w:r>
        <w:rPr>
          <w:color w:val="auto"/>
          <w:highlight w:val="none"/>
          <w:u w:val="none"/>
        </w:rPr>
        <w:fldChar w:fldCharType="begin"/>
      </w:r>
      <w:r>
        <w:rPr>
          <w:color w:val="auto"/>
          <w:highlight w:val="none"/>
          <w:u w:val="none"/>
        </w:rPr>
        <w:instrText xml:space="preserve"> HYPERLINK \l "_Toc86268903" </w:instrText>
      </w:r>
      <w:r>
        <w:rPr>
          <w:color w:val="auto"/>
          <w:highlight w:val="none"/>
          <w:u w:val="none"/>
        </w:rPr>
        <w:fldChar w:fldCharType="separate"/>
      </w:r>
      <w:r>
        <w:rPr>
          <w:rFonts w:hint="eastAsia" w:ascii="宋体" w:hAnsi="宋体" w:eastAsia="宋体"/>
          <w:caps w:val="0"/>
          <w:color w:val="auto"/>
          <w:sz w:val="21"/>
          <w:szCs w:val="21"/>
          <w:highlight w:val="none"/>
          <w:u w:val="none"/>
        </w:rPr>
        <w:t>第六章 响应文件的组成和格式</w:t>
      </w:r>
      <w:r>
        <w:rPr>
          <w:rFonts w:hint="eastAsia" w:ascii="宋体" w:hAnsi="宋体" w:eastAsia="宋体"/>
          <w:caps w:val="0"/>
          <w:color w:val="auto"/>
          <w:sz w:val="21"/>
          <w:szCs w:val="21"/>
          <w:highlight w:val="none"/>
          <w:u w:val="none"/>
        </w:rPr>
        <w:tab/>
      </w:r>
      <w:r>
        <w:rPr>
          <w:rFonts w:hint="eastAsia" w:ascii="宋体" w:hAnsi="宋体" w:eastAsia="宋体"/>
          <w:caps w:val="0"/>
          <w:color w:val="auto"/>
          <w:sz w:val="21"/>
          <w:szCs w:val="21"/>
          <w:highlight w:val="none"/>
          <w:u w:val="none"/>
        </w:rPr>
        <w:t>3</w:t>
      </w:r>
      <w:r>
        <w:rPr>
          <w:rFonts w:hint="eastAsia" w:ascii="宋体" w:hAnsi="宋体" w:eastAsia="宋体"/>
          <w:caps w:val="0"/>
          <w:color w:val="auto"/>
          <w:sz w:val="21"/>
          <w:szCs w:val="21"/>
          <w:highlight w:val="none"/>
          <w:u w:val="none"/>
        </w:rPr>
        <w:fldChar w:fldCharType="end"/>
      </w:r>
      <w:r>
        <w:rPr>
          <w:rFonts w:hint="eastAsia" w:ascii="宋体" w:hAnsi="宋体" w:eastAsia="宋体"/>
          <w:caps w:val="0"/>
          <w:color w:val="auto"/>
          <w:sz w:val="21"/>
          <w:szCs w:val="21"/>
          <w:highlight w:val="none"/>
          <w:u w:val="none"/>
          <w:lang w:val="en-US" w:eastAsia="zh-CN"/>
        </w:rPr>
        <w:t>9</w:t>
      </w:r>
    </w:p>
    <w:p w14:paraId="75B43451">
      <w:pPr>
        <w:pStyle w:val="12"/>
        <w:spacing w:line="360" w:lineRule="auto"/>
        <w:rPr>
          <w:rStyle w:val="20"/>
          <w:rFonts w:hint="eastAsia" w:ascii="宋体" w:hAnsi="宋体"/>
          <w:color w:val="auto"/>
          <w:highlight w:val="none"/>
          <w:u w:val="none"/>
        </w:rPr>
      </w:pPr>
      <w:r>
        <w:rPr>
          <w:rStyle w:val="20"/>
          <w:rFonts w:ascii="宋体" w:hAnsi="宋体"/>
          <w:color w:val="auto"/>
          <w:highlight w:val="none"/>
          <w:u w:val="none"/>
        </w:rPr>
        <w:fldChar w:fldCharType="end"/>
      </w:r>
    </w:p>
    <w:p w14:paraId="1D47F02E">
      <w:pPr>
        <w:pStyle w:val="12"/>
        <w:spacing w:line="360" w:lineRule="auto"/>
        <w:rPr>
          <w:rStyle w:val="20"/>
          <w:rFonts w:hint="eastAsia" w:ascii="宋体" w:hAnsi="宋体"/>
          <w:color w:val="auto"/>
          <w:highlight w:val="none"/>
          <w:u w:val="none"/>
        </w:rPr>
      </w:pPr>
    </w:p>
    <w:p w14:paraId="6BD5C5C9">
      <w:pPr>
        <w:pStyle w:val="12"/>
        <w:spacing w:line="360" w:lineRule="auto"/>
        <w:rPr>
          <w:rStyle w:val="20"/>
          <w:rFonts w:hint="eastAsia" w:ascii="宋体" w:hAnsi="宋体"/>
          <w:color w:val="auto"/>
          <w:highlight w:val="none"/>
          <w:u w:val="none"/>
        </w:rPr>
      </w:pPr>
    </w:p>
    <w:p w14:paraId="0311AF40">
      <w:pPr>
        <w:pStyle w:val="21"/>
        <w:adjustRightInd/>
        <w:ind w:firstLine="360"/>
        <w:jc w:val="center"/>
        <w:rPr>
          <w:rStyle w:val="20"/>
          <w:rFonts w:hint="eastAsia" w:ascii="宋体" w:hAnsi="宋体"/>
          <w:caps/>
          <w:color w:val="auto"/>
          <w:kern w:val="2"/>
          <w:sz w:val="18"/>
          <w:szCs w:val="28"/>
          <w:highlight w:val="none"/>
          <w:u w:val="none"/>
        </w:rPr>
        <w:sectPr>
          <w:pgSz w:w="11906" w:h="16838"/>
          <w:pgMar w:top="1701" w:right="1134" w:bottom="1134" w:left="1134" w:header="851" w:footer="992" w:gutter="0"/>
          <w:pgBorders>
            <w:top w:val="none" w:sz="0" w:space="0"/>
            <w:left w:val="none" w:sz="0" w:space="0"/>
            <w:bottom w:val="none" w:sz="0" w:space="0"/>
            <w:right w:val="none" w:sz="0" w:space="0"/>
          </w:pgBorders>
          <w:cols w:space="720" w:num="1"/>
          <w:docGrid w:type="lines" w:linePitch="312" w:charSpace="0"/>
        </w:sectPr>
      </w:pPr>
    </w:p>
    <w:p w14:paraId="587CEE35">
      <w:pPr>
        <w:pStyle w:val="3"/>
        <w:spacing w:line="360" w:lineRule="auto"/>
        <w:ind w:firstLine="422" w:firstLineChars="200"/>
        <w:jc w:val="center"/>
        <w:rPr>
          <w:rFonts w:hint="eastAsia" w:ascii="宋体" w:hAnsi="宋体" w:eastAsia="宋体"/>
          <w:b/>
          <w:color w:val="auto"/>
          <w:sz w:val="21"/>
          <w:szCs w:val="21"/>
          <w:highlight w:val="none"/>
          <w:u w:val="none"/>
        </w:rPr>
      </w:pPr>
      <w:bookmarkStart w:id="0" w:name="_Toc86268900"/>
      <w:r>
        <w:rPr>
          <w:rFonts w:hint="eastAsia" w:ascii="宋体" w:hAnsi="宋体" w:eastAsia="宋体"/>
          <w:b/>
          <w:color w:val="auto"/>
          <w:sz w:val="21"/>
          <w:szCs w:val="21"/>
          <w:highlight w:val="none"/>
          <w:u w:val="none"/>
        </w:rPr>
        <w:t>第一章 竞争性磋商采购公告</w:t>
      </w:r>
      <w:bookmarkEnd w:id="0"/>
    </w:p>
    <w:p w14:paraId="4BCB5DCB">
      <w:pPr>
        <w:widowControl/>
        <w:spacing w:line="360" w:lineRule="auto"/>
        <w:jc w:val="left"/>
        <w:rPr>
          <w:rFonts w:hint="eastAsia" w:ascii="宋体" w:hAnsi="宋体" w:cs="仿宋_GB2312"/>
          <w:color w:val="auto"/>
          <w:szCs w:val="21"/>
          <w:highlight w:val="none"/>
          <w:u w:val="none"/>
        </w:rPr>
      </w:pPr>
      <w:bookmarkStart w:id="1" w:name="_Toc28359089"/>
      <w:bookmarkStart w:id="2" w:name="_Toc28359012"/>
      <w:bookmarkStart w:id="3" w:name="_Toc35393629"/>
      <w:bookmarkStart w:id="4" w:name="_Toc35393798"/>
      <w:bookmarkStart w:id="5" w:name="_Toc61149549"/>
      <w:bookmarkStart w:id="6" w:name="_Toc513029209"/>
      <w:bookmarkStart w:id="7" w:name="_Toc14577347"/>
      <w:r>
        <w:rPr>
          <w:rFonts w:hint="eastAsia" w:ascii="宋体" w:hAnsi="宋体" w:cs="仿宋_GB2312"/>
          <w:b/>
          <w:bCs/>
          <w:color w:val="auto"/>
          <w:szCs w:val="21"/>
          <w:highlight w:val="none"/>
          <w:u w:val="none"/>
        </w:rPr>
        <w:t>项目概况</w:t>
      </w:r>
    </w:p>
    <w:p w14:paraId="53DA0CDC">
      <w:pPr>
        <w:spacing w:line="360" w:lineRule="auto"/>
        <w:ind w:firstLine="420" w:firstLineChars="200"/>
        <w:rPr>
          <w:rFonts w:hint="eastAsia" w:ascii="宋体" w:hAnsi="宋体" w:cs="仿宋_GB2312"/>
          <w:color w:val="auto"/>
          <w:szCs w:val="21"/>
          <w:highlight w:val="none"/>
          <w:u w:val="none"/>
        </w:rPr>
      </w:pPr>
      <w:r>
        <w:rPr>
          <w:rFonts w:hint="eastAsia" w:ascii="宋体" w:hAnsi="宋体" w:cs="仿宋_GB2312"/>
          <w:color w:val="auto"/>
          <w:szCs w:val="21"/>
          <w:highlight w:val="none"/>
          <w:u w:val="none"/>
          <w:lang w:eastAsia="zh-CN"/>
        </w:rPr>
        <w:t>2026年泰州医药高新区（高港区）市场监督管理局食品安全快检服务</w:t>
      </w:r>
      <w:r>
        <w:rPr>
          <w:rFonts w:hint="eastAsia" w:ascii="宋体" w:hAnsi="宋体" w:cs="仿宋_GB2312"/>
          <w:color w:val="auto"/>
          <w:szCs w:val="21"/>
          <w:highlight w:val="none"/>
          <w:u w:val="none"/>
        </w:rPr>
        <w:t>的潜在供应商应在</w:t>
      </w:r>
      <w:r>
        <w:rPr>
          <w:rFonts w:hint="eastAsia" w:ascii="宋体" w:hAnsi="宋体" w:cs="仿宋_GB2312"/>
          <w:b/>
          <w:bCs/>
          <w:color w:val="auto"/>
          <w:szCs w:val="21"/>
          <w:highlight w:val="none"/>
          <w:u w:val="none"/>
        </w:rPr>
        <w:t>江苏政府采购网</w:t>
      </w:r>
      <w:r>
        <w:rPr>
          <w:rFonts w:hint="eastAsia" w:ascii="宋体" w:hAnsi="宋体" w:cs="仿宋_GB2312"/>
          <w:color w:val="auto"/>
          <w:szCs w:val="21"/>
          <w:highlight w:val="none"/>
          <w:u w:val="none"/>
        </w:rPr>
        <w:t>获取采购文件，并于</w:t>
      </w:r>
      <w:r>
        <w:rPr>
          <w:rFonts w:hint="eastAsia" w:ascii="宋体" w:hAnsi="宋体" w:cs="仿宋_GB2312"/>
          <w:color w:val="auto"/>
          <w:szCs w:val="21"/>
          <w:highlight w:val="none"/>
          <w:u w:val="none"/>
          <w:lang w:eastAsia="zh-CN"/>
        </w:rPr>
        <w:t>2026年</w:t>
      </w:r>
      <w:r>
        <w:rPr>
          <w:rFonts w:hint="eastAsia" w:ascii="宋体" w:hAnsi="宋体" w:cs="宋体"/>
          <w:color w:val="auto"/>
          <w:szCs w:val="21"/>
          <w:highlight w:val="none"/>
          <w:u w:val="none"/>
          <w:lang w:val="en-US" w:eastAsia="zh-CN"/>
        </w:rPr>
        <w:t>8</w:t>
      </w:r>
      <w:r>
        <w:rPr>
          <w:rFonts w:hint="eastAsia" w:ascii="宋体" w:hAnsi="宋体" w:cs="宋体"/>
          <w:color w:val="auto"/>
          <w:szCs w:val="21"/>
          <w:highlight w:val="none"/>
          <w:u w:val="none"/>
          <w:lang w:eastAsia="zh-CN"/>
        </w:rPr>
        <w:t>月</w:t>
      </w:r>
      <w:r>
        <w:rPr>
          <w:rFonts w:hint="eastAsia" w:ascii="宋体" w:hAnsi="宋体" w:cs="宋体"/>
          <w:color w:val="auto"/>
          <w:szCs w:val="21"/>
          <w:highlight w:val="none"/>
          <w:u w:val="none"/>
          <w:lang w:val="en-US" w:eastAsia="zh-CN"/>
        </w:rPr>
        <w:t>25</w:t>
      </w:r>
      <w:r>
        <w:rPr>
          <w:rFonts w:hint="eastAsia" w:ascii="宋体" w:hAnsi="宋体" w:cs="宋体"/>
          <w:color w:val="auto"/>
          <w:szCs w:val="21"/>
          <w:highlight w:val="none"/>
          <w:u w:val="none"/>
          <w:lang w:eastAsia="zh-CN"/>
        </w:rPr>
        <w:t>日9点00分</w:t>
      </w:r>
      <w:r>
        <w:rPr>
          <w:rFonts w:hint="eastAsia" w:ascii="宋体" w:hAnsi="宋体" w:cs="仿宋_GB2312"/>
          <w:color w:val="auto"/>
          <w:szCs w:val="21"/>
          <w:highlight w:val="none"/>
          <w:u w:val="none"/>
        </w:rPr>
        <w:t>（北京时间）前提交响应文件。</w:t>
      </w:r>
    </w:p>
    <w:p w14:paraId="6F2C4523">
      <w:pPr>
        <w:spacing w:line="360" w:lineRule="auto"/>
        <w:rPr>
          <w:rFonts w:hint="eastAsia" w:ascii="宋体" w:hAnsi="宋体" w:cs="宋体"/>
          <w:b/>
          <w:bCs/>
          <w:color w:val="auto"/>
          <w:szCs w:val="21"/>
          <w:highlight w:val="none"/>
          <w:u w:val="none"/>
        </w:rPr>
      </w:pPr>
      <w:r>
        <w:rPr>
          <w:rFonts w:hint="eastAsia" w:ascii="宋体" w:hAnsi="宋体" w:cs="宋体"/>
          <w:b/>
          <w:bCs/>
          <w:color w:val="auto"/>
          <w:szCs w:val="21"/>
          <w:highlight w:val="none"/>
          <w:u w:val="none"/>
        </w:rPr>
        <w:t>一、项目基本情况</w:t>
      </w:r>
      <w:bookmarkEnd w:id="1"/>
      <w:bookmarkEnd w:id="2"/>
      <w:bookmarkEnd w:id="3"/>
      <w:bookmarkEnd w:id="4"/>
    </w:p>
    <w:p w14:paraId="10653B2A">
      <w:pPr>
        <w:autoSpaceDE w:val="0"/>
        <w:autoSpaceDN w:val="0"/>
        <w:spacing w:line="360" w:lineRule="auto"/>
        <w:ind w:firstLine="422" w:firstLineChars="200"/>
        <w:rPr>
          <w:rFonts w:hint="eastAsia" w:ascii="宋体" w:hAnsi="宋体" w:eastAsia="宋体" w:cs="宋体"/>
          <w:color w:val="auto"/>
          <w:szCs w:val="21"/>
          <w:highlight w:val="none"/>
          <w:u w:val="none"/>
          <w:lang w:eastAsia="zh-CN"/>
        </w:rPr>
      </w:pPr>
      <w:bookmarkStart w:id="8" w:name="_Toc28359090"/>
      <w:bookmarkStart w:id="9" w:name="_Toc35393799"/>
      <w:bookmarkStart w:id="10" w:name="_Toc28359013"/>
      <w:bookmarkStart w:id="11" w:name="_Toc35393630"/>
      <w:r>
        <w:rPr>
          <w:rFonts w:hint="eastAsia" w:ascii="宋体" w:hAnsi="宋体" w:cs="宋体"/>
          <w:b/>
          <w:bCs/>
          <w:color w:val="auto"/>
          <w:szCs w:val="21"/>
          <w:highlight w:val="none"/>
          <w:u w:val="none"/>
        </w:rPr>
        <w:t>项目编号：</w:t>
      </w:r>
      <w:r>
        <w:rPr>
          <w:rFonts w:hint="eastAsia" w:ascii="宋体" w:hAnsi="宋体" w:cs="宋体"/>
          <w:color w:val="auto"/>
          <w:szCs w:val="21"/>
          <w:highlight w:val="none"/>
          <w:u w:val="none"/>
          <w:lang w:eastAsia="zh-CN"/>
        </w:rPr>
        <w:t>JSZC-321203-HQGC-C2026-0029</w:t>
      </w:r>
    </w:p>
    <w:p w14:paraId="169B8005">
      <w:pPr>
        <w:autoSpaceDE w:val="0"/>
        <w:autoSpaceDN w:val="0"/>
        <w:spacing w:line="360" w:lineRule="auto"/>
        <w:ind w:firstLine="422" w:firstLineChars="200"/>
        <w:rPr>
          <w:rFonts w:hint="eastAsia" w:ascii="宋体" w:hAnsi="宋体" w:eastAsia="宋体" w:cs="宋体"/>
          <w:color w:val="auto"/>
          <w:szCs w:val="21"/>
          <w:highlight w:val="none"/>
          <w:u w:val="none"/>
          <w:lang w:eastAsia="zh-CN"/>
        </w:rPr>
      </w:pPr>
      <w:r>
        <w:rPr>
          <w:rFonts w:hint="eastAsia" w:ascii="宋体" w:hAnsi="宋体" w:cs="宋体"/>
          <w:b/>
          <w:bCs/>
          <w:color w:val="auto"/>
          <w:szCs w:val="21"/>
          <w:highlight w:val="none"/>
          <w:u w:val="none"/>
        </w:rPr>
        <w:t>项目名称：</w:t>
      </w:r>
      <w:r>
        <w:rPr>
          <w:rFonts w:hint="eastAsia" w:ascii="宋体" w:hAnsi="宋体" w:cs="宋体"/>
          <w:color w:val="auto"/>
          <w:szCs w:val="21"/>
          <w:highlight w:val="none"/>
          <w:u w:val="none"/>
          <w:lang w:eastAsia="zh-CN"/>
        </w:rPr>
        <w:t>2026年泰州医药高新区（高港区）市场监督管理局食品安全快检服务</w:t>
      </w:r>
    </w:p>
    <w:p w14:paraId="668AF769">
      <w:pPr>
        <w:autoSpaceDE w:val="0"/>
        <w:autoSpaceDN w:val="0"/>
        <w:spacing w:line="360" w:lineRule="auto"/>
        <w:ind w:firstLine="422" w:firstLineChars="200"/>
        <w:rPr>
          <w:rFonts w:hint="eastAsia" w:ascii="宋体" w:hAnsi="宋体" w:cs="宋体"/>
          <w:color w:val="auto"/>
          <w:szCs w:val="21"/>
          <w:highlight w:val="none"/>
          <w:u w:val="none"/>
        </w:rPr>
      </w:pPr>
      <w:r>
        <w:rPr>
          <w:rFonts w:hint="eastAsia" w:ascii="宋体" w:hAnsi="宋体" w:cs="宋体"/>
          <w:b/>
          <w:bCs/>
          <w:color w:val="auto"/>
          <w:szCs w:val="21"/>
          <w:highlight w:val="none"/>
          <w:u w:val="none"/>
        </w:rPr>
        <w:t>采购方式：</w:t>
      </w:r>
      <w:r>
        <w:rPr>
          <w:rFonts w:hint="eastAsia" w:ascii="宋体" w:hAnsi="宋体" w:cs="宋体"/>
          <w:color w:val="auto"/>
          <w:szCs w:val="21"/>
          <w:highlight w:val="none"/>
          <w:u w:val="none"/>
        </w:rPr>
        <w:t xml:space="preserve">竞争性磋商 </w:t>
      </w:r>
    </w:p>
    <w:p w14:paraId="7C426ECD">
      <w:pPr>
        <w:autoSpaceDE w:val="0"/>
        <w:autoSpaceDN w:val="0"/>
        <w:spacing w:line="360" w:lineRule="auto"/>
        <w:ind w:firstLine="422" w:firstLineChars="200"/>
        <w:rPr>
          <w:rFonts w:hint="eastAsia" w:ascii="宋体" w:hAnsi="宋体" w:cs="宋体"/>
          <w:color w:val="auto"/>
          <w:szCs w:val="21"/>
          <w:highlight w:val="none"/>
          <w:u w:val="none"/>
        </w:rPr>
      </w:pPr>
      <w:r>
        <w:rPr>
          <w:rFonts w:hint="eastAsia" w:ascii="宋体" w:hAnsi="宋体" w:cs="宋体"/>
          <w:b/>
          <w:bCs/>
          <w:color w:val="auto"/>
          <w:szCs w:val="21"/>
          <w:highlight w:val="none"/>
          <w:u w:val="none"/>
        </w:rPr>
        <w:t>预算金额：</w:t>
      </w:r>
      <w:r>
        <w:rPr>
          <w:rFonts w:hint="eastAsia" w:ascii="宋体" w:hAnsi="宋体" w:cs="宋体"/>
          <w:color w:val="auto"/>
          <w:szCs w:val="21"/>
          <w:highlight w:val="none"/>
          <w:u w:val="none"/>
          <w:lang w:val="en-US" w:eastAsia="zh-CN"/>
        </w:rPr>
        <w:t>128</w:t>
      </w:r>
      <w:r>
        <w:rPr>
          <w:rFonts w:hint="eastAsia" w:ascii="宋体" w:hAnsi="宋体" w:cs="宋体"/>
          <w:color w:val="auto"/>
          <w:szCs w:val="21"/>
          <w:highlight w:val="none"/>
          <w:u w:val="none"/>
        </w:rPr>
        <w:t>万元人民币</w:t>
      </w:r>
    </w:p>
    <w:p w14:paraId="19C76DE3">
      <w:pPr>
        <w:pBdr>
          <w:top w:val="none" w:color="000000" w:sz="0" w:space="0"/>
          <w:left w:val="none" w:color="000000" w:sz="0" w:space="0"/>
          <w:bottom w:val="none" w:color="000000" w:sz="0" w:space="0"/>
          <w:right w:val="none" w:color="000000" w:sz="0" w:space="0"/>
        </w:pBdr>
        <w:spacing w:line="360" w:lineRule="auto"/>
        <w:ind w:firstLine="420"/>
        <w:rPr>
          <w:rFonts w:hint="eastAsia" w:ascii="宋体" w:hAnsi="宋体" w:cs="宋体"/>
          <w:b/>
          <w:bCs/>
          <w:color w:val="auto"/>
          <w:highlight w:val="none"/>
          <w:u w:val="none"/>
          <w14:ligatures w14:val="none"/>
        </w:rPr>
      </w:pPr>
      <w:r>
        <w:rPr>
          <w:rFonts w:hint="eastAsia" w:ascii="宋体" w:hAnsi="宋体" w:cs="宋体"/>
          <w:b/>
          <w:bCs/>
          <w:color w:val="auto"/>
          <w:szCs w:val="21"/>
          <w:highlight w:val="none"/>
          <w:u w:val="none"/>
        </w:rPr>
        <w:t>最高限价：</w:t>
      </w:r>
      <w:r>
        <w:rPr>
          <w:rFonts w:hint="eastAsia" w:ascii="宋体" w:hAnsi="宋体" w:cs="宋体"/>
          <w:b/>
          <w:bCs/>
          <w:color w:val="auto"/>
          <w:highlight w:val="none"/>
          <w:u w:val="none"/>
        </w:rPr>
        <w:t>总价127.9152万元（采购包1：73.0944万元；采购包2：54.8208万元）；单价126.9元/批次，超过最高限价（单价）按无效响应处理。</w:t>
      </w:r>
    </w:p>
    <w:p w14:paraId="326C3DCE">
      <w:pPr>
        <w:spacing w:line="360" w:lineRule="auto"/>
        <w:ind w:firstLine="420"/>
        <w:rPr>
          <w:rFonts w:hint="eastAsia" w:ascii="宋体" w:hAnsi="宋体" w:cs="宋体"/>
          <w:color w:val="auto"/>
          <w:szCs w:val="21"/>
          <w:highlight w:val="none"/>
          <w:u w:val="none"/>
          <w:lang w:val="en-US" w:eastAsia="zh-CN"/>
        </w:rPr>
      </w:pPr>
      <w:r>
        <w:rPr>
          <w:rFonts w:hint="eastAsia" w:ascii="宋体" w:hAnsi="宋体" w:cs="宋体"/>
          <w:color w:val="auto"/>
          <w:szCs w:val="21"/>
          <w:highlight w:val="none"/>
          <w:u w:val="none"/>
        </w:rPr>
        <w:t> </w:t>
      </w:r>
      <w:r>
        <w:rPr>
          <w:rFonts w:hint="eastAsia" w:ascii="宋体" w:hAnsi="宋体" w:cs="宋体"/>
          <w:b/>
          <w:bCs/>
          <w:color w:val="auto"/>
          <w:szCs w:val="21"/>
          <w:highlight w:val="none"/>
          <w:u w:val="none"/>
        </w:rPr>
        <w:t>采购需求：</w:t>
      </w:r>
      <w:r>
        <w:rPr>
          <w:rFonts w:hint="eastAsia" w:ascii="宋体" w:hAnsi="宋体" w:cs="宋体"/>
          <w:color w:val="auto"/>
          <w:highlight w:val="none"/>
          <w:u w:val="none"/>
        </w:rPr>
        <w:t>本次食品安全</w:t>
      </w:r>
      <w:r>
        <w:rPr>
          <w:rFonts w:hint="eastAsia" w:ascii="宋体" w:hAnsi="宋体" w:cs="宋体"/>
          <w:color w:val="auto"/>
          <w:szCs w:val="21"/>
          <w:highlight w:val="none"/>
          <w:u w:val="none"/>
        </w:rPr>
        <w:t>快检服务采购招标不少于10080批次食品快检服务并配备相应的检测及咨询人员。中标机构应能在规定的时间内完成快速检测任务，及时将快检信息录入信息化监管平台，按要求定期将工作总结报送医药高新区（高港区）市场监管局。同时包含举办重大活动保障服务、你点我检现场活动等工作所需的检测试剂、耗材、</w:t>
      </w:r>
      <w:r>
        <w:rPr>
          <w:rFonts w:hint="eastAsia" w:ascii="宋体" w:hAnsi="宋体" w:cs="宋体"/>
          <w:color w:val="auto"/>
          <w:szCs w:val="21"/>
          <w:highlight w:val="none"/>
          <w:u w:val="none"/>
          <w:lang w:eastAsia="zh-CN"/>
        </w:rPr>
        <w:t>采样、</w:t>
      </w:r>
      <w:r>
        <w:rPr>
          <w:rFonts w:hint="eastAsia" w:ascii="宋体" w:hAnsi="宋体" w:cs="宋体"/>
          <w:color w:val="auto"/>
          <w:szCs w:val="21"/>
          <w:highlight w:val="none"/>
          <w:u w:val="none"/>
        </w:rPr>
        <w:t>人员等相关费用</w:t>
      </w:r>
      <w:r>
        <w:rPr>
          <w:rFonts w:hint="eastAsia" w:ascii="宋体" w:hAnsi="宋体" w:cs="宋体"/>
          <w:color w:val="auto"/>
          <w:szCs w:val="21"/>
          <w:highlight w:val="none"/>
          <w:u w:val="none"/>
          <w:lang w:eastAsia="zh-CN"/>
        </w:rPr>
        <w:t>。</w:t>
      </w:r>
      <w:r>
        <w:rPr>
          <w:rFonts w:hint="eastAsia" w:ascii="宋体" w:hAnsi="宋体" w:cs="宋体"/>
          <w:color w:val="auto"/>
          <w:szCs w:val="21"/>
          <w:highlight w:val="none"/>
          <w:u w:val="none"/>
          <w:lang w:val="en-US" w:eastAsia="zh-CN"/>
        </w:rPr>
        <w:t>本项目分为两个标包，</w:t>
      </w:r>
    </w:p>
    <w:tbl>
      <w:tblPr>
        <w:tblStyle w:val="17"/>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6"/>
        <w:gridCol w:w="4062"/>
        <w:gridCol w:w="1755"/>
        <w:gridCol w:w="1501"/>
        <w:gridCol w:w="1515"/>
      </w:tblGrid>
      <w:tr w14:paraId="58578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561" w:type="pct"/>
            <w:noWrap w:val="0"/>
            <w:vAlign w:val="center"/>
          </w:tcPr>
          <w:p w14:paraId="2F4B6BEA">
            <w:pPr>
              <w:spacing w:line="360" w:lineRule="auto"/>
              <w:jc w:val="center"/>
              <w:rPr>
                <w:rFonts w:hint="eastAsia" w:ascii="宋体" w:hAnsi="宋体" w:cs="宋体"/>
                <w:b/>
                <w:bCs/>
                <w:color w:val="auto"/>
                <w:szCs w:val="21"/>
                <w:highlight w:val="none"/>
                <w:u w:val="none"/>
                <w:lang w:val="en-US" w:eastAsia="zh-CN"/>
              </w:rPr>
            </w:pPr>
            <w:r>
              <w:rPr>
                <w:rFonts w:hint="eastAsia" w:ascii="宋体" w:hAnsi="宋体" w:cs="宋体"/>
                <w:b/>
                <w:bCs/>
                <w:color w:val="auto"/>
                <w:szCs w:val="21"/>
                <w:highlight w:val="none"/>
                <w:u w:val="none"/>
                <w:lang w:val="en-US" w:eastAsia="zh-CN"/>
              </w:rPr>
              <w:t>标包号</w:t>
            </w:r>
          </w:p>
        </w:tc>
        <w:tc>
          <w:tcPr>
            <w:tcW w:w="2041" w:type="pct"/>
            <w:noWrap w:val="0"/>
            <w:vAlign w:val="center"/>
          </w:tcPr>
          <w:p w14:paraId="4480BF52">
            <w:pPr>
              <w:spacing w:line="360" w:lineRule="auto"/>
              <w:jc w:val="center"/>
              <w:rPr>
                <w:rFonts w:hint="eastAsia" w:ascii="宋体" w:hAnsi="宋体" w:cs="宋体"/>
                <w:b/>
                <w:bCs/>
                <w:color w:val="auto"/>
                <w:szCs w:val="21"/>
                <w:highlight w:val="none"/>
                <w:u w:val="none"/>
              </w:rPr>
            </w:pPr>
            <w:r>
              <w:rPr>
                <w:rFonts w:hint="eastAsia" w:ascii="宋体" w:hAnsi="宋体" w:cs="宋体"/>
                <w:b/>
                <w:bCs/>
                <w:color w:val="auto"/>
                <w:szCs w:val="21"/>
                <w:highlight w:val="none"/>
                <w:u w:val="none"/>
              </w:rPr>
              <w:t>名称</w:t>
            </w:r>
          </w:p>
        </w:tc>
        <w:tc>
          <w:tcPr>
            <w:tcW w:w="882" w:type="pct"/>
            <w:noWrap w:val="0"/>
            <w:vAlign w:val="center"/>
          </w:tcPr>
          <w:p w14:paraId="1C28332E">
            <w:pPr>
              <w:spacing w:line="360" w:lineRule="auto"/>
              <w:jc w:val="center"/>
              <w:rPr>
                <w:rFonts w:hint="eastAsia" w:ascii="宋体" w:hAnsi="宋体" w:cs="宋体"/>
                <w:b/>
                <w:bCs/>
                <w:color w:val="auto"/>
                <w:szCs w:val="21"/>
                <w:highlight w:val="none"/>
                <w:u w:val="none"/>
              </w:rPr>
            </w:pPr>
            <w:r>
              <w:rPr>
                <w:rFonts w:hint="eastAsia" w:ascii="宋体" w:hAnsi="宋体" w:cs="宋体"/>
                <w:b/>
                <w:bCs/>
                <w:color w:val="auto"/>
                <w:szCs w:val="21"/>
                <w:highlight w:val="none"/>
                <w:u w:val="none"/>
              </w:rPr>
              <w:t>检测批次</w:t>
            </w:r>
          </w:p>
        </w:tc>
        <w:tc>
          <w:tcPr>
            <w:tcW w:w="754" w:type="pct"/>
            <w:noWrap w:val="0"/>
            <w:vAlign w:val="center"/>
          </w:tcPr>
          <w:p w14:paraId="2273AA06">
            <w:pPr>
              <w:spacing w:line="360" w:lineRule="auto"/>
              <w:jc w:val="center"/>
              <w:rPr>
                <w:rFonts w:hint="eastAsia" w:ascii="宋体" w:hAnsi="宋体" w:cs="宋体"/>
                <w:b/>
                <w:bCs/>
                <w:color w:val="auto"/>
                <w:szCs w:val="21"/>
                <w:highlight w:val="none"/>
                <w:u w:val="none"/>
              </w:rPr>
            </w:pPr>
            <w:r>
              <w:rPr>
                <w:rFonts w:hint="eastAsia" w:ascii="宋体" w:hAnsi="宋体" w:cs="宋体"/>
                <w:b/>
                <w:bCs/>
                <w:color w:val="auto"/>
                <w:szCs w:val="21"/>
                <w:highlight w:val="none"/>
                <w:u w:val="none"/>
              </w:rPr>
              <w:t>总批次</w:t>
            </w:r>
          </w:p>
        </w:tc>
        <w:tc>
          <w:tcPr>
            <w:tcW w:w="760" w:type="pct"/>
            <w:noWrap w:val="0"/>
            <w:vAlign w:val="center"/>
          </w:tcPr>
          <w:p w14:paraId="1A69F206">
            <w:pPr>
              <w:spacing w:line="360" w:lineRule="auto"/>
              <w:jc w:val="center"/>
              <w:rPr>
                <w:rFonts w:hint="eastAsia" w:ascii="宋体" w:hAnsi="宋体" w:cs="宋体"/>
                <w:b/>
                <w:bCs/>
                <w:color w:val="auto"/>
                <w:szCs w:val="21"/>
                <w:highlight w:val="none"/>
                <w:u w:val="none"/>
              </w:rPr>
            </w:pPr>
            <w:r>
              <w:rPr>
                <w:rFonts w:hint="eastAsia" w:ascii="宋体" w:hAnsi="宋体" w:cs="宋体"/>
                <w:b/>
                <w:bCs/>
                <w:color w:val="auto"/>
                <w:szCs w:val="21"/>
                <w:highlight w:val="none"/>
                <w:u w:val="none"/>
              </w:rPr>
              <w:t>合计</w:t>
            </w:r>
          </w:p>
        </w:tc>
      </w:tr>
      <w:tr w14:paraId="34DE8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561" w:type="pct"/>
            <w:vMerge w:val="restart"/>
            <w:noWrap w:val="0"/>
            <w:vAlign w:val="center"/>
          </w:tcPr>
          <w:p w14:paraId="399F34F2">
            <w:pPr>
              <w:spacing w:line="360" w:lineRule="auto"/>
              <w:jc w:val="center"/>
              <w:rPr>
                <w:rFonts w:hint="eastAsia" w:ascii="宋体" w:hAnsi="宋体" w:cs="宋体"/>
                <w:b/>
                <w:bCs/>
                <w:color w:val="auto"/>
                <w:szCs w:val="21"/>
                <w:highlight w:val="none"/>
                <w:u w:val="none"/>
              </w:rPr>
            </w:pPr>
            <w:r>
              <w:rPr>
                <w:rFonts w:hint="eastAsia" w:ascii="宋体" w:hAnsi="宋体" w:cs="宋体"/>
                <w:b/>
                <w:bCs/>
                <w:color w:val="auto"/>
                <w:szCs w:val="21"/>
                <w:highlight w:val="none"/>
                <w:u w:val="none"/>
              </w:rPr>
              <w:t>一</w:t>
            </w:r>
          </w:p>
        </w:tc>
        <w:tc>
          <w:tcPr>
            <w:tcW w:w="2041" w:type="pct"/>
            <w:shd w:val="clear" w:color="auto" w:fill="auto"/>
            <w:noWrap w:val="0"/>
            <w:vAlign w:val="center"/>
          </w:tcPr>
          <w:p w14:paraId="181DC3CE">
            <w:pPr>
              <w:spacing w:line="360" w:lineRule="auto"/>
              <w:jc w:val="center"/>
              <w:rPr>
                <w:rFonts w:hint="eastAsia" w:ascii="宋体" w:hAnsi="宋体" w:cs="宋体"/>
                <w:color w:val="auto"/>
                <w:szCs w:val="21"/>
                <w:highlight w:val="none"/>
                <w:u w:val="none"/>
                <w:lang w:val="en-US" w:eastAsia="zh-CN"/>
              </w:rPr>
            </w:pPr>
            <w:r>
              <w:rPr>
                <w:rFonts w:hint="eastAsia" w:ascii="宋体" w:hAnsi="宋体" w:cs="宋体"/>
                <w:color w:val="auto"/>
                <w:szCs w:val="21"/>
                <w:highlight w:val="none"/>
                <w:u w:val="none"/>
              </w:rPr>
              <w:t>泰州医药高新区（高港区）快检中心</w:t>
            </w:r>
          </w:p>
        </w:tc>
        <w:tc>
          <w:tcPr>
            <w:tcW w:w="882" w:type="pct"/>
            <w:shd w:val="clear" w:color="auto" w:fill="auto"/>
            <w:noWrap w:val="0"/>
            <w:vAlign w:val="center"/>
          </w:tcPr>
          <w:p w14:paraId="421D050D">
            <w:pPr>
              <w:spacing w:line="360" w:lineRule="auto"/>
              <w:jc w:val="center"/>
              <w:rPr>
                <w:rFonts w:hint="eastAsia" w:ascii="宋体" w:hAnsi="宋体" w:cs="宋体"/>
                <w:color w:val="auto"/>
                <w:szCs w:val="21"/>
                <w:highlight w:val="none"/>
                <w:u w:val="none"/>
                <w:lang w:val="en-US" w:eastAsia="zh-CN"/>
              </w:rPr>
            </w:pPr>
            <w:r>
              <w:rPr>
                <w:rFonts w:hint="eastAsia" w:ascii="宋体" w:hAnsi="宋体" w:cs="宋体"/>
                <w:color w:val="auto"/>
                <w:szCs w:val="21"/>
                <w:highlight w:val="none"/>
                <w:u w:val="none"/>
              </w:rPr>
              <w:t>120批次/月</w:t>
            </w:r>
          </w:p>
        </w:tc>
        <w:tc>
          <w:tcPr>
            <w:tcW w:w="754" w:type="pct"/>
            <w:shd w:val="clear" w:color="auto" w:fill="auto"/>
            <w:noWrap w:val="0"/>
            <w:vAlign w:val="center"/>
          </w:tcPr>
          <w:p w14:paraId="71805CE0">
            <w:pPr>
              <w:spacing w:line="360" w:lineRule="auto"/>
              <w:jc w:val="center"/>
              <w:rPr>
                <w:rFonts w:hint="eastAsia" w:ascii="宋体" w:hAnsi="宋体" w:cs="宋体"/>
                <w:color w:val="auto"/>
                <w:szCs w:val="21"/>
                <w:highlight w:val="none"/>
                <w:u w:val="none"/>
                <w:lang w:val="en-US" w:eastAsia="zh-CN"/>
              </w:rPr>
            </w:pPr>
            <w:r>
              <w:rPr>
                <w:rFonts w:hint="eastAsia" w:ascii="宋体" w:hAnsi="宋体" w:cs="宋体"/>
                <w:color w:val="auto"/>
                <w:szCs w:val="21"/>
                <w:highlight w:val="none"/>
                <w:u w:val="none"/>
              </w:rPr>
              <w:t>1440批次</w:t>
            </w:r>
          </w:p>
        </w:tc>
        <w:tc>
          <w:tcPr>
            <w:tcW w:w="760" w:type="pct"/>
            <w:vMerge w:val="restart"/>
            <w:noWrap w:val="0"/>
            <w:vAlign w:val="center"/>
          </w:tcPr>
          <w:p w14:paraId="096B5E71">
            <w:pPr>
              <w:spacing w:line="360" w:lineRule="auto"/>
              <w:jc w:val="center"/>
              <w:rPr>
                <w:rFonts w:hint="eastAsia" w:ascii="宋体" w:hAnsi="宋体" w:cs="宋体"/>
                <w:color w:val="auto"/>
                <w:szCs w:val="21"/>
                <w:highlight w:val="none"/>
                <w:u w:val="none"/>
              </w:rPr>
            </w:pPr>
            <w:r>
              <w:rPr>
                <w:rFonts w:hint="eastAsia" w:ascii="宋体" w:hAnsi="宋体" w:cs="宋体"/>
                <w:color w:val="auto"/>
                <w:szCs w:val="21"/>
                <w:highlight w:val="none"/>
                <w:u w:val="none"/>
              </w:rPr>
              <w:t>5760批次</w:t>
            </w:r>
          </w:p>
        </w:tc>
      </w:tr>
      <w:tr w14:paraId="0C190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561" w:type="pct"/>
            <w:vMerge w:val="continue"/>
            <w:noWrap w:val="0"/>
            <w:vAlign w:val="center"/>
          </w:tcPr>
          <w:p w14:paraId="21FF111E">
            <w:pPr>
              <w:spacing w:line="360" w:lineRule="auto"/>
              <w:ind w:firstLine="420"/>
              <w:jc w:val="center"/>
              <w:rPr>
                <w:rFonts w:hint="eastAsia" w:ascii="宋体" w:hAnsi="宋体" w:cs="宋体"/>
                <w:b/>
                <w:bCs/>
                <w:color w:val="auto"/>
                <w:szCs w:val="21"/>
                <w:highlight w:val="none"/>
                <w:u w:val="none"/>
              </w:rPr>
            </w:pPr>
          </w:p>
        </w:tc>
        <w:tc>
          <w:tcPr>
            <w:tcW w:w="2041" w:type="pct"/>
            <w:shd w:val="clear" w:color="auto" w:fill="auto"/>
            <w:noWrap w:val="0"/>
            <w:vAlign w:val="center"/>
          </w:tcPr>
          <w:p w14:paraId="036E6711">
            <w:pPr>
              <w:spacing w:line="360" w:lineRule="auto"/>
              <w:jc w:val="center"/>
              <w:rPr>
                <w:rFonts w:hint="eastAsia" w:ascii="宋体" w:hAnsi="宋体" w:cs="宋体"/>
                <w:color w:val="auto"/>
                <w:szCs w:val="21"/>
                <w:highlight w:val="none"/>
                <w:u w:val="none"/>
                <w:lang w:val="en-US" w:eastAsia="zh-CN"/>
              </w:rPr>
            </w:pPr>
            <w:r>
              <w:rPr>
                <w:rFonts w:hint="eastAsia" w:ascii="宋体" w:hAnsi="宋体" w:cs="宋体"/>
                <w:color w:val="auto"/>
                <w:szCs w:val="21"/>
                <w:highlight w:val="none"/>
                <w:u w:val="none"/>
              </w:rPr>
              <w:t>寺巷分局</w:t>
            </w:r>
          </w:p>
        </w:tc>
        <w:tc>
          <w:tcPr>
            <w:tcW w:w="882" w:type="pct"/>
            <w:shd w:val="clear" w:color="auto" w:fill="auto"/>
            <w:noWrap w:val="0"/>
            <w:vAlign w:val="center"/>
          </w:tcPr>
          <w:p w14:paraId="53349739">
            <w:pPr>
              <w:spacing w:line="360" w:lineRule="auto"/>
              <w:jc w:val="center"/>
              <w:rPr>
                <w:rFonts w:hint="eastAsia" w:ascii="宋体" w:hAnsi="宋体" w:cs="宋体"/>
                <w:color w:val="auto"/>
                <w:szCs w:val="21"/>
                <w:highlight w:val="none"/>
                <w:u w:val="none"/>
                <w:lang w:val="en-US" w:eastAsia="zh-CN"/>
              </w:rPr>
            </w:pPr>
            <w:r>
              <w:rPr>
                <w:rFonts w:hint="eastAsia" w:ascii="宋体" w:hAnsi="宋体" w:cs="宋体"/>
                <w:color w:val="auto"/>
                <w:szCs w:val="21"/>
                <w:highlight w:val="none"/>
                <w:u w:val="none"/>
              </w:rPr>
              <w:t>120批次/月</w:t>
            </w:r>
          </w:p>
        </w:tc>
        <w:tc>
          <w:tcPr>
            <w:tcW w:w="754" w:type="pct"/>
            <w:shd w:val="clear" w:color="auto" w:fill="auto"/>
            <w:noWrap w:val="0"/>
            <w:vAlign w:val="center"/>
          </w:tcPr>
          <w:p w14:paraId="46812FEE">
            <w:pPr>
              <w:spacing w:line="360" w:lineRule="auto"/>
              <w:jc w:val="center"/>
              <w:rPr>
                <w:rFonts w:hint="eastAsia" w:ascii="宋体" w:hAnsi="宋体" w:cs="宋体"/>
                <w:color w:val="auto"/>
                <w:szCs w:val="21"/>
                <w:highlight w:val="none"/>
                <w:u w:val="none"/>
                <w:lang w:val="en-US" w:eastAsia="zh-CN"/>
              </w:rPr>
            </w:pPr>
            <w:r>
              <w:rPr>
                <w:rFonts w:hint="eastAsia" w:ascii="宋体" w:hAnsi="宋体" w:cs="宋体"/>
                <w:color w:val="auto"/>
                <w:szCs w:val="21"/>
                <w:highlight w:val="none"/>
                <w:u w:val="none"/>
              </w:rPr>
              <w:t>1440批次</w:t>
            </w:r>
          </w:p>
        </w:tc>
        <w:tc>
          <w:tcPr>
            <w:tcW w:w="760" w:type="pct"/>
            <w:vMerge w:val="continue"/>
            <w:noWrap w:val="0"/>
            <w:vAlign w:val="center"/>
          </w:tcPr>
          <w:p w14:paraId="4A5889F2">
            <w:pPr>
              <w:spacing w:line="360" w:lineRule="auto"/>
              <w:ind w:firstLine="420"/>
              <w:jc w:val="center"/>
              <w:rPr>
                <w:rFonts w:hint="eastAsia" w:ascii="宋体" w:hAnsi="宋体" w:cs="宋体"/>
                <w:color w:val="auto"/>
                <w:szCs w:val="21"/>
                <w:highlight w:val="none"/>
                <w:u w:val="none"/>
              </w:rPr>
            </w:pPr>
          </w:p>
        </w:tc>
      </w:tr>
      <w:tr w14:paraId="4D57C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561" w:type="pct"/>
            <w:vMerge w:val="continue"/>
            <w:noWrap w:val="0"/>
            <w:vAlign w:val="center"/>
          </w:tcPr>
          <w:p w14:paraId="55528435">
            <w:pPr>
              <w:spacing w:line="360" w:lineRule="auto"/>
              <w:ind w:firstLine="420"/>
              <w:jc w:val="center"/>
              <w:rPr>
                <w:rFonts w:hint="eastAsia" w:ascii="宋体" w:hAnsi="宋体" w:cs="宋体"/>
                <w:b/>
                <w:bCs/>
                <w:color w:val="auto"/>
                <w:szCs w:val="21"/>
                <w:highlight w:val="none"/>
                <w:u w:val="none"/>
              </w:rPr>
            </w:pPr>
          </w:p>
        </w:tc>
        <w:tc>
          <w:tcPr>
            <w:tcW w:w="2041" w:type="pct"/>
            <w:shd w:val="clear" w:color="auto" w:fill="auto"/>
            <w:noWrap w:val="0"/>
            <w:vAlign w:val="center"/>
          </w:tcPr>
          <w:p w14:paraId="78C232D5">
            <w:pPr>
              <w:spacing w:line="360" w:lineRule="auto"/>
              <w:jc w:val="center"/>
              <w:rPr>
                <w:rFonts w:hint="eastAsia" w:ascii="宋体" w:hAnsi="宋体" w:cs="宋体"/>
                <w:color w:val="auto"/>
                <w:szCs w:val="21"/>
                <w:highlight w:val="none"/>
                <w:u w:val="none"/>
                <w:lang w:val="en-US" w:eastAsia="zh-CN"/>
              </w:rPr>
            </w:pPr>
            <w:r>
              <w:rPr>
                <w:rFonts w:hint="eastAsia" w:ascii="宋体" w:hAnsi="宋体" w:cs="宋体"/>
                <w:color w:val="auto"/>
                <w:szCs w:val="21"/>
                <w:highlight w:val="none"/>
                <w:u w:val="none"/>
              </w:rPr>
              <w:t>新城分局</w:t>
            </w:r>
          </w:p>
        </w:tc>
        <w:tc>
          <w:tcPr>
            <w:tcW w:w="882" w:type="pct"/>
            <w:shd w:val="clear" w:color="auto" w:fill="auto"/>
            <w:noWrap w:val="0"/>
            <w:vAlign w:val="center"/>
          </w:tcPr>
          <w:p w14:paraId="6E6F01E0">
            <w:pPr>
              <w:spacing w:line="360" w:lineRule="auto"/>
              <w:jc w:val="center"/>
              <w:rPr>
                <w:rFonts w:hint="eastAsia" w:ascii="宋体" w:hAnsi="宋体" w:cs="宋体"/>
                <w:color w:val="auto"/>
                <w:szCs w:val="21"/>
                <w:highlight w:val="none"/>
                <w:u w:val="none"/>
                <w:lang w:val="en-US" w:eastAsia="zh-CN"/>
              </w:rPr>
            </w:pPr>
            <w:r>
              <w:rPr>
                <w:rFonts w:hint="eastAsia" w:ascii="宋体" w:hAnsi="宋体" w:cs="宋体"/>
                <w:color w:val="auto"/>
                <w:szCs w:val="21"/>
                <w:highlight w:val="none"/>
                <w:u w:val="none"/>
              </w:rPr>
              <w:t>120批次/月</w:t>
            </w:r>
          </w:p>
        </w:tc>
        <w:tc>
          <w:tcPr>
            <w:tcW w:w="754" w:type="pct"/>
            <w:shd w:val="clear" w:color="auto" w:fill="auto"/>
            <w:noWrap w:val="0"/>
            <w:vAlign w:val="center"/>
          </w:tcPr>
          <w:p w14:paraId="1785F99D">
            <w:pPr>
              <w:spacing w:line="360" w:lineRule="auto"/>
              <w:jc w:val="center"/>
              <w:rPr>
                <w:rFonts w:hint="eastAsia" w:ascii="宋体" w:hAnsi="宋体" w:cs="宋体"/>
                <w:color w:val="auto"/>
                <w:szCs w:val="21"/>
                <w:highlight w:val="none"/>
                <w:u w:val="none"/>
                <w:lang w:val="en-US" w:eastAsia="zh-CN"/>
              </w:rPr>
            </w:pPr>
            <w:r>
              <w:rPr>
                <w:rFonts w:hint="eastAsia" w:ascii="宋体" w:hAnsi="宋体" w:cs="宋体"/>
                <w:color w:val="auto"/>
                <w:szCs w:val="21"/>
                <w:highlight w:val="none"/>
                <w:u w:val="none"/>
              </w:rPr>
              <w:t>1440批次</w:t>
            </w:r>
          </w:p>
        </w:tc>
        <w:tc>
          <w:tcPr>
            <w:tcW w:w="760" w:type="pct"/>
            <w:vMerge w:val="continue"/>
            <w:noWrap w:val="0"/>
            <w:vAlign w:val="center"/>
          </w:tcPr>
          <w:p w14:paraId="3E26161A">
            <w:pPr>
              <w:spacing w:line="360" w:lineRule="auto"/>
              <w:ind w:firstLine="420"/>
              <w:jc w:val="center"/>
              <w:rPr>
                <w:rFonts w:hint="eastAsia" w:ascii="宋体" w:hAnsi="宋体" w:cs="宋体"/>
                <w:color w:val="auto"/>
                <w:szCs w:val="21"/>
                <w:highlight w:val="none"/>
                <w:u w:val="none"/>
              </w:rPr>
            </w:pPr>
          </w:p>
        </w:tc>
      </w:tr>
      <w:tr w14:paraId="02084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561" w:type="pct"/>
            <w:vMerge w:val="continue"/>
            <w:noWrap w:val="0"/>
            <w:vAlign w:val="center"/>
          </w:tcPr>
          <w:p w14:paraId="4841BFCD">
            <w:pPr>
              <w:spacing w:line="360" w:lineRule="auto"/>
              <w:ind w:firstLine="420"/>
              <w:jc w:val="center"/>
              <w:rPr>
                <w:rFonts w:hint="eastAsia" w:ascii="宋体" w:hAnsi="宋体" w:cs="宋体"/>
                <w:b/>
                <w:bCs/>
                <w:color w:val="auto"/>
                <w:szCs w:val="21"/>
                <w:highlight w:val="none"/>
                <w:u w:val="none"/>
              </w:rPr>
            </w:pPr>
          </w:p>
        </w:tc>
        <w:tc>
          <w:tcPr>
            <w:tcW w:w="2041" w:type="pct"/>
            <w:shd w:val="clear" w:color="auto" w:fill="auto"/>
            <w:noWrap w:val="0"/>
            <w:vAlign w:val="center"/>
          </w:tcPr>
          <w:p w14:paraId="5E02BAEC">
            <w:pPr>
              <w:spacing w:line="360" w:lineRule="auto"/>
              <w:jc w:val="center"/>
              <w:rPr>
                <w:rFonts w:hint="eastAsia" w:ascii="宋体" w:hAnsi="宋体" w:cs="宋体"/>
                <w:color w:val="auto"/>
                <w:szCs w:val="21"/>
                <w:highlight w:val="none"/>
                <w:u w:val="none"/>
                <w:lang w:val="en-US" w:eastAsia="zh-CN"/>
              </w:rPr>
            </w:pPr>
            <w:r>
              <w:rPr>
                <w:rFonts w:hint="eastAsia" w:ascii="宋体" w:hAnsi="宋体" w:cs="宋体"/>
                <w:color w:val="auto"/>
                <w:szCs w:val="21"/>
                <w:highlight w:val="none"/>
                <w:u w:val="none"/>
              </w:rPr>
              <w:t>口岸分局</w:t>
            </w:r>
          </w:p>
        </w:tc>
        <w:tc>
          <w:tcPr>
            <w:tcW w:w="882" w:type="pct"/>
            <w:shd w:val="clear" w:color="auto" w:fill="auto"/>
            <w:noWrap w:val="0"/>
            <w:vAlign w:val="center"/>
          </w:tcPr>
          <w:p w14:paraId="5FE92A19">
            <w:pPr>
              <w:spacing w:line="360" w:lineRule="auto"/>
              <w:jc w:val="center"/>
              <w:rPr>
                <w:rFonts w:hint="eastAsia" w:ascii="宋体" w:hAnsi="宋体" w:cs="宋体"/>
                <w:color w:val="auto"/>
                <w:szCs w:val="21"/>
                <w:highlight w:val="none"/>
                <w:u w:val="none"/>
                <w:lang w:val="en-US" w:eastAsia="zh-CN"/>
              </w:rPr>
            </w:pPr>
            <w:r>
              <w:rPr>
                <w:rFonts w:hint="eastAsia" w:ascii="宋体" w:hAnsi="宋体" w:cs="宋体"/>
                <w:color w:val="auto"/>
                <w:szCs w:val="21"/>
                <w:highlight w:val="none"/>
                <w:u w:val="none"/>
              </w:rPr>
              <w:t>120批次/月</w:t>
            </w:r>
          </w:p>
        </w:tc>
        <w:tc>
          <w:tcPr>
            <w:tcW w:w="754" w:type="pct"/>
            <w:shd w:val="clear" w:color="auto" w:fill="auto"/>
            <w:noWrap w:val="0"/>
            <w:vAlign w:val="center"/>
          </w:tcPr>
          <w:p w14:paraId="709A35CB">
            <w:pPr>
              <w:spacing w:line="360" w:lineRule="auto"/>
              <w:jc w:val="center"/>
              <w:rPr>
                <w:rFonts w:hint="eastAsia" w:ascii="宋体" w:hAnsi="宋体" w:cs="宋体"/>
                <w:color w:val="auto"/>
                <w:szCs w:val="21"/>
                <w:highlight w:val="none"/>
                <w:u w:val="none"/>
                <w:lang w:val="en-US" w:eastAsia="zh-CN"/>
              </w:rPr>
            </w:pPr>
            <w:r>
              <w:rPr>
                <w:rFonts w:hint="eastAsia" w:ascii="宋体" w:hAnsi="宋体" w:cs="宋体"/>
                <w:color w:val="auto"/>
                <w:szCs w:val="21"/>
                <w:highlight w:val="none"/>
                <w:u w:val="none"/>
              </w:rPr>
              <w:t>1440批次</w:t>
            </w:r>
          </w:p>
        </w:tc>
        <w:tc>
          <w:tcPr>
            <w:tcW w:w="760" w:type="pct"/>
            <w:vMerge w:val="continue"/>
            <w:noWrap w:val="0"/>
            <w:vAlign w:val="center"/>
          </w:tcPr>
          <w:p w14:paraId="102F95D4">
            <w:pPr>
              <w:spacing w:line="360" w:lineRule="auto"/>
              <w:ind w:firstLine="420"/>
              <w:jc w:val="center"/>
              <w:rPr>
                <w:rFonts w:hint="eastAsia" w:ascii="宋体" w:hAnsi="宋体" w:cs="宋体"/>
                <w:color w:val="auto"/>
                <w:szCs w:val="21"/>
                <w:highlight w:val="none"/>
                <w:u w:val="none"/>
              </w:rPr>
            </w:pPr>
          </w:p>
        </w:tc>
      </w:tr>
      <w:tr w14:paraId="58823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561" w:type="pct"/>
            <w:vMerge w:val="restart"/>
            <w:noWrap w:val="0"/>
            <w:vAlign w:val="center"/>
          </w:tcPr>
          <w:p w14:paraId="053AAC0F">
            <w:pPr>
              <w:spacing w:line="360" w:lineRule="auto"/>
              <w:jc w:val="center"/>
              <w:rPr>
                <w:rFonts w:hint="eastAsia" w:ascii="宋体" w:hAnsi="宋体" w:cs="宋体"/>
                <w:b/>
                <w:bCs/>
                <w:color w:val="auto"/>
                <w:szCs w:val="21"/>
                <w:highlight w:val="none"/>
                <w:u w:val="none"/>
              </w:rPr>
            </w:pPr>
            <w:r>
              <w:rPr>
                <w:rFonts w:hint="eastAsia" w:ascii="宋体" w:hAnsi="宋体" w:cs="宋体"/>
                <w:b/>
                <w:bCs/>
                <w:color w:val="auto"/>
                <w:szCs w:val="21"/>
                <w:highlight w:val="none"/>
                <w:u w:val="none"/>
              </w:rPr>
              <w:t>二</w:t>
            </w:r>
          </w:p>
        </w:tc>
        <w:tc>
          <w:tcPr>
            <w:tcW w:w="2041" w:type="pct"/>
            <w:shd w:val="clear" w:color="auto" w:fill="auto"/>
            <w:noWrap w:val="0"/>
            <w:vAlign w:val="center"/>
          </w:tcPr>
          <w:p w14:paraId="49F5BE5E">
            <w:pPr>
              <w:spacing w:line="360" w:lineRule="auto"/>
              <w:jc w:val="center"/>
              <w:rPr>
                <w:rFonts w:hint="eastAsia" w:ascii="宋体" w:hAnsi="宋体" w:cs="宋体"/>
                <w:color w:val="auto"/>
                <w:szCs w:val="21"/>
                <w:highlight w:val="none"/>
                <w:u w:val="none"/>
                <w:lang w:val="en-US" w:eastAsia="zh-CN"/>
              </w:rPr>
            </w:pPr>
            <w:r>
              <w:rPr>
                <w:rFonts w:hint="eastAsia" w:ascii="宋体" w:hAnsi="宋体" w:cs="宋体"/>
                <w:color w:val="auto"/>
                <w:szCs w:val="21"/>
                <w:highlight w:val="none"/>
                <w:u w:val="none"/>
              </w:rPr>
              <w:t>刁铺分局</w:t>
            </w:r>
          </w:p>
        </w:tc>
        <w:tc>
          <w:tcPr>
            <w:tcW w:w="882" w:type="pct"/>
            <w:shd w:val="clear" w:color="auto" w:fill="auto"/>
            <w:noWrap w:val="0"/>
            <w:vAlign w:val="center"/>
          </w:tcPr>
          <w:p w14:paraId="3AA0A0BA">
            <w:pPr>
              <w:spacing w:line="360" w:lineRule="auto"/>
              <w:jc w:val="center"/>
              <w:rPr>
                <w:rFonts w:hint="eastAsia" w:ascii="宋体" w:hAnsi="宋体" w:cs="宋体"/>
                <w:color w:val="auto"/>
                <w:szCs w:val="21"/>
                <w:highlight w:val="none"/>
                <w:u w:val="none"/>
                <w:lang w:val="en-US" w:eastAsia="zh-CN"/>
              </w:rPr>
            </w:pPr>
            <w:r>
              <w:rPr>
                <w:rFonts w:hint="eastAsia" w:ascii="宋体" w:hAnsi="宋体" w:cs="宋体"/>
                <w:color w:val="auto"/>
                <w:szCs w:val="21"/>
                <w:highlight w:val="none"/>
                <w:u w:val="none"/>
              </w:rPr>
              <w:t>120批次/月</w:t>
            </w:r>
          </w:p>
        </w:tc>
        <w:tc>
          <w:tcPr>
            <w:tcW w:w="754" w:type="pct"/>
            <w:shd w:val="clear" w:color="auto" w:fill="auto"/>
            <w:noWrap w:val="0"/>
            <w:vAlign w:val="center"/>
          </w:tcPr>
          <w:p w14:paraId="52CF3173">
            <w:pPr>
              <w:spacing w:line="360" w:lineRule="auto"/>
              <w:jc w:val="center"/>
              <w:rPr>
                <w:rFonts w:hint="eastAsia" w:ascii="宋体" w:hAnsi="宋体" w:cs="宋体"/>
                <w:color w:val="auto"/>
                <w:szCs w:val="21"/>
                <w:highlight w:val="none"/>
                <w:u w:val="none"/>
                <w:lang w:val="en-US" w:eastAsia="zh-CN"/>
              </w:rPr>
            </w:pPr>
            <w:r>
              <w:rPr>
                <w:rFonts w:hint="eastAsia" w:ascii="宋体" w:hAnsi="宋体" w:cs="宋体"/>
                <w:color w:val="auto"/>
                <w:szCs w:val="21"/>
                <w:highlight w:val="none"/>
                <w:u w:val="none"/>
              </w:rPr>
              <w:t>1440批次</w:t>
            </w:r>
          </w:p>
        </w:tc>
        <w:tc>
          <w:tcPr>
            <w:tcW w:w="760" w:type="pct"/>
            <w:vMerge w:val="restart"/>
            <w:noWrap w:val="0"/>
            <w:vAlign w:val="center"/>
          </w:tcPr>
          <w:p w14:paraId="32F5CFF7">
            <w:pPr>
              <w:spacing w:line="360" w:lineRule="auto"/>
              <w:jc w:val="center"/>
              <w:rPr>
                <w:rFonts w:hint="eastAsia" w:ascii="宋体" w:hAnsi="宋体" w:cs="宋体"/>
                <w:color w:val="auto"/>
                <w:szCs w:val="21"/>
                <w:highlight w:val="none"/>
                <w:u w:val="none"/>
              </w:rPr>
            </w:pPr>
            <w:r>
              <w:rPr>
                <w:rFonts w:hint="eastAsia" w:ascii="宋体" w:hAnsi="宋体" w:cs="宋体"/>
                <w:color w:val="auto"/>
                <w:szCs w:val="21"/>
                <w:highlight w:val="none"/>
                <w:u w:val="none"/>
              </w:rPr>
              <w:t>4320批次</w:t>
            </w:r>
          </w:p>
        </w:tc>
      </w:tr>
      <w:tr w14:paraId="41BBC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561" w:type="pct"/>
            <w:vMerge w:val="continue"/>
            <w:noWrap w:val="0"/>
            <w:vAlign w:val="center"/>
          </w:tcPr>
          <w:p w14:paraId="001A7D74">
            <w:pPr>
              <w:spacing w:line="360" w:lineRule="auto"/>
              <w:ind w:firstLine="420"/>
              <w:jc w:val="center"/>
              <w:rPr>
                <w:rFonts w:hint="eastAsia" w:ascii="宋体" w:hAnsi="宋体" w:cs="宋体"/>
                <w:b/>
                <w:bCs/>
                <w:color w:val="auto"/>
                <w:szCs w:val="21"/>
                <w:highlight w:val="none"/>
                <w:u w:val="none"/>
              </w:rPr>
            </w:pPr>
          </w:p>
        </w:tc>
        <w:tc>
          <w:tcPr>
            <w:tcW w:w="2041" w:type="pct"/>
            <w:shd w:val="clear" w:color="auto" w:fill="auto"/>
            <w:noWrap w:val="0"/>
            <w:vAlign w:val="center"/>
          </w:tcPr>
          <w:p w14:paraId="2764A13B">
            <w:pPr>
              <w:spacing w:line="360" w:lineRule="auto"/>
              <w:jc w:val="center"/>
              <w:rPr>
                <w:rFonts w:hint="eastAsia" w:ascii="宋体" w:hAnsi="宋体" w:cs="宋体"/>
                <w:color w:val="auto"/>
                <w:szCs w:val="21"/>
                <w:highlight w:val="none"/>
                <w:u w:val="none"/>
                <w:lang w:val="en-US" w:eastAsia="zh-CN"/>
              </w:rPr>
            </w:pPr>
            <w:r>
              <w:rPr>
                <w:rFonts w:hint="eastAsia" w:ascii="宋体" w:hAnsi="宋体" w:cs="宋体"/>
                <w:color w:val="auto"/>
                <w:szCs w:val="21"/>
                <w:highlight w:val="none"/>
                <w:u w:val="none"/>
              </w:rPr>
              <w:t>大泗分局</w:t>
            </w:r>
          </w:p>
        </w:tc>
        <w:tc>
          <w:tcPr>
            <w:tcW w:w="882" w:type="pct"/>
            <w:shd w:val="clear" w:color="auto" w:fill="auto"/>
            <w:noWrap w:val="0"/>
            <w:vAlign w:val="center"/>
          </w:tcPr>
          <w:p w14:paraId="433338D9">
            <w:pPr>
              <w:spacing w:line="360" w:lineRule="auto"/>
              <w:jc w:val="center"/>
              <w:rPr>
                <w:rFonts w:hint="eastAsia" w:ascii="宋体" w:hAnsi="宋体" w:cs="宋体"/>
                <w:color w:val="auto"/>
                <w:szCs w:val="21"/>
                <w:highlight w:val="none"/>
                <w:u w:val="none"/>
                <w:lang w:val="en-US" w:eastAsia="zh-CN"/>
              </w:rPr>
            </w:pPr>
            <w:r>
              <w:rPr>
                <w:rFonts w:hint="eastAsia" w:ascii="宋体" w:hAnsi="宋体" w:cs="宋体"/>
                <w:color w:val="auto"/>
                <w:szCs w:val="21"/>
                <w:highlight w:val="none"/>
                <w:u w:val="none"/>
              </w:rPr>
              <w:t>120批次/月</w:t>
            </w:r>
          </w:p>
        </w:tc>
        <w:tc>
          <w:tcPr>
            <w:tcW w:w="754" w:type="pct"/>
            <w:shd w:val="clear" w:color="auto" w:fill="auto"/>
            <w:noWrap w:val="0"/>
            <w:vAlign w:val="center"/>
          </w:tcPr>
          <w:p w14:paraId="32165632">
            <w:pPr>
              <w:spacing w:line="360" w:lineRule="auto"/>
              <w:jc w:val="center"/>
              <w:rPr>
                <w:rFonts w:hint="eastAsia" w:ascii="宋体" w:hAnsi="宋体" w:cs="宋体"/>
                <w:color w:val="auto"/>
                <w:szCs w:val="21"/>
                <w:highlight w:val="none"/>
                <w:u w:val="none"/>
                <w:lang w:val="en-US" w:eastAsia="zh-CN"/>
              </w:rPr>
            </w:pPr>
            <w:r>
              <w:rPr>
                <w:rFonts w:hint="eastAsia" w:ascii="宋体" w:hAnsi="宋体" w:cs="宋体"/>
                <w:color w:val="auto"/>
                <w:szCs w:val="21"/>
                <w:highlight w:val="none"/>
                <w:u w:val="none"/>
              </w:rPr>
              <w:t>1440批次</w:t>
            </w:r>
          </w:p>
        </w:tc>
        <w:tc>
          <w:tcPr>
            <w:tcW w:w="760" w:type="pct"/>
            <w:vMerge w:val="continue"/>
            <w:noWrap w:val="0"/>
            <w:vAlign w:val="center"/>
          </w:tcPr>
          <w:p w14:paraId="6930CB55">
            <w:pPr>
              <w:spacing w:line="360" w:lineRule="auto"/>
              <w:ind w:firstLine="420"/>
              <w:jc w:val="center"/>
              <w:rPr>
                <w:rFonts w:hint="eastAsia" w:ascii="宋体" w:hAnsi="宋体" w:cs="宋体"/>
                <w:color w:val="auto"/>
                <w:szCs w:val="21"/>
                <w:highlight w:val="none"/>
                <w:u w:val="none"/>
              </w:rPr>
            </w:pPr>
          </w:p>
        </w:tc>
      </w:tr>
      <w:tr w14:paraId="27A1C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561" w:type="pct"/>
            <w:vMerge w:val="continue"/>
            <w:noWrap w:val="0"/>
            <w:vAlign w:val="center"/>
          </w:tcPr>
          <w:p w14:paraId="395F627F">
            <w:pPr>
              <w:spacing w:line="360" w:lineRule="auto"/>
              <w:ind w:firstLine="420"/>
              <w:jc w:val="center"/>
              <w:rPr>
                <w:rFonts w:hint="eastAsia" w:ascii="宋体" w:hAnsi="宋体" w:cs="宋体"/>
                <w:b/>
                <w:bCs/>
                <w:color w:val="auto"/>
                <w:szCs w:val="21"/>
                <w:highlight w:val="none"/>
                <w:u w:val="none"/>
              </w:rPr>
            </w:pPr>
          </w:p>
        </w:tc>
        <w:tc>
          <w:tcPr>
            <w:tcW w:w="2041" w:type="pct"/>
            <w:shd w:val="clear" w:color="auto" w:fill="auto"/>
            <w:noWrap w:val="0"/>
            <w:vAlign w:val="center"/>
          </w:tcPr>
          <w:p w14:paraId="6F54EF10">
            <w:pPr>
              <w:spacing w:line="360" w:lineRule="auto"/>
              <w:jc w:val="center"/>
              <w:rPr>
                <w:rFonts w:hint="eastAsia" w:ascii="宋体" w:hAnsi="宋体" w:cs="宋体"/>
                <w:color w:val="auto"/>
                <w:szCs w:val="21"/>
                <w:highlight w:val="none"/>
                <w:u w:val="none"/>
                <w:lang w:val="en-US" w:eastAsia="zh-CN"/>
              </w:rPr>
            </w:pPr>
            <w:r>
              <w:rPr>
                <w:rFonts w:hint="eastAsia" w:ascii="宋体" w:hAnsi="宋体" w:cs="宋体"/>
                <w:color w:val="auto"/>
                <w:szCs w:val="21"/>
                <w:highlight w:val="none"/>
                <w:u w:val="none"/>
              </w:rPr>
              <w:t>永安洲分局</w:t>
            </w:r>
          </w:p>
        </w:tc>
        <w:tc>
          <w:tcPr>
            <w:tcW w:w="882" w:type="pct"/>
            <w:shd w:val="clear" w:color="auto" w:fill="auto"/>
            <w:noWrap w:val="0"/>
            <w:vAlign w:val="center"/>
          </w:tcPr>
          <w:p w14:paraId="272A370B">
            <w:pPr>
              <w:spacing w:line="360" w:lineRule="auto"/>
              <w:jc w:val="center"/>
              <w:rPr>
                <w:rFonts w:hint="eastAsia" w:ascii="宋体" w:hAnsi="宋体" w:cs="宋体"/>
                <w:color w:val="auto"/>
                <w:szCs w:val="21"/>
                <w:highlight w:val="none"/>
                <w:u w:val="none"/>
                <w:lang w:val="en-US" w:eastAsia="zh-CN"/>
              </w:rPr>
            </w:pPr>
            <w:r>
              <w:rPr>
                <w:rFonts w:hint="eastAsia" w:ascii="宋体" w:hAnsi="宋体" w:cs="宋体"/>
                <w:color w:val="auto"/>
                <w:szCs w:val="21"/>
                <w:highlight w:val="none"/>
                <w:u w:val="none"/>
              </w:rPr>
              <w:t>120批次/月</w:t>
            </w:r>
          </w:p>
        </w:tc>
        <w:tc>
          <w:tcPr>
            <w:tcW w:w="754" w:type="pct"/>
            <w:shd w:val="clear" w:color="auto" w:fill="auto"/>
            <w:noWrap w:val="0"/>
            <w:vAlign w:val="center"/>
          </w:tcPr>
          <w:p w14:paraId="76FD3BAD">
            <w:pPr>
              <w:spacing w:line="360" w:lineRule="auto"/>
              <w:jc w:val="center"/>
              <w:rPr>
                <w:rFonts w:hint="eastAsia" w:ascii="宋体" w:hAnsi="宋体" w:cs="宋体"/>
                <w:color w:val="auto"/>
                <w:szCs w:val="21"/>
                <w:highlight w:val="none"/>
                <w:u w:val="none"/>
                <w:lang w:val="en-US" w:eastAsia="zh-CN"/>
              </w:rPr>
            </w:pPr>
            <w:r>
              <w:rPr>
                <w:rFonts w:hint="eastAsia" w:ascii="宋体" w:hAnsi="宋体" w:cs="宋体"/>
                <w:color w:val="auto"/>
                <w:szCs w:val="21"/>
                <w:highlight w:val="none"/>
                <w:u w:val="none"/>
              </w:rPr>
              <w:t>1440批次</w:t>
            </w:r>
          </w:p>
        </w:tc>
        <w:tc>
          <w:tcPr>
            <w:tcW w:w="760" w:type="pct"/>
            <w:vMerge w:val="continue"/>
            <w:noWrap w:val="0"/>
            <w:vAlign w:val="center"/>
          </w:tcPr>
          <w:p w14:paraId="65BE2324">
            <w:pPr>
              <w:spacing w:line="360" w:lineRule="auto"/>
              <w:ind w:firstLine="420"/>
              <w:jc w:val="center"/>
              <w:rPr>
                <w:rFonts w:hint="eastAsia" w:ascii="宋体" w:hAnsi="宋体" w:cs="宋体"/>
                <w:color w:val="auto"/>
                <w:szCs w:val="21"/>
                <w:highlight w:val="none"/>
                <w:u w:val="none"/>
              </w:rPr>
            </w:pPr>
          </w:p>
        </w:tc>
      </w:tr>
      <w:tr w14:paraId="40538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561" w:type="pct"/>
            <w:noWrap w:val="0"/>
            <w:vAlign w:val="center"/>
          </w:tcPr>
          <w:p w14:paraId="1E849E95">
            <w:pPr>
              <w:spacing w:line="360" w:lineRule="auto"/>
              <w:jc w:val="center"/>
              <w:rPr>
                <w:rFonts w:hint="eastAsia" w:ascii="宋体" w:hAnsi="宋体" w:cs="宋体"/>
                <w:b/>
                <w:bCs/>
                <w:color w:val="auto"/>
                <w:szCs w:val="21"/>
                <w:highlight w:val="none"/>
                <w:u w:val="none"/>
                <w:lang w:val="en-US" w:eastAsia="zh-CN"/>
              </w:rPr>
            </w:pPr>
            <w:r>
              <w:rPr>
                <w:rFonts w:hint="eastAsia" w:ascii="宋体" w:hAnsi="宋体" w:cs="宋体"/>
                <w:b/>
                <w:bCs/>
                <w:color w:val="auto"/>
                <w:szCs w:val="21"/>
                <w:highlight w:val="none"/>
                <w:u w:val="none"/>
                <w:lang w:val="en-US" w:eastAsia="zh-CN"/>
              </w:rPr>
              <w:t>合计</w:t>
            </w:r>
          </w:p>
        </w:tc>
        <w:tc>
          <w:tcPr>
            <w:tcW w:w="4438" w:type="pct"/>
            <w:gridSpan w:val="4"/>
            <w:noWrap w:val="0"/>
            <w:vAlign w:val="center"/>
          </w:tcPr>
          <w:p w14:paraId="522C258F">
            <w:pPr>
              <w:spacing w:line="360" w:lineRule="auto"/>
              <w:ind w:firstLine="420"/>
              <w:jc w:val="both"/>
              <w:rPr>
                <w:rFonts w:hint="eastAsia" w:ascii="宋体" w:hAnsi="宋体" w:cs="宋体"/>
                <w:color w:val="auto"/>
                <w:szCs w:val="21"/>
                <w:highlight w:val="none"/>
                <w:u w:val="none"/>
              </w:rPr>
            </w:pPr>
            <w:r>
              <w:rPr>
                <w:rFonts w:hint="eastAsia" w:ascii="宋体" w:hAnsi="宋体" w:cs="宋体"/>
                <w:color w:val="auto"/>
                <w:szCs w:val="21"/>
                <w:highlight w:val="none"/>
                <w:u w:val="none"/>
              </w:rPr>
              <w:t>10080批次（含全区重大活动保障服务、你点我检现场活动）</w:t>
            </w:r>
          </w:p>
        </w:tc>
      </w:tr>
    </w:tbl>
    <w:p w14:paraId="79DFBC6E">
      <w:pPr>
        <w:spacing w:line="360" w:lineRule="auto"/>
        <w:ind w:firstLine="420"/>
        <w:rPr>
          <w:rFonts w:hint="eastAsia" w:ascii="宋体" w:hAnsi="宋体" w:cs="宋体"/>
          <w:color w:val="auto"/>
          <w:szCs w:val="21"/>
          <w:highlight w:val="none"/>
          <w:u w:val="none"/>
        </w:rPr>
      </w:pPr>
      <w:r>
        <w:rPr>
          <w:rFonts w:hint="eastAsia" w:ascii="宋体" w:hAnsi="宋体" w:cs="宋体"/>
          <w:color w:val="auto"/>
          <w:szCs w:val="21"/>
          <w:highlight w:val="none"/>
          <w:u w:val="none"/>
        </w:rPr>
        <w:t>（具体内容见磋商文件第四章 项目需求）。</w:t>
      </w:r>
    </w:p>
    <w:p w14:paraId="1BDA54AA">
      <w:pPr>
        <w:pStyle w:val="35"/>
        <w:pageBreakBefore w:val="0"/>
        <w:spacing w:line="360" w:lineRule="auto"/>
        <w:ind w:left="0" w:firstLine="422"/>
        <w:contextualSpacing/>
        <w:rPr>
          <w:rFonts w:hint="eastAsia" w:ascii="宋体" w:hAnsi="宋体" w:cs="宋体"/>
          <w:color w:val="auto"/>
          <w:szCs w:val="21"/>
          <w:highlight w:val="none"/>
          <w:u w:val="none"/>
          <w:lang w:eastAsia="zh-CN"/>
        </w:rPr>
      </w:pPr>
      <w:r>
        <w:rPr>
          <w:rFonts w:hint="eastAsia" w:ascii="宋体" w:hAnsi="宋体" w:cs="宋体"/>
          <w:b/>
          <w:bCs/>
          <w:color w:val="auto"/>
          <w:szCs w:val="21"/>
          <w:highlight w:val="none"/>
          <w:u w:val="none"/>
        </w:rPr>
        <w:t>合同履行期限：</w:t>
      </w:r>
      <w:r>
        <w:rPr>
          <w:rFonts w:hint="eastAsia" w:ascii="宋体" w:hAnsi="宋体" w:cs="宋体"/>
          <w:color w:val="auto"/>
          <w:szCs w:val="21"/>
          <w:highlight w:val="none"/>
          <w:u w:val="none"/>
          <w:lang w:eastAsia="zh-CN"/>
        </w:rPr>
        <w:t>合同签订之日起一年，起始时间按照采购人要求开展工作。</w:t>
      </w:r>
    </w:p>
    <w:p w14:paraId="5E74CD34">
      <w:pPr>
        <w:pageBreakBefore w:val="0"/>
        <w:spacing w:line="360" w:lineRule="auto"/>
        <w:ind w:firstLine="420"/>
        <w:rPr>
          <w:rFonts w:hint="eastAsia" w:ascii="宋体" w:hAnsi="宋体" w:cs="宋体"/>
          <w:b/>
          <w:bCs/>
          <w:color w:val="auto"/>
          <w:szCs w:val="21"/>
          <w:highlight w:val="none"/>
          <w:u w:val="none"/>
        </w:rPr>
      </w:pPr>
      <w:r>
        <w:rPr>
          <w:rFonts w:hint="eastAsia" w:ascii="宋体" w:hAnsi="宋体" w:cs="宋体"/>
          <w:b/>
          <w:bCs/>
          <w:color w:val="auto"/>
          <w:szCs w:val="21"/>
          <w:highlight w:val="none"/>
          <w:u w:val="none"/>
        </w:rPr>
        <w:t>本项目是否接受联合体投标：否。</w:t>
      </w:r>
    </w:p>
    <w:p w14:paraId="307E0311">
      <w:pPr>
        <w:autoSpaceDE w:val="0"/>
        <w:autoSpaceDN w:val="0"/>
        <w:spacing w:line="360" w:lineRule="auto"/>
        <w:rPr>
          <w:rFonts w:hint="eastAsia" w:ascii="宋体" w:hAnsi="宋体" w:cs="宋体"/>
          <w:b/>
          <w:bCs/>
          <w:color w:val="auto"/>
          <w:szCs w:val="21"/>
          <w:highlight w:val="none"/>
          <w:u w:val="none"/>
        </w:rPr>
      </w:pPr>
      <w:r>
        <w:rPr>
          <w:rFonts w:hint="eastAsia" w:ascii="宋体" w:hAnsi="宋体" w:cs="宋体"/>
          <w:b/>
          <w:bCs/>
          <w:color w:val="auto"/>
          <w:szCs w:val="21"/>
          <w:highlight w:val="none"/>
          <w:u w:val="none"/>
        </w:rPr>
        <w:t>二、申请人的资格要求：</w:t>
      </w:r>
      <w:bookmarkEnd w:id="8"/>
      <w:bookmarkEnd w:id="9"/>
      <w:bookmarkEnd w:id="10"/>
      <w:bookmarkEnd w:id="11"/>
    </w:p>
    <w:p w14:paraId="6D486E54">
      <w:pPr>
        <w:spacing w:line="360" w:lineRule="auto"/>
        <w:ind w:firstLine="422" w:firstLineChars="200"/>
        <w:rPr>
          <w:rFonts w:hint="eastAsia" w:ascii="宋体" w:hAnsi="宋体" w:cs="宋体"/>
          <w:b/>
          <w:bCs/>
          <w:color w:val="auto"/>
          <w:highlight w:val="none"/>
          <w:u w:val="none"/>
        </w:rPr>
      </w:pPr>
      <w:bookmarkStart w:id="12" w:name="_Toc35393631"/>
      <w:bookmarkStart w:id="13" w:name="_Toc28359091"/>
      <w:bookmarkStart w:id="14" w:name="_Toc28359014"/>
      <w:bookmarkStart w:id="15" w:name="_Toc35393800"/>
      <w:r>
        <w:rPr>
          <w:rFonts w:hint="eastAsia" w:ascii="宋体" w:hAnsi="宋体" w:cs="宋体"/>
          <w:b/>
          <w:bCs/>
          <w:color w:val="auto"/>
          <w:highlight w:val="none"/>
          <w:u w:val="none"/>
        </w:rPr>
        <w:t>1.满足《中华人民共和国政府采购法》第二十二条的规定：</w:t>
      </w:r>
    </w:p>
    <w:p w14:paraId="4E289E91">
      <w:pPr>
        <w:keepNext w:val="0"/>
        <w:keepLines w:val="0"/>
        <w:pageBreakBefore w:val="0"/>
        <w:widowControl/>
        <w:shd w:val="clear" w:color="auto" w:fill="FFFFFF"/>
        <w:kinsoku/>
        <w:wordWrap/>
        <w:overflowPunct/>
        <w:topLinePunct w:val="0"/>
        <w:autoSpaceDE/>
        <w:autoSpaceDN/>
        <w:bidi w:val="0"/>
        <w:adjustRightInd w:val="0"/>
        <w:snapToGrid w:val="0"/>
        <w:spacing w:after="0" w:line="360" w:lineRule="auto"/>
        <w:ind w:firstLine="420" w:firstLineChars="200"/>
        <w:jc w:val="both"/>
        <w:textAlignment w:val="auto"/>
        <w:outlineLvl w:val="1"/>
        <w:rPr>
          <w:rFonts w:hint="eastAsia" w:ascii="宋体" w:hAnsi="宋体" w:eastAsia="宋体" w:cs="宋体"/>
          <w:color w:val="auto"/>
          <w:sz w:val="21"/>
          <w:szCs w:val="21"/>
          <w:highlight w:val="none"/>
          <w:u w:val="none"/>
        </w:rPr>
      </w:pPr>
      <w:bookmarkStart w:id="16" w:name="_Toc6313"/>
      <w:bookmarkStart w:id="17" w:name="_Toc7283"/>
      <w:bookmarkStart w:id="18" w:name="_Toc7272"/>
      <w:bookmarkStart w:id="19" w:name="_Toc767"/>
      <w:bookmarkStart w:id="20" w:name="_Toc23619"/>
      <w:bookmarkStart w:id="21" w:name="_Toc8387"/>
      <w:bookmarkStart w:id="22" w:name="_Toc7547"/>
      <w:r>
        <w:rPr>
          <w:rFonts w:hint="eastAsia" w:ascii="宋体" w:hAnsi="宋体" w:eastAsia="宋体" w:cs="宋体"/>
          <w:color w:val="auto"/>
          <w:sz w:val="21"/>
          <w:szCs w:val="21"/>
          <w:highlight w:val="none"/>
          <w:u w:val="none"/>
          <w:lang w:eastAsia="zh-CN"/>
        </w:rPr>
        <w:t>（1）</w:t>
      </w:r>
      <w:r>
        <w:rPr>
          <w:rFonts w:hint="eastAsia" w:ascii="宋体" w:hAnsi="宋体" w:eastAsia="宋体" w:cs="宋体"/>
          <w:color w:val="auto"/>
          <w:sz w:val="21"/>
          <w:szCs w:val="21"/>
          <w:highlight w:val="none"/>
          <w:u w:val="none"/>
        </w:rPr>
        <w:t>法人或者其他组织的营业执照等证明文件</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rPr>
        <w:t>自然人的身份证明复印件</w:t>
      </w:r>
      <w:r>
        <w:rPr>
          <w:rFonts w:hint="eastAsia" w:ascii="宋体" w:hAnsi="宋体" w:eastAsia="宋体" w:cs="宋体"/>
          <w:color w:val="auto"/>
          <w:sz w:val="21"/>
          <w:szCs w:val="21"/>
          <w:highlight w:val="none"/>
          <w:u w:val="none"/>
          <w:lang w:eastAsia="zh-CN"/>
        </w:rPr>
        <w:t>；</w:t>
      </w:r>
      <w:bookmarkEnd w:id="16"/>
      <w:bookmarkEnd w:id="17"/>
      <w:bookmarkEnd w:id="18"/>
      <w:bookmarkEnd w:id="19"/>
      <w:bookmarkEnd w:id="20"/>
      <w:bookmarkEnd w:id="21"/>
      <w:bookmarkEnd w:id="22"/>
    </w:p>
    <w:p w14:paraId="0FD123B1">
      <w:pPr>
        <w:keepNext w:val="0"/>
        <w:keepLines w:val="0"/>
        <w:pageBreakBefore w:val="0"/>
        <w:widowControl/>
        <w:shd w:val="clear" w:color="auto" w:fill="FFFFFF"/>
        <w:kinsoku/>
        <w:wordWrap/>
        <w:overflowPunct/>
        <w:topLinePunct w:val="0"/>
        <w:autoSpaceDE/>
        <w:autoSpaceDN/>
        <w:bidi w:val="0"/>
        <w:adjustRightInd w:val="0"/>
        <w:snapToGrid w:val="0"/>
        <w:spacing w:after="0" w:line="360" w:lineRule="auto"/>
        <w:ind w:firstLine="420" w:firstLineChars="200"/>
        <w:jc w:val="both"/>
        <w:textAlignment w:val="auto"/>
        <w:outlineLvl w:val="1"/>
        <w:rPr>
          <w:rFonts w:hint="eastAsia" w:ascii="宋体" w:hAnsi="宋体" w:eastAsia="宋体" w:cs="宋体"/>
          <w:color w:val="auto"/>
          <w:sz w:val="21"/>
          <w:szCs w:val="21"/>
          <w:highlight w:val="none"/>
          <w:u w:val="none"/>
        </w:rPr>
      </w:pPr>
      <w:bookmarkStart w:id="23" w:name="_Toc32141"/>
      <w:bookmarkStart w:id="24" w:name="_Toc5812"/>
      <w:bookmarkStart w:id="25" w:name="_Toc8361"/>
      <w:bookmarkStart w:id="26" w:name="_Toc19663"/>
      <w:bookmarkStart w:id="27" w:name="_Toc15989"/>
      <w:bookmarkStart w:id="28" w:name="_Toc9724"/>
      <w:bookmarkStart w:id="29" w:name="_Toc21911"/>
      <w:r>
        <w:rPr>
          <w:rFonts w:hint="eastAsia" w:ascii="宋体" w:hAnsi="宋体" w:eastAsia="宋体" w:cs="宋体"/>
          <w:color w:val="auto"/>
          <w:sz w:val="21"/>
          <w:szCs w:val="21"/>
          <w:highlight w:val="none"/>
          <w:u w:val="none"/>
          <w:lang w:eastAsia="zh-CN"/>
        </w:rPr>
        <w:t>（2）</w:t>
      </w:r>
      <w:r>
        <w:rPr>
          <w:rFonts w:hint="eastAsia" w:ascii="宋体" w:hAnsi="宋体" w:eastAsia="宋体" w:cs="宋体"/>
          <w:color w:val="auto"/>
          <w:sz w:val="21"/>
          <w:szCs w:val="21"/>
          <w:highlight w:val="none"/>
          <w:u w:val="none"/>
        </w:rPr>
        <w:t>财务状况</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rPr>
        <w:t>2024年度或2025年度经会计师事务所审计的财务报告（须提供加盖会计师事务所公章及注册会计师签章的复印件）；没有经审计的财务报告的，也可以提供2025年或2026年任意一个月的财务报表，或提供距离投标截止时间6个月内基本开户银行出具的资信证明复印件；</w:t>
      </w:r>
      <w:bookmarkEnd w:id="23"/>
      <w:bookmarkEnd w:id="24"/>
      <w:bookmarkEnd w:id="25"/>
      <w:bookmarkEnd w:id="26"/>
      <w:bookmarkEnd w:id="27"/>
      <w:bookmarkEnd w:id="28"/>
      <w:bookmarkEnd w:id="29"/>
    </w:p>
    <w:p w14:paraId="5025FF9A">
      <w:pPr>
        <w:keepNext w:val="0"/>
        <w:keepLines w:val="0"/>
        <w:pageBreakBefore w:val="0"/>
        <w:widowControl/>
        <w:shd w:val="clear" w:color="auto" w:fill="FFFFFF"/>
        <w:kinsoku/>
        <w:wordWrap/>
        <w:overflowPunct/>
        <w:topLinePunct w:val="0"/>
        <w:autoSpaceDE/>
        <w:autoSpaceDN/>
        <w:bidi w:val="0"/>
        <w:adjustRightInd w:val="0"/>
        <w:snapToGrid w:val="0"/>
        <w:spacing w:after="0" w:line="360" w:lineRule="auto"/>
        <w:ind w:firstLine="420" w:firstLineChars="200"/>
        <w:jc w:val="both"/>
        <w:textAlignment w:val="auto"/>
        <w:outlineLvl w:val="1"/>
        <w:rPr>
          <w:rFonts w:hint="eastAsia" w:ascii="宋体" w:hAnsi="宋体" w:eastAsia="宋体" w:cs="宋体"/>
          <w:color w:val="auto"/>
          <w:sz w:val="21"/>
          <w:szCs w:val="21"/>
          <w:highlight w:val="none"/>
          <w:u w:val="none"/>
          <w:lang w:val="en-US" w:eastAsia="zh-CN"/>
        </w:rPr>
      </w:pPr>
      <w:bookmarkStart w:id="30" w:name="_Toc11529"/>
      <w:bookmarkStart w:id="31" w:name="_Toc27534"/>
      <w:bookmarkStart w:id="32" w:name="_Toc23898"/>
      <w:bookmarkStart w:id="33" w:name="_Toc1762"/>
      <w:bookmarkStart w:id="34" w:name="_Toc10398"/>
      <w:bookmarkStart w:id="35" w:name="_Toc31147"/>
      <w:bookmarkStart w:id="36" w:name="_Toc32003"/>
      <w:r>
        <w:rPr>
          <w:rFonts w:hint="eastAsia" w:ascii="宋体" w:hAnsi="宋体" w:eastAsia="宋体" w:cs="宋体"/>
          <w:color w:val="auto"/>
          <w:sz w:val="21"/>
          <w:szCs w:val="21"/>
          <w:highlight w:val="none"/>
          <w:u w:val="none"/>
          <w:lang w:eastAsia="zh-CN"/>
        </w:rPr>
        <w:t>（3）</w:t>
      </w:r>
      <w:r>
        <w:rPr>
          <w:rFonts w:hint="eastAsia" w:ascii="宋体" w:hAnsi="宋体" w:eastAsia="宋体" w:cs="宋体"/>
          <w:color w:val="auto"/>
          <w:sz w:val="21"/>
          <w:szCs w:val="21"/>
          <w:highlight w:val="none"/>
          <w:u w:val="none"/>
        </w:rPr>
        <w:t>依法缴纳税收</w:t>
      </w:r>
      <w:r>
        <w:rPr>
          <w:rFonts w:hint="eastAsia" w:ascii="宋体" w:hAnsi="宋体" w:eastAsia="宋体" w:cs="宋体"/>
          <w:color w:val="auto"/>
          <w:sz w:val="21"/>
          <w:szCs w:val="21"/>
          <w:highlight w:val="none"/>
          <w:u w:val="none"/>
          <w:lang w:eastAsia="zh-CN"/>
        </w:rPr>
        <w:t>：</w:t>
      </w:r>
      <w:r>
        <w:rPr>
          <w:rFonts w:hint="eastAsia" w:ascii="宋体" w:hAnsi="宋体" w:cs="宋体"/>
          <w:color w:val="auto"/>
          <w:sz w:val="21"/>
          <w:szCs w:val="21"/>
          <w:highlight w:val="none"/>
          <w:u w:val="none"/>
          <w:lang w:eastAsia="zh-CN"/>
        </w:rPr>
        <w:t>2026年1月</w:t>
      </w:r>
      <w:r>
        <w:rPr>
          <w:rFonts w:hint="eastAsia" w:ascii="宋体" w:hAnsi="宋体" w:eastAsia="宋体" w:cs="宋体"/>
          <w:color w:val="auto"/>
          <w:sz w:val="21"/>
          <w:szCs w:val="21"/>
          <w:highlight w:val="none"/>
          <w:u w:val="none"/>
          <w:lang w:eastAsia="zh-CN"/>
        </w:rPr>
        <w:t>（含）至开标当日任一月份依法缴纳税收（依法缴纳税收材料是指：税务部门出具的税收证明或完税凭证或银行出具的税收缴款证明）的相关材料复印件，如依法免税或不需要纳税的，则应提供相应证明材料复印件；</w:t>
      </w:r>
      <w:bookmarkEnd w:id="30"/>
      <w:bookmarkEnd w:id="31"/>
      <w:bookmarkEnd w:id="32"/>
      <w:bookmarkEnd w:id="33"/>
      <w:bookmarkEnd w:id="34"/>
      <w:bookmarkEnd w:id="35"/>
      <w:bookmarkEnd w:id="36"/>
      <w:r>
        <w:rPr>
          <w:rFonts w:hint="eastAsia" w:ascii="宋体" w:hAnsi="宋体" w:eastAsia="宋体" w:cs="宋体"/>
          <w:color w:val="auto"/>
          <w:sz w:val="21"/>
          <w:szCs w:val="21"/>
          <w:highlight w:val="none"/>
          <w:u w:val="none"/>
          <w:lang w:val="en-US" w:eastAsia="zh-CN"/>
        </w:rPr>
        <w:t xml:space="preserve">  </w:t>
      </w:r>
    </w:p>
    <w:p w14:paraId="19637849">
      <w:pPr>
        <w:keepNext w:val="0"/>
        <w:keepLines w:val="0"/>
        <w:pageBreakBefore w:val="0"/>
        <w:widowControl/>
        <w:shd w:val="clear" w:color="auto" w:fill="FFFFFF"/>
        <w:kinsoku/>
        <w:wordWrap/>
        <w:overflowPunct/>
        <w:topLinePunct w:val="0"/>
        <w:autoSpaceDE/>
        <w:autoSpaceDN/>
        <w:bidi w:val="0"/>
        <w:adjustRightInd w:val="0"/>
        <w:snapToGrid w:val="0"/>
        <w:spacing w:after="0" w:line="360" w:lineRule="auto"/>
        <w:ind w:firstLine="420" w:firstLineChars="200"/>
        <w:jc w:val="both"/>
        <w:textAlignment w:val="auto"/>
        <w:outlineLvl w:val="1"/>
        <w:rPr>
          <w:rFonts w:hint="eastAsia" w:ascii="宋体" w:hAnsi="宋体" w:eastAsia="宋体" w:cs="宋体"/>
          <w:color w:val="auto"/>
          <w:sz w:val="21"/>
          <w:szCs w:val="21"/>
          <w:highlight w:val="none"/>
          <w:u w:val="none"/>
          <w:lang w:eastAsia="zh-CN"/>
        </w:rPr>
      </w:pPr>
      <w:bookmarkStart w:id="37" w:name="_Toc13841"/>
      <w:bookmarkStart w:id="38" w:name="_Toc24909"/>
      <w:bookmarkStart w:id="39" w:name="_Toc4342"/>
      <w:bookmarkStart w:id="40" w:name="_Toc1496"/>
      <w:bookmarkStart w:id="41" w:name="_Toc4215"/>
      <w:bookmarkStart w:id="42" w:name="_Toc25949"/>
      <w:bookmarkStart w:id="43" w:name="_Toc26705"/>
      <w:r>
        <w:rPr>
          <w:rFonts w:hint="eastAsia" w:ascii="宋体" w:hAnsi="宋体" w:eastAsia="宋体" w:cs="宋体"/>
          <w:color w:val="auto"/>
          <w:sz w:val="21"/>
          <w:szCs w:val="21"/>
          <w:highlight w:val="none"/>
          <w:u w:val="none"/>
          <w:lang w:eastAsia="zh-CN"/>
        </w:rPr>
        <w:t>（4）</w:t>
      </w:r>
      <w:r>
        <w:rPr>
          <w:rFonts w:hint="eastAsia" w:ascii="宋体" w:hAnsi="宋体" w:eastAsia="宋体" w:cs="宋体"/>
          <w:color w:val="auto"/>
          <w:sz w:val="21"/>
          <w:szCs w:val="21"/>
          <w:highlight w:val="none"/>
          <w:u w:val="none"/>
        </w:rPr>
        <w:t>社会保障资金</w:t>
      </w:r>
      <w:r>
        <w:rPr>
          <w:rFonts w:hint="eastAsia" w:ascii="宋体" w:hAnsi="宋体" w:eastAsia="宋体" w:cs="宋体"/>
          <w:color w:val="auto"/>
          <w:sz w:val="21"/>
          <w:szCs w:val="21"/>
          <w:highlight w:val="none"/>
          <w:u w:val="none"/>
          <w:lang w:eastAsia="zh-CN"/>
        </w:rPr>
        <w:t>：</w:t>
      </w:r>
      <w:r>
        <w:rPr>
          <w:rFonts w:hint="eastAsia" w:ascii="宋体" w:hAnsi="宋体" w:cs="宋体"/>
          <w:color w:val="auto"/>
          <w:sz w:val="21"/>
          <w:szCs w:val="21"/>
          <w:highlight w:val="none"/>
          <w:u w:val="none"/>
          <w:lang w:eastAsia="zh-CN"/>
        </w:rPr>
        <w:t>2026年1月</w:t>
      </w:r>
      <w:r>
        <w:rPr>
          <w:rFonts w:hint="eastAsia" w:ascii="宋体" w:hAnsi="宋体" w:eastAsia="宋体" w:cs="宋体"/>
          <w:color w:val="auto"/>
          <w:sz w:val="21"/>
          <w:szCs w:val="21"/>
          <w:highlight w:val="none"/>
          <w:u w:val="none"/>
          <w:lang w:eastAsia="zh-CN"/>
        </w:rPr>
        <w:t>（含）至开标当日任一月份的依法缴纳社会保障资金的相关材料复印件（社会保障资金材料是指：人社部门或税务机关或银行出具的缴纳社保的凭证），如依法不需要缴纳社会保障资金的，则应提供相应证明材料复印件；</w:t>
      </w:r>
      <w:bookmarkEnd w:id="37"/>
      <w:bookmarkEnd w:id="38"/>
      <w:bookmarkEnd w:id="39"/>
      <w:bookmarkEnd w:id="40"/>
      <w:bookmarkEnd w:id="41"/>
      <w:bookmarkEnd w:id="42"/>
      <w:bookmarkEnd w:id="43"/>
    </w:p>
    <w:p w14:paraId="480B27A5">
      <w:pPr>
        <w:keepNext w:val="0"/>
        <w:keepLines w:val="0"/>
        <w:pageBreakBefore w:val="0"/>
        <w:widowControl/>
        <w:shd w:val="clear" w:color="auto" w:fill="FFFFFF"/>
        <w:kinsoku/>
        <w:wordWrap/>
        <w:overflowPunct/>
        <w:topLinePunct w:val="0"/>
        <w:autoSpaceDE/>
        <w:autoSpaceDN/>
        <w:bidi w:val="0"/>
        <w:adjustRightInd w:val="0"/>
        <w:snapToGrid w:val="0"/>
        <w:spacing w:after="0" w:line="360" w:lineRule="auto"/>
        <w:ind w:firstLine="420" w:firstLineChars="200"/>
        <w:jc w:val="both"/>
        <w:textAlignment w:val="auto"/>
        <w:outlineLvl w:val="1"/>
        <w:rPr>
          <w:rFonts w:hint="eastAsia" w:ascii="宋体" w:hAnsi="宋体" w:eastAsia="宋体" w:cs="宋体"/>
          <w:color w:val="auto"/>
          <w:sz w:val="21"/>
          <w:szCs w:val="21"/>
          <w:highlight w:val="none"/>
          <w:u w:val="none"/>
        </w:rPr>
      </w:pPr>
      <w:bookmarkStart w:id="44" w:name="_Toc1329"/>
      <w:bookmarkStart w:id="45" w:name="_Toc16427"/>
      <w:bookmarkStart w:id="46" w:name="_Toc30667"/>
      <w:bookmarkStart w:id="47" w:name="_Toc4247"/>
      <w:bookmarkStart w:id="48" w:name="_Toc2326"/>
      <w:bookmarkStart w:id="49" w:name="_Toc14806"/>
      <w:bookmarkStart w:id="50" w:name="_Toc2040"/>
      <w:r>
        <w:rPr>
          <w:rFonts w:hint="eastAsia" w:ascii="宋体" w:hAnsi="宋体" w:eastAsia="宋体" w:cs="宋体"/>
          <w:color w:val="auto"/>
          <w:sz w:val="21"/>
          <w:szCs w:val="21"/>
          <w:highlight w:val="none"/>
          <w:u w:val="none"/>
          <w:lang w:eastAsia="zh-CN"/>
        </w:rPr>
        <w:t>（5）</w:t>
      </w:r>
      <w:r>
        <w:rPr>
          <w:rFonts w:hint="eastAsia" w:ascii="宋体" w:hAnsi="宋体" w:eastAsia="宋体" w:cs="宋体"/>
          <w:color w:val="auto"/>
          <w:sz w:val="21"/>
          <w:szCs w:val="21"/>
          <w:highlight w:val="none"/>
          <w:u w:val="none"/>
        </w:rPr>
        <w:t>具备履行合同所必需的设备和专业技术能力的声明或证明材料复印件</w:t>
      </w:r>
      <w:r>
        <w:rPr>
          <w:rFonts w:hint="eastAsia" w:ascii="宋体" w:hAnsi="宋体" w:eastAsia="宋体" w:cs="宋体"/>
          <w:color w:val="auto"/>
          <w:sz w:val="21"/>
          <w:szCs w:val="21"/>
          <w:highlight w:val="none"/>
          <w:u w:val="none"/>
          <w:lang w:eastAsia="zh-CN"/>
        </w:rPr>
        <w:t>；</w:t>
      </w:r>
      <w:bookmarkEnd w:id="44"/>
      <w:bookmarkEnd w:id="45"/>
      <w:bookmarkEnd w:id="46"/>
      <w:bookmarkEnd w:id="47"/>
      <w:bookmarkEnd w:id="48"/>
      <w:bookmarkEnd w:id="49"/>
      <w:bookmarkEnd w:id="50"/>
    </w:p>
    <w:p w14:paraId="38881800">
      <w:pPr>
        <w:keepNext w:val="0"/>
        <w:keepLines w:val="0"/>
        <w:pageBreakBefore w:val="0"/>
        <w:widowControl/>
        <w:shd w:val="clear" w:color="auto" w:fill="FFFFFF"/>
        <w:kinsoku/>
        <w:wordWrap/>
        <w:overflowPunct/>
        <w:topLinePunct w:val="0"/>
        <w:autoSpaceDE/>
        <w:autoSpaceDN/>
        <w:bidi w:val="0"/>
        <w:adjustRightInd w:val="0"/>
        <w:snapToGrid w:val="0"/>
        <w:spacing w:after="0" w:line="360" w:lineRule="auto"/>
        <w:ind w:firstLine="420" w:firstLineChars="200"/>
        <w:jc w:val="both"/>
        <w:textAlignment w:val="auto"/>
        <w:outlineLvl w:val="1"/>
        <w:rPr>
          <w:rFonts w:hint="eastAsia" w:ascii="宋体" w:hAnsi="宋体" w:eastAsia="宋体" w:cs="宋体"/>
          <w:color w:val="auto"/>
          <w:sz w:val="21"/>
          <w:szCs w:val="21"/>
          <w:highlight w:val="none"/>
          <w:u w:val="none"/>
        </w:rPr>
      </w:pPr>
      <w:bookmarkStart w:id="51" w:name="_Toc5225"/>
      <w:bookmarkStart w:id="52" w:name="_Toc8398"/>
      <w:bookmarkStart w:id="53" w:name="_Toc15223"/>
      <w:bookmarkStart w:id="54" w:name="_Toc15133"/>
      <w:bookmarkStart w:id="55" w:name="_Toc32111"/>
      <w:bookmarkStart w:id="56" w:name="_Toc23548"/>
      <w:bookmarkStart w:id="57" w:name="_Toc25939"/>
      <w:r>
        <w:rPr>
          <w:rFonts w:hint="eastAsia" w:ascii="宋体" w:hAnsi="宋体" w:eastAsia="宋体" w:cs="宋体"/>
          <w:color w:val="auto"/>
          <w:sz w:val="21"/>
          <w:szCs w:val="21"/>
          <w:highlight w:val="none"/>
          <w:u w:val="none"/>
          <w:lang w:eastAsia="zh-CN"/>
        </w:rPr>
        <w:t>（6）</w:t>
      </w:r>
      <w:r>
        <w:rPr>
          <w:rFonts w:hint="eastAsia" w:ascii="宋体" w:hAnsi="宋体" w:eastAsia="宋体" w:cs="宋体"/>
          <w:color w:val="auto"/>
          <w:sz w:val="21"/>
          <w:szCs w:val="21"/>
          <w:highlight w:val="none"/>
          <w:u w:val="none"/>
        </w:rPr>
        <w:t>参加政府采购活动前3年内在经营活动中没有重大违法记录的书面声明</w:t>
      </w:r>
      <w:r>
        <w:rPr>
          <w:rFonts w:hint="eastAsia" w:ascii="宋体" w:hAnsi="宋体" w:eastAsia="宋体" w:cs="宋体"/>
          <w:color w:val="auto"/>
          <w:sz w:val="21"/>
          <w:szCs w:val="21"/>
          <w:highlight w:val="none"/>
          <w:u w:val="none"/>
          <w:lang w:eastAsia="zh-CN"/>
        </w:rPr>
        <w:t>；</w:t>
      </w:r>
      <w:bookmarkEnd w:id="51"/>
      <w:bookmarkEnd w:id="52"/>
      <w:bookmarkEnd w:id="53"/>
      <w:bookmarkEnd w:id="54"/>
      <w:bookmarkEnd w:id="55"/>
      <w:bookmarkEnd w:id="56"/>
      <w:bookmarkEnd w:id="57"/>
    </w:p>
    <w:p w14:paraId="795E6B6B">
      <w:pPr>
        <w:keepNext w:val="0"/>
        <w:keepLines w:val="0"/>
        <w:pageBreakBefore w:val="0"/>
        <w:widowControl/>
        <w:shd w:val="clear" w:color="auto" w:fill="FFFFFF"/>
        <w:kinsoku/>
        <w:wordWrap/>
        <w:overflowPunct/>
        <w:topLinePunct w:val="0"/>
        <w:autoSpaceDE/>
        <w:autoSpaceDN/>
        <w:bidi w:val="0"/>
        <w:adjustRightInd w:val="0"/>
        <w:snapToGrid w:val="0"/>
        <w:spacing w:after="0" w:line="360" w:lineRule="auto"/>
        <w:ind w:firstLine="420" w:firstLineChars="200"/>
        <w:jc w:val="both"/>
        <w:textAlignment w:val="auto"/>
        <w:outlineLvl w:val="1"/>
        <w:rPr>
          <w:rFonts w:hint="eastAsia" w:ascii="宋体" w:hAnsi="宋体" w:eastAsia="宋体" w:cs="宋体"/>
          <w:color w:val="auto"/>
          <w:sz w:val="21"/>
          <w:szCs w:val="21"/>
          <w:highlight w:val="none"/>
          <w:u w:val="none"/>
        </w:rPr>
      </w:pPr>
      <w:bookmarkStart w:id="58" w:name="_Toc25179"/>
      <w:bookmarkStart w:id="59" w:name="_Toc13577"/>
      <w:bookmarkStart w:id="60" w:name="_Toc21093"/>
      <w:bookmarkStart w:id="61" w:name="_Toc13643"/>
      <w:bookmarkStart w:id="62" w:name="_Toc6453"/>
      <w:bookmarkStart w:id="63" w:name="_Toc12816"/>
      <w:bookmarkStart w:id="64" w:name="_Toc15671"/>
      <w:r>
        <w:rPr>
          <w:rFonts w:hint="eastAsia" w:ascii="宋体" w:hAnsi="宋体" w:eastAsia="宋体" w:cs="宋体"/>
          <w:color w:val="auto"/>
          <w:sz w:val="21"/>
          <w:szCs w:val="21"/>
          <w:highlight w:val="none"/>
          <w:u w:val="none"/>
          <w:lang w:eastAsia="zh-CN"/>
        </w:rPr>
        <w:t>（7）</w:t>
      </w:r>
      <w:r>
        <w:rPr>
          <w:rFonts w:hint="eastAsia" w:ascii="宋体" w:hAnsi="宋体" w:eastAsia="宋体" w:cs="宋体"/>
          <w:color w:val="auto"/>
          <w:sz w:val="21"/>
          <w:szCs w:val="21"/>
          <w:highlight w:val="none"/>
          <w:u w:val="none"/>
        </w:rPr>
        <w:t>具备法律、行政法规规定的其他条件的证明材料</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rPr>
        <w:t>无</w:t>
      </w:r>
      <w:r>
        <w:rPr>
          <w:rFonts w:hint="eastAsia" w:ascii="宋体" w:hAnsi="宋体" w:eastAsia="宋体" w:cs="宋体"/>
          <w:color w:val="auto"/>
          <w:sz w:val="21"/>
          <w:szCs w:val="21"/>
          <w:highlight w:val="none"/>
          <w:u w:val="none"/>
          <w:lang w:eastAsia="zh-CN"/>
        </w:rPr>
        <w:t>；</w:t>
      </w:r>
      <w:bookmarkEnd w:id="58"/>
      <w:bookmarkEnd w:id="59"/>
      <w:bookmarkEnd w:id="60"/>
      <w:bookmarkEnd w:id="61"/>
      <w:bookmarkEnd w:id="62"/>
      <w:bookmarkEnd w:id="63"/>
      <w:bookmarkEnd w:id="64"/>
    </w:p>
    <w:p w14:paraId="0B73E5E1">
      <w:pPr>
        <w:numPr>
          <w:ilvl w:val="0"/>
          <w:numId w:val="0"/>
        </w:numPr>
        <w:spacing w:line="360" w:lineRule="auto"/>
        <w:ind w:firstLine="422" w:firstLineChars="200"/>
        <w:rPr>
          <w:rFonts w:hint="eastAsia" w:ascii="宋体" w:hAnsi="宋体" w:cs="宋体"/>
          <w:b/>
          <w:bCs/>
          <w:color w:val="auto"/>
          <w:highlight w:val="none"/>
          <w:u w:val="none"/>
        </w:rPr>
      </w:pPr>
      <w:r>
        <w:rPr>
          <w:rFonts w:hint="eastAsia" w:ascii="宋体" w:hAnsi="宋体" w:cs="宋体"/>
          <w:b/>
          <w:bCs/>
          <w:color w:val="auto"/>
          <w:highlight w:val="none"/>
          <w:u w:val="none"/>
          <w:lang w:val="en-US" w:eastAsia="zh-CN"/>
        </w:rPr>
        <w:t>2.</w:t>
      </w:r>
      <w:r>
        <w:rPr>
          <w:rFonts w:hint="eastAsia" w:ascii="宋体" w:hAnsi="宋体" w:cs="宋体"/>
          <w:b/>
          <w:bCs/>
          <w:color w:val="auto"/>
          <w:highlight w:val="none"/>
          <w:u w:val="none"/>
        </w:rPr>
        <w:t>落实政府采购政策需满足的资格要求：本项目专门面向中小企业采购，所属行业为其他未列明行业。</w:t>
      </w:r>
    </w:p>
    <w:p w14:paraId="3925D5BD">
      <w:pPr>
        <w:numPr>
          <w:ilvl w:val="0"/>
          <w:numId w:val="0"/>
        </w:numPr>
        <w:spacing w:line="360" w:lineRule="auto"/>
        <w:ind w:firstLine="420" w:firstLineChars="200"/>
        <w:rPr>
          <w:rFonts w:hint="eastAsia" w:ascii="宋体" w:hAnsi="宋体" w:cs="宋体"/>
          <w:color w:val="auto"/>
          <w:highlight w:val="none"/>
          <w:u w:val="none"/>
        </w:rPr>
      </w:pPr>
      <w:r>
        <w:rPr>
          <w:rFonts w:hint="eastAsia" w:ascii="宋体" w:hAnsi="宋体" w:cs="宋体"/>
          <w:color w:val="auto"/>
          <w:highlight w:val="none"/>
          <w:u w:val="none"/>
        </w:rPr>
        <w:t>响应供应商须按照《政府采购促进中小企业发展管理办法》（财库〔2020〕46 号）规定，如实提供《中小企业声明函》</w:t>
      </w:r>
      <w:r>
        <w:rPr>
          <w:rFonts w:hint="eastAsia" w:ascii="宋体" w:hAnsi="宋体" w:cs="宋体"/>
          <w:color w:val="auto"/>
          <w:highlight w:val="none"/>
          <w:u w:val="none"/>
          <w:lang w:eastAsia="zh-CN"/>
        </w:rPr>
        <w:t>；</w:t>
      </w:r>
      <w:r>
        <w:rPr>
          <w:rFonts w:hint="eastAsia" w:ascii="宋体" w:hAnsi="宋体" w:cs="宋体"/>
          <w:color w:val="auto"/>
          <w:highlight w:val="none"/>
          <w:u w:val="none"/>
        </w:rPr>
        <w:t>中小企业划型标准执行《关于印发中小企业划型标准规定的通知》（工信部联企业〔2011〕300 号）。</w:t>
      </w:r>
    </w:p>
    <w:p w14:paraId="138A53E1">
      <w:pPr>
        <w:numPr>
          <w:ilvl w:val="0"/>
          <w:numId w:val="0"/>
        </w:numPr>
        <w:spacing w:line="360" w:lineRule="auto"/>
        <w:ind w:firstLine="422" w:firstLineChars="200"/>
        <w:rPr>
          <w:rFonts w:hint="eastAsia" w:ascii="宋体" w:hAnsi="宋体" w:cs="宋体"/>
          <w:b/>
          <w:bCs w:val="0"/>
          <w:color w:val="auto"/>
          <w:szCs w:val="21"/>
          <w:highlight w:val="none"/>
          <w:u w:val="none"/>
        </w:rPr>
      </w:pPr>
      <w:r>
        <w:rPr>
          <w:rFonts w:hint="eastAsia" w:ascii="宋体" w:hAnsi="宋体" w:cs="宋体"/>
          <w:b/>
          <w:bCs w:val="0"/>
          <w:color w:val="auto"/>
          <w:szCs w:val="21"/>
          <w:highlight w:val="none"/>
          <w:u w:val="none"/>
          <w:lang w:val="en-US" w:eastAsia="zh-CN"/>
        </w:rPr>
        <w:t>3</w:t>
      </w:r>
      <w:r>
        <w:rPr>
          <w:rFonts w:hint="eastAsia" w:ascii="宋体" w:hAnsi="宋体" w:cs="宋体"/>
          <w:b/>
          <w:bCs w:val="0"/>
          <w:color w:val="auto"/>
          <w:szCs w:val="21"/>
          <w:highlight w:val="none"/>
          <w:u w:val="none"/>
        </w:rPr>
        <w:t>.本项目的特定资格要求：</w:t>
      </w:r>
      <w:r>
        <w:rPr>
          <w:rFonts w:hint="eastAsia" w:ascii="宋体" w:hAnsi="宋体" w:cs="宋体"/>
          <w:b/>
          <w:bCs w:val="0"/>
          <w:color w:val="auto"/>
          <w:szCs w:val="21"/>
          <w:highlight w:val="none"/>
          <w:u w:val="none"/>
          <w:lang w:val="en-US" w:eastAsia="zh-CN"/>
        </w:rPr>
        <w:t>无</w:t>
      </w:r>
      <w:r>
        <w:rPr>
          <w:rFonts w:hint="eastAsia" w:ascii="宋体" w:hAnsi="宋体" w:cs="宋体"/>
          <w:b/>
          <w:bCs w:val="0"/>
          <w:color w:val="auto"/>
          <w:szCs w:val="21"/>
          <w:highlight w:val="none"/>
          <w:u w:val="none"/>
        </w:rPr>
        <w:t>。</w:t>
      </w:r>
    </w:p>
    <w:p w14:paraId="3CC08C5F">
      <w:pPr>
        <w:numPr>
          <w:ilvl w:val="0"/>
          <w:numId w:val="0"/>
        </w:numPr>
        <w:spacing w:line="360" w:lineRule="auto"/>
        <w:ind w:firstLine="422" w:firstLineChars="200"/>
        <w:rPr>
          <w:rFonts w:hint="eastAsia" w:ascii="宋体" w:hAnsi="宋体" w:cs="宋体"/>
          <w:bCs/>
          <w:color w:val="auto"/>
          <w:szCs w:val="21"/>
          <w:highlight w:val="none"/>
          <w:u w:val="none"/>
        </w:rPr>
      </w:pPr>
      <w:r>
        <w:rPr>
          <w:rFonts w:hint="eastAsia" w:ascii="宋体" w:hAnsi="宋体" w:cs="宋体"/>
          <w:b/>
          <w:bCs w:val="0"/>
          <w:color w:val="auto"/>
          <w:szCs w:val="21"/>
          <w:highlight w:val="none"/>
          <w:u w:val="none"/>
          <w:lang w:val="en-US" w:eastAsia="zh-CN"/>
        </w:rPr>
        <w:t>4.拒绝下述供应商参加本次采购活动：</w:t>
      </w:r>
    </w:p>
    <w:p w14:paraId="57918B86">
      <w:pPr>
        <w:pStyle w:val="5"/>
        <w:spacing w:line="360" w:lineRule="auto"/>
        <w:ind w:left="0" w:firstLine="420"/>
        <w:rPr>
          <w:rFonts w:ascii="宋体" w:hAnsi="宋体" w:cs="宋体"/>
          <w:bCs/>
          <w:color w:val="auto"/>
          <w:sz w:val="21"/>
          <w:szCs w:val="21"/>
          <w:highlight w:val="none"/>
          <w:u w:val="none"/>
        </w:rPr>
      </w:pPr>
      <w:r>
        <w:rPr>
          <w:rFonts w:hint="eastAsia" w:ascii="宋体" w:hAnsi="宋体" w:cs="宋体"/>
          <w:bCs/>
          <w:color w:val="auto"/>
          <w:sz w:val="21"/>
          <w:szCs w:val="21"/>
          <w:highlight w:val="none"/>
          <w:u w:val="none"/>
          <w:lang w:val="en-US" w:eastAsia="zh-CN"/>
        </w:rPr>
        <w:t>（1）</w:t>
      </w:r>
      <w:r>
        <w:rPr>
          <w:rFonts w:hint="eastAsia" w:ascii="宋体" w:hAnsi="宋体" w:cs="宋体"/>
          <w:bCs/>
          <w:color w:val="auto"/>
          <w:sz w:val="21"/>
          <w:szCs w:val="21"/>
          <w:highlight w:val="none"/>
          <w:u w:val="none"/>
        </w:rPr>
        <w:t>单位负责人为同一人或者存在直接控股、管理关系的不同供应商，不得参加同一合同项下的政府采购活动。</w:t>
      </w:r>
    </w:p>
    <w:p w14:paraId="39B899C7">
      <w:pPr>
        <w:pStyle w:val="5"/>
        <w:spacing w:line="360" w:lineRule="auto"/>
        <w:ind w:left="0" w:firstLine="420"/>
        <w:rPr>
          <w:rFonts w:ascii="宋体" w:hAnsi="宋体" w:cs="宋体"/>
          <w:bCs/>
          <w:color w:val="auto"/>
          <w:sz w:val="21"/>
          <w:szCs w:val="21"/>
          <w:highlight w:val="none"/>
          <w:u w:val="none"/>
        </w:rPr>
      </w:pPr>
      <w:r>
        <w:rPr>
          <w:rFonts w:hint="eastAsia" w:ascii="宋体" w:hAnsi="宋体" w:cs="宋体"/>
          <w:bCs/>
          <w:color w:val="auto"/>
          <w:sz w:val="21"/>
          <w:szCs w:val="21"/>
          <w:highlight w:val="none"/>
          <w:u w:val="none"/>
          <w:lang w:val="en-US" w:eastAsia="zh-CN"/>
        </w:rPr>
        <w:t>（2）</w:t>
      </w:r>
      <w:r>
        <w:rPr>
          <w:rFonts w:hint="eastAsia" w:ascii="宋体" w:hAnsi="宋体" w:cs="宋体"/>
          <w:bCs/>
          <w:color w:val="auto"/>
          <w:sz w:val="21"/>
          <w:szCs w:val="21"/>
          <w:highlight w:val="none"/>
          <w:u w:val="none"/>
        </w:rPr>
        <w:t>除单一来源采购项目外，为采购项目提供整体设计、规范编制或者项目管理、监理、检测等服务的供应商，不得再参加该采购项目的其他采购活动。</w:t>
      </w:r>
    </w:p>
    <w:p w14:paraId="53BDABB1">
      <w:pPr>
        <w:pStyle w:val="5"/>
        <w:spacing w:line="360" w:lineRule="auto"/>
        <w:ind w:left="0" w:firstLine="420"/>
        <w:rPr>
          <w:rFonts w:ascii="宋体" w:hAnsi="宋体" w:cs="宋体"/>
          <w:bCs/>
          <w:color w:val="auto"/>
          <w:sz w:val="21"/>
          <w:szCs w:val="21"/>
          <w:highlight w:val="none"/>
          <w:u w:val="none"/>
        </w:rPr>
      </w:pPr>
      <w:r>
        <w:rPr>
          <w:rFonts w:hint="eastAsia" w:ascii="宋体" w:hAnsi="宋体" w:cs="宋体"/>
          <w:bCs/>
          <w:color w:val="auto"/>
          <w:sz w:val="21"/>
          <w:szCs w:val="21"/>
          <w:highlight w:val="none"/>
          <w:u w:val="none"/>
          <w:lang w:val="en-US" w:eastAsia="zh-CN"/>
        </w:rPr>
        <w:t>（3）</w:t>
      </w:r>
      <w:r>
        <w:rPr>
          <w:rFonts w:hint="eastAsia" w:ascii="宋体" w:hAnsi="宋体" w:cs="宋体"/>
          <w:bCs/>
          <w:color w:val="auto"/>
          <w:sz w:val="21"/>
          <w:szCs w:val="21"/>
          <w:highlight w:val="none"/>
          <w:u w:val="none"/>
        </w:rPr>
        <w:t>供应商参加政府采购活动前3年内在经营活动中有重大违法记录的不得参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p>
    <w:p w14:paraId="39BE2FD2">
      <w:pPr>
        <w:spacing w:line="360" w:lineRule="auto"/>
        <w:rPr>
          <w:rFonts w:hint="eastAsia" w:ascii="宋体" w:hAnsi="宋体" w:cs="宋体"/>
          <w:b/>
          <w:bCs/>
          <w:color w:val="auto"/>
          <w:szCs w:val="21"/>
          <w:highlight w:val="none"/>
          <w:u w:val="none"/>
        </w:rPr>
      </w:pPr>
      <w:r>
        <w:rPr>
          <w:rFonts w:hint="eastAsia" w:ascii="宋体" w:hAnsi="宋体" w:cs="宋体"/>
          <w:b/>
          <w:bCs/>
          <w:color w:val="auto"/>
          <w:szCs w:val="21"/>
          <w:highlight w:val="none"/>
          <w:u w:val="none"/>
        </w:rPr>
        <w:t>三、获取采购文件</w:t>
      </w:r>
      <w:bookmarkEnd w:id="12"/>
      <w:bookmarkEnd w:id="13"/>
      <w:bookmarkEnd w:id="14"/>
      <w:bookmarkEnd w:id="15"/>
    </w:p>
    <w:p w14:paraId="503D5338">
      <w:pPr>
        <w:tabs>
          <w:tab w:val="left" w:pos="900"/>
        </w:tabs>
        <w:spacing w:line="360" w:lineRule="auto"/>
        <w:ind w:firstLine="420" w:firstLineChars="200"/>
        <w:rPr>
          <w:rFonts w:hint="eastAsia" w:ascii="宋体" w:hAnsi="宋体" w:cs="宋体"/>
          <w:bCs/>
          <w:color w:val="auto"/>
          <w:szCs w:val="21"/>
          <w:highlight w:val="none"/>
          <w:u w:val="none"/>
        </w:rPr>
      </w:pPr>
      <w:bookmarkStart w:id="65" w:name="_Toc28359015"/>
      <w:bookmarkStart w:id="66" w:name="_Toc35393801"/>
      <w:bookmarkStart w:id="67" w:name="_Toc28359092"/>
      <w:bookmarkStart w:id="68" w:name="_Toc35393632"/>
      <w:r>
        <w:rPr>
          <w:rFonts w:hint="eastAsia" w:ascii="宋体" w:hAnsi="宋体" w:cs="宋体"/>
          <w:bCs/>
          <w:color w:val="auto"/>
          <w:szCs w:val="21"/>
          <w:highlight w:val="none"/>
          <w:u w:val="none"/>
        </w:rPr>
        <w:t>1.获取时间：自公告发布之日起5个工作日。</w:t>
      </w:r>
    </w:p>
    <w:p w14:paraId="5BAE7391">
      <w:pPr>
        <w:tabs>
          <w:tab w:val="left" w:pos="900"/>
        </w:tabs>
        <w:spacing w:line="360" w:lineRule="auto"/>
        <w:ind w:firstLine="420" w:firstLineChars="200"/>
        <w:rPr>
          <w:rFonts w:hint="eastAsia" w:ascii="宋体" w:hAnsi="宋体" w:cs="宋体"/>
          <w:bCs/>
          <w:color w:val="auto"/>
          <w:szCs w:val="21"/>
          <w:highlight w:val="none"/>
          <w:u w:val="none"/>
        </w:rPr>
      </w:pPr>
      <w:r>
        <w:rPr>
          <w:rFonts w:hint="eastAsia" w:ascii="宋体" w:hAnsi="宋体" w:cs="宋体"/>
          <w:bCs/>
          <w:color w:val="auto"/>
          <w:szCs w:val="21"/>
          <w:highlight w:val="none"/>
          <w:u w:val="none"/>
        </w:rPr>
        <w:t>2.地点：网上注册登记成功后可在系统内免费下载。</w:t>
      </w:r>
    </w:p>
    <w:p w14:paraId="4E9474EA">
      <w:pPr>
        <w:tabs>
          <w:tab w:val="left" w:pos="900"/>
        </w:tabs>
        <w:spacing w:line="360" w:lineRule="auto"/>
        <w:ind w:firstLine="420" w:firstLineChars="200"/>
        <w:rPr>
          <w:rFonts w:hint="eastAsia" w:ascii="宋体" w:hAnsi="宋体" w:cs="宋体"/>
          <w:bCs/>
          <w:color w:val="auto"/>
          <w:szCs w:val="21"/>
          <w:highlight w:val="none"/>
          <w:u w:val="none"/>
        </w:rPr>
      </w:pPr>
      <w:r>
        <w:rPr>
          <w:rFonts w:hint="eastAsia" w:ascii="宋体" w:hAnsi="宋体" w:cs="宋体"/>
          <w:bCs/>
          <w:color w:val="auto"/>
          <w:szCs w:val="21"/>
          <w:highlight w:val="none"/>
          <w:u w:val="none"/>
        </w:rPr>
        <w:t>3.获取方式：本项目采用网上注册登记方式。</w:t>
      </w:r>
    </w:p>
    <w:p w14:paraId="30561CC9">
      <w:pPr>
        <w:tabs>
          <w:tab w:val="left" w:pos="900"/>
        </w:tabs>
        <w:spacing w:line="360" w:lineRule="auto"/>
        <w:ind w:firstLine="420" w:firstLineChars="200"/>
        <w:rPr>
          <w:rFonts w:hint="eastAsia" w:ascii="宋体" w:hAnsi="宋体" w:cs="宋体"/>
          <w:bCs/>
          <w:color w:val="auto"/>
          <w:szCs w:val="21"/>
          <w:highlight w:val="none"/>
          <w:u w:val="none"/>
        </w:rPr>
      </w:pPr>
      <w:r>
        <w:rPr>
          <w:rFonts w:hint="eastAsia" w:ascii="宋体" w:hAnsi="宋体" w:cs="宋体"/>
          <w:bCs/>
          <w:color w:val="auto"/>
          <w:szCs w:val="21"/>
          <w:highlight w:val="none"/>
          <w:u w:val="none"/>
          <w:lang w:eastAsia="zh-CN"/>
        </w:rPr>
        <w:t>（</w:t>
      </w:r>
      <w:r>
        <w:rPr>
          <w:rFonts w:hint="eastAsia" w:ascii="宋体" w:hAnsi="宋体" w:cs="宋体"/>
          <w:bCs/>
          <w:color w:val="auto"/>
          <w:szCs w:val="21"/>
          <w:highlight w:val="none"/>
          <w:u w:val="none"/>
          <w:lang w:val="en-US" w:eastAsia="zh-CN"/>
        </w:rPr>
        <w:t>1）</w:t>
      </w:r>
      <w:r>
        <w:rPr>
          <w:rFonts w:hint="eastAsia" w:ascii="宋体" w:hAnsi="宋体" w:cs="宋体"/>
          <w:bCs/>
          <w:color w:val="auto"/>
          <w:szCs w:val="21"/>
          <w:highlight w:val="none"/>
          <w:u w:val="none"/>
        </w:rPr>
        <w:t>潜在供应商访问电子招标响应交易平台的网络地址和方法：</w:t>
      </w:r>
    </w:p>
    <w:p w14:paraId="729B1472">
      <w:pPr>
        <w:tabs>
          <w:tab w:val="left" w:pos="900"/>
        </w:tabs>
        <w:spacing w:line="360" w:lineRule="auto"/>
        <w:ind w:firstLine="420" w:firstLineChars="200"/>
        <w:rPr>
          <w:rFonts w:hint="eastAsia" w:ascii="宋体" w:hAnsi="宋体" w:cs="宋体"/>
          <w:bCs/>
          <w:color w:val="auto"/>
          <w:szCs w:val="21"/>
          <w:highlight w:val="none"/>
          <w:u w:val="none"/>
        </w:rPr>
      </w:pPr>
      <w:r>
        <w:rPr>
          <w:rFonts w:hint="eastAsia" w:ascii="宋体" w:hAnsi="宋体" w:cs="宋体"/>
          <w:bCs/>
          <w:color w:val="auto"/>
          <w:szCs w:val="21"/>
          <w:highlight w:val="none"/>
          <w:u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426C59EB">
      <w:pPr>
        <w:tabs>
          <w:tab w:val="left" w:pos="900"/>
        </w:tabs>
        <w:spacing w:line="360" w:lineRule="auto"/>
        <w:ind w:firstLine="420" w:firstLineChars="200"/>
        <w:rPr>
          <w:rFonts w:hint="eastAsia" w:ascii="宋体" w:hAnsi="宋体" w:cs="宋体"/>
          <w:bCs/>
          <w:color w:val="auto"/>
          <w:szCs w:val="21"/>
          <w:highlight w:val="none"/>
          <w:u w:val="none"/>
          <w:lang w:eastAsia="en-US"/>
        </w:rPr>
      </w:pPr>
      <w:r>
        <w:rPr>
          <w:rFonts w:hint="eastAsia" w:ascii="宋体" w:hAnsi="宋体" w:cs="宋体"/>
          <w:bCs/>
          <w:color w:val="auto"/>
          <w:sz w:val="21"/>
          <w:szCs w:val="21"/>
          <w:highlight w:val="none"/>
          <w:u w:val="none"/>
          <w:lang w:val="en-US" w:eastAsia="zh-CN"/>
        </w:rPr>
        <w:t>（2）</w:t>
      </w:r>
      <w:r>
        <w:rPr>
          <w:rFonts w:hint="eastAsia" w:ascii="宋体" w:hAnsi="宋体" w:cs="宋体"/>
          <w:bCs/>
          <w:color w:val="auto"/>
          <w:szCs w:val="21"/>
          <w:highlight w:val="none"/>
          <w:u w:val="none"/>
          <w:lang w:eastAsia="en-US"/>
        </w:rPr>
        <w:t>潜在供应商访问“苏采云”系统的网络地址和方法</w:t>
      </w:r>
      <w:r>
        <w:rPr>
          <w:rFonts w:hint="eastAsia" w:ascii="宋体" w:hAnsi="宋体" w:cs="宋体"/>
          <w:bCs/>
          <w:color w:val="auto"/>
          <w:szCs w:val="21"/>
          <w:highlight w:val="none"/>
          <w:u w:val="none"/>
        </w:rPr>
        <w:t>：</w:t>
      </w:r>
      <w:r>
        <w:rPr>
          <w:rFonts w:hint="eastAsia" w:ascii="宋体" w:hAnsi="宋体" w:cs="宋体"/>
          <w:bCs/>
          <w:color w:val="auto"/>
          <w:szCs w:val="21"/>
          <w:highlight w:val="none"/>
          <w:u w:val="none"/>
          <w:lang w:eastAsia="en-US"/>
        </w:rPr>
        <w:t>“苏采云”系统的网址：http://jszfcg.jsczt.cn/。</w:t>
      </w:r>
    </w:p>
    <w:p w14:paraId="51C253A1">
      <w:pPr>
        <w:tabs>
          <w:tab w:val="left" w:pos="900"/>
        </w:tabs>
        <w:spacing w:line="360" w:lineRule="auto"/>
        <w:ind w:firstLine="420" w:firstLineChars="200"/>
        <w:rPr>
          <w:rFonts w:hint="eastAsia" w:ascii="宋体" w:hAnsi="宋体" w:cs="宋体"/>
          <w:bCs/>
          <w:color w:val="auto"/>
          <w:szCs w:val="21"/>
          <w:highlight w:val="none"/>
          <w:u w:val="none"/>
        </w:rPr>
      </w:pPr>
      <w:r>
        <w:rPr>
          <w:rFonts w:hint="eastAsia" w:ascii="宋体" w:hAnsi="宋体" w:cs="宋体"/>
          <w:bCs/>
          <w:color w:val="auto"/>
          <w:sz w:val="21"/>
          <w:szCs w:val="21"/>
          <w:highlight w:val="none"/>
          <w:u w:val="none"/>
          <w:lang w:val="en-US" w:eastAsia="zh-CN"/>
        </w:rPr>
        <w:t>（3）</w:t>
      </w:r>
      <w:r>
        <w:rPr>
          <w:rFonts w:hint="eastAsia" w:ascii="宋体" w:hAnsi="宋体" w:cs="宋体"/>
          <w:bCs/>
          <w:color w:val="auto"/>
          <w:szCs w:val="21"/>
          <w:highlight w:val="none"/>
          <w:u w:val="none"/>
        </w:rPr>
        <w:t>“CA数字证书”的获取：</w:t>
      </w:r>
    </w:p>
    <w:p w14:paraId="270F175D">
      <w:pPr>
        <w:tabs>
          <w:tab w:val="left" w:pos="900"/>
        </w:tabs>
        <w:spacing w:line="360" w:lineRule="auto"/>
        <w:ind w:firstLine="420" w:firstLineChars="200"/>
        <w:rPr>
          <w:rFonts w:hint="eastAsia" w:ascii="宋体" w:hAnsi="宋体" w:cs="宋体"/>
          <w:bCs/>
          <w:color w:val="auto"/>
          <w:szCs w:val="21"/>
          <w:highlight w:val="none"/>
          <w:u w:val="none"/>
        </w:rPr>
      </w:pPr>
      <w:r>
        <w:rPr>
          <w:rFonts w:hint="eastAsia" w:ascii="宋体" w:hAnsi="宋体" w:cs="宋体"/>
          <w:bCs/>
          <w:color w:val="auto"/>
          <w:szCs w:val="21"/>
          <w:highlight w:val="none"/>
          <w:u w:val="none"/>
        </w:rPr>
        <w:t>供应商需办理“CA 数字证书”。“苏采云”系统目前仅支持政务CA、方正签章，省内各地区办理的用于“苏采云”平台的政务CA、方正签章全省通用。“CA数字证书”的办理方法详见江苏政府采购网—资料下载中《江苏省政府采购数字证书（供应商）CA及电子签章办理指南》。</w:t>
      </w:r>
    </w:p>
    <w:p w14:paraId="09001664">
      <w:pPr>
        <w:tabs>
          <w:tab w:val="left" w:pos="900"/>
        </w:tabs>
        <w:spacing w:line="360" w:lineRule="auto"/>
        <w:ind w:firstLine="420" w:firstLineChars="200"/>
        <w:rPr>
          <w:rFonts w:hint="eastAsia" w:ascii="宋体" w:hAnsi="宋体" w:cs="宋体"/>
          <w:bCs/>
          <w:color w:val="auto"/>
          <w:szCs w:val="21"/>
          <w:highlight w:val="none"/>
          <w:u w:val="none"/>
          <w:lang w:eastAsia="en-US"/>
        </w:rPr>
      </w:pPr>
      <w:r>
        <w:rPr>
          <w:rFonts w:hint="eastAsia" w:ascii="宋体" w:hAnsi="宋体" w:cs="宋体"/>
          <w:bCs/>
          <w:color w:val="auto"/>
          <w:szCs w:val="21"/>
          <w:highlight w:val="none"/>
          <w:u w:val="none"/>
          <w:lang w:eastAsia="en-US"/>
        </w:rPr>
        <w:t>通过苏采云系统首页（http://jszfcg.jscz.gov.cn/）的“苏采云控件驱动下载”，选择“政务CA、方正签章控件驱动安装包及安装说明”下载安装，具体安装方法详见下载文件内的《安装说明》。</w:t>
      </w:r>
    </w:p>
    <w:p w14:paraId="6367B85E">
      <w:pPr>
        <w:tabs>
          <w:tab w:val="left" w:pos="900"/>
        </w:tabs>
        <w:spacing w:line="360" w:lineRule="auto"/>
        <w:ind w:firstLine="420" w:firstLineChars="200"/>
        <w:rPr>
          <w:rFonts w:hint="eastAsia" w:ascii="宋体" w:hAnsi="宋体" w:cs="宋体"/>
          <w:bCs/>
          <w:color w:val="auto"/>
          <w:szCs w:val="21"/>
          <w:highlight w:val="none"/>
          <w:u w:val="none"/>
        </w:rPr>
      </w:pPr>
      <w:r>
        <w:rPr>
          <w:rFonts w:hint="eastAsia" w:ascii="宋体" w:hAnsi="宋体" w:cs="宋体"/>
          <w:bCs/>
          <w:color w:val="auto"/>
          <w:szCs w:val="21"/>
          <w:highlight w:val="none"/>
          <w:u w:val="none"/>
          <w:lang w:eastAsia="zh-CN"/>
        </w:rPr>
        <w:t>（</w:t>
      </w:r>
      <w:r>
        <w:rPr>
          <w:rFonts w:hint="eastAsia" w:ascii="宋体" w:hAnsi="宋体" w:cs="宋体"/>
          <w:bCs/>
          <w:color w:val="auto"/>
          <w:szCs w:val="21"/>
          <w:highlight w:val="none"/>
          <w:u w:val="none"/>
          <w:lang w:val="en-US" w:eastAsia="zh-CN"/>
        </w:rPr>
        <w:t>4）</w:t>
      </w:r>
      <w:r>
        <w:rPr>
          <w:rFonts w:hint="eastAsia" w:ascii="宋体" w:hAnsi="宋体" w:cs="宋体"/>
          <w:bCs/>
          <w:color w:val="auto"/>
          <w:szCs w:val="21"/>
          <w:highlight w:val="none"/>
          <w:u w:val="none"/>
        </w:rPr>
        <w:t>采购文件（后缀名为“.kedt”）、供应商操作手册及政府采购客户端工具可通过“苏采云”系统－－已报名项目－－报名详情页面内相应链接进行下载。</w:t>
      </w:r>
    </w:p>
    <w:p w14:paraId="1D18D746">
      <w:pPr>
        <w:tabs>
          <w:tab w:val="left" w:pos="900"/>
        </w:tabs>
        <w:spacing w:line="360" w:lineRule="auto"/>
        <w:ind w:firstLine="420" w:firstLineChars="200"/>
        <w:rPr>
          <w:rFonts w:hint="eastAsia" w:ascii="宋体" w:hAnsi="宋体" w:cs="宋体"/>
          <w:bCs/>
          <w:color w:val="auto"/>
          <w:szCs w:val="21"/>
          <w:highlight w:val="none"/>
          <w:u w:val="none"/>
        </w:rPr>
      </w:pPr>
      <w:r>
        <w:rPr>
          <w:rFonts w:hint="eastAsia" w:ascii="宋体" w:hAnsi="宋体" w:cs="宋体"/>
          <w:bCs/>
          <w:color w:val="auto"/>
          <w:szCs w:val="21"/>
          <w:highlight w:val="none"/>
          <w:u w:val="none"/>
          <w:lang w:eastAsia="zh-CN"/>
        </w:rPr>
        <w:t>（</w:t>
      </w:r>
      <w:r>
        <w:rPr>
          <w:rFonts w:hint="eastAsia" w:ascii="宋体" w:hAnsi="宋体" w:cs="宋体"/>
          <w:bCs/>
          <w:color w:val="auto"/>
          <w:szCs w:val="21"/>
          <w:highlight w:val="none"/>
          <w:u w:val="none"/>
          <w:lang w:val="en-US" w:eastAsia="zh-CN"/>
        </w:rPr>
        <w:t>5）</w:t>
      </w:r>
      <w:r>
        <w:rPr>
          <w:rFonts w:hint="eastAsia" w:ascii="宋体" w:hAnsi="宋体" w:cs="宋体"/>
          <w:bCs/>
          <w:color w:val="auto"/>
          <w:szCs w:val="21"/>
          <w:highlight w:val="none"/>
          <w:u w:val="none"/>
        </w:rPr>
        <w:t>采购人或采购代理机构将数据电文形式的采购文件加载至“苏采云”系统，供潜在供应商下载或者查阅。</w:t>
      </w:r>
    </w:p>
    <w:p w14:paraId="5D076C33">
      <w:pPr>
        <w:tabs>
          <w:tab w:val="left" w:pos="900"/>
        </w:tabs>
        <w:spacing w:line="360" w:lineRule="auto"/>
        <w:ind w:firstLine="420" w:firstLineChars="200"/>
        <w:rPr>
          <w:rFonts w:hint="eastAsia" w:ascii="宋体" w:hAnsi="宋体" w:cs="宋体"/>
          <w:bCs/>
          <w:color w:val="auto"/>
          <w:szCs w:val="21"/>
          <w:highlight w:val="none"/>
          <w:u w:val="none"/>
        </w:rPr>
      </w:pPr>
      <w:r>
        <w:rPr>
          <w:rFonts w:hint="eastAsia" w:ascii="宋体" w:hAnsi="宋体" w:cs="宋体"/>
          <w:bCs/>
          <w:color w:val="auto"/>
          <w:szCs w:val="21"/>
          <w:highlight w:val="none"/>
          <w:u w:val="none"/>
          <w:lang w:eastAsia="zh-CN"/>
        </w:rPr>
        <w:t>（</w:t>
      </w:r>
      <w:r>
        <w:rPr>
          <w:rFonts w:hint="eastAsia" w:ascii="宋体" w:hAnsi="宋体" w:cs="宋体"/>
          <w:bCs/>
          <w:color w:val="auto"/>
          <w:szCs w:val="21"/>
          <w:highlight w:val="none"/>
          <w:u w:val="none"/>
          <w:lang w:val="en-US" w:eastAsia="zh-CN"/>
        </w:rPr>
        <w:t>6）</w:t>
      </w:r>
      <w:r>
        <w:rPr>
          <w:rFonts w:hint="eastAsia" w:ascii="宋体" w:hAnsi="宋体" w:cs="宋体"/>
          <w:bCs/>
          <w:color w:val="auto"/>
          <w:szCs w:val="21"/>
          <w:highlight w:val="none"/>
          <w:u w:val="none"/>
        </w:rPr>
        <w:t>请潜在供应商提前安装相应的控件（详见《江苏省政府采购管理交易系统（苏采云）供应商操作手册》）并使用谷歌浏览器登录“苏采云”系统参与不见面开评标。</w:t>
      </w:r>
    </w:p>
    <w:p w14:paraId="00CEBD38">
      <w:pPr>
        <w:tabs>
          <w:tab w:val="left" w:pos="900"/>
        </w:tabs>
        <w:spacing w:line="360" w:lineRule="auto"/>
        <w:ind w:firstLine="420" w:firstLineChars="200"/>
        <w:rPr>
          <w:rFonts w:hint="eastAsia" w:ascii="宋体" w:hAnsi="宋体" w:cs="宋体"/>
          <w:bCs/>
          <w:color w:val="auto"/>
          <w:szCs w:val="21"/>
          <w:highlight w:val="none"/>
          <w:u w:val="none"/>
        </w:rPr>
      </w:pPr>
      <w:r>
        <w:rPr>
          <w:rFonts w:hint="eastAsia" w:ascii="宋体" w:hAnsi="宋体" w:cs="宋体"/>
          <w:bCs/>
          <w:color w:val="auto"/>
          <w:szCs w:val="21"/>
          <w:highlight w:val="none"/>
          <w:u w:val="none"/>
          <w:lang w:eastAsia="zh-CN"/>
        </w:rPr>
        <w:t>（</w:t>
      </w:r>
      <w:r>
        <w:rPr>
          <w:rFonts w:hint="eastAsia" w:ascii="宋体" w:hAnsi="宋体" w:cs="宋体"/>
          <w:bCs/>
          <w:color w:val="auto"/>
          <w:szCs w:val="21"/>
          <w:highlight w:val="none"/>
          <w:u w:val="none"/>
          <w:lang w:val="en-US" w:eastAsia="zh-CN"/>
        </w:rPr>
        <w:t>6）</w:t>
      </w:r>
      <w:r>
        <w:rPr>
          <w:rFonts w:hint="eastAsia" w:ascii="宋体" w:hAnsi="宋体" w:cs="宋体"/>
          <w:bCs/>
          <w:color w:val="auto"/>
          <w:szCs w:val="21"/>
          <w:highlight w:val="none"/>
          <w:u w:val="none"/>
        </w:rPr>
        <w:t>开评标全过程中，磋商供应商一端参与交互的人员将均被视为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p>
    <w:p w14:paraId="163DB4E9">
      <w:pPr>
        <w:tabs>
          <w:tab w:val="left" w:pos="900"/>
        </w:tabs>
        <w:spacing w:line="360" w:lineRule="auto"/>
        <w:ind w:firstLine="422" w:firstLineChars="200"/>
        <w:rPr>
          <w:rFonts w:hint="eastAsia" w:ascii="宋体" w:hAnsi="宋体" w:cs="宋体"/>
          <w:bCs/>
          <w:color w:val="auto"/>
          <w:szCs w:val="21"/>
          <w:highlight w:val="none"/>
          <w:u w:val="none"/>
        </w:rPr>
      </w:pPr>
      <w:r>
        <w:rPr>
          <w:rFonts w:hint="eastAsia" w:ascii="宋体" w:hAnsi="宋体" w:cs="宋体"/>
          <w:b/>
          <w:color w:val="auto"/>
          <w:szCs w:val="21"/>
          <w:highlight w:val="none"/>
          <w:u w:val="none"/>
        </w:rPr>
        <w:t>注：如潜在供应商未按上述要求操作，将自行承担所产生的风险。</w:t>
      </w:r>
    </w:p>
    <w:p w14:paraId="5851FE86">
      <w:pPr>
        <w:spacing w:line="360" w:lineRule="auto"/>
        <w:rPr>
          <w:rFonts w:hint="eastAsia" w:ascii="宋体" w:hAnsi="宋体" w:cs="宋体"/>
          <w:b/>
          <w:bCs/>
          <w:color w:val="auto"/>
          <w:szCs w:val="21"/>
          <w:highlight w:val="none"/>
          <w:u w:val="none"/>
        </w:rPr>
      </w:pPr>
      <w:r>
        <w:rPr>
          <w:rFonts w:hint="eastAsia" w:ascii="宋体" w:hAnsi="宋体" w:cs="宋体"/>
          <w:b/>
          <w:bCs/>
          <w:color w:val="auto"/>
          <w:szCs w:val="21"/>
          <w:highlight w:val="none"/>
          <w:u w:val="none"/>
        </w:rPr>
        <w:t>四、响应文件提交</w:t>
      </w:r>
      <w:bookmarkEnd w:id="65"/>
      <w:bookmarkEnd w:id="66"/>
      <w:bookmarkEnd w:id="67"/>
      <w:bookmarkEnd w:id="68"/>
    </w:p>
    <w:p w14:paraId="5C9E42A4">
      <w:pPr>
        <w:spacing w:line="360" w:lineRule="auto"/>
        <w:ind w:firstLine="420" w:firstLineChars="200"/>
        <w:rPr>
          <w:rFonts w:hint="eastAsia" w:ascii="宋体" w:hAnsi="宋体" w:cs="宋体"/>
          <w:color w:val="auto"/>
          <w:szCs w:val="21"/>
          <w:highlight w:val="none"/>
          <w:u w:val="none"/>
        </w:rPr>
      </w:pPr>
      <w:bookmarkStart w:id="69" w:name="_Toc35393802"/>
      <w:bookmarkStart w:id="70" w:name="_Toc28359093"/>
      <w:bookmarkStart w:id="71" w:name="_Toc35393633"/>
      <w:bookmarkStart w:id="72" w:name="_Toc28359016"/>
      <w:r>
        <w:rPr>
          <w:rFonts w:hint="eastAsia" w:ascii="宋体" w:hAnsi="宋体" w:cs="宋体"/>
          <w:color w:val="auto"/>
          <w:szCs w:val="21"/>
          <w:highlight w:val="none"/>
          <w:u w:val="none"/>
        </w:rPr>
        <w:t>1.响应文件提交截止时间：</w:t>
      </w:r>
      <w:r>
        <w:rPr>
          <w:rFonts w:hint="eastAsia" w:ascii="宋体" w:hAnsi="宋体" w:cs="宋体"/>
          <w:color w:val="auto"/>
          <w:szCs w:val="21"/>
          <w:highlight w:val="none"/>
          <w:u w:val="none"/>
          <w:lang w:val="en-US" w:eastAsia="zh-CN"/>
        </w:rPr>
        <w:t>2026年8月25日09时00分</w:t>
      </w:r>
      <w:r>
        <w:rPr>
          <w:rFonts w:hint="eastAsia" w:ascii="宋体" w:hAnsi="宋体" w:cs="宋体"/>
          <w:color w:val="auto"/>
          <w:szCs w:val="21"/>
          <w:highlight w:val="none"/>
          <w:u w:val="none"/>
        </w:rPr>
        <w:t>（北京时间）。逾期，“苏采云”系统将拒绝接收上传响应文件电子文档。</w:t>
      </w:r>
    </w:p>
    <w:p w14:paraId="3E6F7B93">
      <w:pPr>
        <w:spacing w:line="360" w:lineRule="auto"/>
        <w:ind w:firstLine="420" w:firstLineChars="200"/>
        <w:rPr>
          <w:rFonts w:hint="eastAsia" w:ascii="宋体" w:hAnsi="宋体" w:cs="宋体"/>
          <w:color w:val="auto"/>
          <w:szCs w:val="21"/>
          <w:highlight w:val="none"/>
          <w:u w:val="none"/>
        </w:rPr>
      </w:pPr>
      <w:r>
        <w:rPr>
          <w:rFonts w:hint="eastAsia" w:ascii="宋体" w:hAnsi="宋体" w:cs="宋体"/>
          <w:color w:val="auto"/>
          <w:szCs w:val="21"/>
          <w:highlight w:val="none"/>
          <w:u w:val="none"/>
        </w:rPr>
        <w:t>2.</w:t>
      </w:r>
      <w:r>
        <w:rPr>
          <w:rFonts w:hint="eastAsia" w:ascii="宋体" w:hAnsi="宋体" w:cs="宋体"/>
          <w:color w:val="auto"/>
          <w:szCs w:val="21"/>
          <w:highlight w:val="none"/>
          <w:u w:val="none"/>
          <w:lang w:eastAsia="en-US"/>
        </w:rPr>
        <w:t>地点：“苏采云”系统（网址：http://jszfcg.jsczt.cn/）</w:t>
      </w:r>
    </w:p>
    <w:p w14:paraId="55E482C1">
      <w:pPr>
        <w:spacing w:line="360" w:lineRule="auto"/>
        <w:rPr>
          <w:rFonts w:hint="eastAsia" w:ascii="宋体" w:hAnsi="宋体" w:cs="宋体"/>
          <w:b/>
          <w:bCs/>
          <w:color w:val="auto"/>
          <w:szCs w:val="21"/>
          <w:highlight w:val="none"/>
          <w:u w:val="none"/>
        </w:rPr>
      </w:pPr>
      <w:r>
        <w:rPr>
          <w:rFonts w:hint="eastAsia" w:ascii="宋体" w:hAnsi="宋体" w:cs="宋体"/>
          <w:b/>
          <w:bCs/>
          <w:color w:val="auto"/>
          <w:szCs w:val="21"/>
          <w:highlight w:val="none"/>
          <w:u w:val="none"/>
        </w:rPr>
        <w:t>五、开启（</w:t>
      </w:r>
      <w:r>
        <w:rPr>
          <w:rFonts w:hint="eastAsia" w:ascii="宋体" w:hAnsi="宋体" w:cs="宋体"/>
          <w:b/>
          <w:bCs/>
          <w:i/>
          <w:color w:val="auto"/>
          <w:szCs w:val="21"/>
          <w:highlight w:val="none"/>
          <w:u w:val="none"/>
        </w:rPr>
        <w:t>竞争性磋商方式必须填写</w:t>
      </w:r>
      <w:r>
        <w:rPr>
          <w:rFonts w:hint="eastAsia" w:ascii="宋体" w:hAnsi="宋体" w:cs="宋体"/>
          <w:b/>
          <w:bCs/>
          <w:color w:val="auto"/>
          <w:szCs w:val="21"/>
          <w:highlight w:val="none"/>
          <w:u w:val="none"/>
        </w:rPr>
        <w:t>）</w:t>
      </w:r>
      <w:bookmarkEnd w:id="69"/>
      <w:bookmarkEnd w:id="70"/>
      <w:bookmarkEnd w:id="71"/>
      <w:bookmarkEnd w:id="72"/>
    </w:p>
    <w:p w14:paraId="3A790379">
      <w:pPr>
        <w:spacing w:line="360" w:lineRule="auto"/>
        <w:ind w:firstLine="420" w:firstLineChars="200"/>
        <w:rPr>
          <w:rFonts w:hint="eastAsia" w:ascii="宋体" w:hAnsi="宋体" w:cs="宋体"/>
          <w:color w:val="auto"/>
          <w:szCs w:val="21"/>
          <w:highlight w:val="none"/>
          <w:u w:val="none"/>
        </w:rPr>
      </w:pPr>
      <w:bookmarkStart w:id="73" w:name="_Toc35393803"/>
      <w:bookmarkStart w:id="74" w:name="_Toc28359017"/>
      <w:bookmarkStart w:id="75" w:name="_Toc28359094"/>
      <w:bookmarkStart w:id="76" w:name="_Toc35393634"/>
      <w:r>
        <w:rPr>
          <w:rFonts w:hint="eastAsia" w:ascii="宋体" w:hAnsi="宋体" w:cs="宋体"/>
          <w:color w:val="auto"/>
          <w:szCs w:val="21"/>
          <w:highlight w:val="none"/>
          <w:u w:val="none"/>
        </w:rPr>
        <w:t>1.时间：</w:t>
      </w:r>
      <w:r>
        <w:rPr>
          <w:rFonts w:hint="eastAsia" w:ascii="宋体" w:hAnsi="宋体" w:cs="宋体"/>
          <w:color w:val="auto"/>
          <w:szCs w:val="21"/>
          <w:highlight w:val="none"/>
          <w:u w:val="none"/>
          <w:lang w:val="en-US" w:eastAsia="zh-CN"/>
        </w:rPr>
        <w:t>2026年8月25日09时00分</w:t>
      </w:r>
      <w:r>
        <w:rPr>
          <w:rFonts w:hint="eastAsia" w:ascii="宋体" w:hAnsi="宋体" w:cs="宋体"/>
          <w:color w:val="auto"/>
          <w:szCs w:val="21"/>
          <w:highlight w:val="none"/>
          <w:u w:val="none"/>
        </w:rPr>
        <w:t>（北京时间）。</w:t>
      </w:r>
    </w:p>
    <w:p w14:paraId="4F871F3C">
      <w:pPr>
        <w:spacing w:line="360" w:lineRule="auto"/>
        <w:ind w:firstLine="420" w:firstLineChars="200"/>
        <w:rPr>
          <w:rFonts w:hint="eastAsia" w:ascii="宋体" w:hAnsi="宋体" w:cs="宋体"/>
          <w:color w:val="auto"/>
          <w:szCs w:val="21"/>
          <w:highlight w:val="none"/>
          <w:u w:val="none"/>
        </w:rPr>
      </w:pPr>
      <w:r>
        <w:rPr>
          <w:rFonts w:hint="eastAsia" w:ascii="宋体" w:hAnsi="宋体" w:cs="宋体"/>
          <w:color w:val="auto"/>
          <w:szCs w:val="21"/>
          <w:highlight w:val="none"/>
          <w:u w:val="none"/>
        </w:rPr>
        <w:t>2.地点：</w:t>
      </w:r>
      <w:r>
        <w:rPr>
          <w:rFonts w:hint="eastAsia" w:ascii="宋体" w:hAnsi="宋体" w:cs="宋体"/>
          <w:color w:val="auto"/>
          <w:szCs w:val="21"/>
          <w:highlight w:val="none"/>
          <w:u w:val="none"/>
          <w:lang w:eastAsia="en-US"/>
        </w:rPr>
        <w:t>“苏采云”系统（网址：http://jszfcg.jsczt.cn/）“开标大厅”</w:t>
      </w:r>
    </w:p>
    <w:p w14:paraId="0DC61851">
      <w:pPr>
        <w:spacing w:line="360" w:lineRule="auto"/>
        <w:ind w:firstLine="420" w:firstLineChars="200"/>
        <w:rPr>
          <w:rFonts w:hint="eastAsia" w:ascii="宋体" w:hAnsi="宋体" w:cs="宋体"/>
          <w:color w:val="auto"/>
          <w:szCs w:val="21"/>
          <w:highlight w:val="none"/>
          <w:u w:val="none"/>
        </w:rPr>
      </w:pPr>
      <w:r>
        <w:rPr>
          <w:rFonts w:hint="eastAsia" w:ascii="宋体" w:hAnsi="宋体" w:cs="宋体"/>
          <w:color w:val="auto"/>
          <w:szCs w:val="21"/>
          <w:highlight w:val="none"/>
          <w:u w:val="none"/>
        </w:rPr>
        <w:t>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cs="宋体"/>
          <w:b/>
          <w:bCs/>
          <w:color w:val="auto"/>
          <w:szCs w:val="21"/>
          <w:highlight w:val="none"/>
          <w:u w:val="none"/>
        </w:rPr>
        <w:t>投标供应商解密限定在开标后30分钟之内完成</w:t>
      </w:r>
      <w:r>
        <w:rPr>
          <w:rFonts w:hint="eastAsia" w:ascii="宋体" w:hAnsi="宋体" w:cs="宋体"/>
          <w:color w:val="auto"/>
          <w:szCs w:val="21"/>
          <w:highlight w:val="none"/>
          <w:u w:val="non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14:paraId="039F94E6">
      <w:pPr>
        <w:spacing w:line="360" w:lineRule="auto"/>
        <w:ind w:firstLine="422" w:firstLineChars="200"/>
        <w:rPr>
          <w:rFonts w:hint="eastAsia" w:ascii="宋体" w:hAnsi="宋体" w:cs="宋体"/>
          <w:color w:val="auto"/>
          <w:szCs w:val="21"/>
          <w:highlight w:val="none"/>
          <w:u w:val="none"/>
        </w:rPr>
      </w:pPr>
      <w:r>
        <w:rPr>
          <w:rFonts w:hint="eastAsia" w:ascii="宋体" w:hAnsi="宋体" w:cs="宋体"/>
          <w:b/>
          <w:bCs/>
          <w:color w:val="auto"/>
          <w:szCs w:val="21"/>
          <w:highlight w:val="none"/>
          <w:u w:val="none"/>
        </w:rPr>
        <w:t>注：</w:t>
      </w:r>
      <w:r>
        <w:rPr>
          <w:rFonts w:hint="eastAsia" w:ascii="宋体" w:hAnsi="宋体" w:cs="宋体"/>
          <w:color w:val="auto"/>
          <w:szCs w:val="21"/>
          <w:highlight w:val="none"/>
          <w:u w:val="none"/>
        </w:rPr>
        <w:t>各供应商请关注开标大厅交流区，在开标结束后，请勿离开开标大厅。采购人或采购代理机构通知最后报价填报后，所有的响应供应商须在15分钟内填写并提交最后报价，未在规定时间内提交最后报价的，视作无效响应处理。</w:t>
      </w:r>
    </w:p>
    <w:p w14:paraId="1C1FFB3F">
      <w:pPr>
        <w:spacing w:line="360" w:lineRule="auto"/>
        <w:rPr>
          <w:rFonts w:hint="eastAsia" w:ascii="宋体" w:hAnsi="宋体" w:cs="宋体"/>
          <w:b/>
          <w:bCs/>
          <w:color w:val="auto"/>
          <w:szCs w:val="21"/>
          <w:highlight w:val="none"/>
          <w:u w:val="none"/>
        </w:rPr>
      </w:pPr>
      <w:r>
        <w:rPr>
          <w:rFonts w:hint="eastAsia" w:ascii="宋体" w:hAnsi="宋体" w:cs="宋体"/>
          <w:b/>
          <w:bCs/>
          <w:color w:val="auto"/>
          <w:szCs w:val="21"/>
          <w:highlight w:val="none"/>
          <w:u w:val="none"/>
        </w:rPr>
        <w:t>六、公告期限</w:t>
      </w:r>
      <w:bookmarkEnd w:id="73"/>
      <w:bookmarkEnd w:id="74"/>
      <w:bookmarkEnd w:id="75"/>
      <w:bookmarkEnd w:id="76"/>
    </w:p>
    <w:p w14:paraId="11F66280">
      <w:pPr>
        <w:spacing w:line="360" w:lineRule="auto"/>
        <w:ind w:firstLine="420" w:firstLineChars="200"/>
        <w:rPr>
          <w:rFonts w:hint="eastAsia" w:ascii="宋体" w:hAnsi="宋体" w:cs="宋体"/>
          <w:color w:val="auto"/>
          <w:szCs w:val="21"/>
          <w:highlight w:val="none"/>
          <w:u w:val="none"/>
        </w:rPr>
      </w:pPr>
      <w:r>
        <w:rPr>
          <w:rFonts w:hint="eastAsia" w:ascii="宋体" w:hAnsi="宋体" w:cs="宋体"/>
          <w:color w:val="auto"/>
          <w:szCs w:val="21"/>
          <w:highlight w:val="none"/>
          <w:u w:val="none"/>
        </w:rPr>
        <w:t>自本公告发布之日起3个工作日。</w:t>
      </w:r>
      <w:bookmarkStart w:id="77" w:name="_Toc35393635"/>
      <w:bookmarkStart w:id="78" w:name="_Toc35393804"/>
    </w:p>
    <w:p w14:paraId="342D8E56">
      <w:pPr>
        <w:numPr>
          <w:ilvl w:val="0"/>
          <w:numId w:val="1"/>
        </w:numPr>
        <w:spacing w:line="360" w:lineRule="auto"/>
        <w:rPr>
          <w:rFonts w:hint="eastAsia" w:ascii="宋体" w:hAnsi="宋体" w:cs="宋体"/>
          <w:b/>
          <w:bCs/>
          <w:color w:val="auto"/>
          <w:szCs w:val="21"/>
          <w:highlight w:val="none"/>
          <w:u w:val="none"/>
        </w:rPr>
      </w:pPr>
      <w:r>
        <w:rPr>
          <w:rFonts w:hint="eastAsia" w:ascii="宋体" w:hAnsi="宋体" w:cs="宋体"/>
          <w:b/>
          <w:bCs/>
          <w:color w:val="auto"/>
          <w:szCs w:val="21"/>
          <w:highlight w:val="none"/>
          <w:u w:val="none"/>
        </w:rPr>
        <w:t>其他补充事宜</w:t>
      </w:r>
      <w:bookmarkEnd w:id="77"/>
      <w:bookmarkEnd w:id="78"/>
      <w:bookmarkStart w:id="79" w:name="_Toc35393805"/>
      <w:bookmarkStart w:id="80" w:name="_Toc35393636"/>
      <w:bookmarkStart w:id="81" w:name="_Toc28359018"/>
      <w:bookmarkStart w:id="82" w:name="_Toc28359095"/>
    </w:p>
    <w:p w14:paraId="52BA37CE">
      <w:pPr>
        <w:spacing w:line="360" w:lineRule="auto"/>
        <w:ind w:firstLine="420" w:firstLineChars="200"/>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1.项目磋商活动模式：不见面远程磋商模式，供应商在各自地点通过不见面交易系统参加开标会。 </w:t>
      </w:r>
    </w:p>
    <w:p w14:paraId="4CFBCD60">
      <w:pPr>
        <w:spacing w:line="360" w:lineRule="auto"/>
        <w:ind w:firstLine="420" w:firstLineChars="200"/>
        <w:rPr>
          <w:rFonts w:hint="eastAsia" w:ascii="宋体" w:hAnsi="宋体" w:cs="宋体"/>
          <w:color w:val="auto"/>
          <w:szCs w:val="21"/>
          <w:highlight w:val="none"/>
          <w:u w:val="none"/>
        </w:rPr>
      </w:pPr>
      <w:r>
        <w:rPr>
          <w:rFonts w:hint="eastAsia" w:ascii="宋体" w:hAnsi="宋体" w:cs="宋体"/>
          <w:color w:val="auto"/>
          <w:szCs w:val="21"/>
          <w:highlight w:val="none"/>
          <w:u w:val="none"/>
        </w:rPr>
        <w:t>2.供应商应依照规定提交各类声明函、承诺函，不再同时提供原件备查或提供有关部门出具的相关证明文件。但成交供应商，应做好提交声明函、承诺函等相应原件的核查准备；核查后发现虚假或违背承诺的，依照相关法律法规规定处理。</w:t>
      </w:r>
    </w:p>
    <w:p w14:paraId="7302B928">
      <w:pPr>
        <w:spacing w:line="360" w:lineRule="auto"/>
        <w:ind w:firstLine="422" w:firstLineChars="200"/>
        <w:rPr>
          <w:rFonts w:hint="eastAsia" w:ascii="宋体" w:hAnsi="宋体" w:cs="宋体"/>
          <w:b/>
          <w:bCs/>
          <w:color w:val="auto"/>
          <w:szCs w:val="21"/>
          <w:highlight w:val="none"/>
          <w:u w:val="none"/>
        </w:rPr>
      </w:pPr>
      <w:r>
        <w:rPr>
          <w:rFonts w:hint="eastAsia" w:ascii="宋体" w:hAnsi="宋体" w:cs="宋体"/>
          <w:b/>
          <w:bCs/>
          <w:color w:val="auto"/>
          <w:szCs w:val="21"/>
          <w:highlight w:val="none"/>
          <w:u w:val="none"/>
        </w:rPr>
        <w:t>3.本项目按照政府采购法律制度规定，在磋商中任何一方不得透露与磋商有关的其他供应商的技术资料、价格和其他信息，因此不公开唱标。最终成交供应商名称和成交金额可通过江苏省政府采购网站发布成交结果公告获得。</w:t>
      </w:r>
    </w:p>
    <w:p w14:paraId="4A863934">
      <w:pPr>
        <w:spacing w:line="360" w:lineRule="auto"/>
        <w:ind w:firstLine="420" w:firstLineChars="200"/>
        <w:rPr>
          <w:rFonts w:hint="eastAsia" w:ascii="宋体" w:hAnsi="宋体" w:cs="宋体"/>
          <w:color w:val="auto"/>
          <w:szCs w:val="21"/>
          <w:highlight w:val="none"/>
          <w:u w:val="none"/>
        </w:rPr>
      </w:pPr>
      <w:r>
        <w:rPr>
          <w:rFonts w:hint="eastAsia" w:ascii="宋体" w:hAnsi="宋体" w:cs="宋体"/>
          <w:color w:val="auto"/>
          <w:szCs w:val="21"/>
          <w:highlight w:val="none"/>
          <w:u w:val="none"/>
        </w:rPr>
        <w:t>4.相关法律法规规定：</w:t>
      </w:r>
    </w:p>
    <w:p w14:paraId="1A4D5B88">
      <w:pPr>
        <w:spacing w:line="360" w:lineRule="auto"/>
        <w:ind w:firstLine="420" w:firstLineChars="200"/>
        <w:rPr>
          <w:rFonts w:hint="eastAsia" w:ascii="宋体" w:hAnsi="宋体" w:cs="宋体"/>
          <w:color w:val="auto"/>
          <w:szCs w:val="21"/>
          <w:highlight w:val="none"/>
          <w:u w:val="none"/>
        </w:rPr>
      </w:pPr>
      <w:r>
        <w:rPr>
          <w:rFonts w:hint="eastAsia" w:ascii="宋体" w:hAnsi="宋体" w:cs="宋体"/>
          <w:color w:val="auto"/>
          <w:szCs w:val="21"/>
          <w:highlight w:val="none"/>
          <w:u w:val="none"/>
        </w:rPr>
        <w:t>《政府采购竞争性磋商采购方式管理暂行办法》（财库〔2014〕214号）第二十一条：磋商文件能够详细列明采购标的的技术、服务要求的，磋商结束后，磋商小组应当要求所有实质性响应的供应商在规定时间内提交最后报价，提交最后报价的供应商不得少于3家。</w:t>
      </w:r>
      <w:r>
        <w:rPr>
          <w:rFonts w:hint="eastAsia" w:ascii="宋体" w:hAnsi="宋体" w:cs="宋体"/>
          <w:b/>
          <w:bCs/>
          <w:color w:val="auto"/>
          <w:szCs w:val="21"/>
          <w:highlight w:val="none"/>
          <w:u w:val="none"/>
        </w:rPr>
        <w:t>符合《政府采购竞争性磋商采购方式管理办法》第三条第四项及《财政部关于竞争性磋商采购方式管理暂行办法有关问题的补充通知》（财库〔2015〕124号）规定情形的，提交最后报价的供应商可以为2家。</w:t>
      </w:r>
    </w:p>
    <w:p w14:paraId="24BD2981">
      <w:pPr>
        <w:spacing w:line="360" w:lineRule="auto"/>
        <w:ind w:firstLine="420" w:firstLineChars="200"/>
        <w:rPr>
          <w:rFonts w:hint="eastAsia" w:ascii="宋体" w:hAnsi="宋体" w:cs="宋体"/>
          <w:color w:val="auto"/>
          <w:szCs w:val="21"/>
          <w:highlight w:val="none"/>
          <w:u w:val="none"/>
        </w:rPr>
      </w:pPr>
      <w:r>
        <w:rPr>
          <w:rFonts w:hint="eastAsia" w:ascii="宋体" w:hAnsi="宋体" w:cs="宋体"/>
          <w:color w:val="auto"/>
          <w:szCs w:val="21"/>
          <w:highlight w:val="none"/>
          <w:u w:val="none"/>
        </w:rPr>
        <w:t>《政府采购竞争性磋商采购方式管理暂行办法》（财库〔2014〕214号）第二十三条：经磋商确定最终采购需求和提交最后报价的供应商后，由磋商小组采用综合评分法对提交最后报价的供应商的响应文件和最后报价进行综合评分。</w:t>
      </w:r>
    </w:p>
    <w:p w14:paraId="07EDFD14">
      <w:pPr>
        <w:spacing w:line="360" w:lineRule="auto"/>
        <w:ind w:firstLine="422" w:firstLineChars="200"/>
        <w:rPr>
          <w:rFonts w:hint="eastAsia" w:ascii="宋体" w:hAnsi="宋体" w:cs="宋体"/>
          <w:color w:val="auto"/>
          <w:szCs w:val="21"/>
          <w:highlight w:val="none"/>
          <w:u w:val="none"/>
        </w:rPr>
      </w:pPr>
      <w:r>
        <w:rPr>
          <w:rFonts w:hint="eastAsia" w:ascii="宋体" w:hAnsi="宋体" w:cs="宋体"/>
          <w:b/>
          <w:bCs/>
          <w:color w:val="auto"/>
          <w:szCs w:val="21"/>
          <w:highlight w:val="none"/>
          <w:u w:val="none"/>
        </w:rPr>
        <w:t>5.本项目为固定单价合同</w:t>
      </w:r>
      <w:r>
        <w:rPr>
          <w:rFonts w:hint="eastAsia" w:ascii="宋体" w:hAnsi="宋体" w:cs="宋体"/>
          <w:color w:val="auto"/>
          <w:szCs w:val="21"/>
          <w:highlight w:val="none"/>
          <w:u w:val="none"/>
        </w:rPr>
        <w:t>，包含但不限于本项目服务过程的检测服务人员费用（人员工资福利保险费、检测服务费、技术咨询服务费）、差旅费、食宿费、运营管理费、税金，以及一切不可预见的车辆费用、风险费用、利润等。供应商应充分考虑本项目合同实施期间可能发生的费用，并承担由此而带来的风险。</w:t>
      </w:r>
    </w:p>
    <w:p w14:paraId="216AD0AE">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b/>
          <w:bCs/>
          <w:color w:val="auto"/>
          <w:kern w:val="2"/>
          <w:sz w:val="21"/>
          <w:szCs w:val="24"/>
          <w:highlight w:val="none"/>
          <w:u w:val="none"/>
          <w:vertAlign w:val="baseline"/>
          <w:lang w:val="en-US" w:eastAsia="zh-CN" w:bidi="ar"/>
        </w:rPr>
      </w:pPr>
      <w:r>
        <w:rPr>
          <w:rFonts w:hint="eastAsia" w:ascii="宋体" w:hAnsi="宋体" w:cs="宋体"/>
          <w:color w:val="auto"/>
          <w:szCs w:val="21"/>
          <w:highlight w:val="none"/>
          <w:u w:val="none"/>
        </w:rPr>
        <w:t>6.</w:t>
      </w:r>
      <w:r>
        <w:rPr>
          <w:rFonts w:hint="eastAsia" w:ascii="宋体" w:hAnsi="宋体" w:eastAsia="宋体" w:cs="宋体"/>
          <w:b/>
          <w:bCs/>
          <w:color w:val="auto"/>
          <w:kern w:val="2"/>
          <w:sz w:val="21"/>
          <w:szCs w:val="24"/>
          <w:highlight w:val="none"/>
          <w:u w:val="none"/>
          <w:vertAlign w:val="baseline"/>
          <w:lang w:val="en-US" w:eastAsia="zh-CN" w:bidi="ar"/>
        </w:rPr>
        <w:t>评审中出现下列情形之一的，评审委员会应当启动异常低价投标（响应）审查程序：</w:t>
      </w:r>
    </w:p>
    <w:p w14:paraId="4917C1A2">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color w:val="auto"/>
          <w:kern w:val="2"/>
          <w:sz w:val="21"/>
          <w:szCs w:val="24"/>
          <w:highlight w:val="none"/>
          <w:u w:val="none"/>
          <w:vertAlign w:val="baseline"/>
          <w:lang w:val="en-US" w:eastAsia="zh-CN" w:bidi="ar"/>
        </w:rPr>
      </w:pPr>
      <w:r>
        <w:rPr>
          <w:rFonts w:hint="eastAsia" w:ascii="宋体" w:hAnsi="宋体" w:eastAsia="宋体" w:cs="宋体"/>
          <w:color w:val="auto"/>
          <w:kern w:val="2"/>
          <w:sz w:val="21"/>
          <w:szCs w:val="24"/>
          <w:highlight w:val="none"/>
          <w:u w:val="none"/>
          <w:vertAlign w:val="baseline"/>
          <w:lang w:val="en-US" w:eastAsia="zh-CN" w:bidi="ar"/>
        </w:rPr>
        <w:t xml:space="preserve">（1）评审过程中出现下列情形之一的，评审委员会应当启动异常低价投标（响应）审查程序： </w:t>
      </w:r>
    </w:p>
    <w:p w14:paraId="43EEDAA0">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color w:val="auto"/>
          <w:kern w:val="2"/>
          <w:sz w:val="21"/>
          <w:szCs w:val="24"/>
          <w:highlight w:val="none"/>
          <w:u w:val="none"/>
          <w:vertAlign w:val="baseline"/>
          <w:lang w:val="en-US" w:eastAsia="zh-CN" w:bidi="ar"/>
        </w:rPr>
      </w:pPr>
      <w:r>
        <w:rPr>
          <w:rFonts w:hint="eastAsia" w:ascii="宋体" w:hAnsi="宋体" w:eastAsia="宋体" w:cs="宋体"/>
          <w:color w:val="auto"/>
          <w:kern w:val="2"/>
          <w:sz w:val="21"/>
          <w:szCs w:val="24"/>
          <w:highlight w:val="none"/>
          <w:u w:val="none"/>
          <w:vertAlign w:val="baseline"/>
          <w:lang w:val="en-US" w:eastAsia="zh-CN" w:bidi="ar"/>
        </w:rPr>
        <w:t>①投标（响应）报价低于全部通过符合性审查供应商投标（响应）报价平均值</w:t>
      </w:r>
      <w:r>
        <w:rPr>
          <w:rFonts w:hint="eastAsia" w:ascii="宋体" w:hAnsi="宋体" w:cs="宋体"/>
          <w:color w:val="auto"/>
          <w:kern w:val="2"/>
          <w:sz w:val="21"/>
          <w:szCs w:val="24"/>
          <w:highlight w:val="none"/>
          <w:u w:val="none"/>
          <w:vertAlign w:val="baseline"/>
          <w:lang w:val="en-US" w:eastAsia="zh-CN" w:bidi="ar"/>
        </w:rPr>
        <w:t>50</w:t>
      </w:r>
      <w:r>
        <w:rPr>
          <w:rFonts w:hint="eastAsia" w:ascii="宋体" w:hAnsi="宋体" w:eastAsia="宋体" w:cs="宋体"/>
          <w:color w:val="auto"/>
          <w:kern w:val="2"/>
          <w:sz w:val="21"/>
          <w:szCs w:val="24"/>
          <w:highlight w:val="none"/>
          <w:u w:val="none"/>
          <w:vertAlign w:val="baseline"/>
          <w:lang w:val="en-US" w:eastAsia="zh-CN" w:bidi="ar"/>
        </w:rPr>
        <w:t>%的，即投标（响应）报价〈全部通过符合性审查供应商投标（响应）报价平均值×</w:t>
      </w:r>
      <w:r>
        <w:rPr>
          <w:rFonts w:hint="eastAsia" w:ascii="宋体" w:hAnsi="宋体" w:cs="宋体"/>
          <w:color w:val="auto"/>
          <w:kern w:val="2"/>
          <w:sz w:val="21"/>
          <w:szCs w:val="24"/>
          <w:highlight w:val="none"/>
          <w:u w:val="none"/>
          <w:vertAlign w:val="baseline"/>
          <w:lang w:val="en-US" w:eastAsia="zh-CN" w:bidi="ar"/>
        </w:rPr>
        <w:t>50</w:t>
      </w:r>
      <w:r>
        <w:rPr>
          <w:rFonts w:hint="eastAsia" w:ascii="宋体" w:hAnsi="宋体" w:eastAsia="宋体" w:cs="宋体"/>
          <w:color w:val="auto"/>
          <w:kern w:val="2"/>
          <w:sz w:val="21"/>
          <w:szCs w:val="24"/>
          <w:highlight w:val="none"/>
          <w:u w:val="none"/>
          <w:vertAlign w:val="baseline"/>
          <w:lang w:val="en-US" w:eastAsia="zh-CN" w:bidi="ar"/>
        </w:rPr>
        <w:t>%；</w:t>
      </w:r>
    </w:p>
    <w:p w14:paraId="4C9567AF">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color w:val="auto"/>
          <w:kern w:val="2"/>
          <w:sz w:val="21"/>
          <w:szCs w:val="24"/>
          <w:highlight w:val="none"/>
          <w:u w:val="none"/>
          <w:vertAlign w:val="baseline"/>
          <w:lang w:val="en-US" w:eastAsia="zh-CN" w:bidi="ar"/>
        </w:rPr>
      </w:pPr>
      <w:r>
        <w:rPr>
          <w:rFonts w:hint="eastAsia" w:ascii="宋体" w:hAnsi="宋体" w:eastAsia="宋体" w:cs="宋体"/>
          <w:color w:val="auto"/>
          <w:kern w:val="2"/>
          <w:sz w:val="21"/>
          <w:szCs w:val="24"/>
          <w:highlight w:val="none"/>
          <w:u w:val="none"/>
          <w:vertAlign w:val="baseline"/>
          <w:lang w:val="en-US" w:eastAsia="zh-CN" w:bidi="ar"/>
        </w:rPr>
        <w:t>②投标（响应）报价低于通过符合性审查的次低报价供应商投标（响应）报价</w:t>
      </w:r>
      <w:r>
        <w:rPr>
          <w:rFonts w:hint="eastAsia" w:ascii="宋体" w:hAnsi="宋体" w:cs="宋体"/>
          <w:color w:val="auto"/>
          <w:kern w:val="2"/>
          <w:sz w:val="21"/>
          <w:szCs w:val="24"/>
          <w:highlight w:val="none"/>
          <w:u w:val="none"/>
          <w:vertAlign w:val="baseline"/>
          <w:lang w:val="en-US" w:eastAsia="zh-CN" w:bidi="ar"/>
        </w:rPr>
        <w:t>50</w:t>
      </w:r>
      <w:r>
        <w:rPr>
          <w:rFonts w:hint="eastAsia" w:ascii="宋体" w:hAnsi="宋体" w:eastAsia="宋体" w:cs="宋体"/>
          <w:color w:val="auto"/>
          <w:kern w:val="2"/>
          <w:sz w:val="21"/>
          <w:szCs w:val="24"/>
          <w:highlight w:val="none"/>
          <w:u w:val="none"/>
          <w:vertAlign w:val="baseline"/>
          <w:lang w:val="en-US" w:eastAsia="zh-CN" w:bidi="ar"/>
        </w:rPr>
        <w:t>%的，即投标（响应）报价〈通过符合性审查的次低报价供应商投标（响应）报价×</w:t>
      </w:r>
      <w:r>
        <w:rPr>
          <w:rFonts w:hint="eastAsia" w:ascii="宋体" w:hAnsi="宋体" w:cs="宋体"/>
          <w:color w:val="auto"/>
          <w:kern w:val="2"/>
          <w:sz w:val="21"/>
          <w:szCs w:val="24"/>
          <w:highlight w:val="none"/>
          <w:u w:val="none"/>
          <w:vertAlign w:val="baseline"/>
          <w:lang w:val="en-US" w:eastAsia="zh-CN" w:bidi="ar"/>
        </w:rPr>
        <w:t>50</w:t>
      </w:r>
      <w:r>
        <w:rPr>
          <w:rFonts w:hint="eastAsia" w:ascii="宋体" w:hAnsi="宋体" w:eastAsia="宋体" w:cs="宋体"/>
          <w:color w:val="auto"/>
          <w:kern w:val="2"/>
          <w:sz w:val="21"/>
          <w:szCs w:val="24"/>
          <w:highlight w:val="none"/>
          <w:u w:val="none"/>
          <w:vertAlign w:val="baseline"/>
          <w:lang w:val="en-US" w:eastAsia="zh-CN" w:bidi="ar"/>
        </w:rPr>
        <w:t>%；</w:t>
      </w:r>
    </w:p>
    <w:p w14:paraId="29ADE811">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color w:val="auto"/>
          <w:kern w:val="2"/>
          <w:sz w:val="21"/>
          <w:szCs w:val="24"/>
          <w:highlight w:val="none"/>
          <w:u w:val="none"/>
          <w:vertAlign w:val="baseline"/>
          <w:lang w:val="en-US" w:eastAsia="zh-CN" w:bidi="ar"/>
        </w:rPr>
      </w:pPr>
      <w:r>
        <w:rPr>
          <w:rFonts w:hint="eastAsia" w:ascii="宋体" w:hAnsi="宋体" w:eastAsia="宋体" w:cs="宋体"/>
          <w:color w:val="auto"/>
          <w:kern w:val="2"/>
          <w:sz w:val="21"/>
          <w:szCs w:val="24"/>
          <w:highlight w:val="none"/>
          <w:u w:val="none"/>
          <w:vertAlign w:val="baseline"/>
          <w:lang w:val="en-US" w:eastAsia="zh-CN" w:bidi="ar"/>
        </w:rPr>
        <w:t>③投标（响应）报价低于采购项目最高限价</w:t>
      </w:r>
      <w:r>
        <w:rPr>
          <w:rFonts w:hint="eastAsia" w:ascii="宋体" w:hAnsi="宋体" w:cs="宋体"/>
          <w:color w:val="auto"/>
          <w:kern w:val="2"/>
          <w:sz w:val="21"/>
          <w:szCs w:val="24"/>
          <w:highlight w:val="none"/>
          <w:u w:val="none"/>
          <w:vertAlign w:val="baseline"/>
          <w:lang w:val="en-US" w:eastAsia="zh-CN" w:bidi="ar"/>
        </w:rPr>
        <w:t>45</w:t>
      </w:r>
      <w:r>
        <w:rPr>
          <w:rFonts w:hint="eastAsia" w:ascii="宋体" w:hAnsi="宋体" w:eastAsia="宋体" w:cs="宋体"/>
          <w:color w:val="auto"/>
          <w:kern w:val="2"/>
          <w:sz w:val="21"/>
          <w:szCs w:val="24"/>
          <w:highlight w:val="none"/>
          <w:u w:val="none"/>
          <w:vertAlign w:val="baseline"/>
          <w:lang w:val="en-US" w:eastAsia="zh-CN" w:bidi="ar"/>
        </w:rPr>
        <w:t>%的，即投标（响应）报价〈采购项目最高限价 ×</w:t>
      </w:r>
      <w:r>
        <w:rPr>
          <w:rFonts w:hint="eastAsia" w:ascii="宋体" w:hAnsi="宋体" w:cs="宋体"/>
          <w:color w:val="auto"/>
          <w:kern w:val="2"/>
          <w:sz w:val="21"/>
          <w:szCs w:val="24"/>
          <w:highlight w:val="none"/>
          <w:u w:val="none"/>
          <w:vertAlign w:val="baseline"/>
          <w:lang w:val="en-US" w:eastAsia="zh-CN" w:bidi="ar"/>
        </w:rPr>
        <w:t>50</w:t>
      </w:r>
      <w:r>
        <w:rPr>
          <w:rFonts w:hint="eastAsia" w:ascii="宋体" w:hAnsi="宋体" w:eastAsia="宋体" w:cs="宋体"/>
          <w:color w:val="auto"/>
          <w:kern w:val="2"/>
          <w:sz w:val="21"/>
          <w:szCs w:val="24"/>
          <w:highlight w:val="none"/>
          <w:u w:val="none"/>
          <w:vertAlign w:val="baseline"/>
          <w:lang w:val="en-US" w:eastAsia="zh-CN" w:bidi="ar"/>
        </w:rPr>
        <w:t>%；</w:t>
      </w:r>
    </w:p>
    <w:p w14:paraId="10C25C1B">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color w:val="auto"/>
          <w:kern w:val="2"/>
          <w:sz w:val="21"/>
          <w:szCs w:val="24"/>
          <w:highlight w:val="none"/>
          <w:u w:val="none"/>
          <w:vertAlign w:val="baseline"/>
          <w:lang w:val="en-US" w:eastAsia="zh-CN" w:bidi="ar"/>
        </w:rPr>
      </w:pPr>
      <w:r>
        <w:rPr>
          <w:rFonts w:hint="eastAsia" w:ascii="宋体" w:hAnsi="宋体" w:eastAsia="宋体" w:cs="宋体"/>
          <w:color w:val="auto"/>
          <w:kern w:val="2"/>
          <w:sz w:val="21"/>
          <w:szCs w:val="24"/>
          <w:highlight w:val="none"/>
          <w:u w:val="none"/>
          <w:vertAlign w:val="baseline"/>
          <w:lang w:val="en-US" w:eastAsia="zh-CN" w:bidi="ar"/>
        </w:rPr>
        <w:t>④评审委员会基于专业判断，认为供应商报价过低，有可能影响产品质量或者不能诚信履约的其他情形。</w:t>
      </w:r>
    </w:p>
    <w:p w14:paraId="22DEAD09">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color w:val="auto"/>
          <w:kern w:val="2"/>
          <w:sz w:val="21"/>
          <w:szCs w:val="24"/>
          <w:highlight w:val="none"/>
          <w:u w:val="none"/>
          <w:vertAlign w:val="baseline"/>
          <w:lang w:val="en-US" w:eastAsia="zh-CN" w:bidi="ar"/>
        </w:rPr>
      </w:pPr>
      <w:r>
        <w:rPr>
          <w:rFonts w:hint="eastAsia" w:ascii="宋体" w:hAnsi="宋体" w:eastAsia="宋体" w:cs="宋体"/>
          <w:color w:val="auto"/>
          <w:kern w:val="2"/>
          <w:sz w:val="21"/>
          <w:szCs w:val="24"/>
          <w:highlight w:val="none"/>
          <w:u w:val="none"/>
          <w:vertAlign w:val="baseline"/>
          <w:lang w:val="en-US" w:eastAsia="zh-CN" w:bidi="ar"/>
        </w:rPr>
        <w:t>（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证明材料包括但不限于人工成本（银行工资发放流水记录）、施工器具使用费（采购原始发票或租赁费支付发票）、企业管理费测算等，给予相关供应商的合理时间一般不少于30分钟。其中，属于第③项情形，供应商已随投标(响应)文件一并提交相关书面说明及必要的证明材料的，在评审现场可不再重复提交。</w:t>
      </w:r>
    </w:p>
    <w:p w14:paraId="3DB1765F">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color w:val="auto"/>
          <w:kern w:val="2"/>
          <w:sz w:val="21"/>
          <w:szCs w:val="24"/>
          <w:highlight w:val="none"/>
          <w:u w:val="none"/>
          <w:vertAlign w:val="baseline"/>
          <w:lang w:val="en-US" w:eastAsia="zh-CN" w:bidi="ar"/>
        </w:rPr>
      </w:pPr>
      <w:r>
        <w:rPr>
          <w:rFonts w:hint="eastAsia" w:ascii="宋体" w:hAnsi="宋体" w:eastAsia="宋体" w:cs="宋体"/>
          <w:color w:val="auto"/>
          <w:kern w:val="2"/>
          <w:sz w:val="21"/>
          <w:szCs w:val="24"/>
          <w:highlight w:val="none"/>
          <w:u w:val="none"/>
          <w:vertAlign w:val="baseline"/>
          <w:lang w:val="en-US" w:eastAsia="zh-CN" w:bidi="ar"/>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CCE177D">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color w:val="auto"/>
          <w:kern w:val="2"/>
          <w:sz w:val="21"/>
          <w:szCs w:val="24"/>
          <w:highlight w:val="none"/>
          <w:u w:val="none"/>
          <w:vertAlign w:val="baseline"/>
          <w:lang w:val="en-US" w:eastAsia="zh-CN" w:bidi="ar"/>
        </w:rPr>
      </w:pPr>
      <w:r>
        <w:rPr>
          <w:rFonts w:hint="eastAsia" w:ascii="宋体" w:hAnsi="宋体" w:eastAsia="宋体" w:cs="宋体"/>
          <w:color w:val="auto"/>
          <w:kern w:val="2"/>
          <w:sz w:val="21"/>
          <w:szCs w:val="24"/>
          <w:highlight w:val="none"/>
          <w:u w:val="none"/>
          <w:vertAlign w:val="baseline"/>
          <w:lang w:val="en-US" w:eastAsia="zh-CN" w:bidi="ar"/>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5710FB5">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color w:val="auto"/>
          <w:kern w:val="2"/>
          <w:sz w:val="21"/>
          <w:szCs w:val="24"/>
          <w:highlight w:val="none"/>
          <w:u w:val="none"/>
          <w:vertAlign w:val="baseline"/>
          <w:lang w:val="en-US" w:eastAsia="zh-CN" w:bidi="ar"/>
        </w:rPr>
      </w:pPr>
      <w:r>
        <w:rPr>
          <w:rFonts w:hint="eastAsia" w:ascii="宋体" w:hAnsi="宋体" w:eastAsia="宋体" w:cs="宋体"/>
          <w:color w:val="auto"/>
          <w:kern w:val="2"/>
          <w:sz w:val="21"/>
          <w:szCs w:val="24"/>
          <w:highlight w:val="none"/>
          <w:u w:val="none"/>
          <w:vertAlign w:val="baseline"/>
          <w:lang w:val="en-US" w:eastAsia="zh-CN" w:bidi="ar"/>
        </w:rPr>
        <w:t>异常低价投标(响应)审查的启动原因、审查意见和审查结果应当在评审报告中记录，并随供应商提供的相关书面说明及证明材料，以及评审委员会有关互联网浏览、查询历史一并归档。</w:t>
      </w:r>
    </w:p>
    <w:p w14:paraId="233E643C">
      <w:pPr>
        <w:pageBreakBefore w:val="0"/>
        <w:spacing w:line="360" w:lineRule="auto"/>
        <w:ind w:firstLine="422"/>
        <w:rPr>
          <w:rFonts w:hint="eastAsia" w:ascii="宋体" w:hAnsi="宋体" w:eastAsia="宋体" w:cs="宋体"/>
          <w:b/>
          <w:bCs/>
          <w:color w:val="auto"/>
          <w:szCs w:val="21"/>
          <w:highlight w:val="none"/>
          <w:u w:val="none"/>
          <w:lang w:val="en-US" w:eastAsia="zh-CN"/>
        </w:rPr>
      </w:pPr>
      <w:r>
        <w:rPr>
          <w:rFonts w:hint="eastAsia" w:ascii="宋体" w:hAnsi="宋体" w:eastAsia="宋体" w:cs="宋体"/>
          <w:b/>
          <w:bCs/>
          <w:color w:val="auto"/>
          <w:szCs w:val="21"/>
          <w:highlight w:val="none"/>
          <w:u w:val="none"/>
          <w:lang w:val="en-US" w:eastAsia="zh-CN"/>
        </w:rPr>
        <w:t>7.本项目共分2个采购包，同一供应商最多可响应2个采购包。开标及评标均按采购包1、采购包2依次进行。供应商在2个采购包中仅限成交1个采购包；若供应商在采购包1被推荐为第一成交候选人，</w:t>
      </w:r>
      <w:r>
        <w:rPr>
          <w:rFonts w:hint="eastAsia" w:ascii="宋体" w:hAnsi="宋体" w:cs="宋体"/>
          <w:b/>
          <w:bCs/>
          <w:color w:val="auto"/>
          <w:szCs w:val="21"/>
          <w:highlight w:val="none"/>
          <w:u w:val="none"/>
          <w:lang w:val="en-US" w:eastAsia="zh-CN"/>
        </w:rPr>
        <w:t>则</w:t>
      </w:r>
      <w:r>
        <w:rPr>
          <w:rFonts w:hint="eastAsia" w:ascii="宋体" w:hAnsi="宋体" w:eastAsia="宋体" w:cs="宋体"/>
          <w:b/>
          <w:bCs/>
          <w:color w:val="auto"/>
          <w:szCs w:val="21"/>
          <w:highlight w:val="none"/>
          <w:u w:val="none"/>
          <w:lang w:val="en-US" w:eastAsia="zh-CN"/>
        </w:rPr>
        <w:t>不再参与采购包2的评审。</w:t>
      </w:r>
    </w:p>
    <w:p w14:paraId="7906724E">
      <w:pPr>
        <w:pageBreakBefore w:val="0"/>
        <w:spacing w:line="360" w:lineRule="auto"/>
        <w:ind w:firstLine="422"/>
        <w:rPr>
          <w:rFonts w:hint="eastAsia" w:ascii="宋体" w:hAnsi="宋体" w:eastAsia="宋体" w:cs="宋体"/>
          <w:b/>
          <w:bCs/>
          <w:color w:val="auto"/>
          <w:szCs w:val="21"/>
          <w:highlight w:val="none"/>
          <w:u w:val="none"/>
        </w:rPr>
      </w:pPr>
      <w:r>
        <w:rPr>
          <w:rFonts w:hint="eastAsia" w:ascii="宋体" w:hAnsi="宋体" w:cs="宋体"/>
          <w:b/>
          <w:bCs/>
          <w:color w:val="auto"/>
          <w:szCs w:val="21"/>
          <w:highlight w:val="none"/>
          <w:u w:val="none"/>
          <w:lang w:val="en-US" w:eastAsia="zh-CN"/>
        </w:rPr>
        <w:t>8.</w:t>
      </w:r>
      <w:r>
        <w:rPr>
          <w:rFonts w:hint="eastAsia" w:ascii="宋体" w:hAnsi="宋体" w:eastAsia="宋体" w:cs="宋体"/>
          <w:b/>
          <w:bCs/>
          <w:color w:val="auto"/>
          <w:szCs w:val="21"/>
          <w:highlight w:val="none"/>
          <w:u w:val="none"/>
          <w:lang w:val="en-US" w:eastAsia="zh-CN"/>
        </w:rPr>
        <w:t>当第一成交候选人因项目质疑、投诉导致成交结果无效时，</w:t>
      </w:r>
      <w:r>
        <w:rPr>
          <w:rFonts w:hint="eastAsia" w:ascii="宋体" w:hAnsi="宋体" w:cs="宋体"/>
          <w:b/>
          <w:bCs/>
          <w:color w:val="auto"/>
          <w:szCs w:val="21"/>
          <w:highlight w:val="none"/>
          <w:u w:val="none"/>
          <w:lang w:val="en-US" w:eastAsia="zh-CN"/>
        </w:rPr>
        <w:t>后续采购包</w:t>
      </w:r>
      <w:r>
        <w:rPr>
          <w:rFonts w:hint="eastAsia" w:ascii="宋体" w:hAnsi="宋体" w:eastAsia="宋体" w:cs="宋体"/>
          <w:b/>
          <w:bCs/>
          <w:color w:val="auto"/>
          <w:szCs w:val="21"/>
          <w:highlight w:val="none"/>
          <w:u w:val="none"/>
          <w:lang w:val="en-US" w:eastAsia="zh-CN"/>
        </w:rPr>
        <w:t>不因</w:t>
      </w:r>
      <w:r>
        <w:rPr>
          <w:rFonts w:hint="eastAsia" w:ascii="宋体" w:hAnsi="宋体" w:cs="宋体"/>
          <w:b/>
          <w:bCs/>
          <w:color w:val="auto"/>
          <w:szCs w:val="21"/>
          <w:highlight w:val="none"/>
          <w:u w:val="none"/>
          <w:lang w:val="en-US" w:eastAsia="zh-CN"/>
        </w:rPr>
        <w:t>该采购包</w:t>
      </w:r>
      <w:r>
        <w:rPr>
          <w:rFonts w:hint="eastAsia" w:ascii="宋体" w:hAnsi="宋体" w:eastAsia="宋体" w:cs="宋体"/>
          <w:b/>
          <w:bCs/>
          <w:color w:val="auto"/>
          <w:szCs w:val="21"/>
          <w:highlight w:val="none"/>
          <w:u w:val="none"/>
          <w:lang w:val="en-US" w:eastAsia="zh-CN"/>
        </w:rPr>
        <w:t>第一成交候选人</w:t>
      </w:r>
      <w:r>
        <w:rPr>
          <w:rFonts w:hint="eastAsia" w:ascii="宋体" w:hAnsi="宋体" w:cs="宋体"/>
          <w:b/>
          <w:bCs/>
          <w:color w:val="auto"/>
          <w:szCs w:val="21"/>
          <w:highlight w:val="none"/>
          <w:u w:val="none"/>
          <w:lang w:val="en-US" w:eastAsia="zh-CN"/>
        </w:rPr>
        <w:t>的</w:t>
      </w:r>
      <w:r>
        <w:rPr>
          <w:rFonts w:hint="eastAsia" w:ascii="宋体" w:hAnsi="宋体" w:eastAsia="宋体" w:cs="宋体"/>
          <w:b/>
          <w:bCs/>
          <w:color w:val="auto"/>
          <w:szCs w:val="21"/>
          <w:highlight w:val="none"/>
          <w:u w:val="none"/>
          <w:lang w:val="en-US" w:eastAsia="zh-CN"/>
        </w:rPr>
        <w:t>资格</w:t>
      </w:r>
      <w:r>
        <w:rPr>
          <w:rFonts w:hint="eastAsia" w:ascii="宋体" w:hAnsi="宋体" w:cs="宋体"/>
          <w:b/>
          <w:bCs/>
          <w:color w:val="auto"/>
          <w:szCs w:val="21"/>
          <w:highlight w:val="none"/>
          <w:u w:val="none"/>
          <w:lang w:val="en-US" w:eastAsia="zh-CN"/>
        </w:rPr>
        <w:t>取消</w:t>
      </w:r>
      <w:r>
        <w:rPr>
          <w:rFonts w:hint="eastAsia" w:ascii="宋体" w:hAnsi="宋体" w:eastAsia="宋体" w:cs="宋体"/>
          <w:b/>
          <w:bCs/>
          <w:color w:val="auto"/>
          <w:szCs w:val="21"/>
          <w:highlight w:val="none"/>
          <w:u w:val="none"/>
          <w:lang w:val="en-US" w:eastAsia="zh-CN"/>
        </w:rPr>
        <w:t>，而影响其他</w:t>
      </w:r>
      <w:r>
        <w:rPr>
          <w:rFonts w:hint="eastAsia" w:ascii="宋体" w:hAnsi="宋体" w:cs="宋体"/>
          <w:b/>
          <w:bCs/>
          <w:color w:val="auto"/>
          <w:szCs w:val="21"/>
          <w:highlight w:val="none"/>
          <w:u w:val="none"/>
          <w:lang w:val="en-US" w:eastAsia="zh-CN"/>
        </w:rPr>
        <w:t>采购包</w:t>
      </w:r>
      <w:r>
        <w:rPr>
          <w:rFonts w:hint="eastAsia" w:ascii="宋体" w:hAnsi="宋体" w:eastAsia="宋体" w:cs="宋体"/>
          <w:b/>
          <w:bCs/>
          <w:color w:val="auto"/>
          <w:szCs w:val="21"/>
          <w:highlight w:val="none"/>
          <w:u w:val="none"/>
          <w:lang w:val="en-US" w:eastAsia="zh-CN"/>
        </w:rPr>
        <w:t>的成交候选人入选名单。采购人有权从合格的成交候选人中另行确定成交供应商；没有合格的成交候选人的，则重新开展政府采购活动 。</w:t>
      </w:r>
    </w:p>
    <w:p w14:paraId="38AB59F6">
      <w:pPr>
        <w:adjustRightInd w:val="0"/>
        <w:snapToGrid w:val="0"/>
        <w:spacing w:line="360" w:lineRule="auto"/>
        <w:rPr>
          <w:rFonts w:hint="eastAsia" w:ascii="宋体" w:hAnsi="宋体" w:cs="宋体"/>
          <w:b/>
          <w:bCs/>
          <w:color w:val="auto"/>
          <w:szCs w:val="21"/>
          <w:highlight w:val="none"/>
          <w:u w:val="none"/>
        </w:rPr>
      </w:pPr>
      <w:r>
        <w:rPr>
          <w:rFonts w:hint="eastAsia" w:ascii="宋体" w:hAnsi="宋体" w:cs="宋体"/>
          <w:b/>
          <w:bCs/>
          <w:color w:val="auto"/>
          <w:szCs w:val="21"/>
          <w:highlight w:val="none"/>
          <w:u w:val="none"/>
        </w:rPr>
        <w:t>八、凡对本次采购提出询问，请按以下方式联系</w:t>
      </w:r>
      <w:bookmarkEnd w:id="79"/>
      <w:bookmarkEnd w:id="80"/>
      <w:bookmarkEnd w:id="81"/>
      <w:bookmarkEnd w:id="82"/>
      <w:r>
        <w:rPr>
          <w:rFonts w:hint="eastAsia" w:ascii="宋体" w:hAnsi="宋体" w:cs="宋体"/>
          <w:b/>
          <w:bCs/>
          <w:color w:val="auto"/>
          <w:szCs w:val="21"/>
          <w:highlight w:val="none"/>
          <w:u w:val="none"/>
        </w:rPr>
        <w:t>。</w:t>
      </w:r>
    </w:p>
    <w:p w14:paraId="20A6F8CD">
      <w:pPr>
        <w:spacing w:line="360" w:lineRule="auto"/>
        <w:ind w:firstLine="420" w:firstLineChars="200"/>
        <w:rPr>
          <w:rFonts w:hint="eastAsia" w:ascii="宋体" w:hAnsi="宋体" w:eastAsia="宋体" w:cs="宋体"/>
          <w:color w:val="auto"/>
          <w:szCs w:val="21"/>
          <w:highlight w:val="none"/>
          <w:u w:val="none"/>
          <w:lang w:eastAsia="zh-CN"/>
        </w:rPr>
      </w:pPr>
      <w:r>
        <w:rPr>
          <w:rFonts w:hint="eastAsia" w:ascii="宋体" w:hAnsi="宋体" w:cs="宋体"/>
          <w:color w:val="auto"/>
          <w:szCs w:val="21"/>
          <w:highlight w:val="none"/>
          <w:u w:val="none"/>
          <w:lang w:bidi="ar"/>
        </w:rPr>
        <w:t>1.采购单位：</w:t>
      </w:r>
      <w:r>
        <w:rPr>
          <w:rFonts w:hint="eastAsia" w:ascii="宋体" w:hAnsi="宋体" w:cs="宋体"/>
          <w:color w:val="auto"/>
          <w:kern w:val="2"/>
          <w:szCs w:val="21"/>
          <w:highlight w:val="none"/>
          <w:u w:val="none"/>
          <w:lang w:eastAsia="zh-CN" w:bidi="ar"/>
        </w:rPr>
        <w:t>泰州医药高新技术产业开发区（泰州市高港区）市场监督管理局</w:t>
      </w:r>
    </w:p>
    <w:p w14:paraId="40A3A06C">
      <w:pPr>
        <w:spacing w:line="360" w:lineRule="auto"/>
        <w:ind w:firstLine="420" w:firstLineChars="200"/>
        <w:rPr>
          <w:rFonts w:hint="default" w:ascii="宋体" w:hAnsi="宋体" w:eastAsia="宋体" w:cs="宋体"/>
          <w:color w:val="auto"/>
          <w:szCs w:val="21"/>
          <w:highlight w:val="none"/>
          <w:u w:val="none"/>
          <w:lang w:val="en-US" w:eastAsia="zh-CN"/>
        </w:rPr>
      </w:pPr>
      <w:r>
        <w:rPr>
          <w:rFonts w:hint="eastAsia" w:ascii="宋体" w:hAnsi="宋体" w:cs="宋体"/>
          <w:color w:val="auto"/>
          <w:szCs w:val="21"/>
          <w:highlight w:val="none"/>
          <w:u w:val="none"/>
          <w:lang w:bidi="ar"/>
        </w:rPr>
        <w:t>地址：</w:t>
      </w:r>
      <w:r>
        <w:rPr>
          <w:rFonts w:hint="eastAsia" w:ascii="宋体" w:hAnsi="宋体" w:cs="宋体"/>
          <w:color w:val="auto"/>
          <w:szCs w:val="21"/>
          <w:highlight w:val="none"/>
          <w:u w:val="none"/>
          <w:lang w:val="en-US" w:eastAsia="zh-CN" w:bidi="ar"/>
        </w:rPr>
        <w:t>泰州医药</w:t>
      </w:r>
    </w:p>
    <w:p w14:paraId="604E21CE">
      <w:pPr>
        <w:spacing w:line="360" w:lineRule="auto"/>
        <w:ind w:firstLine="420" w:firstLineChars="200"/>
        <w:contextualSpacing/>
        <w:rPr>
          <w:rFonts w:hint="eastAsia" w:eastAsia="宋体" w:cs="宋体" w:asciiTheme="minorEastAsia" w:hAnsiTheme="minorEastAsia"/>
          <w:bCs/>
          <w:color w:val="auto"/>
          <w:szCs w:val="21"/>
          <w:highlight w:val="none"/>
          <w:u w:val="none"/>
          <w:lang w:eastAsia="zh-CN"/>
        </w:rPr>
      </w:pPr>
      <w:r>
        <w:rPr>
          <w:rFonts w:hint="eastAsia" w:ascii="宋体" w:hAnsi="宋体" w:cs="宋体"/>
          <w:color w:val="auto"/>
          <w:szCs w:val="21"/>
          <w:highlight w:val="none"/>
          <w:u w:val="none"/>
          <w:lang w:bidi="ar"/>
        </w:rPr>
        <w:t>联系人：刘先生</w:t>
      </w:r>
      <w:r>
        <w:rPr>
          <w:rFonts w:hint="eastAsia" w:ascii="宋体" w:hAnsi="宋体" w:cs="宋体"/>
          <w:color w:val="auto"/>
          <w:szCs w:val="21"/>
          <w:highlight w:val="none"/>
          <w:u w:val="none"/>
          <w:lang w:eastAsia="zh-CN" w:bidi="ar"/>
        </w:rPr>
        <w:t>，</w:t>
      </w:r>
      <w:r>
        <w:rPr>
          <w:rFonts w:hint="eastAsia" w:ascii="宋体" w:hAnsi="宋体" w:cs="宋体"/>
          <w:color w:val="auto"/>
          <w:szCs w:val="21"/>
          <w:highlight w:val="none"/>
          <w:u w:val="none"/>
          <w:lang w:bidi="ar"/>
        </w:rPr>
        <w:t>联系电话：0523-</w:t>
      </w:r>
      <w:r>
        <w:rPr>
          <w:rFonts w:hint="eastAsia" w:ascii="宋体" w:hAnsi="宋体" w:cs="宋体"/>
          <w:color w:val="auto"/>
          <w:szCs w:val="21"/>
          <w:highlight w:val="none"/>
          <w:u w:val="none"/>
          <w:lang w:val="en-US" w:eastAsia="zh-CN"/>
        </w:rPr>
        <w:t>80108039</w:t>
      </w:r>
    </w:p>
    <w:p w14:paraId="3073BC1F">
      <w:pPr>
        <w:spacing w:line="360" w:lineRule="auto"/>
        <w:ind w:firstLine="420" w:firstLineChars="200"/>
        <w:rPr>
          <w:rFonts w:hint="eastAsia" w:ascii="宋体" w:hAnsi="宋体" w:cs="宋体"/>
          <w:color w:val="auto"/>
          <w:szCs w:val="21"/>
          <w:highlight w:val="none"/>
          <w:u w:val="none"/>
        </w:rPr>
      </w:pPr>
      <w:r>
        <w:rPr>
          <w:rFonts w:hint="eastAsia" w:ascii="宋体" w:hAnsi="宋体" w:cs="宋体"/>
          <w:color w:val="auto"/>
          <w:szCs w:val="21"/>
          <w:highlight w:val="none"/>
          <w:u w:val="none"/>
          <w:lang w:bidi="ar"/>
        </w:rPr>
        <w:t>2.代理机构：江苏华强工程投资管理咨询有限公司</w:t>
      </w:r>
    </w:p>
    <w:p w14:paraId="6304B465">
      <w:pPr>
        <w:spacing w:line="360" w:lineRule="auto"/>
        <w:ind w:firstLine="420" w:firstLineChars="200"/>
        <w:rPr>
          <w:rFonts w:hint="eastAsia" w:ascii="宋体" w:hAnsi="宋体" w:eastAsia="宋体" w:cs="宋体"/>
          <w:color w:val="auto"/>
          <w:szCs w:val="21"/>
          <w:highlight w:val="none"/>
          <w:u w:val="none"/>
          <w:lang w:eastAsia="zh-CN"/>
        </w:rPr>
      </w:pPr>
      <w:r>
        <w:rPr>
          <w:rFonts w:hint="eastAsia" w:ascii="宋体" w:hAnsi="宋体" w:cs="宋体"/>
          <w:color w:val="auto"/>
          <w:szCs w:val="21"/>
          <w:highlight w:val="none"/>
          <w:u w:val="none"/>
          <w:lang w:bidi="ar"/>
        </w:rPr>
        <w:t>联 系 人：杨女士，联系电话：0523-</w:t>
      </w:r>
      <w:r>
        <w:rPr>
          <w:rFonts w:hint="eastAsia" w:ascii="宋体" w:hAnsi="宋体" w:cs="宋体"/>
          <w:color w:val="auto"/>
          <w:szCs w:val="21"/>
          <w:highlight w:val="none"/>
          <w:u w:val="none"/>
          <w:lang w:eastAsia="zh-CN" w:bidi="ar"/>
        </w:rPr>
        <w:t>86933690</w:t>
      </w:r>
    </w:p>
    <w:p w14:paraId="46897D4E">
      <w:pPr>
        <w:spacing w:line="360" w:lineRule="auto"/>
        <w:ind w:firstLine="420" w:firstLineChars="200"/>
        <w:rPr>
          <w:rFonts w:hint="eastAsia" w:ascii="宋体" w:hAnsi="宋体" w:cs="宋体"/>
          <w:color w:val="auto"/>
          <w:szCs w:val="21"/>
          <w:highlight w:val="none"/>
          <w:u w:val="none"/>
          <w:lang w:bidi="ar"/>
        </w:rPr>
      </w:pPr>
      <w:r>
        <w:rPr>
          <w:rFonts w:hint="eastAsia" w:ascii="宋体" w:hAnsi="宋体" w:cs="宋体"/>
          <w:color w:val="auto"/>
          <w:szCs w:val="21"/>
          <w:highlight w:val="none"/>
          <w:u w:val="none"/>
          <w:lang w:bidi="ar"/>
        </w:rPr>
        <w:t xml:space="preserve">办公地址：泰州市海陵南路179号华诚大厦B座9楼西侧 </w:t>
      </w:r>
    </w:p>
    <w:p w14:paraId="2398E16B">
      <w:pPr>
        <w:spacing w:line="360" w:lineRule="auto"/>
        <w:ind w:firstLine="420" w:firstLineChars="200"/>
        <w:rPr>
          <w:rFonts w:hint="eastAsia" w:ascii="宋体" w:hAnsi="宋体" w:cs="宋体"/>
          <w:color w:val="auto"/>
          <w:szCs w:val="21"/>
          <w:highlight w:val="none"/>
          <w:u w:val="none"/>
        </w:rPr>
      </w:pPr>
      <w:r>
        <w:rPr>
          <w:rFonts w:hint="eastAsia" w:ascii="宋体" w:hAnsi="宋体" w:cs="宋体"/>
          <w:color w:val="auto"/>
          <w:szCs w:val="21"/>
          <w:highlight w:val="none"/>
          <w:u w:val="none"/>
          <w:lang w:bidi="ar"/>
        </w:rPr>
        <w:t>邮政编码：225300</w:t>
      </w:r>
    </w:p>
    <w:p w14:paraId="3B0C95AC">
      <w:pPr>
        <w:spacing w:line="360" w:lineRule="auto"/>
        <w:ind w:firstLine="420" w:firstLineChars="200"/>
        <w:rPr>
          <w:rFonts w:hint="eastAsia" w:ascii="宋体" w:hAnsi="宋体" w:cs="宋体"/>
          <w:color w:val="auto"/>
          <w:szCs w:val="21"/>
          <w:highlight w:val="none"/>
          <w:u w:val="none"/>
        </w:rPr>
      </w:pPr>
      <w:bookmarkStart w:id="83" w:name="_Toc35393639"/>
      <w:bookmarkStart w:id="84" w:name="_Toc35393808"/>
      <w:bookmarkStart w:id="85" w:name="_Toc28359098"/>
      <w:bookmarkStart w:id="86" w:name="_Toc28359021"/>
      <w:r>
        <w:rPr>
          <w:rFonts w:hint="eastAsia" w:ascii="宋体" w:hAnsi="宋体" w:cs="宋体"/>
          <w:color w:val="auto"/>
          <w:szCs w:val="21"/>
          <w:highlight w:val="none"/>
          <w:u w:val="none"/>
          <w:lang w:bidi="ar"/>
        </w:rPr>
        <w:t>3.项目联系方式</w:t>
      </w:r>
      <w:bookmarkEnd w:id="83"/>
      <w:bookmarkEnd w:id="84"/>
      <w:bookmarkEnd w:id="85"/>
      <w:bookmarkEnd w:id="86"/>
    </w:p>
    <w:p w14:paraId="6CD6AC1E">
      <w:pPr>
        <w:spacing w:line="360" w:lineRule="auto"/>
        <w:ind w:firstLine="420" w:firstLineChars="200"/>
        <w:rPr>
          <w:rFonts w:hint="eastAsia" w:ascii="宋体" w:hAnsi="宋体" w:eastAsia="宋体"/>
          <w:b/>
          <w:color w:val="auto"/>
          <w:szCs w:val="21"/>
          <w:highlight w:val="none"/>
          <w:u w:val="none"/>
          <w:lang w:eastAsia="zh-CN"/>
        </w:rPr>
        <w:sectPr>
          <w:footerReference r:id="rId6" w:type="default"/>
          <w:pgSz w:w="11907" w:h="16840"/>
          <w:pgMar w:top="1247" w:right="1080" w:bottom="1247" w:left="1080" w:header="851" w:footer="851" w:gutter="0"/>
          <w:pgBorders>
            <w:top w:val="none" w:sz="0" w:space="0"/>
            <w:left w:val="none" w:sz="0" w:space="0"/>
            <w:bottom w:val="none" w:sz="0" w:space="0"/>
            <w:right w:val="none" w:sz="0" w:space="0"/>
          </w:pgBorders>
          <w:cols w:space="720" w:num="1"/>
          <w:docGrid w:linePitch="312" w:charSpace="0"/>
        </w:sectPr>
      </w:pPr>
      <w:r>
        <w:rPr>
          <w:rFonts w:hint="eastAsia" w:ascii="宋体" w:hAnsi="宋体" w:cs="宋体"/>
          <w:color w:val="auto"/>
          <w:szCs w:val="21"/>
          <w:highlight w:val="none"/>
          <w:u w:val="none"/>
          <w:lang w:bidi="ar"/>
        </w:rPr>
        <w:t>项目联系人：杨女士</w:t>
      </w:r>
      <w:r>
        <w:rPr>
          <w:rFonts w:hint="eastAsia" w:ascii="宋体" w:hAnsi="宋体" w:cs="宋体"/>
          <w:color w:val="auto"/>
          <w:szCs w:val="21"/>
          <w:highlight w:val="none"/>
          <w:u w:val="none"/>
          <w:lang w:eastAsia="zh-CN" w:bidi="ar"/>
        </w:rPr>
        <w:t>，</w:t>
      </w:r>
      <w:r>
        <w:rPr>
          <w:rFonts w:hint="eastAsia" w:ascii="宋体" w:hAnsi="宋体" w:cs="宋体"/>
          <w:color w:val="auto"/>
          <w:szCs w:val="21"/>
          <w:highlight w:val="none"/>
          <w:u w:val="none"/>
          <w:lang w:bidi="ar"/>
        </w:rPr>
        <w:t>联系电话：0523-</w:t>
      </w:r>
      <w:r>
        <w:rPr>
          <w:rFonts w:hint="eastAsia" w:ascii="宋体" w:hAnsi="宋体" w:cs="宋体"/>
          <w:color w:val="auto"/>
          <w:szCs w:val="21"/>
          <w:highlight w:val="none"/>
          <w:u w:val="none"/>
          <w:lang w:eastAsia="zh-CN" w:bidi="ar"/>
        </w:rPr>
        <w:t>86933690</w:t>
      </w:r>
    </w:p>
    <w:p w14:paraId="0295E36D">
      <w:pPr>
        <w:spacing w:line="360" w:lineRule="auto"/>
        <w:ind w:firstLine="422" w:firstLineChars="200"/>
        <w:jc w:val="center"/>
        <w:rPr>
          <w:rFonts w:hint="eastAsia" w:ascii="宋体" w:hAnsi="宋体"/>
          <w:b/>
          <w:color w:val="auto"/>
          <w:szCs w:val="21"/>
          <w:highlight w:val="none"/>
          <w:u w:val="none"/>
        </w:rPr>
      </w:pPr>
      <w:r>
        <w:rPr>
          <w:rFonts w:hint="eastAsia" w:ascii="宋体" w:hAnsi="宋体"/>
          <w:b/>
          <w:color w:val="auto"/>
          <w:szCs w:val="21"/>
          <w:highlight w:val="none"/>
          <w:u w:val="none"/>
        </w:rPr>
        <w:t>第二章 参加磋商供应商须知</w:t>
      </w:r>
    </w:p>
    <w:p w14:paraId="4B428F0F">
      <w:pPr>
        <w:spacing w:line="360" w:lineRule="auto"/>
        <w:ind w:firstLine="420" w:firstLineChars="200"/>
        <w:jc w:val="center"/>
        <w:rPr>
          <w:rFonts w:hint="eastAsia" w:ascii="宋体" w:hAnsi="宋体"/>
          <w:b/>
          <w:bCs/>
          <w:color w:val="auto"/>
          <w:szCs w:val="21"/>
          <w:highlight w:val="none"/>
          <w:u w:val="none"/>
        </w:rPr>
      </w:pPr>
      <w:r>
        <w:rPr>
          <w:rFonts w:hint="eastAsia" w:ascii="宋体" w:hAnsi="宋体"/>
          <w:bCs/>
          <w:color w:val="auto"/>
          <w:szCs w:val="21"/>
          <w:highlight w:val="none"/>
          <w:u w:val="none"/>
        </w:rPr>
        <w:t>（参加竞争性磋商的供应商以下简称“磋商供应商”）</w:t>
      </w:r>
    </w:p>
    <w:bookmarkEnd w:id="5"/>
    <w:bookmarkEnd w:id="6"/>
    <w:bookmarkEnd w:id="7"/>
    <w:p w14:paraId="537710B6">
      <w:pPr>
        <w:tabs>
          <w:tab w:val="left" w:pos="900"/>
        </w:tabs>
        <w:spacing w:line="360" w:lineRule="auto"/>
        <w:ind w:firstLine="422" w:firstLineChars="200"/>
        <w:rPr>
          <w:rFonts w:hint="eastAsia" w:ascii="宋体" w:hAnsi="宋体"/>
          <w:b/>
          <w:color w:val="auto"/>
          <w:szCs w:val="21"/>
          <w:highlight w:val="none"/>
          <w:u w:val="none"/>
        </w:rPr>
      </w:pPr>
      <w:r>
        <w:rPr>
          <w:rFonts w:hint="eastAsia" w:ascii="宋体" w:hAnsi="宋体"/>
          <w:b/>
          <w:color w:val="auto"/>
          <w:szCs w:val="21"/>
          <w:highlight w:val="none"/>
          <w:u w:val="none"/>
        </w:rPr>
        <w:t>一、总则</w:t>
      </w:r>
    </w:p>
    <w:p w14:paraId="19C8F3EE">
      <w:pPr>
        <w:tabs>
          <w:tab w:val="left" w:pos="900"/>
          <w:tab w:val="center" w:pos="4873"/>
        </w:tabs>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rPr>
        <w:t>1.适用范围</w:t>
      </w:r>
      <w:r>
        <w:rPr>
          <w:rFonts w:hint="eastAsia" w:ascii="宋体" w:hAnsi="宋体"/>
          <w:color w:val="auto"/>
          <w:szCs w:val="21"/>
          <w:highlight w:val="none"/>
          <w:u w:val="none"/>
        </w:rPr>
        <w:tab/>
      </w:r>
    </w:p>
    <w:p w14:paraId="4D42B4D2">
      <w:pPr>
        <w:tabs>
          <w:tab w:val="left" w:pos="900"/>
        </w:tabs>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rPr>
        <w:t>本磋商文件仅适用于</w:t>
      </w:r>
      <w:r>
        <w:rPr>
          <w:rFonts w:hint="eastAsia" w:ascii="宋体" w:hAnsi="宋体"/>
          <w:color w:val="auto"/>
          <w:szCs w:val="21"/>
          <w:highlight w:val="none"/>
          <w:u w:val="none"/>
          <w:lang w:eastAsia="zh-CN"/>
        </w:rPr>
        <w:t>2026年泰州医药高新区（高港区）市场监督管理局食品安全快检服务</w:t>
      </w:r>
      <w:r>
        <w:rPr>
          <w:rFonts w:hint="eastAsia" w:ascii="宋体" w:hAnsi="宋体"/>
          <w:color w:val="auto"/>
          <w:szCs w:val="21"/>
          <w:highlight w:val="none"/>
          <w:u w:val="none"/>
        </w:rPr>
        <w:t>。</w:t>
      </w:r>
    </w:p>
    <w:p w14:paraId="0251B54F">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bookmarkStart w:id="87" w:name="_Toc86268901"/>
      <w:r>
        <w:rPr>
          <w:rFonts w:hint="eastAsia" w:ascii="宋体" w:hAnsi="宋体" w:eastAsia="宋体" w:cs="宋体"/>
          <w:color w:val="auto"/>
          <w:kern w:val="2"/>
          <w:sz w:val="21"/>
          <w:szCs w:val="21"/>
          <w:highlight w:val="none"/>
          <w:u w:val="none"/>
          <w:lang w:val="en-US" w:eastAsia="zh-CN" w:bidi="ar"/>
        </w:rPr>
        <w:t>2.项目采购方式</w:t>
      </w:r>
    </w:p>
    <w:p w14:paraId="4D3AE788">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eastAsia="宋体" w:cs="宋体"/>
          <w:color w:val="auto"/>
          <w:kern w:val="2"/>
          <w:sz w:val="21"/>
          <w:szCs w:val="21"/>
          <w:highlight w:val="none"/>
          <w:u w:val="none"/>
          <w:lang w:val="en-US" w:eastAsia="zh-CN" w:bidi="ar"/>
        </w:rPr>
        <w:t>本次采购采取竞争性磋商的方式。</w:t>
      </w:r>
    </w:p>
    <w:p w14:paraId="70D5A5A4">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eastAsia="宋体" w:cs="宋体"/>
          <w:color w:val="auto"/>
          <w:kern w:val="2"/>
          <w:sz w:val="21"/>
          <w:szCs w:val="21"/>
          <w:highlight w:val="none"/>
          <w:u w:val="none"/>
          <w:lang w:val="en-US" w:eastAsia="zh-CN" w:bidi="ar"/>
        </w:rPr>
        <w:t>3.合格的磋商供应商</w:t>
      </w:r>
    </w:p>
    <w:p w14:paraId="58D5B8AD">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eastAsia="宋体" w:cs="宋体"/>
          <w:color w:val="auto"/>
          <w:kern w:val="2"/>
          <w:sz w:val="21"/>
          <w:szCs w:val="21"/>
          <w:highlight w:val="none"/>
          <w:u w:val="none"/>
          <w:lang w:val="en-US" w:eastAsia="zh-CN" w:bidi="ar"/>
        </w:rPr>
        <w:t>3.1满足本磋商文件“竞争性磋商采购公告”中合格磋商供应商资格要求的规定。</w:t>
      </w:r>
    </w:p>
    <w:p w14:paraId="3BD8E0D9">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eastAsia="宋体" w:cs="宋体"/>
          <w:color w:val="auto"/>
          <w:kern w:val="2"/>
          <w:sz w:val="21"/>
          <w:szCs w:val="21"/>
          <w:highlight w:val="none"/>
          <w:u w:val="none"/>
          <w:lang w:val="en-US" w:eastAsia="zh-CN" w:bidi="ar"/>
        </w:rPr>
        <w:t>3.2 满足本磋商文件实质性要求和条件的规定。</w:t>
      </w:r>
    </w:p>
    <w:p w14:paraId="2996CB8F">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eastAsia="宋体" w:cs="宋体"/>
          <w:color w:val="auto"/>
          <w:kern w:val="2"/>
          <w:sz w:val="21"/>
          <w:szCs w:val="21"/>
          <w:highlight w:val="none"/>
          <w:u w:val="none"/>
          <w:lang w:val="en-US" w:eastAsia="zh-CN" w:bidi="ar"/>
        </w:rPr>
        <w:t>4.参加磋商费用</w:t>
      </w:r>
    </w:p>
    <w:p w14:paraId="077B3D20">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4.1参加磋商供应商应自行承担所有与参加磋商有关的费用。不论最终的成交结果如何，江苏华强工程投资管理咨询有限公司（以下简称代理机构）在任何情况下均无义务和责任承担这些费用。</w:t>
      </w:r>
    </w:p>
    <w:p w14:paraId="42997E88">
      <w:pPr>
        <w:keepNext w:val="0"/>
        <w:keepLines w:val="0"/>
        <w:pageBreakBefore w:val="0"/>
        <w:widowControl/>
        <w:suppressLineNumbers w:val="0"/>
        <w:kinsoku/>
        <w:wordWrap/>
        <w:topLinePunct w:val="0"/>
        <w:bidi w:val="0"/>
        <w:spacing w:before="0" w:beforeAutospacing="0" w:after="0" w:afterAutospacing="0" w:line="360" w:lineRule="auto"/>
        <w:ind w:right="0" w:firstLine="422" w:firstLineChars="200"/>
        <w:jc w:val="both"/>
        <w:rPr>
          <w:rFonts w:hint="eastAsia" w:ascii="宋体" w:hAnsi="宋体" w:cs="Times New Roman"/>
          <w:b/>
          <w:bCs/>
          <w:color w:val="auto"/>
          <w:sz w:val="21"/>
          <w:szCs w:val="21"/>
          <w:highlight w:val="none"/>
          <w:u w:val="none"/>
          <w:lang w:val="en-US" w:eastAsia="zh-CN"/>
        </w:rPr>
      </w:pPr>
      <w:r>
        <w:rPr>
          <w:rFonts w:hint="eastAsia" w:ascii="宋体" w:hAnsi="宋体" w:eastAsia="宋体" w:cs="宋体"/>
          <w:b/>
          <w:bCs/>
          <w:color w:val="auto"/>
          <w:kern w:val="2"/>
          <w:sz w:val="21"/>
          <w:szCs w:val="21"/>
          <w:highlight w:val="none"/>
          <w:u w:val="none"/>
          <w:lang w:val="en-US" w:eastAsia="zh-CN" w:bidi="ar"/>
        </w:rPr>
        <w:t>4.2</w:t>
      </w:r>
      <w:r>
        <w:rPr>
          <w:rFonts w:hint="eastAsia" w:ascii="宋体" w:hAnsi="宋体" w:cs="Times New Roman"/>
          <w:b/>
          <w:bCs/>
          <w:color w:val="auto"/>
          <w:sz w:val="21"/>
          <w:szCs w:val="21"/>
          <w:highlight w:val="none"/>
          <w:u w:val="none"/>
        </w:rPr>
        <w:t>本次</w:t>
      </w:r>
      <w:r>
        <w:rPr>
          <w:rFonts w:hint="eastAsia" w:ascii="宋体" w:hAnsi="宋体" w:cs="Times New Roman"/>
          <w:b/>
          <w:bCs/>
          <w:color w:val="auto"/>
          <w:sz w:val="21"/>
          <w:szCs w:val="21"/>
          <w:highlight w:val="none"/>
          <w:u w:val="none"/>
          <w:lang w:val="en-US" w:eastAsia="zh-CN"/>
        </w:rPr>
        <w:t>采购活动</w:t>
      </w:r>
      <w:r>
        <w:rPr>
          <w:rFonts w:hint="eastAsia" w:ascii="宋体" w:hAnsi="宋体" w:cs="Times New Roman"/>
          <w:b/>
          <w:bCs/>
          <w:color w:val="auto"/>
          <w:sz w:val="21"/>
          <w:szCs w:val="21"/>
          <w:highlight w:val="none"/>
          <w:u w:val="none"/>
        </w:rPr>
        <w:t>采购人和采购代理机构不收取</w:t>
      </w:r>
      <w:r>
        <w:rPr>
          <w:rFonts w:hint="eastAsia" w:ascii="宋体" w:hAnsi="宋体" w:cs="Times New Roman"/>
          <w:b/>
          <w:bCs/>
          <w:color w:val="auto"/>
          <w:sz w:val="21"/>
          <w:szCs w:val="21"/>
          <w:highlight w:val="none"/>
          <w:u w:val="none"/>
          <w:lang w:val="en-US" w:eastAsia="zh-CN"/>
        </w:rPr>
        <w:t>采购文件</w:t>
      </w:r>
      <w:r>
        <w:rPr>
          <w:rFonts w:hint="eastAsia" w:ascii="宋体" w:hAnsi="宋体" w:cs="Times New Roman"/>
          <w:b/>
          <w:bCs/>
          <w:color w:val="auto"/>
          <w:sz w:val="21"/>
          <w:szCs w:val="21"/>
          <w:highlight w:val="none"/>
          <w:u w:val="none"/>
        </w:rPr>
        <w:t>工本费</w:t>
      </w:r>
      <w:r>
        <w:rPr>
          <w:rFonts w:hint="eastAsia" w:ascii="宋体" w:hAnsi="宋体" w:cs="Times New Roman"/>
          <w:b/>
          <w:bCs/>
          <w:color w:val="auto"/>
          <w:sz w:val="21"/>
          <w:szCs w:val="21"/>
          <w:highlight w:val="none"/>
          <w:u w:val="none"/>
          <w:lang w:eastAsia="zh-CN"/>
        </w:rPr>
        <w:t>、</w:t>
      </w:r>
      <w:r>
        <w:rPr>
          <w:rFonts w:hint="eastAsia" w:ascii="宋体" w:hAnsi="宋体" w:cs="Times New Roman"/>
          <w:b/>
          <w:bCs/>
          <w:color w:val="auto"/>
          <w:sz w:val="21"/>
          <w:szCs w:val="21"/>
          <w:highlight w:val="none"/>
          <w:u w:val="none"/>
          <w:lang w:val="en-US" w:eastAsia="zh-CN"/>
        </w:rPr>
        <w:t>成交</w:t>
      </w:r>
      <w:r>
        <w:rPr>
          <w:rFonts w:hint="eastAsia" w:ascii="宋体" w:hAnsi="宋体" w:cs="Times New Roman"/>
          <w:b/>
          <w:bCs/>
          <w:color w:val="auto"/>
          <w:sz w:val="21"/>
          <w:szCs w:val="21"/>
          <w:highlight w:val="none"/>
          <w:u w:val="none"/>
        </w:rPr>
        <w:t>服务费</w:t>
      </w:r>
      <w:r>
        <w:rPr>
          <w:rFonts w:hint="eastAsia" w:ascii="宋体" w:hAnsi="宋体" w:cs="Times New Roman"/>
          <w:b/>
          <w:bCs/>
          <w:color w:val="auto"/>
          <w:sz w:val="21"/>
          <w:szCs w:val="21"/>
          <w:highlight w:val="none"/>
          <w:u w:val="none"/>
          <w:lang w:val="en-US" w:eastAsia="zh-CN"/>
        </w:rPr>
        <w:t>及专家评审费</w:t>
      </w:r>
      <w:r>
        <w:rPr>
          <w:rFonts w:hint="eastAsia" w:ascii="宋体" w:hAnsi="宋体" w:cs="Times New Roman"/>
          <w:b/>
          <w:bCs/>
          <w:color w:val="auto"/>
          <w:sz w:val="21"/>
          <w:szCs w:val="21"/>
          <w:highlight w:val="none"/>
          <w:u w:val="none"/>
          <w:lang w:eastAsia="zh-CN"/>
        </w:rPr>
        <w:t>。</w:t>
      </w:r>
      <w:r>
        <w:rPr>
          <w:rFonts w:hint="eastAsia" w:ascii="宋体" w:hAnsi="宋体" w:cs="Times New Roman"/>
          <w:b/>
          <w:bCs/>
          <w:color w:val="auto"/>
          <w:sz w:val="21"/>
          <w:szCs w:val="21"/>
          <w:highlight w:val="none"/>
          <w:u w:val="none"/>
          <w:lang w:val="en-US" w:eastAsia="zh-CN"/>
        </w:rPr>
        <w:t>招标代理服务费按照《关于印发〈江苏省政府采购代理服务收费指导意见〉的通知》（苏政采协〔2024〕20号）规定的标准计取，不足0.5万元的按0.5万元收取。</w:t>
      </w:r>
    </w:p>
    <w:p w14:paraId="6A17E284">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开户行信息：</w:t>
      </w:r>
    </w:p>
    <w:p w14:paraId="047B4DB4">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单位名称：江苏华强工程投资管理咨询有限公司</w:t>
      </w:r>
    </w:p>
    <w:p w14:paraId="6DB5106F">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开 户 行：中国银行泰州医药高新区健康支行</w:t>
      </w:r>
    </w:p>
    <w:p w14:paraId="7B42001E">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账    号：487158205564</w:t>
      </w:r>
    </w:p>
    <w:p w14:paraId="1E37D0B6">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5.磋商文件的约束力</w:t>
      </w:r>
    </w:p>
    <w:p w14:paraId="79F8EE5F">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供应商一旦领取了本磋商文件并决定参加磋商，即被认为接受了本磋商文件的规定和约束，并且视为自竞争性磋商公告期限届满之日起已经知道或应当知道自身权益是否受到了损害。</w:t>
      </w:r>
    </w:p>
    <w:p w14:paraId="7B3FD5C2">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6.磋商文件的澄清及修改</w:t>
      </w:r>
    </w:p>
    <w:p w14:paraId="624F553A">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6.1任何要求对磋商文件进行澄清的供应商，均应在法律法规规定的质疑时效内按竞争性磋商采购邀请中的通讯地址，以书面形式通知代理机构（以代理机构实际收到供应商相关文件为准）。提交首次响应文件截止之日前，代理机构可以对已发出的磋商文件进行必要的澄清或者修改，澄清或者修改的内容作为磋商文件的组成部分。澄清或者修改的内容可能影响响应文件编制的，采购人、采购代理机构应当在提交首次响应文件截止时间至少5日前， 以书面形式通知所有获取磋商文件的供应商；不足5日的，采购人、采购代理机构应当顺延提交首次响应文件截止时间。</w:t>
      </w:r>
    </w:p>
    <w:p w14:paraId="06E84BA5">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bCs/>
          <w:color w:val="auto"/>
          <w:kern w:val="0"/>
          <w:szCs w:val="21"/>
          <w:highlight w:val="none"/>
          <w:u w:val="none"/>
          <w:lang w:val="en-US"/>
        </w:rPr>
      </w:pPr>
      <w:r>
        <w:rPr>
          <w:rFonts w:hint="eastAsia" w:ascii="宋体" w:hAnsi="宋体" w:eastAsia="宋体" w:cs="宋体"/>
          <w:color w:val="auto"/>
          <w:kern w:val="2"/>
          <w:sz w:val="21"/>
          <w:szCs w:val="21"/>
          <w:highlight w:val="none"/>
          <w:u w:val="none"/>
          <w:lang w:val="en-US" w:eastAsia="zh-CN" w:bidi="ar"/>
        </w:rPr>
        <w:t>6.2代理机构可以视采购项目的具体情况，组织供应商进行现场考察或召开磋商前答疑会，但不单独或分别组织只有一个供应商参加的现场考察和</w:t>
      </w:r>
      <w:r>
        <w:rPr>
          <w:rFonts w:hint="eastAsia" w:ascii="宋体" w:hAnsi="宋体" w:eastAsia="宋体" w:cs="宋体"/>
          <w:bCs/>
          <w:snapToGrid w:val="0"/>
          <w:color w:val="auto"/>
          <w:kern w:val="0"/>
          <w:sz w:val="21"/>
          <w:szCs w:val="21"/>
          <w:highlight w:val="none"/>
          <w:u w:val="none"/>
          <w:lang w:val="en-US" w:eastAsia="zh-CN" w:bidi="ar"/>
        </w:rPr>
        <w:t>答疑会。</w:t>
      </w:r>
    </w:p>
    <w:p w14:paraId="7AB9043C">
      <w:pPr>
        <w:keepNext w:val="0"/>
        <w:keepLines w:val="0"/>
        <w:pageBreakBefore w:val="0"/>
        <w:widowControl w:val="0"/>
        <w:numPr>
          <w:ilvl w:val="0"/>
          <w:numId w:val="0"/>
        </w:numPr>
        <w:suppressLineNumbers w:val="0"/>
        <w:tabs>
          <w:tab w:val="left" w:pos="900"/>
        </w:tabs>
        <w:kinsoku/>
        <w:wordWrap/>
        <w:topLinePunct w:val="0"/>
        <w:bidi w:val="0"/>
        <w:spacing w:before="0" w:beforeAutospacing="0" w:after="0" w:afterAutospacing="0" w:line="360" w:lineRule="auto"/>
        <w:ind w:right="0" w:rightChars="0" w:firstLine="420" w:firstLineChars="200"/>
        <w:jc w:val="both"/>
        <w:rPr>
          <w:rFonts w:hint="eastAsia" w:ascii="宋体" w:hAnsi="宋体" w:eastAsia="宋体" w:cs="宋体"/>
          <w:bCs/>
          <w:color w:val="auto"/>
          <w:kern w:val="0"/>
          <w:szCs w:val="21"/>
          <w:highlight w:val="none"/>
          <w:u w:val="none"/>
          <w:lang w:val="en-US"/>
        </w:rPr>
      </w:pPr>
      <w:r>
        <w:rPr>
          <w:rFonts w:hint="eastAsia" w:ascii="宋体" w:hAnsi="宋体" w:eastAsia="宋体" w:cs="宋体"/>
          <w:bCs/>
          <w:snapToGrid w:val="0"/>
          <w:color w:val="auto"/>
          <w:kern w:val="0"/>
          <w:sz w:val="21"/>
          <w:szCs w:val="21"/>
          <w:highlight w:val="none"/>
          <w:u w:val="none"/>
          <w:lang w:val="en-US" w:eastAsia="zh-CN" w:bidi="ar"/>
        </w:rPr>
        <w:t>7.付款方式：</w:t>
      </w:r>
      <w:r>
        <w:rPr>
          <w:rFonts w:hint="eastAsia" w:ascii="宋体" w:hAnsi="宋体" w:eastAsia="宋体" w:cs="宋体"/>
          <w:bCs/>
          <w:color w:val="auto"/>
          <w:kern w:val="0"/>
          <w:sz w:val="21"/>
          <w:szCs w:val="21"/>
          <w:highlight w:val="none"/>
          <w:u w:val="none"/>
          <w:lang w:val="en-US" w:eastAsia="zh-CN" w:bidi="ar"/>
        </w:rPr>
        <w:t>见合同专用条款。</w:t>
      </w:r>
    </w:p>
    <w:p w14:paraId="664CF082">
      <w:pPr>
        <w:pageBreakBefore w:val="0"/>
        <w:kinsoku/>
        <w:topLinePunct w:val="0"/>
        <w:bidi w:val="0"/>
        <w:spacing w:line="360" w:lineRule="auto"/>
        <w:ind w:firstLine="482"/>
        <w:rPr>
          <w:rFonts w:cs="宋体"/>
          <w:b/>
          <w:color w:val="auto"/>
          <w:szCs w:val="21"/>
          <w:highlight w:val="none"/>
          <w:u w:val="none"/>
        </w:rPr>
      </w:pPr>
      <w:r>
        <w:rPr>
          <w:rFonts w:hint="eastAsia" w:ascii="宋体" w:hAnsi="宋体" w:eastAsia="宋体" w:cs="宋体"/>
          <w:b/>
          <w:bCs w:val="0"/>
          <w:color w:val="auto"/>
          <w:kern w:val="2"/>
          <w:sz w:val="21"/>
          <w:szCs w:val="21"/>
          <w:highlight w:val="none"/>
          <w:u w:val="none"/>
          <w:lang w:val="en-US" w:eastAsia="zh-CN" w:bidi="ar"/>
        </w:rPr>
        <w:t>二、</w:t>
      </w:r>
      <w:r>
        <w:rPr>
          <w:rFonts w:hint="eastAsia" w:cs="宋体"/>
          <w:b/>
          <w:color w:val="auto"/>
          <w:szCs w:val="21"/>
          <w:highlight w:val="none"/>
          <w:u w:val="none"/>
        </w:rPr>
        <w:t>磋商文件</w:t>
      </w:r>
    </w:p>
    <w:p w14:paraId="30B3A6EF">
      <w:pPr>
        <w:pageBreakBefore w:val="0"/>
        <w:tabs>
          <w:tab w:val="left" w:pos="900"/>
        </w:tabs>
        <w:kinsoku/>
        <w:topLinePunct w:val="0"/>
        <w:bidi w:val="0"/>
        <w:spacing w:line="360" w:lineRule="auto"/>
        <w:ind w:firstLine="420" w:firstLineChars="200"/>
        <w:rPr>
          <w:rFonts w:hint="eastAsia" w:ascii="宋体" w:hAnsi="宋体"/>
          <w:color w:val="auto"/>
          <w:szCs w:val="21"/>
          <w:highlight w:val="none"/>
          <w:u w:val="none"/>
        </w:rPr>
      </w:pPr>
      <w:bookmarkStart w:id="88" w:name="_Toc513029210"/>
      <w:bookmarkStart w:id="89" w:name="_Toc16938526"/>
      <w:bookmarkStart w:id="90" w:name="_Toc20823282"/>
      <w:r>
        <w:rPr>
          <w:rFonts w:hint="eastAsia" w:ascii="宋体" w:hAnsi="宋体"/>
          <w:color w:val="auto"/>
          <w:szCs w:val="21"/>
          <w:highlight w:val="none"/>
          <w:u w:val="none"/>
        </w:rPr>
        <w:t>1.磋商文件构成</w:t>
      </w:r>
      <w:bookmarkEnd w:id="88"/>
      <w:bookmarkEnd w:id="89"/>
      <w:bookmarkEnd w:id="90"/>
    </w:p>
    <w:p w14:paraId="7717F464">
      <w:pPr>
        <w:pageBreakBefore w:val="0"/>
        <w:tabs>
          <w:tab w:val="left" w:pos="900"/>
        </w:tabs>
        <w:kinsoku/>
        <w:topLinePunct w:val="0"/>
        <w:bidi w:val="0"/>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rPr>
        <w:t>1.1 磋商文件由以下部分组成：</w:t>
      </w:r>
    </w:p>
    <w:p w14:paraId="6D078ACC">
      <w:pPr>
        <w:pageBreakBefore w:val="0"/>
        <w:tabs>
          <w:tab w:val="left" w:pos="900"/>
        </w:tabs>
        <w:kinsoku/>
        <w:topLinePunct w:val="0"/>
        <w:bidi w:val="0"/>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rPr>
        <w:t>（1）竞争性磋商公告</w:t>
      </w:r>
    </w:p>
    <w:p w14:paraId="5564B8A8">
      <w:pPr>
        <w:pageBreakBefore w:val="0"/>
        <w:tabs>
          <w:tab w:val="left" w:pos="900"/>
        </w:tabs>
        <w:kinsoku/>
        <w:topLinePunct w:val="0"/>
        <w:bidi w:val="0"/>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rPr>
        <w:t>（2）供应商须知</w:t>
      </w:r>
    </w:p>
    <w:p w14:paraId="140CEB50">
      <w:pPr>
        <w:pageBreakBefore w:val="0"/>
        <w:tabs>
          <w:tab w:val="left" w:pos="900"/>
        </w:tabs>
        <w:kinsoku/>
        <w:topLinePunct w:val="0"/>
        <w:bidi w:val="0"/>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rPr>
        <w:t>（3）合同条款及格式</w:t>
      </w:r>
    </w:p>
    <w:p w14:paraId="4EAC0D37">
      <w:pPr>
        <w:pageBreakBefore w:val="0"/>
        <w:tabs>
          <w:tab w:val="left" w:pos="900"/>
        </w:tabs>
        <w:kinsoku/>
        <w:topLinePunct w:val="0"/>
        <w:bidi w:val="0"/>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rPr>
        <w:t>（4）项目需求</w:t>
      </w:r>
    </w:p>
    <w:p w14:paraId="3983D6D1">
      <w:pPr>
        <w:pageBreakBefore w:val="0"/>
        <w:tabs>
          <w:tab w:val="left" w:pos="900"/>
        </w:tabs>
        <w:kinsoku/>
        <w:topLinePunct w:val="0"/>
        <w:bidi w:val="0"/>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rPr>
        <w:t>（5）评审方法和评审标准</w:t>
      </w:r>
    </w:p>
    <w:p w14:paraId="11D4CF9E">
      <w:pPr>
        <w:pageBreakBefore w:val="0"/>
        <w:tabs>
          <w:tab w:val="left" w:pos="900"/>
        </w:tabs>
        <w:kinsoku/>
        <w:topLinePunct w:val="0"/>
        <w:bidi w:val="0"/>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rPr>
        <w:t>（6）响应文件组成和格式</w:t>
      </w:r>
    </w:p>
    <w:p w14:paraId="2C2DA303">
      <w:pPr>
        <w:pageBreakBefore w:val="0"/>
        <w:tabs>
          <w:tab w:val="left" w:pos="900"/>
        </w:tabs>
        <w:kinsoku/>
        <w:topLinePunct w:val="0"/>
        <w:bidi w:val="0"/>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rPr>
        <w:t>请仔细检查磋商文件是否齐全，如有缺漏请立即与采购人或采购代理机构联系解决。</w:t>
      </w:r>
    </w:p>
    <w:p w14:paraId="6DD36FEC">
      <w:pPr>
        <w:pageBreakBefore w:val="0"/>
        <w:tabs>
          <w:tab w:val="left" w:pos="900"/>
        </w:tabs>
        <w:kinsoku/>
        <w:topLinePunct w:val="0"/>
        <w:bidi w:val="0"/>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rPr>
        <w:t>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637995A9">
      <w:pPr>
        <w:pageBreakBefore w:val="0"/>
        <w:tabs>
          <w:tab w:val="left" w:pos="900"/>
        </w:tabs>
        <w:kinsoku/>
        <w:topLinePunct w:val="0"/>
        <w:bidi w:val="0"/>
        <w:spacing w:line="360" w:lineRule="auto"/>
        <w:ind w:firstLine="420" w:firstLineChars="200"/>
        <w:rPr>
          <w:rFonts w:hint="eastAsia" w:ascii="宋体" w:hAnsi="宋体"/>
          <w:color w:val="auto"/>
          <w:szCs w:val="21"/>
          <w:highlight w:val="none"/>
          <w:u w:val="none"/>
        </w:rPr>
      </w:pPr>
      <w:bookmarkStart w:id="91" w:name="_Toc16938527"/>
      <w:bookmarkStart w:id="92" w:name="_Toc20823283"/>
      <w:bookmarkStart w:id="93" w:name="_Toc513029211"/>
      <w:bookmarkStart w:id="94" w:name="_Toc462564070"/>
      <w:r>
        <w:rPr>
          <w:rFonts w:hint="eastAsia" w:ascii="宋体" w:hAnsi="宋体"/>
          <w:color w:val="auto"/>
          <w:szCs w:val="21"/>
          <w:highlight w:val="none"/>
          <w:u w:val="none"/>
        </w:rPr>
        <w:t>2.磋商文件的澄清</w:t>
      </w:r>
      <w:bookmarkEnd w:id="91"/>
      <w:bookmarkEnd w:id="92"/>
      <w:bookmarkEnd w:id="93"/>
      <w:bookmarkEnd w:id="94"/>
    </w:p>
    <w:p w14:paraId="4A6F6802">
      <w:pPr>
        <w:pageBreakBefore w:val="0"/>
        <w:tabs>
          <w:tab w:val="left" w:pos="900"/>
        </w:tabs>
        <w:kinsoku/>
        <w:topLinePunct w:val="0"/>
        <w:bidi w:val="0"/>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rPr>
        <w:t>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p>
    <w:p w14:paraId="2EF5F8FB">
      <w:pPr>
        <w:pageBreakBefore w:val="0"/>
        <w:tabs>
          <w:tab w:val="left" w:pos="900"/>
        </w:tabs>
        <w:kinsoku/>
        <w:topLinePunct w:val="0"/>
        <w:bidi w:val="0"/>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rPr>
        <w:t>2.2采购人可以视采购项目的具体情况，组织供应商进行现场考察或召开磋商前答疑会，但不单独或分别组织只有一个供应商参加的现场考察和答疑会。</w:t>
      </w:r>
    </w:p>
    <w:p w14:paraId="2D5D905F">
      <w:pPr>
        <w:pageBreakBefore w:val="0"/>
        <w:tabs>
          <w:tab w:val="left" w:pos="900"/>
        </w:tabs>
        <w:kinsoku/>
        <w:topLinePunct w:val="0"/>
        <w:bidi w:val="0"/>
        <w:spacing w:line="360" w:lineRule="auto"/>
        <w:ind w:firstLine="420" w:firstLineChars="200"/>
        <w:rPr>
          <w:rFonts w:hint="eastAsia" w:ascii="宋体" w:hAnsi="宋体"/>
          <w:color w:val="auto"/>
          <w:szCs w:val="21"/>
          <w:highlight w:val="none"/>
          <w:u w:val="none"/>
        </w:rPr>
      </w:pPr>
      <w:bookmarkStart w:id="95" w:name="_Toc20823284"/>
      <w:bookmarkStart w:id="96" w:name="_Toc513029212"/>
      <w:bookmarkStart w:id="97" w:name="_Toc16938528"/>
      <w:bookmarkStart w:id="98" w:name="_Toc462564071"/>
      <w:r>
        <w:rPr>
          <w:rFonts w:hint="eastAsia" w:ascii="宋体" w:hAnsi="宋体"/>
          <w:color w:val="auto"/>
          <w:szCs w:val="21"/>
          <w:highlight w:val="none"/>
          <w:u w:val="none"/>
        </w:rPr>
        <w:t>3.磋商文件的修改</w:t>
      </w:r>
      <w:bookmarkEnd w:id="95"/>
      <w:bookmarkEnd w:id="96"/>
      <w:bookmarkEnd w:id="97"/>
      <w:bookmarkEnd w:id="98"/>
    </w:p>
    <w:p w14:paraId="79786885">
      <w:pPr>
        <w:pageBreakBefore w:val="0"/>
        <w:tabs>
          <w:tab w:val="left" w:pos="900"/>
        </w:tabs>
        <w:kinsoku/>
        <w:topLinePunct w:val="0"/>
        <w:bidi w:val="0"/>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rPr>
        <w:t>3.1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hint="eastAsia" w:ascii="宋体" w:hAnsi="宋体"/>
          <w:color w:val="auto"/>
          <w:szCs w:val="21"/>
          <w:highlight w:val="none"/>
          <w:u w:val="none"/>
        </w:rPr>
        <w:br w:type="textWrapping"/>
      </w:r>
      <w:r>
        <w:rPr>
          <w:rFonts w:hint="eastAsia" w:ascii="宋体" w:hAnsi="宋体"/>
          <w:color w:val="auto"/>
          <w:szCs w:val="21"/>
          <w:highlight w:val="none"/>
          <w:u w:val="none"/>
        </w:rPr>
        <w:t xml:space="preserve">    3.2磋商文件的修改将在江苏政府采购网公布，补充文件将作为磋商文件的组成部分，并对供应商具有约束力。</w:t>
      </w:r>
    </w:p>
    <w:p w14:paraId="1B4EB89F">
      <w:pPr>
        <w:pageBreakBefore w:val="0"/>
        <w:kinsoku/>
        <w:topLinePunct w:val="0"/>
        <w:bidi w:val="0"/>
        <w:spacing w:line="360" w:lineRule="auto"/>
        <w:ind w:firstLine="482"/>
        <w:rPr>
          <w:rFonts w:hint="eastAsia" w:ascii="宋体" w:hAnsi="宋体" w:cs="宋体"/>
          <w:b/>
          <w:bCs/>
          <w:color w:val="auto"/>
          <w:szCs w:val="21"/>
          <w:highlight w:val="none"/>
          <w:u w:val="none"/>
        </w:rPr>
      </w:pPr>
      <w:r>
        <w:rPr>
          <w:rFonts w:hint="eastAsia" w:ascii="宋体" w:hAnsi="宋体" w:cs="宋体"/>
          <w:b/>
          <w:bCs/>
          <w:color w:val="auto"/>
          <w:szCs w:val="21"/>
          <w:highlight w:val="none"/>
          <w:u w:val="none"/>
        </w:rPr>
        <w:t>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w:t>
      </w:r>
      <w:r>
        <w:rPr>
          <w:rFonts w:hint="eastAsia" w:ascii="宋体" w:hAnsi="宋体" w:cs="宋体"/>
          <w:b/>
          <w:bCs/>
          <w:color w:val="auto"/>
          <w:szCs w:val="21"/>
          <w:highlight w:val="none"/>
          <w:u w:val="none"/>
          <w:lang w:val="en-US" w:eastAsia="zh-CN"/>
        </w:rPr>
        <w:t>到</w:t>
      </w:r>
      <w:r>
        <w:rPr>
          <w:rFonts w:hint="eastAsia" w:ascii="宋体" w:hAnsi="宋体" w:cs="宋体"/>
          <w:b/>
          <w:bCs/>
          <w:color w:val="auto"/>
          <w:szCs w:val="21"/>
          <w:highlight w:val="none"/>
          <w:u w:val="none"/>
        </w:rPr>
        <w:t>通知义务。敬请各潜在供应商关注本项目的“更正（澄清）公告”，并通过“苏采云”系统重新下载更正（澄清）后的采购文件（后缀名为“.kedt”），离线编制响应文件，否则，将自行承担相应的风险。</w:t>
      </w:r>
    </w:p>
    <w:p w14:paraId="360D5A71">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5.供应商对采购人提供的采购文件所做出的推论、解释和结论，采购人概不负责。供应商由于对采购文件的任何推论和误解以及采购人对有关问题的口头解释所造成的后果，均由各潜在供应商自负。</w:t>
      </w:r>
    </w:p>
    <w:p w14:paraId="041BC36D">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2" w:firstLineChars="200"/>
        <w:jc w:val="both"/>
        <w:rPr>
          <w:rFonts w:hint="eastAsia" w:ascii="宋体" w:hAnsi="宋体" w:eastAsia="宋体" w:cs="宋体"/>
          <w:b/>
          <w:bCs w:val="0"/>
          <w:color w:val="auto"/>
          <w:szCs w:val="21"/>
          <w:highlight w:val="none"/>
          <w:u w:val="none"/>
          <w:lang w:val="en-US"/>
        </w:rPr>
      </w:pPr>
      <w:r>
        <w:rPr>
          <w:rFonts w:hint="eastAsia" w:ascii="宋体" w:hAnsi="宋体" w:cs="宋体"/>
          <w:b/>
          <w:bCs w:val="0"/>
          <w:color w:val="auto"/>
          <w:kern w:val="2"/>
          <w:sz w:val="21"/>
          <w:szCs w:val="21"/>
          <w:highlight w:val="none"/>
          <w:u w:val="none"/>
          <w:lang w:val="en-US" w:eastAsia="zh-CN" w:bidi="ar"/>
        </w:rPr>
        <w:t>三、</w:t>
      </w:r>
      <w:r>
        <w:rPr>
          <w:rFonts w:hint="eastAsia" w:ascii="宋体" w:hAnsi="宋体" w:eastAsia="宋体" w:cs="宋体"/>
          <w:b/>
          <w:bCs w:val="0"/>
          <w:color w:val="auto"/>
          <w:kern w:val="2"/>
          <w:sz w:val="21"/>
          <w:szCs w:val="21"/>
          <w:highlight w:val="none"/>
          <w:u w:val="none"/>
          <w:lang w:val="en-US" w:eastAsia="zh-CN" w:bidi="ar"/>
        </w:rPr>
        <w:t>磋商响应文件的编制</w:t>
      </w:r>
    </w:p>
    <w:p w14:paraId="08EDE91B">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1.响应文件的语言及度量衡单位</w:t>
      </w:r>
    </w:p>
    <w:p w14:paraId="54D8573E">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1.1供应商提交的响应文件以及供应商与采购人或采购代理机构就有关磋商的所有来往通知、函件和文件均应使用简体中文。</w:t>
      </w:r>
    </w:p>
    <w:p w14:paraId="60EB8FD9">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1.2除技术性能另有规定外，响应文件所使用的度量衡单位，均须采用国家法定计量单位。</w:t>
      </w:r>
    </w:p>
    <w:p w14:paraId="23B86CC1">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2.响应文件构成</w:t>
      </w:r>
    </w:p>
    <w:p w14:paraId="265A2AC7">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cs="宋体"/>
          <w:color w:val="auto"/>
          <w:kern w:val="2"/>
          <w:sz w:val="21"/>
          <w:szCs w:val="21"/>
          <w:highlight w:val="none"/>
          <w:u w:val="none"/>
          <w:lang w:val="en-US" w:eastAsia="zh-CN" w:bidi="ar"/>
        </w:rPr>
        <w:t>2.1</w:t>
      </w:r>
      <w:r>
        <w:rPr>
          <w:rFonts w:hint="eastAsia" w:ascii="宋体" w:hAnsi="宋体" w:eastAsia="宋体" w:cs="宋体"/>
          <w:color w:val="auto"/>
          <w:kern w:val="2"/>
          <w:sz w:val="21"/>
          <w:szCs w:val="21"/>
          <w:highlight w:val="none"/>
          <w:u w:val="none"/>
          <w:lang w:val="en-US" w:eastAsia="zh-CN" w:bidi="ar"/>
        </w:rPr>
        <w:t>供应商应认真阅读和理解磋商文件，并按磋商文件的要求编制响应文件；响应文件应对磋商文件做实质性响应，并保证所提供资料的真实性。磋商供应商编写的响应文件应包括下列部分：</w:t>
      </w:r>
    </w:p>
    <w:p w14:paraId="18578308">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eastAsia="宋体" w:cs="宋体"/>
          <w:color w:val="auto"/>
          <w:kern w:val="2"/>
          <w:sz w:val="21"/>
          <w:szCs w:val="21"/>
          <w:highlight w:val="none"/>
          <w:u w:val="none"/>
          <w:lang w:val="en-US" w:eastAsia="zh-CN" w:bidi="ar"/>
        </w:rPr>
        <w:t>加★项目若有缺失或无效，将导致该响应文件作无效响应文件评定，且不允许在磋商截止时间后补正。</w:t>
      </w:r>
    </w:p>
    <w:p w14:paraId="22BD597D">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cs="宋体"/>
          <w:color w:val="auto"/>
          <w:kern w:val="2"/>
          <w:sz w:val="21"/>
          <w:szCs w:val="21"/>
          <w:highlight w:val="none"/>
          <w:u w:val="none"/>
          <w:lang w:val="en-US" w:eastAsia="zh-CN" w:bidi="ar"/>
        </w:rPr>
        <w:t>2.1.1</w:t>
      </w:r>
      <w:r>
        <w:rPr>
          <w:rFonts w:hint="eastAsia" w:ascii="宋体" w:hAnsi="宋体" w:eastAsia="宋体" w:cs="宋体"/>
          <w:color w:val="auto"/>
          <w:kern w:val="2"/>
          <w:sz w:val="21"/>
          <w:szCs w:val="21"/>
          <w:highlight w:val="none"/>
          <w:u w:val="none"/>
          <w:lang w:val="en-US" w:eastAsia="zh-CN" w:bidi="ar"/>
        </w:rPr>
        <w:t xml:space="preserve"> 资格证明文件（复印件须加盖磋商供应商公章，否则视同未提供。本采购文件所表述（指定）的公章是指刻有供应商法定名称的印章，不包括合同、财务、税务、发票等形式的业务专用章）</w:t>
      </w:r>
    </w:p>
    <w:p w14:paraId="03D5C649">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（1）★法人或者其他组织的营业执照等证明文件， 自然人的身份证明复印件；</w:t>
      </w:r>
    </w:p>
    <w:p w14:paraId="47B0630F">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eastAsia="宋体" w:cs="宋体"/>
          <w:color w:val="auto"/>
          <w:kern w:val="2"/>
          <w:sz w:val="21"/>
          <w:szCs w:val="21"/>
          <w:highlight w:val="none"/>
          <w:u w:val="none"/>
          <w:lang w:val="en-US" w:eastAsia="zh-CN" w:bidi="ar"/>
        </w:rPr>
        <w:t>（2）★财务状况：2024 年度或 2025 年度经会计师事务所审计的财务报告（须提供加盖会计师事务所公章及注册会计师签章的复印件）；没有经审计的财务报告的，也可以提供 2025 年或 2026 年任意一个月的财务报表，或提供距离响应截止时间6个月内基本开户银行出具的资信证明复印件；</w:t>
      </w:r>
    </w:p>
    <w:p w14:paraId="54049CD1">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（3）★依法缴纳税收：</w:t>
      </w:r>
      <w:r>
        <w:rPr>
          <w:rFonts w:hint="eastAsia" w:ascii="宋体" w:hAnsi="宋体" w:cs="宋体"/>
          <w:color w:val="auto"/>
          <w:sz w:val="21"/>
          <w:szCs w:val="21"/>
          <w:highlight w:val="none"/>
          <w:u w:val="none"/>
          <w:lang w:eastAsia="zh-CN"/>
        </w:rPr>
        <w:t>2026年1月</w:t>
      </w:r>
      <w:r>
        <w:rPr>
          <w:rFonts w:hint="eastAsia" w:ascii="宋体" w:hAnsi="宋体" w:eastAsia="宋体" w:cs="宋体"/>
          <w:color w:val="auto"/>
          <w:sz w:val="21"/>
          <w:szCs w:val="21"/>
          <w:highlight w:val="none"/>
          <w:u w:val="none"/>
          <w:lang w:eastAsia="zh-CN"/>
        </w:rPr>
        <w:t>（含）至开标当日任一月份</w:t>
      </w:r>
      <w:r>
        <w:rPr>
          <w:rFonts w:hint="eastAsia" w:ascii="宋体" w:hAnsi="宋体" w:eastAsia="宋体" w:cs="宋体"/>
          <w:color w:val="auto"/>
          <w:kern w:val="2"/>
          <w:sz w:val="21"/>
          <w:szCs w:val="21"/>
          <w:highlight w:val="none"/>
          <w:u w:val="none"/>
          <w:lang w:val="en-US" w:eastAsia="zh-CN" w:bidi="ar"/>
        </w:rPr>
        <w:t>依法缴纳税收（依法缴纳税收材料是指：税务部门出具的税收证明或完税凭证或银行出具的税收缴款证明）的相关材料复印件，如依法免税或不需要纳税的，则应提供相应证明材料复印件；</w:t>
      </w:r>
    </w:p>
    <w:p w14:paraId="389AB1B7">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（4）★社会保障资金：</w:t>
      </w:r>
      <w:r>
        <w:rPr>
          <w:rFonts w:hint="eastAsia" w:ascii="宋体" w:hAnsi="宋体" w:cs="宋体"/>
          <w:color w:val="auto"/>
          <w:sz w:val="21"/>
          <w:szCs w:val="21"/>
          <w:highlight w:val="none"/>
          <w:u w:val="none"/>
          <w:lang w:eastAsia="zh-CN"/>
        </w:rPr>
        <w:t>2026年1月</w:t>
      </w:r>
      <w:r>
        <w:rPr>
          <w:rFonts w:hint="eastAsia" w:ascii="宋体" w:hAnsi="宋体" w:eastAsia="宋体" w:cs="宋体"/>
          <w:color w:val="auto"/>
          <w:sz w:val="21"/>
          <w:szCs w:val="21"/>
          <w:highlight w:val="none"/>
          <w:u w:val="none"/>
          <w:lang w:eastAsia="zh-CN"/>
        </w:rPr>
        <w:t>（含）至开标当日任一月份</w:t>
      </w:r>
      <w:r>
        <w:rPr>
          <w:rFonts w:hint="eastAsia" w:ascii="宋体" w:hAnsi="宋体" w:eastAsia="宋体" w:cs="宋体"/>
          <w:color w:val="auto"/>
          <w:kern w:val="2"/>
          <w:sz w:val="21"/>
          <w:szCs w:val="21"/>
          <w:highlight w:val="none"/>
          <w:u w:val="none"/>
          <w:lang w:val="en-US" w:eastAsia="zh-CN" w:bidi="ar"/>
        </w:rPr>
        <w:t>的依法缴纳社会保障资金的相关材料复印件（社会保障资金材料是指：人社部门或税务机关或银行出具的缴纳社保的凭证），如依法不需要缴纳社会保障资金的，则应提供相应证明材料复印件；</w:t>
      </w:r>
    </w:p>
    <w:p w14:paraId="4F75E83F">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（5）★具备履行合同所必需的设备和专业技术能力的声明或证明材料复印件；</w:t>
      </w:r>
    </w:p>
    <w:p w14:paraId="3D5644C1">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（6）★参加政府采购活动前 3年内在经营活动中没有重大违法记录的书面声明；</w:t>
      </w:r>
    </w:p>
    <w:p w14:paraId="4D90A39A">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color w:val="auto"/>
          <w:spacing w:val="2"/>
          <w:highlight w:val="none"/>
          <w:u w:val="none"/>
          <w:lang w:val="en-US"/>
        </w:rPr>
      </w:pPr>
      <w:r>
        <w:rPr>
          <w:rFonts w:hint="eastAsia" w:ascii="宋体" w:hAnsi="宋体" w:eastAsia="宋体" w:cs="宋体"/>
          <w:color w:val="auto"/>
          <w:kern w:val="2"/>
          <w:sz w:val="21"/>
          <w:szCs w:val="21"/>
          <w:highlight w:val="none"/>
          <w:u w:val="none"/>
          <w:lang w:val="en-US" w:eastAsia="zh-CN" w:bidi="ar"/>
        </w:rPr>
        <w:t>（7）</w:t>
      </w:r>
      <w:r>
        <w:rPr>
          <w:color w:val="auto"/>
          <w:spacing w:val="2"/>
          <w:highlight w:val="none"/>
          <w:u w:val="none"/>
        </w:rPr>
        <w:t>具备法律、行政法规规定的其他条件的证明材料</w:t>
      </w:r>
      <w:r>
        <w:rPr>
          <w:rFonts w:hint="eastAsia"/>
          <w:color w:val="auto"/>
          <w:spacing w:val="2"/>
          <w:highlight w:val="none"/>
          <w:u w:val="none"/>
          <w:lang w:eastAsia="zh-CN"/>
        </w:rPr>
        <w:t>：</w:t>
      </w:r>
      <w:r>
        <w:rPr>
          <w:rFonts w:hint="eastAsia"/>
          <w:color w:val="auto"/>
          <w:spacing w:val="2"/>
          <w:highlight w:val="none"/>
          <w:u w:val="none"/>
          <w:lang w:val="en-US" w:eastAsia="zh-CN"/>
        </w:rPr>
        <w:t>“信用中国”“中国政府采购网”网站信用记录截图；</w:t>
      </w:r>
    </w:p>
    <w:p w14:paraId="7B1773E5">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eastAsia="宋体" w:cs="宋体"/>
          <w:color w:val="auto"/>
          <w:kern w:val="2"/>
          <w:sz w:val="21"/>
          <w:szCs w:val="21"/>
          <w:highlight w:val="none"/>
          <w:u w:val="none"/>
          <w:lang w:val="en-US" w:eastAsia="zh-CN" w:bidi="ar"/>
        </w:rPr>
        <w:t>2.</w:t>
      </w:r>
      <w:r>
        <w:rPr>
          <w:rFonts w:hint="eastAsia" w:ascii="宋体" w:hAnsi="宋体" w:cs="宋体"/>
          <w:color w:val="auto"/>
          <w:kern w:val="2"/>
          <w:sz w:val="21"/>
          <w:szCs w:val="21"/>
          <w:highlight w:val="none"/>
          <w:u w:val="none"/>
          <w:lang w:val="en-US" w:eastAsia="zh-CN" w:bidi="ar"/>
        </w:rPr>
        <w:t>1</w:t>
      </w:r>
      <w:r>
        <w:rPr>
          <w:rFonts w:hint="eastAsia" w:ascii="宋体" w:hAnsi="宋体" w:eastAsia="宋体" w:cs="宋体"/>
          <w:color w:val="auto"/>
          <w:kern w:val="2"/>
          <w:sz w:val="21"/>
          <w:szCs w:val="21"/>
          <w:highlight w:val="none"/>
          <w:u w:val="none"/>
          <w:lang w:val="en-US" w:eastAsia="zh-CN" w:bidi="ar"/>
        </w:rPr>
        <w:t>.2商务技术文件（</w:t>
      </w:r>
      <w:r>
        <w:rPr>
          <w:rFonts w:hint="eastAsia" w:ascii="宋体" w:hAnsi="宋体" w:eastAsia="宋体" w:cs="宋体"/>
          <w:bCs/>
          <w:color w:val="auto"/>
          <w:kern w:val="2"/>
          <w:sz w:val="21"/>
          <w:szCs w:val="21"/>
          <w:highlight w:val="none"/>
          <w:u w:val="none"/>
          <w:lang w:val="en-US" w:eastAsia="zh-CN" w:bidi="ar"/>
        </w:rPr>
        <w:t>按照本文件第六章统一提供的规范表式填写</w:t>
      </w:r>
      <w:r>
        <w:rPr>
          <w:rFonts w:hint="eastAsia" w:ascii="宋体" w:hAnsi="宋体" w:eastAsia="宋体" w:cs="宋体"/>
          <w:color w:val="auto"/>
          <w:kern w:val="2"/>
          <w:sz w:val="21"/>
          <w:szCs w:val="21"/>
          <w:highlight w:val="none"/>
          <w:u w:val="none"/>
          <w:lang w:val="en-US" w:eastAsia="zh-CN" w:bidi="ar"/>
        </w:rPr>
        <w:t>）</w:t>
      </w:r>
    </w:p>
    <w:p w14:paraId="70E290EB">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eastAsia="宋体" w:cs="宋体"/>
          <w:color w:val="auto"/>
          <w:kern w:val="2"/>
          <w:sz w:val="21"/>
          <w:szCs w:val="21"/>
          <w:highlight w:val="none"/>
          <w:u w:val="none"/>
          <w:lang w:val="en-US" w:eastAsia="zh-CN" w:bidi="ar"/>
        </w:rPr>
        <w:t>（1）评审索引表；</w:t>
      </w:r>
    </w:p>
    <w:p w14:paraId="4E71EA8E">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default"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（2）授权委托书；</w:t>
      </w:r>
    </w:p>
    <w:p w14:paraId="4C0C81C9">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eastAsia="宋体" w:cs="宋体"/>
          <w:color w:val="auto"/>
          <w:kern w:val="2"/>
          <w:sz w:val="21"/>
          <w:szCs w:val="21"/>
          <w:highlight w:val="none"/>
          <w:u w:val="none"/>
          <w:lang w:val="en-US" w:eastAsia="zh-CN" w:bidi="ar"/>
        </w:rPr>
        <w:t>（3）磋商响应函；</w:t>
      </w:r>
    </w:p>
    <w:p w14:paraId="757E90C4">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eastAsia="宋体" w:cs="宋体"/>
          <w:color w:val="auto"/>
          <w:kern w:val="2"/>
          <w:sz w:val="21"/>
          <w:szCs w:val="21"/>
          <w:highlight w:val="none"/>
          <w:u w:val="none"/>
          <w:lang w:val="en-US" w:eastAsia="zh-CN" w:bidi="ar"/>
        </w:rPr>
        <w:t>（4）首次响应报价表；</w:t>
      </w:r>
    </w:p>
    <w:p w14:paraId="14EE94C6">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eastAsia="宋体" w:cs="宋体"/>
          <w:color w:val="auto"/>
          <w:kern w:val="2"/>
          <w:sz w:val="21"/>
          <w:szCs w:val="21"/>
          <w:highlight w:val="none"/>
          <w:u w:val="none"/>
          <w:lang w:val="en-US" w:eastAsia="zh-CN" w:bidi="ar"/>
        </w:rPr>
        <w:t>（5）商务及技术响应偏离表；</w:t>
      </w:r>
    </w:p>
    <w:p w14:paraId="201ABCE9">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eastAsia="宋体" w:cs="宋体"/>
          <w:color w:val="auto"/>
          <w:kern w:val="2"/>
          <w:sz w:val="21"/>
          <w:szCs w:val="21"/>
          <w:highlight w:val="none"/>
          <w:u w:val="none"/>
          <w:lang w:val="en-US" w:eastAsia="zh-CN" w:bidi="ar"/>
        </w:rPr>
        <w:t>（6）供应商基本情况表；</w:t>
      </w:r>
    </w:p>
    <w:p w14:paraId="72C7F635">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eastAsia="宋体" w:cs="宋体"/>
          <w:color w:val="auto"/>
          <w:kern w:val="2"/>
          <w:sz w:val="21"/>
          <w:szCs w:val="21"/>
          <w:highlight w:val="none"/>
          <w:u w:val="none"/>
          <w:lang w:val="en-US" w:eastAsia="zh-CN" w:bidi="ar"/>
        </w:rPr>
        <w:t>（7）技术方案（</w:t>
      </w:r>
      <w:r>
        <w:rPr>
          <w:rFonts w:hint="eastAsia" w:ascii="宋体" w:hAnsi="宋体" w:eastAsia="宋体" w:cs="宋体"/>
          <w:b/>
          <w:bCs/>
          <w:color w:val="auto"/>
          <w:kern w:val="2"/>
          <w:sz w:val="21"/>
          <w:szCs w:val="21"/>
          <w:highlight w:val="none"/>
          <w:u w:val="none"/>
          <w:lang w:val="en-US" w:eastAsia="zh-CN" w:bidi="ar"/>
        </w:rPr>
        <w:t>供应商根据项目情况自行编制</w:t>
      </w:r>
      <w:r>
        <w:rPr>
          <w:rFonts w:hint="eastAsia" w:ascii="宋体" w:hAnsi="宋体" w:eastAsia="宋体" w:cs="宋体"/>
          <w:color w:val="auto"/>
          <w:kern w:val="2"/>
          <w:sz w:val="21"/>
          <w:szCs w:val="21"/>
          <w:highlight w:val="none"/>
          <w:u w:val="none"/>
          <w:lang w:val="en-US" w:eastAsia="zh-CN" w:bidi="ar"/>
        </w:rPr>
        <w:t>）</w:t>
      </w:r>
    </w:p>
    <w:p w14:paraId="68CDB873">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eastAsia="宋体" w:cs="宋体"/>
          <w:color w:val="auto"/>
          <w:kern w:val="2"/>
          <w:sz w:val="21"/>
          <w:szCs w:val="21"/>
          <w:highlight w:val="none"/>
          <w:u w:val="none"/>
          <w:lang w:val="en-US" w:eastAsia="zh-CN" w:bidi="ar"/>
        </w:rPr>
        <w:t>（8）拟投入本项目的主要人员表；</w:t>
      </w:r>
    </w:p>
    <w:p w14:paraId="76F16BFC">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eastAsia="宋体" w:cs="宋体"/>
          <w:color w:val="auto"/>
          <w:kern w:val="2"/>
          <w:sz w:val="21"/>
          <w:szCs w:val="21"/>
          <w:highlight w:val="none"/>
          <w:u w:val="none"/>
          <w:lang w:val="en-US" w:eastAsia="zh-CN" w:bidi="ar"/>
        </w:rPr>
        <w:t>（9）服务承诺</w:t>
      </w:r>
    </w:p>
    <w:p w14:paraId="32530229">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eastAsia="宋体" w:cs="宋体"/>
          <w:color w:val="auto"/>
          <w:kern w:val="2"/>
          <w:sz w:val="21"/>
          <w:szCs w:val="21"/>
          <w:highlight w:val="none"/>
          <w:u w:val="none"/>
          <w:lang w:val="en-US" w:eastAsia="zh-CN" w:bidi="ar"/>
        </w:rPr>
        <w:t>（10）根据项目需求和评审方法以及评审标准，供应商为使自身处于有利评审地位，应当提交的其他文件和证明资料；</w:t>
      </w:r>
    </w:p>
    <w:p w14:paraId="4A35A9BD">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eastAsia="宋体" w:cs="宋体"/>
          <w:color w:val="auto"/>
          <w:kern w:val="2"/>
          <w:sz w:val="21"/>
          <w:szCs w:val="21"/>
          <w:highlight w:val="none"/>
          <w:u w:val="none"/>
          <w:lang w:val="en-US" w:eastAsia="zh-CN" w:bidi="ar"/>
        </w:rPr>
        <w:t>（11）采购文件需要的其他资料及供应商认为需要提供的其他内容。</w:t>
      </w:r>
    </w:p>
    <w:p w14:paraId="1F6745A5">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default"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3.磋商响应报价</w:t>
      </w:r>
    </w:p>
    <w:p w14:paraId="17C13432">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3.1除采购文件另有规定外，应以人民币报价，线上采购项目还需按照投标工具的流程和提示编制并上传磋商报价表。</w:t>
      </w:r>
    </w:p>
    <w:p w14:paraId="1A486054">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3.2本项目不接受任何形式的赠送、“零”报价和折扣报价。</w:t>
      </w:r>
    </w:p>
    <w:p w14:paraId="69EC40D5">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3.3本项目以磋商总报价为依据计算价格分。磋商总报价应包括采购文件中要求供应商承担所有工作内容的全部费用。</w:t>
      </w:r>
    </w:p>
    <w:p w14:paraId="0F0146A9">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2" w:firstLineChars="200"/>
        <w:jc w:val="both"/>
        <w:rPr>
          <w:rFonts w:hint="eastAsia" w:ascii="宋体" w:hAnsi="宋体" w:eastAsia="宋体" w:cs="宋体"/>
          <w:b/>
          <w:bCs/>
          <w:color w:val="auto"/>
          <w:kern w:val="2"/>
          <w:sz w:val="21"/>
          <w:szCs w:val="21"/>
          <w:highlight w:val="none"/>
          <w:u w:val="none"/>
          <w:lang w:val="en-US" w:eastAsia="zh-CN" w:bidi="ar"/>
        </w:rPr>
      </w:pPr>
      <w:r>
        <w:rPr>
          <w:rFonts w:hint="eastAsia" w:ascii="宋体" w:hAnsi="宋体" w:eastAsia="宋体" w:cs="宋体"/>
          <w:b/>
          <w:bCs/>
          <w:color w:val="auto"/>
          <w:kern w:val="2"/>
          <w:sz w:val="21"/>
          <w:szCs w:val="21"/>
          <w:highlight w:val="none"/>
          <w:u w:val="none"/>
          <w:lang w:val="en-US" w:eastAsia="zh-CN" w:bidi="ar"/>
        </w:rPr>
        <w:t>3.4异常低价审查：</w:t>
      </w:r>
    </w:p>
    <w:p w14:paraId="3DDAB37C">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3.4.1评审中出现下列情形之一的，评审委员会应当启动异常低价投标（响应）审查程序：</w:t>
      </w:r>
    </w:p>
    <w:p w14:paraId="66C1BB2E">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①投标（响应）报价低于全部通过符合性审查供应商投标（响应）报价平均值50%的，即投标（响应）报价&lt;全部通过符合性审查供应商投标（响应）报价平均值×50%；</w:t>
      </w:r>
    </w:p>
    <w:p w14:paraId="5D625EDF">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②投标（响应）报价低于通过符合性审查的次低报价供应商投标（响应）报价50%的，即投标（响应）报价&lt;通过符合性审查的次低报价供应商投标（响应）报价×50%；</w:t>
      </w:r>
    </w:p>
    <w:p w14:paraId="26D312A1">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③投标（响应）报价低于采购项目最高限价45%的，即投标（响应）报价&lt;采购项目最高限价 ×45%；</w:t>
      </w:r>
    </w:p>
    <w:p w14:paraId="21A38308">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④评审委员会基于专业判断，认为供应商报价过低，有可能影响产品质量或者不能诚信履约的其他情形。</w:t>
      </w:r>
    </w:p>
    <w:p w14:paraId="5013DB41">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3.4.2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w:t>
      </w:r>
      <w:r>
        <w:rPr>
          <w:rFonts w:hint="eastAsia" w:ascii="宋体" w:hAnsi="宋体" w:eastAsia="宋体" w:cs="宋体"/>
          <w:b/>
          <w:bCs/>
          <w:color w:val="auto"/>
          <w:kern w:val="2"/>
          <w:sz w:val="21"/>
          <w:szCs w:val="21"/>
          <w:highlight w:val="none"/>
          <w:u w:val="none"/>
          <w:lang w:val="en-US" w:eastAsia="zh-CN" w:bidi="ar"/>
        </w:rPr>
        <w:t>不限于人工成本（银行工资发放流水记录）、服务器具使用费（采购原始发票或租赁费支付发票）、企业管理费测算等</w:t>
      </w:r>
      <w:r>
        <w:rPr>
          <w:rFonts w:hint="eastAsia" w:ascii="宋体" w:hAnsi="宋体" w:eastAsia="宋体" w:cs="宋体"/>
          <w:color w:val="auto"/>
          <w:kern w:val="2"/>
          <w:sz w:val="21"/>
          <w:szCs w:val="21"/>
          <w:highlight w:val="none"/>
          <w:u w:val="none"/>
          <w:lang w:val="en-US" w:eastAsia="zh-CN" w:bidi="ar"/>
        </w:rPr>
        <w:t>，给予相关供应商的合理时间一般不少于30分钟。其中，属于第③项情形，供应商已随投标（响应）文件一并提交相关书面说明及必要的证明材料的，在评审现场可不再重复提交。</w:t>
      </w:r>
    </w:p>
    <w:p w14:paraId="5516B745">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default"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6C9ED59">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遭守评审工作纪律，不得实施影响评审公正的行为。</w:t>
      </w:r>
    </w:p>
    <w:p w14:paraId="62330962">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异常低价响应审查的启动原因，审查意见和审查结果应当在评审报告中记录，并随供应商提供的相关书面说明及证明材料以及评审委员会有关互联网浏览查询历史一并归档。</w:t>
      </w:r>
    </w:p>
    <w:p w14:paraId="2C3D138A">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3.5最低报价不能作为成交的保证。</w:t>
      </w:r>
    </w:p>
    <w:p w14:paraId="0FA30D9B">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3.6供应商的报价不得超过采购项目最高限价。</w:t>
      </w:r>
    </w:p>
    <w:p w14:paraId="373D1A22">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lang w:val="en-US" w:eastAsia="zh-CN"/>
        </w:rPr>
        <w:t>4</w:t>
      </w:r>
      <w:r>
        <w:rPr>
          <w:rFonts w:hint="eastAsia" w:ascii="宋体" w:hAnsi="宋体" w:cs="宋体"/>
          <w:color w:val="auto"/>
          <w:szCs w:val="21"/>
          <w:highlight w:val="none"/>
          <w:u w:val="none"/>
        </w:rPr>
        <w:t>.磋商响应有效期</w:t>
      </w:r>
    </w:p>
    <w:p w14:paraId="57F6A0CA">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bCs/>
          <w:color w:val="auto"/>
          <w:szCs w:val="21"/>
          <w:highlight w:val="none"/>
          <w:u w:val="none"/>
          <w:lang w:val="en-US" w:eastAsia="zh-CN"/>
        </w:rPr>
        <w:t>4</w:t>
      </w:r>
      <w:r>
        <w:rPr>
          <w:rFonts w:hint="eastAsia" w:ascii="宋体" w:hAnsi="宋体" w:cs="宋体"/>
          <w:bCs/>
          <w:color w:val="auto"/>
          <w:szCs w:val="21"/>
          <w:highlight w:val="none"/>
          <w:u w:val="none"/>
        </w:rPr>
        <w:t>.1磋商响应有效期为采购文件规定的响应文件</w:t>
      </w:r>
      <w:r>
        <w:rPr>
          <w:rFonts w:hint="eastAsia" w:ascii="宋体" w:hAnsi="宋体" w:cs="宋体"/>
          <w:color w:val="auto"/>
          <w:szCs w:val="21"/>
          <w:highlight w:val="none"/>
          <w:u w:val="none"/>
        </w:rPr>
        <w:t>提交</w:t>
      </w:r>
      <w:r>
        <w:rPr>
          <w:rFonts w:hint="eastAsia" w:ascii="宋体" w:hAnsi="宋体" w:cs="宋体"/>
          <w:bCs/>
          <w:color w:val="auto"/>
          <w:szCs w:val="21"/>
          <w:highlight w:val="none"/>
          <w:u w:val="none"/>
        </w:rPr>
        <w:t>截止时间后</w:t>
      </w:r>
      <w:r>
        <w:rPr>
          <w:rFonts w:hint="eastAsia" w:ascii="宋体" w:hAnsi="宋体" w:cs="宋体"/>
          <w:b/>
          <w:color w:val="auto"/>
          <w:szCs w:val="21"/>
          <w:highlight w:val="none"/>
          <w:u w:val="none"/>
        </w:rPr>
        <w:t>六十（60）天</w:t>
      </w:r>
      <w:r>
        <w:rPr>
          <w:rFonts w:hint="eastAsia" w:ascii="宋体" w:hAnsi="宋体" w:cs="宋体"/>
          <w:bCs/>
          <w:color w:val="auto"/>
          <w:szCs w:val="21"/>
          <w:highlight w:val="none"/>
          <w:u w:val="none"/>
        </w:rPr>
        <w:t>。磋</w:t>
      </w:r>
      <w:r>
        <w:rPr>
          <w:rFonts w:hint="eastAsia" w:ascii="宋体" w:hAnsi="宋体" w:cs="宋体"/>
          <w:color w:val="auto"/>
          <w:szCs w:val="21"/>
          <w:highlight w:val="none"/>
          <w:u w:val="none"/>
        </w:rPr>
        <w:t>商响应有效期比规定短的将被视为非实质性响应而予以拒绝。</w:t>
      </w:r>
    </w:p>
    <w:p w14:paraId="4BAC9456">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lang w:val="en-US" w:eastAsia="zh-CN"/>
        </w:rPr>
        <w:t>4.2</w:t>
      </w:r>
      <w:r>
        <w:rPr>
          <w:rFonts w:hint="eastAsia" w:ascii="宋体" w:hAnsi="宋体" w:cs="宋体"/>
          <w:color w:val="auto"/>
          <w:szCs w:val="21"/>
          <w:highlight w:val="none"/>
          <w:u w:val="none"/>
        </w:rPr>
        <w:t>磋商响应有效期的延长</w:t>
      </w:r>
    </w:p>
    <w:p w14:paraId="13B8A4CC">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p>
    <w:p w14:paraId="26863FD5">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5.电子响应文件其他要求</w:t>
      </w:r>
    </w:p>
    <w:p w14:paraId="70B8A272">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5.1电子招标投标交易平台（即“苏采云”系统）相关要求是本采购文件的组成部分。</w:t>
      </w:r>
    </w:p>
    <w:p w14:paraId="629215FA">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5.2供应商应对CA证书妥善保管，如被他人盗用投标，因此带来的后果均由供应商自行承担。</w:t>
      </w:r>
    </w:p>
    <w:p w14:paraId="01736771">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5.3供应商应当对采购文件提出的实质性要求和条件作出实质性响应，并在电子投标系统逐条应答。</w:t>
      </w:r>
    </w:p>
    <w:p w14:paraId="485F1797">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5.4供应商应对要求提供的资格证明文件（如资质证书、资格证书）、技术资料（如白皮书、彩页、手册、检测报告等）扫描上传至投标系统。 </w:t>
      </w:r>
    </w:p>
    <w:p w14:paraId="314655E3">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6.供应商应当在采购文件要求提交响应文件的截止时间前，将响应文件提交至“苏采云”系统，逾期提交的响应文件，“苏采云”系统将自动拒收。各供应商应在规定时间内凭CA证书进行网上解密。</w:t>
      </w:r>
    </w:p>
    <w:p w14:paraId="53E9829F">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2" w:firstLineChars="200"/>
        <w:jc w:val="both"/>
        <w:rPr>
          <w:rFonts w:hint="eastAsia" w:ascii="宋体" w:hAnsi="宋体" w:eastAsia="宋体" w:cs="宋体"/>
          <w:b/>
          <w:bCs/>
          <w:color w:val="auto"/>
          <w:kern w:val="2"/>
          <w:sz w:val="21"/>
          <w:szCs w:val="21"/>
          <w:highlight w:val="none"/>
          <w:u w:val="none"/>
          <w:lang w:val="en-US" w:eastAsia="zh-CN" w:bidi="ar"/>
        </w:rPr>
      </w:pPr>
      <w:r>
        <w:rPr>
          <w:rFonts w:hint="eastAsia" w:ascii="宋体" w:hAnsi="宋体" w:cs="宋体"/>
          <w:b/>
          <w:bCs/>
          <w:color w:val="auto"/>
          <w:kern w:val="2"/>
          <w:sz w:val="21"/>
          <w:szCs w:val="21"/>
          <w:highlight w:val="none"/>
          <w:u w:val="none"/>
          <w:lang w:val="en-US" w:eastAsia="zh-CN" w:bidi="ar"/>
        </w:rPr>
        <w:t>四、</w:t>
      </w:r>
      <w:r>
        <w:rPr>
          <w:rFonts w:hint="eastAsia" w:ascii="宋体" w:hAnsi="宋体" w:eastAsia="宋体" w:cs="宋体"/>
          <w:b/>
          <w:bCs/>
          <w:color w:val="auto"/>
          <w:kern w:val="2"/>
          <w:sz w:val="21"/>
          <w:szCs w:val="21"/>
          <w:highlight w:val="none"/>
          <w:u w:val="none"/>
          <w:lang w:val="en-US" w:eastAsia="zh-CN" w:bidi="ar"/>
        </w:rPr>
        <w:t>响应文件的递交</w:t>
      </w:r>
    </w:p>
    <w:p w14:paraId="555A9491">
      <w:pPr>
        <w:pageBreakBefore w:val="0"/>
        <w:kinsoku/>
        <w:topLinePunct w:val="0"/>
        <w:bidi w:val="0"/>
        <w:spacing w:line="360" w:lineRule="auto"/>
        <w:ind w:firstLine="480"/>
        <w:rPr>
          <w:rFonts w:hint="eastAsia" w:ascii="宋体" w:hAnsi="宋体" w:cs="宋体"/>
          <w:color w:val="auto"/>
          <w:szCs w:val="21"/>
          <w:highlight w:val="none"/>
          <w:u w:val="none"/>
        </w:rPr>
      </w:pPr>
      <w:bookmarkStart w:id="99" w:name="_Toc16938541"/>
      <w:bookmarkStart w:id="100" w:name="_Toc462564084"/>
      <w:bookmarkStart w:id="101" w:name="_Toc20823297"/>
      <w:bookmarkStart w:id="102" w:name="_Toc513029225"/>
      <w:r>
        <w:rPr>
          <w:rFonts w:hint="eastAsia" w:ascii="宋体" w:hAnsi="宋体" w:cs="宋体"/>
          <w:color w:val="auto"/>
          <w:szCs w:val="21"/>
          <w:highlight w:val="none"/>
          <w:u w:val="none"/>
        </w:rPr>
        <w:t>1.响应文件</w:t>
      </w:r>
      <w:bookmarkEnd w:id="99"/>
      <w:bookmarkEnd w:id="100"/>
      <w:bookmarkEnd w:id="101"/>
      <w:bookmarkEnd w:id="102"/>
      <w:r>
        <w:rPr>
          <w:rFonts w:hint="eastAsia" w:ascii="宋体" w:hAnsi="宋体" w:cs="宋体"/>
          <w:color w:val="auto"/>
          <w:szCs w:val="21"/>
          <w:highlight w:val="none"/>
          <w:u w:val="none"/>
        </w:rPr>
        <w:t>的提交</w:t>
      </w:r>
    </w:p>
    <w:p w14:paraId="0F026AF3">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lang w:val="en-US" w:eastAsia="zh-CN"/>
        </w:rPr>
        <w:t>1.1</w:t>
      </w:r>
      <w:r>
        <w:rPr>
          <w:rFonts w:hint="eastAsia" w:ascii="宋体" w:hAnsi="宋体" w:cs="宋体"/>
          <w:color w:val="auto"/>
          <w:szCs w:val="21"/>
          <w:highlight w:val="none"/>
          <w:u w:val="none"/>
        </w:rPr>
        <w:t>线上提交与接收地点：供应商应当通过“苏采云”系统提交数据电文形式的响应文件（即电子投标），“苏采云”系统自动接收。</w:t>
      </w:r>
    </w:p>
    <w:p w14:paraId="1846D915">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lang w:val="en-US" w:eastAsia="zh-CN"/>
        </w:rPr>
        <w:t>1.2</w:t>
      </w:r>
      <w:r>
        <w:rPr>
          <w:rFonts w:hint="eastAsia" w:ascii="宋体" w:hAnsi="宋体" w:cs="宋体"/>
          <w:color w:val="auto"/>
          <w:szCs w:val="21"/>
          <w:highlight w:val="none"/>
          <w:u w:val="none"/>
        </w:rPr>
        <w:t>通过“苏采云”系统提交政府采购客户端工具导出加密的响应文件（后缀名为zip）。</w:t>
      </w:r>
      <w:r>
        <w:rPr>
          <w:rFonts w:hint="eastAsia" w:ascii="宋体" w:hAnsi="宋体" w:cs="宋体"/>
          <w:b/>
          <w:bCs/>
          <w:color w:val="auto"/>
          <w:szCs w:val="21"/>
          <w:highlight w:val="none"/>
          <w:u w:val="none"/>
        </w:rPr>
        <w:t>响应文件不得超过150M</w:t>
      </w:r>
      <w:r>
        <w:rPr>
          <w:rFonts w:hint="eastAsia" w:ascii="宋体" w:hAnsi="宋体" w:cs="宋体"/>
          <w:color w:val="auto"/>
          <w:szCs w:val="21"/>
          <w:highlight w:val="none"/>
          <w:u w:val="none"/>
        </w:rPr>
        <w:t>！</w:t>
      </w:r>
    </w:p>
    <w:p w14:paraId="702B419D">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2.提交响应文件截止日期</w:t>
      </w:r>
    </w:p>
    <w:p w14:paraId="46812822">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2.1供应商上传电子响应文件的时间不得迟于竞争性磋商公告中规定的响应文件提交截止时间。</w:t>
      </w:r>
    </w:p>
    <w:p w14:paraId="63ED832E">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供应商应充分考虑网络环境、网络带宽等风险因素，如因供应商自身原因造成的电子响应文件上传不成功由供应商自行承担全部责任。</w:t>
      </w:r>
    </w:p>
    <w:p w14:paraId="29CE6BF5">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2.2采购人或采购代理机构可以按照规定，通过修改响应文件酌情延长响应文件提交截止日期，在此情况下，供应商的所有权利和义务以及供应商受制的截止日期均应以延长后新的截止日期为准。</w:t>
      </w:r>
    </w:p>
    <w:p w14:paraId="6F104D39">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3.响应文件的密封（加密）要求：</w:t>
      </w:r>
    </w:p>
    <w:p w14:paraId="5F6F7EE3">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3.1供应商应当按照采购文件和“苏采云”系统的要求编制并加密响应文件。本项目供应商须通过“苏采云”系统提供的政府采购客户端工具（使用“CA数字证书”）对其数据电文形式的响应文件加密。</w:t>
      </w:r>
    </w:p>
    <w:p w14:paraId="5363BBFB">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3.2供应商须通过“苏采云”系统提供的政府采购客户端工具（使用“CA数字证书”）加盖电子签章。</w:t>
      </w:r>
    </w:p>
    <w:p w14:paraId="342F6D24">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说明：供应商应使用CA数字证书以及自备的能够登录“苏采云”系统的电脑，在达到开标时间后，使用CA数字证书解密各自响应文件。</w:t>
      </w:r>
    </w:p>
    <w:p w14:paraId="1A7AD991">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3.3供应商未按规定加密的响应文件，“苏采云”系统将拒收并提示。</w:t>
      </w:r>
    </w:p>
    <w:p w14:paraId="75F96132">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4.响应文件的拒收</w:t>
      </w:r>
    </w:p>
    <w:p w14:paraId="7B12ACFA">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“苏采云”系统拒绝接收在规定的响应文件提交截止时间后上传的任何响应文件。</w:t>
      </w:r>
    </w:p>
    <w:p w14:paraId="1682EFBB">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5.响应文件的撤回和修改</w:t>
      </w:r>
    </w:p>
    <w:p w14:paraId="3833849E">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5.</w:t>
      </w:r>
      <w:r>
        <w:rPr>
          <w:rFonts w:hint="eastAsia" w:ascii="宋体" w:hAnsi="宋体" w:cs="宋体"/>
          <w:color w:val="auto"/>
          <w:szCs w:val="21"/>
          <w:highlight w:val="none"/>
          <w:u w:val="none"/>
          <w:lang w:val="en-US" w:eastAsia="zh-CN"/>
        </w:rPr>
        <w:t>1</w:t>
      </w:r>
      <w:r>
        <w:rPr>
          <w:rFonts w:hint="eastAsia" w:ascii="宋体" w:hAnsi="宋体" w:cs="宋体"/>
          <w:color w:val="auto"/>
          <w:szCs w:val="21"/>
          <w:highlight w:val="none"/>
          <w:u w:val="none"/>
        </w:rPr>
        <w:t>响应文件的撤回</w:t>
      </w:r>
    </w:p>
    <w:p w14:paraId="2B737745">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5.1.1电子响应文件的撤回</w:t>
      </w:r>
    </w:p>
    <w:p w14:paraId="07B34BB1">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供应商可在响应文件提交截止时间前，撤回其电子响应文件，具体操作方法见“苏采云”系统供应商操作手册。</w:t>
      </w:r>
    </w:p>
    <w:p w14:paraId="046B6C91">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5.1.2供应商撤回电子响应文件，则认为其不再参与本项目竞争性磋商活动。</w:t>
      </w:r>
    </w:p>
    <w:p w14:paraId="2830B10C">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5.2响应文件的修改</w:t>
      </w:r>
    </w:p>
    <w:p w14:paraId="6F04DFF0">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供应商可在响应文件提交截止时间前，对其电子响应文件进行修改。具体操作方法见“苏采云”系统供应商操作手册。</w:t>
      </w:r>
    </w:p>
    <w:p w14:paraId="290FFE70">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5.3在响应文件提交截止时间之后，供应商不得对其电子响应文件做任何修改。</w:t>
      </w:r>
    </w:p>
    <w:p w14:paraId="65A0D917">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5.4在响应文件提交截止时间至磋商文件中规定的磋商响应有效期满之间的这段时间内，供应商不得撤回其响应文件。</w:t>
      </w:r>
    </w:p>
    <w:p w14:paraId="31F9B333">
      <w:pPr>
        <w:pageBreakBefore w:val="0"/>
        <w:kinsoku/>
        <w:topLinePunct w:val="0"/>
        <w:bidi w:val="0"/>
        <w:spacing w:line="360" w:lineRule="auto"/>
        <w:ind w:firstLine="482"/>
        <w:rPr>
          <w:rFonts w:hint="eastAsia" w:ascii="宋体" w:hAnsi="宋体" w:cs="宋体"/>
          <w:b/>
          <w:color w:val="auto"/>
          <w:szCs w:val="21"/>
          <w:highlight w:val="none"/>
          <w:u w:val="none"/>
        </w:rPr>
      </w:pPr>
      <w:r>
        <w:rPr>
          <w:rFonts w:hint="eastAsia" w:ascii="宋体" w:hAnsi="宋体" w:cs="宋体"/>
          <w:b/>
          <w:color w:val="auto"/>
          <w:szCs w:val="21"/>
          <w:highlight w:val="none"/>
          <w:u w:val="none"/>
          <w:lang w:val="en-US" w:eastAsia="zh-CN"/>
        </w:rPr>
        <w:t>注：</w:t>
      </w:r>
      <w:r>
        <w:rPr>
          <w:rFonts w:hint="eastAsia" w:ascii="宋体" w:hAnsi="宋体" w:cs="宋体"/>
          <w:b/>
          <w:color w:val="auto"/>
          <w:szCs w:val="21"/>
          <w:highlight w:val="none"/>
          <w:u w:val="none"/>
        </w:rPr>
        <w:t>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30分钟之内完成。因供应商网络与电源不稳定、未按操作手册要求配置软硬件、解密锁发生故障或用错、故意不在要</w:t>
      </w:r>
      <w:r>
        <w:rPr>
          <w:rFonts w:hint="eastAsia" w:ascii="宋体" w:hAnsi="宋体" w:cs="宋体"/>
          <w:b/>
          <w:color w:val="auto"/>
          <w:szCs w:val="21"/>
          <w:highlight w:val="none"/>
          <w:u w:val="none"/>
          <w:lang w:eastAsia="zh-CN"/>
        </w:rPr>
        <w:t>求的</w:t>
      </w:r>
      <w:r>
        <w:rPr>
          <w:rFonts w:hint="eastAsia" w:ascii="宋体" w:hAnsi="宋体" w:cs="宋体"/>
          <w:b/>
          <w:color w:val="auto"/>
          <w:szCs w:val="21"/>
          <w:highlight w:val="none"/>
          <w:u w:val="none"/>
        </w:rPr>
        <w:t>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14:paraId="0BFD7A19">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2" w:firstLineChars="200"/>
        <w:jc w:val="both"/>
        <w:rPr>
          <w:rFonts w:hint="eastAsia" w:ascii="宋体" w:hAnsi="宋体" w:eastAsia="宋体" w:cs="宋体"/>
          <w:b/>
          <w:bCs/>
          <w:color w:val="auto"/>
          <w:kern w:val="2"/>
          <w:sz w:val="21"/>
          <w:szCs w:val="21"/>
          <w:highlight w:val="none"/>
          <w:u w:val="none"/>
          <w:lang w:val="en-US" w:eastAsia="zh-CN" w:bidi="ar"/>
        </w:rPr>
      </w:pPr>
      <w:r>
        <w:rPr>
          <w:rFonts w:hint="eastAsia" w:ascii="宋体" w:hAnsi="宋体" w:eastAsia="宋体" w:cs="宋体"/>
          <w:b/>
          <w:bCs/>
          <w:color w:val="auto"/>
          <w:kern w:val="2"/>
          <w:sz w:val="21"/>
          <w:szCs w:val="21"/>
          <w:highlight w:val="none"/>
          <w:u w:val="none"/>
          <w:lang w:val="en-US" w:eastAsia="zh-CN" w:bidi="ar"/>
        </w:rPr>
        <w:t>四、磋商与评审</w:t>
      </w:r>
    </w:p>
    <w:p w14:paraId="1F70BC4B">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2" w:firstLineChars="200"/>
        <w:jc w:val="both"/>
        <w:rPr>
          <w:rFonts w:hint="eastAsia" w:ascii="宋体" w:hAnsi="宋体" w:eastAsia="宋体" w:cs="宋体"/>
          <w:b/>
          <w:bCs/>
          <w:color w:val="auto"/>
          <w:kern w:val="2"/>
          <w:sz w:val="21"/>
          <w:szCs w:val="21"/>
          <w:highlight w:val="none"/>
          <w:u w:val="none"/>
          <w:lang w:val="en-US" w:eastAsia="zh-CN" w:bidi="ar"/>
        </w:rPr>
      </w:pPr>
      <w:r>
        <w:rPr>
          <w:rFonts w:hint="eastAsia" w:ascii="宋体" w:hAnsi="宋体" w:eastAsia="宋体" w:cs="宋体"/>
          <w:b/>
          <w:bCs/>
          <w:color w:val="auto"/>
          <w:kern w:val="2"/>
          <w:sz w:val="21"/>
          <w:szCs w:val="21"/>
          <w:highlight w:val="none"/>
          <w:u w:val="none"/>
          <w:lang w:val="en-US" w:eastAsia="zh-CN" w:bidi="ar"/>
        </w:rPr>
        <w:t>1.磋商会议</w:t>
      </w:r>
    </w:p>
    <w:p w14:paraId="718EA4BE">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采购人或采购代理机构将在磋商公告中规定的时间和地点组织磋商开始仪式。</w:t>
      </w:r>
    </w:p>
    <w:p w14:paraId="5ACAAE2E">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2" w:firstLineChars="200"/>
        <w:jc w:val="both"/>
        <w:rPr>
          <w:rFonts w:hint="eastAsia" w:ascii="宋体" w:hAnsi="宋体" w:eastAsia="宋体" w:cs="宋体"/>
          <w:b/>
          <w:bCs/>
          <w:color w:val="auto"/>
          <w:kern w:val="2"/>
          <w:sz w:val="21"/>
          <w:szCs w:val="21"/>
          <w:highlight w:val="none"/>
          <w:u w:val="none"/>
          <w:lang w:val="en-US" w:eastAsia="zh-CN" w:bidi="ar"/>
        </w:rPr>
      </w:pPr>
      <w:r>
        <w:rPr>
          <w:rFonts w:hint="eastAsia" w:ascii="宋体" w:hAnsi="宋体" w:eastAsia="宋体" w:cs="宋体"/>
          <w:b/>
          <w:bCs/>
          <w:color w:val="auto"/>
          <w:kern w:val="2"/>
          <w:sz w:val="21"/>
          <w:szCs w:val="21"/>
          <w:highlight w:val="none"/>
          <w:u w:val="none"/>
          <w:lang w:val="en-US" w:eastAsia="zh-CN" w:bidi="ar"/>
        </w:rPr>
        <w:t>2.磋商小组</w:t>
      </w:r>
    </w:p>
    <w:p w14:paraId="18B97674">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eastAsia="宋体" w:cs="宋体"/>
          <w:color w:val="auto"/>
          <w:kern w:val="2"/>
          <w:sz w:val="21"/>
          <w:szCs w:val="21"/>
          <w:highlight w:val="none"/>
          <w:u w:val="none"/>
          <w:lang w:val="en-US" w:eastAsia="zh-CN" w:bidi="ar"/>
        </w:rPr>
        <w:t>2.1 磋商会议结束后，代理机构将组织磋商小组进行评审。</w:t>
      </w:r>
    </w:p>
    <w:p w14:paraId="17978D93">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eastAsia="宋体" w:cs="宋体"/>
          <w:color w:val="auto"/>
          <w:kern w:val="2"/>
          <w:sz w:val="21"/>
          <w:szCs w:val="21"/>
          <w:highlight w:val="none"/>
          <w:u w:val="none"/>
          <w:lang w:val="en-US" w:eastAsia="zh-CN" w:bidi="ar"/>
        </w:rPr>
        <w:t>2.2代理机构及采购人将根据本采购项目的特点组建磋商小组，由三人以上（含三人）单数组成，将对实质性响应报价文件要求的报价文件进行评价和比较，并采用相同的程序和标准。</w:t>
      </w:r>
    </w:p>
    <w:p w14:paraId="4BB2D24E">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2" w:firstLineChars="200"/>
        <w:jc w:val="both"/>
        <w:rPr>
          <w:rFonts w:hint="eastAsia" w:ascii="宋体" w:hAnsi="宋体" w:eastAsia="宋体" w:cs="宋体"/>
          <w:b/>
          <w:bCs/>
          <w:color w:val="auto"/>
          <w:kern w:val="2"/>
          <w:sz w:val="21"/>
          <w:szCs w:val="21"/>
          <w:highlight w:val="none"/>
          <w:u w:val="none"/>
          <w:lang w:val="en-US" w:eastAsia="zh-CN" w:bidi="ar"/>
        </w:rPr>
      </w:pPr>
      <w:r>
        <w:rPr>
          <w:rFonts w:hint="eastAsia" w:ascii="宋体" w:hAnsi="宋体" w:eastAsia="宋体" w:cs="宋体"/>
          <w:b/>
          <w:bCs/>
          <w:color w:val="auto"/>
          <w:kern w:val="2"/>
          <w:sz w:val="21"/>
          <w:szCs w:val="21"/>
          <w:highlight w:val="none"/>
          <w:u w:val="none"/>
          <w:lang w:val="en-US" w:eastAsia="zh-CN" w:bidi="ar"/>
        </w:rPr>
        <w:t>3.磋商评审过程的保密与公正</w:t>
      </w:r>
    </w:p>
    <w:p w14:paraId="26975096">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eastAsia="宋体" w:cs="宋体"/>
          <w:color w:val="auto"/>
          <w:kern w:val="2"/>
          <w:sz w:val="21"/>
          <w:szCs w:val="21"/>
          <w:highlight w:val="none"/>
          <w:u w:val="none"/>
          <w:lang w:val="en-US" w:eastAsia="zh-CN" w:bidi="ar"/>
        </w:rPr>
        <w:t>3.1磋商小组、采购人和代理机构工作人员、相关监督人员等与评审工作有关的人员，对评审情况以及在评审过程中获悉的国家秘密、商业秘密负有保密责任。</w:t>
      </w:r>
    </w:p>
    <w:p w14:paraId="380CEA6A">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eastAsia="宋体" w:cs="宋体"/>
          <w:color w:val="auto"/>
          <w:kern w:val="2"/>
          <w:sz w:val="21"/>
          <w:szCs w:val="21"/>
          <w:highlight w:val="none"/>
          <w:u w:val="none"/>
          <w:lang w:val="en-US" w:eastAsia="zh-CN" w:bidi="ar"/>
        </w:rPr>
        <w:t>3.2在磋商评审过程中，磋商供应商不得以任何行为影响磋商评审过程，否则其响应文件将被视为无效响应文件。</w:t>
      </w:r>
    </w:p>
    <w:p w14:paraId="5FBF09DB">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eastAsia="宋体" w:cs="宋体"/>
          <w:color w:val="auto"/>
          <w:kern w:val="2"/>
          <w:sz w:val="21"/>
          <w:szCs w:val="21"/>
          <w:highlight w:val="none"/>
          <w:u w:val="none"/>
          <w:lang w:val="en-US" w:eastAsia="zh-CN" w:bidi="ar"/>
        </w:rPr>
        <w:t>3.3磋商小组成员应当按照客观、公正、审慎的原则，根据采购文件规定的评审程序、评审方法和评审标准进行独立评审。未实质性响应采购文件的响应文件按无效响应处理，磋商小组应当告知提交响应文件的供应商。</w:t>
      </w:r>
    </w:p>
    <w:p w14:paraId="61201338">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2" w:firstLineChars="200"/>
        <w:jc w:val="both"/>
        <w:rPr>
          <w:rFonts w:hint="eastAsia" w:ascii="宋体" w:hAnsi="宋体" w:eastAsia="宋体" w:cs="宋体"/>
          <w:b/>
          <w:bCs/>
          <w:color w:val="auto"/>
          <w:kern w:val="2"/>
          <w:sz w:val="21"/>
          <w:szCs w:val="21"/>
          <w:highlight w:val="none"/>
          <w:u w:val="none"/>
          <w:lang w:val="en-US" w:eastAsia="zh-CN" w:bidi="ar"/>
        </w:rPr>
      </w:pPr>
      <w:r>
        <w:rPr>
          <w:rFonts w:hint="eastAsia" w:ascii="宋体" w:hAnsi="宋体" w:eastAsia="宋体" w:cs="宋体"/>
          <w:b/>
          <w:bCs/>
          <w:color w:val="auto"/>
          <w:kern w:val="2"/>
          <w:sz w:val="21"/>
          <w:szCs w:val="21"/>
          <w:highlight w:val="none"/>
          <w:u w:val="none"/>
          <w:lang w:val="en-US" w:eastAsia="zh-CN" w:bidi="ar"/>
        </w:rPr>
        <w:t>4.评审过程的澄清、说明和更正</w:t>
      </w:r>
    </w:p>
    <w:p w14:paraId="16DE87E7">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szCs w:val="21"/>
          <w:highlight w:val="none"/>
          <w:u w:val="none"/>
          <w:lang w:val="en-US"/>
        </w:rPr>
      </w:pPr>
      <w:r>
        <w:rPr>
          <w:rFonts w:hint="eastAsia" w:ascii="宋体" w:hAnsi="宋体" w:eastAsia="宋体" w:cs="宋体"/>
          <w:color w:val="auto"/>
          <w:kern w:val="2"/>
          <w:sz w:val="21"/>
          <w:szCs w:val="21"/>
          <w:highlight w:val="none"/>
          <w:u w:val="none"/>
          <w:lang w:val="en-US" w:eastAsia="zh-CN" w:bidi="ar"/>
        </w:rPr>
        <w:t>4.1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7FEBA5A8">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4.2接到磋商小组要求的供应商应派人按磋商小组通知的时间和地点做出书面澄清、说明或更正。供应商的澄清、说明或者更正应当由法定代表人或授权代表签字或者加盖公章。由授权代表签字的，应当附法定代表人授权书原件。供应商为自然人的，应当由本人签字并附身份证明，原件评审现场出示。</w:t>
      </w:r>
    </w:p>
    <w:p w14:paraId="22D35231">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4.3 接到磋商小组澄清要求的供应商如未按规定作出澄清，其风险由供应商自行承担。</w:t>
      </w:r>
    </w:p>
    <w:p w14:paraId="5951F126">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2" w:firstLineChars="200"/>
        <w:jc w:val="both"/>
        <w:rPr>
          <w:rFonts w:hint="eastAsia" w:ascii="宋体" w:hAnsi="宋体" w:eastAsia="宋体" w:cs="宋体"/>
          <w:b/>
          <w:bCs/>
          <w:color w:val="auto"/>
          <w:kern w:val="2"/>
          <w:sz w:val="21"/>
          <w:szCs w:val="21"/>
          <w:highlight w:val="none"/>
          <w:u w:val="none"/>
          <w:lang w:val="en-US" w:eastAsia="zh-CN" w:bidi="ar"/>
        </w:rPr>
      </w:pPr>
      <w:r>
        <w:rPr>
          <w:rFonts w:hint="eastAsia" w:ascii="宋体" w:hAnsi="宋体" w:eastAsia="宋体" w:cs="宋体"/>
          <w:b/>
          <w:bCs/>
          <w:color w:val="auto"/>
          <w:kern w:val="2"/>
          <w:sz w:val="21"/>
          <w:szCs w:val="21"/>
          <w:highlight w:val="none"/>
          <w:u w:val="none"/>
          <w:lang w:val="en-US" w:eastAsia="zh-CN" w:bidi="ar"/>
        </w:rPr>
        <w:t>5.初步审查</w:t>
      </w:r>
    </w:p>
    <w:p w14:paraId="2BE8F423">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5.1磋商小组应当对供应商提交的首次响应文件进行初步审查，包括响应文件的有效性、完整性、符合性。除可变动的技术、服务要求以及合同草案条款外，首次提交的响应文件有下列情况之一，其响应文件无效，磋商小组应当告知有关供应商。</w:t>
      </w:r>
    </w:p>
    <w:p w14:paraId="5DB2D7F9">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（1）供应商未按照磋商文件规定要求密封、签署、盖章的；</w:t>
      </w:r>
    </w:p>
    <w:p w14:paraId="0FAFAD6A">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（2）响应有效期不足的；</w:t>
      </w:r>
    </w:p>
    <w:p w14:paraId="62215B20">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（3）供应商不满足磋商文件供应商资格条件或未按照磋商文件规定提供资格证明材料的；</w:t>
      </w:r>
    </w:p>
    <w:p w14:paraId="44543754">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（4）响应文件不满足磋商文件实质性条款的。响应文件是否实质性响应磋商文件，由磋商小组依据磋商文件规定、供应商响应文件及磋商情况认定；</w:t>
      </w:r>
    </w:p>
    <w:p w14:paraId="36105AF8">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（5）供应商存在失信记录的：</w:t>
      </w:r>
    </w:p>
    <w:p w14:paraId="538D7FF3">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失信记录是指，通过“信用中国”网站（)、中国政府采购网（)查询相关主体信用记录，列入失信被执行人、重大税收违法失信主体名单、政府采购严重违法失信行为记录名单及其他不符合《中华人民共和国政府采购法》第二十二条规定条件的情况。失信情况查询详见供应商须知前附表；</w:t>
      </w:r>
    </w:p>
    <w:p w14:paraId="6FEBC001">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（6）其他不符合法律、规章、规范性文件和磋商文件规定的。</w:t>
      </w:r>
    </w:p>
    <w:p w14:paraId="0BC5583D">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2" w:firstLineChars="200"/>
        <w:jc w:val="both"/>
        <w:rPr>
          <w:rFonts w:hint="eastAsia" w:ascii="宋体" w:hAnsi="宋体" w:eastAsia="宋体" w:cs="宋体"/>
          <w:b/>
          <w:bCs/>
          <w:color w:val="auto"/>
          <w:kern w:val="2"/>
          <w:sz w:val="21"/>
          <w:szCs w:val="21"/>
          <w:highlight w:val="none"/>
          <w:u w:val="none"/>
          <w:lang w:val="en-US" w:eastAsia="zh-CN" w:bidi="ar"/>
        </w:rPr>
      </w:pPr>
      <w:r>
        <w:rPr>
          <w:rFonts w:hint="eastAsia" w:ascii="宋体" w:hAnsi="宋体" w:eastAsia="宋体" w:cs="宋体"/>
          <w:b/>
          <w:bCs/>
          <w:color w:val="auto"/>
          <w:kern w:val="2"/>
          <w:sz w:val="21"/>
          <w:szCs w:val="21"/>
          <w:highlight w:val="none"/>
          <w:u w:val="none"/>
          <w:lang w:val="en-US" w:eastAsia="zh-CN" w:bidi="ar"/>
        </w:rPr>
        <w:t>6.澄清</w:t>
      </w:r>
    </w:p>
    <w:p w14:paraId="44744FB2">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6.1磋商小组在对响应文件（包括首次响应文件、重新提交的响应文件）的有效性、完整性和对磋商文件的响应程度进行审查时，可以要求供应商对响应文件中含义不明确、同类问题表述不一致或者有明显文字和计算错误的内容等作出必要的澄清、说明或者更正。该要求应当以书面形式作出。</w:t>
      </w:r>
    </w:p>
    <w:p w14:paraId="185B98D8">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6.2供应商的澄清、说明或者更正应当采用书面形式，由其法定代表人或其授权代表签字，供应商的澄清、说明或者更正不得超出磋商文件的范围或者改变响应文件的实质性内容。</w:t>
      </w:r>
    </w:p>
    <w:p w14:paraId="5699C18B">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6.3关于响应描述（即响应文件中描述的内容）</w:t>
      </w:r>
    </w:p>
    <w:p w14:paraId="3BC5C0AF">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（1）响应描述前后不一致且不涉及证明材料的：按照本节第6.1 条、6.2条规定执行。</w:t>
      </w:r>
    </w:p>
    <w:p w14:paraId="4DE51BCD">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（2）响应描述与证明材料不一致或多份证明材料之间不一致的：</w:t>
      </w:r>
    </w:p>
    <w:p w14:paraId="648DAD7D">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default" w:ascii="Calibri" w:hAnsi="Calibri" w:eastAsia="宋体" w:cs="Calibri"/>
          <w:color w:val="auto"/>
          <w:kern w:val="2"/>
          <w:sz w:val="21"/>
          <w:szCs w:val="21"/>
          <w:highlight w:val="none"/>
          <w:u w:val="none"/>
          <w:lang w:val="en-US" w:eastAsia="zh-CN" w:bidi="ar"/>
        </w:rPr>
        <w:t>①</w:t>
      </w:r>
      <w:r>
        <w:rPr>
          <w:rFonts w:hint="eastAsia" w:ascii="宋体" w:hAnsi="宋体" w:eastAsia="宋体" w:cs="宋体"/>
          <w:color w:val="auto"/>
          <w:kern w:val="2"/>
          <w:sz w:val="21"/>
          <w:szCs w:val="21"/>
          <w:highlight w:val="none"/>
          <w:u w:val="none"/>
          <w:lang w:val="en-US" w:eastAsia="zh-CN" w:bidi="ar"/>
        </w:rPr>
        <w:t>磋商小组将要求供应商进行书面澄清，无法澄清的将按照不利于供应商的内容进行评审。</w:t>
      </w:r>
    </w:p>
    <w:p w14:paraId="2BC4035D">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default" w:ascii="Calibri" w:hAnsi="Calibri" w:eastAsia="宋体" w:cs="Calibri"/>
          <w:color w:val="auto"/>
          <w:kern w:val="2"/>
          <w:sz w:val="21"/>
          <w:szCs w:val="21"/>
          <w:highlight w:val="none"/>
          <w:u w:val="none"/>
          <w:lang w:val="en-US" w:eastAsia="zh-CN" w:bidi="ar"/>
        </w:rPr>
        <w:t>②</w:t>
      </w:r>
      <w:r>
        <w:rPr>
          <w:rFonts w:hint="eastAsia" w:ascii="宋体" w:hAnsi="宋体" w:eastAsia="宋体" w:cs="宋体"/>
          <w:color w:val="auto"/>
          <w:kern w:val="2"/>
          <w:sz w:val="21"/>
          <w:szCs w:val="21"/>
          <w:highlight w:val="none"/>
          <w:u w:val="none"/>
          <w:lang w:val="en-US" w:eastAsia="zh-CN" w:bidi="ar"/>
        </w:rPr>
        <w:t>供应商按照要求进行澄清的，采购人以澄清内容为准进行验收；供应商未按照要求进行澄清的，采购人以响应描述或证明材料中有利于采购人的内容进行验收。供应商应对证明材料的真实性、有效性承担责任。</w:t>
      </w:r>
    </w:p>
    <w:p w14:paraId="363BC69D">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3）若成交供应商的响应描述存在前后不一致、与证明材料不一致或多份证明材料之间不一致情形之一但在磋商中未能发现，则采购人将以响应描述或证明材料中有利于采购人的内容进行验收，成交供应商应自行承担由此产生的风险及费用。</w:t>
      </w:r>
    </w:p>
    <w:p w14:paraId="1E5E188C">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6.4除磋商小组要求供应商做出的澄清、说明或者补正以外，磋商小组不接受供应商的任何询问、说明、更改及文件。</w:t>
      </w:r>
    </w:p>
    <w:p w14:paraId="54FDB6CB">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供应商的澄清必须在规定的时间内提交。</w:t>
      </w:r>
    </w:p>
    <w:p w14:paraId="7B091EAF">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2" w:firstLineChars="200"/>
        <w:jc w:val="both"/>
        <w:rPr>
          <w:rFonts w:hint="eastAsia" w:ascii="宋体" w:hAnsi="宋体" w:eastAsia="宋体" w:cs="宋体"/>
          <w:b/>
          <w:bCs/>
          <w:color w:val="auto"/>
          <w:kern w:val="2"/>
          <w:sz w:val="21"/>
          <w:szCs w:val="21"/>
          <w:highlight w:val="none"/>
          <w:u w:val="none"/>
          <w:lang w:val="en-US" w:eastAsia="zh-CN" w:bidi="ar"/>
        </w:rPr>
      </w:pPr>
      <w:r>
        <w:rPr>
          <w:rFonts w:hint="eastAsia" w:ascii="宋体" w:hAnsi="宋体" w:eastAsia="宋体" w:cs="宋体"/>
          <w:b/>
          <w:bCs/>
          <w:color w:val="auto"/>
          <w:kern w:val="2"/>
          <w:sz w:val="21"/>
          <w:szCs w:val="21"/>
          <w:highlight w:val="none"/>
          <w:u w:val="none"/>
          <w:lang w:val="en-US" w:eastAsia="zh-CN" w:bidi="ar"/>
        </w:rPr>
        <w:t>7.磋商</w:t>
      </w:r>
    </w:p>
    <w:p w14:paraId="45E86FA4">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7.1初审结束后，磋商小组所有成员集中与单一供应商分别进行磋商，并给予所有参加磋商的供应商平等的磋商机会。供应商应派其法定代表人或授权代表参加磋商。</w:t>
      </w:r>
    </w:p>
    <w:p w14:paraId="6F1F4AE3">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7.2磋商过程中，磋商小组可以根据磋商文件和磋商情况实质性变动采购需求中的技术、服务要求以及合同草案条款，但不得变动磋商文件中的其他内容。实质性变动的内容，须经采购人代表确认。</w:t>
      </w:r>
    </w:p>
    <w:p w14:paraId="2DCBB8FA">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7.3对磋商文件作出的实质性变动是磋商文件的有效组成部分，磋商小组应当及时以书面形式同时通知所有参加磋商的供应商。</w:t>
      </w:r>
    </w:p>
    <w:p w14:paraId="7E0B65B3">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7.4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14:paraId="6D87995A">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7.5磋商文件不能详细列明采购标的技术、服务要求，需经磋商由供应商提供最终设计方案或解决方案的，磋商结束后，磋商小组应当按照少数服从多数的原则投票推荐3家以上供应商的设计方案或者解决方案。</w:t>
      </w:r>
    </w:p>
    <w:p w14:paraId="0B094384">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7.6磋商小组应当根据实际情况与供应商进行磋商，并确定磋商的轮次。</w:t>
      </w:r>
    </w:p>
    <w:p w14:paraId="4E925AFA">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7.7已提交响应文件的供应商，在提交最后报价之前，可以根据磋商情况退出磋商。</w:t>
      </w:r>
    </w:p>
    <w:p w14:paraId="1767EE0B">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7.8磋商结束后，供应商按照磋商小组要求重新提交的响应文件，不满足磋商文件及变动后的技术、服务要求以及合同草案条款的实质性要求的，将视为无效响应文件。</w:t>
      </w:r>
    </w:p>
    <w:p w14:paraId="0B0AB39D">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2" w:firstLineChars="200"/>
        <w:jc w:val="both"/>
        <w:rPr>
          <w:rFonts w:hint="eastAsia" w:ascii="宋体" w:hAnsi="宋体" w:eastAsia="宋体" w:cs="宋体"/>
          <w:b/>
          <w:bCs/>
          <w:color w:val="auto"/>
          <w:kern w:val="2"/>
          <w:sz w:val="21"/>
          <w:szCs w:val="21"/>
          <w:highlight w:val="none"/>
          <w:u w:val="none"/>
          <w:lang w:val="en-US" w:eastAsia="zh-CN" w:bidi="ar"/>
        </w:rPr>
      </w:pPr>
      <w:r>
        <w:rPr>
          <w:rFonts w:hint="eastAsia" w:ascii="宋体" w:hAnsi="宋体" w:eastAsia="宋体" w:cs="宋体"/>
          <w:b/>
          <w:bCs/>
          <w:color w:val="auto"/>
          <w:kern w:val="2"/>
          <w:sz w:val="21"/>
          <w:szCs w:val="21"/>
          <w:highlight w:val="none"/>
          <w:u w:val="none"/>
          <w:lang w:val="en-US" w:eastAsia="zh-CN" w:bidi="ar"/>
        </w:rPr>
        <w:t>8.最后报价</w:t>
      </w:r>
    </w:p>
    <w:p w14:paraId="2E86B256">
      <w:pPr>
        <w:pageBreakBefore w:val="0"/>
        <w:kinsoku/>
        <w:topLinePunct w:val="0"/>
        <w:bidi w:val="0"/>
        <w:spacing w:line="360" w:lineRule="auto"/>
        <w:ind w:firstLine="482"/>
        <w:rPr>
          <w:rFonts w:hint="eastAsia" w:ascii="宋体" w:hAnsi="宋体" w:eastAsia="宋体" w:cs="宋体"/>
          <w:b/>
          <w:bCs w:val="0"/>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8.1</w:t>
      </w:r>
      <w:r>
        <w:rPr>
          <w:rFonts w:hint="eastAsia" w:ascii="宋体" w:hAnsi="宋体" w:cs="宋体"/>
          <w:b/>
          <w:color w:val="auto"/>
          <w:szCs w:val="21"/>
          <w:highlight w:val="none"/>
          <w:u w:val="none"/>
        </w:rPr>
        <w:t>各供应商请关注开标大厅交流区，在开标结束后，请勿离开开标大厅，采购人或采购代理机构通知最后报价填报后，所有的响应供应商须在</w:t>
      </w:r>
      <w:r>
        <w:rPr>
          <w:rFonts w:hint="eastAsia" w:ascii="宋体" w:hAnsi="宋体" w:cs="宋体"/>
          <w:b/>
          <w:color w:val="auto"/>
          <w:szCs w:val="21"/>
          <w:highlight w:val="none"/>
          <w:u w:val="none"/>
          <w:lang w:val="en-US" w:eastAsia="zh-CN"/>
        </w:rPr>
        <w:t>15</w:t>
      </w:r>
      <w:r>
        <w:rPr>
          <w:rFonts w:hint="eastAsia" w:ascii="宋体" w:hAnsi="宋体" w:cs="宋体"/>
          <w:b/>
          <w:color w:val="auto"/>
          <w:szCs w:val="21"/>
          <w:highlight w:val="none"/>
          <w:u w:val="none"/>
        </w:rPr>
        <w:t>分钟内填写并提交最后报价</w:t>
      </w:r>
      <w:r>
        <w:rPr>
          <w:rFonts w:hint="eastAsia" w:ascii="宋体" w:hAnsi="宋体" w:cs="宋体"/>
          <w:b/>
          <w:bCs w:val="0"/>
          <w:color w:val="auto"/>
          <w:szCs w:val="21"/>
          <w:highlight w:val="none"/>
          <w:u w:val="none"/>
        </w:rPr>
        <w:t>，</w:t>
      </w:r>
      <w:r>
        <w:rPr>
          <w:rFonts w:hint="eastAsia" w:ascii="宋体" w:hAnsi="宋体" w:eastAsia="宋体" w:cs="宋体"/>
          <w:b/>
          <w:bCs w:val="0"/>
          <w:color w:val="auto"/>
          <w:kern w:val="2"/>
          <w:sz w:val="21"/>
          <w:szCs w:val="21"/>
          <w:highlight w:val="none"/>
          <w:u w:val="none"/>
          <w:lang w:val="en-US" w:eastAsia="zh-CN" w:bidi="ar"/>
        </w:rPr>
        <w:t>提交最后报价的供应商不得少于3家。</w:t>
      </w:r>
      <w:r>
        <w:rPr>
          <w:rFonts w:hint="eastAsia" w:ascii="宋体" w:hAnsi="宋体" w:cs="宋体"/>
          <w:b/>
          <w:bCs w:val="0"/>
          <w:color w:val="auto"/>
          <w:szCs w:val="21"/>
          <w:highlight w:val="none"/>
          <w:u w:val="none"/>
        </w:rPr>
        <w:t>未在规定时间内提交最后报价的，视作无效响应处理。</w:t>
      </w:r>
    </w:p>
    <w:p w14:paraId="26904404">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8.2磋商文件不能详细列明采购标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06A9AD5C">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8.3最后报价是供应商响应文件的有效组成部分。如磋商小组没有对磋商文件作实质性变动或增加新的需求，最后报价不得高于首轮报价。</w:t>
      </w:r>
    </w:p>
    <w:p w14:paraId="3FB8DB99">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2" w:firstLineChars="200"/>
        <w:jc w:val="both"/>
        <w:rPr>
          <w:rFonts w:hint="eastAsia" w:ascii="宋体" w:hAnsi="宋体" w:eastAsia="宋体" w:cs="宋体"/>
          <w:b/>
          <w:bCs/>
          <w:color w:val="auto"/>
          <w:kern w:val="2"/>
          <w:sz w:val="21"/>
          <w:szCs w:val="21"/>
          <w:highlight w:val="none"/>
          <w:u w:val="none"/>
          <w:lang w:val="en-US" w:eastAsia="zh-CN" w:bidi="ar"/>
        </w:rPr>
      </w:pPr>
      <w:r>
        <w:rPr>
          <w:rFonts w:hint="eastAsia" w:ascii="宋体" w:hAnsi="宋体" w:eastAsia="宋体" w:cs="宋体"/>
          <w:b/>
          <w:bCs/>
          <w:color w:val="auto"/>
          <w:kern w:val="2"/>
          <w:sz w:val="21"/>
          <w:szCs w:val="21"/>
          <w:highlight w:val="none"/>
          <w:u w:val="none"/>
          <w:lang w:val="en-US" w:eastAsia="zh-CN" w:bidi="ar"/>
        </w:rPr>
        <w:t>9.最后报价评审</w:t>
      </w:r>
    </w:p>
    <w:p w14:paraId="00B61B01">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9.1最后报价计算错误修正的原则</w:t>
      </w:r>
    </w:p>
    <w:p w14:paraId="77055A2F">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（1）最后报价的大写金额和小写金额不一致的，以大写金额为准。</w:t>
      </w:r>
    </w:p>
    <w:p w14:paraId="5D739982">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（2）总价金额与按分项报价汇总金额不一致的，以分项报价金额计算结果为准。</w:t>
      </w:r>
    </w:p>
    <w:p w14:paraId="37795A44">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（3）分项报价金额小数点有明显错位的，应以总价为准，并修改分项报价。</w:t>
      </w:r>
    </w:p>
    <w:p w14:paraId="32F67333">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（4）同时出现两种以上不一致的，按照前款规定的顺序修正。</w:t>
      </w:r>
    </w:p>
    <w:p w14:paraId="498A1C5D">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（5）如果供应商不接受对其错误的更正，其最后报价将被视为无效报价或确定为无效响应。</w:t>
      </w:r>
    </w:p>
    <w:p w14:paraId="21D0F909">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9.2最后报价的价格扣除原则</w:t>
      </w:r>
    </w:p>
    <w:p w14:paraId="42F337BB">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落实政府采购政策进行价格调整的规则详见第五章评标办法的规定。</w:t>
      </w:r>
    </w:p>
    <w:p w14:paraId="5F30AA85">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9.3磋商报价得分： 以供应商的最后报价作为价格评分依据。供应商的评审价为按上述条款修正并给予价格扣除优惠后的价格。</w:t>
      </w:r>
    </w:p>
    <w:p w14:paraId="0489949D">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价格评分统一采用低价优先法计算，即满足磋商文件要求且价格最低的评审价为评审基准价，其价格分为满分。其他供应商的价格分统一按照下列公式计算：磋商报价得分=（磋商基准价/最后磋商报价） ×价格满分值</w:t>
      </w:r>
      <w:r>
        <w:rPr>
          <w:rFonts w:hint="eastAsia" w:ascii="宋体" w:hAnsi="宋体" w:cs="宋体"/>
          <w:color w:val="auto"/>
          <w:kern w:val="2"/>
          <w:sz w:val="21"/>
          <w:szCs w:val="21"/>
          <w:highlight w:val="none"/>
          <w:u w:val="none"/>
          <w:lang w:val="en-US" w:eastAsia="zh-CN" w:bidi="ar"/>
        </w:rPr>
        <w:t>。</w:t>
      </w:r>
    </w:p>
    <w:p w14:paraId="2E68F68C">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2" w:firstLineChars="200"/>
        <w:jc w:val="both"/>
        <w:rPr>
          <w:rFonts w:hint="eastAsia" w:ascii="宋体" w:hAnsi="宋体" w:eastAsia="宋体" w:cs="宋体"/>
          <w:b/>
          <w:bCs/>
          <w:color w:val="auto"/>
          <w:kern w:val="2"/>
          <w:sz w:val="21"/>
          <w:szCs w:val="21"/>
          <w:highlight w:val="none"/>
          <w:u w:val="none"/>
          <w:lang w:val="en-US" w:eastAsia="zh-CN" w:bidi="ar"/>
        </w:rPr>
      </w:pPr>
      <w:r>
        <w:rPr>
          <w:rFonts w:hint="eastAsia" w:ascii="宋体" w:hAnsi="宋体" w:eastAsia="宋体" w:cs="宋体"/>
          <w:b/>
          <w:bCs/>
          <w:color w:val="auto"/>
          <w:kern w:val="2"/>
          <w:sz w:val="21"/>
          <w:szCs w:val="21"/>
          <w:highlight w:val="none"/>
          <w:u w:val="none"/>
          <w:lang w:val="en-US" w:eastAsia="zh-CN" w:bidi="ar"/>
        </w:rPr>
        <w:t>10.综合评审</w:t>
      </w:r>
    </w:p>
    <w:p w14:paraId="304B689F">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10.1经磋商确定最终采购需求和提交最后报价的供应商后， 由磋商小组采用综合评分法对提交最后报价的供应商的响应文件和最后报价进行综合评分。</w:t>
      </w:r>
    </w:p>
    <w:p w14:paraId="472CAB8C">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10.2评审办法及标准见第五章。</w:t>
      </w:r>
    </w:p>
    <w:p w14:paraId="1B818215">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10.3评审时，磋商小组成员应当独立对每个有效响应的文件进行评价、打分，然后汇总每个供应商每项评分因素的得分。</w:t>
      </w:r>
    </w:p>
    <w:p w14:paraId="14B17D9B">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2" w:firstLineChars="200"/>
        <w:jc w:val="both"/>
        <w:rPr>
          <w:rFonts w:hint="eastAsia" w:ascii="宋体" w:hAnsi="宋体" w:eastAsia="宋体" w:cs="宋体"/>
          <w:b/>
          <w:bCs/>
          <w:color w:val="auto"/>
          <w:kern w:val="2"/>
          <w:sz w:val="21"/>
          <w:szCs w:val="21"/>
          <w:highlight w:val="none"/>
          <w:u w:val="none"/>
          <w:lang w:val="en-US" w:eastAsia="zh-CN" w:bidi="ar"/>
        </w:rPr>
      </w:pPr>
      <w:r>
        <w:rPr>
          <w:rFonts w:hint="eastAsia" w:ascii="宋体" w:hAnsi="宋体" w:eastAsia="宋体" w:cs="宋体"/>
          <w:b/>
          <w:bCs/>
          <w:color w:val="auto"/>
          <w:kern w:val="2"/>
          <w:sz w:val="21"/>
          <w:szCs w:val="21"/>
          <w:highlight w:val="none"/>
          <w:u w:val="none"/>
          <w:lang w:val="en-US" w:eastAsia="zh-CN" w:bidi="ar"/>
        </w:rPr>
        <w:t>11.提出成交供应商</w:t>
      </w:r>
    </w:p>
    <w:p w14:paraId="7BE1DEF1">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11.1磋商小组应当按照综合评分由高到低的顺序提出3名成交候选供应商，并编写评审报告。</w:t>
      </w:r>
    </w:p>
    <w:p w14:paraId="1D3EDC96">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11.2评审得分相同的，按照最后报价由低到高的顺序推荐。评审得分且最后报价相同的，按照技术指标优劣顺序推荐。</w:t>
      </w:r>
    </w:p>
    <w:p w14:paraId="335454F7">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2" w:firstLineChars="200"/>
        <w:jc w:val="both"/>
        <w:rPr>
          <w:rFonts w:hint="eastAsia" w:ascii="宋体" w:hAnsi="宋体" w:eastAsia="宋体" w:cs="宋体"/>
          <w:b/>
          <w:bCs/>
          <w:color w:val="auto"/>
          <w:kern w:val="2"/>
          <w:sz w:val="21"/>
          <w:szCs w:val="21"/>
          <w:highlight w:val="none"/>
          <w:u w:val="none"/>
          <w:lang w:val="en-US" w:eastAsia="zh-CN" w:bidi="ar"/>
        </w:rPr>
      </w:pPr>
      <w:r>
        <w:rPr>
          <w:rFonts w:hint="eastAsia" w:ascii="宋体" w:hAnsi="宋体" w:eastAsia="宋体" w:cs="宋体"/>
          <w:b/>
          <w:bCs/>
          <w:color w:val="auto"/>
          <w:kern w:val="2"/>
          <w:sz w:val="21"/>
          <w:szCs w:val="21"/>
          <w:highlight w:val="none"/>
          <w:u w:val="none"/>
          <w:lang w:val="en-US" w:eastAsia="zh-CN" w:bidi="ar"/>
        </w:rPr>
        <w:t>12.磋商终止</w:t>
      </w:r>
    </w:p>
    <w:p w14:paraId="76EE1039">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12.1出现下列情形之一的，采购人或者采购代理机构应当终止竞争性磋商采购活动，在财政部指定的媒体上发布项目终止公告并说明原因，重新开展采购活动：</w:t>
      </w:r>
    </w:p>
    <w:p w14:paraId="5A8705CE">
      <w:pPr>
        <w:keepNext w:val="0"/>
        <w:keepLines w:val="0"/>
        <w:pageBreakBefore w:val="0"/>
        <w:widowControl w:val="0"/>
        <w:numPr>
          <w:ilvl w:val="0"/>
          <w:numId w:val="2"/>
        </w:numPr>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因情况变化，不再符合规定的竞争性磋商采购方式适用情形的</w:t>
      </w:r>
      <w:r>
        <w:rPr>
          <w:rFonts w:hint="eastAsia" w:ascii="宋体" w:hAnsi="宋体" w:cs="宋体"/>
          <w:color w:val="auto"/>
          <w:kern w:val="2"/>
          <w:sz w:val="21"/>
          <w:szCs w:val="21"/>
          <w:highlight w:val="none"/>
          <w:u w:val="none"/>
          <w:lang w:val="en-US" w:eastAsia="zh-CN" w:bidi="ar"/>
        </w:rPr>
        <w:t>；</w:t>
      </w:r>
    </w:p>
    <w:p w14:paraId="4271043B">
      <w:pPr>
        <w:keepNext w:val="0"/>
        <w:keepLines w:val="0"/>
        <w:pageBreakBefore w:val="0"/>
        <w:widowControl w:val="0"/>
        <w:numPr>
          <w:ilvl w:val="0"/>
          <w:numId w:val="2"/>
        </w:numPr>
        <w:suppressLineNumbers w:val="0"/>
        <w:tabs>
          <w:tab w:val="left" w:pos="900"/>
        </w:tabs>
        <w:kinsoku/>
        <w:wordWrap/>
        <w:topLinePunct w:val="0"/>
        <w:bidi w:val="0"/>
        <w:spacing w:before="0" w:beforeAutospacing="0" w:after="0" w:afterAutospacing="0" w:line="360" w:lineRule="auto"/>
        <w:ind w:left="0" w:right="0" w:firstLine="422"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cs="宋体"/>
          <w:b/>
          <w:bCs/>
          <w:color w:val="auto"/>
          <w:szCs w:val="21"/>
          <w:highlight w:val="none"/>
          <w:u w:val="none"/>
        </w:rPr>
        <w:t>因系统故障原因造成磋商无法继续进行的</w:t>
      </w:r>
      <w:r>
        <w:rPr>
          <w:rFonts w:hint="eastAsia" w:ascii="宋体" w:hAnsi="宋体" w:cs="宋体"/>
          <w:b/>
          <w:color w:val="auto"/>
          <w:szCs w:val="21"/>
          <w:highlight w:val="none"/>
          <w:u w:val="none"/>
        </w:rPr>
        <w:t>（适用于不见面磋商模式）</w:t>
      </w:r>
      <w:r>
        <w:rPr>
          <w:rFonts w:hint="eastAsia" w:ascii="宋体" w:hAnsi="宋体" w:cs="宋体"/>
          <w:b/>
          <w:color w:val="auto"/>
          <w:szCs w:val="21"/>
          <w:highlight w:val="none"/>
          <w:u w:val="none"/>
          <w:lang w:eastAsia="zh-CN"/>
        </w:rPr>
        <w:t>；</w:t>
      </w:r>
    </w:p>
    <w:p w14:paraId="5CD39B31">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w:t>
      </w:r>
      <w:r>
        <w:rPr>
          <w:rFonts w:hint="eastAsia" w:ascii="宋体" w:hAnsi="宋体" w:cs="宋体"/>
          <w:color w:val="auto"/>
          <w:kern w:val="2"/>
          <w:sz w:val="21"/>
          <w:szCs w:val="21"/>
          <w:highlight w:val="none"/>
          <w:u w:val="none"/>
          <w:lang w:val="en-US" w:eastAsia="zh-CN" w:bidi="ar"/>
        </w:rPr>
        <w:t>3</w:t>
      </w:r>
      <w:r>
        <w:rPr>
          <w:rFonts w:hint="eastAsia" w:ascii="宋体" w:hAnsi="宋体" w:eastAsia="宋体" w:cs="宋体"/>
          <w:color w:val="auto"/>
          <w:kern w:val="2"/>
          <w:sz w:val="21"/>
          <w:szCs w:val="21"/>
          <w:highlight w:val="none"/>
          <w:u w:val="none"/>
          <w:lang w:val="en-US" w:eastAsia="zh-CN" w:bidi="ar"/>
        </w:rPr>
        <w:t>）出现影响采购公正的违法、违规行为的；</w:t>
      </w:r>
    </w:p>
    <w:p w14:paraId="48B53D89">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w:t>
      </w:r>
      <w:r>
        <w:rPr>
          <w:rFonts w:hint="eastAsia" w:ascii="宋体" w:hAnsi="宋体" w:cs="宋体"/>
          <w:color w:val="auto"/>
          <w:kern w:val="2"/>
          <w:sz w:val="21"/>
          <w:szCs w:val="21"/>
          <w:highlight w:val="none"/>
          <w:u w:val="none"/>
          <w:lang w:val="en-US" w:eastAsia="zh-CN" w:bidi="ar"/>
        </w:rPr>
        <w:t>4</w:t>
      </w:r>
      <w:r>
        <w:rPr>
          <w:rFonts w:hint="eastAsia" w:ascii="宋体" w:hAnsi="宋体" w:eastAsia="宋体" w:cs="宋体"/>
          <w:color w:val="auto"/>
          <w:kern w:val="2"/>
          <w:sz w:val="21"/>
          <w:szCs w:val="21"/>
          <w:highlight w:val="none"/>
          <w:u w:val="none"/>
          <w:lang w:val="en-US" w:eastAsia="zh-CN" w:bidi="ar"/>
        </w:rPr>
        <w:t>）在采购过程中符合竞争要求的供应商或者报价未超过采购预算的供应商不足3家的，或者提交最后报价的供应商少于3家的； （符合供应商须知前附表规定的允许符合要求的供应商只有2家时可以继续进行采购活动的情形，符合竞争要求的供应商或者报价未超过采购预算的供应商或者提交最后报价的供应商不足2家的；）</w:t>
      </w:r>
    </w:p>
    <w:p w14:paraId="3AD94948">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（4）因重大变故，采购任务取消的。</w:t>
      </w:r>
    </w:p>
    <w:p w14:paraId="395A0D4E">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2" w:firstLineChars="200"/>
        <w:jc w:val="both"/>
        <w:rPr>
          <w:rFonts w:hint="eastAsia" w:ascii="宋体" w:hAnsi="宋体" w:eastAsia="宋体" w:cs="宋体"/>
          <w:b/>
          <w:bCs w:val="0"/>
          <w:color w:val="auto"/>
          <w:szCs w:val="21"/>
          <w:highlight w:val="none"/>
          <w:u w:val="none"/>
          <w:lang w:val="en-US"/>
        </w:rPr>
      </w:pPr>
      <w:r>
        <w:rPr>
          <w:rFonts w:hint="eastAsia" w:ascii="宋体" w:hAnsi="宋体" w:eastAsia="宋体" w:cs="宋体"/>
          <w:b/>
          <w:bCs w:val="0"/>
          <w:color w:val="auto"/>
          <w:kern w:val="2"/>
          <w:sz w:val="21"/>
          <w:szCs w:val="21"/>
          <w:highlight w:val="none"/>
          <w:u w:val="none"/>
          <w:lang w:val="en-US" w:eastAsia="zh-CN" w:bidi="ar"/>
        </w:rPr>
        <w:t>五、成交</w:t>
      </w:r>
    </w:p>
    <w:p w14:paraId="70861FF6">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1.采购代理机构应当在评审结束后2个工作日内将评审报告送采购人确认。</w:t>
      </w:r>
    </w:p>
    <w:p w14:paraId="36DD2E3D">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2.采购人应当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14:paraId="72BBE82D">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3.采购人或者采购代理机构应当在成交供应商确定后2个工作日内，在指定媒体上公告成交结果，并将磋商文件随成交结果同时公告。</w:t>
      </w:r>
    </w:p>
    <w:p w14:paraId="15B7B4F4">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4.在公告成交结果的同时，采购人或者采购代理机构应当向成交供应商发出成交通知书。</w:t>
      </w:r>
    </w:p>
    <w:p w14:paraId="7383FC90">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u w:val="none"/>
          <w:lang w:val="en-US" w:eastAsia="zh-CN" w:bidi="ar"/>
        </w:rPr>
      </w:pPr>
      <w:r>
        <w:rPr>
          <w:rFonts w:hint="eastAsia" w:ascii="宋体" w:hAnsi="宋体" w:eastAsia="宋体" w:cs="宋体"/>
          <w:color w:val="auto"/>
          <w:kern w:val="2"/>
          <w:sz w:val="21"/>
          <w:szCs w:val="21"/>
          <w:highlight w:val="none"/>
          <w:u w:val="none"/>
          <w:lang w:val="en-US" w:eastAsia="zh-CN" w:bidi="ar"/>
        </w:rPr>
        <w:t>5.成交通知书对采购人和成交供应商具有同等法律效力。</w:t>
      </w:r>
    </w:p>
    <w:p w14:paraId="4F876813">
      <w:pPr>
        <w:keepNext w:val="0"/>
        <w:keepLines w:val="0"/>
        <w:pageBreakBefore w:val="0"/>
        <w:widowControl w:val="0"/>
        <w:suppressLineNumbers w:val="0"/>
        <w:tabs>
          <w:tab w:val="left" w:pos="900"/>
        </w:tabs>
        <w:kinsoku/>
        <w:wordWrap/>
        <w:topLinePunct w:val="0"/>
        <w:bidi w:val="0"/>
        <w:spacing w:before="0" w:beforeAutospacing="0" w:after="0" w:afterAutospacing="0" w:line="360" w:lineRule="auto"/>
        <w:ind w:left="0" w:right="0" w:firstLine="422" w:firstLineChars="200"/>
        <w:jc w:val="both"/>
        <w:rPr>
          <w:rFonts w:hint="eastAsia" w:ascii="宋体" w:hAnsi="宋体" w:eastAsia="宋体" w:cs="宋体"/>
          <w:b/>
          <w:bCs w:val="0"/>
          <w:color w:val="auto"/>
          <w:szCs w:val="21"/>
          <w:highlight w:val="none"/>
          <w:u w:val="none"/>
          <w:lang w:val="en-US"/>
        </w:rPr>
      </w:pPr>
      <w:r>
        <w:rPr>
          <w:rFonts w:hint="eastAsia" w:ascii="宋体" w:hAnsi="宋体" w:eastAsia="宋体" w:cs="宋体"/>
          <w:b/>
          <w:bCs w:val="0"/>
          <w:color w:val="auto"/>
          <w:kern w:val="2"/>
          <w:sz w:val="21"/>
          <w:szCs w:val="21"/>
          <w:highlight w:val="none"/>
          <w:u w:val="none"/>
          <w:lang w:val="en-US" w:eastAsia="zh-CN" w:bidi="ar"/>
        </w:rPr>
        <w:t>六、合同签订相关事项</w:t>
      </w:r>
    </w:p>
    <w:p w14:paraId="0DB63D5D">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color w:val="auto"/>
          <w:highlight w:val="none"/>
          <w:u w:val="none"/>
          <w:vertAlign w:val="baseline"/>
          <w:lang w:val="en-US"/>
        </w:rPr>
      </w:pPr>
      <w:r>
        <w:rPr>
          <w:rFonts w:hint="eastAsia" w:ascii="宋体" w:hAnsi="宋体" w:eastAsia="宋体" w:cs="宋体"/>
          <w:color w:val="auto"/>
          <w:kern w:val="2"/>
          <w:sz w:val="21"/>
          <w:szCs w:val="24"/>
          <w:highlight w:val="none"/>
          <w:u w:val="none"/>
          <w:vertAlign w:val="baseline"/>
          <w:lang w:val="en-US" w:eastAsia="zh-CN" w:bidi="ar"/>
        </w:rPr>
        <w:t>1.履约保证金</w:t>
      </w:r>
    </w:p>
    <w:p w14:paraId="71D4E3E3">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color w:val="auto"/>
          <w:kern w:val="2"/>
          <w:sz w:val="21"/>
          <w:szCs w:val="24"/>
          <w:highlight w:val="none"/>
          <w:u w:val="none"/>
          <w:vertAlign w:val="baseline"/>
          <w:lang w:val="en-US" w:eastAsia="zh-CN" w:bidi="ar"/>
        </w:rPr>
      </w:pPr>
      <w:r>
        <w:rPr>
          <w:rFonts w:hint="eastAsia" w:ascii="宋体" w:hAnsi="宋体" w:eastAsia="宋体" w:cs="宋体"/>
          <w:color w:val="auto"/>
          <w:kern w:val="2"/>
          <w:sz w:val="21"/>
          <w:szCs w:val="24"/>
          <w:highlight w:val="none"/>
          <w:u w:val="none"/>
          <w:vertAlign w:val="baseline"/>
          <w:lang w:val="en-US" w:eastAsia="zh-CN" w:bidi="ar"/>
        </w:rPr>
        <w:t>本项目不收取履约保证金。</w:t>
      </w:r>
    </w:p>
    <w:p w14:paraId="5D6C3F65">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color w:val="auto"/>
          <w:highlight w:val="none"/>
          <w:u w:val="none"/>
          <w:vertAlign w:val="baseline"/>
          <w:lang w:val="en-US"/>
        </w:rPr>
      </w:pPr>
      <w:r>
        <w:rPr>
          <w:rFonts w:hint="eastAsia" w:ascii="宋体" w:hAnsi="宋体" w:eastAsia="宋体" w:cs="宋体"/>
          <w:color w:val="auto"/>
          <w:kern w:val="2"/>
          <w:sz w:val="21"/>
          <w:szCs w:val="24"/>
          <w:highlight w:val="none"/>
          <w:u w:val="none"/>
          <w:vertAlign w:val="baseline"/>
          <w:lang w:val="en-US" w:eastAsia="zh-CN" w:bidi="ar"/>
        </w:rPr>
        <w:t>2.签订合同</w:t>
      </w:r>
    </w:p>
    <w:p w14:paraId="5BC85DDE">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color w:val="auto"/>
          <w:highlight w:val="none"/>
          <w:u w:val="none"/>
          <w:vertAlign w:val="baseline"/>
          <w:lang w:val="en-US"/>
        </w:rPr>
      </w:pPr>
      <w:r>
        <w:rPr>
          <w:rFonts w:hint="eastAsia" w:ascii="宋体" w:hAnsi="宋体" w:eastAsia="宋体" w:cs="宋体"/>
          <w:color w:val="auto"/>
          <w:kern w:val="2"/>
          <w:sz w:val="21"/>
          <w:szCs w:val="24"/>
          <w:highlight w:val="none"/>
          <w:u w:val="none"/>
          <w:vertAlign w:val="baseline"/>
          <w:lang w:val="en-US" w:eastAsia="zh-CN" w:bidi="ar"/>
        </w:rPr>
        <w:t>2.l成交供应商应按成交通知书规定的时间、地点，按照采购文件确定的事项与采购人签订政府采购合同，且不得迟于成交通知书发出之日起三十日，由此给采购人造成损失的，成交供应商还应承担赔偿责任。</w:t>
      </w:r>
    </w:p>
    <w:p w14:paraId="670E8AC8">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color w:val="auto"/>
          <w:highlight w:val="none"/>
          <w:u w:val="none"/>
          <w:vertAlign w:val="baseline"/>
          <w:lang w:val="en-US"/>
        </w:rPr>
      </w:pPr>
      <w:r>
        <w:rPr>
          <w:rFonts w:hint="eastAsia" w:ascii="宋体" w:hAnsi="宋体" w:eastAsia="宋体" w:cs="宋体"/>
          <w:color w:val="auto"/>
          <w:kern w:val="2"/>
          <w:sz w:val="21"/>
          <w:szCs w:val="24"/>
          <w:highlight w:val="none"/>
          <w:u w:val="none"/>
          <w:vertAlign w:val="baseline"/>
          <w:lang w:val="en-US" w:eastAsia="zh-CN" w:bidi="ar"/>
        </w:rPr>
        <w:t>2.2 采购文件、成交供应商的响应文件及磋商采购过程中有关澄清、承诺文件均应作为合同附件。</w:t>
      </w:r>
    </w:p>
    <w:p w14:paraId="6B24491A">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color w:val="auto"/>
          <w:kern w:val="2"/>
          <w:sz w:val="21"/>
          <w:szCs w:val="24"/>
          <w:highlight w:val="none"/>
          <w:u w:val="none"/>
          <w:vertAlign w:val="baseline"/>
          <w:lang w:val="en-US" w:eastAsia="zh-CN" w:bidi="ar"/>
        </w:rPr>
      </w:pPr>
      <w:r>
        <w:rPr>
          <w:rFonts w:hint="eastAsia" w:ascii="宋体" w:hAnsi="宋体" w:eastAsia="宋体" w:cs="宋体"/>
          <w:color w:val="auto"/>
          <w:kern w:val="2"/>
          <w:sz w:val="21"/>
          <w:szCs w:val="24"/>
          <w:highlight w:val="none"/>
          <w:u w:val="none"/>
          <w:lang w:val="en-US" w:eastAsia="zh-CN" w:bidi="ar"/>
        </w:rPr>
        <w:t>2.3 签订合同后，成交供应商不得将成交产品或服务进行转包。未经采购人同意，成交供应商也不得采</w:t>
      </w:r>
      <w:r>
        <w:rPr>
          <w:rFonts w:hint="eastAsia" w:ascii="宋体" w:hAnsi="宋体" w:eastAsia="宋体" w:cs="宋体"/>
          <w:color w:val="auto"/>
          <w:kern w:val="2"/>
          <w:sz w:val="21"/>
          <w:szCs w:val="24"/>
          <w:highlight w:val="none"/>
          <w:u w:val="none"/>
          <w:vertAlign w:val="baseline"/>
          <w:lang w:val="en-US" w:eastAsia="zh-CN" w:bidi="ar"/>
        </w:rPr>
        <w:t>用分包的形式履行合同，否则采购人有权终止合同。转包或分包造成采购人损失的，成交供应商应承担相应赔偿责任。</w:t>
      </w:r>
    </w:p>
    <w:p w14:paraId="47FBB80E">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2" w:firstLineChars="200"/>
        <w:jc w:val="both"/>
        <w:textAlignment w:val="baseline"/>
        <w:rPr>
          <w:rFonts w:hint="eastAsia" w:ascii="宋体" w:hAnsi="宋体" w:cs="宋体"/>
          <w:color w:val="auto"/>
          <w:szCs w:val="21"/>
          <w:highlight w:val="none"/>
          <w:u w:val="none"/>
        </w:rPr>
      </w:pPr>
      <w:r>
        <w:rPr>
          <w:rFonts w:hint="eastAsia" w:ascii="宋体" w:hAnsi="宋体" w:eastAsia="宋体" w:cs="宋体"/>
          <w:b/>
          <w:bCs/>
          <w:color w:val="auto"/>
          <w:kern w:val="2"/>
          <w:sz w:val="21"/>
          <w:szCs w:val="24"/>
          <w:highlight w:val="none"/>
          <w:u w:val="none"/>
          <w:vertAlign w:val="baseline"/>
          <w:lang w:val="en-US" w:eastAsia="zh-CN" w:bidi="ar"/>
        </w:rPr>
        <w:t>七、</w:t>
      </w:r>
      <w:bookmarkStart w:id="103" w:name="bookmark17"/>
      <w:bookmarkEnd w:id="103"/>
      <w:r>
        <w:rPr>
          <w:rFonts w:hint="eastAsia" w:ascii="宋体" w:hAnsi="宋体" w:cs="宋体"/>
          <w:b/>
          <w:color w:val="auto"/>
          <w:szCs w:val="21"/>
          <w:highlight w:val="none"/>
          <w:u w:val="none"/>
        </w:rPr>
        <w:t>质疑提出和处理</w:t>
      </w:r>
    </w:p>
    <w:p w14:paraId="0F8FE576">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格式请在江苏政府采购网“下载中心</w:t>
      </w:r>
      <w:r>
        <w:rPr>
          <w:rFonts w:hint="eastAsia" w:ascii="宋体" w:hAnsi="宋体" w:cs="宋体"/>
          <w:color w:val="auto"/>
          <w:szCs w:val="21"/>
          <w:highlight w:val="none"/>
          <w:u w:val="none"/>
          <w:lang w:eastAsia="zh-CN"/>
        </w:rPr>
        <w:t>——</w:t>
      </w:r>
      <w:r>
        <w:rPr>
          <w:rFonts w:hint="eastAsia" w:ascii="宋体" w:hAnsi="宋体" w:cs="宋体"/>
          <w:color w:val="auto"/>
          <w:szCs w:val="21"/>
          <w:highlight w:val="none"/>
          <w:u w:val="none"/>
        </w:rPr>
        <w:t>有关质疑资料”下载</w:t>
      </w:r>
    </w:p>
    <w:p w14:paraId="14799758">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（一）质疑的提出</w:t>
      </w:r>
    </w:p>
    <w:p w14:paraId="2FE6AF9F">
      <w:pPr>
        <w:pageBreakBefore w:val="0"/>
        <w:tabs>
          <w:tab w:val="left" w:pos="900"/>
        </w:tabs>
        <w:kinsoku/>
        <w:topLinePunct w:val="0"/>
        <w:bidi w:val="0"/>
        <w:spacing w:line="360" w:lineRule="auto"/>
        <w:ind w:firstLine="420" w:firstLineChars="200"/>
        <w:rPr>
          <w:rFonts w:ascii="宋体" w:hAnsi="宋体"/>
          <w:color w:val="auto"/>
          <w:szCs w:val="21"/>
          <w:highlight w:val="none"/>
          <w:u w:val="none"/>
        </w:rPr>
      </w:pPr>
      <w:r>
        <w:rPr>
          <w:rFonts w:hint="eastAsia" w:ascii="宋体" w:hAnsi="宋体" w:cs="宋体"/>
          <w:color w:val="auto"/>
          <w:szCs w:val="21"/>
          <w:highlight w:val="none"/>
          <w:u w:val="none"/>
        </w:rPr>
        <w:t>1.</w:t>
      </w:r>
      <w:r>
        <w:rPr>
          <w:rFonts w:hint="eastAsia" w:ascii="宋体" w:hAnsi="宋体"/>
          <w:color w:val="auto"/>
          <w:szCs w:val="21"/>
          <w:highlight w:val="none"/>
          <w:u w:val="none"/>
        </w:rPr>
        <w:t>磋商供应商认为磋商文件、采购过程和采购结果使自己的权益受到损害的，可以在知道或应知其权益受到损害之日起七个工作日内，以书面形式向代理机构或采购人提出质疑。上述应知其权益受到损害之日，是指：</w:t>
      </w:r>
    </w:p>
    <w:p w14:paraId="2EA5D4D1">
      <w:pPr>
        <w:pageBreakBefore w:val="0"/>
        <w:tabs>
          <w:tab w:val="left" w:pos="900"/>
        </w:tabs>
        <w:kinsoku/>
        <w:topLinePunct w:val="0"/>
        <w:bidi w:val="0"/>
        <w:spacing w:line="360" w:lineRule="auto"/>
        <w:ind w:firstLine="420" w:firstLineChars="200"/>
        <w:rPr>
          <w:rFonts w:ascii="宋体" w:hAnsi="宋体"/>
          <w:color w:val="auto"/>
          <w:szCs w:val="21"/>
          <w:highlight w:val="none"/>
          <w:u w:val="none"/>
        </w:rPr>
      </w:pPr>
      <w:r>
        <w:rPr>
          <w:rFonts w:hint="eastAsia" w:ascii="宋体" w:hAnsi="宋体"/>
          <w:color w:val="auto"/>
          <w:szCs w:val="21"/>
          <w:highlight w:val="none"/>
          <w:u w:val="none"/>
        </w:rPr>
        <w:t>（1）</w:t>
      </w:r>
      <w:r>
        <w:rPr>
          <w:rFonts w:ascii="宋体" w:hAnsi="宋体"/>
          <w:color w:val="auto"/>
          <w:szCs w:val="21"/>
          <w:highlight w:val="none"/>
          <w:u w:val="none"/>
        </w:rPr>
        <w:t>对可以质疑的磋商文件提出质疑的，为收到磋商文件之日或者磋商文件公告期限届满之日；</w:t>
      </w:r>
    </w:p>
    <w:p w14:paraId="0B7E01B8">
      <w:pPr>
        <w:pageBreakBefore w:val="0"/>
        <w:tabs>
          <w:tab w:val="left" w:pos="900"/>
        </w:tabs>
        <w:kinsoku/>
        <w:topLinePunct w:val="0"/>
        <w:bidi w:val="0"/>
        <w:spacing w:line="360" w:lineRule="auto"/>
        <w:ind w:firstLine="420" w:firstLineChars="200"/>
        <w:rPr>
          <w:rFonts w:ascii="宋体" w:hAnsi="宋体"/>
          <w:color w:val="auto"/>
          <w:szCs w:val="21"/>
          <w:highlight w:val="none"/>
          <w:u w:val="none"/>
        </w:rPr>
      </w:pPr>
      <w:r>
        <w:rPr>
          <w:rFonts w:hint="eastAsia" w:ascii="宋体" w:hAnsi="宋体"/>
          <w:color w:val="auto"/>
          <w:szCs w:val="21"/>
          <w:highlight w:val="none"/>
          <w:u w:val="none"/>
        </w:rPr>
        <w:t>（2）</w:t>
      </w:r>
      <w:r>
        <w:rPr>
          <w:rFonts w:ascii="宋体" w:hAnsi="宋体"/>
          <w:color w:val="auto"/>
          <w:szCs w:val="21"/>
          <w:highlight w:val="none"/>
          <w:u w:val="none"/>
        </w:rPr>
        <w:t>对采购过程提出质疑的，为各采购程序环节结束之日；</w:t>
      </w:r>
    </w:p>
    <w:p w14:paraId="00394B2D">
      <w:pPr>
        <w:pageBreakBefore w:val="0"/>
        <w:tabs>
          <w:tab w:val="left" w:pos="900"/>
        </w:tabs>
        <w:kinsoku/>
        <w:topLinePunct w:val="0"/>
        <w:bidi w:val="0"/>
        <w:spacing w:line="360" w:lineRule="auto"/>
        <w:ind w:firstLine="420" w:firstLineChars="200"/>
        <w:rPr>
          <w:rFonts w:ascii="宋体" w:hAnsi="宋体"/>
          <w:color w:val="auto"/>
          <w:szCs w:val="21"/>
          <w:highlight w:val="none"/>
          <w:u w:val="none"/>
        </w:rPr>
      </w:pPr>
      <w:r>
        <w:rPr>
          <w:rFonts w:hint="eastAsia" w:ascii="宋体" w:hAnsi="宋体"/>
          <w:color w:val="auto"/>
          <w:szCs w:val="21"/>
          <w:highlight w:val="none"/>
          <w:u w:val="none"/>
        </w:rPr>
        <w:t>（3）</w:t>
      </w:r>
      <w:r>
        <w:rPr>
          <w:rFonts w:ascii="宋体" w:hAnsi="宋体"/>
          <w:color w:val="auto"/>
          <w:szCs w:val="21"/>
          <w:highlight w:val="none"/>
          <w:u w:val="none"/>
        </w:rPr>
        <w:t>对成交结果提出质疑的，为成交结果公告期限届满之日。</w:t>
      </w:r>
    </w:p>
    <w:p w14:paraId="4EAC30FC">
      <w:pPr>
        <w:pageBreakBefore w:val="0"/>
        <w:kinsoku/>
        <w:topLinePunct w:val="0"/>
        <w:bidi w:val="0"/>
        <w:spacing w:line="360" w:lineRule="auto"/>
        <w:ind w:firstLine="482"/>
        <w:rPr>
          <w:rFonts w:hint="eastAsia" w:ascii="宋体" w:hAnsi="宋体" w:cs="宋体"/>
          <w:b/>
          <w:color w:val="auto"/>
          <w:szCs w:val="21"/>
          <w:highlight w:val="none"/>
          <w:u w:val="none"/>
        </w:rPr>
      </w:pPr>
      <w:r>
        <w:rPr>
          <w:rFonts w:hint="eastAsia" w:ascii="宋体" w:hAnsi="宋体" w:cs="宋体"/>
          <w:b/>
          <w:color w:val="auto"/>
          <w:szCs w:val="21"/>
          <w:highlight w:val="none"/>
          <w:u w:val="none"/>
        </w:rPr>
        <w:t>其中：对评审过程中涉及的身份核对、澄清等程序性事项，供应商如有异议的，必须当场提出。否则，均视为供应商无异议。无论是否成交，供应商事后不得再就前述事项提出任何异议或质疑投诉。</w:t>
      </w:r>
    </w:p>
    <w:p w14:paraId="64021B5E">
      <w:pPr>
        <w:pageBreakBefore w:val="0"/>
        <w:tabs>
          <w:tab w:val="left" w:pos="900"/>
        </w:tabs>
        <w:kinsoku/>
        <w:topLinePunct w:val="0"/>
        <w:bidi w:val="0"/>
        <w:spacing w:line="360" w:lineRule="auto"/>
        <w:ind w:firstLine="420" w:firstLineChars="200"/>
        <w:rPr>
          <w:rFonts w:ascii="宋体" w:hAnsi="宋体"/>
          <w:color w:val="auto"/>
          <w:szCs w:val="21"/>
          <w:highlight w:val="none"/>
          <w:u w:val="none"/>
        </w:rPr>
      </w:pPr>
      <w:r>
        <w:rPr>
          <w:rFonts w:hint="eastAsia" w:ascii="宋体" w:hAnsi="宋体"/>
          <w:color w:val="auto"/>
          <w:szCs w:val="21"/>
          <w:highlight w:val="none"/>
          <w:u w:val="none"/>
          <w:lang w:val="en-US" w:eastAsia="zh-CN"/>
        </w:rPr>
        <w:t>2.</w:t>
      </w:r>
      <w:r>
        <w:rPr>
          <w:rFonts w:hint="eastAsia" w:ascii="宋体" w:hAnsi="宋体"/>
          <w:color w:val="auto"/>
          <w:szCs w:val="21"/>
          <w:highlight w:val="none"/>
          <w:u w:val="none"/>
        </w:rPr>
        <w:t>质疑必须由磋商供应商法定代表人或授权代表（响应文件中所确定的）以原件送达的方式提交，未按上述要求提交的质疑函（含传真、电子邮件等）代理机构有权不予受理。</w:t>
      </w:r>
    </w:p>
    <w:p w14:paraId="52C23253">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olor w:val="auto"/>
          <w:szCs w:val="21"/>
          <w:highlight w:val="none"/>
          <w:u w:val="none"/>
          <w:lang w:val="en-US" w:eastAsia="zh-CN"/>
        </w:rPr>
        <w:t>3.</w:t>
      </w:r>
      <w:r>
        <w:rPr>
          <w:rFonts w:hint="eastAsia" w:ascii="宋体" w:hAnsi="宋体"/>
          <w:color w:val="auto"/>
          <w:szCs w:val="21"/>
          <w:highlight w:val="none"/>
          <w:u w:val="none"/>
        </w:rPr>
        <w:t>未参加磋商采购活动的供应商或在磋商采购活动中自身权益未受到损害的供应商所提出的质疑不予受理。</w:t>
      </w:r>
      <w:r>
        <w:rPr>
          <w:rFonts w:hint="eastAsia" w:ascii="宋体" w:hAnsi="宋体" w:cs="宋体"/>
          <w:color w:val="auto"/>
          <w:szCs w:val="21"/>
          <w:highlight w:val="none"/>
          <w:u w:val="none"/>
        </w:rPr>
        <w:t>响应文件接收截止后，供应商未进行磋商登记的，不能就响应文件接收截止后的招投标过程、成交结果质疑；在磋商过程中，凡主持人或评审小组明确提出须由供应商确认的事项，供应商当场无异议的，事后不得质疑。</w:t>
      </w:r>
    </w:p>
    <w:p w14:paraId="6F425604">
      <w:pPr>
        <w:pageBreakBefore w:val="0"/>
        <w:tabs>
          <w:tab w:val="left" w:pos="900"/>
        </w:tabs>
        <w:kinsoku/>
        <w:topLinePunct w:val="0"/>
        <w:bidi w:val="0"/>
        <w:spacing w:line="360" w:lineRule="auto"/>
        <w:ind w:firstLine="420" w:firstLineChars="200"/>
        <w:rPr>
          <w:rFonts w:ascii="宋体" w:hAnsi="宋体"/>
          <w:color w:val="auto"/>
          <w:szCs w:val="21"/>
          <w:highlight w:val="none"/>
          <w:u w:val="none"/>
        </w:rPr>
      </w:pPr>
      <w:r>
        <w:rPr>
          <w:rFonts w:hint="eastAsia" w:ascii="宋体" w:hAnsi="宋体"/>
          <w:color w:val="auto"/>
          <w:szCs w:val="21"/>
          <w:highlight w:val="none"/>
          <w:u w:val="none"/>
          <w:lang w:val="en-US" w:eastAsia="zh-CN"/>
        </w:rPr>
        <w:t>4.</w:t>
      </w:r>
      <w:r>
        <w:rPr>
          <w:rFonts w:hint="eastAsia" w:ascii="宋体" w:hAnsi="宋体"/>
          <w:color w:val="auto"/>
          <w:szCs w:val="21"/>
          <w:highlight w:val="none"/>
          <w:u w:val="none"/>
        </w:rPr>
        <w:t>质疑函应当包括下列内容：</w:t>
      </w:r>
    </w:p>
    <w:p w14:paraId="608FBEB1">
      <w:pPr>
        <w:pageBreakBefore w:val="0"/>
        <w:tabs>
          <w:tab w:val="left" w:pos="900"/>
        </w:tabs>
        <w:kinsoku/>
        <w:topLinePunct w:val="0"/>
        <w:bidi w:val="0"/>
        <w:spacing w:line="360" w:lineRule="auto"/>
        <w:ind w:firstLine="420" w:firstLineChars="200"/>
        <w:rPr>
          <w:rFonts w:ascii="宋体" w:hAnsi="宋体"/>
          <w:color w:val="auto"/>
          <w:szCs w:val="21"/>
          <w:highlight w:val="none"/>
          <w:u w:val="none"/>
        </w:rPr>
      </w:pPr>
      <w:r>
        <w:rPr>
          <w:rFonts w:hint="eastAsia" w:ascii="宋体" w:hAnsi="宋体"/>
          <w:color w:val="auto"/>
          <w:szCs w:val="21"/>
          <w:highlight w:val="none"/>
          <w:u w:val="none"/>
        </w:rPr>
        <w:t>（1）质疑供应商的名称、地址、邮编、联系人、联系电话；</w:t>
      </w:r>
    </w:p>
    <w:p w14:paraId="7B66F6AF">
      <w:pPr>
        <w:pageBreakBefore w:val="0"/>
        <w:tabs>
          <w:tab w:val="left" w:pos="900"/>
        </w:tabs>
        <w:kinsoku/>
        <w:topLinePunct w:val="0"/>
        <w:bidi w:val="0"/>
        <w:spacing w:line="360" w:lineRule="auto"/>
        <w:ind w:firstLine="420" w:firstLineChars="200"/>
        <w:rPr>
          <w:rFonts w:ascii="宋体" w:hAnsi="宋体"/>
          <w:color w:val="auto"/>
          <w:szCs w:val="21"/>
          <w:highlight w:val="none"/>
          <w:u w:val="none"/>
        </w:rPr>
      </w:pPr>
      <w:r>
        <w:rPr>
          <w:rFonts w:hint="eastAsia" w:ascii="宋体" w:hAnsi="宋体"/>
          <w:color w:val="auto"/>
          <w:szCs w:val="21"/>
          <w:highlight w:val="none"/>
          <w:u w:val="none"/>
        </w:rPr>
        <w:t>（2）具体的质疑事项及明确的请求；</w:t>
      </w:r>
    </w:p>
    <w:p w14:paraId="449382C9">
      <w:pPr>
        <w:pageBreakBefore w:val="0"/>
        <w:tabs>
          <w:tab w:val="left" w:pos="900"/>
        </w:tabs>
        <w:kinsoku/>
        <w:topLinePunct w:val="0"/>
        <w:bidi w:val="0"/>
        <w:spacing w:line="360" w:lineRule="auto"/>
        <w:ind w:firstLine="420" w:firstLineChars="200"/>
        <w:rPr>
          <w:rFonts w:ascii="宋体" w:hAnsi="宋体"/>
          <w:color w:val="auto"/>
          <w:szCs w:val="21"/>
          <w:highlight w:val="none"/>
          <w:u w:val="none"/>
        </w:rPr>
      </w:pPr>
      <w:r>
        <w:rPr>
          <w:rFonts w:hint="eastAsia" w:ascii="宋体" w:hAnsi="宋体"/>
          <w:color w:val="auto"/>
          <w:szCs w:val="21"/>
          <w:highlight w:val="none"/>
          <w:u w:val="none"/>
        </w:rPr>
        <w:t>（3）认为自己合法权益受到损害或可能受到损害的相关证据材料；</w:t>
      </w:r>
    </w:p>
    <w:p w14:paraId="07012E6C">
      <w:pPr>
        <w:pageBreakBefore w:val="0"/>
        <w:tabs>
          <w:tab w:val="left" w:pos="900"/>
        </w:tabs>
        <w:kinsoku/>
        <w:topLinePunct w:val="0"/>
        <w:bidi w:val="0"/>
        <w:spacing w:line="360" w:lineRule="auto"/>
        <w:ind w:firstLine="420" w:firstLineChars="200"/>
        <w:rPr>
          <w:rFonts w:ascii="宋体" w:hAnsi="宋体"/>
          <w:color w:val="auto"/>
          <w:szCs w:val="21"/>
          <w:highlight w:val="none"/>
          <w:u w:val="none"/>
        </w:rPr>
      </w:pPr>
      <w:r>
        <w:rPr>
          <w:rFonts w:hint="eastAsia" w:ascii="宋体" w:hAnsi="宋体"/>
          <w:color w:val="auto"/>
          <w:szCs w:val="21"/>
          <w:highlight w:val="none"/>
          <w:u w:val="none"/>
        </w:rPr>
        <w:t>（4）提起质疑的日期；</w:t>
      </w:r>
    </w:p>
    <w:p w14:paraId="24B69DF7">
      <w:pPr>
        <w:pageBreakBefore w:val="0"/>
        <w:tabs>
          <w:tab w:val="left" w:pos="900"/>
        </w:tabs>
        <w:kinsoku/>
        <w:topLinePunct w:val="0"/>
        <w:bidi w:val="0"/>
        <w:spacing w:line="360" w:lineRule="auto"/>
        <w:ind w:firstLine="420" w:firstLineChars="200"/>
        <w:rPr>
          <w:rFonts w:ascii="宋体" w:hAnsi="宋体"/>
          <w:color w:val="auto"/>
          <w:szCs w:val="21"/>
          <w:highlight w:val="none"/>
          <w:u w:val="none"/>
        </w:rPr>
      </w:pPr>
      <w:r>
        <w:rPr>
          <w:rFonts w:hint="eastAsia" w:ascii="宋体" w:hAnsi="宋体"/>
          <w:color w:val="auto"/>
          <w:szCs w:val="21"/>
          <w:highlight w:val="none"/>
          <w:u w:val="none"/>
        </w:rPr>
        <w:t>（5）质疑函应当署名：质疑人为自然人的，应当由本人签字并附有效身份证明；质疑人为法人或其他组织的，应当由法定代表人签字并加盖单位公章。质疑人委托代理质疑的，应当向代理机构提交授权委托书，并载明委托代理的具体权限和事项。</w:t>
      </w:r>
    </w:p>
    <w:p w14:paraId="337B1575">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lang w:val="en-US" w:eastAsia="zh-CN"/>
        </w:rPr>
        <w:t>5</w:t>
      </w:r>
      <w:r>
        <w:rPr>
          <w:rFonts w:hint="eastAsia" w:ascii="宋体" w:hAnsi="宋体" w:cs="宋体"/>
          <w:color w:val="auto"/>
          <w:szCs w:val="21"/>
          <w:highlight w:val="none"/>
          <w:u w:val="none"/>
        </w:rPr>
        <w:t>.提出质疑时，必须坚持“谁主张，谁举证”、“实事求是”的原则，不能臆测。属于须由法定部门调查、侦查或先行作出相关认定的事项，质疑人应当依法申请具有法定职权的部门查清、认定，并将相关结果提供给采购单位或采购代理机构。采购单位或采购代理机构不具有法定调查、认定权限。</w:t>
      </w:r>
    </w:p>
    <w:p w14:paraId="35034FBF">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lang w:val="en-US" w:eastAsia="zh-CN"/>
        </w:rPr>
        <w:t>6</w:t>
      </w:r>
      <w:r>
        <w:rPr>
          <w:rFonts w:hint="eastAsia" w:ascii="宋体" w:hAnsi="宋体" w:cs="宋体"/>
          <w:color w:val="auto"/>
          <w:szCs w:val="21"/>
          <w:highlight w:val="none"/>
          <w:u w:val="none"/>
        </w:rPr>
        <w:t>.对本次招标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p>
    <w:p w14:paraId="23FDB4DD">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对不能提供相关佐证材料的、涉及商业秘密的、非书面形式的、非送达的、匿名的《质疑函》将不予受理。</w:t>
      </w:r>
    </w:p>
    <w:p w14:paraId="59291629">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相关佐证材料要具备客观性、关联性、合法性，无法查实的（如宣传册、媒体报道、猜测、推理等）不能作为佐证材料。</w:t>
      </w:r>
    </w:p>
    <w:p w14:paraId="23ED6372">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采购单位或采购代理机构不负责搜集相关佐证材料等工作。</w:t>
      </w:r>
    </w:p>
    <w:p w14:paraId="0788CDF6">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（二）《质疑函》的受理和回复</w:t>
      </w:r>
    </w:p>
    <w:p w14:paraId="10604865">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1.《质疑函》须由质疑人的法定代表人或参加本次磋商被授权人送达采购单位和采购代理机构。质疑答复依据《政府采购质疑和投诉办法》（财政部令第94号）。采购人或采购代理机构质疑接收人及联系方式，见磋商</w:t>
      </w:r>
      <w:r>
        <w:rPr>
          <w:rFonts w:hint="eastAsia"/>
          <w:color w:val="auto"/>
          <w:szCs w:val="21"/>
          <w:highlight w:val="none"/>
          <w:u w:val="none"/>
        </w:rPr>
        <w:t>文件第一部分。</w:t>
      </w:r>
    </w:p>
    <w:p w14:paraId="55A933E8">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2.对符合质疑要求的，采购单位、采购代理机构签收并出具《质疑受理通知书》。在处理过程中，发现需要质疑人进一步补充相关佐证材料的，请质疑人在规定的时间内提供，质疑回复时间相应顺延。质疑人不能按时提供相关佐证材料的，视同放弃质疑。</w:t>
      </w:r>
    </w:p>
    <w:p w14:paraId="2FB7DEFD">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3.对不符合质疑要求的，出具《质疑退回通知书》并提出相关补充材料要求，质疑人未在规定的时间内提供补充佐证材料的，视同放弃质疑。</w:t>
      </w:r>
    </w:p>
    <w:p w14:paraId="6E81BD7B">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4.采购单位、采购代理机构负责将质疑人提出的质疑相关材料提供给相关专家或评审小组审核，并将审核意见回复质疑人。</w:t>
      </w:r>
    </w:p>
    <w:p w14:paraId="7CBDC370">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5.因质疑情况复杂，组织论证或审查时间较长的，采购单位、采购代理机构以书面形式通知质疑人，可适当延长质疑回复处理时间。</w:t>
      </w:r>
    </w:p>
    <w:p w14:paraId="459708BC">
      <w:pPr>
        <w:pageBreakBefore w:val="0"/>
        <w:kinsoku/>
        <w:topLinePunct w:val="0"/>
        <w:bidi w:val="0"/>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（三）质疑处理</w:t>
      </w:r>
    </w:p>
    <w:p w14:paraId="1627A06A">
      <w:pPr>
        <w:pageBreakBefore w:val="0"/>
        <w:tabs>
          <w:tab w:val="left" w:pos="900"/>
        </w:tabs>
        <w:kinsoku/>
        <w:topLinePunct w:val="0"/>
        <w:bidi w:val="0"/>
        <w:spacing w:line="360" w:lineRule="auto"/>
        <w:ind w:firstLine="420" w:firstLineChars="200"/>
        <w:rPr>
          <w:rFonts w:ascii="宋体" w:hAnsi="宋体"/>
          <w:color w:val="auto"/>
          <w:szCs w:val="21"/>
          <w:highlight w:val="none"/>
          <w:u w:val="none"/>
        </w:rPr>
      </w:pPr>
      <w:r>
        <w:rPr>
          <w:rFonts w:hint="eastAsia" w:ascii="宋体" w:hAnsi="宋体"/>
          <w:color w:val="auto"/>
          <w:szCs w:val="21"/>
          <w:highlight w:val="none"/>
          <w:u w:val="none"/>
          <w:lang w:val="en-US" w:eastAsia="zh-CN"/>
        </w:rPr>
        <w:t>1.</w:t>
      </w:r>
      <w:r>
        <w:rPr>
          <w:rFonts w:hint="eastAsia" w:ascii="宋体" w:hAnsi="宋体"/>
          <w:color w:val="auto"/>
          <w:szCs w:val="21"/>
          <w:highlight w:val="none"/>
          <w:u w:val="none"/>
        </w:rPr>
        <w:t>代理机构收到质疑函后，将对质疑</w:t>
      </w:r>
      <w:r>
        <w:rPr>
          <w:rFonts w:hint="eastAsia" w:ascii="宋体" w:hAnsi="宋体"/>
          <w:color w:val="auto"/>
          <w:szCs w:val="21"/>
          <w:highlight w:val="none"/>
          <w:u w:val="none"/>
          <w:lang w:val="en-US" w:eastAsia="zh-CN"/>
        </w:rPr>
        <w:t>函</w:t>
      </w:r>
      <w:r>
        <w:rPr>
          <w:rFonts w:hint="eastAsia" w:ascii="宋体" w:hAnsi="宋体"/>
          <w:color w:val="auto"/>
          <w:szCs w:val="21"/>
          <w:highlight w:val="none"/>
          <w:u w:val="none"/>
        </w:rPr>
        <w:t>的形式和内容进行审查，如质疑函内容、格式不符合规定，代理机构将告知质疑人进行补正。</w:t>
      </w:r>
    </w:p>
    <w:p w14:paraId="1AC57FBA">
      <w:pPr>
        <w:pageBreakBefore w:val="0"/>
        <w:tabs>
          <w:tab w:val="left" w:pos="900"/>
        </w:tabs>
        <w:kinsoku/>
        <w:topLinePunct w:val="0"/>
        <w:bidi w:val="0"/>
        <w:spacing w:line="360" w:lineRule="auto"/>
        <w:ind w:firstLine="420" w:firstLineChars="200"/>
        <w:rPr>
          <w:rFonts w:ascii="宋体" w:hAnsi="宋体"/>
          <w:color w:val="auto"/>
          <w:szCs w:val="21"/>
          <w:highlight w:val="none"/>
          <w:u w:val="none"/>
        </w:rPr>
      </w:pPr>
      <w:r>
        <w:rPr>
          <w:rFonts w:hint="eastAsia" w:ascii="宋体" w:hAnsi="宋体"/>
          <w:color w:val="auto"/>
          <w:szCs w:val="21"/>
          <w:highlight w:val="none"/>
          <w:u w:val="none"/>
          <w:lang w:val="en-US" w:eastAsia="zh-CN"/>
        </w:rPr>
        <w:t>2.</w:t>
      </w:r>
      <w:r>
        <w:rPr>
          <w:rFonts w:hint="eastAsia" w:ascii="宋体" w:hAnsi="宋体"/>
          <w:color w:val="auto"/>
          <w:szCs w:val="21"/>
          <w:highlight w:val="none"/>
          <w:u w:val="none"/>
        </w:rPr>
        <w:t>质疑人应当在法定质疑期限内进行补正并重新提交质疑函，拒不补正或者在法定期限内未重新提交质疑函的，为无效质疑，代理机构有权不予受理。</w:t>
      </w:r>
    </w:p>
    <w:p w14:paraId="00D78E82">
      <w:pPr>
        <w:pageBreakBefore w:val="0"/>
        <w:tabs>
          <w:tab w:val="left" w:pos="900"/>
        </w:tabs>
        <w:kinsoku/>
        <w:topLinePunct w:val="0"/>
        <w:bidi w:val="0"/>
        <w:spacing w:line="360" w:lineRule="auto"/>
        <w:ind w:firstLine="420" w:firstLineChars="200"/>
        <w:rPr>
          <w:rFonts w:ascii="宋体" w:hAnsi="宋体"/>
          <w:color w:val="auto"/>
          <w:szCs w:val="21"/>
          <w:highlight w:val="none"/>
          <w:u w:val="none"/>
        </w:rPr>
      </w:pPr>
      <w:r>
        <w:rPr>
          <w:rFonts w:hint="eastAsia" w:ascii="宋体" w:hAnsi="宋体"/>
          <w:color w:val="auto"/>
          <w:szCs w:val="21"/>
          <w:highlight w:val="none"/>
          <w:u w:val="none"/>
          <w:lang w:val="en-US" w:eastAsia="zh-CN"/>
        </w:rPr>
        <w:t>3.</w:t>
      </w:r>
      <w:r>
        <w:rPr>
          <w:rFonts w:hint="eastAsia" w:ascii="宋体" w:hAnsi="宋体"/>
          <w:color w:val="auto"/>
          <w:szCs w:val="21"/>
          <w:highlight w:val="none"/>
          <w:u w:val="none"/>
        </w:rPr>
        <w:t>对于内容、格式符合规定的质疑函，代理机构将在收到参加磋商供应商的书面质疑后七个工作日内作出答复，并以书面形式通知质疑供应商和其他相关供应商，答复的内容不涉及商业秘密。</w:t>
      </w:r>
    </w:p>
    <w:p w14:paraId="522FC5A9">
      <w:pPr>
        <w:pageBreakBefore w:val="0"/>
        <w:tabs>
          <w:tab w:val="left" w:pos="900"/>
        </w:tabs>
        <w:kinsoku/>
        <w:topLinePunct w:val="0"/>
        <w:bidi w:val="0"/>
        <w:spacing w:line="360" w:lineRule="auto"/>
        <w:ind w:firstLine="420" w:firstLineChars="200"/>
        <w:rPr>
          <w:rFonts w:ascii="宋体" w:hAnsi="宋体"/>
          <w:color w:val="auto"/>
          <w:szCs w:val="21"/>
          <w:highlight w:val="none"/>
          <w:u w:val="none"/>
        </w:rPr>
      </w:pPr>
      <w:r>
        <w:rPr>
          <w:rFonts w:hint="eastAsia" w:ascii="宋体" w:hAnsi="宋体"/>
          <w:color w:val="auto"/>
          <w:szCs w:val="21"/>
          <w:highlight w:val="none"/>
          <w:u w:val="none"/>
          <w:lang w:val="en-US" w:eastAsia="zh-CN"/>
        </w:rPr>
        <w:t>4.</w:t>
      </w:r>
      <w:r>
        <w:rPr>
          <w:rFonts w:hint="eastAsia" w:ascii="宋体" w:hAnsi="宋体"/>
          <w:color w:val="auto"/>
          <w:szCs w:val="21"/>
          <w:highlight w:val="none"/>
          <w:u w:val="none"/>
        </w:rPr>
        <w:t>供应商提出书面质疑必须有理、有据，不得恶意质疑或提交虚假质疑。否则，一经查实，代理机构有权依据政府采购的有关规定，报请政府采购监管部门对该供应商进行相应的行政处罚。</w:t>
      </w:r>
    </w:p>
    <w:p w14:paraId="012A6AAB">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2" w:firstLineChars="200"/>
        <w:jc w:val="both"/>
        <w:textAlignment w:val="baseline"/>
        <w:rPr>
          <w:rFonts w:hint="eastAsia" w:ascii="宋体" w:hAnsi="宋体" w:eastAsia="宋体" w:cs="宋体"/>
          <w:b/>
          <w:bCs/>
          <w:color w:val="auto"/>
          <w:kern w:val="2"/>
          <w:sz w:val="21"/>
          <w:szCs w:val="24"/>
          <w:highlight w:val="none"/>
          <w:u w:val="none"/>
          <w:vertAlign w:val="baseline"/>
          <w:lang w:val="en-US" w:eastAsia="zh-CN" w:bidi="ar"/>
        </w:rPr>
      </w:pPr>
      <w:r>
        <w:rPr>
          <w:rFonts w:hint="eastAsia" w:ascii="宋体" w:hAnsi="宋体" w:eastAsia="宋体" w:cs="宋体"/>
          <w:b/>
          <w:bCs/>
          <w:color w:val="auto"/>
          <w:kern w:val="2"/>
          <w:sz w:val="21"/>
          <w:szCs w:val="24"/>
          <w:highlight w:val="none"/>
          <w:u w:val="none"/>
          <w:vertAlign w:val="baseline"/>
          <w:lang w:val="en-US" w:eastAsia="zh-CN" w:bidi="ar"/>
        </w:rPr>
        <w:t>八、其他事项说明：</w:t>
      </w:r>
    </w:p>
    <w:p w14:paraId="534AD97E">
      <w:pPr>
        <w:snapToGrid w:val="0"/>
        <w:spacing w:line="360" w:lineRule="auto"/>
        <w:ind w:firstLine="420" w:firstLineChars="200"/>
        <w:textAlignment w:val="baseline"/>
        <w:rPr>
          <w:rFonts w:hint="eastAsia" w:ascii="宋体" w:hAnsi="宋体" w:cs="宋体"/>
          <w:color w:val="auto"/>
          <w:highlight w:val="none"/>
          <w:u w:val="none"/>
        </w:rPr>
      </w:pPr>
      <w:r>
        <w:rPr>
          <w:rFonts w:hint="eastAsia" w:ascii="宋体" w:hAnsi="宋体" w:cs="宋体"/>
          <w:color w:val="auto"/>
          <w:highlight w:val="none"/>
          <w:u w:val="none"/>
        </w:rPr>
        <w:t>采购项目需要落实的政府采购相关法律法规及政策：</w:t>
      </w:r>
    </w:p>
    <w:p w14:paraId="79869987">
      <w:pPr>
        <w:snapToGrid w:val="0"/>
        <w:spacing w:line="360" w:lineRule="auto"/>
        <w:ind w:firstLine="420" w:firstLineChars="200"/>
        <w:textAlignment w:val="baseline"/>
        <w:rPr>
          <w:rFonts w:hint="eastAsia" w:ascii="宋体" w:hAnsi="宋体" w:cs="宋体"/>
          <w:color w:val="auto"/>
          <w:highlight w:val="none"/>
          <w:u w:val="none"/>
        </w:rPr>
      </w:pPr>
      <w:r>
        <w:rPr>
          <w:rFonts w:hint="eastAsia" w:ascii="宋体" w:hAnsi="宋体" w:cs="宋体"/>
          <w:color w:val="auto"/>
          <w:highlight w:val="none"/>
          <w:u w:val="none"/>
        </w:rPr>
        <w:t>1.《中华人民共和国政府采购法》</w:t>
      </w:r>
    </w:p>
    <w:p w14:paraId="3BBCC4C8">
      <w:pPr>
        <w:snapToGrid w:val="0"/>
        <w:spacing w:line="360" w:lineRule="auto"/>
        <w:ind w:firstLine="420" w:firstLineChars="200"/>
        <w:textAlignment w:val="baseline"/>
        <w:rPr>
          <w:rFonts w:hint="eastAsia" w:ascii="宋体" w:hAnsi="宋体" w:cs="宋体"/>
          <w:color w:val="auto"/>
          <w:highlight w:val="none"/>
          <w:u w:val="none"/>
        </w:rPr>
      </w:pPr>
      <w:r>
        <w:rPr>
          <w:rFonts w:hint="eastAsia" w:ascii="宋体" w:hAnsi="宋体" w:cs="宋体"/>
          <w:color w:val="auto"/>
          <w:highlight w:val="none"/>
          <w:u w:val="none"/>
        </w:rPr>
        <w:t>2.《中华人民共和国政府采购法实施条例》</w:t>
      </w:r>
    </w:p>
    <w:p w14:paraId="53D6067F">
      <w:pPr>
        <w:snapToGrid w:val="0"/>
        <w:spacing w:line="360" w:lineRule="auto"/>
        <w:ind w:firstLine="420" w:firstLineChars="200"/>
        <w:textAlignment w:val="baseline"/>
        <w:rPr>
          <w:rFonts w:hint="eastAsia" w:ascii="宋体" w:hAnsi="宋体" w:cs="宋体"/>
          <w:color w:val="auto"/>
          <w:highlight w:val="none"/>
          <w:u w:val="none"/>
        </w:rPr>
      </w:pPr>
      <w:r>
        <w:rPr>
          <w:rFonts w:hint="eastAsia" w:ascii="宋体" w:hAnsi="宋体" w:cs="宋体"/>
          <w:color w:val="auto"/>
          <w:highlight w:val="none"/>
          <w:u w:val="none"/>
        </w:rPr>
        <w:t>3.《政府采购竞争性磋商采购方式管理办法》</w:t>
      </w:r>
    </w:p>
    <w:p w14:paraId="54C407CF">
      <w:pPr>
        <w:snapToGrid w:val="0"/>
        <w:spacing w:line="360" w:lineRule="auto"/>
        <w:ind w:firstLine="420" w:firstLineChars="200"/>
        <w:textAlignment w:val="baseline"/>
        <w:rPr>
          <w:rFonts w:hint="eastAsia" w:ascii="宋体" w:hAnsi="宋体" w:cs="宋体"/>
          <w:color w:val="auto"/>
          <w:highlight w:val="none"/>
          <w:u w:val="none"/>
        </w:rPr>
      </w:pPr>
      <w:r>
        <w:rPr>
          <w:rFonts w:hint="eastAsia" w:ascii="宋体" w:hAnsi="宋体" w:cs="宋体"/>
          <w:color w:val="auto"/>
          <w:highlight w:val="none"/>
          <w:u w:val="none"/>
        </w:rPr>
        <w:t xml:space="preserve">4.政府采购促进中小企业发展办法的通知——财库〔2020〕46号 </w:t>
      </w:r>
    </w:p>
    <w:p w14:paraId="7F6C6996">
      <w:pPr>
        <w:snapToGrid w:val="0"/>
        <w:spacing w:line="360" w:lineRule="auto"/>
        <w:ind w:firstLine="420" w:firstLineChars="200"/>
        <w:textAlignment w:val="baseline"/>
        <w:rPr>
          <w:rFonts w:hint="eastAsia" w:ascii="宋体" w:hAnsi="宋体" w:cs="宋体"/>
          <w:color w:val="auto"/>
          <w:highlight w:val="none"/>
          <w:u w:val="none"/>
        </w:rPr>
      </w:pPr>
      <w:r>
        <w:rPr>
          <w:rFonts w:hint="eastAsia" w:ascii="宋体" w:hAnsi="宋体" w:cs="宋体"/>
          <w:color w:val="auto"/>
          <w:highlight w:val="none"/>
          <w:u w:val="none"/>
        </w:rPr>
        <w:t>4.1若本项目专门面向中小微企业，不再进行价格扣除。</w:t>
      </w:r>
    </w:p>
    <w:p w14:paraId="7D1B9414">
      <w:pPr>
        <w:snapToGrid w:val="0"/>
        <w:spacing w:line="360" w:lineRule="auto"/>
        <w:ind w:firstLine="420" w:firstLineChars="200"/>
        <w:textAlignment w:val="baseline"/>
        <w:rPr>
          <w:rFonts w:hint="eastAsia" w:ascii="宋体" w:hAnsi="宋体" w:cs="宋体"/>
          <w:color w:val="auto"/>
          <w:highlight w:val="none"/>
          <w:u w:val="none"/>
        </w:rPr>
      </w:pPr>
      <w:r>
        <w:rPr>
          <w:rFonts w:hint="eastAsia" w:ascii="宋体" w:hAnsi="宋体" w:cs="宋体"/>
          <w:color w:val="auto"/>
          <w:highlight w:val="none"/>
          <w:u w:val="none"/>
        </w:rPr>
        <w:t>4.2若本项目不专门面向中小微企业，执行以下政策：</w:t>
      </w:r>
    </w:p>
    <w:p w14:paraId="260CB562">
      <w:pPr>
        <w:snapToGrid w:val="0"/>
        <w:spacing w:line="360" w:lineRule="auto"/>
        <w:ind w:firstLine="420" w:firstLineChars="200"/>
        <w:textAlignment w:val="baseline"/>
        <w:rPr>
          <w:rFonts w:hint="eastAsia" w:ascii="宋体" w:hAnsi="宋体" w:cs="宋体"/>
          <w:color w:val="auto"/>
          <w:highlight w:val="none"/>
          <w:u w:val="none"/>
        </w:rPr>
      </w:pPr>
      <w:r>
        <w:rPr>
          <w:rFonts w:hint="eastAsia" w:ascii="宋体" w:hAnsi="宋体" w:cs="宋体"/>
          <w:color w:val="auto"/>
          <w:highlight w:val="none"/>
          <w:u w:val="none"/>
        </w:rPr>
        <w:t>4.2.1供应商需按照采购文件的要求提供相应的《小微企业声明函》。</w:t>
      </w:r>
    </w:p>
    <w:p w14:paraId="50973CA7">
      <w:pPr>
        <w:snapToGrid w:val="0"/>
        <w:spacing w:line="360" w:lineRule="auto"/>
        <w:ind w:firstLine="420" w:firstLineChars="200"/>
        <w:textAlignment w:val="baseline"/>
        <w:rPr>
          <w:rFonts w:hint="eastAsia" w:ascii="宋体" w:hAnsi="宋体" w:cs="宋体"/>
          <w:color w:val="auto"/>
          <w:highlight w:val="none"/>
          <w:u w:val="none"/>
        </w:rPr>
      </w:pPr>
      <w:r>
        <w:rPr>
          <w:rFonts w:hint="eastAsia" w:ascii="宋体" w:hAnsi="宋体" w:cs="宋体"/>
          <w:color w:val="auto"/>
          <w:highlight w:val="none"/>
          <w:u w:val="none"/>
        </w:rPr>
        <w:t>企业标准请参照《关于印发中小企业划型标准规定的通知》（工信部联企业〔2011〕300号）文件规定自行填写。</w:t>
      </w:r>
    </w:p>
    <w:p w14:paraId="54FEBA85">
      <w:pPr>
        <w:snapToGrid w:val="0"/>
        <w:spacing w:line="360" w:lineRule="auto"/>
        <w:ind w:firstLine="420" w:firstLineChars="200"/>
        <w:textAlignment w:val="baseline"/>
        <w:rPr>
          <w:rFonts w:hint="eastAsia" w:ascii="宋体" w:hAnsi="宋体" w:cs="宋体"/>
          <w:color w:val="auto"/>
          <w:highlight w:val="none"/>
          <w:u w:val="none"/>
        </w:rPr>
      </w:pPr>
      <w:r>
        <w:rPr>
          <w:rFonts w:hint="eastAsia" w:ascii="宋体" w:hAnsi="宋体" w:cs="宋体"/>
          <w:color w:val="auto"/>
          <w:highlight w:val="none"/>
          <w:u w:val="none"/>
        </w:rPr>
        <w:t>4.2.2监狱和戒毒企业</w:t>
      </w:r>
    </w:p>
    <w:p w14:paraId="4B4650B7">
      <w:pPr>
        <w:snapToGrid w:val="0"/>
        <w:spacing w:line="360" w:lineRule="auto"/>
        <w:ind w:firstLine="420" w:firstLineChars="200"/>
        <w:textAlignment w:val="baseline"/>
        <w:rPr>
          <w:rFonts w:hint="eastAsia" w:ascii="宋体" w:hAnsi="宋体" w:cs="宋体"/>
          <w:color w:val="auto"/>
          <w:highlight w:val="none"/>
          <w:u w:val="none"/>
        </w:rPr>
      </w:pPr>
      <w:r>
        <w:rPr>
          <w:rFonts w:hint="eastAsia" w:ascii="宋体" w:hAnsi="宋体" w:cs="宋体"/>
          <w:color w:val="auto"/>
          <w:highlight w:val="none"/>
          <w:u w:val="none"/>
        </w:rPr>
        <w:t>（1）监狱企业参加政府采购活动时，需提供由省级以上监狱管理局、戒毒管理局（含新疆生产建设兵团）出具的属于监狱企业的证明文件。</w:t>
      </w:r>
    </w:p>
    <w:p w14:paraId="6393527F">
      <w:pPr>
        <w:snapToGrid w:val="0"/>
        <w:spacing w:line="360" w:lineRule="auto"/>
        <w:ind w:firstLine="420" w:firstLineChars="200"/>
        <w:textAlignment w:val="baseline"/>
        <w:rPr>
          <w:rFonts w:hint="eastAsia" w:ascii="宋体" w:hAnsi="宋体" w:cs="宋体"/>
          <w:color w:val="auto"/>
          <w:highlight w:val="none"/>
          <w:u w:val="none"/>
        </w:rPr>
      </w:pPr>
      <w:r>
        <w:rPr>
          <w:rFonts w:hint="eastAsia" w:ascii="宋体" w:hAnsi="宋体" w:cs="宋体"/>
          <w:color w:val="auto"/>
          <w:highlight w:val="none"/>
          <w:u w:val="none"/>
        </w:rPr>
        <w:t>（2）监狱企业标准请参照《关于政府采购支持监狱企业发展有关问题的通知》（财库〔2014〕68号）。</w:t>
      </w:r>
    </w:p>
    <w:p w14:paraId="25D0C00F">
      <w:pPr>
        <w:snapToGrid w:val="0"/>
        <w:spacing w:line="360" w:lineRule="auto"/>
        <w:ind w:firstLine="420" w:firstLineChars="200"/>
        <w:textAlignment w:val="baseline"/>
        <w:rPr>
          <w:rFonts w:hint="eastAsia" w:ascii="宋体" w:hAnsi="宋体" w:cs="宋体"/>
          <w:color w:val="auto"/>
          <w:highlight w:val="none"/>
          <w:u w:val="none"/>
        </w:rPr>
      </w:pPr>
      <w:r>
        <w:rPr>
          <w:rFonts w:hint="eastAsia" w:ascii="宋体" w:hAnsi="宋体" w:cs="宋体"/>
          <w:color w:val="auto"/>
          <w:highlight w:val="none"/>
          <w:u w:val="none"/>
        </w:rPr>
        <w:t>4.2.3残疾人福利单位</w:t>
      </w:r>
    </w:p>
    <w:p w14:paraId="5464C4D5">
      <w:pPr>
        <w:snapToGrid w:val="0"/>
        <w:spacing w:line="360" w:lineRule="auto"/>
        <w:ind w:firstLine="420" w:firstLineChars="200"/>
        <w:textAlignment w:val="baseline"/>
        <w:rPr>
          <w:rFonts w:hint="eastAsia" w:ascii="宋体" w:hAnsi="宋体" w:cs="宋体"/>
          <w:color w:val="auto"/>
          <w:highlight w:val="none"/>
          <w:u w:val="none"/>
        </w:rPr>
      </w:pPr>
      <w:r>
        <w:rPr>
          <w:rFonts w:hint="eastAsia" w:ascii="宋体" w:hAnsi="宋体" w:cs="宋体"/>
          <w:color w:val="auto"/>
          <w:highlight w:val="none"/>
          <w:u w:val="none"/>
        </w:rPr>
        <w:t>（1）残疾人福利单位需按照采购文件的要求提供《残疾人福利性单位声明函》。</w:t>
      </w:r>
    </w:p>
    <w:p w14:paraId="38E000DD">
      <w:pPr>
        <w:snapToGrid w:val="0"/>
        <w:spacing w:line="360" w:lineRule="auto"/>
        <w:ind w:firstLine="420" w:firstLineChars="200"/>
        <w:textAlignment w:val="baseline"/>
        <w:rPr>
          <w:rFonts w:hint="eastAsia" w:ascii="宋体" w:hAnsi="宋体" w:cs="宋体"/>
          <w:color w:val="auto"/>
          <w:highlight w:val="none"/>
          <w:u w:val="none"/>
        </w:rPr>
      </w:pPr>
      <w:r>
        <w:rPr>
          <w:rFonts w:hint="eastAsia" w:ascii="宋体" w:hAnsi="宋体" w:cs="宋体"/>
          <w:color w:val="auto"/>
          <w:highlight w:val="none"/>
          <w:u w:val="none"/>
        </w:rPr>
        <w:t>（2）残疾人福利单位标准请参照《关于促进残疾人就业政府采购政策的通知》（财库〔2017〕141号）。</w:t>
      </w:r>
    </w:p>
    <w:p w14:paraId="048DDDD4">
      <w:pPr>
        <w:snapToGrid w:val="0"/>
        <w:spacing w:line="360" w:lineRule="auto"/>
        <w:ind w:firstLine="420" w:firstLineChars="200"/>
        <w:textAlignment w:val="baseline"/>
        <w:rPr>
          <w:rFonts w:hint="eastAsia" w:ascii="宋体" w:hAnsi="宋体" w:cs="宋体"/>
          <w:color w:val="auto"/>
          <w:highlight w:val="none"/>
          <w:u w:val="none"/>
        </w:rPr>
      </w:pPr>
      <w:r>
        <w:rPr>
          <w:rFonts w:hint="eastAsia" w:ascii="宋体" w:hAnsi="宋体" w:cs="宋体"/>
          <w:color w:val="auto"/>
          <w:highlight w:val="none"/>
          <w:u w:val="none"/>
        </w:rPr>
        <w:t>5.残疾人福利单位、监狱企业属于小型、微型企业的，不重复享受政策。</w:t>
      </w:r>
    </w:p>
    <w:p w14:paraId="5183C2B1">
      <w:pPr>
        <w:snapToGrid w:val="0"/>
        <w:spacing w:line="360" w:lineRule="auto"/>
        <w:ind w:firstLine="420" w:firstLineChars="200"/>
        <w:textAlignment w:val="baseline"/>
        <w:rPr>
          <w:rFonts w:hint="eastAsia" w:ascii="宋体" w:hAnsi="宋体" w:cs="宋体"/>
          <w:color w:val="auto"/>
          <w:highlight w:val="none"/>
          <w:u w:val="none"/>
        </w:rPr>
      </w:pPr>
      <w:r>
        <w:rPr>
          <w:rFonts w:hint="eastAsia" w:ascii="宋体" w:hAnsi="宋体" w:cs="宋体"/>
          <w:color w:val="auto"/>
          <w:highlight w:val="none"/>
          <w:u w:val="none"/>
        </w:rPr>
        <w:t>6.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p>
    <w:p w14:paraId="46D0CE60">
      <w:pPr>
        <w:snapToGrid w:val="0"/>
        <w:spacing w:line="360" w:lineRule="auto"/>
        <w:ind w:firstLine="420" w:firstLineChars="200"/>
        <w:textAlignment w:val="baseline"/>
        <w:rPr>
          <w:rFonts w:hint="eastAsia" w:ascii="宋体" w:hAnsi="宋体" w:cs="宋体"/>
          <w:color w:val="auto"/>
          <w:highlight w:val="none"/>
          <w:u w:val="none"/>
        </w:rPr>
      </w:pPr>
      <w:r>
        <w:rPr>
          <w:rFonts w:hint="eastAsia" w:ascii="宋体" w:hAnsi="宋体" w:cs="宋体"/>
          <w:color w:val="auto"/>
          <w:highlight w:val="none"/>
          <w:u w:val="none"/>
        </w:rPr>
        <w:t>联合体各方均为小型、微型企业（残疾人福利单位、监狱企业）的，联合体享受10%（备注：与小微型企业价格扣除数值保持一致。确定后该备注删除）价格扣除，用扣除后的价格参与评审。</w:t>
      </w:r>
    </w:p>
    <w:p w14:paraId="538A1D0E">
      <w:pPr>
        <w:snapToGrid w:val="0"/>
        <w:spacing w:line="360" w:lineRule="auto"/>
        <w:ind w:firstLine="420" w:firstLineChars="200"/>
        <w:textAlignment w:val="baseline"/>
        <w:rPr>
          <w:rFonts w:hint="eastAsia" w:ascii="宋体" w:hAnsi="宋体" w:cs="宋体"/>
          <w:color w:val="auto"/>
          <w:highlight w:val="none"/>
          <w:u w:val="none"/>
        </w:rPr>
      </w:pPr>
      <w:r>
        <w:rPr>
          <w:rFonts w:hint="eastAsia" w:ascii="宋体" w:hAnsi="宋体" w:cs="宋体"/>
          <w:color w:val="auto"/>
          <w:highlight w:val="none"/>
          <w:u w:val="none"/>
        </w:rPr>
        <w:t>7.《江苏省财政厅关于进一步加大政府采购支持中小企业力度的通知》苏财购〔2022〕45号</w:t>
      </w:r>
    </w:p>
    <w:p w14:paraId="7489764D">
      <w:pPr>
        <w:snapToGrid w:val="0"/>
        <w:spacing w:line="360" w:lineRule="auto"/>
        <w:ind w:firstLine="420" w:firstLineChars="200"/>
        <w:textAlignment w:val="baseline"/>
        <w:rPr>
          <w:rFonts w:hint="eastAsia" w:ascii="宋体" w:hAnsi="宋体" w:cs="宋体"/>
          <w:color w:val="auto"/>
          <w:highlight w:val="none"/>
          <w:u w:val="none"/>
        </w:rPr>
      </w:pPr>
      <w:r>
        <w:rPr>
          <w:rFonts w:hint="eastAsia" w:ascii="宋体" w:hAnsi="宋体" w:cs="宋体"/>
          <w:color w:val="auto"/>
          <w:highlight w:val="none"/>
          <w:u w:val="none"/>
        </w:rPr>
        <w:t>8.根据《江苏省财政厅关于加强政府绿色采购有关事项的通知》（苏财购〔2023〕65号）文件精神，严格落实政府绿色采购的各项要求。</w:t>
      </w:r>
    </w:p>
    <w:p w14:paraId="588C6E78">
      <w:pPr>
        <w:snapToGrid w:val="0"/>
        <w:spacing w:line="360" w:lineRule="auto"/>
        <w:ind w:firstLine="420" w:firstLineChars="200"/>
        <w:textAlignment w:val="baseline"/>
        <w:rPr>
          <w:rFonts w:hint="eastAsia" w:ascii="宋体" w:hAnsi="宋体" w:cs="宋体"/>
          <w:color w:val="auto"/>
          <w:highlight w:val="none"/>
          <w:u w:val="none"/>
        </w:rPr>
      </w:pPr>
      <w:r>
        <w:rPr>
          <w:rFonts w:hint="eastAsia" w:ascii="宋体" w:hAnsi="宋体" w:cs="宋体"/>
          <w:color w:val="auto"/>
          <w:highlight w:val="none"/>
          <w:u w:val="none"/>
        </w:rPr>
        <w:t>9.节能环保</w:t>
      </w:r>
    </w:p>
    <w:p w14:paraId="1E76CD3C">
      <w:pPr>
        <w:snapToGrid w:val="0"/>
        <w:spacing w:line="360" w:lineRule="auto"/>
        <w:ind w:firstLine="420" w:firstLineChars="200"/>
        <w:textAlignment w:val="baseline"/>
        <w:rPr>
          <w:rFonts w:hint="eastAsia" w:ascii="宋体" w:hAnsi="宋体" w:cs="宋体"/>
          <w:color w:val="auto"/>
          <w:highlight w:val="none"/>
          <w:u w:val="none"/>
        </w:rPr>
      </w:pPr>
      <w:r>
        <w:rPr>
          <w:rFonts w:hint="eastAsia" w:ascii="宋体" w:hAnsi="宋体" w:cs="宋体"/>
          <w:color w:val="auto"/>
          <w:highlight w:val="none"/>
          <w:u w:val="none"/>
        </w:rPr>
        <w:t>本项目中如有涉及节能环保产品要求的，应当按照《财政部、发展改革委、生态环境部、市场监管总局关于调整优化节能产品、环境标志产品政府采购执行机制的通知》（财库〔2019〕9号）文件执行。</w:t>
      </w:r>
    </w:p>
    <w:p w14:paraId="4EAC2FE4">
      <w:pPr>
        <w:snapToGrid w:val="0"/>
        <w:spacing w:line="360" w:lineRule="auto"/>
        <w:ind w:firstLine="420" w:firstLineChars="200"/>
        <w:textAlignment w:val="baseline"/>
        <w:rPr>
          <w:rFonts w:hint="eastAsia" w:ascii="宋体" w:hAnsi="宋体" w:cs="宋体"/>
          <w:color w:val="auto"/>
          <w:highlight w:val="none"/>
          <w:u w:val="none"/>
        </w:rPr>
      </w:pPr>
      <w:r>
        <w:rPr>
          <w:rFonts w:hint="eastAsia" w:ascii="宋体" w:hAnsi="宋体" w:cs="宋体"/>
          <w:color w:val="auto"/>
          <w:highlight w:val="none"/>
          <w:u w:val="none"/>
        </w:rPr>
        <w:t>10.需求标准</w:t>
      </w:r>
    </w:p>
    <w:p w14:paraId="3EB62767">
      <w:pPr>
        <w:snapToGrid w:val="0"/>
        <w:spacing w:line="360" w:lineRule="auto"/>
        <w:ind w:firstLine="420" w:firstLineChars="200"/>
        <w:textAlignment w:val="baseline"/>
        <w:rPr>
          <w:rFonts w:hint="eastAsia" w:ascii="宋体" w:hAnsi="宋体" w:cs="宋体"/>
          <w:color w:val="auto"/>
          <w:highlight w:val="none"/>
          <w:u w:val="none"/>
        </w:rPr>
      </w:pPr>
      <w:r>
        <w:rPr>
          <w:rFonts w:hint="eastAsia" w:ascii="宋体" w:hAnsi="宋体" w:cs="宋体"/>
          <w:color w:val="auto"/>
          <w:highlight w:val="none"/>
          <w:u w:val="none"/>
        </w:rPr>
        <w:t>本项目中如有涉及商品包装、快递包装的，应当按照《关于印发〈商品包装政府采购需求标准（试行）〉、〈快递包装政府采购需求标准（试行）〉的通知》（财办库〔2020〕123号）文件执行。</w:t>
      </w:r>
    </w:p>
    <w:p w14:paraId="6D1271A2">
      <w:pPr>
        <w:snapToGrid w:val="0"/>
        <w:spacing w:line="360" w:lineRule="auto"/>
        <w:ind w:firstLine="420" w:firstLineChars="200"/>
        <w:textAlignment w:val="baseline"/>
        <w:rPr>
          <w:rFonts w:hint="eastAsia" w:ascii="宋体" w:hAnsi="宋体" w:cs="宋体"/>
          <w:color w:val="auto"/>
          <w:highlight w:val="none"/>
          <w:u w:val="none"/>
        </w:rPr>
      </w:pPr>
      <w:r>
        <w:rPr>
          <w:rFonts w:hint="eastAsia" w:ascii="宋体" w:hAnsi="宋体" w:cs="宋体"/>
          <w:color w:val="auto"/>
          <w:highlight w:val="none"/>
          <w:u w:val="none"/>
        </w:rPr>
        <w:t>本项目中如有涉及采购数据中心相关设备、运维服务的，应当按照《关于印发〈绿色数据中心政府采购需求标准（试行）〉的通知》（财办库〔2023〕7号）文件执行。</w:t>
      </w:r>
    </w:p>
    <w:p w14:paraId="779E3E2C">
      <w:pPr>
        <w:snapToGrid w:val="0"/>
        <w:spacing w:line="360" w:lineRule="auto"/>
        <w:ind w:firstLine="420" w:firstLineChars="200"/>
        <w:textAlignment w:val="baseline"/>
        <w:rPr>
          <w:rFonts w:hint="eastAsia" w:ascii="宋体" w:hAnsi="宋体" w:cs="宋体"/>
          <w:color w:val="auto"/>
          <w:highlight w:val="none"/>
          <w:u w:val="none"/>
        </w:rPr>
      </w:pPr>
      <w:r>
        <w:rPr>
          <w:rFonts w:hint="eastAsia" w:ascii="宋体" w:hAnsi="宋体" w:cs="宋体"/>
          <w:color w:val="auto"/>
          <w:highlight w:val="none"/>
          <w:u w:val="none"/>
        </w:rPr>
        <w:t>本项目中如有涉及数据库、操作系统、通用服务器、工作站、一体式计算机、便携式计算机、台式计算机等七种软硬件的，应当按照财政部、工信部共同发布的数据库、操作系统、通用服务器、工作站、一体式计算机、便携式计算机、台式计算机等七种软硬件需求标准执行。</w:t>
      </w:r>
    </w:p>
    <w:p w14:paraId="0CC41499">
      <w:pPr>
        <w:snapToGrid w:val="0"/>
        <w:spacing w:line="360" w:lineRule="auto"/>
        <w:ind w:firstLine="420" w:firstLineChars="200"/>
        <w:textAlignment w:val="baseline"/>
        <w:rPr>
          <w:rFonts w:hint="eastAsia" w:ascii="宋体" w:hAnsi="宋体" w:cs="宋体"/>
          <w:color w:val="auto"/>
          <w:highlight w:val="none"/>
          <w:u w:val="none"/>
        </w:rPr>
      </w:pPr>
      <w:r>
        <w:rPr>
          <w:rFonts w:hint="eastAsia" w:ascii="宋体" w:hAnsi="宋体" w:cs="宋体"/>
          <w:color w:val="auto"/>
          <w:highlight w:val="none"/>
          <w:u w:val="none"/>
        </w:rPr>
        <w:t>11.</w:t>
      </w:r>
      <w:r>
        <w:rPr>
          <w:rFonts w:hint="eastAsia" w:ascii="宋体" w:hAnsi="宋体" w:cs="宋体"/>
          <w:color w:val="auto"/>
          <w:szCs w:val="21"/>
          <w:highlight w:val="none"/>
          <w:u w:val="none"/>
        </w:rPr>
        <w:t>《关于推动解决政府采购异常低价问题相关工作的通知》（苏财购〔2025〕62号）。</w:t>
      </w:r>
    </w:p>
    <w:p w14:paraId="5956F9BD">
      <w:pPr>
        <w:snapToGrid w:val="0"/>
        <w:spacing w:line="360" w:lineRule="auto"/>
        <w:ind w:firstLine="420" w:firstLineChars="200"/>
        <w:textAlignment w:val="baseline"/>
        <w:rPr>
          <w:rFonts w:hint="eastAsia" w:ascii="宋体" w:hAnsi="宋体" w:cs="宋体"/>
          <w:color w:val="auto"/>
          <w:highlight w:val="none"/>
          <w:u w:val="none"/>
        </w:rPr>
        <w:sectPr>
          <w:footerReference r:id="rId7" w:type="default"/>
          <w:pgSz w:w="11906" w:h="16838"/>
          <w:pgMar w:top="1440" w:right="1080" w:bottom="1440" w:left="1080" w:header="851" w:footer="992" w:gutter="0"/>
          <w:pgBorders>
            <w:top w:val="none" w:sz="0" w:space="0"/>
            <w:left w:val="none" w:sz="0" w:space="0"/>
            <w:bottom w:val="none" w:sz="0" w:space="0"/>
            <w:right w:val="none" w:sz="0" w:space="0"/>
          </w:pgBorders>
          <w:cols w:space="720" w:num="1"/>
          <w:docGrid w:type="lines" w:linePitch="312" w:charSpace="0"/>
        </w:sectPr>
      </w:pPr>
      <w:r>
        <w:rPr>
          <w:rFonts w:hint="eastAsia" w:ascii="宋体" w:hAnsi="宋体" w:cs="宋体"/>
          <w:color w:val="auto"/>
          <w:highlight w:val="none"/>
          <w:u w:val="none"/>
        </w:rPr>
        <w:t>12.</w:t>
      </w:r>
      <w:r>
        <w:rPr>
          <w:rFonts w:ascii="宋体" w:hAnsi="宋体" w:cs="宋体"/>
          <w:color w:val="auto"/>
          <w:highlight w:val="none"/>
          <w:u w:val="none"/>
        </w:rPr>
        <w:t>成交供应商</w:t>
      </w:r>
      <w:r>
        <w:rPr>
          <w:rFonts w:hint="eastAsia" w:ascii="宋体" w:hAnsi="宋体" w:cs="宋体"/>
          <w:color w:val="auto"/>
          <w:highlight w:val="none"/>
          <w:u w:val="none"/>
        </w:rPr>
        <w:t>可凭政府采购合同办理融资贷款，详情请见泰州市政府采购网“政采贷”专栏。</w:t>
      </w:r>
    </w:p>
    <w:p w14:paraId="78B79E6D">
      <w:pPr>
        <w:pStyle w:val="3"/>
        <w:numPr>
          <w:ilvl w:val="0"/>
          <w:numId w:val="3"/>
        </w:numPr>
        <w:spacing w:line="360" w:lineRule="auto"/>
        <w:ind w:firstLine="422" w:firstLineChars="200"/>
        <w:jc w:val="center"/>
        <w:rPr>
          <w:rFonts w:hint="eastAsia" w:ascii="宋体" w:hAnsi="宋体" w:eastAsia="宋体"/>
          <w:b/>
          <w:color w:val="auto"/>
          <w:sz w:val="21"/>
          <w:szCs w:val="21"/>
          <w:highlight w:val="none"/>
          <w:u w:val="none"/>
        </w:rPr>
      </w:pPr>
      <w:r>
        <w:rPr>
          <w:rFonts w:hint="eastAsia" w:ascii="宋体" w:hAnsi="宋体" w:eastAsia="宋体"/>
          <w:b/>
          <w:color w:val="auto"/>
          <w:sz w:val="21"/>
          <w:szCs w:val="21"/>
          <w:highlight w:val="none"/>
          <w:u w:val="none"/>
        </w:rPr>
        <w:t xml:space="preserve"> 合同条款及格式</w:t>
      </w:r>
      <w:bookmarkEnd w:id="87"/>
    </w:p>
    <w:p w14:paraId="3745A27A">
      <w:pPr>
        <w:pStyle w:val="23"/>
        <w:tabs>
          <w:tab w:val="left" w:pos="1050"/>
          <w:tab w:val="right" w:leader="dot" w:pos="9402"/>
        </w:tabs>
        <w:spacing w:line="360" w:lineRule="auto"/>
        <w:ind w:left="0"/>
        <w:jc w:val="center"/>
        <w:outlineLvl w:val="0"/>
        <w:rPr>
          <w:rFonts w:hint="eastAsia" w:ascii="宋体" w:hAnsi="宋体" w:cs="宋体"/>
          <w:b/>
          <w:iCs/>
          <w:color w:val="auto"/>
          <w:szCs w:val="21"/>
          <w:highlight w:val="none"/>
          <w:u w:val="none"/>
        </w:rPr>
      </w:pPr>
      <w:r>
        <w:rPr>
          <w:rFonts w:hint="eastAsia" w:ascii="宋体" w:hAnsi="宋体" w:cs="宋体"/>
          <w:b/>
          <w:iCs/>
          <w:color w:val="auto"/>
          <w:szCs w:val="21"/>
          <w:highlight w:val="none"/>
          <w:u w:val="none"/>
        </w:rPr>
        <w:t xml:space="preserve"> 合同授予</w:t>
      </w:r>
    </w:p>
    <w:p w14:paraId="0576E4EF">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一、成交供应商在《成交通知书》</w:t>
      </w:r>
      <w:r>
        <w:rPr>
          <w:rFonts w:hint="eastAsia" w:ascii="宋体" w:hAnsi="宋体" w:cs="宋体"/>
          <w:bCs/>
          <w:color w:val="auto"/>
          <w:szCs w:val="21"/>
          <w:highlight w:val="none"/>
          <w:u w:val="none"/>
        </w:rPr>
        <w:t>发出后30日</w:t>
      </w:r>
      <w:r>
        <w:rPr>
          <w:rFonts w:hint="eastAsia" w:ascii="宋体" w:hAnsi="宋体" w:cs="宋体"/>
          <w:color w:val="auto"/>
          <w:szCs w:val="21"/>
          <w:highlight w:val="none"/>
          <w:u w:val="none"/>
        </w:rPr>
        <w:t>内须按照磋商文件确定的事项签订采购合同。合同一式</w:t>
      </w:r>
      <w:r>
        <w:rPr>
          <w:rFonts w:hint="eastAsia" w:ascii="宋体" w:hAnsi="宋体" w:cs="宋体"/>
          <w:color w:val="auto"/>
          <w:szCs w:val="21"/>
          <w:highlight w:val="none"/>
          <w:u w:val="none"/>
          <w:lang w:val="en-US" w:eastAsia="zh-CN"/>
        </w:rPr>
        <w:t>陆</w:t>
      </w:r>
      <w:r>
        <w:rPr>
          <w:rFonts w:hint="eastAsia" w:ascii="宋体" w:hAnsi="宋体" w:cs="宋体"/>
          <w:color w:val="auto"/>
          <w:szCs w:val="21"/>
          <w:highlight w:val="none"/>
          <w:u w:val="none"/>
        </w:rPr>
        <w:t>份，采购单位</w:t>
      </w:r>
      <w:r>
        <w:rPr>
          <w:rFonts w:hint="eastAsia" w:ascii="宋体" w:hAnsi="宋体" w:cs="宋体"/>
          <w:color w:val="auto"/>
          <w:szCs w:val="21"/>
          <w:highlight w:val="none"/>
          <w:u w:val="none"/>
          <w:lang w:val="en-US" w:eastAsia="zh-CN"/>
        </w:rPr>
        <w:t>叁</w:t>
      </w:r>
      <w:r>
        <w:rPr>
          <w:rFonts w:hint="eastAsia" w:ascii="宋体" w:hAnsi="宋体" w:cs="宋体"/>
          <w:color w:val="auto"/>
          <w:szCs w:val="21"/>
          <w:highlight w:val="none"/>
          <w:u w:val="none"/>
        </w:rPr>
        <w:t>份、供应商</w:t>
      </w:r>
      <w:r>
        <w:rPr>
          <w:rFonts w:hint="eastAsia" w:ascii="宋体" w:hAnsi="宋体" w:cs="宋体"/>
          <w:color w:val="auto"/>
          <w:szCs w:val="21"/>
          <w:highlight w:val="none"/>
          <w:u w:val="none"/>
          <w:lang w:val="en-US" w:eastAsia="zh-CN"/>
        </w:rPr>
        <w:t>叁</w:t>
      </w:r>
      <w:r>
        <w:rPr>
          <w:rFonts w:hint="eastAsia" w:ascii="宋体" w:hAnsi="宋体" w:cs="宋体"/>
          <w:color w:val="auto"/>
          <w:szCs w:val="21"/>
          <w:highlight w:val="none"/>
          <w:u w:val="none"/>
        </w:rPr>
        <w:t xml:space="preserve">份。所签合同不得对磋商文件作实质性修改。采购单位不得向成交供应商提出不合理的要求作为签订合同的条件，不得与成交供应商私下订立背离磋商文件实质性内容的协议。 </w:t>
      </w:r>
    </w:p>
    <w:p w14:paraId="3D396AA8">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二、采购单位按合同约定积极配合成交供应商履约，成交供应商履约到位后，请以书面形式向采购单位提出验收申请，采购单位接到申请后原则上在5个工作日内及时组织相关专业技术人员，必要时邀请质检等部门共同参与验收，并出具验收报告，在法定工作日内支付相应款项。</w:t>
      </w:r>
    </w:p>
    <w:p w14:paraId="5EBD93F5">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三、采购单位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p>
    <w:p w14:paraId="29E2118C">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四、成交供应商出现违约情形，应当及时纠正或补偿；造成损失的，按照合同约定追究违约责任；发现有假冒、伪劣、走私产品、商业贿赂等违法情形的，应由采购单位移交</w:t>
      </w:r>
      <w:r>
        <w:rPr>
          <w:rFonts w:hint="eastAsia" w:ascii="宋体" w:hAnsi="宋体" w:cs="宋体"/>
          <w:color w:val="auto"/>
          <w:szCs w:val="21"/>
          <w:highlight w:val="none"/>
          <w:u w:val="none"/>
          <w:lang w:val="en-US" w:eastAsia="zh-CN"/>
        </w:rPr>
        <w:t>市场监管局</w:t>
      </w:r>
      <w:r>
        <w:rPr>
          <w:rFonts w:hint="eastAsia" w:ascii="宋体" w:hAnsi="宋体" w:cs="宋体"/>
          <w:color w:val="auto"/>
          <w:szCs w:val="21"/>
          <w:highlight w:val="none"/>
          <w:u w:val="none"/>
        </w:rPr>
        <w:t>、公安等行政执法部门依法查处。</w:t>
      </w:r>
    </w:p>
    <w:p w14:paraId="60C7DEC8">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五、按政府采购合同约定支付的合同款，实行财政国库直接支付。</w:t>
      </w:r>
    </w:p>
    <w:p w14:paraId="6EBA7DF6">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六、不响应付款方式的，视同响应文件无效，按无效响应文件处理。</w:t>
      </w:r>
    </w:p>
    <w:p w14:paraId="037F485F">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七、付款方式详见磋商文件第四章。</w:t>
      </w:r>
    </w:p>
    <w:p w14:paraId="45081DAF">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八、项目款的支付不计息。</w:t>
      </w:r>
    </w:p>
    <w:p w14:paraId="63678CC0">
      <w:pPr>
        <w:spacing w:line="360" w:lineRule="auto"/>
        <w:rPr>
          <w:color w:val="auto"/>
          <w:highlight w:val="none"/>
          <w:u w:val="none"/>
        </w:rPr>
        <w:sectPr>
          <w:pgSz w:w="11906" w:h="16838"/>
          <w:pgMar w:top="1440" w:right="1080" w:bottom="1440" w:left="1080" w:header="851" w:footer="992" w:gutter="0"/>
          <w:pgBorders>
            <w:top w:val="none" w:sz="0" w:space="0"/>
            <w:left w:val="none" w:sz="0" w:space="0"/>
            <w:bottom w:val="none" w:sz="0" w:space="0"/>
            <w:right w:val="none" w:sz="0" w:space="0"/>
          </w:pgBorders>
          <w:cols w:space="720" w:num="1"/>
          <w:docGrid w:type="lines" w:linePitch="312" w:charSpace="0"/>
        </w:sectPr>
      </w:pPr>
    </w:p>
    <w:p w14:paraId="67BAFE73">
      <w:pPr>
        <w:pageBreakBefore w:val="0"/>
        <w:kinsoku/>
        <w:topLinePunct w:val="0"/>
        <w:bidi w:val="0"/>
        <w:spacing w:line="360" w:lineRule="auto"/>
        <w:rPr>
          <w:rFonts w:hint="eastAsia" w:ascii="宋体" w:hAnsi="宋体"/>
          <w:b/>
          <w:bCs/>
          <w:color w:val="auto"/>
          <w:szCs w:val="21"/>
          <w:highlight w:val="none"/>
          <w:u w:val="none"/>
        </w:rPr>
      </w:pPr>
      <w:r>
        <w:rPr>
          <w:rFonts w:hint="eastAsia" w:ascii="宋体" w:hAnsi="宋体"/>
          <w:b/>
          <w:bCs/>
          <w:color w:val="auto"/>
          <w:szCs w:val="21"/>
          <w:highlight w:val="none"/>
          <w:u w:val="none"/>
        </w:rPr>
        <w:t xml:space="preserve">项目名称： </w:t>
      </w:r>
      <w:r>
        <w:rPr>
          <w:rFonts w:hint="eastAsia" w:ascii="宋体" w:hAnsi="宋体"/>
          <w:color w:val="auto"/>
          <w:szCs w:val="21"/>
          <w:highlight w:val="none"/>
          <w:u w:val="none"/>
        </w:rPr>
        <w:t xml:space="preserve">                 </w:t>
      </w:r>
      <w:r>
        <w:rPr>
          <w:rFonts w:hint="eastAsia" w:ascii="宋体" w:hAnsi="宋体"/>
          <w:b/>
          <w:bCs/>
          <w:color w:val="auto"/>
          <w:szCs w:val="21"/>
          <w:highlight w:val="none"/>
          <w:u w:val="none"/>
        </w:rPr>
        <w:t xml:space="preserve">               </w:t>
      </w:r>
    </w:p>
    <w:p w14:paraId="0BC07E9D">
      <w:pPr>
        <w:pageBreakBefore w:val="0"/>
        <w:kinsoku/>
        <w:topLinePunct w:val="0"/>
        <w:bidi w:val="0"/>
        <w:spacing w:line="360" w:lineRule="auto"/>
        <w:rPr>
          <w:rFonts w:hint="eastAsia" w:ascii="宋体" w:hAnsi="宋体" w:eastAsia="宋体" w:cs="宋体"/>
          <w:color w:val="auto"/>
          <w:szCs w:val="21"/>
          <w:highlight w:val="none"/>
          <w:u w:val="none"/>
          <w:lang w:eastAsia="zh-CN"/>
        </w:rPr>
      </w:pPr>
      <w:r>
        <w:rPr>
          <w:rFonts w:hint="eastAsia" w:ascii="宋体" w:hAnsi="宋体"/>
          <w:b/>
          <w:bCs/>
          <w:color w:val="auto"/>
          <w:szCs w:val="21"/>
          <w:highlight w:val="none"/>
          <w:u w:val="none"/>
        </w:rPr>
        <w:t>项目编号：</w:t>
      </w:r>
    </w:p>
    <w:p w14:paraId="72C5F1AC">
      <w:pPr>
        <w:pageBreakBefore w:val="0"/>
        <w:kinsoku/>
        <w:topLinePunct w:val="0"/>
        <w:bidi w:val="0"/>
        <w:spacing w:line="360" w:lineRule="auto"/>
        <w:rPr>
          <w:rFonts w:hint="eastAsia" w:ascii="宋体" w:hAnsi="宋体"/>
          <w:b/>
          <w:bCs/>
          <w:color w:val="auto"/>
          <w:szCs w:val="21"/>
          <w:highlight w:val="none"/>
          <w:u w:val="none"/>
        </w:rPr>
      </w:pPr>
      <w:r>
        <w:rPr>
          <w:rFonts w:hint="eastAsia" w:ascii="宋体" w:hAnsi="宋体"/>
          <w:b/>
          <w:bCs/>
          <w:color w:val="auto"/>
          <w:szCs w:val="21"/>
          <w:highlight w:val="none"/>
          <w:u w:val="none"/>
        </w:rPr>
        <w:t>甲方</w:t>
      </w:r>
      <w:r>
        <w:rPr>
          <w:rFonts w:hint="eastAsia" w:ascii="宋体" w:hAnsi="宋体"/>
          <w:b/>
          <w:bCs/>
          <w:color w:val="auto"/>
          <w:szCs w:val="21"/>
          <w:highlight w:val="none"/>
          <w:u w:val="none"/>
          <w:lang w:eastAsia="zh-CN"/>
        </w:rPr>
        <w:t>：</w:t>
      </w:r>
      <w:r>
        <w:rPr>
          <w:rFonts w:hint="eastAsia" w:ascii="宋体" w:hAnsi="宋体"/>
          <w:b/>
          <w:bCs/>
          <w:color w:val="auto"/>
          <w:szCs w:val="21"/>
          <w:highlight w:val="none"/>
          <w:u w:val="none"/>
        </w:rPr>
        <w:t xml:space="preserve">                                             乙方</w:t>
      </w:r>
      <w:r>
        <w:rPr>
          <w:rFonts w:hint="eastAsia" w:ascii="宋体" w:hAnsi="宋体"/>
          <w:b/>
          <w:bCs/>
          <w:color w:val="auto"/>
          <w:szCs w:val="21"/>
          <w:highlight w:val="none"/>
          <w:u w:val="none"/>
          <w:lang w:eastAsia="zh-CN"/>
        </w:rPr>
        <w:t>：</w:t>
      </w:r>
    </w:p>
    <w:p w14:paraId="2ED54CDF">
      <w:pPr>
        <w:pageBreakBefore w:val="0"/>
        <w:kinsoku/>
        <w:topLinePunct w:val="0"/>
        <w:bidi w:val="0"/>
        <w:spacing w:line="360" w:lineRule="auto"/>
        <w:rPr>
          <w:rFonts w:hint="eastAsia" w:ascii="宋体" w:hAnsi="宋体"/>
          <w:b/>
          <w:bCs/>
          <w:color w:val="auto"/>
          <w:szCs w:val="21"/>
          <w:highlight w:val="none"/>
          <w:u w:val="none"/>
        </w:rPr>
      </w:pPr>
      <w:r>
        <w:rPr>
          <w:rFonts w:hint="eastAsia" w:ascii="宋体" w:hAnsi="宋体"/>
          <w:b/>
          <w:bCs/>
          <w:color w:val="auto"/>
          <w:szCs w:val="21"/>
          <w:highlight w:val="none"/>
          <w:u w:val="none"/>
        </w:rPr>
        <w:t>地址：                                            地址：</w:t>
      </w:r>
    </w:p>
    <w:p w14:paraId="47F2C461">
      <w:pPr>
        <w:pageBreakBefore w:val="0"/>
        <w:kinsoku/>
        <w:topLinePunct w:val="0"/>
        <w:bidi w:val="0"/>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rPr>
        <w:t>甲乙双方根据                                  项目竞争性磋商采购结果及采购文件的要求</w:t>
      </w:r>
      <w:r>
        <w:rPr>
          <w:rFonts w:hint="eastAsia" w:ascii="宋体" w:hAnsi="宋体"/>
          <w:color w:val="auto"/>
          <w:szCs w:val="21"/>
          <w:highlight w:val="none"/>
          <w:u w:val="none"/>
          <w:lang w:eastAsia="zh-CN"/>
        </w:rPr>
        <w:t>，</w:t>
      </w:r>
      <w:r>
        <w:rPr>
          <w:rFonts w:hint="eastAsia" w:ascii="宋体" w:hAnsi="宋体"/>
          <w:color w:val="auto"/>
          <w:szCs w:val="21"/>
          <w:highlight w:val="none"/>
          <w:u w:val="none"/>
        </w:rPr>
        <w:t>经协商一致</w:t>
      </w:r>
      <w:r>
        <w:rPr>
          <w:rFonts w:hint="eastAsia" w:ascii="宋体" w:hAnsi="宋体"/>
          <w:color w:val="auto"/>
          <w:szCs w:val="21"/>
          <w:highlight w:val="none"/>
          <w:u w:val="none"/>
          <w:lang w:eastAsia="zh-CN"/>
        </w:rPr>
        <w:t>，</w:t>
      </w:r>
      <w:r>
        <w:rPr>
          <w:rFonts w:hint="eastAsia" w:ascii="宋体" w:hAnsi="宋体"/>
          <w:color w:val="auto"/>
          <w:szCs w:val="21"/>
          <w:highlight w:val="none"/>
          <w:u w:val="none"/>
        </w:rPr>
        <w:t>达成如下采购服务合同</w:t>
      </w:r>
      <w:r>
        <w:rPr>
          <w:rFonts w:hint="eastAsia" w:ascii="宋体" w:hAnsi="宋体"/>
          <w:color w:val="auto"/>
          <w:szCs w:val="21"/>
          <w:highlight w:val="none"/>
          <w:u w:val="none"/>
          <w:lang w:eastAsia="zh-CN"/>
        </w:rPr>
        <w:t>：</w:t>
      </w:r>
    </w:p>
    <w:p w14:paraId="47648E03">
      <w:pPr>
        <w:pageBreakBefore w:val="0"/>
        <w:kinsoku/>
        <w:topLinePunct w:val="0"/>
        <w:bidi w:val="0"/>
        <w:spacing w:line="360" w:lineRule="auto"/>
        <w:rPr>
          <w:rFonts w:hint="eastAsia" w:ascii="宋体" w:hAnsi="宋体"/>
          <w:b/>
          <w:bCs/>
          <w:color w:val="auto"/>
          <w:szCs w:val="21"/>
          <w:highlight w:val="none"/>
          <w:u w:val="none"/>
        </w:rPr>
      </w:pPr>
      <w:r>
        <w:rPr>
          <w:rFonts w:hint="eastAsia" w:ascii="宋体" w:hAnsi="宋体"/>
          <w:b/>
          <w:bCs/>
          <w:color w:val="auto"/>
          <w:szCs w:val="21"/>
          <w:highlight w:val="none"/>
          <w:u w:val="none"/>
        </w:rPr>
        <w:t>一、采购标的</w:t>
      </w:r>
    </w:p>
    <w:p w14:paraId="77A8DB95">
      <w:pPr>
        <w:pageBreakBefore w:val="0"/>
        <w:kinsoku/>
        <w:topLinePunct w:val="0"/>
        <w:bidi w:val="0"/>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rPr>
        <w:t>（一）服务名称：</w:t>
      </w:r>
    </w:p>
    <w:p w14:paraId="23FCE2CF">
      <w:pPr>
        <w:pageBreakBefore w:val="0"/>
        <w:kinsoku/>
        <w:topLinePunct w:val="0"/>
        <w:bidi w:val="0"/>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rPr>
        <w:t>（二）服务内容：</w:t>
      </w:r>
      <w:r>
        <w:rPr>
          <w:rFonts w:hint="eastAsia" w:ascii="宋体" w:hAnsi="宋体"/>
          <w:color w:val="auto"/>
          <w:szCs w:val="21"/>
          <w:highlight w:val="none"/>
          <w:u w:val="none"/>
          <w:lang w:val="en-US" w:eastAsia="zh-CN"/>
        </w:rPr>
        <w:t>详见磋商文件</w:t>
      </w:r>
      <w:r>
        <w:rPr>
          <w:rFonts w:hint="eastAsia" w:ascii="宋体" w:hAnsi="宋体"/>
          <w:color w:val="auto"/>
          <w:szCs w:val="21"/>
          <w:highlight w:val="none"/>
          <w:u w:val="none"/>
        </w:rPr>
        <w:t xml:space="preserve">。 </w:t>
      </w:r>
    </w:p>
    <w:p w14:paraId="7035478B">
      <w:pPr>
        <w:pageBreakBefore w:val="0"/>
        <w:kinsoku/>
        <w:topLinePunct w:val="0"/>
        <w:bidi w:val="0"/>
        <w:spacing w:line="360" w:lineRule="auto"/>
        <w:ind w:firstLine="420" w:firstLineChars="200"/>
        <w:rPr>
          <w:rFonts w:hint="default" w:ascii="宋体" w:hAnsi="宋体" w:eastAsia="宋体"/>
          <w:color w:val="auto"/>
          <w:szCs w:val="21"/>
          <w:highlight w:val="none"/>
          <w:u w:val="none"/>
          <w:lang w:val="en-US" w:eastAsia="zh-CN"/>
        </w:rPr>
      </w:pPr>
      <w:r>
        <w:rPr>
          <w:rFonts w:hint="eastAsia" w:ascii="宋体" w:hAnsi="宋体"/>
          <w:color w:val="auto"/>
          <w:szCs w:val="21"/>
          <w:highlight w:val="none"/>
          <w:u w:val="none"/>
        </w:rPr>
        <w:t>（三）服务期限：</w:t>
      </w:r>
      <w:r>
        <w:rPr>
          <w:rFonts w:hint="eastAsia" w:ascii="宋体" w:hAnsi="宋体"/>
          <w:color w:val="auto"/>
          <w:szCs w:val="21"/>
          <w:highlight w:val="none"/>
          <w:u w:val="none"/>
          <w:lang w:val="en-US" w:eastAsia="zh-CN"/>
        </w:rPr>
        <w:t>合同签订之日起一年，起始时间按照采购人要求开展工作。</w:t>
      </w:r>
    </w:p>
    <w:p w14:paraId="6DE1BFCE">
      <w:pPr>
        <w:pageBreakBefore w:val="0"/>
        <w:kinsoku/>
        <w:topLinePunct w:val="0"/>
        <w:bidi w:val="0"/>
        <w:spacing w:line="360" w:lineRule="auto"/>
        <w:ind w:firstLine="420" w:firstLineChars="200"/>
        <w:rPr>
          <w:rFonts w:hint="eastAsia" w:ascii="宋体" w:hAnsi="宋体"/>
          <w:color w:val="auto"/>
          <w:szCs w:val="21"/>
          <w:highlight w:val="none"/>
          <w:u w:val="none"/>
          <w:lang w:val="en-US" w:eastAsia="zh-CN"/>
        </w:rPr>
      </w:pPr>
      <w:r>
        <w:rPr>
          <w:rFonts w:hint="eastAsia" w:ascii="宋体" w:hAnsi="宋体"/>
          <w:color w:val="auto"/>
          <w:szCs w:val="21"/>
          <w:highlight w:val="none"/>
          <w:u w:val="none"/>
        </w:rPr>
        <w:t>（四）</w:t>
      </w:r>
      <w:r>
        <w:rPr>
          <w:rFonts w:hint="eastAsia" w:ascii="宋体" w:hAnsi="宋体"/>
          <w:color w:val="auto"/>
          <w:szCs w:val="21"/>
          <w:highlight w:val="none"/>
          <w:u w:val="none"/>
          <w:lang w:val="en-US" w:eastAsia="zh-CN"/>
        </w:rPr>
        <w:t>服务质量：详见磋商文件。</w:t>
      </w:r>
    </w:p>
    <w:p w14:paraId="0CB6E662">
      <w:pPr>
        <w:pageBreakBefore w:val="0"/>
        <w:kinsoku/>
        <w:topLinePunct w:val="0"/>
        <w:bidi w:val="0"/>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lang w:eastAsia="zh-CN"/>
        </w:rPr>
        <w:t>（</w:t>
      </w:r>
      <w:r>
        <w:rPr>
          <w:rFonts w:hint="eastAsia" w:ascii="宋体" w:hAnsi="宋体"/>
          <w:color w:val="auto"/>
          <w:szCs w:val="21"/>
          <w:highlight w:val="none"/>
          <w:u w:val="none"/>
          <w:lang w:val="en-US" w:eastAsia="zh-CN"/>
        </w:rPr>
        <w:t>五</w:t>
      </w:r>
      <w:r>
        <w:rPr>
          <w:rFonts w:hint="eastAsia" w:ascii="宋体" w:hAnsi="宋体"/>
          <w:color w:val="auto"/>
          <w:szCs w:val="21"/>
          <w:highlight w:val="none"/>
          <w:u w:val="none"/>
          <w:lang w:eastAsia="zh-CN"/>
        </w:rPr>
        <w:t>）</w:t>
      </w:r>
      <w:r>
        <w:rPr>
          <w:rFonts w:hint="eastAsia" w:ascii="宋体" w:hAnsi="宋体"/>
          <w:color w:val="auto"/>
          <w:szCs w:val="21"/>
          <w:highlight w:val="none"/>
          <w:u w:val="none"/>
        </w:rPr>
        <w:t>补充条款：                     。</w:t>
      </w:r>
    </w:p>
    <w:p w14:paraId="5FB0E2D7">
      <w:pPr>
        <w:pageBreakBefore w:val="0"/>
        <w:kinsoku/>
        <w:topLinePunct w:val="0"/>
        <w:bidi w:val="0"/>
        <w:spacing w:line="360" w:lineRule="auto"/>
        <w:rPr>
          <w:rFonts w:hint="eastAsia" w:ascii="宋体" w:hAnsi="宋体"/>
          <w:b/>
          <w:bCs/>
          <w:color w:val="auto"/>
          <w:szCs w:val="21"/>
          <w:highlight w:val="none"/>
          <w:u w:val="none"/>
        </w:rPr>
      </w:pPr>
      <w:r>
        <w:rPr>
          <w:rFonts w:hint="eastAsia" w:ascii="宋体" w:hAnsi="宋体"/>
          <w:b/>
          <w:bCs/>
          <w:color w:val="auto"/>
          <w:szCs w:val="21"/>
          <w:highlight w:val="none"/>
          <w:u w:val="none"/>
        </w:rPr>
        <w:t>二、合同价款</w:t>
      </w:r>
    </w:p>
    <w:p w14:paraId="1FFB3683">
      <w:pPr>
        <w:pageBreakBefore w:val="0"/>
        <w:kinsoku/>
        <w:topLinePunct w:val="0"/>
        <w:bidi w:val="0"/>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rPr>
        <w:t>（一）本合同</w:t>
      </w:r>
      <w:r>
        <w:rPr>
          <w:rFonts w:hint="eastAsia" w:ascii="宋体" w:hAnsi="宋体"/>
          <w:color w:val="auto"/>
          <w:szCs w:val="21"/>
          <w:highlight w:val="none"/>
          <w:u w:val="none"/>
          <w:lang w:val="en-US" w:eastAsia="zh-CN"/>
        </w:rPr>
        <w:t>总价</w:t>
      </w:r>
      <w:r>
        <w:rPr>
          <w:rFonts w:hint="eastAsia" w:ascii="宋体" w:hAnsi="宋体"/>
          <w:color w:val="auto"/>
          <w:szCs w:val="21"/>
          <w:highlight w:val="none"/>
          <w:u w:val="none"/>
        </w:rPr>
        <w:t xml:space="preserve">为人民币（大写）  </w:t>
      </w:r>
      <w:r>
        <w:rPr>
          <w:rFonts w:hint="eastAsia" w:ascii="宋体" w:hAnsi="宋体"/>
          <w:color w:val="auto"/>
          <w:szCs w:val="21"/>
          <w:highlight w:val="none"/>
          <w:u w:val="none"/>
          <w:lang w:val="en-US" w:eastAsia="zh-CN"/>
        </w:rPr>
        <w:t xml:space="preserve">   </w:t>
      </w:r>
      <w:r>
        <w:rPr>
          <w:rFonts w:hint="eastAsia" w:ascii="宋体" w:hAnsi="宋体"/>
          <w:color w:val="auto"/>
          <w:szCs w:val="21"/>
          <w:highlight w:val="none"/>
          <w:u w:val="none"/>
        </w:rPr>
        <w:t xml:space="preserve">    （¥           ）。</w:t>
      </w:r>
    </w:p>
    <w:p w14:paraId="0367025B">
      <w:pPr>
        <w:pageBreakBefore w:val="0"/>
        <w:kinsoku/>
        <w:topLinePunct w:val="0"/>
        <w:bidi w:val="0"/>
        <w:spacing w:line="360" w:lineRule="auto"/>
        <w:ind w:firstLine="420" w:firstLineChars="200"/>
        <w:rPr>
          <w:rFonts w:hint="eastAsia" w:ascii="宋体" w:hAnsi="宋体" w:cs="Times New Roman"/>
          <w:color w:val="auto"/>
          <w:szCs w:val="21"/>
          <w:highlight w:val="none"/>
          <w:u w:val="none"/>
        </w:rPr>
      </w:pPr>
      <w:r>
        <w:rPr>
          <w:rFonts w:hint="eastAsia" w:ascii="宋体" w:hAnsi="宋体"/>
          <w:color w:val="auto"/>
          <w:szCs w:val="21"/>
          <w:highlight w:val="none"/>
          <w:u w:val="none"/>
        </w:rPr>
        <w:t>（二）本合同价款包含所有乙方提供合同约定的服务内容的报酬及乙方提供该项服务所支出的必要费</w:t>
      </w:r>
      <w:r>
        <w:rPr>
          <w:rFonts w:hint="eastAsia" w:ascii="宋体" w:hAnsi="宋体" w:cs="Times New Roman"/>
          <w:color w:val="auto"/>
          <w:szCs w:val="21"/>
          <w:highlight w:val="none"/>
          <w:u w:val="none"/>
        </w:rPr>
        <w:t>用，甲方在上述合同价款之外不再向乙方支付其他任何费用。</w:t>
      </w:r>
    </w:p>
    <w:p w14:paraId="21D20A78">
      <w:pPr>
        <w:pageBreakBefore w:val="0"/>
        <w:kinsoku/>
        <w:topLinePunct w:val="0"/>
        <w:bidi w:val="0"/>
        <w:spacing w:line="360" w:lineRule="auto"/>
        <w:rPr>
          <w:rFonts w:hint="eastAsia" w:ascii="宋体" w:hAnsi="宋体"/>
          <w:b/>
          <w:bCs/>
          <w:color w:val="auto"/>
          <w:szCs w:val="21"/>
          <w:highlight w:val="none"/>
          <w:u w:val="none"/>
        </w:rPr>
      </w:pPr>
      <w:r>
        <w:rPr>
          <w:rFonts w:hint="eastAsia" w:ascii="宋体" w:hAnsi="宋体"/>
          <w:b/>
          <w:bCs/>
          <w:color w:val="auto"/>
          <w:szCs w:val="21"/>
          <w:highlight w:val="none"/>
          <w:u w:val="none"/>
        </w:rPr>
        <w:t>三、合同履行</w:t>
      </w:r>
    </w:p>
    <w:p w14:paraId="11E853EB">
      <w:pPr>
        <w:pageBreakBefore w:val="0"/>
        <w:kinsoku/>
        <w:topLinePunct w:val="0"/>
        <w:bidi w:val="0"/>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rPr>
        <w:t>本合同项下服务的提供参照采购文件的具体要求履行，甲乙双方通过补充条款进行特殊约定的从其约定。</w:t>
      </w:r>
    </w:p>
    <w:p w14:paraId="18E82C4D">
      <w:pPr>
        <w:pageBreakBefore w:val="0"/>
        <w:kinsoku/>
        <w:topLinePunct w:val="0"/>
        <w:bidi w:val="0"/>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rPr>
        <w:t xml:space="preserve">补充条款： </w:t>
      </w:r>
      <w:r>
        <w:rPr>
          <w:rFonts w:hint="eastAsia" w:ascii="宋体" w:hAnsi="宋体"/>
          <w:color w:val="auto"/>
          <w:szCs w:val="21"/>
          <w:highlight w:val="none"/>
          <w:u w:val="none"/>
          <w:lang w:val="en-US" w:eastAsia="zh-CN"/>
        </w:rPr>
        <w:t xml:space="preserve">              </w:t>
      </w:r>
      <w:r>
        <w:rPr>
          <w:rFonts w:hint="eastAsia" w:ascii="宋体" w:hAnsi="宋体"/>
          <w:color w:val="auto"/>
          <w:szCs w:val="21"/>
          <w:highlight w:val="none"/>
          <w:u w:val="none"/>
        </w:rPr>
        <w:t xml:space="preserve">   。</w:t>
      </w:r>
    </w:p>
    <w:p w14:paraId="1DF835DB">
      <w:pPr>
        <w:pageBreakBefore w:val="0"/>
        <w:kinsoku/>
        <w:topLinePunct w:val="0"/>
        <w:bidi w:val="0"/>
        <w:spacing w:line="360" w:lineRule="auto"/>
        <w:rPr>
          <w:rFonts w:hint="eastAsia" w:ascii="宋体" w:hAnsi="宋体"/>
          <w:b/>
          <w:bCs/>
          <w:color w:val="auto"/>
          <w:szCs w:val="21"/>
          <w:highlight w:val="none"/>
          <w:u w:val="none"/>
        </w:rPr>
      </w:pPr>
      <w:r>
        <w:rPr>
          <w:rFonts w:hint="eastAsia" w:ascii="宋体" w:hAnsi="宋体"/>
          <w:b/>
          <w:bCs/>
          <w:color w:val="auto"/>
          <w:szCs w:val="21"/>
          <w:highlight w:val="none"/>
          <w:u w:val="none"/>
        </w:rPr>
        <w:t>四、验</w:t>
      </w:r>
      <w:r>
        <w:rPr>
          <w:rFonts w:hint="eastAsia" w:ascii="宋体" w:hAnsi="宋体" w:cs="Times New Roman"/>
          <w:b/>
          <w:bCs/>
          <w:color w:val="auto"/>
          <w:szCs w:val="21"/>
          <w:highlight w:val="none"/>
          <w:u w:val="none"/>
        </w:rPr>
        <w:t>收及专项违约责任</w:t>
      </w:r>
    </w:p>
    <w:p w14:paraId="5636C8A8">
      <w:pPr>
        <w:pageBreakBefore w:val="0"/>
        <w:kinsoku/>
        <w:topLinePunct w:val="0"/>
        <w:bidi w:val="0"/>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rPr>
        <w:t>（一）甲方在合同履行期间，有权依照采购文件相关要求对乙方提供的相关服务或交付的工作成果进行阶段性验收或总体验收。相关验收工作须在甲方工作日时间内进行。</w:t>
      </w:r>
    </w:p>
    <w:p w14:paraId="0EBCB46B">
      <w:pPr>
        <w:pageBreakBefore w:val="0"/>
        <w:kinsoku/>
        <w:topLinePunct w:val="0"/>
        <w:bidi w:val="0"/>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rPr>
        <w:t>（二）经验收不合格的，经甲乙双方协商确认一个合理期限，乙方应当在期限内进行整改和完善，直至符合采购文件要求的相关标准。逾期七日内不予整改或经整改七日内仍不能符合相关要求，或者导致合同目的无法实现，甲方有权单方面要求解除合同，并可要求乙方支付违约金人民币（大写）</w:t>
      </w:r>
      <w:r>
        <w:rPr>
          <w:rFonts w:hint="eastAsia" w:ascii="宋体" w:hAnsi="宋体"/>
          <w:color w:val="auto"/>
          <w:szCs w:val="21"/>
          <w:highlight w:val="none"/>
          <w:u w:val="none"/>
          <w:lang w:val="en-US" w:eastAsia="zh-CN"/>
        </w:rPr>
        <w:t>伍仟元</w:t>
      </w:r>
      <w:r>
        <w:rPr>
          <w:rFonts w:hint="eastAsia" w:ascii="宋体" w:hAnsi="宋体"/>
          <w:color w:val="auto"/>
          <w:szCs w:val="21"/>
          <w:highlight w:val="none"/>
          <w:u w:val="none"/>
        </w:rPr>
        <w:t>整（¥</w:t>
      </w:r>
      <w:r>
        <w:rPr>
          <w:rFonts w:hint="eastAsia" w:ascii="宋体" w:hAnsi="宋体"/>
          <w:color w:val="auto"/>
          <w:szCs w:val="21"/>
          <w:highlight w:val="none"/>
          <w:u w:val="none"/>
          <w:lang w:val="en-US" w:eastAsia="zh-CN"/>
        </w:rPr>
        <w:t>5000.00</w:t>
      </w:r>
      <w:r>
        <w:rPr>
          <w:rFonts w:hint="eastAsia" w:ascii="宋体" w:hAnsi="宋体"/>
          <w:color w:val="auto"/>
          <w:szCs w:val="21"/>
          <w:highlight w:val="none"/>
          <w:u w:val="none"/>
        </w:rPr>
        <w:t>）。</w:t>
      </w:r>
    </w:p>
    <w:p w14:paraId="2E29744F">
      <w:pPr>
        <w:pStyle w:val="2"/>
        <w:ind w:left="0" w:leftChars="0" w:firstLine="420" w:firstLineChars="200"/>
        <w:rPr>
          <w:rFonts w:hint="eastAsia" w:ascii="宋体" w:hAnsi="宋体" w:eastAsia="宋体" w:cs="宋体"/>
          <w:sz w:val="24"/>
          <w:szCs w:val="24"/>
          <w:highlight w:val="none"/>
          <w:lang w:eastAsia="zh-CN"/>
        </w:rPr>
      </w:pPr>
      <w:r>
        <w:rPr>
          <w:rFonts w:hint="eastAsia" w:ascii="宋体" w:hAnsi="宋体" w:eastAsia="宋体" w:cs="Times New Roman"/>
          <w:color w:val="auto"/>
          <w:sz w:val="21"/>
          <w:szCs w:val="21"/>
          <w:highlight w:val="none"/>
          <w:u w:val="none"/>
          <w:lang w:val="en-US" w:eastAsia="zh-CN" w:bidi="ar-SA"/>
        </w:rPr>
        <w:t>（三）检测人员篡改数据、瞒报漏报结果、收受经营主体好处、私自对外发布快检信息，单次支付违约金人民币（大写）贰仟元整（¥2000.00），引发</w:t>
      </w:r>
      <w:r>
        <w:rPr>
          <w:rFonts w:ascii="宋体" w:hAnsi="宋体" w:eastAsia="宋体" w:cs="宋体"/>
          <w:sz w:val="24"/>
          <w:szCs w:val="24"/>
          <w:highlight w:val="none"/>
        </w:rPr>
        <w:t>舆情、监管追责的甲方可直接解约</w:t>
      </w:r>
      <w:r>
        <w:rPr>
          <w:rFonts w:hint="eastAsia" w:ascii="宋体" w:hAnsi="宋体" w:eastAsia="宋体" w:cs="宋体"/>
          <w:sz w:val="24"/>
          <w:szCs w:val="24"/>
          <w:highlight w:val="none"/>
          <w:lang w:eastAsia="zh-CN"/>
        </w:rPr>
        <w:t>。</w:t>
      </w:r>
    </w:p>
    <w:p w14:paraId="1ECA64B7">
      <w:pPr>
        <w:pStyle w:val="2"/>
        <w:ind w:left="0" w:leftChars="0" w:firstLine="420" w:firstLineChars="200"/>
        <w:rPr>
          <w:rFonts w:hint="eastAsia" w:ascii="宋体" w:hAnsi="宋体" w:eastAsia="宋体" w:cs="Times New Roman"/>
          <w:color w:val="auto"/>
          <w:sz w:val="21"/>
          <w:szCs w:val="21"/>
          <w:highlight w:val="none"/>
          <w:u w:val="none"/>
          <w:lang w:val="en-US" w:eastAsia="zh-CN" w:bidi="ar-SA"/>
        </w:rPr>
      </w:pPr>
      <w:r>
        <w:rPr>
          <w:rFonts w:hint="eastAsia" w:ascii="宋体" w:hAnsi="宋体" w:eastAsia="宋体" w:cs="Times New Roman"/>
          <w:color w:val="auto"/>
          <w:sz w:val="21"/>
          <w:szCs w:val="21"/>
          <w:highlight w:val="none"/>
          <w:u w:val="none"/>
          <w:lang w:val="en-US" w:eastAsia="zh-CN" w:bidi="ar-SA"/>
        </w:rPr>
        <w:t>（四）全部检测数据、台账、影像档案所有权归甲方，乙方私自外泄、复制、销毁档案资料，单次支付违约金（大写）贰仟元整（¥2000）。</w:t>
      </w:r>
    </w:p>
    <w:p w14:paraId="7862291C">
      <w:pPr>
        <w:pStyle w:val="2"/>
        <w:ind w:left="0" w:leftChars="0" w:firstLine="422" w:firstLineChars="200"/>
        <w:rPr>
          <w:rFonts w:hint="eastAsia" w:ascii="宋体" w:hAnsi="宋体" w:eastAsia="宋体" w:cs="Times New Roman"/>
          <w:color w:val="auto"/>
          <w:sz w:val="21"/>
          <w:szCs w:val="21"/>
          <w:highlight w:val="none"/>
          <w:u w:val="none"/>
          <w:lang w:val="en-US" w:eastAsia="zh-CN" w:bidi="ar-SA"/>
        </w:rPr>
      </w:pPr>
      <w:r>
        <w:rPr>
          <w:rFonts w:hint="eastAsia" w:ascii="宋体" w:hAnsi="宋体" w:eastAsia="宋体" w:cs="Times New Roman"/>
          <w:b/>
          <w:bCs/>
          <w:color w:val="auto"/>
          <w:sz w:val="21"/>
          <w:szCs w:val="21"/>
          <w:highlight w:val="none"/>
          <w:u w:val="none"/>
          <w:lang w:val="en-US" w:eastAsia="zh-CN" w:bidi="ar-SA"/>
        </w:rPr>
        <w:t>五、合同责任</w:t>
      </w:r>
    </w:p>
    <w:p w14:paraId="68D018DF">
      <w:pPr>
        <w:pageBreakBefore w:val="0"/>
        <w:kinsoku/>
        <w:topLinePunct w:val="0"/>
        <w:bidi w:val="0"/>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rPr>
        <w:t>（一）甲方应当为乙方履行合同提供必要的支持。</w:t>
      </w:r>
    </w:p>
    <w:p w14:paraId="12570D0A">
      <w:pPr>
        <w:pageBreakBefore w:val="0"/>
        <w:kinsoku/>
        <w:topLinePunct w:val="0"/>
        <w:bidi w:val="0"/>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rPr>
        <w:t>（二）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p>
    <w:p w14:paraId="309BECEF">
      <w:pPr>
        <w:pageBreakBefore w:val="0"/>
        <w:kinsoku/>
        <w:topLinePunct w:val="0"/>
        <w:bidi w:val="0"/>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rPr>
        <w:t>（三）乙方需加强安全操作，如发生安全责任事故，由乙方全权负责。</w:t>
      </w:r>
    </w:p>
    <w:p w14:paraId="68DD5E6B">
      <w:pPr>
        <w:pageBreakBefore w:val="0"/>
        <w:kinsoku/>
        <w:topLinePunct w:val="0"/>
        <w:bidi w:val="0"/>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rPr>
        <w:t>（四）乙方在履行合同中产生的一切非因甲方过错导致的损失，均由乙方自行承担责任。</w:t>
      </w:r>
    </w:p>
    <w:p w14:paraId="0F7C27A9">
      <w:pPr>
        <w:pageBreakBefore w:val="0"/>
        <w:kinsoku/>
        <w:topLinePunct w:val="0"/>
        <w:bidi w:val="0"/>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rPr>
        <w:t>（五）甲乙双方均应指定专人作为本合同履行期间双方之间的联络人，</w:t>
      </w:r>
      <w:r>
        <w:rPr>
          <w:rFonts w:hint="eastAsia" w:ascii="宋体" w:hAnsi="宋体"/>
          <w:color w:val="auto"/>
          <w:szCs w:val="21"/>
          <w:highlight w:val="none"/>
          <w:u w:val="none"/>
          <w:lang w:val="en-US" w:eastAsia="zh-CN"/>
        </w:rPr>
        <w:t>任何一方</w:t>
      </w:r>
      <w:r>
        <w:rPr>
          <w:rFonts w:hint="eastAsia" w:ascii="宋体" w:hAnsi="宋体"/>
          <w:color w:val="auto"/>
          <w:szCs w:val="21"/>
          <w:highlight w:val="none"/>
          <w:u w:val="none"/>
        </w:rPr>
        <w:t>正式知会事项的通知到达相对方指</w:t>
      </w:r>
      <w:r>
        <w:rPr>
          <w:rFonts w:hint="eastAsia" w:ascii="宋体" w:hAnsi="宋体"/>
          <w:color w:val="auto"/>
          <w:szCs w:val="21"/>
          <w:highlight w:val="none"/>
          <w:u w:val="none"/>
          <w:lang w:eastAsia="zh-CN"/>
        </w:rPr>
        <w:t>定的</w:t>
      </w:r>
      <w:r>
        <w:rPr>
          <w:rFonts w:hint="eastAsia" w:ascii="宋体" w:hAnsi="宋体"/>
          <w:color w:val="auto"/>
          <w:szCs w:val="21"/>
          <w:highlight w:val="none"/>
          <w:u w:val="none"/>
        </w:rPr>
        <w:t>联络人即视为到达对方。</w:t>
      </w:r>
    </w:p>
    <w:p w14:paraId="290A2A61">
      <w:pPr>
        <w:pageBreakBefore w:val="0"/>
        <w:kinsoku/>
        <w:topLinePunct w:val="0"/>
        <w:bidi w:val="0"/>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rPr>
        <w:t>甲方指定联络人：           乙方指定联络人：</w:t>
      </w:r>
    </w:p>
    <w:p w14:paraId="0608969F">
      <w:pPr>
        <w:pageBreakBefore w:val="0"/>
        <w:kinsoku/>
        <w:topLinePunct w:val="0"/>
        <w:bidi w:val="0"/>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rPr>
        <w:t xml:space="preserve">姓名：                     姓名： </w:t>
      </w:r>
    </w:p>
    <w:p w14:paraId="1286FAE7">
      <w:pPr>
        <w:pageBreakBefore w:val="0"/>
        <w:kinsoku/>
        <w:topLinePunct w:val="0"/>
        <w:bidi w:val="0"/>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rPr>
        <w:t>联系方式：                 联系方式：</w:t>
      </w:r>
    </w:p>
    <w:p w14:paraId="5F5418AD">
      <w:pPr>
        <w:pageBreakBefore w:val="0"/>
        <w:kinsoku/>
        <w:topLinePunct w:val="0"/>
        <w:bidi w:val="0"/>
        <w:spacing w:line="360" w:lineRule="auto"/>
        <w:rPr>
          <w:rFonts w:hint="eastAsia" w:ascii="宋体" w:hAnsi="宋体"/>
          <w:b/>
          <w:bCs/>
          <w:color w:val="auto"/>
          <w:szCs w:val="21"/>
          <w:highlight w:val="none"/>
          <w:u w:val="none"/>
        </w:rPr>
      </w:pPr>
      <w:r>
        <w:rPr>
          <w:rFonts w:hint="eastAsia" w:ascii="宋体" w:hAnsi="宋体"/>
          <w:b/>
          <w:bCs/>
          <w:color w:val="auto"/>
          <w:szCs w:val="21"/>
          <w:highlight w:val="none"/>
          <w:u w:val="none"/>
        </w:rPr>
        <w:t>六、履约保证金</w:t>
      </w:r>
    </w:p>
    <w:p w14:paraId="38439DDC">
      <w:pPr>
        <w:pageBreakBefore w:val="0"/>
        <w:kinsoku/>
        <w:topLinePunct w:val="0"/>
        <w:bidi w:val="0"/>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rPr>
        <w:t>本项目不收取履约保证金。</w:t>
      </w:r>
    </w:p>
    <w:p w14:paraId="150BC1D0">
      <w:pPr>
        <w:pageBreakBefore w:val="0"/>
        <w:kinsoku/>
        <w:topLinePunct w:val="0"/>
        <w:bidi w:val="0"/>
        <w:spacing w:line="360" w:lineRule="auto"/>
        <w:rPr>
          <w:rFonts w:hint="eastAsia" w:ascii="宋体" w:hAnsi="宋体"/>
          <w:b/>
          <w:bCs/>
          <w:color w:val="auto"/>
          <w:szCs w:val="21"/>
          <w:highlight w:val="none"/>
          <w:u w:val="none"/>
        </w:rPr>
      </w:pPr>
      <w:r>
        <w:rPr>
          <w:rFonts w:hint="eastAsia" w:ascii="宋体" w:hAnsi="宋体"/>
          <w:b/>
          <w:bCs/>
          <w:color w:val="auto"/>
          <w:szCs w:val="21"/>
          <w:highlight w:val="none"/>
          <w:u w:val="none"/>
        </w:rPr>
        <w:t>七、合同付款</w:t>
      </w:r>
    </w:p>
    <w:p w14:paraId="7F170793">
      <w:pPr>
        <w:pageBreakBefore w:val="0"/>
        <w:kinsoku/>
        <w:topLinePunct w:val="0"/>
        <w:autoSpaceDE w:val="0"/>
        <w:autoSpaceDN w:val="0"/>
        <w:bidi w:val="0"/>
        <w:adjustRightInd w:val="0"/>
        <w:spacing w:line="360" w:lineRule="auto"/>
        <w:ind w:firstLine="420" w:firstLineChars="200"/>
        <w:rPr>
          <w:rFonts w:hint="eastAsia" w:ascii="宋体" w:hAnsi="宋体" w:cs="宋体"/>
          <w:color w:val="auto"/>
          <w:szCs w:val="21"/>
          <w:highlight w:val="none"/>
          <w:u w:val="none"/>
        </w:rPr>
      </w:pPr>
      <w:r>
        <w:rPr>
          <w:rFonts w:hint="eastAsia" w:ascii="宋体" w:hAnsi="宋体" w:cs="宋体"/>
          <w:color w:val="auto"/>
          <w:szCs w:val="21"/>
          <w:highlight w:val="none"/>
          <w:u w:val="none"/>
        </w:rPr>
        <w:t>1.本项目合同履约期间采购人根据供应商完成</w:t>
      </w:r>
      <w:r>
        <w:rPr>
          <w:rFonts w:hint="eastAsia" w:ascii="宋体" w:hAnsi="宋体" w:cs="宋体"/>
          <w:color w:val="auto"/>
          <w:szCs w:val="21"/>
          <w:highlight w:val="none"/>
          <w:u w:val="none"/>
          <w:lang w:val="en-US" w:eastAsia="zh-CN"/>
        </w:rPr>
        <w:t>的</w:t>
      </w:r>
      <w:r>
        <w:rPr>
          <w:rFonts w:hint="eastAsia" w:ascii="宋体" w:hAnsi="宋体" w:cs="宋体"/>
          <w:color w:val="auto"/>
          <w:szCs w:val="21"/>
          <w:highlight w:val="none"/>
          <w:u w:val="none"/>
        </w:rPr>
        <w:t>服务内容按阶段支付费用。</w:t>
      </w:r>
    </w:p>
    <w:p w14:paraId="318A8964">
      <w:pPr>
        <w:pStyle w:val="7"/>
        <w:pageBreakBefore w:val="0"/>
        <w:kinsoku/>
        <w:topLinePunct w:val="0"/>
        <w:bidi w:val="0"/>
        <w:snapToGrid w:val="0"/>
        <w:spacing w:line="360" w:lineRule="auto"/>
        <w:ind w:firstLine="420" w:firstLineChars="200"/>
        <w:contextualSpacing/>
        <w:rPr>
          <w:rFonts w:hint="eastAsia" w:ascii="宋体" w:hAnsi="宋体" w:eastAsia="宋体" w:cs="宋体"/>
          <w:color w:val="auto"/>
          <w:kern w:val="2"/>
          <w:sz w:val="21"/>
          <w:szCs w:val="21"/>
          <w:highlight w:val="none"/>
          <w:u w:val="none"/>
          <w:lang w:val="en-US" w:eastAsia="zh-CN" w:bidi="ar-SA"/>
        </w:rPr>
      </w:pPr>
      <w:r>
        <w:rPr>
          <w:rFonts w:hint="eastAsia" w:ascii="宋体" w:hAnsi="宋体" w:eastAsia="宋体" w:cs="宋体"/>
          <w:color w:val="auto"/>
          <w:kern w:val="2"/>
          <w:sz w:val="21"/>
          <w:szCs w:val="21"/>
          <w:highlight w:val="none"/>
          <w:u w:val="none"/>
          <w:lang w:val="en-US" w:eastAsia="zh-CN" w:bidi="ar-SA"/>
        </w:rPr>
        <w:t>2.供应商结账时需开具正式发票并附合同复印件；发票上标注的名称、账号、开户行应与收款人一致。</w:t>
      </w:r>
    </w:p>
    <w:p w14:paraId="1D047E5C">
      <w:pPr>
        <w:pageBreakBefore w:val="0"/>
        <w:kinsoku/>
        <w:topLinePunct w:val="0"/>
        <w:bidi w:val="0"/>
        <w:spacing w:line="360" w:lineRule="auto"/>
        <w:ind w:firstLine="420" w:firstLineChars="200"/>
        <w:rPr>
          <w:rFonts w:hint="eastAsia" w:ascii="宋体" w:hAnsi="宋体" w:eastAsia="宋体" w:cs="Times New Roman"/>
          <w:color w:val="auto"/>
          <w:kern w:val="2"/>
          <w:sz w:val="21"/>
          <w:szCs w:val="21"/>
          <w:highlight w:val="none"/>
          <w:u w:val="none"/>
          <w:lang w:val="en-US" w:eastAsia="zh-CN" w:bidi="ar-SA"/>
        </w:rPr>
      </w:pPr>
      <w:r>
        <w:rPr>
          <w:rFonts w:hint="eastAsia" w:ascii="宋体" w:hAnsi="宋体" w:eastAsia="宋体" w:cs="宋体"/>
          <w:color w:val="auto"/>
          <w:szCs w:val="21"/>
          <w:highlight w:val="none"/>
          <w:u w:val="none"/>
          <w:lang w:val="en-US" w:eastAsia="zh-CN"/>
        </w:rPr>
        <w:t>3.支付：</w:t>
      </w:r>
      <w:r>
        <w:rPr>
          <w:rFonts w:hint="eastAsia" w:ascii="宋体" w:hAnsi="宋体" w:eastAsia="宋体"/>
          <w:color w:val="auto"/>
          <w:highlight w:val="none"/>
          <w:u w:val="none"/>
        </w:rPr>
        <w:t>合同签订后一个月内，甲方向乙方支付合同总金额的45%；合同履行六个月后运行顺畅的情况下，支付年度服务费用的45%；通过验收后，一次性付清余款（以上均不计息）</w:t>
      </w:r>
      <w:r>
        <w:rPr>
          <w:rFonts w:hint="eastAsia" w:ascii="宋体" w:hAnsi="宋体" w:eastAsia="宋体"/>
          <w:color w:val="auto"/>
          <w:highlight w:val="none"/>
          <w:u w:val="none"/>
          <w:lang w:eastAsia="zh-CN"/>
        </w:rPr>
        <w:t>。</w:t>
      </w:r>
    </w:p>
    <w:p w14:paraId="76AE3705">
      <w:pPr>
        <w:pageBreakBefore w:val="0"/>
        <w:kinsoku/>
        <w:topLinePunct w:val="0"/>
        <w:autoSpaceDE w:val="0"/>
        <w:autoSpaceDN w:val="0"/>
        <w:bidi w:val="0"/>
        <w:adjustRightInd w:val="0"/>
        <w:spacing w:line="360" w:lineRule="auto"/>
        <w:ind w:firstLine="420" w:firstLineChars="200"/>
        <w:rPr>
          <w:rFonts w:hint="eastAsia" w:ascii="宋体" w:hAnsi="宋体" w:cs="宋体"/>
          <w:color w:val="auto"/>
          <w:szCs w:val="21"/>
          <w:highlight w:val="none"/>
          <w:u w:val="none"/>
        </w:rPr>
      </w:pPr>
      <w:r>
        <w:rPr>
          <w:rFonts w:hint="eastAsia" w:ascii="宋体" w:hAnsi="宋体" w:eastAsia="宋体" w:cs="宋体"/>
          <w:color w:val="auto"/>
          <w:szCs w:val="21"/>
          <w:highlight w:val="none"/>
          <w:u w:val="none"/>
        </w:rPr>
        <w:t>4.付款方式为：银行划</w:t>
      </w:r>
      <w:r>
        <w:rPr>
          <w:rFonts w:hint="eastAsia" w:ascii="宋体" w:hAnsi="宋体" w:cs="宋体"/>
          <w:color w:val="auto"/>
          <w:szCs w:val="21"/>
          <w:highlight w:val="none"/>
          <w:u w:val="none"/>
        </w:rPr>
        <w:t>拨支付。</w:t>
      </w:r>
    </w:p>
    <w:p w14:paraId="1481A7B1">
      <w:pPr>
        <w:pageBreakBefore w:val="0"/>
        <w:kinsoku/>
        <w:topLinePunct w:val="0"/>
        <w:autoSpaceDE w:val="0"/>
        <w:autoSpaceDN w:val="0"/>
        <w:bidi w:val="0"/>
        <w:adjustRightInd w:val="0"/>
        <w:spacing w:line="360" w:lineRule="auto"/>
        <w:rPr>
          <w:rFonts w:hint="eastAsia" w:ascii="宋体" w:hAnsi="宋体"/>
          <w:b/>
          <w:bCs/>
          <w:color w:val="auto"/>
          <w:szCs w:val="21"/>
          <w:highlight w:val="none"/>
          <w:u w:val="none"/>
        </w:rPr>
      </w:pPr>
      <w:r>
        <w:rPr>
          <w:rFonts w:hint="eastAsia" w:ascii="宋体" w:hAnsi="宋体"/>
          <w:b/>
          <w:bCs/>
          <w:color w:val="auto"/>
          <w:szCs w:val="21"/>
          <w:highlight w:val="none"/>
          <w:u w:val="none"/>
        </w:rPr>
        <w:t>八、保密条款</w:t>
      </w:r>
    </w:p>
    <w:p w14:paraId="4D0AE1EE">
      <w:pPr>
        <w:pageBreakBefore w:val="0"/>
        <w:kinsoku/>
        <w:topLinePunct w:val="0"/>
        <w:bidi w:val="0"/>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rPr>
        <w:t>乙方不得将在履行本合同</w:t>
      </w:r>
      <w:r>
        <w:rPr>
          <w:rFonts w:hint="eastAsia" w:ascii="宋体" w:hAnsi="宋体"/>
          <w:color w:val="auto"/>
          <w:szCs w:val="21"/>
          <w:highlight w:val="none"/>
          <w:u w:val="none"/>
          <w:lang w:val="en-US" w:eastAsia="zh-CN"/>
        </w:rPr>
        <w:t>过程</w:t>
      </w:r>
      <w:r>
        <w:rPr>
          <w:rFonts w:hint="eastAsia" w:ascii="宋体" w:hAnsi="宋体"/>
          <w:color w:val="auto"/>
          <w:szCs w:val="21"/>
          <w:highlight w:val="none"/>
          <w:u w:val="none"/>
        </w:rPr>
        <w:t>中知悉的甲方任何信息随意泄露、擅自使用。</w:t>
      </w:r>
    </w:p>
    <w:p w14:paraId="358A3CE1">
      <w:pPr>
        <w:pageBreakBefore w:val="0"/>
        <w:kinsoku/>
        <w:topLinePunct w:val="0"/>
        <w:bidi w:val="0"/>
        <w:spacing w:line="360" w:lineRule="auto"/>
        <w:rPr>
          <w:rFonts w:hint="eastAsia" w:ascii="宋体" w:hAnsi="宋体"/>
          <w:b/>
          <w:bCs/>
          <w:color w:val="auto"/>
          <w:szCs w:val="21"/>
          <w:highlight w:val="none"/>
          <w:u w:val="none"/>
        </w:rPr>
      </w:pPr>
      <w:r>
        <w:rPr>
          <w:rFonts w:hint="eastAsia" w:ascii="宋体" w:hAnsi="宋体"/>
          <w:b/>
          <w:bCs/>
          <w:color w:val="auto"/>
          <w:szCs w:val="21"/>
          <w:highlight w:val="none"/>
          <w:u w:val="none"/>
        </w:rPr>
        <w:t>九、争议的解决</w:t>
      </w:r>
    </w:p>
    <w:p w14:paraId="134E6047">
      <w:pPr>
        <w:pageBreakBefore w:val="0"/>
        <w:kinsoku/>
        <w:topLinePunct w:val="0"/>
        <w:bidi w:val="0"/>
        <w:spacing w:line="360" w:lineRule="auto"/>
        <w:ind w:firstLine="420" w:firstLineChars="200"/>
        <w:contextualSpacing/>
        <w:rPr>
          <w:rFonts w:hint="eastAsia" w:ascii="宋体" w:hAnsi="宋体"/>
          <w:color w:val="auto"/>
          <w:highlight w:val="none"/>
          <w:u w:val="none"/>
        </w:rPr>
      </w:pPr>
      <w:r>
        <w:rPr>
          <w:rFonts w:ascii="宋体" w:hAnsi="宋体"/>
          <w:color w:val="auto"/>
          <w:highlight w:val="none"/>
          <w:u w:val="none"/>
        </w:rPr>
        <w:t>1.</w:t>
      </w:r>
      <w:r>
        <w:rPr>
          <w:rFonts w:hint="eastAsia" w:ascii="宋体" w:hAnsi="宋体"/>
          <w:color w:val="auto"/>
          <w:highlight w:val="none"/>
          <w:u w:val="none"/>
        </w:rPr>
        <w:t>因履行本合同引起的或与本合同有关的争议，甲、乙双方应首先通过友好协商解决，如果协商不能解决争议，则采取以下第</w:t>
      </w:r>
      <w:r>
        <w:rPr>
          <w:rFonts w:hint="eastAsia" w:ascii="宋体" w:hAnsi="宋体"/>
          <w:b/>
          <w:color w:val="auto"/>
          <w:highlight w:val="none"/>
          <w:u w:val="none"/>
        </w:rPr>
        <w:t>（1）</w:t>
      </w:r>
      <w:r>
        <w:rPr>
          <w:rFonts w:hint="eastAsia" w:ascii="宋体" w:hAnsi="宋体"/>
          <w:color w:val="auto"/>
          <w:highlight w:val="none"/>
          <w:u w:val="none"/>
        </w:rPr>
        <w:t>种方式解决争议：</w:t>
      </w:r>
    </w:p>
    <w:p w14:paraId="40D043C8">
      <w:pPr>
        <w:pageBreakBefore w:val="0"/>
        <w:kinsoku/>
        <w:topLinePunct w:val="0"/>
        <w:bidi w:val="0"/>
        <w:spacing w:line="360" w:lineRule="auto"/>
        <w:ind w:firstLine="420" w:firstLineChars="200"/>
        <w:contextualSpacing/>
        <w:rPr>
          <w:rFonts w:hint="eastAsia" w:ascii="宋体" w:hAnsi="宋体"/>
          <w:color w:val="auto"/>
          <w:highlight w:val="none"/>
          <w:u w:val="none"/>
        </w:rPr>
      </w:pPr>
      <w:r>
        <w:rPr>
          <w:rFonts w:hint="eastAsia" w:ascii="宋体" w:hAnsi="宋体"/>
          <w:color w:val="auto"/>
          <w:highlight w:val="none"/>
          <w:u w:val="none"/>
        </w:rPr>
        <w:t>（</w:t>
      </w:r>
      <w:r>
        <w:rPr>
          <w:rFonts w:ascii="宋体" w:hAnsi="宋体"/>
          <w:color w:val="auto"/>
          <w:highlight w:val="none"/>
          <w:u w:val="none"/>
        </w:rPr>
        <w:t>1</w:t>
      </w:r>
      <w:r>
        <w:rPr>
          <w:rFonts w:hint="eastAsia" w:ascii="宋体" w:hAnsi="宋体"/>
          <w:color w:val="auto"/>
          <w:highlight w:val="none"/>
          <w:u w:val="none"/>
        </w:rPr>
        <w:t>）向甲方所在地有管辖权的人民法院提起诉讼；</w:t>
      </w:r>
    </w:p>
    <w:p w14:paraId="10C52E25">
      <w:pPr>
        <w:pageBreakBefore w:val="0"/>
        <w:kinsoku/>
        <w:topLinePunct w:val="0"/>
        <w:bidi w:val="0"/>
        <w:spacing w:line="360" w:lineRule="auto"/>
        <w:ind w:firstLine="420" w:firstLineChars="200"/>
        <w:contextualSpacing/>
        <w:rPr>
          <w:rFonts w:hint="eastAsia" w:ascii="宋体" w:hAnsi="宋体"/>
          <w:color w:val="auto"/>
          <w:highlight w:val="none"/>
          <w:u w:val="none"/>
        </w:rPr>
      </w:pPr>
      <w:r>
        <w:rPr>
          <w:rFonts w:hint="eastAsia" w:ascii="宋体" w:hAnsi="宋体"/>
          <w:color w:val="auto"/>
          <w:highlight w:val="none"/>
          <w:u w:val="none"/>
        </w:rPr>
        <w:t>（</w:t>
      </w:r>
      <w:r>
        <w:rPr>
          <w:rFonts w:ascii="宋体" w:hAnsi="宋体"/>
          <w:color w:val="auto"/>
          <w:highlight w:val="none"/>
          <w:u w:val="none"/>
        </w:rPr>
        <w:t>2</w:t>
      </w:r>
      <w:r>
        <w:rPr>
          <w:rFonts w:hint="eastAsia" w:ascii="宋体" w:hAnsi="宋体"/>
          <w:color w:val="auto"/>
          <w:highlight w:val="none"/>
          <w:u w:val="none"/>
        </w:rPr>
        <w:t>）向泰州仲裁委员会按其仲裁规则申请仲裁。</w:t>
      </w:r>
    </w:p>
    <w:p w14:paraId="7787F6CA">
      <w:pPr>
        <w:pageBreakBefore w:val="0"/>
        <w:kinsoku/>
        <w:topLinePunct w:val="0"/>
        <w:bidi w:val="0"/>
        <w:spacing w:line="360" w:lineRule="auto"/>
        <w:ind w:firstLine="420" w:firstLineChars="200"/>
        <w:contextualSpacing/>
        <w:rPr>
          <w:rFonts w:hint="eastAsia" w:ascii="宋体" w:hAnsi="宋体"/>
          <w:color w:val="auto"/>
          <w:highlight w:val="none"/>
          <w:u w:val="none"/>
        </w:rPr>
      </w:pPr>
      <w:r>
        <w:rPr>
          <w:rFonts w:hint="eastAsia" w:ascii="宋体" w:hAnsi="宋体"/>
          <w:color w:val="auto"/>
          <w:highlight w:val="none"/>
          <w:u w:val="none"/>
        </w:rPr>
        <w:t>如没有约定，默认采取第</w:t>
      </w:r>
      <w:r>
        <w:rPr>
          <w:rFonts w:ascii="宋体" w:hAnsi="宋体"/>
          <w:color w:val="auto"/>
          <w:highlight w:val="none"/>
          <w:u w:val="none"/>
        </w:rPr>
        <w:t>2</w:t>
      </w:r>
      <w:r>
        <w:rPr>
          <w:rFonts w:hint="eastAsia" w:ascii="宋体" w:hAnsi="宋体"/>
          <w:color w:val="auto"/>
          <w:highlight w:val="none"/>
          <w:u w:val="none"/>
        </w:rPr>
        <w:t>种方式解决争议。</w:t>
      </w:r>
    </w:p>
    <w:p w14:paraId="361389D0">
      <w:pPr>
        <w:pageBreakBefore w:val="0"/>
        <w:kinsoku/>
        <w:topLinePunct w:val="0"/>
        <w:bidi w:val="0"/>
        <w:spacing w:line="360" w:lineRule="auto"/>
        <w:ind w:firstLine="420" w:firstLineChars="200"/>
        <w:contextualSpacing/>
        <w:rPr>
          <w:rFonts w:hint="eastAsia" w:ascii="宋体" w:hAnsi="宋体"/>
          <w:color w:val="auto"/>
          <w:highlight w:val="none"/>
          <w:u w:val="none"/>
        </w:rPr>
      </w:pPr>
      <w:r>
        <w:rPr>
          <w:rFonts w:ascii="宋体" w:hAnsi="宋体"/>
          <w:color w:val="auto"/>
          <w:highlight w:val="none"/>
          <w:u w:val="none"/>
        </w:rPr>
        <w:t>2.</w:t>
      </w:r>
      <w:r>
        <w:rPr>
          <w:rFonts w:hint="eastAsia" w:ascii="宋体" w:hAnsi="宋体"/>
          <w:color w:val="auto"/>
          <w:highlight w:val="none"/>
          <w:u w:val="none"/>
        </w:rPr>
        <w:t>在仲裁期间，本合同应继续履行。</w:t>
      </w:r>
    </w:p>
    <w:p w14:paraId="269AAFBB">
      <w:pPr>
        <w:pageBreakBefore w:val="0"/>
        <w:kinsoku/>
        <w:topLinePunct w:val="0"/>
        <w:bidi w:val="0"/>
        <w:spacing w:line="360" w:lineRule="auto"/>
        <w:rPr>
          <w:rFonts w:hint="eastAsia" w:ascii="宋体" w:hAnsi="宋体"/>
          <w:b/>
          <w:bCs/>
          <w:color w:val="auto"/>
          <w:szCs w:val="21"/>
          <w:highlight w:val="none"/>
          <w:u w:val="none"/>
        </w:rPr>
      </w:pPr>
      <w:r>
        <w:rPr>
          <w:rFonts w:hint="eastAsia" w:ascii="宋体" w:hAnsi="宋体"/>
          <w:b/>
          <w:bCs/>
          <w:color w:val="auto"/>
          <w:szCs w:val="21"/>
          <w:highlight w:val="none"/>
          <w:u w:val="none"/>
        </w:rPr>
        <w:t>十、合同生效</w:t>
      </w:r>
    </w:p>
    <w:p w14:paraId="17545122">
      <w:pPr>
        <w:pageBreakBefore w:val="0"/>
        <w:kinsoku/>
        <w:topLinePunct w:val="0"/>
        <w:bidi w:val="0"/>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rPr>
        <w:t>本合同由甲乙双方签字盖章后生效。</w:t>
      </w:r>
    </w:p>
    <w:p w14:paraId="18B941AC">
      <w:pPr>
        <w:pageBreakBefore w:val="0"/>
        <w:kinsoku/>
        <w:topLinePunct w:val="0"/>
        <w:bidi w:val="0"/>
        <w:spacing w:line="360" w:lineRule="auto"/>
        <w:rPr>
          <w:rFonts w:hint="eastAsia" w:ascii="宋体" w:hAnsi="宋体"/>
          <w:b/>
          <w:bCs/>
          <w:color w:val="auto"/>
          <w:szCs w:val="21"/>
          <w:highlight w:val="none"/>
          <w:u w:val="none"/>
        </w:rPr>
      </w:pPr>
      <w:r>
        <w:rPr>
          <w:rFonts w:hint="eastAsia" w:ascii="宋体" w:hAnsi="宋体"/>
          <w:b/>
          <w:bCs/>
          <w:color w:val="auto"/>
          <w:szCs w:val="21"/>
          <w:highlight w:val="none"/>
          <w:u w:val="none"/>
        </w:rPr>
        <w:t>十一、组成本合同的文件包括：</w:t>
      </w:r>
    </w:p>
    <w:p w14:paraId="16191F6E">
      <w:pPr>
        <w:pageBreakBefore w:val="0"/>
        <w:kinsoku/>
        <w:topLinePunct w:val="0"/>
        <w:bidi w:val="0"/>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rPr>
        <w:t>1.合同通用条款和专用条款；</w:t>
      </w:r>
    </w:p>
    <w:p w14:paraId="5CD77E6C">
      <w:pPr>
        <w:pageBreakBefore w:val="0"/>
        <w:kinsoku/>
        <w:topLinePunct w:val="0"/>
        <w:bidi w:val="0"/>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rPr>
        <w:t>2.采购文件和乙方的响应文件；</w:t>
      </w:r>
    </w:p>
    <w:p w14:paraId="5219EFAB">
      <w:pPr>
        <w:pageBreakBefore w:val="0"/>
        <w:kinsoku/>
        <w:topLinePunct w:val="0"/>
        <w:bidi w:val="0"/>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rPr>
        <w:t>3.成交通知书；</w:t>
      </w:r>
    </w:p>
    <w:p w14:paraId="480C4551">
      <w:pPr>
        <w:pageBreakBefore w:val="0"/>
        <w:kinsoku/>
        <w:topLinePunct w:val="0"/>
        <w:bidi w:val="0"/>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rPr>
        <w:t>4.甲乙双方商定的其他必要文件。</w:t>
      </w:r>
    </w:p>
    <w:p w14:paraId="19CC183C">
      <w:pPr>
        <w:pageBreakBefore w:val="0"/>
        <w:kinsoku/>
        <w:topLinePunct w:val="0"/>
        <w:bidi w:val="0"/>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rPr>
        <w:t>上述合同文件内容互为补充，如有不明确，由甲方负责解释。</w:t>
      </w:r>
    </w:p>
    <w:p w14:paraId="45CA672D">
      <w:pPr>
        <w:pageBreakBefore w:val="0"/>
        <w:kinsoku/>
        <w:topLinePunct w:val="0"/>
        <w:bidi w:val="0"/>
        <w:spacing w:line="360" w:lineRule="auto"/>
        <w:rPr>
          <w:rFonts w:hint="eastAsia" w:ascii="宋体" w:hAnsi="宋体"/>
          <w:b/>
          <w:bCs/>
          <w:color w:val="auto"/>
          <w:szCs w:val="21"/>
          <w:highlight w:val="none"/>
          <w:u w:val="none"/>
        </w:rPr>
      </w:pPr>
      <w:r>
        <w:rPr>
          <w:rFonts w:hint="eastAsia" w:ascii="宋体" w:hAnsi="宋体"/>
          <w:b/>
          <w:bCs/>
          <w:color w:val="auto"/>
          <w:szCs w:val="21"/>
          <w:highlight w:val="none"/>
          <w:u w:val="none"/>
        </w:rPr>
        <w:t>十二、合同备案</w:t>
      </w:r>
    </w:p>
    <w:p w14:paraId="00E4F7BA">
      <w:pPr>
        <w:pageBreakBefore w:val="0"/>
        <w:kinsoku/>
        <w:topLinePunct w:val="0"/>
        <w:bidi w:val="0"/>
        <w:spacing w:line="360" w:lineRule="auto"/>
        <w:ind w:firstLine="420" w:firstLineChars="200"/>
        <w:rPr>
          <w:rFonts w:hint="eastAsia" w:ascii="宋体" w:hAnsi="宋体"/>
          <w:color w:val="auto"/>
          <w:szCs w:val="21"/>
          <w:highlight w:val="none"/>
          <w:u w:val="none"/>
        </w:rPr>
      </w:pPr>
      <w:r>
        <w:rPr>
          <w:rFonts w:hint="eastAsia" w:ascii="宋体" w:hAnsi="宋体"/>
          <w:color w:val="auto"/>
          <w:szCs w:val="21"/>
          <w:highlight w:val="none"/>
          <w:u w:val="none"/>
        </w:rPr>
        <w:t>本合同一式陆份，中文书写。甲方、乙方各</w:t>
      </w:r>
      <w:r>
        <w:rPr>
          <w:rFonts w:hint="eastAsia" w:ascii="宋体" w:hAnsi="宋体"/>
          <w:color w:val="auto"/>
          <w:szCs w:val="21"/>
          <w:highlight w:val="none"/>
          <w:u w:val="none"/>
          <w:lang w:val="en-US" w:eastAsia="zh-CN"/>
        </w:rPr>
        <w:t>持</w:t>
      </w:r>
      <w:r>
        <w:rPr>
          <w:rFonts w:hint="eastAsia" w:ascii="宋体" w:hAnsi="宋体"/>
          <w:color w:val="auto"/>
          <w:szCs w:val="21"/>
          <w:highlight w:val="none"/>
          <w:u w:val="none"/>
        </w:rPr>
        <w:t>叁份。</w:t>
      </w:r>
    </w:p>
    <w:p w14:paraId="6B004DE5">
      <w:pPr>
        <w:pageBreakBefore w:val="0"/>
        <w:kinsoku/>
        <w:topLinePunct w:val="0"/>
        <w:bidi w:val="0"/>
        <w:spacing w:line="360" w:lineRule="auto"/>
        <w:rPr>
          <w:rFonts w:hint="eastAsia" w:ascii="宋体" w:hAnsi="宋体"/>
          <w:color w:val="auto"/>
          <w:szCs w:val="21"/>
          <w:highlight w:val="none"/>
          <w:u w:val="none"/>
        </w:rPr>
      </w:pPr>
      <w:r>
        <w:rPr>
          <w:rFonts w:hint="eastAsia" w:ascii="宋体" w:hAnsi="宋体"/>
          <w:color w:val="auto"/>
          <w:szCs w:val="21"/>
          <w:highlight w:val="none"/>
          <w:u w:val="none"/>
        </w:rPr>
        <w:t xml:space="preserve"> </w:t>
      </w:r>
    </w:p>
    <w:p w14:paraId="05B9344C">
      <w:pPr>
        <w:pStyle w:val="15"/>
        <w:pageBreakBefore w:val="0"/>
        <w:kinsoku/>
        <w:topLinePunct w:val="0"/>
        <w:bidi w:val="0"/>
        <w:spacing w:line="360" w:lineRule="auto"/>
        <w:rPr>
          <w:rFonts w:hint="eastAsia" w:ascii="宋体" w:hAnsi="宋体"/>
          <w:color w:val="auto"/>
          <w:highlight w:val="none"/>
          <w:u w:val="none"/>
        </w:rPr>
      </w:pPr>
    </w:p>
    <w:p w14:paraId="2D17E80E">
      <w:pPr>
        <w:pStyle w:val="15"/>
        <w:pageBreakBefore w:val="0"/>
        <w:kinsoku/>
        <w:topLinePunct w:val="0"/>
        <w:bidi w:val="0"/>
        <w:spacing w:line="360" w:lineRule="auto"/>
        <w:rPr>
          <w:rFonts w:hint="eastAsia" w:ascii="宋体" w:hAnsi="宋体"/>
          <w:color w:val="auto"/>
          <w:highlight w:val="none"/>
          <w:u w:val="none"/>
        </w:rPr>
      </w:pPr>
    </w:p>
    <w:p w14:paraId="092E2D84">
      <w:pPr>
        <w:pageBreakBefore w:val="0"/>
        <w:kinsoku/>
        <w:topLinePunct w:val="0"/>
        <w:bidi w:val="0"/>
        <w:spacing w:line="360" w:lineRule="auto"/>
        <w:ind w:firstLine="422" w:firstLineChars="200"/>
        <w:rPr>
          <w:rFonts w:hint="eastAsia" w:ascii="宋体" w:hAnsi="宋体"/>
          <w:color w:val="auto"/>
          <w:szCs w:val="21"/>
          <w:highlight w:val="none"/>
          <w:u w:val="none"/>
        </w:rPr>
      </w:pPr>
      <w:r>
        <w:rPr>
          <w:rFonts w:hint="eastAsia" w:ascii="宋体" w:hAnsi="宋体"/>
          <w:b/>
          <w:bCs/>
          <w:color w:val="auto"/>
          <w:szCs w:val="21"/>
          <w:highlight w:val="none"/>
          <w:u w:val="none"/>
        </w:rPr>
        <w:t>以下无正文内容。</w:t>
      </w:r>
    </w:p>
    <w:p w14:paraId="4B94DEEB">
      <w:pPr>
        <w:pStyle w:val="15"/>
        <w:pageBreakBefore w:val="0"/>
        <w:kinsoku/>
        <w:topLinePunct w:val="0"/>
        <w:bidi w:val="0"/>
        <w:spacing w:line="360" w:lineRule="auto"/>
        <w:rPr>
          <w:rFonts w:hint="eastAsia" w:ascii="宋体" w:hAnsi="宋体"/>
          <w:color w:val="auto"/>
          <w:highlight w:val="none"/>
          <w:u w:val="none"/>
        </w:rPr>
      </w:pPr>
    </w:p>
    <w:p w14:paraId="2938BF87">
      <w:pPr>
        <w:pStyle w:val="15"/>
        <w:pageBreakBefore w:val="0"/>
        <w:kinsoku/>
        <w:topLinePunct w:val="0"/>
        <w:bidi w:val="0"/>
        <w:spacing w:line="360" w:lineRule="auto"/>
        <w:rPr>
          <w:rFonts w:hint="eastAsia" w:ascii="宋体" w:hAnsi="宋体"/>
          <w:color w:val="auto"/>
          <w:highlight w:val="none"/>
          <w:u w:val="none"/>
        </w:rPr>
      </w:pPr>
    </w:p>
    <w:p w14:paraId="011875F0">
      <w:pPr>
        <w:pageBreakBefore w:val="0"/>
        <w:kinsoku/>
        <w:topLinePunct w:val="0"/>
        <w:bidi w:val="0"/>
        <w:spacing w:line="360" w:lineRule="auto"/>
        <w:rPr>
          <w:rFonts w:hint="eastAsia" w:ascii="宋体" w:hAnsi="宋体"/>
          <w:color w:val="auto"/>
          <w:szCs w:val="21"/>
          <w:highlight w:val="none"/>
          <w:u w:val="none"/>
        </w:rPr>
      </w:pPr>
      <w:r>
        <w:rPr>
          <w:rFonts w:hint="eastAsia" w:ascii="宋体" w:hAnsi="宋体"/>
          <w:color w:val="auto"/>
          <w:szCs w:val="21"/>
          <w:highlight w:val="none"/>
          <w:u w:val="none"/>
        </w:rPr>
        <w:t>甲方：        （盖章）                                 乙方：      （盖章）</w:t>
      </w:r>
    </w:p>
    <w:p w14:paraId="22712E23">
      <w:pPr>
        <w:pageBreakBefore w:val="0"/>
        <w:kinsoku/>
        <w:topLinePunct w:val="0"/>
        <w:bidi w:val="0"/>
        <w:spacing w:line="360" w:lineRule="auto"/>
        <w:rPr>
          <w:rFonts w:hint="eastAsia" w:ascii="宋体" w:hAnsi="宋体"/>
          <w:color w:val="auto"/>
          <w:szCs w:val="21"/>
          <w:highlight w:val="none"/>
          <w:u w:val="none"/>
        </w:rPr>
      </w:pPr>
      <w:r>
        <w:rPr>
          <w:rFonts w:hint="eastAsia" w:ascii="宋体" w:hAnsi="宋体"/>
          <w:color w:val="auto"/>
          <w:szCs w:val="21"/>
          <w:highlight w:val="none"/>
          <w:u w:val="none"/>
        </w:rPr>
        <w:t xml:space="preserve">地址：                                                 地址：               </w:t>
      </w:r>
    </w:p>
    <w:p w14:paraId="6B03C629">
      <w:pPr>
        <w:pageBreakBefore w:val="0"/>
        <w:kinsoku/>
        <w:topLinePunct w:val="0"/>
        <w:bidi w:val="0"/>
        <w:spacing w:line="360" w:lineRule="auto"/>
        <w:rPr>
          <w:rFonts w:hint="eastAsia" w:ascii="宋体" w:hAnsi="宋体"/>
          <w:color w:val="auto"/>
          <w:szCs w:val="21"/>
          <w:highlight w:val="none"/>
          <w:u w:val="none"/>
        </w:rPr>
      </w:pPr>
      <w:r>
        <w:rPr>
          <w:rFonts w:hint="eastAsia" w:ascii="宋体" w:hAnsi="宋体"/>
          <w:color w:val="auto"/>
          <w:szCs w:val="21"/>
          <w:highlight w:val="none"/>
          <w:u w:val="none"/>
        </w:rPr>
        <w:t>法定（授权）代表人：                                   法定（授权）代表人：</w:t>
      </w:r>
    </w:p>
    <w:p w14:paraId="0AD6093F">
      <w:pPr>
        <w:pageBreakBefore w:val="0"/>
        <w:kinsoku/>
        <w:topLinePunct w:val="0"/>
        <w:bidi w:val="0"/>
        <w:spacing w:line="360" w:lineRule="auto"/>
        <w:rPr>
          <w:rFonts w:hint="eastAsia" w:ascii="宋体" w:hAnsi="宋体"/>
          <w:color w:val="auto"/>
          <w:szCs w:val="21"/>
          <w:highlight w:val="none"/>
          <w:u w:val="none"/>
        </w:rPr>
      </w:pPr>
    </w:p>
    <w:p w14:paraId="502D78CC">
      <w:pPr>
        <w:pageBreakBefore w:val="0"/>
        <w:kinsoku/>
        <w:topLinePunct w:val="0"/>
        <w:bidi w:val="0"/>
        <w:spacing w:line="360" w:lineRule="auto"/>
        <w:rPr>
          <w:rFonts w:hint="eastAsia" w:ascii="宋体" w:hAnsi="宋体"/>
          <w:color w:val="auto"/>
          <w:szCs w:val="21"/>
          <w:highlight w:val="none"/>
          <w:u w:val="none"/>
        </w:rPr>
      </w:pPr>
      <w:r>
        <w:rPr>
          <w:rFonts w:hint="eastAsia" w:ascii="宋体" w:hAnsi="宋体"/>
          <w:color w:val="auto"/>
          <w:szCs w:val="21"/>
          <w:highlight w:val="none"/>
          <w:u w:val="none"/>
        </w:rPr>
        <w:t xml:space="preserve">                                                    二〇二</w:t>
      </w:r>
      <w:r>
        <w:rPr>
          <w:rFonts w:hint="eastAsia" w:ascii="宋体" w:hAnsi="宋体"/>
          <w:color w:val="auto"/>
          <w:szCs w:val="21"/>
          <w:highlight w:val="none"/>
          <w:u w:val="none"/>
          <w:lang w:val="en-US" w:eastAsia="zh-CN"/>
        </w:rPr>
        <w:t>六</w:t>
      </w:r>
      <w:r>
        <w:rPr>
          <w:rFonts w:hint="eastAsia" w:ascii="宋体" w:hAnsi="宋体"/>
          <w:color w:val="auto"/>
          <w:szCs w:val="21"/>
          <w:highlight w:val="none"/>
          <w:u w:val="none"/>
        </w:rPr>
        <w:t>年     月    日</w:t>
      </w:r>
    </w:p>
    <w:p w14:paraId="56CCB4D2">
      <w:pPr>
        <w:pStyle w:val="2"/>
        <w:rPr>
          <w:color w:val="auto"/>
          <w:highlight w:val="none"/>
          <w:u w:val="none"/>
        </w:rPr>
      </w:pPr>
    </w:p>
    <w:p w14:paraId="168F9B36">
      <w:pPr>
        <w:spacing w:line="360" w:lineRule="auto"/>
        <w:rPr>
          <w:color w:val="auto"/>
          <w:highlight w:val="none"/>
          <w:u w:val="none"/>
        </w:rPr>
      </w:pPr>
    </w:p>
    <w:p w14:paraId="1E422AF4">
      <w:pPr>
        <w:pStyle w:val="24"/>
        <w:spacing w:before="0" w:after="0" w:line="360" w:lineRule="auto"/>
        <w:jc w:val="center"/>
        <w:rPr>
          <w:rFonts w:hint="eastAsia" w:ascii="宋体" w:hAnsi="宋体" w:cs="宋体"/>
          <w:color w:val="auto"/>
          <w:sz w:val="21"/>
          <w:szCs w:val="21"/>
          <w:highlight w:val="none"/>
          <w:u w:val="none"/>
        </w:rPr>
        <w:sectPr>
          <w:footerReference r:id="rId8" w:type="default"/>
          <w:pgSz w:w="11906" w:h="16838"/>
          <w:pgMar w:top="1440" w:right="1080" w:bottom="1440" w:left="1080" w:header="851" w:footer="992" w:gutter="0"/>
          <w:pgBorders>
            <w:top w:val="none" w:sz="0" w:space="0"/>
            <w:left w:val="none" w:sz="0" w:space="0"/>
            <w:bottom w:val="none" w:sz="0" w:space="0"/>
            <w:right w:val="none" w:sz="0" w:space="0"/>
          </w:pgBorders>
          <w:cols w:space="720" w:num="1"/>
          <w:docGrid w:type="lines" w:linePitch="312" w:charSpace="0"/>
        </w:sectPr>
      </w:pPr>
      <w:bookmarkStart w:id="104" w:name="_Toc498006744"/>
      <w:bookmarkStart w:id="105" w:name="_Toc87985472"/>
    </w:p>
    <w:bookmarkEnd w:id="104"/>
    <w:bookmarkEnd w:id="105"/>
    <w:p w14:paraId="7A52255E">
      <w:pPr>
        <w:pStyle w:val="3"/>
        <w:pageBreakBefore w:val="0"/>
        <w:numPr>
          <w:ilvl w:val="0"/>
          <w:numId w:val="3"/>
        </w:numPr>
        <w:kinsoku/>
        <w:topLinePunct w:val="0"/>
        <w:bidi w:val="0"/>
        <w:spacing w:line="360" w:lineRule="auto"/>
        <w:ind w:firstLine="422" w:firstLineChars="200"/>
        <w:jc w:val="center"/>
        <w:rPr>
          <w:rFonts w:hint="eastAsia" w:ascii="宋体" w:hAnsi="宋体" w:eastAsia="宋体"/>
          <w:b/>
          <w:color w:val="auto"/>
          <w:sz w:val="21"/>
          <w:szCs w:val="21"/>
          <w:highlight w:val="none"/>
          <w:u w:val="none"/>
        </w:rPr>
      </w:pPr>
      <w:bookmarkStart w:id="106" w:name="_Toc86268902"/>
      <w:bookmarkStart w:id="107" w:name="_Toc86268903"/>
      <w:bookmarkStart w:id="108" w:name="_Toc61149622"/>
      <w:bookmarkStart w:id="109" w:name="_Toc26554097"/>
      <w:bookmarkStart w:id="110" w:name="_Toc23828480"/>
      <w:r>
        <w:rPr>
          <w:rFonts w:hint="eastAsia" w:ascii="宋体" w:hAnsi="宋体" w:eastAsia="宋体"/>
          <w:b/>
          <w:color w:val="auto"/>
          <w:sz w:val="21"/>
          <w:szCs w:val="21"/>
          <w:highlight w:val="none"/>
          <w:u w:val="none"/>
        </w:rPr>
        <w:t xml:space="preserve"> 项目需求</w:t>
      </w:r>
      <w:bookmarkEnd w:id="106"/>
    </w:p>
    <w:p w14:paraId="506737FE">
      <w:pPr>
        <w:pageBreakBefore w:val="0"/>
        <w:kinsoku/>
        <w:topLinePunct w:val="0"/>
        <w:bidi w:val="0"/>
        <w:spacing w:line="360" w:lineRule="auto"/>
        <w:ind w:firstLine="422" w:firstLineChars="200"/>
        <w:rPr>
          <w:rFonts w:hint="eastAsia" w:ascii="宋体" w:hAnsi="宋体" w:eastAsia="宋体" w:cs="宋体"/>
          <w:b/>
          <w:bCs/>
          <w:color w:val="auto"/>
          <w:sz w:val="21"/>
          <w:szCs w:val="21"/>
          <w:highlight w:val="none"/>
          <w:u w:val="none"/>
          <w:lang w:eastAsia="zh-CN"/>
        </w:rPr>
      </w:pPr>
      <w:bookmarkStart w:id="111" w:name="_Toc13708_WPSOffice_Level2"/>
      <w:r>
        <w:rPr>
          <w:rFonts w:hint="eastAsia" w:ascii="宋体" w:hAnsi="宋体" w:eastAsia="宋体" w:cs="宋体"/>
          <w:b/>
          <w:bCs/>
          <w:color w:val="auto"/>
          <w:sz w:val="21"/>
          <w:szCs w:val="21"/>
          <w:highlight w:val="none"/>
          <w:u w:val="none"/>
        </w:rPr>
        <w:t>一、项目</w:t>
      </w:r>
      <w:bookmarkEnd w:id="111"/>
      <w:r>
        <w:rPr>
          <w:rFonts w:hint="eastAsia" w:ascii="宋体" w:hAnsi="宋体" w:cs="宋体"/>
          <w:b/>
          <w:bCs/>
          <w:color w:val="auto"/>
          <w:sz w:val="21"/>
          <w:szCs w:val="21"/>
          <w:highlight w:val="none"/>
          <w:u w:val="none"/>
          <w:lang w:val="en-US" w:eastAsia="zh-CN"/>
        </w:rPr>
        <w:t>概况</w:t>
      </w:r>
    </w:p>
    <w:p w14:paraId="0347C2E8">
      <w:pPr>
        <w:spacing w:line="360" w:lineRule="auto"/>
        <w:ind w:firstLine="420"/>
        <w:rPr>
          <w:rFonts w:hint="eastAsia" w:ascii="宋体" w:hAnsi="宋体" w:cs="宋体"/>
          <w:b/>
          <w:bCs/>
          <w:color w:val="auto"/>
          <w:szCs w:val="21"/>
          <w:highlight w:val="none"/>
          <w:u w:val="none"/>
          <w:lang w:val="en-US" w:eastAsia="zh-CN"/>
        </w:rPr>
      </w:pPr>
      <w:r>
        <w:rPr>
          <w:rFonts w:hint="eastAsia" w:ascii="宋体" w:hAnsi="宋体" w:cs="宋体"/>
          <w:color w:val="auto"/>
          <w:szCs w:val="21"/>
          <w:highlight w:val="none"/>
          <w:u w:val="none"/>
          <w:lang w:val="en-US" w:eastAsia="zh-CN"/>
        </w:rPr>
        <w:t>1.</w:t>
      </w:r>
      <w:r>
        <w:rPr>
          <w:rFonts w:hint="eastAsia" w:ascii="宋体" w:hAnsi="宋体" w:cs="宋体"/>
          <w:b/>
          <w:bCs/>
          <w:color w:val="auto"/>
          <w:szCs w:val="21"/>
          <w:highlight w:val="none"/>
          <w:u w:val="none"/>
        </w:rPr>
        <w:t>项目预算：</w:t>
      </w:r>
      <w:r>
        <w:rPr>
          <w:rFonts w:hint="eastAsia" w:ascii="宋体" w:hAnsi="宋体" w:cs="宋体"/>
          <w:b/>
          <w:bCs/>
          <w:color w:val="auto"/>
          <w:szCs w:val="21"/>
          <w:highlight w:val="none"/>
          <w:u w:val="none"/>
          <w:lang w:val="en-US" w:eastAsia="zh-CN"/>
        </w:rPr>
        <w:t>128万元</w:t>
      </w:r>
    </w:p>
    <w:p w14:paraId="45708DB8">
      <w:pPr>
        <w:spacing w:line="360" w:lineRule="auto"/>
        <w:ind w:firstLine="420"/>
        <w:rPr>
          <w:rFonts w:ascii="宋体" w:hAnsi="宋体" w:cs="宋体"/>
          <w:color w:val="auto"/>
          <w:szCs w:val="21"/>
          <w:highlight w:val="none"/>
          <w:u w:val="none"/>
        </w:rPr>
      </w:pPr>
      <w:r>
        <w:rPr>
          <w:rFonts w:hint="eastAsia" w:ascii="宋体" w:hAnsi="宋体" w:cs="宋体"/>
          <w:b/>
          <w:bCs/>
          <w:color w:val="auto"/>
          <w:szCs w:val="21"/>
          <w:highlight w:val="none"/>
          <w:u w:val="none"/>
          <w:lang w:val="en-US" w:eastAsia="zh-CN"/>
        </w:rPr>
        <w:t>2.最高限价：总价127.9152万元；单价126.9元/批次，高于最高限价（单价）按无效响应处理。</w:t>
      </w:r>
    </w:p>
    <w:p w14:paraId="526E141D">
      <w:pPr>
        <w:spacing w:line="360" w:lineRule="auto"/>
        <w:ind w:firstLine="420"/>
        <w:rPr>
          <w:rFonts w:hint="eastAsia" w:ascii="宋体" w:hAnsi="宋体" w:cs="宋体"/>
          <w:color w:val="auto"/>
          <w:szCs w:val="21"/>
          <w:highlight w:val="none"/>
          <w:u w:val="none"/>
        </w:rPr>
      </w:pPr>
      <w:r>
        <w:rPr>
          <w:rFonts w:hint="eastAsia" w:ascii="宋体" w:hAnsi="宋体" w:cs="宋体"/>
          <w:color w:val="auto"/>
          <w:szCs w:val="21"/>
          <w:highlight w:val="none"/>
          <w:u w:val="none"/>
          <w:lang w:val="en-US" w:eastAsia="zh-CN"/>
        </w:rPr>
        <w:t>3.</w:t>
      </w:r>
      <w:r>
        <w:rPr>
          <w:rFonts w:hint="eastAsia" w:ascii="宋体" w:hAnsi="宋体" w:cs="宋体"/>
          <w:color w:val="auto"/>
          <w:szCs w:val="21"/>
          <w:highlight w:val="none"/>
          <w:u w:val="none"/>
        </w:rPr>
        <w:t>本次食品安全快检服务采购招标不少于10080批次食品快检服务并配备相应的检测及咨询人员。中标机构应能在规定的时间内完成快速检测任务，及时将快检信息录入信息化监管平台，按要求定期将工作总结报送医药高新区（高港区）市场监管局。同时包含举办重大活动保障服务、你点我检现场活动等工作所需的检测试剂、耗材、</w:t>
      </w:r>
      <w:r>
        <w:rPr>
          <w:rFonts w:hint="eastAsia" w:ascii="宋体" w:hAnsi="宋体" w:cs="宋体"/>
          <w:color w:val="auto"/>
          <w:szCs w:val="21"/>
          <w:highlight w:val="none"/>
          <w:u w:val="none"/>
          <w:lang w:eastAsia="zh-CN"/>
        </w:rPr>
        <w:t>采样、</w:t>
      </w:r>
      <w:r>
        <w:rPr>
          <w:rFonts w:hint="eastAsia" w:ascii="宋体" w:hAnsi="宋体" w:cs="宋体"/>
          <w:color w:val="auto"/>
          <w:szCs w:val="21"/>
          <w:highlight w:val="none"/>
          <w:u w:val="none"/>
        </w:rPr>
        <w:t>人员等相关费用。提高全区快检人员技术水平及检测能力。</w:t>
      </w:r>
    </w:p>
    <w:p w14:paraId="08D11375">
      <w:pPr>
        <w:pageBreakBefore w:val="0"/>
        <w:spacing w:line="360" w:lineRule="auto"/>
        <w:ind w:firstLine="420"/>
        <w:rPr>
          <w:rFonts w:hint="eastAsia" w:ascii="宋体" w:hAnsi="宋体" w:eastAsia="宋体" w:cs="宋体"/>
          <w:color w:val="auto"/>
          <w:szCs w:val="21"/>
          <w:highlight w:val="none"/>
          <w:u w:val="none"/>
          <w:lang w:val="en-US" w:eastAsia="zh-CN"/>
        </w:rPr>
      </w:pPr>
      <w:r>
        <w:rPr>
          <w:rFonts w:hint="eastAsia" w:ascii="宋体" w:hAnsi="宋体" w:eastAsia="宋体" w:cs="宋体"/>
          <w:color w:val="auto"/>
          <w:szCs w:val="21"/>
          <w:highlight w:val="none"/>
          <w:u w:val="none"/>
          <w:lang w:val="en-US" w:eastAsia="zh-CN"/>
        </w:rPr>
        <w:t>4.本项目共分2个标包。每家响应供应商累计成交标包不得超过1个。评标时，依开标顺序（按1标→2标顺序开标、评标），响应供应商在前面标段中已经被确定为成交供应商的，不再被确定为后续标段的成交供应商，在合同签订之前，若某个标段因质疑、投诉等事项导致中标结果改变的，不影响其他标段的成交结果。</w:t>
      </w:r>
    </w:p>
    <w:p w14:paraId="02F87018">
      <w:pPr>
        <w:pageBreakBefore w:val="0"/>
        <w:spacing w:line="360" w:lineRule="auto"/>
        <w:ind w:firstLine="422"/>
        <w:jc w:val="left"/>
        <w:rPr>
          <w:rFonts w:hint="eastAsia" w:ascii="宋体" w:hAnsi="宋体" w:cs="黑体"/>
          <w:b/>
          <w:color w:val="auto"/>
          <w:szCs w:val="21"/>
          <w:highlight w:val="none"/>
          <w:u w:val="none"/>
          <w:lang w:val="en-US" w:eastAsia="zh-CN"/>
        </w:rPr>
      </w:pPr>
      <w:r>
        <w:rPr>
          <w:rFonts w:hint="eastAsia" w:ascii="宋体" w:hAnsi="宋体" w:eastAsia="宋体" w:cs="黑体"/>
          <w:b/>
          <w:color w:val="auto"/>
          <w:szCs w:val="21"/>
          <w:highlight w:val="none"/>
          <w:u w:val="none"/>
        </w:rPr>
        <w:t>二、</w:t>
      </w:r>
      <w:r>
        <w:rPr>
          <w:rFonts w:hint="eastAsia" w:ascii="宋体" w:hAnsi="宋体" w:cs="黑体"/>
          <w:b/>
          <w:color w:val="auto"/>
          <w:szCs w:val="21"/>
          <w:highlight w:val="none"/>
          <w:u w:val="none"/>
          <w:lang w:val="en-US" w:eastAsia="zh-CN"/>
        </w:rPr>
        <w:t>服务内容</w:t>
      </w:r>
    </w:p>
    <w:p w14:paraId="41848304">
      <w:pPr>
        <w:pageBreakBefore w:val="0"/>
        <w:spacing w:line="360" w:lineRule="auto"/>
        <w:ind w:firstLine="422"/>
        <w:jc w:val="left"/>
        <w:rPr>
          <w:rFonts w:ascii="宋体" w:hAnsi="宋体" w:cs="宋体"/>
          <w:b/>
          <w:color w:val="auto"/>
          <w:szCs w:val="21"/>
          <w:highlight w:val="none"/>
          <w:u w:val="none"/>
        </w:rPr>
      </w:pPr>
      <w:r>
        <w:rPr>
          <w:rFonts w:hint="eastAsia" w:ascii="宋体" w:hAnsi="宋体" w:cs="黑体"/>
          <w:b/>
          <w:color w:val="auto"/>
          <w:szCs w:val="21"/>
          <w:highlight w:val="none"/>
          <w:u w:val="none"/>
          <w:lang w:val="en-US" w:eastAsia="zh-CN"/>
        </w:rPr>
        <w:t>（一）</w:t>
      </w:r>
      <w:r>
        <w:rPr>
          <w:rFonts w:hint="eastAsia" w:ascii="宋体" w:hAnsi="宋体" w:cs="宋体"/>
          <w:b/>
          <w:color w:val="auto"/>
          <w:szCs w:val="21"/>
          <w:highlight w:val="none"/>
          <w:u w:val="none"/>
        </w:rPr>
        <w:t>快检室分布及检测批次任务</w:t>
      </w:r>
    </w:p>
    <w:p w14:paraId="488E6F42">
      <w:pPr>
        <w:spacing w:line="360" w:lineRule="auto"/>
        <w:ind w:firstLine="420"/>
        <w:rPr>
          <w:rFonts w:ascii="宋体" w:hAnsi="宋体" w:cs="宋体"/>
          <w:color w:val="auto"/>
          <w:szCs w:val="21"/>
          <w:highlight w:val="none"/>
          <w:u w:val="none"/>
        </w:rPr>
      </w:pPr>
      <w:r>
        <w:rPr>
          <w:rFonts w:hint="eastAsia" w:ascii="宋体" w:hAnsi="宋体" w:cs="宋体"/>
          <w:color w:val="auto"/>
          <w:szCs w:val="21"/>
          <w:highlight w:val="none"/>
          <w:u w:val="none"/>
        </w:rPr>
        <w:t>整体项目具体安排见下表：</w:t>
      </w:r>
    </w:p>
    <w:p w14:paraId="01FFB7AA">
      <w:pPr>
        <w:spacing w:line="360" w:lineRule="auto"/>
        <w:jc w:val="center"/>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rPr>
        <w:t>快检室、检测批次安排表</w:t>
      </w:r>
    </w:p>
    <w:tbl>
      <w:tblPr>
        <w:tblStyle w:val="17"/>
        <w:tblW w:w="496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0"/>
        <w:gridCol w:w="3945"/>
        <w:gridCol w:w="1445"/>
        <w:gridCol w:w="1456"/>
        <w:gridCol w:w="1319"/>
      </w:tblGrid>
      <w:tr w14:paraId="6610D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36" w:type="pct"/>
            <w:noWrap w:val="0"/>
            <w:vAlign w:val="center"/>
          </w:tcPr>
          <w:p w14:paraId="09EBE511">
            <w:pPr>
              <w:jc w:val="center"/>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rPr>
              <w:t>项目序号</w:t>
            </w:r>
          </w:p>
        </w:tc>
        <w:tc>
          <w:tcPr>
            <w:tcW w:w="2108" w:type="pct"/>
            <w:noWrap w:val="0"/>
            <w:vAlign w:val="center"/>
          </w:tcPr>
          <w:p w14:paraId="14B6792B">
            <w:pPr>
              <w:jc w:val="center"/>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rPr>
              <w:t>名称</w:t>
            </w:r>
          </w:p>
        </w:tc>
        <w:tc>
          <w:tcPr>
            <w:tcW w:w="772" w:type="pct"/>
            <w:noWrap w:val="0"/>
            <w:vAlign w:val="center"/>
          </w:tcPr>
          <w:p w14:paraId="58511EF9">
            <w:pPr>
              <w:jc w:val="center"/>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rPr>
              <w:t>检测批次</w:t>
            </w:r>
          </w:p>
        </w:tc>
        <w:tc>
          <w:tcPr>
            <w:tcW w:w="778" w:type="pct"/>
            <w:noWrap w:val="0"/>
            <w:vAlign w:val="center"/>
          </w:tcPr>
          <w:p w14:paraId="5D0FF650">
            <w:pPr>
              <w:jc w:val="center"/>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rPr>
              <w:t>总批次</w:t>
            </w:r>
          </w:p>
        </w:tc>
        <w:tc>
          <w:tcPr>
            <w:tcW w:w="703" w:type="pct"/>
            <w:noWrap w:val="0"/>
            <w:vAlign w:val="center"/>
          </w:tcPr>
          <w:p w14:paraId="29E521FE">
            <w:pPr>
              <w:jc w:val="center"/>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rPr>
              <w:t>合计</w:t>
            </w:r>
          </w:p>
        </w:tc>
      </w:tr>
      <w:tr w14:paraId="6719A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36" w:type="pct"/>
            <w:vMerge w:val="restart"/>
            <w:noWrap w:val="0"/>
            <w:vAlign w:val="center"/>
          </w:tcPr>
          <w:p w14:paraId="7CA6E8A4">
            <w:pPr>
              <w:jc w:val="center"/>
              <w:rPr>
                <w:rFonts w:hint="eastAsia" w:ascii="宋体" w:hAnsi="宋体" w:eastAsia="宋体" w:cs="宋体"/>
                <w:b w:val="0"/>
                <w:bCs w:val="0"/>
                <w:color w:val="auto"/>
                <w:sz w:val="21"/>
                <w:szCs w:val="21"/>
                <w:highlight w:val="none"/>
                <w:u w:val="none"/>
                <w:lang w:eastAsia="zh-CN"/>
              </w:rPr>
            </w:pPr>
            <w:r>
              <w:rPr>
                <w:rFonts w:hint="eastAsia" w:ascii="宋体" w:hAnsi="宋体" w:cs="宋体"/>
                <w:b w:val="0"/>
                <w:bCs w:val="0"/>
                <w:color w:val="auto"/>
                <w:sz w:val="21"/>
                <w:szCs w:val="21"/>
                <w:highlight w:val="none"/>
                <w:u w:val="none"/>
                <w:lang w:eastAsia="zh-CN"/>
              </w:rPr>
              <w:t>一</w:t>
            </w:r>
          </w:p>
        </w:tc>
        <w:tc>
          <w:tcPr>
            <w:tcW w:w="2108" w:type="pct"/>
            <w:noWrap w:val="0"/>
            <w:vAlign w:val="center"/>
          </w:tcPr>
          <w:p w14:paraId="72A8780A">
            <w:pPr>
              <w:jc w:val="center"/>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rPr>
              <w:t>泰州医药高新区（高港区）快检中心</w:t>
            </w:r>
          </w:p>
        </w:tc>
        <w:tc>
          <w:tcPr>
            <w:tcW w:w="772" w:type="pct"/>
            <w:noWrap w:val="0"/>
            <w:vAlign w:val="center"/>
          </w:tcPr>
          <w:p w14:paraId="5E123280">
            <w:pPr>
              <w:jc w:val="center"/>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rPr>
              <w:t>120批次/月</w:t>
            </w:r>
          </w:p>
        </w:tc>
        <w:tc>
          <w:tcPr>
            <w:tcW w:w="778" w:type="pct"/>
            <w:noWrap w:val="0"/>
            <w:vAlign w:val="center"/>
          </w:tcPr>
          <w:p w14:paraId="0AE1760A">
            <w:pPr>
              <w:jc w:val="center"/>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rPr>
              <w:t>1440批次</w:t>
            </w:r>
          </w:p>
        </w:tc>
        <w:tc>
          <w:tcPr>
            <w:tcW w:w="703" w:type="pct"/>
            <w:vMerge w:val="restart"/>
            <w:noWrap w:val="0"/>
            <w:vAlign w:val="center"/>
          </w:tcPr>
          <w:p w14:paraId="65A70CFA">
            <w:pPr>
              <w:jc w:val="center"/>
              <w:rPr>
                <w:rFonts w:hint="default" w:ascii="宋体" w:hAnsi="宋体" w:eastAsia="宋体" w:cs="宋体"/>
                <w:b w:val="0"/>
                <w:bCs w:val="0"/>
                <w:color w:val="auto"/>
                <w:sz w:val="21"/>
                <w:szCs w:val="21"/>
                <w:highlight w:val="none"/>
                <w:u w:val="none"/>
                <w:lang w:val="en-US" w:eastAsia="zh-CN"/>
              </w:rPr>
            </w:pPr>
            <w:r>
              <w:rPr>
                <w:rFonts w:hint="eastAsia" w:ascii="宋体" w:hAnsi="宋体" w:cs="宋体"/>
                <w:b w:val="0"/>
                <w:bCs w:val="0"/>
                <w:color w:val="auto"/>
                <w:sz w:val="21"/>
                <w:szCs w:val="21"/>
                <w:highlight w:val="none"/>
                <w:u w:val="none"/>
                <w:lang w:val="en-US" w:eastAsia="zh-CN"/>
              </w:rPr>
              <w:t>5760批次</w:t>
            </w:r>
          </w:p>
        </w:tc>
      </w:tr>
      <w:tr w14:paraId="79C7E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36" w:type="pct"/>
            <w:vMerge w:val="continue"/>
            <w:noWrap w:val="0"/>
            <w:vAlign w:val="center"/>
          </w:tcPr>
          <w:p w14:paraId="4C96CB48">
            <w:pPr>
              <w:jc w:val="center"/>
              <w:rPr>
                <w:rFonts w:hint="eastAsia" w:ascii="宋体" w:hAnsi="宋体" w:eastAsia="宋体" w:cs="宋体"/>
                <w:b w:val="0"/>
                <w:bCs w:val="0"/>
                <w:color w:val="auto"/>
                <w:sz w:val="21"/>
                <w:szCs w:val="21"/>
                <w:highlight w:val="none"/>
                <w:u w:val="none"/>
              </w:rPr>
            </w:pPr>
          </w:p>
        </w:tc>
        <w:tc>
          <w:tcPr>
            <w:tcW w:w="2108" w:type="pct"/>
            <w:noWrap w:val="0"/>
            <w:vAlign w:val="center"/>
          </w:tcPr>
          <w:p w14:paraId="36436E39">
            <w:pPr>
              <w:jc w:val="center"/>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rPr>
              <w:t>寺巷分局</w:t>
            </w:r>
          </w:p>
        </w:tc>
        <w:tc>
          <w:tcPr>
            <w:tcW w:w="772" w:type="pct"/>
            <w:noWrap w:val="0"/>
            <w:vAlign w:val="center"/>
          </w:tcPr>
          <w:p w14:paraId="0269EAE6">
            <w:pPr>
              <w:jc w:val="center"/>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rPr>
              <w:t>120批次/月</w:t>
            </w:r>
          </w:p>
        </w:tc>
        <w:tc>
          <w:tcPr>
            <w:tcW w:w="778" w:type="pct"/>
            <w:noWrap w:val="0"/>
            <w:vAlign w:val="center"/>
          </w:tcPr>
          <w:p w14:paraId="328639AD">
            <w:pPr>
              <w:jc w:val="center"/>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rPr>
              <w:t>1440批次</w:t>
            </w:r>
          </w:p>
        </w:tc>
        <w:tc>
          <w:tcPr>
            <w:tcW w:w="703" w:type="pct"/>
            <w:vMerge w:val="continue"/>
            <w:noWrap w:val="0"/>
            <w:vAlign w:val="center"/>
          </w:tcPr>
          <w:p w14:paraId="139BE493">
            <w:pPr>
              <w:jc w:val="center"/>
              <w:rPr>
                <w:rFonts w:hint="eastAsia" w:ascii="宋体" w:hAnsi="宋体" w:eastAsia="宋体" w:cs="宋体"/>
                <w:b w:val="0"/>
                <w:bCs w:val="0"/>
                <w:color w:val="auto"/>
                <w:sz w:val="21"/>
                <w:szCs w:val="21"/>
                <w:highlight w:val="none"/>
                <w:u w:val="none"/>
              </w:rPr>
            </w:pPr>
          </w:p>
        </w:tc>
      </w:tr>
      <w:tr w14:paraId="17C4F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36" w:type="pct"/>
            <w:vMerge w:val="continue"/>
            <w:noWrap w:val="0"/>
            <w:vAlign w:val="center"/>
          </w:tcPr>
          <w:p w14:paraId="1BB2A574">
            <w:pPr>
              <w:jc w:val="center"/>
              <w:rPr>
                <w:rFonts w:hint="eastAsia" w:ascii="宋体" w:hAnsi="宋体" w:eastAsia="宋体" w:cs="宋体"/>
                <w:b w:val="0"/>
                <w:bCs w:val="0"/>
                <w:color w:val="auto"/>
                <w:sz w:val="21"/>
                <w:szCs w:val="21"/>
                <w:highlight w:val="none"/>
                <w:u w:val="none"/>
              </w:rPr>
            </w:pPr>
          </w:p>
        </w:tc>
        <w:tc>
          <w:tcPr>
            <w:tcW w:w="2108" w:type="pct"/>
            <w:noWrap w:val="0"/>
            <w:vAlign w:val="center"/>
          </w:tcPr>
          <w:p w14:paraId="21361868">
            <w:pPr>
              <w:jc w:val="center"/>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rPr>
              <w:t>新城分局</w:t>
            </w:r>
          </w:p>
        </w:tc>
        <w:tc>
          <w:tcPr>
            <w:tcW w:w="772" w:type="pct"/>
            <w:noWrap w:val="0"/>
            <w:vAlign w:val="center"/>
          </w:tcPr>
          <w:p w14:paraId="30763D94">
            <w:pPr>
              <w:jc w:val="center"/>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rPr>
              <w:t>120批次/月</w:t>
            </w:r>
          </w:p>
        </w:tc>
        <w:tc>
          <w:tcPr>
            <w:tcW w:w="778" w:type="pct"/>
            <w:noWrap w:val="0"/>
            <w:vAlign w:val="center"/>
          </w:tcPr>
          <w:p w14:paraId="298C945A">
            <w:pPr>
              <w:jc w:val="center"/>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rPr>
              <w:t>1440批次</w:t>
            </w:r>
          </w:p>
        </w:tc>
        <w:tc>
          <w:tcPr>
            <w:tcW w:w="703" w:type="pct"/>
            <w:vMerge w:val="continue"/>
            <w:noWrap w:val="0"/>
            <w:vAlign w:val="center"/>
          </w:tcPr>
          <w:p w14:paraId="5D89F2D3">
            <w:pPr>
              <w:jc w:val="center"/>
              <w:rPr>
                <w:rFonts w:hint="eastAsia" w:ascii="宋体" w:hAnsi="宋体" w:eastAsia="宋体" w:cs="宋体"/>
                <w:b w:val="0"/>
                <w:bCs w:val="0"/>
                <w:color w:val="auto"/>
                <w:sz w:val="21"/>
                <w:szCs w:val="21"/>
                <w:highlight w:val="none"/>
                <w:u w:val="none"/>
              </w:rPr>
            </w:pPr>
          </w:p>
        </w:tc>
      </w:tr>
      <w:tr w14:paraId="73608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36" w:type="pct"/>
            <w:vMerge w:val="continue"/>
            <w:noWrap w:val="0"/>
            <w:vAlign w:val="center"/>
          </w:tcPr>
          <w:p w14:paraId="13ACFCC4">
            <w:pPr>
              <w:jc w:val="center"/>
              <w:rPr>
                <w:rFonts w:hint="eastAsia" w:ascii="宋体" w:hAnsi="宋体" w:eastAsia="宋体" w:cs="宋体"/>
                <w:b w:val="0"/>
                <w:bCs w:val="0"/>
                <w:color w:val="auto"/>
                <w:sz w:val="21"/>
                <w:szCs w:val="21"/>
                <w:highlight w:val="none"/>
                <w:u w:val="none"/>
              </w:rPr>
            </w:pPr>
          </w:p>
        </w:tc>
        <w:tc>
          <w:tcPr>
            <w:tcW w:w="2108" w:type="pct"/>
            <w:noWrap w:val="0"/>
            <w:vAlign w:val="center"/>
          </w:tcPr>
          <w:p w14:paraId="40C194F0">
            <w:pPr>
              <w:jc w:val="center"/>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rPr>
              <w:t>口岸分局</w:t>
            </w:r>
          </w:p>
        </w:tc>
        <w:tc>
          <w:tcPr>
            <w:tcW w:w="772" w:type="pct"/>
            <w:noWrap w:val="0"/>
            <w:vAlign w:val="center"/>
          </w:tcPr>
          <w:p w14:paraId="6D7BB6E5">
            <w:pPr>
              <w:jc w:val="center"/>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rPr>
              <w:t>120批次/月</w:t>
            </w:r>
          </w:p>
        </w:tc>
        <w:tc>
          <w:tcPr>
            <w:tcW w:w="778" w:type="pct"/>
            <w:noWrap w:val="0"/>
            <w:vAlign w:val="center"/>
          </w:tcPr>
          <w:p w14:paraId="1236A10C">
            <w:pPr>
              <w:jc w:val="center"/>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rPr>
              <w:t>1440批次</w:t>
            </w:r>
          </w:p>
        </w:tc>
        <w:tc>
          <w:tcPr>
            <w:tcW w:w="703" w:type="pct"/>
            <w:vMerge w:val="continue"/>
            <w:noWrap w:val="0"/>
            <w:vAlign w:val="center"/>
          </w:tcPr>
          <w:p w14:paraId="7AA720B4">
            <w:pPr>
              <w:jc w:val="center"/>
              <w:rPr>
                <w:rFonts w:hint="eastAsia" w:ascii="宋体" w:hAnsi="宋体" w:eastAsia="宋体" w:cs="宋体"/>
                <w:b w:val="0"/>
                <w:bCs w:val="0"/>
                <w:color w:val="auto"/>
                <w:sz w:val="21"/>
                <w:szCs w:val="21"/>
                <w:highlight w:val="none"/>
                <w:u w:val="none"/>
              </w:rPr>
            </w:pPr>
          </w:p>
        </w:tc>
      </w:tr>
      <w:tr w14:paraId="56D8F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36" w:type="pct"/>
            <w:vMerge w:val="restart"/>
            <w:noWrap w:val="0"/>
            <w:vAlign w:val="center"/>
          </w:tcPr>
          <w:p w14:paraId="65884B74">
            <w:pPr>
              <w:jc w:val="center"/>
              <w:rPr>
                <w:rFonts w:hint="eastAsia" w:ascii="宋体" w:hAnsi="宋体" w:eastAsia="宋体" w:cs="宋体"/>
                <w:b w:val="0"/>
                <w:bCs w:val="0"/>
                <w:color w:val="auto"/>
                <w:sz w:val="21"/>
                <w:szCs w:val="21"/>
                <w:highlight w:val="none"/>
                <w:u w:val="none"/>
                <w:lang w:eastAsia="zh-CN"/>
              </w:rPr>
            </w:pPr>
            <w:r>
              <w:rPr>
                <w:rFonts w:hint="eastAsia" w:ascii="宋体" w:hAnsi="宋体" w:cs="宋体"/>
                <w:b w:val="0"/>
                <w:bCs w:val="0"/>
                <w:color w:val="auto"/>
                <w:sz w:val="21"/>
                <w:szCs w:val="21"/>
                <w:highlight w:val="none"/>
                <w:u w:val="none"/>
                <w:lang w:eastAsia="zh-CN"/>
              </w:rPr>
              <w:t>二</w:t>
            </w:r>
          </w:p>
        </w:tc>
        <w:tc>
          <w:tcPr>
            <w:tcW w:w="2108" w:type="pct"/>
            <w:noWrap w:val="0"/>
            <w:vAlign w:val="center"/>
          </w:tcPr>
          <w:p w14:paraId="2B6368D0">
            <w:pPr>
              <w:jc w:val="center"/>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rPr>
              <w:t>刁铺分局</w:t>
            </w:r>
          </w:p>
        </w:tc>
        <w:tc>
          <w:tcPr>
            <w:tcW w:w="772" w:type="pct"/>
            <w:noWrap w:val="0"/>
            <w:vAlign w:val="center"/>
          </w:tcPr>
          <w:p w14:paraId="7D09BA2A">
            <w:pPr>
              <w:jc w:val="center"/>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rPr>
              <w:t>120批次/月</w:t>
            </w:r>
          </w:p>
        </w:tc>
        <w:tc>
          <w:tcPr>
            <w:tcW w:w="778" w:type="pct"/>
            <w:noWrap w:val="0"/>
            <w:vAlign w:val="center"/>
          </w:tcPr>
          <w:p w14:paraId="1153439B">
            <w:pPr>
              <w:jc w:val="center"/>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rPr>
              <w:t>1440批次</w:t>
            </w:r>
          </w:p>
        </w:tc>
        <w:tc>
          <w:tcPr>
            <w:tcW w:w="703" w:type="pct"/>
            <w:vMerge w:val="restart"/>
            <w:noWrap w:val="0"/>
            <w:vAlign w:val="center"/>
          </w:tcPr>
          <w:p w14:paraId="5B8887F8">
            <w:pPr>
              <w:jc w:val="center"/>
              <w:rPr>
                <w:rFonts w:hint="default" w:ascii="宋体" w:hAnsi="宋体" w:eastAsia="宋体" w:cs="宋体"/>
                <w:b w:val="0"/>
                <w:bCs w:val="0"/>
                <w:color w:val="auto"/>
                <w:sz w:val="21"/>
                <w:szCs w:val="21"/>
                <w:highlight w:val="none"/>
                <w:u w:val="none"/>
                <w:lang w:val="en-US" w:eastAsia="zh-CN"/>
              </w:rPr>
            </w:pPr>
            <w:r>
              <w:rPr>
                <w:rFonts w:hint="eastAsia" w:ascii="宋体" w:hAnsi="宋体" w:cs="宋体"/>
                <w:b w:val="0"/>
                <w:bCs w:val="0"/>
                <w:color w:val="auto"/>
                <w:sz w:val="21"/>
                <w:szCs w:val="21"/>
                <w:highlight w:val="none"/>
                <w:u w:val="none"/>
                <w:lang w:val="en-US" w:eastAsia="zh-CN"/>
              </w:rPr>
              <w:t>4320批次</w:t>
            </w:r>
          </w:p>
        </w:tc>
      </w:tr>
      <w:tr w14:paraId="2CD0F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36" w:type="pct"/>
            <w:vMerge w:val="continue"/>
            <w:noWrap w:val="0"/>
            <w:vAlign w:val="center"/>
          </w:tcPr>
          <w:p w14:paraId="16672E1D">
            <w:pPr>
              <w:jc w:val="center"/>
              <w:rPr>
                <w:rFonts w:hint="eastAsia" w:ascii="宋体" w:hAnsi="宋体" w:eastAsia="宋体" w:cs="宋体"/>
                <w:b w:val="0"/>
                <w:bCs w:val="0"/>
                <w:color w:val="auto"/>
                <w:sz w:val="21"/>
                <w:szCs w:val="21"/>
                <w:highlight w:val="none"/>
                <w:u w:val="none"/>
              </w:rPr>
            </w:pPr>
          </w:p>
        </w:tc>
        <w:tc>
          <w:tcPr>
            <w:tcW w:w="2108" w:type="pct"/>
            <w:noWrap w:val="0"/>
            <w:vAlign w:val="center"/>
          </w:tcPr>
          <w:p w14:paraId="6151DE6F">
            <w:pPr>
              <w:jc w:val="center"/>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rPr>
              <w:t>大泗分局</w:t>
            </w:r>
          </w:p>
        </w:tc>
        <w:tc>
          <w:tcPr>
            <w:tcW w:w="772" w:type="pct"/>
            <w:noWrap w:val="0"/>
            <w:vAlign w:val="center"/>
          </w:tcPr>
          <w:p w14:paraId="14DF5463">
            <w:pPr>
              <w:jc w:val="center"/>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rPr>
              <w:t>120批次/月</w:t>
            </w:r>
          </w:p>
        </w:tc>
        <w:tc>
          <w:tcPr>
            <w:tcW w:w="778" w:type="pct"/>
            <w:noWrap w:val="0"/>
            <w:vAlign w:val="center"/>
          </w:tcPr>
          <w:p w14:paraId="61C1746F">
            <w:pPr>
              <w:jc w:val="center"/>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rPr>
              <w:t>1440批次</w:t>
            </w:r>
          </w:p>
        </w:tc>
        <w:tc>
          <w:tcPr>
            <w:tcW w:w="703" w:type="pct"/>
            <w:vMerge w:val="continue"/>
            <w:noWrap w:val="0"/>
            <w:vAlign w:val="center"/>
          </w:tcPr>
          <w:p w14:paraId="560D06B2">
            <w:pPr>
              <w:jc w:val="center"/>
              <w:rPr>
                <w:rFonts w:hint="eastAsia" w:ascii="宋体" w:hAnsi="宋体" w:eastAsia="宋体" w:cs="宋体"/>
                <w:b w:val="0"/>
                <w:bCs w:val="0"/>
                <w:color w:val="auto"/>
                <w:sz w:val="21"/>
                <w:szCs w:val="21"/>
                <w:highlight w:val="none"/>
                <w:u w:val="none"/>
              </w:rPr>
            </w:pPr>
          </w:p>
        </w:tc>
      </w:tr>
      <w:tr w14:paraId="1C24E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36" w:type="pct"/>
            <w:vMerge w:val="continue"/>
            <w:noWrap w:val="0"/>
            <w:vAlign w:val="center"/>
          </w:tcPr>
          <w:p w14:paraId="69838462">
            <w:pPr>
              <w:jc w:val="center"/>
              <w:rPr>
                <w:rFonts w:hint="eastAsia" w:ascii="宋体" w:hAnsi="宋体" w:eastAsia="宋体" w:cs="宋体"/>
                <w:b w:val="0"/>
                <w:bCs w:val="0"/>
                <w:color w:val="auto"/>
                <w:sz w:val="21"/>
                <w:szCs w:val="21"/>
                <w:highlight w:val="none"/>
                <w:u w:val="none"/>
              </w:rPr>
            </w:pPr>
          </w:p>
        </w:tc>
        <w:tc>
          <w:tcPr>
            <w:tcW w:w="2108" w:type="pct"/>
            <w:noWrap w:val="0"/>
            <w:vAlign w:val="center"/>
          </w:tcPr>
          <w:p w14:paraId="66E78781">
            <w:pPr>
              <w:jc w:val="center"/>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rPr>
              <w:t>永安洲分局</w:t>
            </w:r>
          </w:p>
        </w:tc>
        <w:tc>
          <w:tcPr>
            <w:tcW w:w="772" w:type="pct"/>
            <w:noWrap w:val="0"/>
            <w:vAlign w:val="center"/>
          </w:tcPr>
          <w:p w14:paraId="0FB40F04">
            <w:pPr>
              <w:jc w:val="center"/>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rPr>
              <w:t>120批次/月</w:t>
            </w:r>
          </w:p>
        </w:tc>
        <w:tc>
          <w:tcPr>
            <w:tcW w:w="778" w:type="pct"/>
            <w:noWrap w:val="0"/>
            <w:vAlign w:val="center"/>
          </w:tcPr>
          <w:p w14:paraId="01BF0C69">
            <w:pPr>
              <w:jc w:val="center"/>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rPr>
              <w:t>1440批次</w:t>
            </w:r>
          </w:p>
        </w:tc>
        <w:tc>
          <w:tcPr>
            <w:tcW w:w="703" w:type="pct"/>
            <w:vMerge w:val="continue"/>
            <w:noWrap w:val="0"/>
            <w:vAlign w:val="center"/>
          </w:tcPr>
          <w:p w14:paraId="4D51241F">
            <w:pPr>
              <w:jc w:val="center"/>
              <w:rPr>
                <w:rFonts w:hint="eastAsia" w:ascii="宋体" w:hAnsi="宋体" w:eastAsia="宋体" w:cs="宋体"/>
                <w:b w:val="0"/>
                <w:bCs w:val="0"/>
                <w:color w:val="auto"/>
                <w:sz w:val="21"/>
                <w:szCs w:val="21"/>
                <w:highlight w:val="none"/>
                <w:u w:val="none"/>
              </w:rPr>
            </w:pPr>
          </w:p>
        </w:tc>
      </w:tr>
      <w:tr w14:paraId="2CB68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636" w:type="pct"/>
            <w:noWrap w:val="0"/>
            <w:vAlign w:val="center"/>
          </w:tcPr>
          <w:p w14:paraId="7B104244">
            <w:pPr>
              <w:jc w:val="center"/>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rPr>
              <w:t>总计</w:t>
            </w:r>
          </w:p>
        </w:tc>
        <w:tc>
          <w:tcPr>
            <w:tcW w:w="4363" w:type="pct"/>
            <w:gridSpan w:val="4"/>
            <w:noWrap w:val="0"/>
            <w:vAlign w:val="center"/>
          </w:tcPr>
          <w:p w14:paraId="54D4CE21">
            <w:pPr>
              <w:jc w:val="center"/>
              <w:rPr>
                <w:rFonts w:hint="eastAsia" w:ascii="宋体" w:hAnsi="宋体" w:eastAsia="宋体" w:cs="宋体"/>
                <w:b w:val="0"/>
                <w:bCs w:val="0"/>
                <w:color w:val="auto"/>
                <w:sz w:val="21"/>
                <w:szCs w:val="21"/>
                <w:highlight w:val="none"/>
                <w:u w:val="none"/>
              </w:rPr>
            </w:pPr>
            <w:r>
              <w:rPr>
                <w:rFonts w:hint="eastAsia" w:ascii="宋体" w:hAnsi="宋体" w:eastAsia="宋体" w:cs="宋体"/>
                <w:b w:val="0"/>
                <w:bCs w:val="0"/>
                <w:color w:val="auto"/>
                <w:sz w:val="21"/>
                <w:szCs w:val="21"/>
                <w:highlight w:val="none"/>
                <w:u w:val="none"/>
              </w:rPr>
              <w:t>10080批次（含全区重大活动保障服务、你点我检现场活动）</w:t>
            </w:r>
          </w:p>
        </w:tc>
      </w:tr>
    </w:tbl>
    <w:p w14:paraId="76B4F6F5">
      <w:pPr>
        <w:keepNext/>
        <w:keepLines/>
        <w:numPr>
          <w:ilvl w:val="0"/>
          <w:numId w:val="0"/>
        </w:numPr>
        <w:spacing w:line="360" w:lineRule="auto"/>
        <w:ind w:firstLine="422"/>
        <w:outlineLvl w:val="1"/>
        <w:rPr>
          <w:rFonts w:ascii="宋体" w:hAnsi="宋体" w:cs="宋体"/>
          <w:b/>
          <w:color w:val="auto"/>
          <w:szCs w:val="21"/>
          <w:highlight w:val="none"/>
          <w:u w:val="none"/>
        </w:rPr>
      </w:pPr>
      <w:r>
        <w:rPr>
          <w:rFonts w:hint="eastAsia" w:ascii="宋体" w:hAnsi="宋体" w:cs="宋体"/>
          <w:b/>
          <w:color w:val="auto"/>
          <w:szCs w:val="21"/>
          <w:highlight w:val="none"/>
          <w:u w:val="none"/>
          <w:lang w:eastAsia="zh-CN"/>
        </w:rPr>
        <w:t>（</w:t>
      </w:r>
      <w:r>
        <w:rPr>
          <w:rFonts w:hint="eastAsia" w:ascii="宋体" w:hAnsi="宋体" w:cs="宋体"/>
          <w:b/>
          <w:color w:val="auto"/>
          <w:szCs w:val="21"/>
          <w:highlight w:val="none"/>
          <w:u w:val="none"/>
          <w:lang w:val="en-US" w:eastAsia="zh-CN"/>
        </w:rPr>
        <w:t>二）</w:t>
      </w:r>
      <w:r>
        <w:rPr>
          <w:rFonts w:hint="eastAsia" w:ascii="宋体" w:hAnsi="宋体" w:cs="宋体"/>
          <w:b/>
          <w:color w:val="auto"/>
          <w:szCs w:val="21"/>
          <w:highlight w:val="none"/>
          <w:u w:val="none"/>
        </w:rPr>
        <w:t>检测项目要求</w:t>
      </w:r>
    </w:p>
    <w:p w14:paraId="20DBD325">
      <w:pPr>
        <w:spacing w:line="360" w:lineRule="auto"/>
        <w:ind w:firstLine="420"/>
        <w:jc w:val="left"/>
        <w:rPr>
          <w:rFonts w:ascii="宋体" w:hAnsi="宋体" w:cs="宋体"/>
          <w:color w:val="auto"/>
          <w:szCs w:val="21"/>
          <w:highlight w:val="none"/>
          <w:u w:val="none"/>
        </w:rPr>
      </w:pPr>
      <w:r>
        <w:rPr>
          <w:rFonts w:hint="eastAsia" w:ascii="宋体" w:hAnsi="宋体" w:cs="宋体"/>
          <w:color w:val="auto"/>
          <w:szCs w:val="21"/>
          <w:highlight w:val="none"/>
          <w:u w:val="none"/>
        </w:rPr>
        <w:t>本项目检测品种包括：群众消费量较大的常见蔬菜、水果、畜肉、水产品等品种；日常监管中发现的常见风险与共性问题涉及的品种；新闻媒体披露的重热点食品安全事件相关品种；年度消费者关注的重点品种；上级交办的检测任务品种；其他需要列入检测的品种。其中</w:t>
      </w:r>
      <w:r>
        <w:rPr>
          <w:rFonts w:hint="eastAsia" w:ascii="宋体" w:hAnsi="宋体" w:cs="宋体"/>
          <w:color w:val="auto"/>
          <w:szCs w:val="21"/>
          <w:highlight w:val="none"/>
          <w:u w:val="none"/>
          <w:lang w:eastAsia="zh-CN"/>
        </w:rPr>
        <w:t>每月</w:t>
      </w:r>
      <w:r>
        <w:rPr>
          <w:rFonts w:hint="eastAsia" w:ascii="宋体" w:hAnsi="宋体" w:cs="宋体"/>
          <w:color w:val="auto"/>
          <w:szCs w:val="21"/>
          <w:highlight w:val="none"/>
          <w:u w:val="none"/>
        </w:rPr>
        <w:t>蔬菜水果检测批次数不得超过总批次的70%，畜牧产品类须超过10%，水产品类须超过10%，非法添加类须超过10%。检测品种和项目要求不少于下表所列项目，并且提供覆盖所列项目检测原始记录样表。所有检测项目均可在2小时内完成检测。采购人根据本地实际及专项整治要求、季节变化等情况，可要求对快检品种和项目做适当的调整，总量不变。</w:t>
      </w:r>
    </w:p>
    <w:p w14:paraId="6E7EEAF9">
      <w:pPr>
        <w:spacing w:line="360" w:lineRule="auto"/>
        <w:jc w:val="center"/>
        <w:rPr>
          <w:rFonts w:ascii="宋体" w:hAnsi="宋体" w:cs="宋体"/>
          <w:b/>
          <w:bCs/>
          <w:color w:val="auto"/>
          <w:szCs w:val="21"/>
          <w:highlight w:val="none"/>
          <w:u w:val="none"/>
        </w:rPr>
      </w:pPr>
      <w:r>
        <w:rPr>
          <w:rFonts w:hint="eastAsia" w:ascii="宋体" w:hAnsi="宋体" w:cs="宋体"/>
          <w:b/>
          <w:bCs/>
          <w:color w:val="auto"/>
          <w:szCs w:val="21"/>
          <w:highlight w:val="none"/>
          <w:u w:val="none"/>
        </w:rPr>
        <w:t>检测品种和项目表</w:t>
      </w:r>
    </w:p>
    <w:tbl>
      <w:tblPr>
        <w:tblStyle w:val="16"/>
        <w:tblW w:w="4995" w:type="pct"/>
        <w:jc w:val="center"/>
        <w:tblLayout w:type="autofit"/>
        <w:tblCellMar>
          <w:top w:w="0" w:type="dxa"/>
          <w:left w:w="10" w:type="dxa"/>
          <w:bottom w:w="0" w:type="dxa"/>
          <w:right w:w="10" w:type="dxa"/>
        </w:tblCellMar>
      </w:tblPr>
      <w:tblGrid>
        <w:gridCol w:w="1470"/>
        <w:gridCol w:w="3514"/>
        <w:gridCol w:w="4436"/>
      </w:tblGrid>
      <w:tr w14:paraId="1D490C8D">
        <w:tblPrEx>
          <w:tblCellMar>
            <w:top w:w="0" w:type="dxa"/>
            <w:left w:w="10" w:type="dxa"/>
            <w:bottom w:w="0" w:type="dxa"/>
            <w:right w:w="10" w:type="dxa"/>
          </w:tblCellMar>
        </w:tblPrEx>
        <w:trPr>
          <w:jc w:val="center"/>
        </w:trPr>
        <w:tc>
          <w:tcPr>
            <w:tcW w:w="780" w:type="pct"/>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2B17D20F">
            <w:pPr>
              <w:spacing w:line="240" w:lineRule="auto"/>
              <w:jc w:val="center"/>
              <w:rPr>
                <w:rFonts w:ascii="宋体" w:hAnsi="宋体" w:cs="宋体"/>
                <w:b/>
                <w:color w:val="auto"/>
                <w:szCs w:val="21"/>
                <w:highlight w:val="none"/>
                <w:u w:val="none"/>
              </w:rPr>
            </w:pPr>
            <w:r>
              <w:rPr>
                <w:rFonts w:hint="eastAsia" w:ascii="宋体" w:hAnsi="宋体" w:cs="宋体"/>
                <w:b/>
                <w:color w:val="auto"/>
                <w:szCs w:val="21"/>
                <w:highlight w:val="none"/>
                <w:u w:val="none"/>
              </w:rPr>
              <w:t>种类</w:t>
            </w:r>
          </w:p>
        </w:tc>
        <w:tc>
          <w:tcPr>
            <w:tcW w:w="1865" w:type="pct"/>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7844174E">
            <w:pPr>
              <w:spacing w:line="240" w:lineRule="auto"/>
              <w:jc w:val="center"/>
              <w:rPr>
                <w:rFonts w:ascii="宋体" w:hAnsi="宋体" w:cs="宋体"/>
                <w:b/>
                <w:color w:val="auto"/>
                <w:szCs w:val="21"/>
                <w:highlight w:val="none"/>
                <w:u w:val="none"/>
              </w:rPr>
            </w:pPr>
            <w:r>
              <w:rPr>
                <w:rFonts w:hint="eastAsia" w:ascii="宋体" w:hAnsi="宋体" w:cs="宋体"/>
                <w:b/>
                <w:color w:val="auto"/>
                <w:szCs w:val="21"/>
                <w:highlight w:val="none"/>
                <w:u w:val="none"/>
              </w:rPr>
              <w:t>重点检测品种</w:t>
            </w:r>
          </w:p>
        </w:tc>
        <w:tc>
          <w:tcPr>
            <w:tcW w:w="2354" w:type="pct"/>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40B90E6B">
            <w:pPr>
              <w:spacing w:line="240" w:lineRule="auto"/>
              <w:jc w:val="center"/>
              <w:rPr>
                <w:rFonts w:ascii="宋体" w:hAnsi="宋体" w:cs="宋体"/>
                <w:b/>
                <w:color w:val="auto"/>
                <w:szCs w:val="21"/>
                <w:highlight w:val="none"/>
                <w:u w:val="none"/>
              </w:rPr>
            </w:pPr>
            <w:r>
              <w:rPr>
                <w:rFonts w:hint="eastAsia" w:ascii="宋体" w:hAnsi="宋体" w:cs="宋体"/>
                <w:b/>
                <w:color w:val="auto"/>
                <w:szCs w:val="21"/>
                <w:highlight w:val="none"/>
                <w:u w:val="none"/>
              </w:rPr>
              <w:t>重点检测项目</w:t>
            </w:r>
          </w:p>
        </w:tc>
      </w:tr>
      <w:tr w14:paraId="13C1DDEB">
        <w:tblPrEx>
          <w:tblCellMar>
            <w:top w:w="0" w:type="dxa"/>
            <w:left w:w="10" w:type="dxa"/>
            <w:bottom w:w="0" w:type="dxa"/>
            <w:right w:w="10" w:type="dxa"/>
          </w:tblCellMar>
        </w:tblPrEx>
        <w:trPr>
          <w:jc w:val="center"/>
        </w:trPr>
        <w:tc>
          <w:tcPr>
            <w:tcW w:w="780" w:type="pct"/>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21490FCD">
            <w:pPr>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蔬菜</w:t>
            </w:r>
          </w:p>
        </w:tc>
        <w:tc>
          <w:tcPr>
            <w:tcW w:w="1865" w:type="pct"/>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640025BE">
            <w:pPr>
              <w:spacing w:line="240" w:lineRule="auto"/>
              <w:jc w:val="left"/>
              <w:rPr>
                <w:rFonts w:ascii="宋体" w:hAnsi="宋体" w:cs="宋体"/>
                <w:color w:val="auto"/>
                <w:szCs w:val="21"/>
                <w:highlight w:val="none"/>
                <w:u w:val="none"/>
              </w:rPr>
            </w:pPr>
            <w:r>
              <w:rPr>
                <w:rFonts w:hint="eastAsia" w:ascii="宋体" w:hAnsi="宋体" w:cs="宋体"/>
                <w:color w:val="auto"/>
                <w:szCs w:val="21"/>
                <w:highlight w:val="none"/>
                <w:u w:val="none"/>
              </w:rPr>
              <w:t>生菜、菜心、上海青、苦麦菜、黄白菜、小白菜、芥兰、芹菜、韭菜、西兰花、青瓜、茄子、四季豆、豇豆、土豆等</w:t>
            </w:r>
          </w:p>
        </w:tc>
        <w:tc>
          <w:tcPr>
            <w:tcW w:w="2354" w:type="pct"/>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53DCC458">
            <w:pPr>
              <w:spacing w:line="240" w:lineRule="auto"/>
              <w:rPr>
                <w:rFonts w:ascii="宋体" w:hAnsi="宋体" w:cs="宋体"/>
                <w:color w:val="auto"/>
                <w:szCs w:val="21"/>
                <w:highlight w:val="none"/>
                <w:u w:val="none"/>
              </w:rPr>
            </w:pPr>
            <w:r>
              <w:rPr>
                <w:rFonts w:hint="eastAsia" w:ascii="宋体" w:hAnsi="宋体" w:cs="宋体"/>
                <w:color w:val="auto"/>
                <w:szCs w:val="21"/>
                <w:highlight w:val="none"/>
                <w:u w:val="none"/>
              </w:rPr>
              <w:t>有机磷类、氨基甲酸酯类、菊酯类、有机氯类农药、杀菌剂类农药等</w:t>
            </w:r>
          </w:p>
        </w:tc>
      </w:tr>
      <w:tr w14:paraId="670641B8">
        <w:tblPrEx>
          <w:tblCellMar>
            <w:top w:w="0" w:type="dxa"/>
            <w:left w:w="10" w:type="dxa"/>
            <w:bottom w:w="0" w:type="dxa"/>
            <w:right w:w="10" w:type="dxa"/>
          </w:tblCellMar>
        </w:tblPrEx>
        <w:trPr>
          <w:jc w:val="center"/>
        </w:trPr>
        <w:tc>
          <w:tcPr>
            <w:tcW w:w="780" w:type="pct"/>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44CE0A4A">
            <w:pPr>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水果</w:t>
            </w:r>
          </w:p>
        </w:tc>
        <w:tc>
          <w:tcPr>
            <w:tcW w:w="1865" w:type="pct"/>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044E09E9">
            <w:pPr>
              <w:spacing w:line="240" w:lineRule="auto"/>
              <w:jc w:val="left"/>
              <w:rPr>
                <w:rFonts w:ascii="宋体" w:hAnsi="宋体" w:cs="宋体"/>
                <w:color w:val="auto"/>
                <w:szCs w:val="21"/>
                <w:highlight w:val="none"/>
                <w:u w:val="none"/>
              </w:rPr>
            </w:pPr>
            <w:r>
              <w:rPr>
                <w:rFonts w:hint="eastAsia" w:ascii="宋体" w:hAnsi="宋体" w:cs="宋体"/>
                <w:color w:val="auto"/>
                <w:szCs w:val="21"/>
                <w:highlight w:val="none"/>
                <w:u w:val="none"/>
              </w:rPr>
              <w:t>苹果、桔子、梨、橙子、香蕉、桃子、凤梨、波罗蜜等</w:t>
            </w:r>
          </w:p>
        </w:tc>
        <w:tc>
          <w:tcPr>
            <w:tcW w:w="2354" w:type="pct"/>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482B385E">
            <w:pPr>
              <w:spacing w:line="240" w:lineRule="auto"/>
              <w:jc w:val="left"/>
              <w:rPr>
                <w:rFonts w:ascii="宋体" w:hAnsi="宋体" w:cs="宋体"/>
                <w:color w:val="auto"/>
                <w:szCs w:val="21"/>
                <w:highlight w:val="none"/>
                <w:u w:val="none"/>
              </w:rPr>
            </w:pPr>
            <w:r>
              <w:rPr>
                <w:rFonts w:hint="eastAsia" w:ascii="宋体" w:hAnsi="宋体" w:cs="宋体"/>
                <w:color w:val="auto"/>
                <w:szCs w:val="21"/>
                <w:highlight w:val="none"/>
                <w:u w:val="none"/>
              </w:rPr>
              <w:t>有机磷类、氨基甲酸酯类、菊酯类、有机氯类农药、杀菌剂类农药等</w:t>
            </w:r>
          </w:p>
        </w:tc>
      </w:tr>
      <w:tr w14:paraId="3E1070B4">
        <w:tblPrEx>
          <w:tblCellMar>
            <w:top w:w="0" w:type="dxa"/>
            <w:left w:w="10" w:type="dxa"/>
            <w:bottom w:w="0" w:type="dxa"/>
            <w:right w:w="10" w:type="dxa"/>
          </w:tblCellMar>
        </w:tblPrEx>
        <w:trPr>
          <w:jc w:val="center"/>
        </w:trPr>
        <w:tc>
          <w:tcPr>
            <w:tcW w:w="780" w:type="pct"/>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237D573A">
            <w:pPr>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水产品</w:t>
            </w:r>
          </w:p>
        </w:tc>
        <w:tc>
          <w:tcPr>
            <w:tcW w:w="1865" w:type="pct"/>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727698C2">
            <w:pPr>
              <w:spacing w:line="240" w:lineRule="auto"/>
              <w:jc w:val="left"/>
              <w:rPr>
                <w:rFonts w:ascii="宋体" w:hAnsi="宋体" w:cs="宋体"/>
                <w:color w:val="auto"/>
                <w:szCs w:val="21"/>
                <w:highlight w:val="none"/>
                <w:u w:val="none"/>
              </w:rPr>
            </w:pPr>
            <w:r>
              <w:rPr>
                <w:rFonts w:hint="eastAsia" w:ascii="宋体" w:hAnsi="宋体" w:cs="宋体"/>
                <w:color w:val="auto"/>
                <w:szCs w:val="21"/>
                <w:highlight w:val="none"/>
                <w:u w:val="none"/>
              </w:rPr>
              <w:t>鲫鱼、草鱼、黄骨鱼、鳜鱼、花甲、扇贝、白贝、淡水虾、贻贝等</w:t>
            </w:r>
          </w:p>
        </w:tc>
        <w:tc>
          <w:tcPr>
            <w:tcW w:w="2354" w:type="pct"/>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3F886225">
            <w:pPr>
              <w:spacing w:line="240" w:lineRule="auto"/>
              <w:rPr>
                <w:rFonts w:ascii="宋体" w:hAnsi="宋体" w:cs="宋体"/>
                <w:color w:val="auto"/>
                <w:szCs w:val="21"/>
                <w:highlight w:val="none"/>
                <w:u w:val="none"/>
              </w:rPr>
            </w:pPr>
            <w:r>
              <w:rPr>
                <w:rFonts w:hint="eastAsia" w:ascii="宋体" w:hAnsi="宋体" w:cs="宋体"/>
                <w:color w:val="auto"/>
                <w:szCs w:val="21"/>
                <w:highlight w:val="none"/>
                <w:u w:val="none"/>
              </w:rPr>
              <w:t>甲醛，孔雀石绿，硝基呋喃类，氯霉素，磺胺类，二氧化硫</w:t>
            </w:r>
          </w:p>
        </w:tc>
      </w:tr>
      <w:tr w14:paraId="57CA1230">
        <w:tblPrEx>
          <w:tblCellMar>
            <w:top w:w="0" w:type="dxa"/>
            <w:left w:w="10" w:type="dxa"/>
            <w:bottom w:w="0" w:type="dxa"/>
            <w:right w:w="10" w:type="dxa"/>
          </w:tblCellMar>
        </w:tblPrEx>
        <w:trPr>
          <w:jc w:val="center"/>
        </w:trPr>
        <w:tc>
          <w:tcPr>
            <w:tcW w:w="780" w:type="pct"/>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45B22459">
            <w:pPr>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畜禽肉类</w:t>
            </w:r>
          </w:p>
        </w:tc>
        <w:tc>
          <w:tcPr>
            <w:tcW w:w="1865" w:type="pct"/>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0285A965">
            <w:pPr>
              <w:spacing w:line="240" w:lineRule="auto"/>
              <w:jc w:val="left"/>
              <w:rPr>
                <w:rFonts w:ascii="宋体" w:hAnsi="宋体" w:cs="宋体"/>
                <w:color w:val="auto"/>
                <w:szCs w:val="21"/>
                <w:highlight w:val="none"/>
                <w:u w:val="none"/>
              </w:rPr>
            </w:pPr>
            <w:r>
              <w:rPr>
                <w:rFonts w:hint="eastAsia" w:ascii="宋体" w:hAnsi="宋体" w:cs="宋体"/>
                <w:color w:val="auto"/>
                <w:szCs w:val="21"/>
                <w:highlight w:val="none"/>
                <w:u w:val="none"/>
              </w:rPr>
              <w:t>猪肉、牛肉、羊肉、鸡肉等</w:t>
            </w:r>
          </w:p>
        </w:tc>
        <w:tc>
          <w:tcPr>
            <w:tcW w:w="2354" w:type="pct"/>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6411C0AE">
            <w:pPr>
              <w:spacing w:line="240" w:lineRule="auto"/>
              <w:rPr>
                <w:rFonts w:ascii="宋体" w:hAnsi="宋体" w:cs="宋体"/>
                <w:color w:val="auto"/>
                <w:szCs w:val="21"/>
                <w:highlight w:val="none"/>
                <w:u w:val="none"/>
              </w:rPr>
            </w:pPr>
            <w:r>
              <w:rPr>
                <w:rFonts w:hint="eastAsia" w:ascii="宋体" w:hAnsi="宋体" w:cs="宋体"/>
                <w:color w:val="auto"/>
                <w:szCs w:val="21"/>
                <w:highlight w:val="none"/>
                <w:u w:val="none"/>
              </w:rPr>
              <w:t>盐酸克伦特罗，沙丁胺醇，莱克多巴胺，水分，硝基呋喃类，氯霉素，磺胺类，水分</w:t>
            </w:r>
          </w:p>
        </w:tc>
      </w:tr>
      <w:tr w14:paraId="7C0BA6C7">
        <w:tblPrEx>
          <w:tblCellMar>
            <w:top w:w="0" w:type="dxa"/>
            <w:left w:w="10" w:type="dxa"/>
            <w:bottom w:w="0" w:type="dxa"/>
            <w:right w:w="10" w:type="dxa"/>
          </w:tblCellMar>
        </w:tblPrEx>
        <w:trPr>
          <w:jc w:val="center"/>
        </w:trPr>
        <w:tc>
          <w:tcPr>
            <w:tcW w:w="780" w:type="pct"/>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2829E5F5">
            <w:pPr>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禽蛋类</w:t>
            </w:r>
          </w:p>
        </w:tc>
        <w:tc>
          <w:tcPr>
            <w:tcW w:w="1865" w:type="pct"/>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4FD8D436">
            <w:pPr>
              <w:spacing w:line="240" w:lineRule="auto"/>
              <w:jc w:val="left"/>
              <w:rPr>
                <w:rFonts w:ascii="宋体" w:hAnsi="宋体" w:cs="宋体"/>
                <w:color w:val="auto"/>
                <w:szCs w:val="21"/>
                <w:highlight w:val="none"/>
                <w:u w:val="none"/>
              </w:rPr>
            </w:pPr>
            <w:r>
              <w:rPr>
                <w:rFonts w:hint="eastAsia" w:ascii="宋体" w:hAnsi="宋体" w:cs="宋体"/>
                <w:color w:val="auto"/>
                <w:szCs w:val="21"/>
                <w:highlight w:val="none"/>
                <w:u w:val="none"/>
              </w:rPr>
              <w:t>鸡蛋、鸭蛋等及禽蛋制品</w:t>
            </w:r>
          </w:p>
        </w:tc>
        <w:tc>
          <w:tcPr>
            <w:tcW w:w="2354" w:type="pct"/>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4364D1FE">
            <w:pPr>
              <w:spacing w:line="240" w:lineRule="auto"/>
              <w:rPr>
                <w:rFonts w:ascii="宋体" w:hAnsi="宋体" w:cs="宋体"/>
                <w:color w:val="auto"/>
                <w:szCs w:val="21"/>
                <w:highlight w:val="none"/>
                <w:u w:val="none"/>
              </w:rPr>
            </w:pPr>
            <w:r>
              <w:rPr>
                <w:rFonts w:hint="eastAsia" w:ascii="宋体" w:hAnsi="宋体" w:cs="宋体"/>
                <w:color w:val="auto"/>
                <w:szCs w:val="21"/>
                <w:highlight w:val="none"/>
                <w:u w:val="none"/>
              </w:rPr>
              <w:t>氟喹诺酮类，四环素，苏丹红Ⅰ</w:t>
            </w:r>
          </w:p>
        </w:tc>
      </w:tr>
      <w:tr w14:paraId="1C52A5C2">
        <w:tblPrEx>
          <w:tblCellMar>
            <w:top w:w="0" w:type="dxa"/>
            <w:left w:w="10" w:type="dxa"/>
            <w:bottom w:w="0" w:type="dxa"/>
            <w:right w:w="10" w:type="dxa"/>
          </w:tblCellMar>
        </w:tblPrEx>
        <w:trPr>
          <w:jc w:val="center"/>
        </w:trPr>
        <w:tc>
          <w:tcPr>
            <w:tcW w:w="780" w:type="pct"/>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0630C61F">
            <w:pPr>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食用植物油</w:t>
            </w:r>
          </w:p>
        </w:tc>
        <w:tc>
          <w:tcPr>
            <w:tcW w:w="1865" w:type="pct"/>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3CAB8FEC">
            <w:pPr>
              <w:spacing w:line="240" w:lineRule="auto"/>
              <w:rPr>
                <w:rFonts w:ascii="宋体" w:hAnsi="宋体" w:cs="宋体"/>
                <w:color w:val="auto"/>
                <w:szCs w:val="21"/>
                <w:highlight w:val="none"/>
                <w:u w:val="none"/>
              </w:rPr>
            </w:pPr>
            <w:r>
              <w:rPr>
                <w:rFonts w:hint="eastAsia" w:ascii="宋体" w:hAnsi="宋体" w:cs="宋体"/>
                <w:color w:val="auto"/>
                <w:szCs w:val="21"/>
                <w:highlight w:val="none"/>
                <w:u w:val="none"/>
              </w:rPr>
              <w:t>食用油（煎炸油）等</w:t>
            </w:r>
          </w:p>
        </w:tc>
        <w:tc>
          <w:tcPr>
            <w:tcW w:w="2354" w:type="pct"/>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6FE5A863">
            <w:pPr>
              <w:spacing w:line="240" w:lineRule="auto"/>
              <w:rPr>
                <w:rFonts w:ascii="宋体" w:hAnsi="宋体" w:cs="宋体"/>
                <w:color w:val="auto"/>
                <w:szCs w:val="21"/>
                <w:highlight w:val="none"/>
                <w:u w:val="none"/>
              </w:rPr>
            </w:pPr>
            <w:r>
              <w:rPr>
                <w:rFonts w:hint="eastAsia" w:ascii="宋体" w:hAnsi="宋体" w:cs="宋体"/>
                <w:color w:val="auto"/>
                <w:szCs w:val="21"/>
                <w:highlight w:val="none"/>
                <w:u w:val="none"/>
              </w:rPr>
              <w:t>酸价、过氧化值、极性组分</w:t>
            </w:r>
          </w:p>
        </w:tc>
      </w:tr>
      <w:tr w14:paraId="7307D891">
        <w:tblPrEx>
          <w:tblCellMar>
            <w:top w:w="0" w:type="dxa"/>
            <w:left w:w="10" w:type="dxa"/>
            <w:bottom w:w="0" w:type="dxa"/>
            <w:right w:w="10" w:type="dxa"/>
          </w:tblCellMar>
        </w:tblPrEx>
        <w:trPr>
          <w:jc w:val="center"/>
        </w:trPr>
        <w:tc>
          <w:tcPr>
            <w:tcW w:w="780" w:type="pct"/>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304E140C">
            <w:pPr>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粮食加工品</w:t>
            </w:r>
          </w:p>
        </w:tc>
        <w:tc>
          <w:tcPr>
            <w:tcW w:w="1865" w:type="pct"/>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15A9BDC2">
            <w:pPr>
              <w:spacing w:line="240" w:lineRule="auto"/>
              <w:rPr>
                <w:rFonts w:ascii="宋体" w:hAnsi="宋体" w:cs="宋体"/>
                <w:color w:val="auto"/>
                <w:szCs w:val="21"/>
                <w:highlight w:val="none"/>
                <w:u w:val="none"/>
              </w:rPr>
            </w:pPr>
            <w:r>
              <w:rPr>
                <w:rFonts w:hint="eastAsia" w:ascii="宋体" w:hAnsi="宋体" w:cs="宋体"/>
                <w:color w:val="auto"/>
                <w:szCs w:val="21"/>
                <w:highlight w:val="none"/>
                <w:u w:val="none"/>
              </w:rPr>
              <w:t>小麦粉、生湿面制品</w:t>
            </w:r>
          </w:p>
        </w:tc>
        <w:tc>
          <w:tcPr>
            <w:tcW w:w="2354" w:type="pct"/>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4738287E">
            <w:pPr>
              <w:spacing w:line="240" w:lineRule="auto"/>
              <w:rPr>
                <w:rFonts w:ascii="宋体" w:hAnsi="宋体" w:cs="宋体"/>
                <w:color w:val="auto"/>
                <w:szCs w:val="21"/>
                <w:highlight w:val="none"/>
                <w:u w:val="none"/>
              </w:rPr>
            </w:pPr>
            <w:r>
              <w:rPr>
                <w:rFonts w:hint="eastAsia" w:ascii="宋体" w:hAnsi="宋体" w:cs="宋体"/>
                <w:color w:val="auto"/>
                <w:szCs w:val="21"/>
                <w:highlight w:val="none"/>
                <w:u w:val="none"/>
              </w:rPr>
              <w:t>吊白块、过氧化苯甲酰、呕吐毒素</w:t>
            </w:r>
          </w:p>
        </w:tc>
      </w:tr>
      <w:tr w14:paraId="10200AF6">
        <w:tblPrEx>
          <w:tblCellMar>
            <w:top w:w="0" w:type="dxa"/>
            <w:left w:w="10" w:type="dxa"/>
            <w:bottom w:w="0" w:type="dxa"/>
            <w:right w:w="10" w:type="dxa"/>
          </w:tblCellMar>
        </w:tblPrEx>
        <w:trPr>
          <w:jc w:val="center"/>
        </w:trPr>
        <w:tc>
          <w:tcPr>
            <w:tcW w:w="780" w:type="pct"/>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4607067F">
            <w:pPr>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粮食加工品</w:t>
            </w:r>
          </w:p>
        </w:tc>
        <w:tc>
          <w:tcPr>
            <w:tcW w:w="1865" w:type="pct"/>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7CF1936F">
            <w:pPr>
              <w:spacing w:line="240" w:lineRule="auto"/>
              <w:rPr>
                <w:rFonts w:ascii="宋体" w:hAnsi="宋体" w:cs="宋体"/>
                <w:color w:val="auto"/>
                <w:szCs w:val="21"/>
                <w:highlight w:val="none"/>
                <w:u w:val="none"/>
              </w:rPr>
            </w:pPr>
            <w:r>
              <w:rPr>
                <w:rFonts w:hint="eastAsia" w:ascii="宋体" w:hAnsi="宋体" w:cs="宋体"/>
                <w:color w:val="auto"/>
                <w:szCs w:val="21"/>
                <w:highlight w:val="none"/>
                <w:u w:val="none"/>
              </w:rPr>
              <w:t>大米</w:t>
            </w:r>
          </w:p>
        </w:tc>
        <w:tc>
          <w:tcPr>
            <w:tcW w:w="2354" w:type="pct"/>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13856B61">
            <w:pPr>
              <w:spacing w:line="240" w:lineRule="auto"/>
              <w:rPr>
                <w:rFonts w:ascii="宋体" w:hAnsi="宋体" w:cs="宋体"/>
                <w:color w:val="auto"/>
                <w:szCs w:val="21"/>
                <w:highlight w:val="none"/>
                <w:u w:val="none"/>
              </w:rPr>
            </w:pPr>
            <w:r>
              <w:rPr>
                <w:rFonts w:hint="eastAsia" w:ascii="宋体" w:hAnsi="宋体" w:cs="宋体"/>
                <w:color w:val="auto"/>
                <w:szCs w:val="21"/>
                <w:highlight w:val="none"/>
                <w:u w:val="none"/>
              </w:rPr>
              <w:t>黄曲霉毒素B1.呕吐毒素</w:t>
            </w:r>
          </w:p>
        </w:tc>
      </w:tr>
      <w:tr w14:paraId="2EA5CDE0">
        <w:tblPrEx>
          <w:tblCellMar>
            <w:top w:w="0" w:type="dxa"/>
            <w:left w:w="10" w:type="dxa"/>
            <w:bottom w:w="0" w:type="dxa"/>
            <w:right w:w="10" w:type="dxa"/>
          </w:tblCellMar>
        </w:tblPrEx>
        <w:trPr>
          <w:jc w:val="center"/>
        </w:trPr>
        <w:tc>
          <w:tcPr>
            <w:tcW w:w="780" w:type="pct"/>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68189316">
            <w:pPr>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米面制品</w:t>
            </w:r>
          </w:p>
        </w:tc>
        <w:tc>
          <w:tcPr>
            <w:tcW w:w="1865" w:type="pct"/>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10D29876">
            <w:pPr>
              <w:spacing w:line="240" w:lineRule="auto"/>
              <w:rPr>
                <w:rFonts w:ascii="宋体" w:hAnsi="宋体" w:cs="宋体"/>
                <w:color w:val="auto"/>
                <w:szCs w:val="21"/>
                <w:highlight w:val="none"/>
                <w:u w:val="none"/>
              </w:rPr>
            </w:pPr>
            <w:r>
              <w:rPr>
                <w:rFonts w:hint="eastAsia" w:ascii="宋体" w:hAnsi="宋体" w:cs="宋体"/>
                <w:color w:val="auto"/>
                <w:szCs w:val="21"/>
                <w:highlight w:val="none"/>
                <w:u w:val="none"/>
              </w:rPr>
              <w:t>馒头、发糕、油条</w:t>
            </w:r>
          </w:p>
        </w:tc>
        <w:tc>
          <w:tcPr>
            <w:tcW w:w="2354" w:type="pct"/>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2FEDC43E">
            <w:pPr>
              <w:spacing w:line="240" w:lineRule="auto"/>
              <w:rPr>
                <w:rFonts w:ascii="宋体" w:hAnsi="宋体" w:cs="宋体"/>
                <w:color w:val="auto"/>
                <w:szCs w:val="21"/>
                <w:highlight w:val="none"/>
                <w:u w:val="none"/>
              </w:rPr>
            </w:pPr>
            <w:r>
              <w:rPr>
                <w:rFonts w:hint="eastAsia" w:ascii="宋体" w:hAnsi="宋体" w:cs="宋体"/>
                <w:color w:val="auto"/>
                <w:szCs w:val="21"/>
                <w:highlight w:val="none"/>
                <w:u w:val="none"/>
              </w:rPr>
              <w:t>硫酸铝钾、硫酸铝铵</w:t>
            </w:r>
          </w:p>
        </w:tc>
      </w:tr>
      <w:tr w14:paraId="49F2EE48">
        <w:tblPrEx>
          <w:tblCellMar>
            <w:top w:w="0" w:type="dxa"/>
            <w:left w:w="10" w:type="dxa"/>
            <w:bottom w:w="0" w:type="dxa"/>
            <w:right w:w="10" w:type="dxa"/>
          </w:tblCellMar>
        </w:tblPrEx>
        <w:trPr>
          <w:jc w:val="center"/>
        </w:trPr>
        <w:tc>
          <w:tcPr>
            <w:tcW w:w="780" w:type="pct"/>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02DA4295">
            <w:pPr>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肉制品</w:t>
            </w:r>
          </w:p>
        </w:tc>
        <w:tc>
          <w:tcPr>
            <w:tcW w:w="1865" w:type="pct"/>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21CD5005">
            <w:pPr>
              <w:spacing w:line="240" w:lineRule="auto"/>
              <w:rPr>
                <w:rFonts w:ascii="宋体" w:hAnsi="宋体" w:cs="宋体"/>
                <w:color w:val="auto"/>
                <w:szCs w:val="21"/>
                <w:highlight w:val="none"/>
                <w:u w:val="none"/>
              </w:rPr>
            </w:pPr>
            <w:r>
              <w:rPr>
                <w:rFonts w:hint="eastAsia" w:ascii="宋体" w:hAnsi="宋体" w:cs="宋体"/>
                <w:color w:val="auto"/>
                <w:szCs w:val="21"/>
                <w:highlight w:val="none"/>
                <w:u w:val="none"/>
              </w:rPr>
              <w:t>散装熟卤肉制品</w:t>
            </w:r>
          </w:p>
        </w:tc>
        <w:tc>
          <w:tcPr>
            <w:tcW w:w="2354" w:type="pct"/>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178E9909">
            <w:pPr>
              <w:spacing w:line="240" w:lineRule="auto"/>
              <w:rPr>
                <w:rFonts w:ascii="宋体" w:hAnsi="宋体" w:cs="宋体"/>
                <w:color w:val="auto"/>
                <w:szCs w:val="21"/>
                <w:highlight w:val="none"/>
                <w:u w:val="none"/>
              </w:rPr>
            </w:pPr>
            <w:r>
              <w:rPr>
                <w:rFonts w:hint="eastAsia" w:ascii="宋体" w:hAnsi="宋体" w:cs="宋体"/>
                <w:color w:val="auto"/>
                <w:szCs w:val="21"/>
                <w:highlight w:val="none"/>
                <w:u w:val="none"/>
              </w:rPr>
              <w:t>亚硝酸盐、致病菌（沙门氏菌、金黄色葡萄球菌）</w:t>
            </w:r>
          </w:p>
        </w:tc>
      </w:tr>
      <w:tr w14:paraId="7AA13C6B">
        <w:tblPrEx>
          <w:tblCellMar>
            <w:top w:w="0" w:type="dxa"/>
            <w:left w:w="10" w:type="dxa"/>
            <w:bottom w:w="0" w:type="dxa"/>
            <w:right w:w="10" w:type="dxa"/>
          </w:tblCellMar>
        </w:tblPrEx>
        <w:trPr>
          <w:jc w:val="center"/>
        </w:trPr>
        <w:tc>
          <w:tcPr>
            <w:tcW w:w="780" w:type="pct"/>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0002960F">
            <w:pPr>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水产制品</w:t>
            </w:r>
          </w:p>
        </w:tc>
        <w:tc>
          <w:tcPr>
            <w:tcW w:w="1865" w:type="pct"/>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5B5D8831">
            <w:pPr>
              <w:spacing w:line="240" w:lineRule="auto"/>
              <w:rPr>
                <w:rFonts w:ascii="宋体" w:hAnsi="宋体" w:cs="宋体"/>
                <w:color w:val="auto"/>
                <w:szCs w:val="21"/>
                <w:highlight w:val="none"/>
                <w:u w:val="none"/>
              </w:rPr>
            </w:pPr>
            <w:r>
              <w:rPr>
                <w:rFonts w:hint="eastAsia" w:ascii="宋体" w:hAnsi="宋体" w:cs="宋体"/>
                <w:color w:val="auto"/>
                <w:szCs w:val="21"/>
                <w:highlight w:val="none"/>
                <w:u w:val="none"/>
              </w:rPr>
              <w:t>水产制品</w:t>
            </w:r>
          </w:p>
        </w:tc>
        <w:tc>
          <w:tcPr>
            <w:tcW w:w="2354" w:type="pct"/>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21FC08BC">
            <w:pPr>
              <w:spacing w:line="240" w:lineRule="auto"/>
              <w:rPr>
                <w:rFonts w:ascii="宋体" w:hAnsi="宋体" w:cs="宋体"/>
                <w:color w:val="auto"/>
                <w:szCs w:val="21"/>
                <w:highlight w:val="none"/>
                <w:u w:val="none"/>
              </w:rPr>
            </w:pPr>
            <w:r>
              <w:rPr>
                <w:rFonts w:hint="eastAsia" w:ascii="宋体" w:hAnsi="宋体" w:cs="宋体"/>
                <w:color w:val="auto"/>
                <w:szCs w:val="21"/>
                <w:highlight w:val="none"/>
                <w:u w:val="none"/>
              </w:rPr>
              <w:t>二氧化硫、致病菌（沙门氏菌、金黄色葡萄球菌）</w:t>
            </w:r>
          </w:p>
        </w:tc>
      </w:tr>
      <w:tr w14:paraId="4021DCE6">
        <w:tblPrEx>
          <w:tblCellMar>
            <w:top w:w="0" w:type="dxa"/>
            <w:left w:w="10" w:type="dxa"/>
            <w:bottom w:w="0" w:type="dxa"/>
            <w:right w:w="10" w:type="dxa"/>
          </w:tblCellMar>
        </w:tblPrEx>
        <w:trPr>
          <w:jc w:val="center"/>
        </w:trPr>
        <w:tc>
          <w:tcPr>
            <w:tcW w:w="780" w:type="pct"/>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4C7EC2B2">
            <w:pPr>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水发产品</w:t>
            </w:r>
          </w:p>
        </w:tc>
        <w:tc>
          <w:tcPr>
            <w:tcW w:w="1865" w:type="pct"/>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1B85314A">
            <w:pPr>
              <w:spacing w:line="240" w:lineRule="auto"/>
              <w:rPr>
                <w:rFonts w:ascii="宋体" w:hAnsi="宋体" w:cs="宋体"/>
                <w:color w:val="auto"/>
                <w:szCs w:val="21"/>
                <w:highlight w:val="none"/>
                <w:u w:val="none"/>
              </w:rPr>
            </w:pPr>
            <w:r>
              <w:rPr>
                <w:rFonts w:hint="eastAsia" w:ascii="宋体" w:hAnsi="宋体" w:cs="宋体"/>
                <w:color w:val="auto"/>
                <w:szCs w:val="21"/>
                <w:highlight w:val="none"/>
                <w:u w:val="none"/>
              </w:rPr>
              <w:t>水发产品</w:t>
            </w:r>
          </w:p>
        </w:tc>
        <w:tc>
          <w:tcPr>
            <w:tcW w:w="2354" w:type="pct"/>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5ED9BCAE">
            <w:pPr>
              <w:spacing w:line="240" w:lineRule="auto"/>
              <w:rPr>
                <w:rFonts w:ascii="宋体" w:hAnsi="宋体" w:cs="宋体"/>
                <w:color w:val="auto"/>
                <w:szCs w:val="21"/>
                <w:highlight w:val="none"/>
                <w:u w:val="none"/>
              </w:rPr>
            </w:pPr>
            <w:r>
              <w:rPr>
                <w:rFonts w:hint="eastAsia" w:ascii="宋体" w:hAnsi="宋体" w:cs="宋体"/>
                <w:color w:val="auto"/>
                <w:szCs w:val="21"/>
                <w:highlight w:val="none"/>
                <w:u w:val="none"/>
              </w:rPr>
              <w:t>甲醛、双氧水</w:t>
            </w:r>
          </w:p>
        </w:tc>
      </w:tr>
      <w:tr w14:paraId="6EE9EFB2">
        <w:tblPrEx>
          <w:tblCellMar>
            <w:top w:w="0" w:type="dxa"/>
            <w:left w:w="10" w:type="dxa"/>
            <w:bottom w:w="0" w:type="dxa"/>
            <w:right w:w="10" w:type="dxa"/>
          </w:tblCellMar>
        </w:tblPrEx>
        <w:trPr>
          <w:jc w:val="center"/>
        </w:trPr>
        <w:tc>
          <w:tcPr>
            <w:tcW w:w="780" w:type="pct"/>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2D289A4D">
            <w:pPr>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淀粉制品</w:t>
            </w:r>
          </w:p>
        </w:tc>
        <w:tc>
          <w:tcPr>
            <w:tcW w:w="1865" w:type="pct"/>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223C0C4A">
            <w:pPr>
              <w:spacing w:line="240" w:lineRule="auto"/>
              <w:rPr>
                <w:rFonts w:ascii="宋体" w:hAnsi="宋体" w:cs="宋体"/>
                <w:color w:val="auto"/>
                <w:szCs w:val="21"/>
                <w:highlight w:val="none"/>
                <w:u w:val="none"/>
              </w:rPr>
            </w:pPr>
            <w:r>
              <w:rPr>
                <w:rFonts w:hint="eastAsia" w:ascii="宋体" w:hAnsi="宋体" w:cs="宋体"/>
                <w:color w:val="auto"/>
                <w:szCs w:val="21"/>
                <w:highlight w:val="none"/>
                <w:u w:val="none"/>
              </w:rPr>
              <w:t>粉丝、粉条、凉皮</w:t>
            </w:r>
          </w:p>
        </w:tc>
        <w:tc>
          <w:tcPr>
            <w:tcW w:w="2354" w:type="pct"/>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12BDDF86">
            <w:pPr>
              <w:spacing w:line="240" w:lineRule="auto"/>
              <w:rPr>
                <w:rFonts w:ascii="宋体" w:hAnsi="宋体" w:cs="宋体"/>
                <w:color w:val="auto"/>
                <w:szCs w:val="21"/>
                <w:highlight w:val="none"/>
                <w:u w:val="none"/>
              </w:rPr>
            </w:pPr>
            <w:r>
              <w:rPr>
                <w:rFonts w:hint="eastAsia" w:ascii="宋体" w:hAnsi="宋体" w:cs="宋体"/>
                <w:color w:val="auto"/>
                <w:szCs w:val="21"/>
                <w:highlight w:val="none"/>
                <w:u w:val="none"/>
              </w:rPr>
              <w:t>铝的残留量、二氧化硫</w:t>
            </w:r>
          </w:p>
        </w:tc>
      </w:tr>
      <w:tr w14:paraId="7E47574A">
        <w:tblPrEx>
          <w:tblCellMar>
            <w:top w:w="0" w:type="dxa"/>
            <w:left w:w="10" w:type="dxa"/>
            <w:bottom w:w="0" w:type="dxa"/>
            <w:right w:w="10" w:type="dxa"/>
          </w:tblCellMar>
        </w:tblPrEx>
        <w:trPr>
          <w:jc w:val="center"/>
        </w:trPr>
        <w:tc>
          <w:tcPr>
            <w:tcW w:w="780" w:type="pct"/>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0A1225DE">
            <w:pPr>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糕点</w:t>
            </w:r>
          </w:p>
        </w:tc>
        <w:tc>
          <w:tcPr>
            <w:tcW w:w="1865" w:type="pct"/>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2B16EEF3">
            <w:pPr>
              <w:spacing w:line="240" w:lineRule="auto"/>
              <w:rPr>
                <w:rFonts w:ascii="宋体" w:hAnsi="宋体" w:cs="宋体"/>
                <w:color w:val="auto"/>
                <w:szCs w:val="21"/>
                <w:highlight w:val="none"/>
                <w:u w:val="none"/>
              </w:rPr>
            </w:pPr>
            <w:r>
              <w:rPr>
                <w:rFonts w:hint="eastAsia" w:ascii="宋体" w:hAnsi="宋体" w:cs="宋体"/>
                <w:color w:val="auto"/>
                <w:szCs w:val="21"/>
                <w:highlight w:val="none"/>
                <w:u w:val="none"/>
              </w:rPr>
              <w:t>散装糕点</w:t>
            </w:r>
          </w:p>
        </w:tc>
        <w:tc>
          <w:tcPr>
            <w:tcW w:w="2354" w:type="pct"/>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40D34319">
            <w:pPr>
              <w:spacing w:line="240" w:lineRule="auto"/>
              <w:rPr>
                <w:rFonts w:ascii="宋体" w:hAnsi="宋体" w:cs="宋体"/>
                <w:color w:val="auto"/>
                <w:szCs w:val="21"/>
                <w:highlight w:val="none"/>
                <w:u w:val="none"/>
              </w:rPr>
            </w:pPr>
            <w:r>
              <w:rPr>
                <w:rFonts w:hint="eastAsia" w:ascii="宋体" w:hAnsi="宋体" w:cs="宋体"/>
                <w:color w:val="auto"/>
                <w:szCs w:val="21"/>
                <w:highlight w:val="none"/>
                <w:u w:val="none"/>
              </w:rPr>
              <w:t>酸价、过氧化值</w:t>
            </w:r>
          </w:p>
        </w:tc>
      </w:tr>
      <w:tr w14:paraId="4137C161">
        <w:tblPrEx>
          <w:tblCellMar>
            <w:top w:w="0" w:type="dxa"/>
            <w:left w:w="10" w:type="dxa"/>
            <w:bottom w:w="0" w:type="dxa"/>
            <w:right w:w="10" w:type="dxa"/>
          </w:tblCellMar>
        </w:tblPrEx>
        <w:trPr>
          <w:jc w:val="center"/>
        </w:trPr>
        <w:tc>
          <w:tcPr>
            <w:tcW w:w="780" w:type="pct"/>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103B4C5D">
            <w:pPr>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调味品</w:t>
            </w:r>
          </w:p>
        </w:tc>
        <w:tc>
          <w:tcPr>
            <w:tcW w:w="1865" w:type="pct"/>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1D45A3F1">
            <w:pPr>
              <w:spacing w:line="240" w:lineRule="auto"/>
              <w:rPr>
                <w:rFonts w:ascii="宋体" w:hAnsi="宋体" w:cs="宋体"/>
                <w:color w:val="auto"/>
                <w:szCs w:val="21"/>
                <w:highlight w:val="none"/>
                <w:u w:val="none"/>
              </w:rPr>
            </w:pPr>
            <w:r>
              <w:rPr>
                <w:rFonts w:hint="eastAsia" w:ascii="宋体" w:hAnsi="宋体" w:cs="宋体"/>
                <w:color w:val="auto"/>
                <w:szCs w:val="21"/>
                <w:highlight w:val="none"/>
                <w:u w:val="none"/>
              </w:rPr>
              <w:t>火锅、麻辣烫调味料（底料、蘸料）</w:t>
            </w:r>
          </w:p>
        </w:tc>
        <w:tc>
          <w:tcPr>
            <w:tcW w:w="2354" w:type="pct"/>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74984A1B">
            <w:pPr>
              <w:spacing w:line="240" w:lineRule="auto"/>
              <w:rPr>
                <w:rFonts w:ascii="宋体" w:hAnsi="宋体" w:cs="宋体"/>
                <w:color w:val="auto"/>
                <w:szCs w:val="21"/>
                <w:highlight w:val="none"/>
                <w:u w:val="none"/>
              </w:rPr>
            </w:pPr>
            <w:r>
              <w:rPr>
                <w:rFonts w:hint="eastAsia" w:ascii="宋体" w:hAnsi="宋体" w:cs="宋体"/>
                <w:color w:val="auto"/>
                <w:szCs w:val="21"/>
                <w:highlight w:val="none"/>
                <w:u w:val="none"/>
              </w:rPr>
              <w:t>罂粟类物质</w:t>
            </w:r>
          </w:p>
        </w:tc>
      </w:tr>
      <w:tr w14:paraId="07614F2C">
        <w:tblPrEx>
          <w:tblCellMar>
            <w:top w:w="0" w:type="dxa"/>
            <w:left w:w="10" w:type="dxa"/>
            <w:bottom w:w="0" w:type="dxa"/>
            <w:right w:w="10" w:type="dxa"/>
          </w:tblCellMar>
        </w:tblPrEx>
        <w:trPr>
          <w:jc w:val="center"/>
        </w:trPr>
        <w:tc>
          <w:tcPr>
            <w:tcW w:w="780" w:type="pct"/>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47847B47">
            <w:pPr>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膨化食品</w:t>
            </w:r>
          </w:p>
        </w:tc>
        <w:tc>
          <w:tcPr>
            <w:tcW w:w="1865" w:type="pct"/>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1A56ECE3">
            <w:pPr>
              <w:spacing w:line="240" w:lineRule="auto"/>
              <w:rPr>
                <w:rFonts w:ascii="宋体" w:hAnsi="宋体" w:cs="宋体"/>
                <w:color w:val="auto"/>
                <w:szCs w:val="21"/>
                <w:highlight w:val="none"/>
                <w:u w:val="none"/>
              </w:rPr>
            </w:pPr>
            <w:r>
              <w:rPr>
                <w:rFonts w:hint="eastAsia" w:ascii="宋体" w:hAnsi="宋体" w:cs="宋体"/>
                <w:color w:val="auto"/>
                <w:szCs w:val="21"/>
                <w:highlight w:val="none"/>
                <w:u w:val="none"/>
              </w:rPr>
              <w:t>膨化食品</w:t>
            </w:r>
          </w:p>
        </w:tc>
        <w:tc>
          <w:tcPr>
            <w:tcW w:w="2354" w:type="pct"/>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0A25D546">
            <w:pPr>
              <w:spacing w:line="240" w:lineRule="auto"/>
              <w:rPr>
                <w:rFonts w:ascii="宋体" w:hAnsi="宋体" w:cs="宋体"/>
                <w:color w:val="auto"/>
                <w:szCs w:val="21"/>
                <w:highlight w:val="none"/>
                <w:u w:val="none"/>
              </w:rPr>
            </w:pPr>
            <w:r>
              <w:rPr>
                <w:rFonts w:hint="eastAsia" w:ascii="宋体" w:hAnsi="宋体" w:cs="宋体"/>
                <w:color w:val="auto"/>
                <w:szCs w:val="21"/>
                <w:highlight w:val="none"/>
                <w:u w:val="none"/>
              </w:rPr>
              <w:t>铝的残留量</w:t>
            </w:r>
          </w:p>
        </w:tc>
      </w:tr>
      <w:tr w14:paraId="1CF897E3">
        <w:tblPrEx>
          <w:tblCellMar>
            <w:top w:w="0" w:type="dxa"/>
            <w:left w:w="10" w:type="dxa"/>
            <w:bottom w:w="0" w:type="dxa"/>
            <w:right w:w="10" w:type="dxa"/>
          </w:tblCellMar>
        </w:tblPrEx>
        <w:trPr>
          <w:jc w:val="center"/>
        </w:trPr>
        <w:tc>
          <w:tcPr>
            <w:tcW w:w="780" w:type="pct"/>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38E8F400">
            <w:pPr>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豆制品</w:t>
            </w:r>
          </w:p>
        </w:tc>
        <w:tc>
          <w:tcPr>
            <w:tcW w:w="1865" w:type="pct"/>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1E98F0D7">
            <w:pPr>
              <w:spacing w:line="240" w:lineRule="auto"/>
              <w:rPr>
                <w:rFonts w:ascii="宋体" w:hAnsi="宋体" w:cs="宋体"/>
                <w:color w:val="auto"/>
                <w:szCs w:val="21"/>
                <w:highlight w:val="none"/>
                <w:u w:val="none"/>
              </w:rPr>
            </w:pPr>
            <w:r>
              <w:rPr>
                <w:rFonts w:hint="eastAsia" w:ascii="宋体" w:hAnsi="宋体" w:cs="宋体"/>
                <w:color w:val="auto"/>
                <w:szCs w:val="21"/>
                <w:highlight w:val="none"/>
                <w:u w:val="none"/>
              </w:rPr>
              <w:t>腐竹、豆干、豆腐</w:t>
            </w:r>
          </w:p>
        </w:tc>
        <w:tc>
          <w:tcPr>
            <w:tcW w:w="2354" w:type="pct"/>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00F8FF13">
            <w:pPr>
              <w:spacing w:line="240" w:lineRule="auto"/>
              <w:rPr>
                <w:rFonts w:ascii="宋体" w:hAnsi="宋体" w:cs="宋体"/>
                <w:color w:val="auto"/>
                <w:szCs w:val="21"/>
                <w:highlight w:val="none"/>
                <w:u w:val="none"/>
              </w:rPr>
            </w:pPr>
            <w:r>
              <w:rPr>
                <w:rFonts w:hint="eastAsia" w:ascii="宋体" w:hAnsi="宋体" w:cs="宋体"/>
                <w:color w:val="auto"/>
                <w:szCs w:val="21"/>
                <w:highlight w:val="none"/>
                <w:u w:val="none"/>
              </w:rPr>
              <w:t>铝的残留量、二氧化硫、吊白块</w:t>
            </w:r>
          </w:p>
        </w:tc>
      </w:tr>
      <w:tr w14:paraId="6DF2D074">
        <w:tblPrEx>
          <w:tblCellMar>
            <w:top w:w="0" w:type="dxa"/>
            <w:left w:w="10" w:type="dxa"/>
            <w:bottom w:w="0" w:type="dxa"/>
            <w:right w:w="10" w:type="dxa"/>
          </w:tblCellMar>
        </w:tblPrEx>
        <w:trPr>
          <w:jc w:val="center"/>
        </w:trPr>
        <w:tc>
          <w:tcPr>
            <w:tcW w:w="780" w:type="pct"/>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35AAFFFB">
            <w:pPr>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水果制品</w:t>
            </w:r>
          </w:p>
        </w:tc>
        <w:tc>
          <w:tcPr>
            <w:tcW w:w="1865" w:type="pct"/>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0F158AFE">
            <w:pPr>
              <w:spacing w:line="240" w:lineRule="auto"/>
              <w:rPr>
                <w:rFonts w:ascii="宋体" w:hAnsi="宋体" w:cs="宋体"/>
                <w:color w:val="auto"/>
                <w:szCs w:val="21"/>
                <w:highlight w:val="none"/>
                <w:u w:val="none"/>
              </w:rPr>
            </w:pPr>
            <w:r>
              <w:rPr>
                <w:rFonts w:hint="eastAsia" w:ascii="宋体" w:hAnsi="宋体" w:cs="宋体"/>
                <w:color w:val="auto"/>
                <w:szCs w:val="21"/>
                <w:highlight w:val="none"/>
                <w:u w:val="none"/>
              </w:rPr>
              <w:t>蜜饯、果脯</w:t>
            </w:r>
          </w:p>
        </w:tc>
        <w:tc>
          <w:tcPr>
            <w:tcW w:w="2354" w:type="pct"/>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43D7BD9E">
            <w:pPr>
              <w:spacing w:line="240" w:lineRule="auto"/>
              <w:rPr>
                <w:rFonts w:ascii="宋体" w:hAnsi="宋体" w:cs="宋体"/>
                <w:color w:val="auto"/>
                <w:szCs w:val="21"/>
                <w:highlight w:val="none"/>
                <w:u w:val="none"/>
              </w:rPr>
            </w:pPr>
            <w:r>
              <w:rPr>
                <w:rFonts w:hint="eastAsia" w:ascii="宋体" w:hAnsi="宋体" w:cs="宋体"/>
                <w:color w:val="auto"/>
                <w:szCs w:val="21"/>
                <w:highlight w:val="none"/>
                <w:u w:val="none"/>
              </w:rPr>
              <w:t>糖精钠、甜蜜素、致病菌（沙门氏菌、金黄色葡萄球菌）</w:t>
            </w:r>
          </w:p>
        </w:tc>
      </w:tr>
      <w:tr w14:paraId="3EDC79ED">
        <w:tblPrEx>
          <w:tblCellMar>
            <w:top w:w="0" w:type="dxa"/>
            <w:left w:w="10" w:type="dxa"/>
            <w:bottom w:w="0" w:type="dxa"/>
            <w:right w:w="10" w:type="dxa"/>
          </w:tblCellMar>
        </w:tblPrEx>
        <w:trPr>
          <w:jc w:val="center"/>
        </w:trPr>
        <w:tc>
          <w:tcPr>
            <w:tcW w:w="780" w:type="pct"/>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4AF9CD56">
            <w:pPr>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茶叶</w:t>
            </w:r>
          </w:p>
        </w:tc>
        <w:tc>
          <w:tcPr>
            <w:tcW w:w="1865" w:type="pct"/>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047D6F22">
            <w:pPr>
              <w:spacing w:line="240" w:lineRule="auto"/>
              <w:rPr>
                <w:rFonts w:ascii="宋体" w:hAnsi="宋体" w:cs="宋体"/>
                <w:color w:val="auto"/>
                <w:szCs w:val="21"/>
                <w:highlight w:val="none"/>
                <w:u w:val="none"/>
              </w:rPr>
            </w:pPr>
            <w:r>
              <w:rPr>
                <w:rFonts w:hint="eastAsia" w:ascii="宋体" w:hAnsi="宋体" w:cs="宋体"/>
                <w:color w:val="auto"/>
                <w:szCs w:val="21"/>
                <w:highlight w:val="none"/>
                <w:u w:val="none"/>
              </w:rPr>
              <w:t>茶叶</w:t>
            </w:r>
          </w:p>
        </w:tc>
        <w:tc>
          <w:tcPr>
            <w:tcW w:w="2354" w:type="pct"/>
            <w:tcBorders>
              <w:top w:val="single" w:color="000000" w:sz="4" w:space="0"/>
              <w:left w:val="single" w:color="000000" w:sz="4" w:space="0"/>
              <w:bottom w:val="single" w:color="000000" w:sz="4" w:space="0"/>
              <w:right w:val="single" w:color="000000" w:sz="4" w:space="0"/>
            </w:tcBorders>
            <w:shd w:val="clear" w:color="000000" w:fill="FFFFFF"/>
            <w:noWrap w:val="0"/>
            <w:tcMar>
              <w:left w:w="108" w:type="dxa"/>
              <w:right w:w="108" w:type="dxa"/>
            </w:tcMar>
            <w:vAlign w:val="center"/>
          </w:tcPr>
          <w:p w14:paraId="05E811B9">
            <w:pPr>
              <w:spacing w:line="240" w:lineRule="auto"/>
              <w:rPr>
                <w:rFonts w:ascii="宋体" w:hAnsi="宋体" w:cs="宋体"/>
                <w:color w:val="auto"/>
                <w:szCs w:val="21"/>
                <w:highlight w:val="none"/>
                <w:u w:val="none"/>
              </w:rPr>
            </w:pPr>
            <w:r>
              <w:rPr>
                <w:rFonts w:hint="eastAsia" w:ascii="宋体" w:hAnsi="宋体" w:cs="宋体"/>
                <w:color w:val="auto"/>
                <w:szCs w:val="21"/>
                <w:highlight w:val="none"/>
                <w:u w:val="none"/>
              </w:rPr>
              <w:t>有机磷类、氨基甲酸酯类、菊酯类、有机氯类农药、杀菌剂类农药等</w:t>
            </w:r>
          </w:p>
        </w:tc>
      </w:tr>
    </w:tbl>
    <w:p w14:paraId="526F4825">
      <w:pPr>
        <w:spacing w:line="360" w:lineRule="auto"/>
        <w:ind w:firstLine="422"/>
        <w:jc w:val="both"/>
        <w:rPr>
          <w:rFonts w:ascii="宋体" w:hAnsi="宋体" w:cs="宋体"/>
          <w:b/>
          <w:bCs/>
          <w:color w:val="auto"/>
          <w:szCs w:val="21"/>
          <w:highlight w:val="none"/>
          <w:u w:val="none"/>
        </w:rPr>
      </w:pPr>
      <w:r>
        <w:rPr>
          <w:rFonts w:hint="eastAsia" w:ascii="宋体" w:hAnsi="宋体" w:cs="宋体"/>
          <w:b/>
          <w:bCs/>
          <w:color w:val="auto"/>
          <w:szCs w:val="21"/>
          <w:highlight w:val="none"/>
          <w:u w:val="none"/>
          <w:lang w:val="en-US" w:eastAsia="zh-CN"/>
        </w:rPr>
        <w:t>三、</w:t>
      </w:r>
      <w:r>
        <w:rPr>
          <w:rFonts w:hint="eastAsia" w:ascii="宋体" w:hAnsi="宋体" w:cs="宋体"/>
          <w:b/>
          <w:bCs/>
          <w:color w:val="auto"/>
          <w:szCs w:val="21"/>
          <w:highlight w:val="none"/>
          <w:u w:val="none"/>
        </w:rPr>
        <w:t>快检标准和方法</w:t>
      </w:r>
    </w:p>
    <w:p w14:paraId="0A97D11B">
      <w:pPr>
        <w:spacing w:line="360" w:lineRule="auto"/>
        <w:ind w:firstLine="420"/>
        <w:jc w:val="left"/>
        <w:rPr>
          <w:rFonts w:ascii="宋体" w:hAnsi="宋体" w:cs="宋体"/>
          <w:color w:val="auto"/>
          <w:szCs w:val="21"/>
          <w:highlight w:val="none"/>
          <w:u w:val="none"/>
        </w:rPr>
      </w:pPr>
      <w:r>
        <w:rPr>
          <w:rFonts w:hint="eastAsia" w:ascii="宋体" w:hAnsi="宋体" w:cs="宋体"/>
          <w:color w:val="auto"/>
          <w:szCs w:val="21"/>
          <w:highlight w:val="none"/>
          <w:u w:val="none"/>
        </w:rPr>
        <w:t>严格按照有关规定和标准进行检测。食品快速检测方法按照国家市场监督管理总局发布的公告中规定的快速检测方法执行（未发布公告的类别除外）。使用的检测设备和耗材应满足现场快速检测需要及相关安全质量技术标准要求，灵敏度高，结果可靠。对于出现误差率较高的农产品、食品品种和检测项目及时检讨并上报。因中标单位使用不合格快速检测设备和耗材造成的后果由中标单位负责。</w:t>
      </w:r>
    </w:p>
    <w:tbl>
      <w:tblPr>
        <w:tblStyle w:val="16"/>
        <w:tblW w:w="4891" w:type="pct"/>
        <w:tblInd w:w="108" w:type="dxa"/>
        <w:tblLayout w:type="autofit"/>
        <w:tblCellMar>
          <w:top w:w="0" w:type="dxa"/>
          <w:left w:w="108" w:type="dxa"/>
          <w:bottom w:w="0" w:type="dxa"/>
          <w:right w:w="108" w:type="dxa"/>
        </w:tblCellMar>
      </w:tblPr>
      <w:tblGrid>
        <w:gridCol w:w="699"/>
        <w:gridCol w:w="1310"/>
        <w:gridCol w:w="3749"/>
        <w:gridCol w:w="3465"/>
      </w:tblGrid>
      <w:tr w14:paraId="1F3B81A9">
        <w:tblPrEx>
          <w:tblCellMar>
            <w:top w:w="0" w:type="dxa"/>
            <w:left w:w="108" w:type="dxa"/>
            <w:bottom w:w="0" w:type="dxa"/>
            <w:right w:w="108" w:type="dxa"/>
          </w:tblCellMar>
        </w:tblPrEx>
        <w:tc>
          <w:tcPr>
            <w:tcW w:w="379" w:type="pct"/>
            <w:tcBorders>
              <w:top w:val="single" w:color="000000" w:sz="8" w:space="0"/>
              <w:left w:val="single" w:color="000000" w:sz="8" w:space="0"/>
              <w:bottom w:val="single" w:color="000000" w:sz="4" w:space="0"/>
              <w:right w:val="single" w:color="000000" w:sz="4" w:space="0"/>
            </w:tcBorders>
            <w:noWrap w:val="0"/>
            <w:vAlign w:val="center"/>
          </w:tcPr>
          <w:p w14:paraId="1D953EDD">
            <w:pPr>
              <w:widowControl/>
              <w:spacing w:line="240" w:lineRule="auto"/>
              <w:jc w:val="center"/>
              <w:rPr>
                <w:rFonts w:ascii="宋体" w:hAnsi="宋体" w:cs="宋体"/>
                <w:b/>
                <w:bCs/>
                <w:color w:val="auto"/>
                <w:szCs w:val="21"/>
                <w:highlight w:val="none"/>
                <w:u w:val="none"/>
              </w:rPr>
            </w:pPr>
            <w:r>
              <w:rPr>
                <w:rFonts w:hint="eastAsia" w:ascii="宋体" w:hAnsi="宋体" w:cs="宋体"/>
                <w:b/>
                <w:bCs/>
                <w:color w:val="auto"/>
                <w:szCs w:val="21"/>
                <w:highlight w:val="none"/>
                <w:u w:val="none"/>
              </w:rPr>
              <w:t>序号</w:t>
            </w:r>
          </w:p>
        </w:tc>
        <w:tc>
          <w:tcPr>
            <w:tcW w:w="710" w:type="pct"/>
            <w:tcBorders>
              <w:top w:val="single" w:color="000000" w:sz="8" w:space="0"/>
              <w:left w:val="single" w:color="000000" w:sz="4" w:space="0"/>
              <w:bottom w:val="single" w:color="000000" w:sz="4" w:space="0"/>
              <w:right w:val="single" w:color="000000" w:sz="4" w:space="0"/>
            </w:tcBorders>
            <w:noWrap w:val="0"/>
            <w:vAlign w:val="center"/>
          </w:tcPr>
          <w:p w14:paraId="57A541F1">
            <w:pPr>
              <w:widowControl/>
              <w:spacing w:line="240" w:lineRule="auto"/>
              <w:jc w:val="center"/>
              <w:rPr>
                <w:rFonts w:ascii="宋体" w:hAnsi="宋体" w:cs="宋体"/>
                <w:b/>
                <w:bCs/>
                <w:color w:val="auto"/>
                <w:szCs w:val="21"/>
                <w:highlight w:val="none"/>
                <w:u w:val="none"/>
              </w:rPr>
            </w:pPr>
            <w:r>
              <w:rPr>
                <w:rFonts w:hint="eastAsia" w:ascii="宋体" w:hAnsi="宋体" w:cs="宋体"/>
                <w:b/>
                <w:bCs/>
                <w:color w:val="auto"/>
                <w:szCs w:val="21"/>
                <w:highlight w:val="none"/>
                <w:u w:val="none"/>
              </w:rPr>
              <w:t>检测项目</w:t>
            </w:r>
          </w:p>
        </w:tc>
        <w:tc>
          <w:tcPr>
            <w:tcW w:w="2032" w:type="pct"/>
            <w:tcBorders>
              <w:top w:val="single" w:color="000000" w:sz="8" w:space="0"/>
              <w:left w:val="single" w:color="000000" w:sz="4" w:space="0"/>
              <w:bottom w:val="single" w:color="000000" w:sz="4" w:space="0"/>
              <w:right w:val="single" w:color="000000" w:sz="4" w:space="0"/>
            </w:tcBorders>
            <w:noWrap w:val="0"/>
            <w:vAlign w:val="center"/>
          </w:tcPr>
          <w:p w14:paraId="7D06DBF2">
            <w:pPr>
              <w:widowControl/>
              <w:spacing w:line="240" w:lineRule="auto"/>
              <w:jc w:val="center"/>
              <w:rPr>
                <w:rFonts w:ascii="宋体" w:hAnsi="宋体" w:cs="宋体"/>
                <w:b/>
                <w:bCs/>
                <w:color w:val="auto"/>
                <w:szCs w:val="21"/>
                <w:highlight w:val="none"/>
                <w:u w:val="none"/>
              </w:rPr>
            </w:pPr>
            <w:r>
              <w:rPr>
                <w:rFonts w:hint="eastAsia" w:ascii="宋体" w:hAnsi="宋体" w:cs="宋体"/>
                <w:b/>
                <w:bCs/>
                <w:color w:val="auto"/>
                <w:szCs w:val="21"/>
                <w:highlight w:val="none"/>
                <w:u w:val="none"/>
              </w:rPr>
              <w:t>参照标准/方法</w:t>
            </w:r>
          </w:p>
        </w:tc>
        <w:tc>
          <w:tcPr>
            <w:tcW w:w="1878" w:type="pct"/>
            <w:tcBorders>
              <w:top w:val="single" w:color="000000" w:sz="8" w:space="0"/>
              <w:left w:val="single" w:color="000000" w:sz="4" w:space="0"/>
              <w:bottom w:val="single" w:color="000000" w:sz="4" w:space="0"/>
              <w:right w:val="single" w:color="000000" w:sz="8" w:space="0"/>
            </w:tcBorders>
            <w:noWrap w:val="0"/>
            <w:vAlign w:val="center"/>
          </w:tcPr>
          <w:p w14:paraId="25B01651">
            <w:pPr>
              <w:widowControl/>
              <w:spacing w:line="240" w:lineRule="auto"/>
              <w:jc w:val="center"/>
              <w:rPr>
                <w:rFonts w:ascii="宋体" w:hAnsi="宋体" w:cs="宋体"/>
                <w:b/>
                <w:bCs/>
                <w:color w:val="auto"/>
                <w:szCs w:val="21"/>
                <w:highlight w:val="none"/>
                <w:u w:val="none"/>
              </w:rPr>
            </w:pPr>
            <w:r>
              <w:rPr>
                <w:rFonts w:hint="eastAsia" w:ascii="宋体" w:hAnsi="宋体" w:cs="宋体"/>
                <w:b/>
                <w:bCs/>
                <w:color w:val="auto"/>
                <w:szCs w:val="21"/>
                <w:highlight w:val="none"/>
                <w:u w:val="none"/>
              </w:rPr>
              <w:t>检测限</w:t>
            </w:r>
          </w:p>
        </w:tc>
      </w:tr>
      <w:tr w14:paraId="7FC85C72">
        <w:tblPrEx>
          <w:tblCellMar>
            <w:top w:w="0" w:type="dxa"/>
            <w:left w:w="108" w:type="dxa"/>
            <w:bottom w:w="0" w:type="dxa"/>
            <w:right w:w="108" w:type="dxa"/>
          </w:tblCellMar>
        </w:tblPrEx>
        <w:tc>
          <w:tcPr>
            <w:tcW w:w="379" w:type="pct"/>
            <w:tcBorders>
              <w:top w:val="single" w:color="000000" w:sz="4" w:space="0"/>
              <w:left w:val="single" w:color="000000" w:sz="8" w:space="0"/>
              <w:bottom w:val="single" w:color="000000" w:sz="4" w:space="0"/>
              <w:right w:val="single" w:color="000000" w:sz="4" w:space="0"/>
            </w:tcBorders>
            <w:noWrap w:val="0"/>
            <w:vAlign w:val="center"/>
          </w:tcPr>
          <w:p w14:paraId="5B984E90">
            <w:pPr>
              <w:widowControl/>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1</w:t>
            </w:r>
          </w:p>
        </w:tc>
        <w:tc>
          <w:tcPr>
            <w:tcW w:w="710" w:type="pct"/>
            <w:tcBorders>
              <w:top w:val="single" w:color="000000" w:sz="4" w:space="0"/>
              <w:left w:val="single" w:color="000000" w:sz="4" w:space="0"/>
              <w:bottom w:val="single" w:color="000000" w:sz="4" w:space="0"/>
              <w:right w:val="single" w:color="000000" w:sz="4" w:space="0"/>
            </w:tcBorders>
            <w:noWrap w:val="0"/>
            <w:vAlign w:val="center"/>
          </w:tcPr>
          <w:p w14:paraId="18036536">
            <w:pPr>
              <w:widowControl/>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孔雀石绿</w:t>
            </w:r>
          </w:p>
        </w:tc>
        <w:tc>
          <w:tcPr>
            <w:tcW w:w="2032" w:type="pct"/>
            <w:tcBorders>
              <w:top w:val="single" w:color="000000" w:sz="4" w:space="0"/>
              <w:left w:val="single" w:color="000000" w:sz="4" w:space="0"/>
              <w:bottom w:val="single" w:color="000000" w:sz="4" w:space="0"/>
              <w:right w:val="single" w:color="000000" w:sz="4" w:space="0"/>
            </w:tcBorders>
            <w:noWrap w:val="0"/>
            <w:vAlign w:val="center"/>
          </w:tcPr>
          <w:p w14:paraId="50CE0EB0">
            <w:pPr>
              <w:widowControl/>
              <w:spacing w:line="240" w:lineRule="auto"/>
              <w:jc w:val="left"/>
              <w:rPr>
                <w:rFonts w:ascii="宋体" w:hAnsi="宋体" w:cs="宋体"/>
                <w:color w:val="auto"/>
                <w:szCs w:val="21"/>
                <w:highlight w:val="none"/>
                <w:u w:val="none"/>
              </w:rPr>
            </w:pPr>
            <w:r>
              <w:rPr>
                <w:rFonts w:hint="eastAsia" w:ascii="宋体" w:hAnsi="宋体" w:cs="宋体"/>
                <w:color w:val="auto"/>
                <w:szCs w:val="21"/>
                <w:highlight w:val="none"/>
                <w:u w:val="none"/>
              </w:rPr>
              <w:t>水产品中孔雀石绿的快速检测 胶体金免疫层析法（KJ201701）</w:t>
            </w:r>
          </w:p>
        </w:tc>
        <w:tc>
          <w:tcPr>
            <w:tcW w:w="1878" w:type="pct"/>
            <w:tcBorders>
              <w:top w:val="single" w:color="000000" w:sz="4" w:space="0"/>
              <w:left w:val="single" w:color="000000" w:sz="4" w:space="0"/>
              <w:bottom w:val="single" w:color="000000" w:sz="4" w:space="0"/>
              <w:right w:val="single" w:color="000000" w:sz="8" w:space="0"/>
            </w:tcBorders>
            <w:noWrap w:val="0"/>
            <w:vAlign w:val="center"/>
          </w:tcPr>
          <w:p w14:paraId="6C3E9F3C">
            <w:pPr>
              <w:widowControl/>
              <w:spacing w:line="240" w:lineRule="auto"/>
              <w:jc w:val="left"/>
              <w:rPr>
                <w:rFonts w:ascii="宋体" w:hAnsi="宋体" w:cs="宋体"/>
                <w:color w:val="auto"/>
                <w:szCs w:val="21"/>
                <w:highlight w:val="none"/>
                <w:u w:val="none"/>
              </w:rPr>
            </w:pPr>
            <w:r>
              <w:rPr>
                <w:rFonts w:hint="eastAsia" w:ascii="宋体" w:hAnsi="宋体" w:cs="宋体"/>
                <w:color w:val="auto"/>
                <w:szCs w:val="21"/>
                <w:highlight w:val="none"/>
                <w:u w:val="none"/>
              </w:rPr>
              <w:t>水产品2μg/kg，养殖用水2μg/L</w:t>
            </w:r>
          </w:p>
        </w:tc>
      </w:tr>
      <w:tr w14:paraId="06234B5E">
        <w:tblPrEx>
          <w:tblCellMar>
            <w:top w:w="0" w:type="dxa"/>
            <w:left w:w="108" w:type="dxa"/>
            <w:bottom w:w="0" w:type="dxa"/>
            <w:right w:w="108" w:type="dxa"/>
          </w:tblCellMar>
        </w:tblPrEx>
        <w:tc>
          <w:tcPr>
            <w:tcW w:w="379" w:type="pct"/>
            <w:tcBorders>
              <w:top w:val="single" w:color="000000" w:sz="4" w:space="0"/>
              <w:left w:val="single" w:color="000000" w:sz="8" w:space="0"/>
              <w:bottom w:val="single" w:color="000000" w:sz="4" w:space="0"/>
              <w:right w:val="single" w:color="000000" w:sz="4" w:space="0"/>
            </w:tcBorders>
            <w:noWrap w:val="0"/>
            <w:vAlign w:val="center"/>
          </w:tcPr>
          <w:p w14:paraId="5F3F678C">
            <w:pPr>
              <w:widowControl/>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2</w:t>
            </w:r>
          </w:p>
        </w:tc>
        <w:tc>
          <w:tcPr>
            <w:tcW w:w="710" w:type="pct"/>
            <w:tcBorders>
              <w:top w:val="single" w:color="000000" w:sz="4" w:space="0"/>
              <w:left w:val="single" w:color="000000" w:sz="4" w:space="0"/>
              <w:bottom w:val="single" w:color="000000" w:sz="4" w:space="0"/>
              <w:right w:val="single" w:color="000000" w:sz="4" w:space="0"/>
            </w:tcBorders>
            <w:noWrap w:val="0"/>
            <w:vAlign w:val="center"/>
          </w:tcPr>
          <w:p w14:paraId="46132780">
            <w:pPr>
              <w:widowControl/>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呕吐毒素</w:t>
            </w:r>
          </w:p>
        </w:tc>
        <w:tc>
          <w:tcPr>
            <w:tcW w:w="2032" w:type="pct"/>
            <w:tcBorders>
              <w:top w:val="single" w:color="000000" w:sz="4" w:space="0"/>
              <w:left w:val="single" w:color="000000" w:sz="4" w:space="0"/>
              <w:bottom w:val="single" w:color="000000" w:sz="4" w:space="0"/>
              <w:right w:val="single" w:color="000000" w:sz="4" w:space="0"/>
            </w:tcBorders>
            <w:noWrap w:val="0"/>
            <w:vAlign w:val="center"/>
          </w:tcPr>
          <w:p w14:paraId="65C78899">
            <w:pPr>
              <w:widowControl/>
              <w:spacing w:line="240" w:lineRule="auto"/>
              <w:jc w:val="left"/>
              <w:rPr>
                <w:rFonts w:ascii="宋体" w:hAnsi="宋体" w:cs="宋体"/>
                <w:color w:val="auto"/>
                <w:szCs w:val="21"/>
                <w:highlight w:val="none"/>
                <w:u w:val="none"/>
              </w:rPr>
            </w:pPr>
            <w:r>
              <w:rPr>
                <w:rFonts w:hint="eastAsia" w:ascii="宋体" w:hAnsi="宋体" w:cs="宋体"/>
                <w:color w:val="auto"/>
                <w:szCs w:val="21"/>
                <w:highlight w:val="none"/>
                <w:u w:val="none"/>
              </w:rPr>
              <w:t>食品中呕吐毒素的快速检测 胶体金免疫层析法（KJ201702）</w:t>
            </w:r>
          </w:p>
        </w:tc>
        <w:tc>
          <w:tcPr>
            <w:tcW w:w="1878" w:type="pct"/>
            <w:tcBorders>
              <w:top w:val="single" w:color="000000" w:sz="4" w:space="0"/>
              <w:left w:val="single" w:color="000000" w:sz="4" w:space="0"/>
              <w:bottom w:val="single" w:color="000000" w:sz="4" w:space="0"/>
              <w:right w:val="single" w:color="000000" w:sz="8" w:space="0"/>
            </w:tcBorders>
            <w:noWrap w:val="0"/>
            <w:vAlign w:val="center"/>
          </w:tcPr>
          <w:p w14:paraId="39B474CE">
            <w:pPr>
              <w:widowControl/>
              <w:spacing w:line="240" w:lineRule="auto"/>
              <w:jc w:val="left"/>
              <w:rPr>
                <w:rFonts w:ascii="宋体" w:hAnsi="宋体" w:cs="宋体"/>
                <w:color w:val="auto"/>
                <w:szCs w:val="21"/>
                <w:highlight w:val="none"/>
                <w:u w:val="none"/>
              </w:rPr>
            </w:pPr>
            <w:r>
              <w:rPr>
                <w:rFonts w:hint="eastAsia" w:ascii="宋体" w:hAnsi="宋体" w:cs="宋体"/>
                <w:color w:val="auto"/>
                <w:szCs w:val="21"/>
                <w:highlight w:val="none"/>
                <w:u w:val="none"/>
              </w:rPr>
              <w:t>1.0 mg/kg</w:t>
            </w:r>
          </w:p>
        </w:tc>
      </w:tr>
      <w:tr w14:paraId="6B3C4894">
        <w:tblPrEx>
          <w:tblCellMar>
            <w:top w:w="0" w:type="dxa"/>
            <w:left w:w="108" w:type="dxa"/>
            <w:bottom w:w="0" w:type="dxa"/>
            <w:right w:w="108" w:type="dxa"/>
          </w:tblCellMar>
        </w:tblPrEx>
        <w:tc>
          <w:tcPr>
            <w:tcW w:w="379" w:type="pct"/>
            <w:tcBorders>
              <w:top w:val="single" w:color="000000" w:sz="4" w:space="0"/>
              <w:left w:val="single" w:color="000000" w:sz="8" w:space="0"/>
              <w:bottom w:val="single" w:color="000000" w:sz="4" w:space="0"/>
              <w:right w:val="single" w:color="000000" w:sz="4" w:space="0"/>
            </w:tcBorders>
            <w:noWrap w:val="0"/>
            <w:vAlign w:val="center"/>
          </w:tcPr>
          <w:p w14:paraId="129979AF">
            <w:pPr>
              <w:widowControl/>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3</w:t>
            </w:r>
          </w:p>
        </w:tc>
        <w:tc>
          <w:tcPr>
            <w:tcW w:w="710" w:type="pct"/>
            <w:tcBorders>
              <w:top w:val="single" w:color="000000" w:sz="4" w:space="0"/>
              <w:left w:val="single" w:color="000000" w:sz="4" w:space="0"/>
              <w:bottom w:val="single" w:color="000000" w:sz="4" w:space="0"/>
              <w:right w:val="single" w:color="000000" w:sz="4" w:space="0"/>
            </w:tcBorders>
            <w:noWrap w:val="0"/>
            <w:vAlign w:val="center"/>
          </w:tcPr>
          <w:p w14:paraId="1782B1CF">
            <w:pPr>
              <w:widowControl/>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罗丹明B</w:t>
            </w:r>
          </w:p>
        </w:tc>
        <w:tc>
          <w:tcPr>
            <w:tcW w:w="2032" w:type="pct"/>
            <w:tcBorders>
              <w:top w:val="single" w:color="000000" w:sz="4" w:space="0"/>
              <w:left w:val="single" w:color="000000" w:sz="4" w:space="0"/>
              <w:bottom w:val="single" w:color="000000" w:sz="4" w:space="0"/>
              <w:right w:val="single" w:color="000000" w:sz="4" w:space="0"/>
            </w:tcBorders>
            <w:noWrap w:val="0"/>
            <w:vAlign w:val="center"/>
          </w:tcPr>
          <w:p w14:paraId="07DC23F0">
            <w:pPr>
              <w:widowControl/>
              <w:spacing w:line="240" w:lineRule="auto"/>
              <w:jc w:val="left"/>
              <w:rPr>
                <w:rFonts w:ascii="宋体" w:hAnsi="宋体" w:cs="宋体"/>
                <w:color w:val="auto"/>
                <w:szCs w:val="21"/>
                <w:highlight w:val="none"/>
                <w:u w:val="none"/>
              </w:rPr>
            </w:pPr>
            <w:r>
              <w:rPr>
                <w:rFonts w:hint="eastAsia" w:ascii="宋体" w:hAnsi="宋体" w:cs="宋体"/>
                <w:color w:val="auto"/>
                <w:szCs w:val="21"/>
                <w:highlight w:val="none"/>
                <w:u w:val="none"/>
              </w:rPr>
              <w:t>食品中罗丹明B的快速检测 胶体金免疫层析法（KJ201703）</w:t>
            </w:r>
          </w:p>
        </w:tc>
        <w:tc>
          <w:tcPr>
            <w:tcW w:w="1878" w:type="pct"/>
            <w:tcBorders>
              <w:top w:val="single" w:color="000000" w:sz="4" w:space="0"/>
              <w:left w:val="single" w:color="000000" w:sz="4" w:space="0"/>
              <w:bottom w:val="single" w:color="000000" w:sz="4" w:space="0"/>
              <w:right w:val="single" w:color="000000" w:sz="8" w:space="0"/>
            </w:tcBorders>
            <w:noWrap w:val="0"/>
            <w:vAlign w:val="center"/>
          </w:tcPr>
          <w:p w14:paraId="433E8885">
            <w:pPr>
              <w:widowControl/>
              <w:spacing w:line="240" w:lineRule="auto"/>
              <w:jc w:val="left"/>
              <w:rPr>
                <w:rFonts w:ascii="宋体" w:hAnsi="宋体" w:cs="宋体"/>
                <w:color w:val="auto"/>
                <w:szCs w:val="21"/>
                <w:highlight w:val="none"/>
                <w:u w:val="none"/>
              </w:rPr>
            </w:pPr>
            <w:r>
              <w:rPr>
                <w:rFonts w:hint="eastAsia" w:ascii="宋体" w:hAnsi="宋体" w:cs="宋体"/>
                <w:color w:val="auto"/>
                <w:szCs w:val="21"/>
                <w:highlight w:val="none"/>
                <w:u w:val="none"/>
              </w:rPr>
              <w:t>5μg/kg</w:t>
            </w:r>
          </w:p>
        </w:tc>
      </w:tr>
      <w:tr w14:paraId="74ABB729">
        <w:tblPrEx>
          <w:tblCellMar>
            <w:top w:w="0" w:type="dxa"/>
            <w:left w:w="108" w:type="dxa"/>
            <w:bottom w:w="0" w:type="dxa"/>
            <w:right w:w="108" w:type="dxa"/>
          </w:tblCellMar>
        </w:tblPrEx>
        <w:tc>
          <w:tcPr>
            <w:tcW w:w="379" w:type="pct"/>
            <w:tcBorders>
              <w:top w:val="single" w:color="000000" w:sz="4" w:space="0"/>
              <w:left w:val="single" w:color="000000" w:sz="8" w:space="0"/>
              <w:bottom w:val="single" w:color="000000" w:sz="4" w:space="0"/>
              <w:right w:val="single" w:color="000000" w:sz="4" w:space="0"/>
            </w:tcBorders>
            <w:noWrap w:val="0"/>
            <w:vAlign w:val="center"/>
          </w:tcPr>
          <w:p w14:paraId="7FD86BE7">
            <w:pPr>
              <w:widowControl/>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4</w:t>
            </w:r>
          </w:p>
        </w:tc>
        <w:tc>
          <w:tcPr>
            <w:tcW w:w="710" w:type="pct"/>
            <w:tcBorders>
              <w:top w:val="single" w:color="000000" w:sz="4" w:space="0"/>
              <w:left w:val="single" w:color="000000" w:sz="4" w:space="0"/>
              <w:bottom w:val="single" w:color="000000" w:sz="4" w:space="0"/>
              <w:right w:val="single" w:color="000000" w:sz="4" w:space="0"/>
            </w:tcBorders>
            <w:noWrap w:val="0"/>
            <w:vAlign w:val="center"/>
          </w:tcPr>
          <w:p w14:paraId="03B50984">
            <w:pPr>
              <w:widowControl/>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亚硝酸盐</w:t>
            </w:r>
          </w:p>
        </w:tc>
        <w:tc>
          <w:tcPr>
            <w:tcW w:w="2032" w:type="pct"/>
            <w:tcBorders>
              <w:top w:val="single" w:color="000000" w:sz="4" w:space="0"/>
              <w:left w:val="single" w:color="000000" w:sz="4" w:space="0"/>
              <w:bottom w:val="single" w:color="000000" w:sz="4" w:space="0"/>
              <w:right w:val="single" w:color="000000" w:sz="4" w:space="0"/>
            </w:tcBorders>
            <w:noWrap w:val="0"/>
            <w:vAlign w:val="center"/>
          </w:tcPr>
          <w:p w14:paraId="54176187">
            <w:pPr>
              <w:widowControl/>
              <w:spacing w:line="240" w:lineRule="auto"/>
              <w:jc w:val="left"/>
              <w:rPr>
                <w:rFonts w:ascii="宋体" w:hAnsi="宋体" w:cs="宋体"/>
                <w:color w:val="auto"/>
                <w:szCs w:val="21"/>
                <w:highlight w:val="none"/>
                <w:u w:val="none"/>
              </w:rPr>
            </w:pPr>
            <w:r>
              <w:rPr>
                <w:rFonts w:hint="eastAsia" w:ascii="宋体" w:hAnsi="宋体" w:cs="宋体"/>
                <w:color w:val="auto"/>
                <w:szCs w:val="21"/>
                <w:highlight w:val="none"/>
                <w:u w:val="none"/>
              </w:rPr>
              <w:t>食品中亚硝酸盐的快速检测 盐酸萘乙二胺法（KJ201704）</w:t>
            </w:r>
          </w:p>
        </w:tc>
        <w:tc>
          <w:tcPr>
            <w:tcW w:w="1878" w:type="pct"/>
            <w:tcBorders>
              <w:top w:val="single" w:color="000000" w:sz="4" w:space="0"/>
              <w:left w:val="single" w:color="000000" w:sz="4" w:space="0"/>
              <w:bottom w:val="single" w:color="000000" w:sz="4" w:space="0"/>
              <w:right w:val="single" w:color="000000" w:sz="8" w:space="0"/>
            </w:tcBorders>
            <w:noWrap w:val="0"/>
            <w:vAlign w:val="center"/>
          </w:tcPr>
          <w:p w14:paraId="4D15EEEA">
            <w:pPr>
              <w:widowControl/>
              <w:spacing w:line="240" w:lineRule="auto"/>
              <w:jc w:val="left"/>
              <w:rPr>
                <w:rFonts w:ascii="宋体" w:hAnsi="宋体" w:cs="宋体"/>
                <w:color w:val="auto"/>
                <w:szCs w:val="21"/>
                <w:highlight w:val="none"/>
                <w:u w:val="none"/>
              </w:rPr>
            </w:pPr>
            <w:r>
              <w:rPr>
                <w:rFonts w:hint="eastAsia" w:ascii="宋体" w:hAnsi="宋体" w:cs="宋体"/>
                <w:color w:val="auto"/>
                <w:szCs w:val="21"/>
                <w:highlight w:val="none"/>
                <w:u w:val="none"/>
              </w:rPr>
              <w:t>1mg/kg</w:t>
            </w:r>
          </w:p>
        </w:tc>
      </w:tr>
      <w:tr w14:paraId="150AE38B">
        <w:tblPrEx>
          <w:tblCellMar>
            <w:top w:w="0" w:type="dxa"/>
            <w:left w:w="108" w:type="dxa"/>
            <w:bottom w:w="0" w:type="dxa"/>
            <w:right w:w="108" w:type="dxa"/>
          </w:tblCellMar>
        </w:tblPrEx>
        <w:tc>
          <w:tcPr>
            <w:tcW w:w="379" w:type="pct"/>
            <w:tcBorders>
              <w:top w:val="single" w:color="000000" w:sz="4" w:space="0"/>
              <w:left w:val="single" w:color="000000" w:sz="8" w:space="0"/>
              <w:bottom w:val="single" w:color="000000" w:sz="4" w:space="0"/>
              <w:right w:val="single" w:color="000000" w:sz="4" w:space="0"/>
            </w:tcBorders>
            <w:noWrap w:val="0"/>
            <w:vAlign w:val="center"/>
          </w:tcPr>
          <w:p w14:paraId="2CBFC941">
            <w:pPr>
              <w:widowControl/>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5</w:t>
            </w:r>
          </w:p>
        </w:tc>
        <w:tc>
          <w:tcPr>
            <w:tcW w:w="710" w:type="pct"/>
            <w:tcBorders>
              <w:top w:val="single" w:color="000000" w:sz="4" w:space="0"/>
              <w:left w:val="single" w:color="000000" w:sz="4" w:space="0"/>
              <w:bottom w:val="single" w:color="000000" w:sz="4" w:space="0"/>
              <w:right w:val="single" w:color="000000" w:sz="4" w:space="0"/>
            </w:tcBorders>
            <w:noWrap w:val="0"/>
            <w:vAlign w:val="center"/>
          </w:tcPr>
          <w:p w14:paraId="3A4953DB">
            <w:pPr>
              <w:widowControl/>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硝基呋喃类代谢物</w:t>
            </w:r>
          </w:p>
        </w:tc>
        <w:tc>
          <w:tcPr>
            <w:tcW w:w="2032" w:type="pct"/>
            <w:tcBorders>
              <w:top w:val="single" w:color="000000" w:sz="4" w:space="0"/>
              <w:left w:val="single" w:color="000000" w:sz="4" w:space="0"/>
              <w:bottom w:val="single" w:color="000000" w:sz="4" w:space="0"/>
              <w:right w:val="single" w:color="000000" w:sz="4" w:space="0"/>
            </w:tcBorders>
            <w:noWrap w:val="0"/>
            <w:vAlign w:val="center"/>
          </w:tcPr>
          <w:p w14:paraId="042E4086">
            <w:pPr>
              <w:widowControl/>
              <w:spacing w:line="240" w:lineRule="auto"/>
              <w:jc w:val="left"/>
              <w:rPr>
                <w:rFonts w:ascii="宋体" w:hAnsi="宋体" w:cs="宋体"/>
                <w:color w:val="auto"/>
                <w:szCs w:val="21"/>
                <w:highlight w:val="none"/>
                <w:u w:val="none"/>
              </w:rPr>
            </w:pPr>
            <w:r>
              <w:rPr>
                <w:rFonts w:hint="eastAsia" w:ascii="宋体" w:hAnsi="宋体" w:cs="宋体"/>
                <w:color w:val="auto"/>
                <w:szCs w:val="21"/>
                <w:highlight w:val="none"/>
                <w:u w:val="none"/>
              </w:rPr>
              <w:t>水产品中硝基呋喃类代谢物的快速检测 胶体金免疫层析法（KJ201705）</w:t>
            </w:r>
          </w:p>
        </w:tc>
        <w:tc>
          <w:tcPr>
            <w:tcW w:w="1878" w:type="pct"/>
            <w:tcBorders>
              <w:top w:val="single" w:color="000000" w:sz="4" w:space="0"/>
              <w:left w:val="single" w:color="000000" w:sz="4" w:space="0"/>
              <w:bottom w:val="single" w:color="000000" w:sz="4" w:space="0"/>
              <w:right w:val="single" w:color="000000" w:sz="8" w:space="0"/>
            </w:tcBorders>
            <w:noWrap w:val="0"/>
            <w:vAlign w:val="center"/>
          </w:tcPr>
          <w:p w14:paraId="51190D0C">
            <w:pPr>
              <w:widowControl/>
              <w:spacing w:line="240" w:lineRule="auto"/>
              <w:jc w:val="left"/>
              <w:rPr>
                <w:rFonts w:ascii="宋体" w:hAnsi="宋体" w:cs="宋体"/>
                <w:color w:val="auto"/>
                <w:szCs w:val="21"/>
                <w:highlight w:val="none"/>
                <w:u w:val="none"/>
              </w:rPr>
            </w:pPr>
            <w:r>
              <w:rPr>
                <w:rFonts w:hint="eastAsia" w:ascii="宋体" w:hAnsi="宋体" w:cs="宋体"/>
                <w:color w:val="auto"/>
                <w:szCs w:val="21"/>
                <w:highlight w:val="none"/>
                <w:u w:val="none"/>
              </w:rPr>
              <w:t>均为0.5μg/kg</w:t>
            </w:r>
          </w:p>
        </w:tc>
      </w:tr>
      <w:tr w14:paraId="372AEABD">
        <w:tblPrEx>
          <w:tblCellMar>
            <w:top w:w="0" w:type="dxa"/>
            <w:left w:w="108" w:type="dxa"/>
            <w:bottom w:w="0" w:type="dxa"/>
            <w:right w:w="108" w:type="dxa"/>
          </w:tblCellMar>
        </w:tblPrEx>
        <w:tc>
          <w:tcPr>
            <w:tcW w:w="379" w:type="pct"/>
            <w:tcBorders>
              <w:top w:val="single" w:color="000000" w:sz="4" w:space="0"/>
              <w:left w:val="single" w:color="000000" w:sz="8" w:space="0"/>
              <w:bottom w:val="single" w:color="000000" w:sz="4" w:space="0"/>
              <w:right w:val="single" w:color="000000" w:sz="4" w:space="0"/>
            </w:tcBorders>
            <w:noWrap w:val="0"/>
            <w:vAlign w:val="center"/>
          </w:tcPr>
          <w:p w14:paraId="62BE60BF">
            <w:pPr>
              <w:widowControl/>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6</w:t>
            </w:r>
          </w:p>
        </w:tc>
        <w:tc>
          <w:tcPr>
            <w:tcW w:w="710" w:type="pct"/>
            <w:tcBorders>
              <w:top w:val="single" w:color="000000" w:sz="4" w:space="0"/>
              <w:left w:val="single" w:color="000000" w:sz="4" w:space="0"/>
              <w:bottom w:val="single" w:color="000000" w:sz="4" w:space="0"/>
              <w:right w:val="single" w:color="000000" w:sz="4" w:space="0"/>
            </w:tcBorders>
            <w:noWrap w:val="0"/>
            <w:vAlign w:val="center"/>
          </w:tcPr>
          <w:p w14:paraId="0EB91FEF">
            <w:pPr>
              <w:widowControl/>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克伦特罗、莱克多巴胺、沙丁胺醇</w:t>
            </w:r>
          </w:p>
        </w:tc>
        <w:tc>
          <w:tcPr>
            <w:tcW w:w="2032" w:type="pct"/>
            <w:tcBorders>
              <w:top w:val="single" w:color="000000" w:sz="4" w:space="0"/>
              <w:left w:val="single" w:color="000000" w:sz="4" w:space="0"/>
              <w:bottom w:val="single" w:color="000000" w:sz="4" w:space="0"/>
              <w:right w:val="single" w:color="000000" w:sz="4" w:space="0"/>
            </w:tcBorders>
            <w:noWrap w:val="0"/>
            <w:vAlign w:val="center"/>
          </w:tcPr>
          <w:p w14:paraId="7D355E6A">
            <w:pPr>
              <w:widowControl/>
              <w:spacing w:line="240" w:lineRule="auto"/>
              <w:jc w:val="left"/>
              <w:rPr>
                <w:rFonts w:ascii="宋体" w:hAnsi="宋体" w:cs="宋体"/>
                <w:color w:val="auto"/>
                <w:szCs w:val="21"/>
                <w:highlight w:val="none"/>
                <w:u w:val="none"/>
              </w:rPr>
            </w:pPr>
            <w:r>
              <w:rPr>
                <w:rFonts w:hint="eastAsia" w:ascii="宋体" w:hAnsi="宋体" w:cs="宋体"/>
                <w:color w:val="auto"/>
                <w:szCs w:val="21"/>
                <w:highlight w:val="none"/>
                <w:u w:val="none"/>
              </w:rPr>
              <w:t>动物源性食品中克伦特罗、莱克多巴胺及沙丁胺醇的快速检测 胶体金免疫层析法（KJ201706）</w:t>
            </w:r>
          </w:p>
        </w:tc>
        <w:tc>
          <w:tcPr>
            <w:tcW w:w="1878" w:type="pct"/>
            <w:tcBorders>
              <w:top w:val="single" w:color="000000" w:sz="4" w:space="0"/>
              <w:left w:val="single" w:color="000000" w:sz="4" w:space="0"/>
              <w:bottom w:val="single" w:color="000000" w:sz="4" w:space="0"/>
              <w:right w:val="single" w:color="000000" w:sz="8" w:space="0"/>
            </w:tcBorders>
            <w:noWrap w:val="0"/>
            <w:vAlign w:val="center"/>
          </w:tcPr>
          <w:p w14:paraId="1EC4C9B2">
            <w:pPr>
              <w:widowControl/>
              <w:spacing w:line="240" w:lineRule="auto"/>
              <w:jc w:val="left"/>
              <w:rPr>
                <w:rFonts w:ascii="宋体" w:hAnsi="宋体" w:cs="宋体"/>
                <w:color w:val="auto"/>
                <w:szCs w:val="21"/>
                <w:highlight w:val="none"/>
                <w:u w:val="none"/>
              </w:rPr>
            </w:pPr>
            <w:r>
              <w:rPr>
                <w:rFonts w:hint="eastAsia" w:ascii="宋体" w:hAnsi="宋体" w:cs="宋体"/>
                <w:color w:val="auto"/>
                <w:szCs w:val="21"/>
                <w:highlight w:val="none"/>
                <w:u w:val="none"/>
              </w:rPr>
              <w:t>均为0.5μg/kg</w:t>
            </w:r>
          </w:p>
        </w:tc>
      </w:tr>
      <w:tr w14:paraId="6F87E6E1">
        <w:tblPrEx>
          <w:tblCellMar>
            <w:top w:w="0" w:type="dxa"/>
            <w:left w:w="108" w:type="dxa"/>
            <w:bottom w:w="0" w:type="dxa"/>
            <w:right w:w="108" w:type="dxa"/>
          </w:tblCellMar>
        </w:tblPrEx>
        <w:tc>
          <w:tcPr>
            <w:tcW w:w="379" w:type="pct"/>
            <w:tcBorders>
              <w:top w:val="single" w:color="000000" w:sz="4" w:space="0"/>
              <w:left w:val="single" w:color="000000" w:sz="8" w:space="0"/>
              <w:bottom w:val="single" w:color="000000" w:sz="4" w:space="0"/>
              <w:right w:val="single" w:color="000000" w:sz="4" w:space="0"/>
            </w:tcBorders>
            <w:noWrap w:val="0"/>
            <w:vAlign w:val="center"/>
          </w:tcPr>
          <w:p w14:paraId="0B61D373">
            <w:pPr>
              <w:widowControl/>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7</w:t>
            </w:r>
          </w:p>
        </w:tc>
        <w:tc>
          <w:tcPr>
            <w:tcW w:w="710" w:type="pct"/>
            <w:tcBorders>
              <w:top w:val="single" w:color="000000" w:sz="4" w:space="0"/>
              <w:left w:val="single" w:color="000000" w:sz="4" w:space="0"/>
              <w:bottom w:val="single" w:color="000000" w:sz="4" w:space="0"/>
              <w:right w:val="single" w:color="000000" w:sz="4" w:space="0"/>
            </w:tcBorders>
            <w:noWrap w:val="0"/>
            <w:vAlign w:val="center"/>
          </w:tcPr>
          <w:p w14:paraId="02171CCB">
            <w:pPr>
              <w:widowControl/>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吗啡、可待因</w:t>
            </w:r>
          </w:p>
        </w:tc>
        <w:tc>
          <w:tcPr>
            <w:tcW w:w="2032" w:type="pct"/>
            <w:tcBorders>
              <w:top w:val="single" w:color="000000" w:sz="4" w:space="0"/>
              <w:left w:val="single" w:color="000000" w:sz="4" w:space="0"/>
              <w:bottom w:val="single" w:color="000000" w:sz="4" w:space="0"/>
              <w:right w:val="single" w:color="000000" w:sz="4" w:space="0"/>
            </w:tcBorders>
            <w:noWrap w:val="0"/>
            <w:vAlign w:val="center"/>
          </w:tcPr>
          <w:p w14:paraId="6248BAFD">
            <w:pPr>
              <w:widowControl/>
              <w:spacing w:line="240" w:lineRule="auto"/>
              <w:jc w:val="left"/>
              <w:rPr>
                <w:rFonts w:ascii="宋体" w:hAnsi="宋体" w:cs="宋体"/>
                <w:color w:val="auto"/>
                <w:szCs w:val="21"/>
                <w:highlight w:val="none"/>
                <w:u w:val="none"/>
              </w:rPr>
            </w:pPr>
            <w:r>
              <w:rPr>
                <w:rFonts w:hint="eastAsia" w:ascii="宋体" w:hAnsi="宋体" w:cs="宋体"/>
                <w:color w:val="auto"/>
                <w:szCs w:val="21"/>
                <w:highlight w:val="none"/>
                <w:u w:val="none"/>
              </w:rPr>
              <w:t>食品中吗啡、可待因的快速检测 胶体金免疫层析法（KJ201707）</w:t>
            </w:r>
          </w:p>
        </w:tc>
        <w:tc>
          <w:tcPr>
            <w:tcW w:w="1878" w:type="pct"/>
            <w:tcBorders>
              <w:top w:val="single" w:color="000000" w:sz="4" w:space="0"/>
              <w:left w:val="single" w:color="000000" w:sz="4" w:space="0"/>
              <w:bottom w:val="single" w:color="000000" w:sz="4" w:space="0"/>
              <w:right w:val="single" w:color="000000" w:sz="8" w:space="0"/>
            </w:tcBorders>
            <w:noWrap w:val="0"/>
            <w:vAlign w:val="center"/>
          </w:tcPr>
          <w:p w14:paraId="5F9628BA">
            <w:pPr>
              <w:widowControl/>
              <w:spacing w:line="240" w:lineRule="auto"/>
              <w:jc w:val="left"/>
              <w:rPr>
                <w:rFonts w:ascii="宋体" w:hAnsi="宋体" w:cs="宋体"/>
                <w:color w:val="auto"/>
                <w:szCs w:val="21"/>
                <w:highlight w:val="none"/>
                <w:u w:val="none"/>
              </w:rPr>
            </w:pPr>
            <w:r>
              <w:rPr>
                <w:rFonts w:hint="eastAsia" w:ascii="宋体" w:hAnsi="宋体" w:cs="宋体"/>
                <w:color w:val="auto"/>
                <w:szCs w:val="21"/>
                <w:highlight w:val="none"/>
                <w:u w:val="none"/>
              </w:rPr>
              <w:t>液体、半固体食品40μg/kg，固体食品、食用醋100μg/kg</w:t>
            </w:r>
          </w:p>
        </w:tc>
      </w:tr>
      <w:tr w14:paraId="37BCAC2A">
        <w:tblPrEx>
          <w:tblCellMar>
            <w:top w:w="0" w:type="dxa"/>
            <w:left w:w="108" w:type="dxa"/>
            <w:bottom w:w="0" w:type="dxa"/>
            <w:right w:w="108" w:type="dxa"/>
          </w:tblCellMar>
        </w:tblPrEx>
        <w:tc>
          <w:tcPr>
            <w:tcW w:w="379" w:type="pct"/>
            <w:tcBorders>
              <w:top w:val="single" w:color="000000" w:sz="4" w:space="0"/>
              <w:left w:val="single" w:color="000000" w:sz="8" w:space="0"/>
              <w:bottom w:val="single" w:color="000000" w:sz="4" w:space="0"/>
              <w:right w:val="single" w:color="000000" w:sz="4" w:space="0"/>
            </w:tcBorders>
            <w:noWrap w:val="0"/>
            <w:vAlign w:val="center"/>
          </w:tcPr>
          <w:p w14:paraId="2125C997">
            <w:pPr>
              <w:widowControl/>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8</w:t>
            </w:r>
          </w:p>
        </w:tc>
        <w:tc>
          <w:tcPr>
            <w:tcW w:w="710" w:type="pct"/>
            <w:tcBorders>
              <w:top w:val="single" w:color="000000" w:sz="4" w:space="0"/>
              <w:left w:val="single" w:color="000000" w:sz="4" w:space="0"/>
              <w:bottom w:val="single" w:color="000000" w:sz="4" w:space="0"/>
              <w:right w:val="single" w:color="000000" w:sz="4" w:space="0"/>
            </w:tcBorders>
            <w:noWrap w:val="0"/>
            <w:vAlign w:val="center"/>
          </w:tcPr>
          <w:p w14:paraId="1D84787B">
            <w:pPr>
              <w:widowControl/>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黄曲霉毒素B1</w:t>
            </w:r>
          </w:p>
        </w:tc>
        <w:tc>
          <w:tcPr>
            <w:tcW w:w="2032" w:type="pct"/>
            <w:tcBorders>
              <w:top w:val="single" w:color="000000" w:sz="4" w:space="0"/>
              <w:left w:val="single" w:color="000000" w:sz="4" w:space="0"/>
              <w:bottom w:val="single" w:color="000000" w:sz="4" w:space="0"/>
              <w:right w:val="single" w:color="000000" w:sz="4" w:space="0"/>
            </w:tcBorders>
            <w:noWrap w:val="0"/>
            <w:vAlign w:val="center"/>
          </w:tcPr>
          <w:p w14:paraId="3F2A28EC">
            <w:pPr>
              <w:widowControl/>
              <w:spacing w:line="240" w:lineRule="auto"/>
              <w:jc w:val="left"/>
              <w:rPr>
                <w:rFonts w:ascii="宋体" w:hAnsi="宋体" w:cs="宋体"/>
                <w:color w:val="auto"/>
                <w:szCs w:val="21"/>
                <w:highlight w:val="none"/>
                <w:u w:val="none"/>
              </w:rPr>
            </w:pPr>
            <w:r>
              <w:rPr>
                <w:rFonts w:hint="eastAsia" w:ascii="宋体" w:hAnsi="宋体" w:cs="宋体"/>
                <w:color w:val="auto"/>
                <w:szCs w:val="21"/>
                <w:highlight w:val="none"/>
                <w:u w:val="none"/>
              </w:rPr>
              <w:t>食用油中黄曲霉毒素B1的快速检测 胶体金免疫层析法（KJ201708）</w:t>
            </w:r>
          </w:p>
        </w:tc>
        <w:tc>
          <w:tcPr>
            <w:tcW w:w="1878" w:type="pct"/>
            <w:tcBorders>
              <w:top w:val="single" w:color="000000" w:sz="4" w:space="0"/>
              <w:left w:val="single" w:color="000000" w:sz="4" w:space="0"/>
              <w:bottom w:val="single" w:color="000000" w:sz="4" w:space="0"/>
              <w:right w:val="single" w:color="000000" w:sz="8" w:space="0"/>
            </w:tcBorders>
            <w:noWrap w:val="0"/>
            <w:vAlign w:val="center"/>
          </w:tcPr>
          <w:p w14:paraId="0EAF2CD3">
            <w:pPr>
              <w:widowControl/>
              <w:spacing w:line="240" w:lineRule="auto"/>
              <w:jc w:val="left"/>
              <w:rPr>
                <w:rFonts w:ascii="宋体" w:hAnsi="宋体" w:cs="宋体"/>
                <w:color w:val="auto"/>
                <w:szCs w:val="21"/>
                <w:highlight w:val="none"/>
                <w:u w:val="none"/>
              </w:rPr>
            </w:pPr>
            <w:r>
              <w:rPr>
                <w:rFonts w:hint="eastAsia" w:ascii="宋体" w:hAnsi="宋体" w:cs="宋体"/>
                <w:color w:val="auto"/>
                <w:szCs w:val="21"/>
                <w:highlight w:val="none"/>
                <w:u w:val="none"/>
              </w:rPr>
              <w:t>玉米油、花生油为20μg/kg，其他植物油脂为10μg/kg</w:t>
            </w:r>
          </w:p>
        </w:tc>
      </w:tr>
      <w:tr w14:paraId="667303F1">
        <w:tblPrEx>
          <w:tblCellMar>
            <w:top w:w="0" w:type="dxa"/>
            <w:left w:w="108" w:type="dxa"/>
            <w:bottom w:w="0" w:type="dxa"/>
            <w:right w:w="108" w:type="dxa"/>
          </w:tblCellMar>
        </w:tblPrEx>
        <w:tc>
          <w:tcPr>
            <w:tcW w:w="379" w:type="pct"/>
            <w:tcBorders>
              <w:top w:val="single" w:color="000000" w:sz="4" w:space="0"/>
              <w:left w:val="single" w:color="000000" w:sz="8" w:space="0"/>
              <w:bottom w:val="single" w:color="000000" w:sz="4" w:space="0"/>
              <w:right w:val="single" w:color="000000" w:sz="4" w:space="0"/>
            </w:tcBorders>
            <w:noWrap w:val="0"/>
            <w:vAlign w:val="center"/>
          </w:tcPr>
          <w:p w14:paraId="513651DF">
            <w:pPr>
              <w:widowControl/>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9</w:t>
            </w:r>
          </w:p>
        </w:tc>
        <w:tc>
          <w:tcPr>
            <w:tcW w:w="710" w:type="pct"/>
            <w:tcBorders>
              <w:top w:val="single" w:color="000000" w:sz="4" w:space="0"/>
              <w:left w:val="single" w:color="000000" w:sz="4" w:space="0"/>
              <w:bottom w:val="single" w:color="000000" w:sz="4" w:space="0"/>
              <w:right w:val="single" w:color="000000" w:sz="4" w:space="0"/>
            </w:tcBorders>
            <w:noWrap w:val="0"/>
            <w:vAlign w:val="center"/>
          </w:tcPr>
          <w:p w14:paraId="70A64257">
            <w:pPr>
              <w:widowControl/>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黄曲霉毒素M1</w:t>
            </w:r>
          </w:p>
        </w:tc>
        <w:tc>
          <w:tcPr>
            <w:tcW w:w="2032" w:type="pct"/>
            <w:tcBorders>
              <w:top w:val="single" w:color="000000" w:sz="4" w:space="0"/>
              <w:left w:val="single" w:color="000000" w:sz="4" w:space="0"/>
              <w:bottom w:val="single" w:color="000000" w:sz="4" w:space="0"/>
              <w:right w:val="single" w:color="000000" w:sz="4" w:space="0"/>
            </w:tcBorders>
            <w:noWrap w:val="0"/>
            <w:vAlign w:val="center"/>
          </w:tcPr>
          <w:p w14:paraId="4461D7F9">
            <w:pPr>
              <w:widowControl/>
              <w:spacing w:line="240" w:lineRule="auto"/>
              <w:jc w:val="left"/>
              <w:rPr>
                <w:rFonts w:ascii="宋体" w:hAnsi="宋体" w:cs="宋体"/>
                <w:color w:val="auto"/>
                <w:szCs w:val="21"/>
                <w:highlight w:val="none"/>
                <w:u w:val="none"/>
              </w:rPr>
            </w:pPr>
            <w:r>
              <w:rPr>
                <w:rFonts w:hint="eastAsia" w:ascii="宋体" w:hAnsi="宋体" w:cs="宋体"/>
                <w:color w:val="auto"/>
                <w:szCs w:val="21"/>
                <w:highlight w:val="none"/>
                <w:u w:val="none"/>
              </w:rPr>
              <w:t>液体乳中黄曲霉毒素M1的快速检测 胶体金免疫层析法（KJ201709）</w:t>
            </w:r>
          </w:p>
        </w:tc>
        <w:tc>
          <w:tcPr>
            <w:tcW w:w="1878" w:type="pct"/>
            <w:tcBorders>
              <w:top w:val="single" w:color="000000" w:sz="4" w:space="0"/>
              <w:left w:val="single" w:color="000000" w:sz="4" w:space="0"/>
              <w:bottom w:val="single" w:color="000000" w:sz="4" w:space="0"/>
              <w:right w:val="single" w:color="000000" w:sz="8" w:space="0"/>
            </w:tcBorders>
            <w:noWrap w:val="0"/>
            <w:vAlign w:val="center"/>
          </w:tcPr>
          <w:p w14:paraId="5EBBF8B6">
            <w:pPr>
              <w:widowControl/>
              <w:spacing w:line="240" w:lineRule="auto"/>
              <w:jc w:val="left"/>
              <w:rPr>
                <w:rFonts w:ascii="宋体" w:hAnsi="宋体" w:cs="宋体"/>
                <w:color w:val="auto"/>
                <w:szCs w:val="21"/>
                <w:highlight w:val="none"/>
                <w:u w:val="none"/>
              </w:rPr>
            </w:pPr>
            <w:r>
              <w:rPr>
                <w:rFonts w:hint="eastAsia" w:ascii="宋体" w:hAnsi="宋体" w:cs="宋体"/>
                <w:color w:val="auto"/>
                <w:szCs w:val="21"/>
                <w:highlight w:val="none"/>
                <w:u w:val="none"/>
              </w:rPr>
              <w:t>0.5μg/kg</w:t>
            </w:r>
          </w:p>
        </w:tc>
      </w:tr>
      <w:tr w14:paraId="049DA893">
        <w:tblPrEx>
          <w:tblCellMar>
            <w:top w:w="0" w:type="dxa"/>
            <w:left w:w="108" w:type="dxa"/>
            <w:bottom w:w="0" w:type="dxa"/>
            <w:right w:w="108" w:type="dxa"/>
          </w:tblCellMar>
        </w:tblPrEx>
        <w:tc>
          <w:tcPr>
            <w:tcW w:w="379" w:type="pct"/>
            <w:tcBorders>
              <w:top w:val="single" w:color="000000" w:sz="4" w:space="0"/>
              <w:left w:val="single" w:color="000000" w:sz="8" w:space="0"/>
              <w:bottom w:val="single" w:color="000000" w:sz="4" w:space="0"/>
              <w:right w:val="single" w:color="000000" w:sz="4" w:space="0"/>
            </w:tcBorders>
            <w:noWrap w:val="0"/>
            <w:vAlign w:val="center"/>
          </w:tcPr>
          <w:p w14:paraId="168C985D">
            <w:pPr>
              <w:widowControl/>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10</w:t>
            </w:r>
          </w:p>
        </w:tc>
        <w:tc>
          <w:tcPr>
            <w:tcW w:w="710" w:type="pct"/>
            <w:tcBorders>
              <w:top w:val="single" w:color="000000" w:sz="4" w:space="0"/>
              <w:left w:val="single" w:color="000000" w:sz="4" w:space="0"/>
              <w:bottom w:val="single" w:color="000000" w:sz="4" w:space="0"/>
              <w:right w:val="single" w:color="000000" w:sz="4" w:space="0"/>
            </w:tcBorders>
            <w:noWrap w:val="0"/>
            <w:vAlign w:val="center"/>
          </w:tcPr>
          <w:p w14:paraId="36CE86A6">
            <w:pPr>
              <w:widowControl/>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农药残留</w:t>
            </w:r>
          </w:p>
        </w:tc>
        <w:tc>
          <w:tcPr>
            <w:tcW w:w="2032" w:type="pct"/>
            <w:tcBorders>
              <w:top w:val="single" w:color="000000" w:sz="4" w:space="0"/>
              <w:left w:val="single" w:color="000000" w:sz="4" w:space="0"/>
              <w:bottom w:val="single" w:color="000000" w:sz="4" w:space="0"/>
              <w:right w:val="single" w:color="000000" w:sz="4" w:space="0"/>
            </w:tcBorders>
            <w:noWrap w:val="0"/>
            <w:vAlign w:val="center"/>
          </w:tcPr>
          <w:p w14:paraId="4BE74010">
            <w:pPr>
              <w:widowControl/>
              <w:spacing w:line="240" w:lineRule="auto"/>
              <w:jc w:val="left"/>
              <w:rPr>
                <w:rFonts w:ascii="宋体" w:hAnsi="宋体" w:cs="宋体"/>
                <w:color w:val="auto"/>
                <w:szCs w:val="21"/>
                <w:highlight w:val="none"/>
                <w:u w:val="none"/>
              </w:rPr>
            </w:pPr>
            <w:r>
              <w:rPr>
                <w:rFonts w:hint="eastAsia" w:ascii="宋体" w:hAnsi="宋体" w:cs="宋体"/>
                <w:color w:val="auto"/>
                <w:szCs w:val="21"/>
                <w:highlight w:val="none"/>
                <w:u w:val="none"/>
              </w:rPr>
              <w:t>蔬菜中敌百虫、丙溴磷、灭多威、克百威、敌敌畏残留的快速检测（KJ201710）</w:t>
            </w:r>
          </w:p>
        </w:tc>
        <w:tc>
          <w:tcPr>
            <w:tcW w:w="1878" w:type="pct"/>
            <w:tcBorders>
              <w:top w:val="single" w:color="000000" w:sz="4" w:space="0"/>
              <w:left w:val="single" w:color="000000" w:sz="4" w:space="0"/>
              <w:bottom w:val="single" w:color="000000" w:sz="4" w:space="0"/>
              <w:right w:val="single" w:color="000000" w:sz="8" w:space="0"/>
            </w:tcBorders>
            <w:noWrap w:val="0"/>
            <w:vAlign w:val="center"/>
          </w:tcPr>
          <w:p w14:paraId="6654194C">
            <w:pPr>
              <w:widowControl/>
              <w:spacing w:line="240" w:lineRule="auto"/>
              <w:jc w:val="left"/>
              <w:rPr>
                <w:rFonts w:ascii="宋体" w:hAnsi="宋体" w:cs="宋体"/>
                <w:color w:val="auto"/>
                <w:szCs w:val="21"/>
                <w:highlight w:val="none"/>
                <w:u w:val="none"/>
              </w:rPr>
            </w:pPr>
            <w:r>
              <w:rPr>
                <w:rFonts w:hint="eastAsia" w:ascii="宋体" w:hAnsi="宋体" w:cs="宋体"/>
                <w:color w:val="auto"/>
                <w:szCs w:val="21"/>
                <w:highlight w:val="none"/>
                <w:u w:val="none"/>
              </w:rPr>
              <w:t>敌百虫0.1 mg/kg，丙溴磷0.5 mg/kg，灭多威0.2 mg/kg，克百威0.02 mg/kg，敌敌畏0.2 mg/kg</w:t>
            </w:r>
          </w:p>
        </w:tc>
      </w:tr>
      <w:tr w14:paraId="718F6DE5">
        <w:tblPrEx>
          <w:tblCellMar>
            <w:top w:w="0" w:type="dxa"/>
            <w:left w:w="108" w:type="dxa"/>
            <w:bottom w:w="0" w:type="dxa"/>
            <w:right w:w="108" w:type="dxa"/>
          </w:tblCellMar>
        </w:tblPrEx>
        <w:tc>
          <w:tcPr>
            <w:tcW w:w="379" w:type="pct"/>
            <w:tcBorders>
              <w:top w:val="single" w:color="000000" w:sz="4" w:space="0"/>
              <w:left w:val="single" w:color="000000" w:sz="8" w:space="0"/>
              <w:bottom w:val="single" w:color="000000" w:sz="4" w:space="0"/>
              <w:right w:val="single" w:color="000000" w:sz="4" w:space="0"/>
            </w:tcBorders>
            <w:noWrap w:val="0"/>
            <w:vAlign w:val="center"/>
          </w:tcPr>
          <w:p w14:paraId="474A051F">
            <w:pPr>
              <w:widowControl/>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11</w:t>
            </w:r>
          </w:p>
        </w:tc>
        <w:tc>
          <w:tcPr>
            <w:tcW w:w="710" w:type="pct"/>
            <w:tcBorders>
              <w:top w:val="single" w:color="000000" w:sz="4" w:space="0"/>
              <w:left w:val="single" w:color="000000" w:sz="4" w:space="0"/>
              <w:bottom w:val="single" w:color="000000" w:sz="4" w:space="0"/>
              <w:right w:val="single" w:color="000000" w:sz="4" w:space="0"/>
            </w:tcBorders>
            <w:noWrap w:val="0"/>
            <w:vAlign w:val="center"/>
          </w:tcPr>
          <w:p w14:paraId="273B1956">
            <w:pPr>
              <w:widowControl/>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苏丹红Ⅰ</w:t>
            </w:r>
          </w:p>
        </w:tc>
        <w:tc>
          <w:tcPr>
            <w:tcW w:w="2032" w:type="pct"/>
            <w:tcBorders>
              <w:top w:val="single" w:color="000000" w:sz="4" w:space="0"/>
              <w:left w:val="single" w:color="000000" w:sz="4" w:space="0"/>
              <w:bottom w:val="single" w:color="000000" w:sz="4" w:space="0"/>
              <w:right w:val="single" w:color="000000" w:sz="4" w:space="0"/>
            </w:tcBorders>
            <w:noWrap w:val="0"/>
            <w:vAlign w:val="center"/>
          </w:tcPr>
          <w:p w14:paraId="46DAAB0F">
            <w:pPr>
              <w:widowControl/>
              <w:spacing w:line="240" w:lineRule="auto"/>
              <w:jc w:val="left"/>
              <w:rPr>
                <w:rFonts w:ascii="宋体" w:hAnsi="宋体" w:cs="宋体"/>
                <w:color w:val="auto"/>
                <w:szCs w:val="21"/>
                <w:highlight w:val="none"/>
                <w:u w:val="none"/>
              </w:rPr>
            </w:pPr>
            <w:r>
              <w:rPr>
                <w:rFonts w:hint="eastAsia" w:ascii="宋体" w:hAnsi="宋体" w:cs="宋体"/>
                <w:color w:val="auto"/>
                <w:szCs w:val="21"/>
                <w:highlight w:val="none"/>
                <w:u w:val="none"/>
              </w:rPr>
              <w:t>辣椒制品中苏丹红Ⅰ的快速检测 胶体金免疫层析法（KJ201801）</w:t>
            </w:r>
          </w:p>
        </w:tc>
        <w:tc>
          <w:tcPr>
            <w:tcW w:w="1878" w:type="pct"/>
            <w:tcBorders>
              <w:top w:val="single" w:color="000000" w:sz="4" w:space="0"/>
              <w:left w:val="single" w:color="000000" w:sz="4" w:space="0"/>
              <w:bottom w:val="single" w:color="000000" w:sz="4" w:space="0"/>
              <w:right w:val="single" w:color="000000" w:sz="8" w:space="0"/>
            </w:tcBorders>
            <w:noWrap w:val="0"/>
            <w:vAlign w:val="center"/>
          </w:tcPr>
          <w:p w14:paraId="655189C2">
            <w:pPr>
              <w:widowControl/>
              <w:spacing w:line="240" w:lineRule="auto"/>
              <w:jc w:val="left"/>
              <w:rPr>
                <w:rFonts w:ascii="宋体" w:hAnsi="宋体" w:cs="宋体"/>
                <w:color w:val="auto"/>
                <w:szCs w:val="21"/>
                <w:highlight w:val="none"/>
                <w:u w:val="none"/>
              </w:rPr>
            </w:pPr>
            <w:r>
              <w:rPr>
                <w:rFonts w:hint="eastAsia" w:ascii="宋体" w:hAnsi="宋体" w:cs="宋体"/>
                <w:color w:val="auto"/>
                <w:szCs w:val="21"/>
                <w:highlight w:val="none"/>
                <w:u w:val="none"/>
              </w:rPr>
              <w:t>10μg/kg</w:t>
            </w:r>
          </w:p>
        </w:tc>
      </w:tr>
      <w:tr w14:paraId="2B225948">
        <w:tblPrEx>
          <w:tblCellMar>
            <w:top w:w="0" w:type="dxa"/>
            <w:left w:w="108" w:type="dxa"/>
            <w:bottom w:w="0" w:type="dxa"/>
            <w:right w:w="108" w:type="dxa"/>
          </w:tblCellMar>
        </w:tblPrEx>
        <w:tc>
          <w:tcPr>
            <w:tcW w:w="379" w:type="pct"/>
            <w:tcBorders>
              <w:top w:val="single" w:color="000000" w:sz="4" w:space="0"/>
              <w:left w:val="single" w:color="000000" w:sz="8" w:space="0"/>
              <w:bottom w:val="single" w:color="000000" w:sz="4" w:space="0"/>
              <w:right w:val="single" w:color="000000" w:sz="4" w:space="0"/>
            </w:tcBorders>
            <w:noWrap w:val="0"/>
            <w:vAlign w:val="center"/>
          </w:tcPr>
          <w:p w14:paraId="505DD7E7">
            <w:pPr>
              <w:widowControl/>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12</w:t>
            </w:r>
          </w:p>
        </w:tc>
        <w:tc>
          <w:tcPr>
            <w:tcW w:w="710" w:type="pct"/>
            <w:tcBorders>
              <w:top w:val="single" w:color="000000" w:sz="4" w:space="0"/>
              <w:left w:val="single" w:color="000000" w:sz="4" w:space="0"/>
              <w:bottom w:val="single" w:color="000000" w:sz="4" w:space="0"/>
              <w:right w:val="single" w:color="000000" w:sz="4" w:space="0"/>
            </w:tcBorders>
            <w:noWrap w:val="0"/>
            <w:vAlign w:val="center"/>
          </w:tcPr>
          <w:p w14:paraId="4414A4B7">
            <w:pPr>
              <w:widowControl/>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甲醛</w:t>
            </w:r>
          </w:p>
        </w:tc>
        <w:tc>
          <w:tcPr>
            <w:tcW w:w="2032" w:type="pct"/>
            <w:tcBorders>
              <w:top w:val="single" w:color="000000" w:sz="4" w:space="0"/>
              <w:left w:val="single" w:color="000000" w:sz="4" w:space="0"/>
              <w:bottom w:val="single" w:color="000000" w:sz="4" w:space="0"/>
              <w:right w:val="single" w:color="000000" w:sz="4" w:space="0"/>
            </w:tcBorders>
            <w:noWrap w:val="0"/>
            <w:vAlign w:val="center"/>
          </w:tcPr>
          <w:p w14:paraId="10AA50E9">
            <w:pPr>
              <w:widowControl/>
              <w:spacing w:line="240" w:lineRule="auto"/>
              <w:jc w:val="left"/>
              <w:rPr>
                <w:rFonts w:ascii="宋体" w:hAnsi="宋体" w:cs="宋体"/>
                <w:color w:val="auto"/>
                <w:szCs w:val="21"/>
                <w:highlight w:val="none"/>
                <w:u w:val="none"/>
              </w:rPr>
            </w:pPr>
            <w:r>
              <w:rPr>
                <w:rFonts w:hint="eastAsia" w:ascii="宋体" w:hAnsi="宋体" w:cs="宋体"/>
                <w:color w:val="auto"/>
                <w:szCs w:val="21"/>
                <w:highlight w:val="none"/>
                <w:u w:val="none"/>
              </w:rPr>
              <w:t>水发产品中甲醛的快速检测（KJ201904）</w:t>
            </w:r>
          </w:p>
        </w:tc>
        <w:tc>
          <w:tcPr>
            <w:tcW w:w="1878" w:type="pct"/>
            <w:tcBorders>
              <w:top w:val="single" w:color="000000" w:sz="4" w:space="0"/>
              <w:left w:val="single" w:color="000000" w:sz="4" w:space="0"/>
              <w:bottom w:val="single" w:color="000000" w:sz="4" w:space="0"/>
              <w:right w:val="single" w:color="000000" w:sz="8" w:space="0"/>
            </w:tcBorders>
            <w:noWrap w:val="0"/>
            <w:vAlign w:val="center"/>
          </w:tcPr>
          <w:p w14:paraId="055A4239">
            <w:pPr>
              <w:widowControl/>
              <w:spacing w:line="240" w:lineRule="auto"/>
              <w:jc w:val="left"/>
              <w:rPr>
                <w:rFonts w:ascii="宋体" w:hAnsi="宋体" w:cs="宋体"/>
                <w:color w:val="auto"/>
                <w:szCs w:val="21"/>
                <w:highlight w:val="none"/>
                <w:u w:val="none"/>
              </w:rPr>
            </w:pPr>
            <w:r>
              <w:rPr>
                <w:rFonts w:hint="eastAsia" w:ascii="宋体" w:hAnsi="宋体" w:cs="宋体"/>
                <w:color w:val="auto"/>
                <w:szCs w:val="21"/>
                <w:highlight w:val="none"/>
                <w:u w:val="none"/>
              </w:rPr>
              <w:t>5mg/kg或mg/L</w:t>
            </w:r>
          </w:p>
        </w:tc>
      </w:tr>
      <w:tr w14:paraId="260EE173">
        <w:tblPrEx>
          <w:tblCellMar>
            <w:top w:w="0" w:type="dxa"/>
            <w:left w:w="108" w:type="dxa"/>
            <w:bottom w:w="0" w:type="dxa"/>
            <w:right w:w="108" w:type="dxa"/>
          </w:tblCellMar>
        </w:tblPrEx>
        <w:tc>
          <w:tcPr>
            <w:tcW w:w="379" w:type="pct"/>
            <w:tcBorders>
              <w:top w:val="single" w:color="000000" w:sz="4" w:space="0"/>
              <w:left w:val="single" w:color="000000" w:sz="8" w:space="0"/>
              <w:bottom w:val="single" w:color="000000" w:sz="4" w:space="0"/>
              <w:right w:val="single" w:color="000000" w:sz="4" w:space="0"/>
            </w:tcBorders>
            <w:noWrap w:val="0"/>
            <w:vAlign w:val="center"/>
          </w:tcPr>
          <w:p w14:paraId="12737315">
            <w:pPr>
              <w:widowControl/>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13</w:t>
            </w:r>
          </w:p>
        </w:tc>
        <w:tc>
          <w:tcPr>
            <w:tcW w:w="710" w:type="pct"/>
            <w:tcBorders>
              <w:top w:val="single" w:color="000000" w:sz="4" w:space="0"/>
              <w:left w:val="single" w:color="000000" w:sz="4" w:space="0"/>
              <w:bottom w:val="single" w:color="000000" w:sz="4" w:space="0"/>
              <w:right w:val="single" w:color="000000" w:sz="4" w:space="0"/>
            </w:tcBorders>
            <w:noWrap w:val="0"/>
            <w:vAlign w:val="center"/>
          </w:tcPr>
          <w:p w14:paraId="07B383F1">
            <w:pPr>
              <w:widowControl/>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氯霉素</w:t>
            </w:r>
          </w:p>
        </w:tc>
        <w:tc>
          <w:tcPr>
            <w:tcW w:w="2032" w:type="pct"/>
            <w:tcBorders>
              <w:top w:val="single" w:color="000000" w:sz="4" w:space="0"/>
              <w:left w:val="single" w:color="000000" w:sz="4" w:space="0"/>
              <w:bottom w:val="single" w:color="000000" w:sz="4" w:space="0"/>
              <w:right w:val="single" w:color="000000" w:sz="4" w:space="0"/>
            </w:tcBorders>
            <w:noWrap w:val="0"/>
            <w:vAlign w:val="center"/>
          </w:tcPr>
          <w:p w14:paraId="00DA04CF">
            <w:pPr>
              <w:widowControl/>
              <w:spacing w:line="240" w:lineRule="auto"/>
              <w:jc w:val="left"/>
              <w:rPr>
                <w:rFonts w:ascii="宋体" w:hAnsi="宋体" w:cs="宋体"/>
                <w:color w:val="auto"/>
                <w:szCs w:val="21"/>
                <w:highlight w:val="none"/>
                <w:u w:val="none"/>
              </w:rPr>
            </w:pPr>
            <w:r>
              <w:rPr>
                <w:rFonts w:hint="eastAsia" w:ascii="宋体" w:hAnsi="宋体" w:cs="宋体"/>
                <w:color w:val="auto"/>
                <w:szCs w:val="21"/>
                <w:highlight w:val="none"/>
                <w:u w:val="none"/>
              </w:rPr>
              <w:t>水产品中氯霉素的快速检测 胶体金免疫层析法（KJ201905）</w:t>
            </w:r>
          </w:p>
        </w:tc>
        <w:tc>
          <w:tcPr>
            <w:tcW w:w="1878" w:type="pct"/>
            <w:tcBorders>
              <w:top w:val="single" w:color="000000" w:sz="4" w:space="0"/>
              <w:left w:val="single" w:color="000000" w:sz="4" w:space="0"/>
              <w:bottom w:val="single" w:color="000000" w:sz="4" w:space="0"/>
              <w:right w:val="single" w:color="000000" w:sz="8" w:space="0"/>
            </w:tcBorders>
            <w:noWrap w:val="0"/>
            <w:vAlign w:val="center"/>
          </w:tcPr>
          <w:p w14:paraId="3901126C">
            <w:pPr>
              <w:widowControl/>
              <w:spacing w:line="240" w:lineRule="auto"/>
              <w:jc w:val="left"/>
              <w:rPr>
                <w:rFonts w:ascii="宋体" w:hAnsi="宋体" w:cs="宋体"/>
                <w:color w:val="auto"/>
                <w:szCs w:val="21"/>
                <w:highlight w:val="none"/>
                <w:u w:val="none"/>
              </w:rPr>
            </w:pPr>
            <w:r>
              <w:rPr>
                <w:rFonts w:hint="eastAsia" w:ascii="宋体" w:hAnsi="宋体" w:cs="宋体"/>
                <w:color w:val="auto"/>
                <w:szCs w:val="21"/>
                <w:highlight w:val="none"/>
                <w:u w:val="none"/>
              </w:rPr>
              <w:t>0.1μg/kg</w:t>
            </w:r>
          </w:p>
        </w:tc>
      </w:tr>
      <w:tr w14:paraId="5A301297">
        <w:tblPrEx>
          <w:tblCellMar>
            <w:top w:w="0" w:type="dxa"/>
            <w:left w:w="108" w:type="dxa"/>
            <w:bottom w:w="0" w:type="dxa"/>
            <w:right w:w="108" w:type="dxa"/>
          </w:tblCellMar>
        </w:tblPrEx>
        <w:tc>
          <w:tcPr>
            <w:tcW w:w="379" w:type="pct"/>
            <w:tcBorders>
              <w:top w:val="single" w:color="000000" w:sz="4" w:space="0"/>
              <w:left w:val="single" w:color="000000" w:sz="8" w:space="0"/>
              <w:bottom w:val="single" w:color="000000" w:sz="4" w:space="0"/>
              <w:right w:val="single" w:color="000000" w:sz="4" w:space="0"/>
            </w:tcBorders>
            <w:noWrap w:val="0"/>
            <w:vAlign w:val="center"/>
          </w:tcPr>
          <w:p w14:paraId="343A3C79">
            <w:pPr>
              <w:widowControl/>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14</w:t>
            </w:r>
          </w:p>
        </w:tc>
        <w:tc>
          <w:tcPr>
            <w:tcW w:w="710" w:type="pct"/>
            <w:tcBorders>
              <w:top w:val="single" w:color="000000" w:sz="4" w:space="0"/>
              <w:left w:val="single" w:color="000000" w:sz="4" w:space="0"/>
              <w:bottom w:val="single" w:color="000000" w:sz="4" w:space="0"/>
              <w:right w:val="single" w:color="000000" w:sz="4" w:space="0"/>
            </w:tcBorders>
            <w:noWrap w:val="0"/>
            <w:vAlign w:val="center"/>
          </w:tcPr>
          <w:p w14:paraId="4332F1CA">
            <w:pPr>
              <w:widowControl/>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喹诺酮类</w:t>
            </w:r>
          </w:p>
        </w:tc>
        <w:tc>
          <w:tcPr>
            <w:tcW w:w="2032" w:type="pct"/>
            <w:tcBorders>
              <w:top w:val="single" w:color="000000" w:sz="4" w:space="0"/>
              <w:left w:val="single" w:color="000000" w:sz="4" w:space="0"/>
              <w:bottom w:val="single" w:color="000000" w:sz="4" w:space="0"/>
              <w:right w:val="single" w:color="000000" w:sz="4" w:space="0"/>
            </w:tcBorders>
            <w:noWrap w:val="0"/>
            <w:vAlign w:val="center"/>
          </w:tcPr>
          <w:p w14:paraId="532A472B">
            <w:pPr>
              <w:widowControl/>
              <w:spacing w:line="240" w:lineRule="auto"/>
              <w:jc w:val="left"/>
              <w:rPr>
                <w:rFonts w:ascii="宋体" w:hAnsi="宋体" w:cs="宋体"/>
                <w:color w:val="auto"/>
                <w:szCs w:val="21"/>
                <w:highlight w:val="none"/>
                <w:u w:val="none"/>
              </w:rPr>
            </w:pPr>
            <w:r>
              <w:rPr>
                <w:rFonts w:hint="eastAsia" w:ascii="宋体" w:hAnsi="宋体" w:cs="宋体"/>
                <w:color w:val="auto"/>
                <w:szCs w:val="21"/>
                <w:highlight w:val="none"/>
                <w:u w:val="none"/>
              </w:rPr>
              <w:t>动物源性食品中喹诺酮类物质的快速检测 胶体金免疫层析法</w:t>
            </w:r>
            <w:r>
              <w:rPr>
                <w:rFonts w:hint="eastAsia" w:ascii="宋体" w:hAnsi="宋体" w:cs="宋体"/>
                <w:color w:val="auto"/>
                <w:szCs w:val="21"/>
                <w:highlight w:val="none"/>
                <w:u w:val="none"/>
                <w:lang w:eastAsia="zh-CN"/>
              </w:rPr>
              <w:t>（</w:t>
            </w:r>
            <w:r>
              <w:rPr>
                <w:rFonts w:hint="eastAsia" w:ascii="宋体" w:hAnsi="宋体" w:cs="宋体"/>
                <w:color w:val="auto"/>
                <w:szCs w:val="21"/>
                <w:highlight w:val="none"/>
                <w:u w:val="none"/>
              </w:rPr>
              <w:t>KJ201906</w:t>
            </w:r>
            <w:r>
              <w:rPr>
                <w:rFonts w:hint="eastAsia" w:ascii="宋体" w:hAnsi="宋体" w:cs="宋体"/>
                <w:color w:val="auto"/>
                <w:szCs w:val="21"/>
                <w:highlight w:val="none"/>
                <w:u w:val="none"/>
                <w:lang w:eastAsia="zh-CN"/>
              </w:rPr>
              <w:t>）</w:t>
            </w:r>
          </w:p>
        </w:tc>
        <w:tc>
          <w:tcPr>
            <w:tcW w:w="1878" w:type="pct"/>
            <w:tcBorders>
              <w:top w:val="single" w:color="000000" w:sz="4" w:space="0"/>
              <w:left w:val="single" w:color="000000" w:sz="4" w:space="0"/>
              <w:bottom w:val="single" w:color="000000" w:sz="4" w:space="0"/>
              <w:right w:val="single" w:color="000000" w:sz="8" w:space="0"/>
            </w:tcBorders>
            <w:noWrap w:val="0"/>
            <w:vAlign w:val="center"/>
          </w:tcPr>
          <w:p w14:paraId="2A7D9E64">
            <w:pPr>
              <w:widowControl/>
              <w:spacing w:line="240" w:lineRule="auto"/>
              <w:jc w:val="left"/>
              <w:rPr>
                <w:rFonts w:ascii="宋体" w:hAnsi="宋体" w:cs="宋体"/>
                <w:color w:val="auto"/>
                <w:szCs w:val="21"/>
                <w:highlight w:val="none"/>
                <w:u w:val="none"/>
              </w:rPr>
            </w:pPr>
            <w:r>
              <w:rPr>
                <w:rFonts w:hint="eastAsia" w:ascii="宋体" w:hAnsi="宋体" w:cs="宋体"/>
                <w:color w:val="auto"/>
                <w:szCs w:val="21"/>
                <w:highlight w:val="none"/>
                <w:u w:val="none"/>
              </w:rPr>
              <w:t>生乳、巴氏杀菌乳、灭菌乳、猪肉、猪肝、猪肾中洛美沙星、培氟沙星、氧氟沙星、诺氟沙星、达氟沙星、二氟沙星、恩诺沙星、环丙沙星、氟甲喹、噁喹酸为3μg/kg</w:t>
            </w:r>
          </w:p>
        </w:tc>
      </w:tr>
      <w:tr w14:paraId="6F114433">
        <w:tblPrEx>
          <w:tblCellMar>
            <w:top w:w="0" w:type="dxa"/>
            <w:left w:w="108" w:type="dxa"/>
            <w:bottom w:w="0" w:type="dxa"/>
            <w:right w:w="108" w:type="dxa"/>
          </w:tblCellMar>
        </w:tblPrEx>
        <w:tc>
          <w:tcPr>
            <w:tcW w:w="379" w:type="pct"/>
            <w:tcBorders>
              <w:top w:val="single" w:color="000000" w:sz="4" w:space="0"/>
              <w:left w:val="single" w:color="000000" w:sz="8" w:space="0"/>
              <w:bottom w:val="single" w:color="000000" w:sz="4" w:space="0"/>
              <w:right w:val="single" w:color="000000" w:sz="4" w:space="0"/>
            </w:tcBorders>
            <w:noWrap w:val="0"/>
            <w:vAlign w:val="center"/>
          </w:tcPr>
          <w:p w14:paraId="44CA0E03">
            <w:pPr>
              <w:widowControl/>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15</w:t>
            </w:r>
          </w:p>
        </w:tc>
        <w:tc>
          <w:tcPr>
            <w:tcW w:w="710" w:type="pct"/>
            <w:tcBorders>
              <w:top w:val="single" w:color="000000" w:sz="4" w:space="0"/>
              <w:left w:val="single" w:color="000000" w:sz="4" w:space="0"/>
              <w:bottom w:val="single" w:color="000000" w:sz="4" w:space="0"/>
              <w:right w:val="single" w:color="000000" w:sz="4" w:space="0"/>
            </w:tcBorders>
            <w:noWrap w:val="0"/>
            <w:vAlign w:val="center"/>
          </w:tcPr>
          <w:p w14:paraId="6467461A">
            <w:pPr>
              <w:widowControl/>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三聚氰胺</w:t>
            </w:r>
          </w:p>
        </w:tc>
        <w:tc>
          <w:tcPr>
            <w:tcW w:w="2032" w:type="pct"/>
            <w:tcBorders>
              <w:top w:val="single" w:color="000000" w:sz="4" w:space="0"/>
              <w:left w:val="single" w:color="000000" w:sz="4" w:space="0"/>
              <w:bottom w:val="single" w:color="000000" w:sz="4" w:space="0"/>
              <w:right w:val="single" w:color="000000" w:sz="4" w:space="0"/>
            </w:tcBorders>
            <w:noWrap w:val="0"/>
            <w:vAlign w:val="center"/>
          </w:tcPr>
          <w:p w14:paraId="6BBADA76">
            <w:pPr>
              <w:widowControl/>
              <w:spacing w:line="240" w:lineRule="auto"/>
              <w:jc w:val="left"/>
              <w:rPr>
                <w:rFonts w:ascii="宋体" w:hAnsi="宋体" w:cs="宋体"/>
                <w:color w:val="auto"/>
                <w:szCs w:val="21"/>
                <w:highlight w:val="none"/>
                <w:u w:val="none"/>
              </w:rPr>
            </w:pPr>
            <w:r>
              <w:rPr>
                <w:rFonts w:hint="eastAsia" w:ascii="宋体" w:hAnsi="宋体" w:cs="宋体"/>
                <w:color w:val="auto"/>
                <w:szCs w:val="21"/>
                <w:highlight w:val="none"/>
                <w:u w:val="none"/>
              </w:rPr>
              <w:t>液体乳中三聚氰胺的快速检测 胶体金免疫层析法</w:t>
            </w:r>
            <w:r>
              <w:rPr>
                <w:rFonts w:hint="eastAsia" w:ascii="宋体" w:hAnsi="宋体" w:cs="宋体"/>
                <w:color w:val="auto"/>
                <w:szCs w:val="21"/>
                <w:highlight w:val="none"/>
                <w:u w:val="none"/>
                <w:lang w:eastAsia="zh-CN"/>
              </w:rPr>
              <w:t>（</w:t>
            </w:r>
            <w:r>
              <w:rPr>
                <w:rFonts w:hint="eastAsia" w:ascii="宋体" w:hAnsi="宋体" w:cs="宋体"/>
                <w:color w:val="auto"/>
                <w:szCs w:val="21"/>
                <w:highlight w:val="none"/>
                <w:u w:val="none"/>
              </w:rPr>
              <w:t>KJ201907</w:t>
            </w:r>
            <w:r>
              <w:rPr>
                <w:rFonts w:hint="eastAsia" w:ascii="宋体" w:hAnsi="宋体" w:cs="宋体"/>
                <w:color w:val="auto"/>
                <w:szCs w:val="21"/>
                <w:highlight w:val="none"/>
                <w:u w:val="none"/>
                <w:lang w:eastAsia="zh-CN"/>
              </w:rPr>
              <w:t>）</w:t>
            </w:r>
          </w:p>
        </w:tc>
        <w:tc>
          <w:tcPr>
            <w:tcW w:w="1878" w:type="pct"/>
            <w:tcBorders>
              <w:top w:val="single" w:color="000000" w:sz="4" w:space="0"/>
              <w:left w:val="single" w:color="000000" w:sz="4" w:space="0"/>
              <w:bottom w:val="single" w:color="000000" w:sz="4" w:space="0"/>
              <w:right w:val="single" w:color="000000" w:sz="8" w:space="0"/>
            </w:tcBorders>
            <w:noWrap w:val="0"/>
            <w:vAlign w:val="center"/>
          </w:tcPr>
          <w:p w14:paraId="134F3534">
            <w:pPr>
              <w:widowControl/>
              <w:spacing w:line="240" w:lineRule="auto"/>
              <w:jc w:val="left"/>
              <w:rPr>
                <w:rFonts w:ascii="宋体" w:hAnsi="宋体" w:cs="宋体"/>
                <w:color w:val="auto"/>
                <w:szCs w:val="21"/>
                <w:highlight w:val="none"/>
                <w:u w:val="none"/>
              </w:rPr>
            </w:pPr>
            <w:r>
              <w:rPr>
                <w:rFonts w:hint="eastAsia" w:ascii="宋体" w:hAnsi="宋体" w:cs="宋体"/>
                <w:color w:val="auto"/>
                <w:szCs w:val="21"/>
                <w:highlight w:val="none"/>
                <w:u w:val="none"/>
              </w:rPr>
              <w:t>2.5mg/kg</w:t>
            </w:r>
          </w:p>
        </w:tc>
      </w:tr>
      <w:tr w14:paraId="6A450A43">
        <w:tblPrEx>
          <w:tblCellMar>
            <w:top w:w="0" w:type="dxa"/>
            <w:left w:w="108" w:type="dxa"/>
            <w:bottom w:w="0" w:type="dxa"/>
            <w:right w:w="108" w:type="dxa"/>
          </w:tblCellMar>
        </w:tblPrEx>
        <w:tc>
          <w:tcPr>
            <w:tcW w:w="379" w:type="pct"/>
            <w:tcBorders>
              <w:top w:val="single" w:color="000000" w:sz="4" w:space="0"/>
              <w:left w:val="single" w:color="000000" w:sz="8" w:space="0"/>
              <w:bottom w:val="single" w:color="000000" w:sz="4" w:space="0"/>
              <w:right w:val="single" w:color="000000" w:sz="4" w:space="0"/>
            </w:tcBorders>
            <w:noWrap w:val="0"/>
            <w:vAlign w:val="center"/>
          </w:tcPr>
          <w:p w14:paraId="6ED9655B">
            <w:pPr>
              <w:widowControl/>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16</w:t>
            </w:r>
          </w:p>
        </w:tc>
        <w:tc>
          <w:tcPr>
            <w:tcW w:w="710" w:type="pct"/>
            <w:tcBorders>
              <w:top w:val="single" w:color="000000" w:sz="4" w:space="0"/>
              <w:left w:val="single" w:color="000000" w:sz="4" w:space="0"/>
              <w:bottom w:val="single" w:color="000000" w:sz="4" w:space="0"/>
              <w:right w:val="single" w:color="000000" w:sz="4" w:space="0"/>
            </w:tcBorders>
            <w:noWrap w:val="0"/>
            <w:vAlign w:val="center"/>
          </w:tcPr>
          <w:p w14:paraId="2FEF3362">
            <w:pPr>
              <w:widowControl/>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硼砂</w:t>
            </w:r>
          </w:p>
        </w:tc>
        <w:tc>
          <w:tcPr>
            <w:tcW w:w="2032" w:type="pct"/>
            <w:tcBorders>
              <w:top w:val="single" w:color="000000" w:sz="4" w:space="0"/>
              <w:left w:val="single" w:color="000000" w:sz="4" w:space="0"/>
              <w:bottom w:val="single" w:color="000000" w:sz="4" w:space="0"/>
              <w:right w:val="single" w:color="000000" w:sz="4" w:space="0"/>
            </w:tcBorders>
            <w:noWrap w:val="0"/>
            <w:vAlign w:val="center"/>
          </w:tcPr>
          <w:p w14:paraId="16DF717F">
            <w:pPr>
              <w:widowControl/>
              <w:spacing w:line="240" w:lineRule="auto"/>
              <w:jc w:val="left"/>
              <w:rPr>
                <w:rFonts w:ascii="宋体" w:hAnsi="宋体" w:cs="宋体"/>
                <w:color w:val="auto"/>
                <w:szCs w:val="21"/>
                <w:highlight w:val="none"/>
                <w:u w:val="none"/>
              </w:rPr>
            </w:pPr>
            <w:r>
              <w:rPr>
                <w:rFonts w:hint="eastAsia" w:ascii="宋体" w:hAnsi="宋体" w:cs="宋体"/>
                <w:color w:val="auto"/>
                <w:szCs w:val="21"/>
                <w:highlight w:val="none"/>
                <w:u w:val="none"/>
              </w:rPr>
              <w:t>食品中硼酸的快速检测 姜黄素比色法（KJ201909）</w:t>
            </w:r>
          </w:p>
        </w:tc>
        <w:tc>
          <w:tcPr>
            <w:tcW w:w="1878" w:type="pct"/>
            <w:tcBorders>
              <w:top w:val="single" w:color="000000" w:sz="4" w:space="0"/>
              <w:left w:val="single" w:color="000000" w:sz="4" w:space="0"/>
              <w:bottom w:val="single" w:color="000000" w:sz="4" w:space="0"/>
              <w:right w:val="single" w:color="000000" w:sz="8" w:space="0"/>
            </w:tcBorders>
            <w:noWrap w:val="0"/>
            <w:vAlign w:val="center"/>
          </w:tcPr>
          <w:p w14:paraId="51CFC1C0">
            <w:pPr>
              <w:widowControl/>
              <w:spacing w:line="240" w:lineRule="auto"/>
              <w:jc w:val="left"/>
              <w:rPr>
                <w:rFonts w:ascii="宋体" w:hAnsi="宋体" w:cs="宋体"/>
                <w:color w:val="auto"/>
                <w:szCs w:val="21"/>
                <w:highlight w:val="none"/>
                <w:u w:val="none"/>
              </w:rPr>
            </w:pPr>
            <w:r>
              <w:rPr>
                <w:rFonts w:hint="eastAsia" w:ascii="宋体" w:hAnsi="宋体" w:cs="宋体"/>
                <w:color w:val="auto"/>
                <w:szCs w:val="21"/>
                <w:highlight w:val="none"/>
                <w:u w:val="none"/>
              </w:rPr>
              <w:t>2.5mg/kg</w:t>
            </w:r>
          </w:p>
        </w:tc>
      </w:tr>
      <w:tr w14:paraId="39A5A1BA">
        <w:tblPrEx>
          <w:tblCellMar>
            <w:top w:w="0" w:type="dxa"/>
            <w:left w:w="108" w:type="dxa"/>
            <w:bottom w:w="0" w:type="dxa"/>
            <w:right w:w="108" w:type="dxa"/>
          </w:tblCellMar>
        </w:tblPrEx>
        <w:tc>
          <w:tcPr>
            <w:tcW w:w="379" w:type="pct"/>
            <w:tcBorders>
              <w:top w:val="single" w:color="000000" w:sz="4" w:space="0"/>
              <w:left w:val="single" w:color="000000" w:sz="8" w:space="0"/>
              <w:bottom w:val="single" w:color="000000" w:sz="4" w:space="0"/>
              <w:right w:val="single" w:color="000000" w:sz="4" w:space="0"/>
            </w:tcBorders>
            <w:noWrap w:val="0"/>
            <w:vAlign w:val="center"/>
          </w:tcPr>
          <w:p w14:paraId="19727415">
            <w:pPr>
              <w:widowControl/>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17</w:t>
            </w:r>
          </w:p>
        </w:tc>
        <w:tc>
          <w:tcPr>
            <w:tcW w:w="710" w:type="pct"/>
            <w:tcBorders>
              <w:top w:val="single" w:color="000000" w:sz="4" w:space="0"/>
              <w:left w:val="single" w:color="000000" w:sz="4" w:space="0"/>
              <w:bottom w:val="single" w:color="000000" w:sz="4" w:space="0"/>
              <w:right w:val="single" w:color="000000" w:sz="4" w:space="0"/>
            </w:tcBorders>
            <w:noWrap w:val="0"/>
            <w:vAlign w:val="center"/>
          </w:tcPr>
          <w:p w14:paraId="72DAC5DF">
            <w:pPr>
              <w:widowControl/>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酸价、过氧化值</w:t>
            </w:r>
          </w:p>
        </w:tc>
        <w:tc>
          <w:tcPr>
            <w:tcW w:w="2032" w:type="pct"/>
            <w:tcBorders>
              <w:top w:val="single" w:color="000000" w:sz="4" w:space="0"/>
              <w:left w:val="single" w:color="000000" w:sz="4" w:space="0"/>
              <w:bottom w:val="single" w:color="000000" w:sz="4" w:space="0"/>
              <w:right w:val="single" w:color="000000" w:sz="4" w:space="0"/>
            </w:tcBorders>
            <w:noWrap w:val="0"/>
            <w:vAlign w:val="center"/>
          </w:tcPr>
          <w:p w14:paraId="1D4CF28A">
            <w:pPr>
              <w:widowControl/>
              <w:spacing w:line="240" w:lineRule="auto"/>
              <w:jc w:val="left"/>
              <w:rPr>
                <w:rFonts w:ascii="宋体" w:hAnsi="宋体" w:cs="宋体"/>
                <w:color w:val="auto"/>
                <w:szCs w:val="21"/>
                <w:highlight w:val="none"/>
                <w:u w:val="none"/>
              </w:rPr>
            </w:pPr>
            <w:r>
              <w:rPr>
                <w:rFonts w:hint="eastAsia" w:ascii="宋体" w:hAnsi="宋体" w:cs="宋体"/>
                <w:color w:val="auto"/>
                <w:szCs w:val="21"/>
                <w:highlight w:val="none"/>
                <w:u w:val="none"/>
              </w:rPr>
              <w:t>食用植物油酸价、过氧化值的快速检测</w:t>
            </w:r>
            <w:r>
              <w:rPr>
                <w:rFonts w:hint="eastAsia" w:ascii="宋体" w:hAnsi="宋体" w:cs="宋体"/>
                <w:color w:val="auto"/>
                <w:szCs w:val="21"/>
                <w:highlight w:val="none"/>
                <w:u w:val="none"/>
                <w:lang w:eastAsia="zh-CN"/>
              </w:rPr>
              <w:t>（</w:t>
            </w:r>
            <w:r>
              <w:rPr>
                <w:rFonts w:hint="eastAsia" w:ascii="宋体" w:hAnsi="宋体" w:cs="宋体"/>
                <w:color w:val="auto"/>
                <w:szCs w:val="21"/>
                <w:highlight w:val="none"/>
                <w:u w:val="none"/>
              </w:rPr>
              <w:t>KJ201911</w:t>
            </w:r>
            <w:r>
              <w:rPr>
                <w:rFonts w:hint="eastAsia" w:ascii="宋体" w:hAnsi="宋体" w:cs="宋体"/>
                <w:color w:val="auto"/>
                <w:szCs w:val="21"/>
                <w:highlight w:val="none"/>
                <w:u w:val="none"/>
                <w:lang w:eastAsia="zh-CN"/>
              </w:rPr>
              <w:t>）</w:t>
            </w:r>
          </w:p>
        </w:tc>
        <w:tc>
          <w:tcPr>
            <w:tcW w:w="1878" w:type="pct"/>
            <w:tcBorders>
              <w:top w:val="single" w:color="000000" w:sz="4" w:space="0"/>
              <w:left w:val="single" w:color="000000" w:sz="4" w:space="0"/>
              <w:bottom w:val="single" w:color="000000" w:sz="4" w:space="0"/>
              <w:right w:val="single" w:color="000000" w:sz="8" w:space="0"/>
            </w:tcBorders>
            <w:noWrap w:val="0"/>
            <w:vAlign w:val="center"/>
          </w:tcPr>
          <w:p w14:paraId="36E115D4">
            <w:pPr>
              <w:widowControl/>
              <w:spacing w:line="240" w:lineRule="auto"/>
              <w:jc w:val="left"/>
              <w:rPr>
                <w:rFonts w:ascii="宋体" w:hAnsi="宋体" w:cs="宋体"/>
                <w:color w:val="auto"/>
                <w:szCs w:val="21"/>
                <w:highlight w:val="none"/>
                <w:u w:val="none"/>
              </w:rPr>
            </w:pPr>
            <w:r>
              <w:rPr>
                <w:rFonts w:hint="eastAsia" w:ascii="宋体" w:hAnsi="宋体" w:cs="宋体"/>
                <w:color w:val="auto"/>
                <w:szCs w:val="21"/>
                <w:highlight w:val="none"/>
                <w:u w:val="none"/>
              </w:rPr>
              <w:t>显色法：酸价：食用植物油3mgKOH/g，煎炸过程中的食用植物油5mgKOH/g；过氧化值：0.25g/100g</w:t>
            </w:r>
          </w:p>
          <w:p w14:paraId="6322FE13">
            <w:pPr>
              <w:widowControl/>
              <w:spacing w:line="240" w:lineRule="auto"/>
              <w:jc w:val="left"/>
              <w:rPr>
                <w:rFonts w:ascii="宋体" w:hAnsi="宋体" w:cs="宋体"/>
                <w:color w:val="auto"/>
                <w:szCs w:val="21"/>
                <w:highlight w:val="none"/>
                <w:u w:val="none"/>
              </w:rPr>
            </w:pPr>
            <w:r>
              <w:rPr>
                <w:rFonts w:hint="eastAsia" w:ascii="宋体" w:hAnsi="宋体" w:cs="宋体"/>
                <w:color w:val="auto"/>
                <w:szCs w:val="21"/>
                <w:highlight w:val="none"/>
                <w:u w:val="none"/>
              </w:rPr>
              <w:t>试纸比色法：酸价0.3 mg/g，过氧化值0.06 g/100g</w:t>
            </w:r>
          </w:p>
        </w:tc>
      </w:tr>
      <w:tr w14:paraId="48360CF8">
        <w:tblPrEx>
          <w:tblCellMar>
            <w:top w:w="0" w:type="dxa"/>
            <w:left w:w="108" w:type="dxa"/>
            <w:bottom w:w="0" w:type="dxa"/>
            <w:right w:w="108" w:type="dxa"/>
          </w:tblCellMar>
        </w:tblPrEx>
        <w:tc>
          <w:tcPr>
            <w:tcW w:w="379" w:type="pct"/>
            <w:tcBorders>
              <w:top w:val="single" w:color="000000" w:sz="4" w:space="0"/>
              <w:left w:val="single" w:color="000000" w:sz="8" w:space="0"/>
              <w:bottom w:val="single" w:color="000000" w:sz="4" w:space="0"/>
              <w:right w:val="single" w:color="000000" w:sz="4" w:space="0"/>
            </w:tcBorders>
            <w:noWrap w:val="0"/>
            <w:vAlign w:val="center"/>
          </w:tcPr>
          <w:p w14:paraId="359BA192">
            <w:pPr>
              <w:widowControl/>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18</w:t>
            </w:r>
          </w:p>
        </w:tc>
        <w:tc>
          <w:tcPr>
            <w:tcW w:w="710" w:type="pct"/>
            <w:tcBorders>
              <w:top w:val="single" w:color="000000" w:sz="4" w:space="0"/>
              <w:left w:val="single" w:color="000000" w:sz="4" w:space="0"/>
              <w:bottom w:val="single" w:color="000000" w:sz="4" w:space="0"/>
              <w:right w:val="single" w:color="000000" w:sz="4" w:space="0"/>
            </w:tcBorders>
            <w:noWrap w:val="0"/>
            <w:vAlign w:val="center"/>
          </w:tcPr>
          <w:p w14:paraId="5D866867">
            <w:pPr>
              <w:widowControl/>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甲醇</w:t>
            </w:r>
          </w:p>
        </w:tc>
        <w:tc>
          <w:tcPr>
            <w:tcW w:w="2032" w:type="pct"/>
            <w:tcBorders>
              <w:top w:val="single" w:color="000000" w:sz="4" w:space="0"/>
              <w:left w:val="single" w:color="000000" w:sz="4" w:space="0"/>
              <w:bottom w:val="single" w:color="000000" w:sz="4" w:space="0"/>
              <w:right w:val="single" w:color="000000" w:sz="4" w:space="0"/>
            </w:tcBorders>
            <w:noWrap w:val="0"/>
            <w:vAlign w:val="center"/>
          </w:tcPr>
          <w:p w14:paraId="027D4C3C">
            <w:pPr>
              <w:widowControl/>
              <w:spacing w:line="240" w:lineRule="auto"/>
              <w:jc w:val="left"/>
              <w:rPr>
                <w:rFonts w:ascii="宋体" w:hAnsi="宋体" w:cs="宋体"/>
                <w:color w:val="auto"/>
                <w:szCs w:val="21"/>
                <w:highlight w:val="none"/>
                <w:u w:val="none"/>
              </w:rPr>
            </w:pPr>
            <w:r>
              <w:rPr>
                <w:rFonts w:hint="eastAsia" w:ascii="宋体" w:hAnsi="宋体" w:cs="宋体"/>
                <w:color w:val="auto"/>
                <w:szCs w:val="21"/>
                <w:highlight w:val="none"/>
                <w:u w:val="none"/>
              </w:rPr>
              <w:t>白酒中甲醇的快速检测（KJ201912）</w:t>
            </w:r>
          </w:p>
        </w:tc>
        <w:tc>
          <w:tcPr>
            <w:tcW w:w="1878" w:type="pct"/>
            <w:tcBorders>
              <w:top w:val="single" w:color="000000" w:sz="4" w:space="0"/>
              <w:left w:val="single" w:color="000000" w:sz="4" w:space="0"/>
              <w:bottom w:val="single" w:color="000000" w:sz="4" w:space="0"/>
              <w:right w:val="single" w:color="000000" w:sz="8" w:space="0"/>
            </w:tcBorders>
            <w:noWrap w:val="0"/>
            <w:vAlign w:val="center"/>
          </w:tcPr>
          <w:p w14:paraId="737A3CA1">
            <w:pPr>
              <w:widowControl/>
              <w:spacing w:line="240" w:lineRule="auto"/>
              <w:jc w:val="left"/>
              <w:rPr>
                <w:rFonts w:ascii="宋体" w:hAnsi="宋体" w:cs="宋体"/>
                <w:color w:val="auto"/>
                <w:szCs w:val="21"/>
                <w:highlight w:val="none"/>
                <w:u w:val="none"/>
              </w:rPr>
            </w:pPr>
            <w:r>
              <w:rPr>
                <w:rFonts w:hint="eastAsia" w:ascii="宋体" w:hAnsi="宋体" w:cs="宋体"/>
                <w:color w:val="auto"/>
                <w:szCs w:val="21"/>
                <w:highlight w:val="none"/>
                <w:u w:val="none"/>
              </w:rPr>
              <w:t>变色酸法：0.4g/L（以100%酒精度计）</w:t>
            </w:r>
          </w:p>
          <w:p w14:paraId="7E7BE7CF">
            <w:pPr>
              <w:widowControl/>
              <w:spacing w:line="240" w:lineRule="auto"/>
              <w:jc w:val="left"/>
              <w:rPr>
                <w:rFonts w:ascii="宋体" w:hAnsi="宋体" w:cs="宋体"/>
                <w:color w:val="auto"/>
                <w:szCs w:val="21"/>
                <w:highlight w:val="none"/>
                <w:u w:val="none"/>
              </w:rPr>
            </w:pPr>
            <w:r>
              <w:rPr>
                <w:rFonts w:hint="eastAsia" w:ascii="宋体" w:hAnsi="宋体" w:cs="宋体"/>
                <w:color w:val="auto"/>
                <w:szCs w:val="21"/>
                <w:highlight w:val="none"/>
                <w:u w:val="none"/>
              </w:rPr>
              <w:t>乙酰丙酮法：0.6g/L（以100%酒精度计）</w:t>
            </w:r>
          </w:p>
        </w:tc>
      </w:tr>
      <w:tr w14:paraId="699E5A3E">
        <w:tblPrEx>
          <w:tblCellMar>
            <w:top w:w="0" w:type="dxa"/>
            <w:left w:w="108" w:type="dxa"/>
            <w:bottom w:w="0" w:type="dxa"/>
            <w:right w:w="108" w:type="dxa"/>
          </w:tblCellMar>
        </w:tblPrEx>
        <w:tc>
          <w:tcPr>
            <w:tcW w:w="379" w:type="pct"/>
            <w:tcBorders>
              <w:top w:val="single" w:color="000000" w:sz="4" w:space="0"/>
              <w:left w:val="single" w:color="000000" w:sz="8" w:space="0"/>
              <w:bottom w:val="single" w:color="000000" w:sz="4" w:space="0"/>
              <w:right w:val="single" w:color="000000" w:sz="4" w:space="0"/>
            </w:tcBorders>
            <w:noWrap w:val="0"/>
            <w:vAlign w:val="center"/>
          </w:tcPr>
          <w:p w14:paraId="7D96E3E8">
            <w:pPr>
              <w:widowControl/>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19</w:t>
            </w:r>
          </w:p>
        </w:tc>
        <w:tc>
          <w:tcPr>
            <w:tcW w:w="710" w:type="pct"/>
            <w:tcBorders>
              <w:top w:val="single" w:color="000000" w:sz="4" w:space="0"/>
              <w:left w:val="single" w:color="000000" w:sz="4" w:space="0"/>
              <w:bottom w:val="single" w:color="000000" w:sz="4" w:space="0"/>
              <w:right w:val="single" w:color="000000" w:sz="4" w:space="0"/>
            </w:tcBorders>
            <w:noWrap w:val="0"/>
            <w:vAlign w:val="center"/>
          </w:tcPr>
          <w:p w14:paraId="55FC012E">
            <w:pPr>
              <w:widowControl/>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玉米赤霉烯酮</w:t>
            </w:r>
          </w:p>
        </w:tc>
        <w:tc>
          <w:tcPr>
            <w:tcW w:w="2032" w:type="pct"/>
            <w:tcBorders>
              <w:top w:val="single" w:color="000000" w:sz="4" w:space="0"/>
              <w:left w:val="single" w:color="000000" w:sz="4" w:space="0"/>
              <w:bottom w:val="single" w:color="000000" w:sz="4" w:space="0"/>
              <w:right w:val="single" w:color="000000" w:sz="4" w:space="0"/>
            </w:tcBorders>
            <w:noWrap w:val="0"/>
            <w:vAlign w:val="center"/>
          </w:tcPr>
          <w:p w14:paraId="4DFDA954">
            <w:pPr>
              <w:widowControl/>
              <w:spacing w:line="240" w:lineRule="auto"/>
              <w:jc w:val="left"/>
              <w:rPr>
                <w:rFonts w:ascii="宋体" w:hAnsi="宋体" w:cs="宋体"/>
                <w:color w:val="auto"/>
                <w:szCs w:val="21"/>
                <w:highlight w:val="none"/>
                <w:u w:val="none"/>
              </w:rPr>
            </w:pPr>
            <w:r>
              <w:rPr>
                <w:rFonts w:hint="eastAsia" w:ascii="宋体" w:hAnsi="宋体" w:cs="宋体"/>
                <w:color w:val="auto"/>
                <w:szCs w:val="21"/>
                <w:highlight w:val="none"/>
                <w:u w:val="none"/>
              </w:rPr>
              <w:t>食品中玉米赤霉烯酮快速检测 胶体金免疫层析法</w:t>
            </w:r>
            <w:r>
              <w:rPr>
                <w:rFonts w:hint="eastAsia" w:ascii="宋体" w:hAnsi="宋体" w:cs="宋体"/>
                <w:color w:val="auto"/>
                <w:szCs w:val="21"/>
                <w:highlight w:val="none"/>
                <w:u w:val="none"/>
                <w:lang w:eastAsia="zh-CN"/>
              </w:rPr>
              <w:t>（</w:t>
            </w:r>
            <w:r>
              <w:rPr>
                <w:rFonts w:hint="eastAsia" w:ascii="宋体" w:hAnsi="宋体" w:cs="宋体"/>
                <w:color w:val="auto"/>
                <w:szCs w:val="21"/>
                <w:highlight w:val="none"/>
                <w:u w:val="none"/>
              </w:rPr>
              <w:t>KJ201913</w:t>
            </w:r>
            <w:r>
              <w:rPr>
                <w:rFonts w:hint="eastAsia" w:ascii="宋体" w:hAnsi="宋体" w:cs="宋体"/>
                <w:color w:val="auto"/>
                <w:szCs w:val="21"/>
                <w:highlight w:val="none"/>
                <w:u w:val="none"/>
                <w:lang w:eastAsia="zh-CN"/>
              </w:rPr>
              <w:t>）</w:t>
            </w:r>
          </w:p>
        </w:tc>
        <w:tc>
          <w:tcPr>
            <w:tcW w:w="1878" w:type="pct"/>
            <w:tcBorders>
              <w:top w:val="single" w:color="000000" w:sz="4" w:space="0"/>
              <w:left w:val="single" w:color="000000" w:sz="4" w:space="0"/>
              <w:bottom w:val="single" w:color="000000" w:sz="4" w:space="0"/>
              <w:right w:val="single" w:color="000000" w:sz="8" w:space="0"/>
            </w:tcBorders>
            <w:noWrap w:val="0"/>
            <w:vAlign w:val="center"/>
          </w:tcPr>
          <w:p w14:paraId="01942637">
            <w:pPr>
              <w:widowControl/>
              <w:spacing w:line="240" w:lineRule="auto"/>
              <w:jc w:val="left"/>
              <w:rPr>
                <w:rFonts w:ascii="宋体" w:hAnsi="宋体" w:cs="宋体"/>
                <w:color w:val="auto"/>
                <w:szCs w:val="21"/>
                <w:highlight w:val="none"/>
                <w:u w:val="none"/>
              </w:rPr>
            </w:pPr>
            <w:r>
              <w:rPr>
                <w:rFonts w:hint="eastAsia" w:ascii="宋体" w:hAnsi="宋体" w:cs="宋体"/>
                <w:color w:val="auto"/>
                <w:szCs w:val="21"/>
                <w:highlight w:val="none"/>
                <w:u w:val="none"/>
              </w:rPr>
              <w:t>60μg/kg</w:t>
            </w:r>
          </w:p>
        </w:tc>
      </w:tr>
      <w:tr w14:paraId="319E74A0">
        <w:tblPrEx>
          <w:tblCellMar>
            <w:top w:w="0" w:type="dxa"/>
            <w:left w:w="108" w:type="dxa"/>
            <w:bottom w:w="0" w:type="dxa"/>
            <w:right w:w="108" w:type="dxa"/>
          </w:tblCellMar>
        </w:tblPrEx>
        <w:tc>
          <w:tcPr>
            <w:tcW w:w="379" w:type="pct"/>
            <w:tcBorders>
              <w:top w:val="single" w:color="000000" w:sz="4" w:space="0"/>
              <w:left w:val="single" w:color="000000" w:sz="8" w:space="0"/>
              <w:bottom w:val="single" w:color="000000" w:sz="4" w:space="0"/>
              <w:right w:val="single" w:color="000000" w:sz="4" w:space="0"/>
            </w:tcBorders>
            <w:noWrap w:val="0"/>
            <w:vAlign w:val="center"/>
          </w:tcPr>
          <w:p w14:paraId="0D96051B">
            <w:pPr>
              <w:widowControl/>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20</w:t>
            </w:r>
          </w:p>
        </w:tc>
        <w:tc>
          <w:tcPr>
            <w:tcW w:w="710" w:type="pct"/>
            <w:tcBorders>
              <w:top w:val="single" w:color="000000" w:sz="4" w:space="0"/>
              <w:left w:val="single" w:color="000000" w:sz="4" w:space="0"/>
              <w:bottom w:val="single" w:color="000000" w:sz="4" w:space="0"/>
              <w:right w:val="single" w:color="000000" w:sz="4" w:space="0"/>
            </w:tcBorders>
            <w:noWrap w:val="0"/>
            <w:vAlign w:val="center"/>
          </w:tcPr>
          <w:p w14:paraId="56EF99D9">
            <w:pPr>
              <w:widowControl/>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赭曲霉毒素A</w:t>
            </w:r>
          </w:p>
        </w:tc>
        <w:tc>
          <w:tcPr>
            <w:tcW w:w="2032" w:type="pct"/>
            <w:tcBorders>
              <w:top w:val="single" w:color="000000" w:sz="4" w:space="0"/>
              <w:left w:val="single" w:color="000000" w:sz="4" w:space="0"/>
              <w:bottom w:val="single" w:color="000000" w:sz="4" w:space="0"/>
              <w:right w:val="single" w:color="000000" w:sz="4" w:space="0"/>
            </w:tcBorders>
            <w:noWrap w:val="0"/>
            <w:vAlign w:val="center"/>
          </w:tcPr>
          <w:p w14:paraId="2FB0610C">
            <w:pPr>
              <w:widowControl/>
              <w:spacing w:line="240" w:lineRule="auto"/>
              <w:jc w:val="left"/>
              <w:rPr>
                <w:rFonts w:ascii="宋体" w:hAnsi="宋体" w:cs="宋体"/>
                <w:color w:val="auto"/>
                <w:szCs w:val="21"/>
                <w:highlight w:val="none"/>
                <w:u w:val="none"/>
              </w:rPr>
            </w:pPr>
            <w:r>
              <w:rPr>
                <w:rFonts w:hint="eastAsia" w:ascii="宋体" w:hAnsi="宋体" w:cs="宋体"/>
                <w:color w:val="auto"/>
                <w:szCs w:val="21"/>
                <w:highlight w:val="none"/>
                <w:u w:val="none"/>
              </w:rPr>
              <w:t>食品中赭曲霉毒素A的快速检测 胶体金免疫层析法（KJ202101）</w:t>
            </w:r>
          </w:p>
        </w:tc>
        <w:tc>
          <w:tcPr>
            <w:tcW w:w="1878" w:type="pct"/>
            <w:tcBorders>
              <w:top w:val="single" w:color="000000" w:sz="4" w:space="0"/>
              <w:left w:val="single" w:color="000000" w:sz="4" w:space="0"/>
              <w:bottom w:val="single" w:color="000000" w:sz="4" w:space="0"/>
              <w:right w:val="single" w:color="000000" w:sz="8" w:space="0"/>
            </w:tcBorders>
            <w:noWrap w:val="0"/>
            <w:vAlign w:val="center"/>
          </w:tcPr>
          <w:p w14:paraId="04F427DC">
            <w:pPr>
              <w:widowControl/>
              <w:spacing w:line="240" w:lineRule="auto"/>
              <w:jc w:val="left"/>
              <w:rPr>
                <w:rFonts w:ascii="宋体" w:hAnsi="宋体" w:cs="宋体"/>
                <w:color w:val="auto"/>
                <w:szCs w:val="21"/>
                <w:highlight w:val="none"/>
                <w:u w:val="none"/>
              </w:rPr>
            </w:pPr>
            <w:r>
              <w:rPr>
                <w:rFonts w:hint="eastAsia" w:ascii="宋体" w:hAnsi="宋体" w:cs="宋体"/>
                <w:color w:val="auto"/>
                <w:szCs w:val="21"/>
                <w:highlight w:val="none"/>
                <w:u w:val="none"/>
              </w:rPr>
              <w:t>谷物为5μg/kg；葡萄酒为2μg/kg；烘焙咖啡豆、焙烤咖啡为5μg/kg；速溶咖啡为10μg/kg</w:t>
            </w:r>
          </w:p>
        </w:tc>
      </w:tr>
      <w:tr w14:paraId="29044E54">
        <w:tblPrEx>
          <w:tblCellMar>
            <w:top w:w="0" w:type="dxa"/>
            <w:left w:w="108" w:type="dxa"/>
            <w:bottom w:w="0" w:type="dxa"/>
            <w:right w:w="108" w:type="dxa"/>
          </w:tblCellMar>
        </w:tblPrEx>
        <w:tc>
          <w:tcPr>
            <w:tcW w:w="379" w:type="pct"/>
            <w:tcBorders>
              <w:top w:val="single" w:color="000000" w:sz="4" w:space="0"/>
              <w:left w:val="single" w:color="000000" w:sz="8" w:space="0"/>
              <w:bottom w:val="single" w:color="000000" w:sz="4" w:space="0"/>
              <w:right w:val="single" w:color="000000" w:sz="4" w:space="0"/>
            </w:tcBorders>
            <w:noWrap w:val="0"/>
            <w:vAlign w:val="center"/>
          </w:tcPr>
          <w:p w14:paraId="0818575E">
            <w:pPr>
              <w:widowControl/>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21</w:t>
            </w:r>
          </w:p>
        </w:tc>
        <w:tc>
          <w:tcPr>
            <w:tcW w:w="710" w:type="pct"/>
            <w:tcBorders>
              <w:top w:val="single" w:color="000000" w:sz="4" w:space="0"/>
              <w:left w:val="single" w:color="000000" w:sz="4" w:space="0"/>
              <w:bottom w:val="single" w:color="000000" w:sz="4" w:space="0"/>
              <w:right w:val="single" w:color="000000" w:sz="4" w:space="0"/>
            </w:tcBorders>
            <w:noWrap w:val="0"/>
            <w:vAlign w:val="center"/>
          </w:tcPr>
          <w:p w14:paraId="01CCE9F3">
            <w:pPr>
              <w:widowControl/>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组胺</w:t>
            </w:r>
          </w:p>
        </w:tc>
        <w:tc>
          <w:tcPr>
            <w:tcW w:w="2032" w:type="pct"/>
            <w:tcBorders>
              <w:top w:val="single" w:color="000000" w:sz="4" w:space="0"/>
              <w:left w:val="single" w:color="000000" w:sz="4" w:space="0"/>
              <w:bottom w:val="single" w:color="000000" w:sz="4" w:space="0"/>
              <w:right w:val="single" w:color="000000" w:sz="4" w:space="0"/>
            </w:tcBorders>
            <w:noWrap w:val="0"/>
            <w:vAlign w:val="center"/>
          </w:tcPr>
          <w:p w14:paraId="1A25996F">
            <w:pPr>
              <w:widowControl/>
              <w:spacing w:line="240" w:lineRule="auto"/>
              <w:jc w:val="left"/>
              <w:rPr>
                <w:rFonts w:ascii="宋体" w:hAnsi="宋体" w:cs="宋体"/>
                <w:color w:val="auto"/>
                <w:szCs w:val="21"/>
                <w:highlight w:val="none"/>
                <w:u w:val="none"/>
              </w:rPr>
            </w:pPr>
            <w:r>
              <w:rPr>
                <w:rFonts w:hint="eastAsia" w:ascii="宋体" w:hAnsi="宋体" w:cs="宋体"/>
                <w:color w:val="auto"/>
                <w:szCs w:val="21"/>
                <w:highlight w:val="none"/>
                <w:u w:val="none"/>
              </w:rPr>
              <w:t>水产品中组胺的快速检测（KJ202102）</w:t>
            </w:r>
          </w:p>
        </w:tc>
        <w:tc>
          <w:tcPr>
            <w:tcW w:w="1878" w:type="pct"/>
            <w:tcBorders>
              <w:top w:val="single" w:color="000000" w:sz="4" w:space="0"/>
              <w:left w:val="single" w:color="000000" w:sz="4" w:space="0"/>
              <w:bottom w:val="single" w:color="000000" w:sz="4" w:space="0"/>
              <w:right w:val="single" w:color="000000" w:sz="8" w:space="0"/>
            </w:tcBorders>
            <w:noWrap w:val="0"/>
            <w:vAlign w:val="center"/>
          </w:tcPr>
          <w:p w14:paraId="534D3CD5">
            <w:pPr>
              <w:widowControl/>
              <w:spacing w:line="240" w:lineRule="auto"/>
              <w:jc w:val="left"/>
              <w:rPr>
                <w:rFonts w:ascii="宋体" w:hAnsi="宋体" w:cs="宋体"/>
                <w:color w:val="auto"/>
                <w:szCs w:val="21"/>
                <w:highlight w:val="none"/>
                <w:u w:val="none"/>
              </w:rPr>
            </w:pPr>
            <w:r>
              <w:rPr>
                <w:rFonts w:hint="eastAsia" w:ascii="宋体" w:hAnsi="宋体" w:cs="宋体"/>
                <w:color w:val="auto"/>
                <w:szCs w:val="21"/>
                <w:highlight w:val="none"/>
                <w:u w:val="none"/>
              </w:rPr>
              <w:t>胶体金免疫层析法：高组胺鱼类400mg/kg，其他海水鱼类200mg/kg</w:t>
            </w:r>
          </w:p>
          <w:p w14:paraId="45157D7B">
            <w:pPr>
              <w:widowControl/>
              <w:spacing w:line="240" w:lineRule="auto"/>
              <w:jc w:val="left"/>
              <w:rPr>
                <w:rFonts w:ascii="宋体" w:hAnsi="宋体" w:cs="宋体"/>
                <w:color w:val="auto"/>
                <w:szCs w:val="21"/>
                <w:highlight w:val="none"/>
                <w:u w:val="none"/>
              </w:rPr>
            </w:pPr>
            <w:r>
              <w:rPr>
                <w:rFonts w:hint="eastAsia" w:ascii="宋体" w:hAnsi="宋体" w:cs="宋体"/>
                <w:color w:val="auto"/>
                <w:szCs w:val="21"/>
                <w:highlight w:val="none"/>
                <w:u w:val="none"/>
              </w:rPr>
              <w:t>偶氮试剂法-比色卡法：200mg/kg</w:t>
            </w:r>
          </w:p>
        </w:tc>
      </w:tr>
      <w:tr w14:paraId="2EA2E751">
        <w:tblPrEx>
          <w:tblCellMar>
            <w:top w:w="0" w:type="dxa"/>
            <w:left w:w="108" w:type="dxa"/>
            <w:bottom w:w="0" w:type="dxa"/>
            <w:right w:w="108" w:type="dxa"/>
          </w:tblCellMar>
        </w:tblPrEx>
        <w:tc>
          <w:tcPr>
            <w:tcW w:w="379" w:type="pct"/>
            <w:tcBorders>
              <w:top w:val="single" w:color="000000" w:sz="4" w:space="0"/>
              <w:left w:val="single" w:color="000000" w:sz="8" w:space="0"/>
              <w:bottom w:val="single" w:color="000000" w:sz="4" w:space="0"/>
              <w:right w:val="single" w:color="000000" w:sz="4" w:space="0"/>
            </w:tcBorders>
            <w:noWrap w:val="0"/>
            <w:vAlign w:val="center"/>
          </w:tcPr>
          <w:p w14:paraId="2CDD7996">
            <w:pPr>
              <w:widowControl/>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22</w:t>
            </w:r>
          </w:p>
        </w:tc>
        <w:tc>
          <w:tcPr>
            <w:tcW w:w="710" w:type="pct"/>
            <w:tcBorders>
              <w:top w:val="single" w:color="000000" w:sz="4" w:space="0"/>
              <w:left w:val="single" w:color="000000" w:sz="4" w:space="0"/>
              <w:bottom w:val="single" w:color="000000" w:sz="4" w:space="0"/>
              <w:right w:val="single" w:color="000000" w:sz="4" w:space="0"/>
            </w:tcBorders>
            <w:noWrap w:val="0"/>
            <w:vAlign w:val="center"/>
          </w:tcPr>
          <w:p w14:paraId="4F0D35E2">
            <w:pPr>
              <w:widowControl/>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辣椒素</w:t>
            </w:r>
          </w:p>
        </w:tc>
        <w:tc>
          <w:tcPr>
            <w:tcW w:w="2032" w:type="pct"/>
            <w:tcBorders>
              <w:top w:val="single" w:color="000000" w:sz="4" w:space="0"/>
              <w:left w:val="single" w:color="000000" w:sz="4" w:space="0"/>
              <w:bottom w:val="single" w:color="000000" w:sz="4" w:space="0"/>
              <w:right w:val="single" w:color="000000" w:sz="4" w:space="0"/>
            </w:tcBorders>
            <w:noWrap w:val="0"/>
            <w:vAlign w:val="center"/>
          </w:tcPr>
          <w:p w14:paraId="46A88FEE">
            <w:pPr>
              <w:widowControl/>
              <w:spacing w:line="240" w:lineRule="auto"/>
              <w:jc w:val="left"/>
              <w:rPr>
                <w:rFonts w:ascii="宋体" w:hAnsi="宋体" w:cs="宋体"/>
                <w:color w:val="auto"/>
                <w:szCs w:val="21"/>
                <w:highlight w:val="none"/>
                <w:u w:val="none"/>
              </w:rPr>
            </w:pPr>
            <w:r>
              <w:rPr>
                <w:rFonts w:hint="eastAsia" w:ascii="宋体" w:hAnsi="宋体" w:cs="宋体"/>
                <w:color w:val="auto"/>
                <w:szCs w:val="21"/>
                <w:highlight w:val="none"/>
                <w:u w:val="none"/>
              </w:rPr>
              <w:t>食用植物油中天然辣椒素的快速检测 荧光免疫层析法（KJ202103）</w:t>
            </w:r>
          </w:p>
        </w:tc>
        <w:tc>
          <w:tcPr>
            <w:tcW w:w="1878" w:type="pct"/>
            <w:tcBorders>
              <w:top w:val="single" w:color="000000" w:sz="4" w:space="0"/>
              <w:left w:val="single" w:color="000000" w:sz="4" w:space="0"/>
              <w:bottom w:val="single" w:color="000000" w:sz="4" w:space="0"/>
              <w:right w:val="single" w:color="000000" w:sz="8" w:space="0"/>
            </w:tcBorders>
            <w:noWrap w:val="0"/>
            <w:vAlign w:val="center"/>
          </w:tcPr>
          <w:p w14:paraId="3075FFE2">
            <w:pPr>
              <w:widowControl/>
              <w:spacing w:line="240" w:lineRule="auto"/>
              <w:jc w:val="left"/>
              <w:rPr>
                <w:rFonts w:ascii="宋体" w:hAnsi="宋体" w:cs="宋体"/>
                <w:color w:val="auto"/>
                <w:szCs w:val="21"/>
                <w:highlight w:val="none"/>
                <w:u w:val="none"/>
              </w:rPr>
            </w:pPr>
            <w:r>
              <w:rPr>
                <w:rFonts w:hint="eastAsia" w:ascii="宋体" w:hAnsi="宋体" w:cs="宋体"/>
                <w:color w:val="auto"/>
                <w:szCs w:val="21"/>
                <w:highlight w:val="none"/>
                <w:u w:val="none"/>
              </w:rPr>
              <w:t>0.4μg/kg</w:t>
            </w:r>
          </w:p>
        </w:tc>
      </w:tr>
      <w:tr w14:paraId="25DD04F9">
        <w:tblPrEx>
          <w:tblCellMar>
            <w:top w:w="0" w:type="dxa"/>
            <w:left w:w="108" w:type="dxa"/>
            <w:bottom w:w="0" w:type="dxa"/>
            <w:right w:w="108" w:type="dxa"/>
          </w:tblCellMar>
        </w:tblPrEx>
        <w:tc>
          <w:tcPr>
            <w:tcW w:w="379" w:type="pct"/>
            <w:tcBorders>
              <w:top w:val="single" w:color="000000" w:sz="4" w:space="0"/>
              <w:left w:val="single" w:color="000000" w:sz="8" w:space="0"/>
              <w:bottom w:val="single" w:color="000000" w:sz="4" w:space="0"/>
              <w:right w:val="single" w:color="000000" w:sz="4" w:space="0"/>
            </w:tcBorders>
            <w:noWrap w:val="0"/>
            <w:vAlign w:val="center"/>
          </w:tcPr>
          <w:p w14:paraId="41D981A6">
            <w:pPr>
              <w:widowControl/>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23</w:t>
            </w:r>
          </w:p>
        </w:tc>
        <w:tc>
          <w:tcPr>
            <w:tcW w:w="710" w:type="pct"/>
            <w:tcBorders>
              <w:top w:val="single" w:color="000000" w:sz="4" w:space="0"/>
              <w:left w:val="single" w:color="000000" w:sz="4" w:space="0"/>
              <w:bottom w:val="single" w:color="000000" w:sz="4" w:space="0"/>
              <w:right w:val="single" w:color="000000" w:sz="4" w:space="0"/>
            </w:tcBorders>
            <w:noWrap w:val="0"/>
            <w:vAlign w:val="center"/>
          </w:tcPr>
          <w:p w14:paraId="05F3C154">
            <w:pPr>
              <w:widowControl/>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明矾</w:t>
            </w:r>
          </w:p>
        </w:tc>
        <w:tc>
          <w:tcPr>
            <w:tcW w:w="2032" w:type="pct"/>
            <w:tcBorders>
              <w:top w:val="single" w:color="000000" w:sz="4" w:space="0"/>
              <w:left w:val="single" w:color="000000" w:sz="4" w:space="0"/>
              <w:bottom w:val="single" w:color="000000" w:sz="4" w:space="0"/>
              <w:right w:val="single" w:color="000000" w:sz="4" w:space="0"/>
            </w:tcBorders>
            <w:noWrap w:val="0"/>
            <w:vAlign w:val="center"/>
          </w:tcPr>
          <w:p w14:paraId="0FA94D86">
            <w:pPr>
              <w:widowControl/>
              <w:spacing w:line="240" w:lineRule="auto"/>
              <w:jc w:val="left"/>
              <w:rPr>
                <w:rFonts w:ascii="宋体" w:hAnsi="宋体" w:cs="宋体"/>
                <w:color w:val="auto"/>
                <w:szCs w:val="21"/>
                <w:highlight w:val="none"/>
                <w:u w:val="none"/>
              </w:rPr>
            </w:pPr>
            <w:r>
              <w:rPr>
                <w:rFonts w:hint="eastAsia" w:ascii="宋体" w:hAnsi="宋体" w:cs="宋体"/>
                <w:color w:val="auto"/>
                <w:szCs w:val="21"/>
                <w:highlight w:val="none"/>
                <w:u w:val="none"/>
              </w:rPr>
              <w:t>面制品中铝残留量的快速检测 比色法（KJ202104）</w:t>
            </w:r>
          </w:p>
        </w:tc>
        <w:tc>
          <w:tcPr>
            <w:tcW w:w="1878" w:type="pct"/>
            <w:tcBorders>
              <w:top w:val="single" w:color="000000" w:sz="4" w:space="0"/>
              <w:left w:val="single" w:color="000000" w:sz="4" w:space="0"/>
              <w:bottom w:val="single" w:color="000000" w:sz="4" w:space="0"/>
              <w:right w:val="single" w:color="000000" w:sz="8" w:space="0"/>
            </w:tcBorders>
            <w:noWrap w:val="0"/>
            <w:vAlign w:val="center"/>
          </w:tcPr>
          <w:p w14:paraId="61E8FDC6">
            <w:pPr>
              <w:widowControl/>
              <w:spacing w:line="240" w:lineRule="auto"/>
              <w:jc w:val="left"/>
              <w:rPr>
                <w:rFonts w:ascii="宋体" w:hAnsi="宋体" w:cs="宋体"/>
                <w:color w:val="auto"/>
                <w:szCs w:val="21"/>
                <w:highlight w:val="none"/>
                <w:u w:val="none"/>
              </w:rPr>
            </w:pPr>
            <w:r>
              <w:rPr>
                <w:rFonts w:hint="eastAsia" w:ascii="宋体" w:hAnsi="宋体" w:cs="宋体"/>
                <w:color w:val="auto"/>
                <w:szCs w:val="21"/>
                <w:highlight w:val="none"/>
                <w:u w:val="none"/>
              </w:rPr>
              <w:t>25mg/kg</w:t>
            </w:r>
          </w:p>
        </w:tc>
      </w:tr>
      <w:tr w14:paraId="6B0B071A">
        <w:tblPrEx>
          <w:tblCellMar>
            <w:top w:w="0" w:type="dxa"/>
            <w:left w:w="108" w:type="dxa"/>
            <w:bottom w:w="0" w:type="dxa"/>
            <w:right w:w="108" w:type="dxa"/>
          </w:tblCellMar>
        </w:tblPrEx>
        <w:tc>
          <w:tcPr>
            <w:tcW w:w="379" w:type="pct"/>
            <w:tcBorders>
              <w:top w:val="single" w:color="000000" w:sz="4" w:space="0"/>
              <w:left w:val="single" w:color="000000" w:sz="8" w:space="0"/>
              <w:bottom w:val="single" w:color="000000" w:sz="4" w:space="0"/>
              <w:right w:val="single" w:color="000000" w:sz="4" w:space="0"/>
            </w:tcBorders>
            <w:noWrap w:val="0"/>
            <w:vAlign w:val="center"/>
          </w:tcPr>
          <w:p w14:paraId="0060574D">
            <w:pPr>
              <w:widowControl/>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24</w:t>
            </w:r>
          </w:p>
        </w:tc>
        <w:tc>
          <w:tcPr>
            <w:tcW w:w="710" w:type="pct"/>
            <w:tcBorders>
              <w:top w:val="single" w:color="000000" w:sz="4" w:space="0"/>
              <w:left w:val="single" w:color="000000" w:sz="4" w:space="0"/>
              <w:bottom w:val="single" w:color="000000" w:sz="4" w:space="0"/>
              <w:right w:val="single" w:color="000000" w:sz="4" w:space="0"/>
            </w:tcBorders>
            <w:noWrap w:val="0"/>
            <w:vAlign w:val="center"/>
          </w:tcPr>
          <w:p w14:paraId="2CF9E1F9">
            <w:pPr>
              <w:widowControl/>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地西泮</w:t>
            </w:r>
          </w:p>
        </w:tc>
        <w:tc>
          <w:tcPr>
            <w:tcW w:w="2032" w:type="pct"/>
            <w:tcBorders>
              <w:top w:val="single" w:color="000000" w:sz="4" w:space="0"/>
              <w:left w:val="single" w:color="000000" w:sz="4" w:space="0"/>
              <w:bottom w:val="single" w:color="000000" w:sz="4" w:space="0"/>
              <w:right w:val="single" w:color="000000" w:sz="4" w:space="0"/>
            </w:tcBorders>
            <w:noWrap w:val="0"/>
            <w:vAlign w:val="center"/>
          </w:tcPr>
          <w:p w14:paraId="637887CB">
            <w:pPr>
              <w:widowControl/>
              <w:spacing w:line="240" w:lineRule="auto"/>
              <w:jc w:val="left"/>
              <w:rPr>
                <w:rFonts w:ascii="宋体" w:hAnsi="宋体" w:cs="宋体"/>
                <w:color w:val="auto"/>
                <w:szCs w:val="21"/>
                <w:highlight w:val="none"/>
                <w:u w:val="none"/>
              </w:rPr>
            </w:pPr>
            <w:r>
              <w:rPr>
                <w:rFonts w:hint="eastAsia" w:ascii="宋体" w:hAnsi="宋体" w:cs="宋体"/>
                <w:color w:val="auto"/>
                <w:szCs w:val="21"/>
                <w:highlight w:val="none"/>
                <w:u w:val="none"/>
              </w:rPr>
              <w:t>水产品中地西泮残留的快速检测 胶体金免疫层析法（KJ202105）</w:t>
            </w:r>
          </w:p>
        </w:tc>
        <w:tc>
          <w:tcPr>
            <w:tcW w:w="1878" w:type="pct"/>
            <w:tcBorders>
              <w:top w:val="single" w:color="000000" w:sz="4" w:space="0"/>
              <w:left w:val="single" w:color="000000" w:sz="4" w:space="0"/>
              <w:bottom w:val="single" w:color="000000" w:sz="4" w:space="0"/>
              <w:right w:val="single" w:color="000000" w:sz="8" w:space="0"/>
            </w:tcBorders>
            <w:noWrap w:val="0"/>
            <w:vAlign w:val="center"/>
          </w:tcPr>
          <w:p w14:paraId="01CAA846">
            <w:pPr>
              <w:widowControl/>
              <w:spacing w:line="240" w:lineRule="auto"/>
              <w:jc w:val="left"/>
              <w:rPr>
                <w:rFonts w:ascii="宋体" w:hAnsi="宋体" w:cs="宋体"/>
                <w:color w:val="auto"/>
                <w:szCs w:val="21"/>
                <w:highlight w:val="none"/>
                <w:u w:val="none"/>
              </w:rPr>
            </w:pPr>
            <w:r>
              <w:rPr>
                <w:rFonts w:hint="eastAsia" w:ascii="宋体" w:hAnsi="宋体" w:cs="宋体"/>
                <w:color w:val="auto"/>
                <w:szCs w:val="21"/>
                <w:highlight w:val="none"/>
                <w:u w:val="none"/>
              </w:rPr>
              <w:t>0.5μg/kg</w:t>
            </w:r>
          </w:p>
        </w:tc>
      </w:tr>
      <w:tr w14:paraId="05A1A1FB">
        <w:tblPrEx>
          <w:tblCellMar>
            <w:top w:w="0" w:type="dxa"/>
            <w:left w:w="108" w:type="dxa"/>
            <w:bottom w:w="0" w:type="dxa"/>
            <w:right w:w="108" w:type="dxa"/>
          </w:tblCellMar>
        </w:tblPrEx>
        <w:tc>
          <w:tcPr>
            <w:tcW w:w="379" w:type="pct"/>
            <w:tcBorders>
              <w:top w:val="single" w:color="000000" w:sz="4" w:space="0"/>
              <w:left w:val="single" w:color="000000" w:sz="8" w:space="0"/>
              <w:bottom w:val="single" w:color="000000" w:sz="4" w:space="0"/>
              <w:right w:val="single" w:color="000000" w:sz="4" w:space="0"/>
            </w:tcBorders>
            <w:noWrap w:val="0"/>
            <w:vAlign w:val="center"/>
          </w:tcPr>
          <w:p w14:paraId="2D2210B0">
            <w:pPr>
              <w:widowControl/>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25</w:t>
            </w:r>
          </w:p>
        </w:tc>
        <w:tc>
          <w:tcPr>
            <w:tcW w:w="710" w:type="pct"/>
            <w:tcBorders>
              <w:top w:val="single" w:color="000000" w:sz="4" w:space="0"/>
              <w:left w:val="single" w:color="000000" w:sz="4" w:space="0"/>
              <w:bottom w:val="single" w:color="000000" w:sz="4" w:space="0"/>
              <w:right w:val="single" w:color="000000" w:sz="4" w:space="0"/>
            </w:tcBorders>
            <w:noWrap w:val="0"/>
            <w:vAlign w:val="center"/>
          </w:tcPr>
          <w:p w14:paraId="665C0873">
            <w:pPr>
              <w:widowControl/>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伏马毒素</w:t>
            </w:r>
          </w:p>
        </w:tc>
        <w:tc>
          <w:tcPr>
            <w:tcW w:w="2032" w:type="pct"/>
            <w:tcBorders>
              <w:top w:val="single" w:color="000000" w:sz="4" w:space="0"/>
              <w:left w:val="single" w:color="000000" w:sz="4" w:space="0"/>
              <w:bottom w:val="single" w:color="000000" w:sz="4" w:space="0"/>
              <w:right w:val="single" w:color="000000" w:sz="4" w:space="0"/>
            </w:tcBorders>
            <w:noWrap w:val="0"/>
            <w:vAlign w:val="center"/>
          </w:tcPr>
          <w:p w14:paraId="2FD7DC19">
            <w:pPr>
              <w:widowControl/>
              <w:spacing w:line="240" w:lineRule="auto"/>
              <w:jc w:val="left"/>
              <w:rPr>
                <w:rFonts w:ascii="宋体" w:hAnsi="宋体" w:cs="宋体"/>
                <w:color w:val="auto"/>
                <w:szCs w:val="21"/>
                <w:highlight w:val="none"/>
                <w:u w:val="none"/>
              </w:rPr>
            </w:pPr>
            <w:r>
              <w:rPr>
                <w:rFonts w:hint="eastAsia" w:ascii="宋体" w:hAnsi="宋体" w:cs="宋体"/>
                <w:color w:val="auto"/>
                <w:szCs w:val="21"/>
                <w:highlight w:val="none"/>
                <w:u w:val="none"/>
              </w:rPr>
              <w:t>玉米及其碾磨加工品中伏马毒素的快速检测 胶体金免疫层析法（KJ202106）</w:t>
            </w:r>
          </w:p>
        </w:tc>
        <w:tc>
          <w:tcPr>
            <w:tcW w:w="1878" w:type="pct"/>
            <w:tcBorders>
              <w:top w:val="single" w:color="000000" w:sz="4" w:space="0"/>
              <w:left w:val="single" w:color="000000" w:sz="4" w:space="0"/>
              <w:bottom w:val="single" w:color="000000" w:sz="4" w:space="0"/>
              <w:right w:val="single" w:color="000000" w:sz="8" w:space="0"/>
            </w:tcBorders>
            <w:noWrap w:val="0"/>
            <w:vAlign w:val="center"/>
          </w:tcPr>
          <w:p w14:paraId="59B427F1">
            <w:pPr>
              <w:widowControl/>
              <w:spacing w:line="240" w:lineRule="auto"/>
              <w:jc w:val="left"/>
              <w:rPr>
                <w:rFonts w:ascii="宋体" w:hAnsi="宋体" w:cs="宋体"/>
                <w:color w:val="auto"/>
                <w:szCs w:val="21"/>
                <w:highlight w:val="none"/>
                <w:u w:val="none"/>
              </w:rPr>
            </w:pPr>
            <w:r>
              <w:rPr>
                <w:rFonts w:hint="eastAsia" w:ascii="宋体" w:hAnsi="宋体" w:cs="宋体"/>
                <w:color w:val="auto"/>
                <w:szCs w:val="21"/>
                <w:highlight w:val="none"/>
                <w:u w:val="none"/>
              </w:rPr>
              <w:t>玉米为4mg/kg；玉米碾磨加工品为2mg/kg</w:t>
            </w:r>
          </w:p>
        </w:tc>
      </w:tr>
      <w:tr w14:paraId="7092B82B">
        <w:tblPrEx>
          <w:tblCellMar>
            <w:top w:w="0" w:type="dxa"/>
            <w:left w:w="108" w:type="dxa"/>
            <w:bottom w:w="0" w:type="dxa"/>
            <w:right w:w="108" w:type="dxa"/>
          </w:tblCellMar>
        </w:tblPrEx>
        <w:tc>
          <w:tcPr>
            <w:tcW w:w="379" w:type="pct"/>
            <w:tcBorders>
              <w:top w:val="single" w:color="000000" w:sz="4" w:space="0"/>
              <w:left w:val="single" w:color="000000" w:sz="8" w:space="0"/>
              <w:bottom w:val="single" w:color="000000" w:sz="8" w:space="0"/>
              <w:right w:val="single" w:color="000000" w:sz="4" w:space="0"/>
            </w:tcBorders>
            <w:noWrap w:val="0"/>
            <w:vAlign w:val="center"/>
          </w:tcPr>
          <w:p w14:paraId="0529065C">
            <w:pPr>
              <w:widowControl/>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26</w:t>
            </w:r>
          </w:p>
        </w:tc>
        <w:tc>
          <w:tcPr>
            <w:tcW w:w="710" w:type="pct"/>
            <w:tcBorders>
              <w:top w:val="single" w:color="000000" w:sz="4" w:space="0"/>
              <w:left w:val="single" w:color="000000" w:sz="4" w:space="0"/>
              <w:bottom w:val="single" w:color="000000" w:sz="8" w:space="0"/>
              <w:right w:val="single" w:color="000000" w:sz="4" w:space="0"/>
            </w:tcBorders>
            <w:noWrap w:val="0"/>
            <w:vAlign w:val="center"/>
          </w:tcPr>
          <w:p w14:paraId="072CD535">
            <w:pPr>
              <w:widowControl/>
              <w:spacing w:line="240" w:lineRule="auto"/>
              <w:jc w:val="center"/>
              <w:rPr>
                <w:rFonts w:ascii="宋体" w:hAnsi="宋体" w:cs="宋体"/>
                <w:color w:val="auto"/>
                <w:szCs w:val="21"/>
                <w:highlight w:val="none"/>
                <w:u w:val="none"/>
              </w:rPr>
            </w:pPr>
            <w:r>
              <w:rPr>
                <w:rFonts w:hint="eastAsia" w:ascii="宋体" w:hAnsi="宋体" w:cs="宋体"/>
                <w:color w:val="auto"/>
                <w:szCs w:val="21"/>
                <w:highlight w:val="none"/>
                <w:u w:val="none"/>
              </w:rPr>
              <w:t>苯并（a）芘</w:t>
            </w:r>
          </w:p>
        </w:tc>
        <w:tc>
          <w:tcPr>
            <w:tcW w:w="2032" w:type="pct"/>
            <w:tcBorders>
              <w:top w:val="single" w:color="000000" w:sz="4" w:space="0"/>
              <w:left w:val="single" w:color="000000" w:sz="4" w:space="0"/>
              <w:bottom w:val="single" w:color="000000" w:sz="8" w:space="0"/>
              <w:right w:val="single" w:color="000000" w:sz="4" w:space="0"/>
            </w:tcBorders>
            <w:noWrap w:val="0"/>
            <w:vAlign w:val="center"/>
          </w:tcPr>
          <w:p w14:paraId="6F9F5988">
            <w:pPr>
              <w:widowControl/>
              <w:spacing w:line="240" w:lineRule="auto"/>
              <w:jc w:val="left"/>
              <w:rPr>
                <w:rFonts w:ascii="宋体" w:hAnsi="宋体" w:cs="宋体"/>
                <w:color w:val="auto"/>
                <w:szCs w:val="21"/>
                <w:highlight w:val="none"/>
                <w:u w:val="none"/>
              </w:rPr>
            </w:pPr>
            <w:r>
              <w:rPr>
                <w:rFonts w:hint="eastAsia" w:ascii="宋体" w:hAnsi="宋体" w:cs="宋体"/>
                <w:color w:val="auto"/>
                <w:szCs w:val="21"/>
                <w:highlight w:val="none"/>
                <w:u w:val="none"/>
              </w:rPr>
              <w:t>食用油中苯并（a）芘的快速检测 胶体金免疫层析法（KJ201910）</w:t>
            </w:r>
          </w:p>
        </w:tc>
        <w:tc>
          <w:tcPr>
            <w:tcW w:w="1878" w:type="pct"/>
            <w:tcBorders>
              <w:top w:val="single" w:color="000000" w:sz="4" w:space="0"/>
              <w:left w:val="single" w:color="000000" w:sz="4" w:space="0"/>
              <w:bottom w:val="single" w:color="000000" w:sz="8" w:space="0"/>
              <w:right w:val="single" w:color="000000" w:sz="8" w:space="0"/>
            </w:tcBorders>
            <w:noWrap w:val="0"/>
            <w:vAlign w:val="center"/>
          </w:tcPr>
          <w:p w14:paraId="25785FCF">
            <w:pPr>
              <w:widowControl/>
              <w:spacing w:line="240" w:lineRule="auto"/>
              <w:jc w:val="left"/>
              <w:rPr>
                <w:rFonts w:ascii="宋体" w:hAnsi="宋体" w:cs="宋体"/>
                <w:color w:val="auto"/>
                <w:szCs w:val="21"/>
                <w:highlight w:val="none"/>
                <w:u w:val="none"/>
              </w:rPr>
            </w:pPr>
            <w:r>
              <w:rPr>
                <w:rFonts w:hint="eastAsia" w:ascii="宋体" w:hAnsi="宋体" w:cs="宋体"/>
                <w:color w:val="auto"/>
                <w:szCs w:val="21"/>
                <w:highlight w:val="none"/>
                <w:u w:val="none"/>
              </w:rPr>
              <w:t>10μg/kg</w:t>
            </w:r>
          </w:p>
        </w:tc>
      </w:tr>
    </w:tbl>
    <w:p w14:paraId="7EE0619F">
      <w:pPr>
        <w:keepNext/>
        <w:keepLines/>
        <w:numPr>
          <w:ilvl w:val="0"/>
          <w:numId w:val="4"/>
        </w:numPr>
        <w:spacing w:line="360" w:lineRule="auto"/>
        <w:outlineLvl w:val="1"/>
        <w:rPr>
          <w:rFonts w:ascii="宋体" w:hAnsi="宋体" w:cs="宋体"/>
          <w:b/>
          <w:color w:val="auto"/>
          <w:szCs w:val="21"/>
          <w:highlight w:val="none"/>
          <w:u w:val="none"/>
        </w:rPr>
      </w:pPr>
      <w:r>
        <w:rPr>
          <w:rFonts w:hint="eastAsia" w:ascii="宋体" w:hAnsi="宋体" w:cs="宋体"/>
          <w:b/>
          <w:color w:val="auto"/>
          <w:szCs w:val="21"/>
          <w:highlight w:val="none"/>
          <w:u w:val="none"/>
        </w:rPr>
        <w:t>快检服务人员要求</w:t>
      </w:r>
    </w:p>
    <w:p w14:paraId="124A8E98">
      <w:pPr>
        <w:spacing w:line="360" w:lineRule="auto"/>
        <w:ind w:firstLine="420"/>
        <w:jc w:val="left"/>
        <w:rPr>
          <w:rFonts w:ascii="宋体" w:hAnsi="宋体" w:cs="宋体"/>
          <w:color w:val="auto"/>
          <w:szCs w:val="21"/>
          <w:highlight w:val="none"/>
          <w:u w:val="none"/>
        </w:rPr>
      </w:pPr>
      <w:r>
        <w:rPr>
          <w:rFonts w:hint="eastAsia" w:ascii="宋体" w:hAnsi="宋体" w:cs="宋体"/>
          <w:color w:val="auto"/>
          <w:szCs w:val="21"/>
          <w:highlight w:val="none"/>
          <w:u w:val="none"/>
          <w:lang w:eastAsia="zh-CN"/>
        </w:rPr>
        <w:t>成交供应商</w:t>
      </w:r>
      <w:r>
        <w:rPr>
          <w:rFonts w:hint="eastAsia" w:ascii="宋体" w:hAnsi="宋体" w:cs="宋体"/>
          <w:color w:val="auto"/>
          <w:szCs w:val="21"/>
          <w:highlight w:val="none"/>
          <w:u w:val="none"/>
        </w:rPr>
        <w:t>需为本项目配备相应</w:t>
      </w:r>
      <w:r>
        <w:rPr>
          <w:rFonts w:hint="eastAsia" w:ascii="宋体" w:hAnsi="宋体" w:cs="宋体"/>
          <w:color w:val="auto"/>
          <w:szCs w:val="21"/>
          <w:highlight w:val="none"/>
          <w:u w:val="none"/>
          <w:lang w:eastAsia="zh-CN"/>
        </w:rPr>
        <w:t>的</w:t>
      </w:r>
      <w:r>
        <w:rPr>
          <w:rFonts w:hint="eastAsia" w:ascii="宋体" w:hAnsi="宋体" w:cs="宋体"/>
          <w:color w:val="auto"/>
          <w:szCs w:val="21"/>
          <w:highlight w:val="none"/>
          <w:u w:val="none"/>
        </w:rPr>
        <w:t>专职快检服务人员（详见快检室</w:t>
      </w:r>
      <w:r>
        <w:rPr>
          <w:rFonts w:hint="eastAsia" w:ascii="宋体" w:hAnsi="宋体" w:cs="宋体"/>
          <w:color w:val="auto"/>
          <w:szCs w:val="21"/>
          <w:highlight w:val="none"/>
          <w:u w:val="none"/>
          <w:lang w:eastAsia="zh-CN"/>
        </w:rPr>
        <w:t>、</w:t>
      </w:r>
      <w:r>
        <w:rPr>
          <w:rFonts w:hint="eastAsia" w:ascii="宋体" w:hAnsi="宋体" w:cs="宋体"/>
          <w:color w:val="auto"/>
          <w:szCs w:val="21"/>
          <w:highlight w:val="none"/>
          <w:u w:val="none"/>
        </w:rPr>
        <w:t>检测批次安排表），负责泰州医药高新区（高港区）1个快检中心，6个分局快检室的快速检测、快检室的日常事务性工作以及配合市场局进行食品安全快检保障工程等工作，具体要求如下：</w:t>
      </w:r>
    </w:p>
    <w:p w14:paraId="35F9C544">
      <w:pPr>
        <w:spacing w:line="360" w:lineRule="auto"/>
        <w:ind w:firstLine="422"/>
        <w:jc w:val="left"/>
        <w:rPr>
          <w:rFonts w:ascii="宋体" w:hAnsi="宋体" w:cs="宋体"/>
          <w:b/>
          <w:bCs/>
          <w:color w:val="auto"/>
          <w:szCs w:val="21"/>
          <w:highlight w:val="none"/>
          <w:u w:val="none"/>
        </w:rPr>
      </w:pPr>
      <w:r>
        <w:rPr>
          <w:rFonts w:hint="eastAsia" w:ascii="宋体" w:hAnsi="宋体" w:cs="宋体"/>
          <w:b/>
          <w:bCs/>
          <w:color w:val="auto"/>
          <w:szCs w:val="21"/>
          <w:highlight w:val="none"/>
          <w:u w:val="none"/>
        </w:rPr>
        <w:t>1.专职快检服务人员要求：</w:t>
      </w:r>
    </w:p>
    <w:p w14:paraId="1D4F9269">
      <w:pPr>
        <w:spacing w:line="360" w:lineRule="auto"/>
        <w:ind w:firstLine="420"/>
        <w:jc w:val="left"/>
        <w:rPr>
          <w:rFonts w:ascii="宋体" w:hAnsi="宋体" w:cs="宋体"/>
          <w:color w:val="auto"/>
          <w:szCs w:val="21"/>
          <w:highlight w:val="none"/>
          <w:u w:val="none"/>
        </w:rPr>
      </w:pPr>
      <w:r>
        <w:rPr>
          <w:rFonts w:hint="eastAsia" w:ascii="宋体" w:hAnsi="宋体" w:cs="宋体"/>
          <w:color w:val="auto"/>
          <w:szCs w:val="21"/>
          <w:highlight w:val="none"/>
          <w:u w:val="none"/>
        </w:rPr>
        <w:t>1）具有食品安全快检相关工作经验；</w:t>
      </w:r>
    </w:p>
    <w:p w14:paraId="0FBC602E">
      <w:pPr>
        <w:spacing w:line="360" w:lineRule="auto"/>
        <w:ind w:firstLine="420"/>
        <w:jc w:val="left"/>
        <w:rPr>
          <w:rFonts w:ascii="宋体" w:hAnsi="宋体" w:cs="宋体"/>
          <w:color w:val="auto"/>
          <w:szCs w:val="21"/>
          <w:highlight w:val="none"/>
          <w:u w:val="none"/>
        </w:rPr>
      </w:pPr>
      <w:r>
        <w:rPr>
          <w:rFonts w:hint="eastAsia" w:ascii="宋体" w:hAnsi="宋体" w:cs="宋体"/>
          <w:color w:val="auto"/>
          <w:szCs w:val="21"/>
          <w:highlight w:val="none"/>
          <w:u w:val="none"/>
        </w:rPr>
        <w:t>2）能熟练操作食品安全快检设备及计算机；</w:t>
      </w:r>
    </w:p>
    <w:p w14:paraId="6039E3C9">
      <w:pPr>
        <w:spacing w:line="360" w:lineRule="auto"/>
        <w:ind w:firstLine="420"/>
        <w:jc w:val="left"/>
        <w:rPr>
          <w:rFonts w:ascii="宋体" w:hAnsi="宋体" w:cs="宋体"/>
          <w:color w:val="auto"/>
          <w:szCs w:val="21"/>
          <w:highlight w:val="none"/>
          <w:u w:val="none"/>
        </w:rPr>
      </w:pPr>
      <w:r>
        <w:rPr>
          <w:rFonts w:hint="eastAsia" w:ascii="宋体" w:hAnsi="宋体" w:cs="宋体"/>
          <w:color w:val="auto"/>
          <w:szCs w:val="21"/>
          <w:highlight w:val="none"/>
          <w:u w:val="none"/>
        </w:rPr>
        <w:t>3）经培训合格后上岗。</w:t>
      </w:r>
    </w:p>
    <w:p w14:paraId="65328401">
      <w:pPr>
        <w:spacing w:line="360" w:lineRule="auto"/>
        <w:ind w:firstLine="422"/>
        <w:jc w:val="left"/>
        <w:rPr>
          <w:rFonts w:ascii="宋体" w:hAnsi="宋体" w:cs="宋体"/>
          <w:b/>
          <w:bCs/>
          <w:color w:val="auto"/>
          <w:szCs w:val="21"/>
          <w:highlight w:val="none"/>
          <w:u w:val="none"/>
        </w:rPr>
      </w:pPr>
      <w:r>
        <w:rPr>
          <w:rFonts w:hint="eastAsia" w:ascii="宋体" w:hAnsi="宋体" w:cs="宋体"/>
          <w:b/>
          <w:bCs/>
          <w:color w:val="auto"/>
          <w:szCs w:val="21"/>
          <w:highlight w:val="none"/>
          <w:u w:val="none"/>
        </w:rPr>
        <w:t>2.技术培训</w:t>
      </w:r>
    </w:p>
    <w:p w14:paraId="28559C82">
      <w:pPr>
        <w:spacing w:line="360" w:lineRule="auto"/>
        <w:ind w:firstLine="420"/>
        <w:jc w:val="left"/>
        <w:rPr>
          <w:rFonts w:ascii="宋体" w:hAnsi="宋体" w:cs="宋体"/>
          <w:color w:val="auto"/>
          <w:szCs w:val="21"/>
          <w:highlight w:val="none"/>
          <w:u w:val="none"/>
        </w:rPr>
      </w:pPr>
      <w:r>
        <w:rPr>
          <w:rFonts w:hint="eastAsia" w:ascii="宋体" w:hAnsi="宋体" w:cs="宋体"/>
          <w:color w:val="auto"/>
          <w:szCs w:val="21"/>
          <w:highlight w:val="none"/>
          <w:u w:val="none"/>
          <w:lang w:eastAsia="zh-CN"/>
        </w:rPr>
        <w:t>成交供应商</w:t>
      </w:r>
      <w:r>
        <w:rPr>
          <w:rFonts w:hint="eastAsia" w:ascii="宋体" w:hAnsi="宋体" w:cs="宋体"/>
          <w:color w:val="auto"/>
          <w:szCs w:val="21"/>
          <w:highlight w:val="none"/>
          <w:u w:val="none"/>
        </w:rPr>
        <w:t>应建立内部培训管理制度，定期组织开展食品安全法律法规、仪器使用与管理、数据处理、质量控制及管理等方面的培训及考核，每年进行不少于</w:t>
      </w:r>
      <w:r>
        <w:rPr>
          <w:rFonts w:hint="eastAsia" w:ascii="宋体" w:hAnsi="宋体" w:cs="宋体"/>
          <w:color w:val="auto"/>
          <w:szCs w:val="21"/>
          <w:highlight w:val="none"/>
          <w:u w:val="none"/>
          <w:lang w:val="en-US" w:eastAsia="zh-CN"/>
        </w:rPr>
        <w:t>1次</w:t>
      </w:r>
      <w:r>
        <w:rPr>
          <w:rFonts w:hint="eastAsia" w:ascii="宋体" w:hAnsi="宋体" w:cs="宋体"/>
          <w:color w:val="auto"/>
          <w:szCs w:val="21"/>
          <w:highlight w:val="none"/>
          <w:u w:val="none"/>
        </w:rPr>
        <w:t>的技术培训。（</w:t>
      </w:r>
      <w:r>
        <w:rPr>
          <w:rFonts w:hint="eastAsia" w:ascii="宋体" w:hAnsi="宋体" w:cs="宋体"/>
          <w:color w:val="auto"/>
          <w:szCs w:val="21"/>
          <w:highlight w:val="none"/>
          <w:u w:val="none"/>
          <w:lang w:eastAsia="zh-CN"/>
        </w:rPr>
        <w:t>成交供应商</w:t>
      </w:r>
      <w:r>
        <w:rPr>
          <w:rFonts w:hint="eastAsia" w:ascii="宋体" w:hAnsi="宋体" w:cs="宋体"/>
          <w:color w:val="auto"/>
          <w:szCs w:val="21"/>
          <w:highlight w:val="none"/>
          <w:u w:val="none"/>
        </w:rPr>
        <w:t>需提供培训记录）。</w:t>
      </w:r>
    </w:p>
    <w:p w14:paraId="52ECF743">
      <w:pPr>
        <w:spacing w:line="360" w:lineRule="auto"/>
        <w:ind w:firstLine="422"/>
        <w:jc w:val="left"/>
        <w:rPr>
          <w:rFonts w:ascii="宋体" w:hAnsi="宋体" w:cs="宋体"/>
          <w:b/>
          <w:bCs/>
          <w:color w:val="auto"/>
          <w:szCs w:val="21"/>
          <w:highlight w:val="none"/>
          <w:u w:val="none"/>
        </w:rPr>
      </w:pPr>
      <w:r>
        <w:rPr>
          <w:rFonts w:hint="eastAsia" w:ascii="宋体" w:hAnsi="宋体" w:cs="宋体"/>
          <w:b/>
          <w:bCs/>
          <w:color w:val="auto"/>
          <w:szCs w:val="21"/>
          <w:highlight w:val="none"/>
          <w:u w:val="none"/>
        </w:rPr>
        <w:t>3.工作纪律</w:t>
      </w:r>
    </w:p>
    <w:p w14:paraId="551070BC">
      <w:pPr>
        <w:spacing w:line="360" w:lineRule="auto"/>
        <w:ind w:firstLine="420"/>
        <w:jc w:val="left"/>
        <w:rPr>
          <w:rFonts w:ascii="宋体" w:hAnsi="宋体" w:cs="宋体"/>
          <w:color w:val="auto"/>
          <w:szCs w:val="21"/>
          <w:highlight w:val="none"/>
          <w:u w:val="none"/>
        </w:rPr>
      </w:pPr>
      <w:r>
        <w:rPr>
          <w:rFonts w:hint="eastAsia" w:ascii="宋体" w:hAnsi="宋体" w:cs="宋体"/>
          <w:color w:val="auto"/>
          <w:szCs w:val="21"/>
          <w:highlight w:val="none"/>
          <w:u w:val="none"/>
          <w:lang w:eastAsia="zh-CN"/>
        </w:rPr>
        <w:t>成交供应商</w:t>
      </w:r>
      <w:r>
        <w:rPr>
          <w:rFonts w:hint="eastAsia" w:ascii="宋体" w:hAnsi="宋体" w:cs="宋体"/>
          <w:color w:val="auto"/>
          <w:szCs w:val="21"/>
          <w:highlight w:val="none"/>
          <w:u w:val="none"/>
        </w:rPr>
        <w:t>及其工作人员不得瞒报、谎报、漏报检验数据，检测工作中形成的数据资料、各项制度、检测仪器说明书、统计报表、计算机软件等相关文件要分门别类，指定专人登记，定期存档。对重要的数据、内部材料等未经审批，不得私自外借或复印。不得擅自发布有关快速检测信息，不得在开展抽样工作前事先通知被抽检单位和接受被抽检单位的馈赠，不得利用抽检结果开展有偿活动、牟取不正当利益。对发现的违法违规施检行为将向有关部门报告。</w:t>
      </w:r>
    </w:p>
    <w:p w14:paraId="2CE28322">
      <w:pPr>
        <w:spacing w:line="360" w:lineRule="auto"/>
        <w:ind w:firstLine="422"/>
        <w:jc w:val="left"/>
        <w:rPr>
          <w:rFonts w:ascii="宋体" w:hAnsi="宋体" w:cs="宋体"/>
          <w:b/>
          <w:bCs/>
          <w:color w:val="auto"/>
          <w:szCs w:val="21"/>
          <w:highlight w:val="none"/>
          <w:u w:val="none"/>
        </w:rPr>
      </w:pPr>
      <w:r>
        <w:rPr>
          <w:rFonts w:hint="eastAsia" w:ascii="宋体" w:hAnsi="宋体" w:cs="宋体"/>
          <w:b/>
          <w:bCs/>
          <w:color w:val="auto"/>
          <w:szCs w:val="21"/>
          <w:highlight w:val="none"/>
          <w:u w:val="none"/>
        </w:rPr>
        <w:t>4.管理制度</w:t>
      </w:r>
    </w:p>
    <w:p w14:paraId="1B38CD75">
      <w:pPr>
        <w:spacing w:line="360" w:lineRule="auto"/>
        <w:ind w:firstLine="420"/>
        <w:rPr>
          <w:rFonts w:ascii="宋体" w:hAnsi="宋体" w:cs="宋体"/>
          <w:color w:val="auto"/>
          <w:szCs w:val="21"/>
          <w:highlight w:val="none"/>
          <w:u w:val="none"/>
        </w:rPr>
      </w:pPr>
      <w:r>
        <w:rPr>
          <w:rFonts w:hint="eastAsia" w:ascii="宋体" w:hAnsi="宋体" w:cs="宋体"/>
          <w:color w:val="auto"/>
          <w:szCs w:val="21"/>
          <w:highlight w:val="none"/>
          <w:u w:val="none"/>
          <w:lang w:eastAsia="zh-CN"/>
        </w:rPr>
        <w:t>成交供应商</w:t>
      </w:r>
      <w:r>
        <w:rPr>
          <w:rFonts w:hint="eastAsia" w:ascii="宋体" w:hAnsi="宋体" w:cs="宋体"/>
          <w:color w:val="auto"/>
          <w:szCs w:val="21"/>
          <w:highlight w:val="none"/>
          <w:u w:val="none"/>
        </w:rPr>
        <w:t>按照本项目目标要求，制定包括人员管理、业务培训、检测规程、检测结果公示</w:t>
      </w:r>
      <w:r>
        <w:rPr>
          <w:rFonts w:hint="eastAsia" w:ascii="宋体" w:hAnsi="宋体" w:cs="宋体"/>
          <w:color w:val="auto"/>
          <w:szCs w:val="21"/>
          <w:highlight w:val="none"/>
          <w:u w:val="none"/>
          <w:lang w:eastAsia="zh-CN"/>
        </w:rPr>
        <w:t>（</w:t>
      </w:r>
      <w:r>
        <w:rPr>
          <w:rFonts w:hint="eastAsia" w:ascii="宋体" w:hAnsi="宋体" w:cs="宋体"/>
          <w:color w:val="auto"/>
          <w:szCs w:val="21"/>
          <w:highlight w:val="none"/>
          <w:u w:val="none"/>
        </w:rPr>
        <w:t>上传</w:t>
      </w:r>
      <w:r>
        <w:rPr>
          <w:rFonts w:hint="eastAsia" w:ascii="宋体" w:hAnsi="宋体" w:cs="宋体"/>
          <w:color w:val="auto"/>
          <w:szCs w:val="21"/>
          <w:highlight w:val="none"/>
          <w:u w:val="none"/>
          <w:lang w:eastAsia="zh-CN"/>
        </w:rPr>
        <w:t>）</w:t>
      </w:r>
      <w:r>
        <w:rPr>
          <w:rFonts w:hint="eastAsia" w:ascii="宋体" w:hAnsi="宋体" w:cs="宋体"/>
          <w:color w:val="auto"/>
          <w:szCs w:val="21"/>
          <w:highlight w:val="none"/>
          <w:u w:val="none"/>
        </w:rPr>
        <w:t>规定、档案管理等的管理制度体系，实现全过程、全方位的规范化管理。管理制度应上墙公示，接受公众监督。</w:t>
      </w:r>
    </w:p>
    <w:p w14:paraId="0C7CAC43">
      <w:pPr>
        <w:keepNext/>
        <w:keepLines/>
        <w:numPr>
          <w:ilvl w:val="0"/>
          <w:numId w:val="4"/>
        </w:numPr>
        <w:spacing w:line="360" w:lineRule="auto"/>
        <w:outlineLvl w:val="1"/>
        <w:rPr>
          <w:rFonts w:ascii="宋体" w:hAnsi="宋体" w:cs="宋体"/>
          <w:b/>
          <w:color w:val="auto"/>
          <w:szCs w:val="21"/>
          <w:highlight w:val="none"/>
          <w:u w:val="none"/>
        </w:rPr>
      </w:pPr>
      <w:r>
        <w:rPr>
          <w:rFonts w:hint="eastAsia" w:ascii="宋体" w:hAnsi="宋体" w:cs="宋体"/>
          <w:b/>
          <w:color w:val="auto"/>
          <w:szCs w:val="21"/>
          <w:highlight w:val="none"/>
          <w:u w:val="none"/>
        </w:rPr>
        <w:t>日常工作要求</w:t>
      </w:r>
    </w:p>
    <w:p w14:paraId="02C32EC4">
      <w:pPr>
        <w:spacing w:line="360" w:lineRule="auto"/>
        <w:ind w:firstLine="422"/>
        <w:rPr>
          <w:rFonts w:ascii="宋体" w:hAnsi="宋体" w:cs="宋体"/>
          <w:b/>
          <w:bCs/>
          <w:color w:val="auto"/>
          <w:szCs w:val="21"/>
          <w:highlight w:val="none"/>
          <w:u w:val="none"/>
        </w:rPr>
      </w:pPr>
      <w:r>
        <w:rPr>
          <w:rFonts w:hint="eastAsia" w:ascii="宋体" w:hAnsi="宋体" w:cs="宋体"/>
          <w:b/>
          <w:bCs/>
          <w:color w:val="auto"/>
          <w:szCs w:val="21"/>
          <w:highlight w:val="none"/>
          <w:u w:val="none"/>
        </w:rPr>
        <w:t>1.快检信息公示和上报</w:t>
      </w:r>
    </w:p>
    <w:p w14:paraId="04E15F47">
      <w:pPr>
        <w:spacing w:line="360" w:lineRule="auto"/>
        <w:ind w:firstLine="420"/>
        <w:rPr>
          <w:rFonts w:ascii="宋体" w:hAnsi="宋体" w:cs="宋体"/>
          <w:color w:val="auto"/>
          <w:szCs w:val="21"/>
          <w:highlight w:val="none"/>
          <w:u w:val="none"/>
        </w:rPr>
      </w:pPr>
      <w:r>
        <w:rPr>
          <w:rFonts w:hint="eastAsia" w:ascii="宋体" w:hAnsi="宋体" w:cs="宋体"/>
          <w:color w:val="auto"/>
          <w:szCs w:val="21"/>
          <w:highlight w:val="none"/>
          <w:u w:val="none"/>
        </w:rPr>
        <w:t>快检服务人员应在指定的食品安全快检室开展检测工作；必须在</w:t>
      </w:r>
      <w:r>
        <w:rPr>
          <w:rFonts w:hint="eastAsia" w:ascii="宋体" w:hAnsi="宋体" w:cs="宋体"/>
          <w:color w:val="auto"/>
          <w:szCs w:val="21"/>
          <w:highlight w:val="none"/>
          <w:u w:val="none"/>
          <w:lang w:eastAsia="zh-CN"/>
        </w:rPr>
        <w:t>当天</w:t>
      </w:r>
      <w:r>
        <w:rPr>
          <w:rFonts w:hint="eastAsia" w:ascii="宋体" w:hAnsi="宋体" w:cs="宋体"/>
          <w:color w:val="auto"/>
          <w:szCs w:val="21"/>
          <w:highlight w:val="none"/>
          <w:u w:val="none"/>
        </w:rPr>
        <w:t>上午完成全部抽样、检测、公示和数据上传等工作；经营者提出抽样送检的，要及时将送检和检验结果等信息补充录入信息系统。</w:t>
      </w:r>
    </w:p>
    <w:p w14:paraId="4D74F266">
      <w:pPr>
        <w:spacing w:line="360" w:lineRule="auto"/>
        <w:ind w:firstLine="422"/>
        <w:rPr>
          <w:rFonts w:ascii="宋体" w:hAnsi="宋体" w:cs="宋体"/>
          <w:b/>
          <w:bCs/>
          <w:color w:val="auto"/>
          <w:szCs w:val="21"/>
          <w:highlight w:val="none"/>
          <w:u w:val="none"/>
        </w:rPr>
      </w:pPr>
      <w:r>
        <w:rPr>
          <w:rFonts w:hint="eastAsia" w:ascii="宋体" w:hAnsi="宋体" w:cs="宋体"/>
          <w:b/>
          <w:bCs/>
          <w:color w:val="auto"/>
          <w:szCs w:val="21"/>
          <w:highlight w:val="none"/>
          <w:u w:val="none"/>
        </w:rPr>
        <w:t>2.后续处理</w:t>
      </w:r>
    </w:p>
    <w:p w14:paraId="3485D8FE">
      <w:pPr>
        <w:spacing w:line="360" w:lineRule="auto"/>
        <w:ind w:firstLine="420"/>
        <w:rPr>
          <w:rFonts w:ascii="宋体" w:hAnsi="宋体" w:cs="宋体"/>
          <w:color w:val="auto"/>
          <w:szCs w:val="21"/>
          <w:highlight w:val="none"/>
          <w:u w:val="none"/>
        </w:rPr>
      </w:pPr>
      <w:r>
        <w:rPr>
          <w:rFonts w:hint="eastAsia" w:ascii="宋体" w:hAnsi="宋体" w:cs="宋体"/>
          <w:color w:val="auto"/>
          <w:szCs w:val="21"/>
          <w:highlight w:val="none"/>
          <w:u w:val="none"/>
        </w:rPr>
        <w:t>对经快检不合格的食品，中标人要协助采购人及时填写《快检不合格结果告知书》，在30分钟内将结果告知采购人，按采购方要求进行处理。对快检结果无异议的，指导、配合市场开办方对快检不合格食用农产品采取下架、销毁或其他无害化处理措施，防止其再次流入市场，并签订《自主承诺下架协议书》，并对现场处置的文件、照片、视频进行留档；对快检结果有异议的，中标人需协助采购人进行法定抽样检验，要求</w:t>
      </w:r>
      <w:r>
        <w:rPr>
          <w:rFonts w:hint="eastAsia" w:ascii="宋体" w:hAnsi="宋体" w:cs="宋体"/>
          <w:color w:val="auto"/>
          <w:szCs w:val="21"/>
          <w:highlight w:val="none"/>
          <w:u w:val="none"/>
          <w:lang w:eastAsia="zh-CN"/>
        </w:rPr>
        <w:t>成交供应商</w:t>
      </w:r>
      <w:r>
        <w:rPr>
          <w:rFonts w:hint="eastAsia" w:ascii="宋体" w:hAnsi="宋体" w:cs="宋体"/>
          <w:color w:val="auto"/>
          <w:szCs w:val="21"/>
          <w:highlight w:val="none"/>
          <w:u w:val="none"/>
        </w:rPr>
        <w:t>具有法检工作经验，以便出现疑似不合格结果时，协助市场监督管理局相关人员第一时间前往现场完成法检抽样以及送检工作；对快检不合格经营者，中标人要协助采购方持续跟踪、加强自检。</w:t>
      </w:r>
    </w:p>
    <w:p w14:paraId="430A2F5A">
      <w:pPr>
        <w:spacing w:line="360" w:lineRule="auto"/>
        <w:ind w:firstLine="422"/>
        <w:rPr>
          <w:rFonts w:ascii="宋体" w:hAnsi="宋体" w:cs="宋体"/>
          <w:b/>
          <w:bCs/>
          <w:color w:val="auto"/>
          <w:szCs w:val="21"/>
          <w:highlight w:val="none"/>
          <w:u w:val="none"/>
        </w:rPr>
      </w:pPr>
      <w:r>
        <w:rPr>
          <w:rFonts w:hint="eastAsia" w:ascii="宋体" w:hAnsi="宋体" w:cs="宋体"/>
          <w:b/>
          <w:bCs/>
          <w:color w:val="auto"/>
          <w:szCs w:val="21"/>
          <w:highlight w:val="none"/>
          <w:u w:val="none"/>
        </w:rPr>
        <w:t>3.档案资料管理</w:t>
      </w:r>
    </w:p>
    <w:p w14:paraId="00751E92">
      <w:pPr>
        <w:spacing w:line="360" w:lineRule="auto"/>
        <w:ind w:firstLine="420"/>
        <w:rPr>
          <w:rFonts w:ascii="宋体" w:hAnsi="宋体" w:cs="宋体"/>
          <w:color w:val="auto"/>
          <w:szCs w:val="21"/>
          <w:highlight w:val="none"/>
          <w:u w:val="none"/>
        </w:rPr>
      </w:pPr>
      <w:r>
        <w:rPr>
          <w:rFonts w:hint="eastAsia" w:ascii="宋体" w:hAnsi="宋体" w:cs="宋体"/>
          <w:color w:val="auto"/>
          <w:szCs w:val="21"/>
          <w:highlight w:val="none"/>
          <w:u w:val="none"/>
        </w:rPr>
        <w:t>中标单位在辖区范围内开展食品快检业务所形成的所有检测数据，归采购单位所有。中标单位应同步进行检测数据物理台账的收集、整理、归档，配合监管部门开展数据的综合分析和其他相关工作。</w:t>
      </w:r>
    </w:p>
    <w:p w14:paraId="000E7B0D">
      <w:pPr>
        <w:keepNext/>
        <w:keepLines/>
        <w:numPr>
          <w:ilvl w:val="0"/>
          <w:numId w:val="4"/>
        </w:numPr>
        <w:spacing w:line="360" w:lineRule="auto"/>
        <w:outlineLvl w:val="1"/>
        <w:rPr>
          <w:rFonts w:ascii="宋体" w:hAnsi="宋体" w:cs="宋体"/>
          <w:b/>
          <w:color w:val="auto"/>
          <w:szCs w:val="21"/>
          <w:highlight w:val="none"/>
          <w:u w:val="none"/>
        </w:rPr>
      </w:pPr>
      <w:r>
        <w:rPr>
          <w:rFonts w:hint="eastAsia" w:ascii="宋体" w:hAnsi="宋体" w:cs="宋体"/>
          <w:b/>
          <w:color w:val="auto"/>
          <w:szCs w:val="21"/>
          <w:highlight w:val="none"/>
          <w:u w:val="none"/>
        </w:rPr>
        <w:t>食品安全活动保障要求</w:t>
      </w:r>
    </w:p>
    <w:p w14:paraId="445C31B0">
      <w:pPr>
        <w:spacing w:line="360" w:lineRule="auto"/>
        <w:ind w:firstLine="420"/>
        <w:jc w:val="left"/>
        <w:rPr>
          <w:rFonts w:ascii="宋体" w:hAnsi="宋体" w:cs="宋体"/>
          <w:color w:val="auto"/>
          <w:szCs w:val="21"/>
          <w:highlight w:val="none"/>
          <w:u w:val="none"/>
        </w:rPr>
      </w:pPr>
      <w:r>
        <w:rPr>
          <w:rFonts w:hint="eastAsia" w:ascii="宋体" w:hAnsi="宋体" w:cs="宋体"/>
          <w:color w:val="auto"/>
          <w:szCs w:val="21"/>
          <w:highlight w:val="none"/>
          <w:u w:val="none"/>
        </w:rPr>
        <w:t>1.食品安全知识培训宣传和技术咨询：快检人员除了完成</w:t>
      </w:r>
      <w:r>
        <w:rPr>
          <w:rFonts w:hint="eastAsia" w:ascii="宋体" w:hAnsi="宋体" w:cs="宋体"/>
          <w:color w:val="auto"/>
          <w:szCs w:val="21"/>
          <w:highlight w:val="none"/>
          <w:u w:val="none"/>
          <w:lang w:eastAsia="zh-CN"/>
        </w:rPr>
        <w:t>日常</w:t>
      </w:r>
      <w:r>
        <w:rPr>
          <w:rFonts w:hint="eastAsia" w:ascii="宋体" w:hAnsi="宋体" w:cs="宋体"/>
          <w:color w:val="auto"/>
          <w:szCs w:val="21"/>
          <w:highlight w:val="none"/>
          <w:u w:val="none"/>
        </w:rPr>
        <w:t>的检测任务之外，还要配合采购单位进行食品安全的宣传活动。制定合理计划，同时进行现场快速检测。</w:t>
      </w:r>
    </w:p>
    <w:p w14:paraId="6ECC9C51">
      <w:pPr>
        <w:spacing w:line="360" w:lineRule="auto"/>
        <w:ind w:firstLine="420"/>
        <w:jc w:val="left"/>
        <w:rPr>
          <w:rFonts w:ascii="宋体" w:hAnsi="宋体" w:cs="宋体"/>
          <w:color w:val="auto"/>
          <w:szCs w:val="21"/>
          <w:highlight w:val="none"/>
          <w:u w:val="none"/>
        </w:rPr>
      </w:pPr>
      <w:r>
        <w:rPr>
          <w:rFonts w:hint="eastAsia" w:ascii="宋体" w:hAnsi="宋体" w:cs="宋体"/>
          <w:color w:val="auto"/>
          <w:szCs w:val="21"/>
          <w:highlight w:val="none"/>
          <w:u w:val="none"/>
        </w:rPr>
        <w:t>2.要求</w:t>
      </w:r>
      <w:r>
        <w:rPr>
          <w:rFonts w:hint="eastAsia" w:ascii="宋体" w:hAnsi="宋体" w:cs="宋体"/>
          <w:color w:val="auto"/>
          <w:szCs w:val="21"/>
          <w:highlight w:val="none"/>
          <w:u w:val="none"/>
          <w:lang w:eastAsia="zh-CN"/>
        </w:rPr>
        <w:t>成交供应商</w:t>
      </w:r>
      <w:r>
        <w:rPr>
          <w:rFonts w:hint="eastAsia" w:ascii="宋体" w:hAnsi="宋体" w:cs="宋体"/>
          <w:color w:val="auto"/>
          <w:szCs w:val="21"/>
          <w:highlight w:val="none"/>
          <w:u w:val="none"/>
        </w:rPr>
        <w:t>自配快检车辆，该车在服务期内专门服务于本项目（食品安全宣传活动、中高考保障活动、食品安全应急保障活动、两会保障活动、你点我检现场活动等时，快检车辆必须到场）检测车应满足检测和宣传要求，至少包括以下设备：检测设备、前处理设备、实验台（可放置检测仪器及进行简单的实验），用于存放储水罐、固/液废物桶、保温箱、采样箱的储物柜、便携式计算机、所需的网络设备及电源设备。</w:t>
      </w:r>
    </w:p>
    <w:p w14:paraId="4374092F">
      <w:pPr>
        <w:pageBreakBefore w:val="0"/>
        <w:spacing w:line="360" w:lineRule="auto"/>
        <w:ind w:firstLine="422"/>
        <w:jc w:val="left"/>
        <w:rPr>
          <w:rFonts w:hint="eastAsia" w:ascii="宋体" w:hAnsi="宋体" w:eastAsia="宋体" w:cs="黑体"/>
          <w:b/>
          <w:color w:val="auto"/>
          <w:szCs w:val="21"/>
          <w:highlight w:val="none"/>
          <w:u w:val="none"/>
        </w:rPr>
      </w:pPr>
      <w:r>
        <w:rPr>
          <w:rFonts w:hint="eastAsia" w:ascii="宋体" w:hAnsi="宋体" w:eastAsia="宋体" w:cs="黑体"/>
          <w:b/>
          <w:color w:val="auto"/>
          <w:szCs w:val="21"/>
          <w:highlight w:val="none"/>
          <w:u w:val="none"/>
        </w:rPr>
        <w:t>四、服务期限</w:t>
      </w:r>
    </w:p>
    <w:p w14:paraId="79B658A7">
      <w:pPr>
        <w:spacing w:line="360" w:lineRule="auto"/>
        <w:ind w:firstLine="420"/>
        <w:jc w:val="left"/>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u w:val="none"/>
        </w:rPr>
        <w:t>合同签订之日起一年，起始时间按照采购人要求开展工作。</w:t>
      </w:r>
    </w:p>
    <w:p w14:paraId="144AC856">
      <w:pPr>
        <w:pageBreakBefore w:val="0"/>
        <w:spacing w:line="360" w:lineRule="auto"/>
        <w:ind w:firstLine="422"/>
        <w:jc w:val="left"/>
        <w:rPr>
          <w:rFonts w:hint="eastAsia" w:ascii="宋体" w:hAnsi="宋体" w:eastAsia="宋体" w:cs="黑体"/>
          <w:b/>
          <w:color w:val="auto"/>
          <w:szCs w:val="21"/>
          <w:highlight w:val="none"/>
          <w:u w:val="none"/>
          <w:lang w:val="zh-CN"/>
        </w:rPr>
      </w:pPr>
      <w:r>
        <w:rPr>
          <w:rFonts w:hint="eastAsia" w:ascii="宋体" w:hAnsi="宋体" w:eastAsia="宋体" w:cs="黑体"/>
          <w:b/>
          <w:color w:val="auto"/>
          <w:szCs w:val="21"/>
          <w:highlight w:val="none"/>
          <w:u w:val="none"/>
          <w:lang w:val="zh-CN"/>
        </w:rPr>
        <w:t>五、付款方式</w:t>
      </w:r>
    </w:p>
    <w:p w14:paraId="56D9D70F">
      <w:pPr>
        <w:spacing w:line="360" w:lineRule="auto"/>
        <w:ind w:firstLine="420"/>
        <w:jc w:val="left"/>
        <w:rPr>
          <w:rFonts w:hint="eastAsia" w:ascii="宋体" w:hAnsi="宋体" w:eastAsia="宋体" w:cs="宋体"/>
          <w:color w:val="auto"/>
          <w:szCs w:val="21"/>
          <w:highlight w:val="none"/>
          <w:u w:val="none"/>
          <w:lang w:eastAsia="zh-CN"/>
        </w:rPr>
      </w:pPr>
      <w:r>
        <w:rPr>
          <w:rFonts w:hint="eastAsia" w:ascii="宋体" w:hAnsi="宋体" w:eastAsia="宋体" w:cs="宋体"/>
          <w:color w:val="auto"/>
          <w:szCs w:val="21"/>
          <w:highlight w:val="none"/>
          <w:u w:val="none"/>
        </w:rPr>
        <w:t>合同签订后一个月内，甲方向乙方支付合同总金额的45%；合同履行六个月后运行顺畅的情况下，支付年度服务费用的45%；通过验收后，一次性付清余款（以上均不计息）</w:t>
      </w:r>
      <w:r>
        <w:rPr>
          <w:rFonts w:hint="eastAsia" w:ascii="宋体" w:hAnsi="宋体" w:eastAsia="宋体" w:cs="宋体"/>
          <w:color w:val="auto"/>
          <w:szCs w:val="21"/>
          <w:highlight w:val="none"/>
          <w:u w:val="none"/>
          <w:lang w:eastAsia="zh-CN"/>
        </w:rPr>
        <w:t>。</w:t>
      </w:r>
    </w:p>
    <w:p w14:paraId="76F35FF3">
      <w:pPr>
        <w:pageBreakBefore w:val="0"/>
        <w:spacing w:line="360" w:lineRule="auto"/>
        <w:ind w:firstLine="422"/>
        <w:jc w:val="left"/>
        <w:rPr>
          <w:rFonts w:hint="default" w:ascii="宋体" w:hAnsi="宋体" w:eastAsia="宋体" w:cs="黑体"/>
          <w:b/>
          <w:color w:val="auto"/>
          <w:szCs w:val="21"/>
          <w:highlight w:val="none"/>
          <w:u w:val="none"/>
          <w:lang w:val="en-US" w:eastAsia="zh-CN"/>
        </w:rPr>
      </w:pPr>
      <w:r>
        <w:rPr>
          <w:rFonts w:hint="eastAsia" w:ascii="宋体" w:hAnsi="宋体" w:eastAsia="宋体" w:cs="黑体"/>
          <w:b/>
          <w:color w:val="auto"/>
          <w:szCs w:val="21"/>
          <w:highlight w:val="none"/>
          <w:u w:val="none"/>
          <w:lang w:val="en-US" w:eastAsia="zh-CN"/>
        </w:rPr>
        <w:t>六、商务要求</w:t>
      </w:r>
    </w:p>
    <w:p w14:paraId="64321A60">
      <w:pPr>
        <w:spacing w:line="360" w:lineRule="auto"/>
        <w:ind w:firstLine="420"/>
        <w:jc w:val="left"/>
        <w:rPr>
          <w:rFonts w:hint="eastAsia" w:ascii="宋体" w:hAnsi="宋体" w:eastAsia="宋体" w:cs="宋体"/>
          <w:color w:val="auto"/>
          <w:szCs w:val="21"/>
          <w:highlight w:val="none"/>
          <w:u w:val="none"/>
          <w:lang w:val="en-US" w:eastAsia="zh-CN"/>
        </w:rPr>
      </w:pPr>
      <w:r>
        <w:rPr>
          <w:rFonts w:hint="eastAsia" w:ascii="宋体" w:hAnsi="宋体" w:eastAsia="宋体" w:cs="宋体"/>
          <w:color w:val="auto"/>
          <w:szCs w:val="21"/>
          <w:highlight w:val="none"/>
          <w:u w:val="none"/>
          <w:lang w:val="en-US" w:eastAsia="zh-CN"/>
        </w:rPr>
        <w:t>1.本项目报价应当包含但不限于本项目服务过程的快检服务人员费用（人员工资福利保险费、检测服务费、技术咨询服务费）、试剂耗材费用（试剂使用费、配套耗材费）、采样费、差旅费、食宿费、运营管理费、税金，以及一切不可预见的车辆费用、风险费用、利润等。</w:t>
      </w:r>
    </w:p>
    <w:p w14:paraId="25B00277">
      <w:pPr>
        <w:spacing w:line="360" w:lineRule="auto"/>
        <w:ind w:firstLine="420"/>
        <w:jc w:val="left"/>
        <w:rPr>
          <w:rFonts w:hint="eastAsia" w:ascii="宋体" w:hAnsi="宋体" w:cs="宋体"/>
          <w:b/>
          <w:bCs/>
          <w:color w:val="auto"/>
          <w:szCs w:val="21"/>
          <w:highlight w:val="none"/>
          <w:u w:val="none"/>
          <w:lang w:val="en-US" w:eastAsia="zh-CN"/>
        </w:rPr>
      </w:pPr>
      <w:r>
        <w:rPr>
          <w:rFonts w:hint="eastAsia" w:ascii="宋体" w:hAnsi="宋体" w:eastAsia="宋体" w:cs="宋体"/>
          <w:b/>
          <w:bCs/>
          <w:color w:val="auto"/>
          <w:szCs w:val="21"/>
          <w:highlight w:val="none"/>
          <w:u w:val="none"/>
          <w:lang w:val="en-US" w:eastAsia="zh-CN"/>
        </w:rPr>
        <w:t>2.投标报价以单价报价，最终以单价作为评标依据，最终承包价按照实际检测批次数结算</w:t>
      </w:r>
      <w:r>
        <w:rPr>
          <w:rFonts w:hint="eastAsia" w:ascii="宋体" w:hAnsi="宋体" w:cs="宋体"/>
          <w:b/>
          <w:bCs/>
          <w:color w:val="auto"/>
          <w:szCs w:val="21"/>
          <w:highlight w:val="none"/>
          <w:u w:val="none"/>
          <w:lang w:val="en-US" w:eastAsia="zh-CN"/>
        </w:rPr>
        <w:t>。</w:t>
      </w:r>
    </w:p>
    <w:p w14:paraId="698E3EED">
      <w:pPr>
        <w:rPr>
          <w:rFonts w:hint="eastAsia"/>
          <w:color w:val="auto"/>
          <w:highlight w:val="none"/>
          <w:u w:val="none"/>
          <w:lang w:val="en-US" w:eastAsia="zh-CN"/>
        </w:rPr>
      </w:pPr>
      <w:r>
        <w:rPr>
          <w:rFonts w:hint="eastAsia"/>
          <w:color w:val="auto"/>
          <w:highlight w:val="none"/>
          <w:u w:val="none"/>
          <w:lang w:val="en-US" w:eastAsia="zh-CN"/>
        </w:rPr>
        <w:br w:type="page"/>
      </w:r>
    </w:p>
    <w:p w14:paraId="5778E975">
      <w:pPr>
        <w:pStyle w:val="3"/>
        <w:numPr>
          <w:ilvl w:val="0"/>
          <w:numId w:val="5"/>
        </w:numPr>
        <w:spacing w:line="360" w:lineRule="auto"/>
        <w:ind w:firstLine="422" w:firstLineChars="200"/>
        <w:jc w:val="center"/>
        <w:rPr>
          <w:rFonts w:hint="eastAsia" w:ascii="宋体" w:hAnsi="宋体" w:eastAsia="宋体"/>
          <w:b/>
          <w:color w:val="auto"/>
          <w:sz w:val="21"/>
          <w:szCs w:val="21"/>
          <w:highlight w:val="none"/>
          <w:u w:val="none"/>
        </w:rPr>
      </w:pPr>
      <w:r>
        <w:rPr>
          <w:rFonts w:hint="eastAsia" w:ascii="宋体" w:hAnsi="宋体" w:eastAsia="宋体"/>
          <w:b/>
          <w:color w:val="auto"/>
          <w:sz w:val="21"/>
          <w:szCs w:val="21"/>
          <w:highlight w:val="none"/>
          <w:u w:val="none"/>
        </w:rPr>
        <w:t xml:space="preserve"> 评审方法和评审标准</w:t>
      </w:r>
      <w:bookmarkEnd w:id="107"/>
    </w:p>
    <w:p w14:paraId="54A1035F">
      <w:pPr>
        <w:spacing w:line="360" w:lineRule="auto"/>
        <w:ind w:firstLine="482"/>
        <w:rPr>
          <w:rFonts w:hint="eastAsia" w:ascii="宋体" w:hAnsi="宋体" w:cs="宋体"/>
          <w:b/>
          <w:color w:val="auto"/>
          <w:szCs w:val="21"/>
          <w:highlight w:val="none"/>
          <w:u w:val="none"/>
        </w:rPr>
      </w:pPr>
      <w:r>
        <w:rPr>
          <w:rFonts w:hint="eastAsia" w:ascii="宋体" w:hAnsi="宋体" w:cs="宋体"/>
          <w:b/>
          <w:color w:val="auto"/>
          <w:szCs w:val="21"/>
          <w:highlight w:val="none"/>
          <w:u w:val="none"/>
        </w:rPr>
        <w:t>一、磋商模式</w:t>
      </w:r>
    </w:p>
    <w:p w14:paraId="400B337F">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不见面远程磋商模式：开标当天各供应商在各自地点通过苏采云系统及时登录不见面开标大厅，参加磋商活动。</w:t>
      </w:r>
    </w:p>
    <w:p w14:paraId="08C35CC4">
      <w:pPr>
        <w:spacing w:line="360" w:lineRule="auto"/>
        <w:ind w:firstLine="482"/>
        <w:rPr>
          <w:rFonts w:hint="eastAsia" w:ascii="宋体" w:hAnsi="宋体" w:cs="宋体"/>
          <w:b/>
          <w:color w:val="auto"/>
          <w:szCs w:val="21"/>
          <w:highlight w:val="none"/>
          <w:u w:val="none"/>
        </w:rPr>
      </w:pPr>
      <w:r>
        <w:rPr>
          <w:rFonts w:hint="eastAsia" w:ascii="宋体" w:hAnsi="宋体" w:cs="宋体"/>
          <w:b/>
          <w:color w:val="auto"/>
          <w:szCs w:val="21"/>
          <w:highlight w:val="none"/>
          <w:u w:val="none"/>
        </w:rPr>
        <w:t>二、磋商组织及磋商小组职责</w:t>
      </w:r>
    </w:p>
    <w:p w14:paraId="49CA8592">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1.本次竞争性磋商依据《中华人民共和国政府采购法》《政府采购竞争性磋商采购方式管理暂行办法》及有关法规成立磋商小组。磋商小组由采购人代表和评审专家共3人及以上单数组成。</w:t>
      </w:r>
    </w:p>
    <w:p w14:paraId="79731EFB">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2.磋商小组的职责：</w:t>
      </w:r>
    </w:p>
    <w:p w14:paraId="5078876E">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1）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3AF077BB">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（2）磋商文件内容违反国家有关强制性规定的，磋商小组应当停止评审并向采购人或者采购代理机构说明情况。</w:t>
      </w:r>
    </w:p>
    <w:p w14:paraId="362E0292">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（3）磋商小组成员应当遵守评审工作纪律，不得泄露评审情况和评审中获悉的商业秘密，对个人的评审意见承担法律责任。</w:t>
      </w:r>
    </w:p>
    <w:p w14:paraId="1E257960">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（4）磋商小组成员在评审过程中发现供应商有行贿、提供虚假材料或者串通投标等违法行为的，应当及时向财政部门报告。</w:t>
      </w:r>
    </w:p>
    <w:p w14:paraId="1EAE25A7">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（5）磋商小组成员在评审过程中受到非法干涉的，应当及时向财政、监察等部门举报。</w:t>
      </w:r>
    </w:p>
    <w:p w14:paraId="19E73FFA">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（6）配合采购单位答复供应商提出的质疑；配合财政部门的投诉处理和监督检查工作。</w:t>
      </w:r>
    </w:p>
    <w:p w14:paraId="578E1829">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3.评审有关记录由磋商小组成员签名，存档备查。</w:t>
      </w:r>
    </w:p>
    <w:p w14:paraId="0141BB88">
      <w:pPr>
        <w:spacing w:line="360" w:lineRule="auto"/>
        <w:ind w:firstLine="482"/>
        <w:rPr>
          <w:rFonts w:hint="eastAsia" w:ascii="宋体" w:hAnsi="宋体" w:cs="宋体"/>
          <w:b/>
          <w:color w:val="auto"/>
          <w:szCs w:val="21"/>
          <w:highlight w:val="none"/>
          <w:u w:val="none"/>
        </w:rPr>
      </w:pPr>
      <w:r>
        <w:rPr>
          <w:rFonts w:hint="eastAsia" w:ascii="宋体" w:hAnsi="宋体" w:cs="宋体"/>
          <w:b/>
          <w:color w:val="auto"/>
          <w:szCs w:val="21"/>
          <w:highlight w:val="none"/>
          <w:u w:val="none"/>
        </w:rPr>
        <w:t>三、评审步骤</w:t>
      </w:r>
    </w:p>
    <w:p w14:paraId="51C413B1">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lang w:val="zh-CN"/>
        </w:rPr>
        <w:t>第一阶段：</w:t>
      </w:r>
      <w:r>
        <w:rPr>
          <w:rFonts w:hint="eastAsia" w:ascii="宋体" w:hAnsi="宋体" w:cs="宋体"/>
          <w:color w:val="auto"/>
          <w:szCs w:val="21"/>
          <w:highlight w:val="none"/>
          <w:u w:val="none"/>
        </w:rPr>
        <w:t>采购人代表</w:t>
      </w:r>
      <w:r>
        <w:rPr>
          <w:rFonts w:hint="eastAsia" w:ascii="宋体" w:hAnsi="宋体" w:cs="宋体"/>
          <w:color w:val="auto"/>
          <w:szCs w:val="21"/>
          <w:highlight w:val="none"/>
          <w:u w:val="none"/>
          <w:lang w:val="zh-CN"/>
        </w:rPr>
        <w:t>对每个供应商的资格进行审查。</w:t>
      </w:r>
      <w:r>
        <w:rPr>
          <w:rFonts w:hint="eastAsia" w:ascii="宋体" w:hAnsi="宋体" w:cs="宋体"/>
          <w:color w:val="auto"/>
          <w:szCs w:val="21"/>
          <w:highlight w:val="none"/>
          <w:u w:val="none"/>
        </w:rPr>
        <w:t>供应商资格不合格的，其响应文件判定为无效响应文件。</w:t>
      </w:r>
    </w:p>
    <w:p w14:paraId="6A344B7C">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lang w:val="zh-CN"/>
        </w:rPr>
        <w:t>第二阶段：</w:t>
      </w:r>
      <w:r>
        <w:rPr>
          <w:rFonts w:hint="eastAsia" w:ascii="宋体" w:hAnsi="宋体" w:cs="宋体"/>
          <w:color w:val="auto"/>
          <w:szCs w:val="21"/>
          <w:highlight w:val="none"/>
          <w:u w:val="none"/>
        </w:rPr>
        <w:t>依据磋商文件的规定，由磋商小组</w:t>
      </w:r>
      <w:r>
        <w:rPr>
          <w:rFonts w:hint="eastAsia" w:ascii="宋体" w:hAnsi="宋体" w:cs="宋体"/>
          <w:color w:val="auto"/>
          <w:szCs w:val="21"/>
          <w:highlight w:val="none"/>
          <w:u w:val="none"/>
          <w:lang w:val="zh-CN"/>
        </w:rPr>
        <w:t>对每个符合资格要求的供应商</w:t>
      </w:r>
      <w:r>
        <w:rPr>
          <w:rFonts w:hint="eastAsia" w:ascii="宋体" w:hAnsi="宋体" w:cs="宋体"/>
          <w:color w:val="auto"/>
          <w:szCs w:val="21"/>
          <w:highlight w:val="none"/>
          <w:u w:val="none"/>
        </w:rPr>
        <w:t xml:space="preserve">从响应文件的有效性、完整性和对磋商文件的响应程度进行审查，以确定是否对磋商文件的实质性要求作出响应。未通过符合性审查的响应文件，将被判定为不满足磋商文件实质性要求。 </w:t>
      </w:r>
    </w:p>
    <w:p w14:paraId="7340C5B6">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lang w:val="zh-CN"/>
        </w:rPr>
        <w:t>第三阶段：</w:t>
      </w:r>
      <w:r>
        <w:rPr>
          <w:rFonts w:hint="eastAsia" w:ascii="宋体" w:hAnsi="宋体" w:cs="宋体"/>
          <w:color w:val="auto"/>
          <w:szCs w:val="21"/>
          <w:highlight w:val="none"/>
          <w:u w:val="none"/>
        </w:rPr>
        <w:t>磋商小组与通过符合性审查的供应商单一分别进行磋商。单一分别磋商结束后，系统进入商务技术响应文件评审。</w:t>
      </w:r>
    </w:p>
    <w:p w14:paraId="16EDC604">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lang w:val="zh-CN"/>
        </w:rPr>
        <w:t>第</w:t>
      </w:r>
      <w:r>
        <w:rPr>
          <w:rFonts w:hint="eastAsia" w:ascii="宋体" w:hAnsi="宋体" w:cs="宋体"/>
          <w:color w:val="auto"/>
          <w:szCs w:val="21"/>
          <w:highlight w:val="none"/>
          <w:u w:val="none"/>
        </w:rPr>
        <w:t>四</w:t>
      </w:r>
      <w:r>
        <w:rPr>
          <w:rFonts w:hint="eastAsia" w:ascii="宋体" w:hAnsi="宋体" w:cs="宋体"/>
          <w:color w:val="auto"/>
          <w:szCs w:val="21"/>
          <w:highlight w:val="none"/>
          <w:u w:val="none"/>
          <w:lang w:val="zh-CN"/>
        </w:rPr>
        <w:t>阶段：</w:t>
      </w:r>
      <w:r>
        <w:rPr>
          <w:rFonts w:hint="eastAsia" w:ascii="宋体" w:hAnsi="宋体" w:cs="宋体"/>
          <w:color w:val="auto"/>
          <w:szCs w:val="21"/>
          <w:highlight w:val="none"/>
          <w:u w:val="none"/>
        </w:rPr>
        <w:t>系统商务技术响应文件评审结束后，进入最后报价环节，供应商在系统规定的时间内完成最终报价后，磋商小组对响应报价的供应商进行价格部分评审</w:t>
      </w:r>
      <w:r>
        <w:rPr>
          <w:rFonts w:hint="eastAsia" w:ascii="宋体" w:hAnsi="宋体" w:cs="宋体"/>
          <w:color w:val="auto"/>
          <w:szCs w:val="21"/>
          <w:highlight w:val="none"/>
          <w:u w:val="none"/>
          <w:lang w:val="zh-CN"/>
        </w:rPr>
        <w:t>。</w:t>
      </w:r>
    </w:p>
    <w:p w14:paraId="3AD23456">
      <w:pPr>
        <w:spacing w:line="360" w:lineRule="auto"/>
        <w:ind w:firstLine="482"/>
        <w:rPr>
          <w:rFonts w:hint="eastAsia" w:ascii="宋体" w:hAnsi="宋体" w:cs="宋体"/>
          <w:b/>
          <w:color w:val="auto"/>
          <w:szCs w:val="21"/>
          <w:highlight w:val="none"/>
          <w:u w:val="none"/>
        </w:rPr>
      </w:pPr>
      <w:r>
        <w:rPr>
          <w:rFonts w:hint="eastAsia" w:ascii="宋体" w:hAnsi="宋体" w:cs="宋体"/>
          <w:b/>
          <w:color w:val="auto"/>
          <w:szCs w:val="21"/>
          <w:highlight w:val="none"/>
          <w:u w:val="none"/>
        </w:rPr>
        <w:t>四、磋商程序</w:t>
      </w:r>
    </w:p>
    <w:p w14:paraId="2D2E9984">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6FC4215C">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在磋商过程中，磋商小组可能根据磋商文件和磋商情况实质性变动的内容有：</w:t>
      </w:r>
      <w:r>
        <w:rPr>
          <w:rFonts w:hint="eastAsia" w:ascii="宋体" w:hAnsi="宋体" w:cs="宋体"/>
          <w:b/>
          <w:bCs/>
          <w:color w:val="auto"/>
          <w:szCs w:val="21"/>
          <w:highlight w:val="none"/>
          <w:u w:val="none"/>
        </w:rPr>
        <w:t>采购需求中的技术、服务要求以及合同草案条款</w:t>
      </w:r>
      <w:r>
        <w:rPr>
          <w:rFonts w:hint="eastAsia" w:ascii="宋体" w:hAnsi="宋体" w:cs="宋体"/>
          <w:color w:val="auto"/>
          <w:szCs w:val="21"/>
          <w:highlight w:val="none"/>
          <w:u w:val="none"/>
        </w:rPr>
        <w:t>。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5240C068">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19222489">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w:t>
      </w:r>
      <w:r>
        <w:rPr>
          <w:rFonts w:hint="eastAsia" w:ascii="宋体" w:hAnsi="宋体" w:cs="宋体"/>
          <w:b/>
          <w:bCs/>
          <w:color w:val="auto"/>
          <w:szCs w:val="21"/>
          <w:highlight w:val="none"/>
          <w:u w:val="none"/>
        </w:rPr>
        <w:t>15分钟内</w:t>
      </w:r>
      <w:r>
        <w:rPr>
          <w:rFonts w:hint="eastAsia" w:ascii="宋体" w:hAnsi="宋体" w:cs="宋体"/>
          <w:color w:val="auto"/>
          <w:szCs w:val="21"/>
          <w:highlight w:val="none"/>
          <w:u w:val="none"/>
        </w:rPr>
        <w:t>提交最后报价。</w:t>
      </w:r>
    </w:p>
    <w:p w14:paraId="4DE04B93">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最后报价是供应商响应文件的有效组成部分，提交最后报价的供应商不得少于3家。符合《政府采购竞争性磋商采购方式管理暂行办法》第三条第一款第四项及《财政部关于竞争性磋商采购方式管理暂行办法有关问题的补充通知》（财库〔2015〕124号）规定情形的，提交最后报价的供应商可以为2家。</w:t>
      </w:r>
    </w:p>
    <w:p w14:paraId="30C01BE6">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54FB03B2">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4.除非在磋商中磋商小组对采购需求中的技术、服务要求以及合同草案条款做了实质性变更，</w:t>
      </w:r>
      <w:r>
        <w:rPr>
          <w:rFonts w:hint="eastAsia" w:ascii="宋体" w:hAnsi="宋体" w:cs="宋体"/>
          <w:b/>
          <w:bCs/>
          <w:color w:val="auto"/>
          <w:szCs w:val="21"/>
          <w:highlight w:val="none"/>
          <w:u w:val="none"/>
        </w:rPr>
        <w:t>否则采购单位不接受供应商高于自己前一轮的磋商报价</w:t>
      </w:r>
      <w:r>
        <w:rPr>
          <w:rFonts w:hint="eastAsia" w:ascii="宋体" w:hAnsi="宋体" w:cs="宋体"/>
          <w:color w:val="auto"/>
          <w:szCs w:val="21"/>
          <w:highlight w:val="none"/>
          <w:u w:val="none"/>
        </w:rPr>
        <w:t>。</w:t>
      </w:r>
    </w:p>
    <w:p w14:paraId="3CC9A5E5">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5.在磋商中，磋商的任何一方不得透露与磋商有关的其他响应磋商的供应商的技术资料、价格及其他信息。</w:t>
      </w:r>
    </w:p>
    <w:p w14:paraId="604261EB">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b/>
          <w:bCs/>
          <w:color w:val="auto"/>
          <w:kern w:val="2"/>
          <w:sz w:val="21"/>
          <w:szCs w:val="24"/>
          <w:highlight w:val="none"/>
          <w:u w:val="none"/>
          <w:vertAlign w:val="baseline"/>
          <w:lang w:val="en-US" w:eastAsia="zh-CN" w:bidi="ar"/>
        </w:rPr>
      </w:pPr>
      <w:r>
        <w:rPr>
          <w:rFonts w:hint="eastAsia" w:ascii="宋体" w:hAnsi="宋体" w:cs="宋体"/>
          <w:color w:val="auto"/>
          <w:szCs w:val="21"/>
          <w:highlight w:val="none"/>
          <w:u w:val="none"/>
        </w:rPr>
        <w:t>6.</w:t>
      </w:r>
      <w:r>
        <w:rPr>
          <w:rFonts w:hint="eastAsia" w:ascii="宋体" w:hAnsi="宋体" w:eastAsia="宋体" w:cs="宋体"/>
          <w:b/>
          <w:bCs/>
          <w:color w:val="auto"/>
          <w:kern w:val="2"/>
          <w:sz w:val="21"/>
          <w:szCs w:val="24"/>
          <w:highlight w:val="none"/>
          <w:u w:val="none"/>
          <w:vertAlign w:val="baseline"/>
          <w:lang w:val="en-US" w:eastAsia="zh-CN" w:bidi="ar"/>
        </w:rPr>
        <w:t>评审中出现下列情形之一的，评审委员会应当启动异常低价投标（响应）审查程序：</w:t>
      </w:r>
    </w:p>
    <w:p w14:paraId="13464A0B">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color w:val="auto"/>
          <w:kern w:val="2"/>
          <w:sz w:val="21"/>
          <w:szCs w:val="24"/>
          <w:highlight w:val="none"/>
          <w:u w:val="none"/>
          <w:vertAlign w:val="baseline"/>
          <w:lang w:val="en-US" w:eastAsia="zh-CN" w:bidi="ar"/>
        </w:rPr>
      </w:pPr>
      <w:r>
        <w:rPr>
          <w:rFonts w:hint="eastAsia" w:ascii="宋体" w:hAnsi="宋体" w:eastAsia="宋体" w:cs="宋体"/>
          <w:color w:val="auto"/>
          <w:kern w:val="2"/>
          <w:sz w:val="21"/>
          <w:szCs w:val="24"/>
          <w:highlight w:val="none"/>
          <w:u w:val="none"/>
          <w:vertAlign w:val="baseline"/>
          <w:lang w:val="en-US" w:eastAsia="zh-CN" w:bidi="ar"/>
        </w:rPr>
        <w:t xml:space="preserve">（1）评审过程中出现下列情形之一的，评审委员会应当启动异常低价投标（响应）审查程序： </w:t>
      </w:r>
    </w:p>
    <w:p w14:paraId="2E0475A2">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color w:val="auto"/>
          <w:kern w:val="2"/>
          <w:sz w:val="21"/>
          <w:szCs w:val="24"/>
          <w:highlight w:val="none"/>
          <w:u w:val="none"/>
          <w:vertAlign w:val="baseline"/>
          <w:lang w:val="en-US" w:eastAsia="zh-CN" w:bidi="ar"/>
        </w:rPr>
      </w:pPr>
      <w:r>
        <w:rPr>
          <w:rFonts w:hint="eastAsia" w:ascii="宋体" w:hAnsi="宋体" w:eastAsia="宋体" w:cs="宋体"/>
          <w:color w:val="auto"/>
          <w:kern w:val="2"/>
          <w:sz w:val="21"/>
          <w:szCs w:val="24"/>
          <w:highlight w:val="none"/>
          <w:u w:val="none"/>
          <w:vertAlign w:val="baseline"/>
          <w:lang w:val="en-US" w:eastAsia="zh-CN" w:bidi="ar"/>
        </w:rPr>
        <w:t>①投标（响应）报价低于全部通过符合性审查供应商投标（响应）报价平均值</w:t>
      </w:r>
      <w:r>
        <w:rPr>
          <w:rFonts w:hint="eastAsia" w:ascii="宋体" w:hAnsi="宋体" w:cs="宋体"/>
          <w:color w:val="auto"/>
          <w:kern w:val="2"/>
          <w:sz w:val="21"/>
          <w:szCs w:val="24"/>
          <w:highlight w:val="none"/>
          <w:u w:val="none"/>
          <w:vertAlign w:val="baseline"/>
          <w:lang w:val="en-US" w:eastAsia="zh-CN" w:bidi="ar"/>
        </w:rPr>
        <w:t>50</w:t>
      </w:r>
      <w:r>
        <w:rPr>
          <w:rFonts w:hint="eastAsia" w:ascii="宋体" w:hAnsi="宋体" w:eastAsia="宋体" w:cs="宋体"/>
          <w:color w:val="auto"/>
          <w:kern w:val="2"/>
          <w:sz w:val="21"/>
          <w:szCs w:val="24"/>
          <w:highlight w:val="none"/>
          <w:u w:val="none"/>
          <w:vertAlign w:val="baseline"/>
          <w:lang w:val="en-US" w:eastAsia="zh-CN" w:bidi="ar"/>
        </w:rPr>
        <w:t>%的，即投标（响应）报价〈全部通过符合性审查供应商投标（响应）报价平均值×</w:t>
      </w:r>
      <w:r>
        <w:rPr>
          <w:rFonts w:hint="eastAsia" w:ascii="宋体" w:hAnsi="宋体" w:cs="宋体"/>
          <w:color w:val="auto"/>
          <w:kern w:val="2"/>
          <w:sz w:val="21"/>
          <w:szCs w:val="24"/>
          <w:highlight w:val="none"/>
          <w:u w:val="none"/>
          <w:vertAlign w:val="baseline"/>
          <w:lang w:val="en-US" w:eastAsia="zh-CN" w:bidi="ar"/>
        </w:rPr>
        <w:t>50</w:t>
      </w:r>
      <w:r>
        <w:rPr>
          <w:rFonts w:hint="eastAsia" w:ascii="宋体" w:hAnsi="宋体" w:eastAsia="宋体" w:cs="宋体"/>
          <w:color w:val="auto"/>
          <w:kern w:val="2"/>
          <w:sz w:val="21"/>
          <w:szCs w:val="24"/>
          <w:highlight w:val="none"/>
          <w:u w:val="none"/>
          <w:vertAlign w:val="baseline"/>
          <w:lang w:val="en-US" w:eastAsia="zh-CN" w:bidi="ar"/>
        </w:rPr>
        <w:t>%；</w:t>
      </w:r>
    </w:p>
    <w:p w14:paraId="2F585A76">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color w:val="auto"/>
          <w:kern w:val="2"/>
          <w:sz w:val="21"/>
          <w:szCs w:val="24"/>
          <w:highlight w:val="none"/>
          <w:u w:val="none"/>
          <w:vertAlign w:val="baseline"/>
          <w:lang w:val="en-US" w:eastAsia="zh-CN" w:bidi="ar"/>
        </w:rPr>
      </w:pPr>
      <w:r>
        <w:rPr>
          <w:rFonts w:hint="eastAsia" w:ascii="宋体" w:hAnsi="宋体" w:eastAsia="宋体" w:cs="宋体"/>
          <w:color w:val="auto"/>
          <w:kern w:val="2"/>
          <w:sz w:val="21"/>
          <w:szCs w:val="24"/>
          <w:highlight w:val="none"/>
          <w:u w:val="none"/>
          <w:vertAlign w:val="baseline"/>
          <w:lang w:val="en-US" w:eastAsia="zh-CN" w:bidi="ar"/>
        </w:rPr>
        <w:t>②投标（响应）报价低于通过符合性审查的次低报价供应商投标（响应）报价</w:t>
      </w:r>
      <w:r>
        <w:rPr>
          <w:rFonts w:hint="eastAsia" w:ascii="宋体" w:hAnsi="宋体" w:cs="宋体"/>
          <w:color w:val="auto"/>
          <w:kern w:val="2"/>
          <w:sz w:val="21"/>
          <w:szCs w:val="24"/>
          <w:highlight w:val="none"/>
          <w:u w:val="none"/>
          <w:vertAlign w:val="baseline"/>
          <w:lang w:val="en-US" w:eastAsia="zh-CN" w:bidi="ar"/>
        </w:rPr>
        <w:t>50</w:t>
      </w:r>
      <w:r>
        <w:rPr>
          <w:rFonts w:hint="eastAsia" w:ascii="宋体" w:hAnsi="宋体" w:eastAsia="宋体" w:cs="宋体"/>
          <w:color w:val="auto"/>
          <w:kern w:val="2"/>
          <w:sz w:val="21"/>
          <w:szCs w:val="24"/>
          <w:highlight w:val="none"/>
          <w:u w:val="none"/>
          <w:vertAlign w:val="baseline"/>
          <w:lang w:val="en-US" w:eastAsia="zh-CN" w:bidi="ar"/>
        </w:rPr>
        <w:t>%的，即投标（响应）报价〈通过符合性审查的次低报价供应商投标（响应）报价×</w:t>
      </w:r>
      <w:r>
        <w:rPr>
          <w:rFonts w:hint="eastAsia" w:ascii="宋体" w:hAnsi="宋体" w:cs="宋体"/>
          <w:color w:val="auto"/>
          <w:kern w:val="2"/>
          <w:sz w:val="21"/>
          <w:szCs w:val="24"/>
          <w:highlight w:val="none"/>
          <w:u w:val="none"/>
          <w:vertAlign w:val="baseline"/>
          <w:lang w:val="en-US" w:eastAsia="zh-CN" w:bidi="ar"/>
        </w:rPr>
        <w:t>50</w:t>
      </w:r>
      <w:r>
        <w:rPr>
          <w:rFonts w:hint="eastAsia" w:ascii="宋体" w:hAnsi="宋体" w:eastAsia="宋体" w:cs="宋体"/>
          <w:color w:val="auto"/>
          <w:kern w:val="2"/>
          <w:sz w:val="21"/>
          <w:szCs w:val="24"/>
          <w:highlight w:val="none"/>
          <w:u w:val="none"/>
          <w:vertAlign w:val="baseline"/>
          <w:lang w:val="en-US" w:eastAsia="zh-CN" w:bidi="ar"/>
        </w:rPr>
        <w:t>%；</w:t>
      </w:r>
    </w:p>
    <w:p w14:paraId="540DC08A">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color w:val="auto"/>
          <w:kern w:val="2"/>
          <w:sz w:val="21"/>
          <w:szCs w:val="24"/>
          <w:highlight w:val="none"/>
          <w:u w:val="none"/>
          <w:vertAlign w:val="baseline"/>
          <w:lang w:val="en-US" w:eastAsia="zh-CN" w:bidi="ar"/>
        </w:rPr>
      </w:pPr>
      <w:r>
        <w:rPr>
          <w:rFonts w:hint="eastAsia" w:ascii="宋体" w:hAnsi="宋体" w:eastAsia="宋体" w:cs="宋体"/>
          <w:color w:val="auto"/>
          <w:kern w:val="2"/>
          <w:sz w:val="21"/>
          <w:szCs w:val="24"/>
          <w:highlight w:val="none"/>
          <w:u w:val="none"/>
          <w:vertAlign w:val="baseline"/>
          <w:lang w:val="en-US" w:eastAsia="zh-CN" w:bidi="ar"/>
        </w:rPr>
        <w:t>③投标（响应）报价低于采购项目最高限价</w:t>
      </w:r>
      <w:r>
        <w:rPr>
          <w:rFonts w:hint="eastAsia" w:ascii="宋体" w:hAnsi="宋体" w:cs="宋体"/>
          <w:color w:val="auto"/>
          <w:kern w:val="2"/>
          <w:sz w:val="21"/>
          <w:szCs w:val="24"/>
          <w:highlight w:val="none"/>
          <w:u w:val="none"/>
          <w:vertAlign w:val="baseline"/>
          <w:lang w:val="en-US" w:eastAsia="zh-CN" w:bidi="ar"/>
        </w:rPr>
        <w:t>50</w:t>
      </w:r>
      <w:r>
        <w:rPr>
          <w:rFonts w:hint="eastAsia" w:ascii="宋体" w:hAnsi="宋体" w:eastAsia="宋体" w:cs="宋体"/>
          <w:color w:val="auto"/>
          <w:kern w:val="2"/>
          <w:sz w:val="21"/>
          <w:szCs w:val="24"/>
          <w:highlight w:val="none"/>
          <w:u w:val="none"/>
          <w:vertAlign w:val="baseline"/>
          <w:lang w:val="en-US" w:eastAsia="zh-CN" w:bidi="ar"/>
        </w:rPr>
        <w:t>%的，即投标（响应）报价〈采购项目最高限价 ×</w:t>
      </w:r>
      <w:r>
        <w:rPr>
          <w:rFonts w:hint="eastAsia" w:ascii="宋体" w:hAnsi="宋体" w:cs="宋体"/>
          <w:color w:val="auto"/>
          <w:kern w:val="2"/>
          <w:sz w:val="21"/>
          <w:szCs w:val="24"/>
          <w:highlight w:val="none"/>
          <w:u w:val="none"/>
          <w:vertAlign w:val="baseline"/>
          <w:lang w:val="en-US" w:eastAsia="zh-CN" w:bidi="ar"/>
        </w:rPr>
        <w:t>45</w:t>
      </w:r>
      <w:r>
        <w:rPr>
          <w:rFonts w:hint="eastAsia" w:ascii="宋体" w:hAnsi="宋体" w:eastAsia="宋体" w:cs="宋体"/>
          <w:color w:val="auto"/>
          <w:kern w:val="2"/>
          <w:sz w:val="21"/>
          <w:szCs w:val="24"/>
          <w:highlight w:val="none"/>
          <w:u w:val="none"/>
          <w:vertAlign w:val="baseline"/>
          <w:lang w:val="en-US" w:eastAsia="zh-CN" w:bidi="ar"/>
        </w:rPr>
        <w:t>%；</w:t>
      </w:r>
    </w:p>
    <w:p w14:paraId="04BC3F0B">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color w:val="auto"/>
          <w:kern w:val="2"/>
          <w:sz w:val="21"/>
          <w:szCs w:val="24"/>
          <w:highlight w:val="none"/>
          <w:u w:val="none"/>
          <w:vertAlign w:val="baseline"/>
          <w:lang w:val="en-US" w:eastAsia="zh-CN" w:bidi="ar"/>
        </w:rPr>
      </w:pPr>
      <w:r>
        <w:rPr>
          <w:rFonts w:hint="eastAsia" w:ascii="宋体" w:hAnsi="宋体" w:eastAsia="宋体" w:cs="宋体"/>
          <w:color w:val="auto"/>
          <w:kern w:val="2"/>
          <w:sz w:val="21"/>
          <w:szCs w:val="24"/>
          <w:highlight w:val="none"/>
          <w:u w:val="none"/>
          <w:vertAlign w:val="baseline"/>
          <w:lang w:val="en-US" w:eastAsia="zh-CN" w:bidi="ar"/>
        </w:rPr>
        <w:t>④评审委员会基于专业判断，认为供应商报价过低，有可能影响产品质量或者不能诚信履约的其他情形。</w:t>
      </w:r>
    </w:p>
    <w:p w14:paraId="5BB0BBEE">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color w:val="auto"/>
          <w:kern w:val="2"/>
          <w:sz w:val="21"/>
          <w:szCs w:val="24"/>
          <w:highlight w:val="none"/>
          <w:u w:val="none"/>
          <w:vertAlign w:val="baseline"/>
          <w:lang w:val="en-US" w:eastAsia="zh-CN" w:bidi="ar"/>
        </w:rPr>
      </w:pPr>
      <w:r>
        <w:rPr>
          <w:rFonts w:hint="eastAsia" w:ascii="宋体" w:hAnsi="宋体" w:eastAsia="宋体" w:cs="宋体"/>
          <w:color w:val="auto"/>
          <w:kern w:val="2"/>
          <w:sz w:val="21"/>
          <w:szCs w:val="24"/>
          <w:highlight w:val="none"/>
          <w:u w:val="none"/>
          <w:vertAlign w:val="baseline"/>
          <w:lang w:val="en-US" w:eastAsia="zh-CN" w:bidi="ar"/>
        </w:rPr>
        <w:t>（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证明材料包括但不限于人工成本（银行工资发放流水记录）、施工器具使用费（采购原始发票或租赁费支付发票）、企业管理费测算等，给予相关供应商的合理时间一般不少于30分钟。其中，属于第③项情形，供应商已随投标(响应)文件一并提交相关书面说明及必要的证明材料的，在评审现场可不再重复提交。</w:t>
      </w:r>
    </w:p>
    <w:p w14:paraId="6D5A2ED2">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color w:val="auto"/>
          <w:kern w:val="2"/>
          <w:sz w:val="21"/>
          <w:szCs w:val="24"/>
          <w:highlight w:val="none"/>
          <w:u w:val="none"/>
          <w:vertAlign w:val="baseline"/>
          <w:lang w:val="en-US" w:eastAsia="zh-CN" w:bidi="ar"/>
        </w:rPr>
      </w:pPr>
      <w:r>
        <w:rPr>
          <w:rFonts w:hint="eastAsia" w:ascii="宋体" w:hAnsi="宋体" w:eastAsia="宋体" w:cs="宋体"/>
          <w:color w:val="auto"/>
          <w:kern w:val="2"/>
          <w:sz w:val="21"/>
          <w:szCs w:val="24"/>
          <w:highlight w:val="none"/>
          <w:u w:val="none"/>
          <w:vertAlign w:val="baseline"/>
          <w:lang w:val="en-US" w:eastAsia="zh-CN" w:bidi="ar"/>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71BAF4A">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color w:val="auto"/>
          <w:kern w:val="2"/>
          <w:sz w:val="21"/>
          <w:szCs w:val="24"/>
          <w:highlight w:val="none"/>
          <w:u w:val="none"/>
          <w:vertAlign w:val="baseline"/>
          <w:lang w:val="en-US" w:eastAsia="zh-CN" w:bidi="ar"/>
        </w:rPr>
      </w:pPr>
      <w:r>
        <w:rPr>
          <w:rFonts w:hint="eastAsia" w:ascii="宋体" w:hAnsi="宋体" w:eastAsia="宋体" w:cs="宋体"/>
          <w:color w:val="auto"/>
          <w:kern w:val="2"/>
          <w:sz w:val="21"/>
          <w:szCs w:val="24"/>
          <w:highlight w:val="none"/>
          <w:u w:val="none"/>
          <w:vertAlign w:val="baseline"/>
          <w:lang w:val="en-US" w:eastAsia="zh-CN" w:bidi="ar"/>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31AEB37">
      <w:pPr>
        <w:keepNext w:val="0"/>
        <w:keepLines w:val="0"/>
        <w:pageBreakBefore w:val="0"/>
        <w:widowControl w:val="0"/>
        <w:suppressLineNumbers w:val="0"/>
        <w:kinsoku/>
        <w:wordWrap/>
        <w:topLinePunct w:val="0"/>
        <w:bidi w:val="0"/>
        <w:snapToGrid w:val="0"/>
        <w:spacing w:before="0" w:beforeAutospacing="0" w:after="0" w:afterAutospacing="0" w:line="360" w:lineRule="auto"/>
        <w:ind w:left="0" w:right="0" w:firstLine="420" w:firstLineChars="200"/>
        <w:jc w:val="both"/>
        <w:textAlignment w:val="baseline"/>
        <w:rPr>
          <w:rFonts w:hint="eastAsia" w:ascii="宋体" w:hAnsi="宋体" w:eastAsia="宋体" w:cs="宋体"/>
          <w:color w:val="auto"/>
          <w:kern w:val="2"/>
          <w:sz w:val="21"/>
          <w:szCs w:val="24"/>
          <w:highlight w:val="none"/>
          <w:u w:val="none"/>
          <w:vertAlign w:val="baseline"/>
          <w:lang w:val="en-US" w:eastAsia="zh-CN" w:bidi="ar"/>
        </w:rPr>
      </w:pPr>
      <w:r>
        <w:rPr>
          <w:rFonts w:hint="eastAsia" w:ascii="宋体" w:hAnsi="宋体" w:eastAsia="宋体" w:cs="宋体"/>
          <w:color w:val="auto"/>
          <w:kern w:val="2"/>
          <w:sz w:val="21"/>
          <w:szCs w:val="24"/>
          <w:highlight w:val="none"/>
          <w:u w:val="none"/>
          <w:vertAlign w:val="baseline"/>
          <w:lang w:val="en-US" w:eastAsia="zh-CN" w:bidi="ar"/>
        </w:rPr>
        <w:t>异常低价投标(响应)审查的启动原因、审查意见和审查结果应当在评审报告中记录，并随供应商提供的相关书面说明及证明材料，以及评审委员会有关互联网浏览、查询历史一并归档。</w:t>
      </w:r>
    </w:p>
    <w:p w14:paraId="35EAEE9C">
      <w:pPr>
        <w:pageBreakBefore w:val="0"/>
        <w:spacing w:line="360" w:lineRule="auto"/>
        <w:ind w:firstLine="422"/>
        <w:rPr>
          <w:rFonts w:hint="eastAsia" w:ascii="宋体" w:hAnsi="宋体" w:eastAsia="宋体" w:cs="宋体"/>
          <w:b/>
          <w:bCs/>
          <w:color w:val="auto"/>
          <w:szCs w:val="21"/>
          <w:highlight w:val="none"/>
          <w:u w:val="none"/>
          <w:lang w:val="en-US" w:eastAsia="zh-CN"/>
        </w:rPr>
      </w:pPr>
      <w:r>
        <w:rPr>
          <w:rFonts w:hint="eastAsia" w:ascii="宋体" w:hAnsi="宋体" w:eastAsia="宋体" w:cs="宋体"/>
          <w:b/>
          <w:bCs/>
          <w:color w:val="auto"/>
          <w:szCs w:val="21"/>
          <w:highlight w:val="none"/>
          <w:u w:val="none"/>
          <w:lang w:val="en-US" w:eastAsia="zh-CN"/>
        </w:rPr>
        <w:t>7.本项目共分2个采购包，同一供应商最多可响应2个采购包。开标及评标均按采购包1、采购包2依次进行。供应商在2个采购包中仅限成交1个采购包；若供应商在采购包1被推荐为第一成交候选人，</w:t>
      </w:r>
      <w:r>
        <w:rPr>
          <w:rFonts w:hint="eastAsia" w:ascii="宋体" w:hAnsi="宋体" w:cs="宋体"/>
          <w:b/>
          <w:bCs/>
          <w:color w:val="auto"/>
          <w:szCs w:val="21"/>
          <w:highlight w:val="none"/>
          <w:u w:val="none"/>
          <w:lang w:val="en-US" w:eastAsia="zh-CN"/>
        </w:rPr>
        <w:t>则</w:t>
      </w:r>
      <w:r>
        <w:rPr>
          <w:rFonts w:hint="eastAsia" w:ascii="宋体" w:hAnsi="宋体" w:eastAsia="宋体" w:cs="宋体"/>
          <w:b/>
          <w:bCs/>
          <w:color w:val="auto"/>
          <w:szCs w:val="21"/>
          <w:highlight w:val="none"/>
          <w:u w:val="none"/>
          <w:lang w:val="en-US" w:eastAsia="zh-CN"/>
        </w:rPr>
        <w:t>不再参与采购包2的评审。</w:t>
      </w:r>
    </w:p>
    <w:p w14:paraId="24C8B7BE">
      <w:pPr>
        <w:pageBreakBefore w:val="0"/>
        <w:spacing w:line="360" w:lineRule="auto"/>
        <w:ind w:firstLine="422"/>
        <w:rPr>
          <w:rFonts w:hint="eastAsia" w:ascii="宋体" w:hAnsi="宋体" w:eastAsia="宋体" w:cs="宋体"/>
          <w:b/>
          <w:bCs/>
          <w:color w:val="auto"/>
          <w:szCs w:val="21"/>
          <w:highlight w:val="none"/>
          <w:u w:val="none"/>
        </w:rPr>
      </w:pPr>
      <w:r>
        <w:rPr>
          <w:rFonts w:hint="eastAsia" w:ascii="宋体" w:hAnsi="宋体" w:cs="宋体"/>
          <w:b/>
          <w:bCs/>
          <w:color w:val="auto"/>
          <w:szCs w:val="21"/>
          <w:highlight w:val="none"/>
          <w:u w:val="none"/>
          <w:lang w:val="en-US" w:eastAsia="zh-CN"/>
        </w:rPr>
        <w:t>8.</w:t>
      </w:r>
      <w:r>
        <w:rPr>
          <w:rFonts w:hint="eastAsia" w:ascii="宋体" w:hAnsi="宋体" w:eastAsia="宋体" w:cs="宋体"/>
          <w:b/>
          <w:bCs/>
          <w:color w:val="auto"/>
          <w:szCs w:val="21"/>
          <w:highlight w:val="none"/>
          <w:u w:val="none"/>
          <w:lang w:val="en-US" w:eastAsia="zh-CN"/>
        </w:rPr>
        <w:t>当第一成交候选人因项目质疑、投诉导致成交结果无效时，</w:t>
      </w:r>
      <w:r>
        <w:rPr>
          <w:rFonts w:hint="eastAsia" w:ascii="宋体" w:hAnsi="宋体" w:cs="宋体"/>
          <w:b/>
          <w:bCs/>
          <w:color w:val="auto"/>
          <w:szCs w:val="21"/>
          <w:highlight w:val="none"/>
          <w:u w:val="none"/>
          <w:lang w:val="en-US" w:eastAsia="zh-CN"/>
        </w:rPr>
        <w:t>后续采购包</w:t>
      </w:r>
      <w:r>
        <w:rPr>
          <w:rFonts w:hint="eastAsia" w:ascii="宋体" w:hAnsi="宋体" w:eastAsia="宋体" w:cs="宋体"/>
          <w:b/>
          <w:bCs/>
          <w:color w:val="auto"/>
          <w:szCs w:val="21"/>
          <w:highlight w:val="none"/>
          <w:u w:val="none"/>
          <w:lang w:val="en-US" w:eastAsia="zh-CN"/>
        </w:rPr>
        <w:t>不因</w:t>
      </w:r>
      <w:r>
        <w:rPr>
          <w:rFonts w:hint="eastAsia" w:ascii="宋体" w:hAnsi="宋体" w:cs="宋体"/>
          <w:b/>
          <w:bCs/>
          <w:color w:val="auto"/>
          <w:szCs w:val="21"/>
          <w:highlight w:val="none"/>
          <w:u w:val="none"/>
          <w:lang w:val="en-US" w:eastAsia="zh-CN"/>
        </w:rPr>
        <w:t>该采购包</w:t>
      </w:r>
      <w:r>
        <w:rPr>
          <w:rFonts w:hint="eastAsia" w:ascii="宋体" w:hAnsi="宋体" w:eastAsia="宋体" w:cs="宋体"/>
          <w:b/>
          <w:bCs/>
          <w:color w:val="auto"/>
          <w:szCs w:val="21"/>
          <w:highlight w:val="none"/>
          <w:u w:val="none"/>
          <w:lang w:val="en-US" w:eastAsia="zh-CN"/>
        </w:rPr>
        <w:t>第一成交候选人</w:t>
      </w:r>
      <w:r>
        <w:rPr>
          <w:rFonts w:hint="eastAsia" w:ascii="宋体" w:hAnsi="宋体" w:cs="宋体"/>
          <w:b/>
          <w:bCs/>
          <w:color w:val="auto"/>
          <w:szCs w:val="21"/>
          <w:highlight w:val="none"/>
          <w:u w:val="none"/>
          <w:lang w:val="en-US" w:eastAsia="zh-CN"/>
        </w:rPr>
        <w:t>的</w:t>
      </w:r>
      <w:r>
        <w:rPr>
          <w:rFonts w:hint="eastAsia" w:ascii="宋体" w:hAnsi="宋体" w:eastAsia="宋体" w:cs="宋体"/>
          <w:b/>
          <w:bCs/>
          <w:color w:val="auto"/>
          <w:szCs w:val="21"/>
          <w:highlight w:val="none"/>
          <w:u w:val="none"/>
          <w:lang w:val="en-US" w:eastAsia="zh-CN"/>
        </w:rPr>
        <w:t>资格</w:t>
      </w:r>
      <w:r>
        <w:rPr>
          <w:rFonts w:hint="eastAsia" w:ascii="宋体" w:hAnsi="宋体" w:cs="宋体"/>
          <w:b/>
          <w:bCs/>
          <w:color w:val="auto"/>
          <w:szCs w:val="21"/>
          <w:highlight w:val="none"/>
          <w:u w:val="none"/>
          <w:lang w:val="en-US" w:eastAsia="zh-CN"/>
        </w:rPr>
        <w:t>取消</w:t>
      </w:r>
      <w:r>
        <w:rPr>
          <w:rFonts w:hint="eastAsia" w:ascii="宋体" w:hAnsi="宋体" w:eastAsia="宋体" w:cs="宋体"/>
          <w:b/>
          <w:bCs/>
          <w:color w:val="auto"/>
          <w:szCs w:val="21"/>
          <w:highlight w:val="none"/>
          <w:u w:val="none"/>
          <w:lang w:val="en-US" w:eastAsia="zh-CN"/>
        </w:rPr>
        <w:t>，而影响其他</w:t>
      </w:r>
      <w:r>
        <w:rPr>
          <w:rFonts w:hint="eastAsia" w:ascii="宋体" w:hAnsi="宋体" w:cs="宋体"/>
          <w:b/>
          <w:bCs/>
          <w:color w:val="auto"/>
          <w:szCs w:val="21"/>
          <w:highlight w:val="none"/>
          <w:u w:val="none"/>
          <w:lang w:val="en-US" w:eastAsia="zh-CN"/>
        </w:rPr>
        <w:t>采购包</w:t>
      </w:r>
      <w:r>
        <w:rPr>
          <w:rFonts w:hint="eastAsia" w:ascii="宋体" w:hAnsi="宋体" w:eastAsia="宋体" w:cs="宋体"/>
          <w:b/>
          <w:bCs/>
          <w:color w:val="auto"/>
          <w:szCs w:val="21"/>
          <w:highlight w:val="none"/>
          <w:u w:val="none"/>
          <w:lang w:val="en-US" w:eastAsia="zh-CN"/>
        </w:rPr>
        <w:t>的成交候选人入选名单。采购人有权从合格的成交候选人中另行确定成交供应商；没有合格的成交候选人的，则重新开展政府采购活动 。</w:t>
      </w:r>
    </w:p>
    <w:p w14:paraId="64954B24">
      <w:pPr>
        <w:spacing w:line="360" w:lineRule="auto"/>
        <w:ind w:firstLine="482"/>
        <w:rPr>
          <w:rFonts w:hint="eastAsia" w:ascii="宋体" w:hAnsi="宋体" w:cs="宋体"/>
          <w:b/>
          <w:color w:val="auto"/>
          <w:szCs w:val="21"/>
          <w:highlight w:val="none"/>
          <w:u w:val="none"/>
        </w:rPr>
      </w:pPr>
      <w:r>
        <w:rPr>
          <w:rFonts w:hint="eastAsia" w:ascii="宋体" w:hAnsi="宋体" w:cs="宋体"/>
          <w:b/>
          <w:color w:val="auto"/>
          <w:szCs w:val="21"/>
          <w:highlight w:val="none"/>
          <w:u w:val="none"/>
        </w:rPr>
        <w:t>五、磋商评定结果的方法</w:t>
      </w:r>
    </w:p>
    <w:p w14:paraId="4E708F60">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1.</w:t>
      </w:r>
      <w:r>
        <w:rPr>
          <w:rFonts w:hint="eastAsia" w:ascii="宋体" w:hAnsi="宋体" w:cs="宋体"/>
          <w:b/>
          <w:color w:val="auto"/>
          <w:szCs w:val="21"/>
          <w:highlight w:val="none"/>
          <w:u w:val="none"/>
        </w:rPr>
        <w:t>经磋商确定最终采购需求和提交最后报价的供应商后，</w:t>
      </w:r>
      <w:r>
        <w:rPr>
          <w:rFonts w:hint="eastAsia" w:ascii="宋体" w:hAnsi="宋体" w:cs="宋体"/>
          <w:color w:val="auto"/>
          <w:szCs w:val="21"/>
          <w:highlight w:val="none"/>
          <w:u w:val="none"/>
        </w:rPr>
        <w:t>由磋商小组采用综合评分法</w:t>
      </w:r>
      <w:r>
        <w:rPr>
          <w:rFonts w:hint="eastAsia" w:ascii="宋体" w:hAnsi="宋体" w:cs="宋体"/>
          <w:b/>
          <w:color w:val="auto"/>
          <w:szCs w:val="21"/>
          <w:highlight w:val="none"/>
          <w:u w:val="none"/>
        </w:rPr>
        <w:t>对提交最后报价的供应商的响应文件和最后报价</w:t>
      </w:r>
      <w:r>
        <w:rPr>
          <w:rFonts w:hint="eastAsia" w:ascii="宋体" w:hAnsi="宋体" w:cs="宋体"/>
          <w:color w:val="auto"/>
          <w:szCs w:val="21"/>
          <w:highlight w:val="none"/>
          <w:u w:val="none"/>
        </w:rPr>
        <w:t>进行综合评分。综合评分法，是指响应文件满足磋商文件全部实质性要求且按评审因素的量化指标评审得分最高的供应商为成交候选供应商的评审方法。</w:t>
      </w:r>
    </w:p>
    <w:p w14:paraId="4F3933E9">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2.评审时，磋商小组各成员应当独立对每个有效响应的文件进行评价、打分，然后汇总每个供应商每项评分因素的得分（计算结果均四舍五入保留两位小数）。</w:t>
      </w:r>
    </w:p>
    <w:p w14:paraId="608949E9">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3.本次项目磋商的商务技术和报价评审总分值为100分。 </w:t>
      </w:r>
    </w:p>
    <w:p w14:paraId="0DE54870">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4.商务技术分按算术平均值计算，分值四舍五入保留两位小数。</w:t>
      </w:r>
    </w:p>
    <w:p w14:paraId="3018AD88">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5.报价分统一采用低价优先法计算直接取得，与商务技术分相加为供应商的综合得分（四舍五入保留两位小数）。</w:t>
      </w:r>
    </w:p>
    <w:p w14:paraId="3DC600C4">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6.综合得分最高的供应商被推荐为成交候选人并出具评审磋商报告。</w:t>
      </w:r>
    </w:p>
    <w:p w14:paraId="7018282E">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7.确定成交候选人的特殊情况处理： </w:t>
      </w:r>
    </w:p>
    <w:p w14:paraId="69CA69C4">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（1）若总分相同，则按最终报价响应得分高者优先中标。</w:t>
      </w:r>
    </w:p>
    <w:p w14:paraId="15486430">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（2）若总分且最终报价响应得分相同，则采取现场抽签的方式确定（供应商的抽签顺序分别为各供应商递交响应文件签到顺序号）。</w:t>
      </w:r>
    </w:p>
    <w:p w14:paraId="15385311">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8.磋商评审时，评委对评审的细则若有争议，由磋商小组集体讨论确定，并对未尽情况有最终解释权。</w:t>
      </w:r>
    </w:p>
    <w:p w14:paraId="63F8654F">
      <w:pPr>
        <w:spacing w:line="360" w:lineRule="auto"/>
        <w:ind w:firstLine="482"/>
        <w:rPr>
          <w:rFonts w:hint="eastAsia" w:ascii="宋体" w:hAnsi="宋体" w:cs="宋体"/>
          <w:b/>
          <w:bCs/>
          <w:color w:val="auto"/>
          <w:szCs w:val="21"/>
          <w:highlight w:val="none"/>
          <w:u w:val="none"/>
        </w:rPr>
      </w:pPr>
    </w:p>
    <w:tbl>
      <w:tblPr>
        <w:tblStyle w:val="16"/>
        <w:tblW w:w="498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94"/>
        <w:gridCol w:w="6940"/>
        <w:gridCol w:w="965"/>
      </w:tblGrid>
      <w:tr w14:paraId="0E974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9" w:hRule="atLeast"/>
        </w:trPr>
        <w:tc>
          <w:tcPr>
            <w:tcW w:w="795" w:type="pct"/>
            <w:tcBorders>
              <w:top w:val="single" w:color="auto" w:sz="4" w:space="0"/>
              <w:left w:val="single" w:color="auto" w:sz="4" w:space="0"/>
              <w:bottom w:val="single" w:color="auto" w:sz="4" w:space="0"/>
              <w:right w:val="single" w:color="auto" w:sz="4" w:space="0"/>
            </w:tcBorders>
            <w:noWrap w:val="0"/>
            <w:vAlign w:val="center"/>
          </w:tcPr>
          <w:p w14:paraId="266A4461">
            <w:pPr>
              <w:spacing w:line="360" w:lineRule="auto"/>
              <w:jc w:val="center"/>
              <w:rPr>
                <w:rFonts w:ascii="宋体" w:hAnsi="宋体" w:cs="宋体"/>
                <w:b/>
                <w:bCs/>
                <w:szCs w:val="21"/>
                <w:highlight w:val="none"/>
              </w:rPr>
            </w:pPr>
            <w:bookmarkStart w:id="112" w:name="OLE_LINK9"/>
            <w:r>
              <w:rPr>
                <w:rFonts w:hint="eastAsia" w:ascii="宋体" w:hAnsi="宋体" w:cs="宋体"/>
                <w:b/>
                <w:bCs/>
                <w:szCs w:val="21"/>
                <w:highlight w:val="none"/>
              </w:rPr>
              <w:t>评分</w:t>
            </w:r>
            <w:bookmarkEnd w:id="112"/>
            <w:r>
              <w:rPr>
                <w:rFonts w:hint="eastAsia" w:ascii="宋体" w:hAnsi="宋体" w:cs="宋体"/>
                <w:b/>
                <w:bCs/>
                <w:szCs w:val="21"/>
                <w:highlight w:val="none"/>
              </w:rPr>
              <w:t>因素</w:t>
            </w:r>
          </w:p>
        </w:tc>
        <w:tc>
          <w:tcPr>
            <w:tcW w:w="3691" w:type="pct"/>
            <w:tcBorders>
              <w:top w:val="single" w:color="auto" w:sz="4" w:space="0"/>
              <w:left w:val="nil"/>
              <w:bottom w:val="single" w:color="auto" w:sz="4" w:space="0"/>
              <w:right w:val="single" w:color="auto" w:sz="4" w:space="0"/>
            </w:tcBorders>
            <w:noWrap w:val="0"/>
            <w:vAlign w:val="center"/>
          </w:tcPr>
          <w:p w14:paraId="6AC86F85">
            <w:pPr>
              <w:spacing w:line="360" w:lineRule="auto"/>
              <w:jc w:val="center"/>
              <w:rPr>
                <w:rFonts w:ascii="宋体" w:hAnsi="宋体" w:cs="宋体"/>
                <w:b/>
                <w:bCs/>
                <w:szCs w:val="21"/>
                <w:highlight w:val="none"/>
              </w:rPr>
            </w:pPr>
            <w:r>
              <w:rPr>
                <w:rFonts w:hint="eastAsia" w:ascii="宋体" w:hAnsi="宋体" w:cs="宋体"/>
                <w:b/>
                <w:bCs/>
                <w:szCs w:val="21"/>
                <w:highlight w:val="none"/>
              </w:rPr>
              <w:t>评分标准</w:t>
            </w:r>
          </w:p>
        </w:tc>
        <w:tc>
          <w:tcPr>
            <w:tcW w:w="513" w:type="pct"/>
            <w:tcBorders>
              <w:top w:val="single" w:color="auto" w:sz="4" w:space="0"/>
              <w:left w:val="nil"/>
              <w:bottom w:val="single" w:color="auto" w:sz="4" w:space="0"/>
              <w:right w:val="single" w:color="auto" w:sz="4" w:space="0"/>
            </w:tcBorders>
            <w:noWrap w:val="0"/>
            <w:vAlign w:val="center"/>
          </w:tcPr>
          <w:p w14:paraId="2DCC881F">
            <w:pPr>
              <w:spacing w:line="360" w:lineRule="auto"/>
              <w:jc w:val="center"/>
              <w:rPr>
                <w:rFonts w:ascii="宋体" w:hAnsi="宋体" w:cs="宋体"/>
                <w:b/>
                <w:bCs/>
                <w:szCs w:val="21"/>
                <w:highlight w:val="none"/>
              </w:rPr>
            </w:pPr>
            <w:r>
              <w:rPr>
                <w:rFonts w:hint="eastAsia" w:ascii="宋体" w:hAnsi="宋体" w:cs="宋体"/>
                <w:b/>
                <w:bCs/>
                <w:szCs w:val="21"/>
                <w:highlight w:val="none"/>
              </w:rPr>
              <w:t>得分</w:t>
            </w:r>
          </w:p>
        </w:tc>
      </w:tr>
      <w:tr w14:paraId="004CA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5" w:type="pct"/>
            <w:tcBorders>
              <w:top w:val="single" w:color="auto" w:sz="4" w:space="0"/>
              <w:left w:val="single" w:color="auto" w:sz="4" w:space="0"/>
              <w:bottom w:val="single" w:color="auto" w:sz="4" w:space="0"/>
              <w:right w:val="single" w:color="auto" w:sz="4" w:space="0"/>
            </w:tcBorders>
            <w:noWrap w:val="0"/>
            <w:vAlign w:val="center"/>
          </w:tcPr>
          <w:p w14:paraId="2596FE3C">
            <w:pPr>
              <w:spacing w:line="360" w:lineRule="auto"/>
              <w:jc w:val="center"/>
              <w:rPr>
                <w:rFonts w:ascii="宋体" w:hAnsi="宋体" w:cs="宋体"/>
                <w:szCs w:val="21"/>
                <w:highlight w:val="none"/>
              </w:rPr>
            </w:pPr>
            <w:r>
              <w:rPr>
                <w:rFonts w:hint="eastAsia" w:ascii="宋体" w:hAnsi="宋体" w:cs="宋体"/>
                <w:szCs w:val="21"/>
                <w:highlight w:val="none"/>
              </w:rPr>
              <w:t>价格部分</w:t>
            </w:r>
          </w:p>
          <w:p w14:paraId="7D48AB0C">
            <w:pPr>
              <w:spacing w:line="360" w:lineRule="auto"/>
              <w:jc w:val="center"/>
              <w:rPr>
                <w:rFonts w:ascii="宋体" w:hAnsi="宋体" w:cs="宋体"/>
                <w:szCs w:val="21"/>
                <w:highlight w:val="none"/>
              </w:rPr>
            </w:pPr>
            <w:r>
              <w:rPr>
                <w:rFonts w:hint="eastAsia" w:ascii="宋体" w:hAnsi="宋体" w:cs="宋体"/>
                <w:szCs w:val="21"/>
                <w:highlight w:val="none"/>
              </w:rPr>
              <w:t>（10分）</w:t>
            </w:r>
          </w:p>
        </w:tc>
        <w:tc>
          <w:tcPr>
            <w:tcW w:w="3691" w:type="pct"/>
            <w:tcBorders>
              <w:top w:val="single" w:color="auto" w:sz="4" w:space="0"/>
              <w:left w:val="nil"/>
              <w:bottom w:val="single" w:color="auto" w:sz="4" w:space="0"/>
              <w:right w:val="single" w:color="auto" w:sz="4" w:space="0"/>
            </w:tcBorders>
            <w:noWrap w:val="0"/>
            <w:vAlign w:val="center"/>
          </w:tcPr>
          <w:p w14:paraId="6D8FA85A">
            <w:pPr>
              <w:spacing w:line="360" w:lineRule="auto"/>
              <w:rPr>
                <w:rFonts w:hint="eastAsia" w:ascii="宋体" w:hAnsi="宋体" w:cs="宋体"/>
                <w:szCs w:val="21"/>
                <w:highlight w:val="none"/>
              </w:rPr>
            </w:pPr>
            <w:r>
              <w:rPr>
                <w:rFonts w:hint="eastAsia" w:ascii="宋体" w:hAnsi="宋体" w:cs="宋体"/>
                <w:szCs w:val="21"/>
                <w:highlight w:val="none"/>
              </w:rPr>
              <w:t>价格计分采用低价优先法计算，即满足招标文件要求且投标价格最低的投标报价为评标基准价，其投标报价得分为10分；</w:t>
            </w:r>
          </w:p>
          <w:p w14:paraId="1E8028E9">
            <w:pPr>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rPr>
              <w:t>其他合格</w:t>
            </w:r>
            <w:r>
              <w:rPr>
                <w:rFonts w:hint="eastAsia" w:ascii="宋体" w:hAnsi="宋体" w:cs="宋体"/>
                <w:szCs w:val="21"/>
                <w:highlight w:val="none"/>
                <w:lang w:eastAsia="zh-CN"/>
              </w:rPr>
              <w:t>响应供应商</w:t>
            </w:r>
            <w:r>
              <w:rPr>
                <w:rFonts w:hint="eastAsia" w:ascii="宋体" w:hAnsi="宋体" w:cs="宋体"/>
                <w:szCs w:val="21"/>
                <w:highlight w:val="none"/>
              </w:rPr>
              <w:t>的投标报价得分按照下列公式计算：投标报价得分=评标基准价/投标报价×10×100%</w:t>
            </w:r>
            <w:r>
              <w:rPr>
                <w:rFonts w:hint="eastAsia" w:ascii="宋体" w:hAnsi="宋体" w:cs="宋体"/>
                <w:szCs w:val="21"/>
                <w:highlight w:val="none"/>
                <w:lang w:eastAsia="zh-CN"/>
              </w:rPr>
              <w:t>（</w:t>
            </w:r>
            <w:r>
              <w:rPr>
                <w:rFonts w:hint="eastAsia" w:ascii="宋体" w:hAnsi="宋体" w:cs="宋体"/>
                <w:szCs w:val="21"/>
                <w:highlight w:val="none"/>
                <w:lang w:val="en-US" w:eastAsia="zh-CN"/>
              </w:rPr>
              <w:t>结果保留小数点后两位）。</w:t>
            </w:r>
          </w:p>
        </w:tc>
        <w:tc>
          <w:tcPr>
            <w:tcW w:w="513" w:type="pct"/>
            <w:tcBorders>
              <w:top w:val="single" w:color="auto" w:sz="4" w:space="0"/>
              <w:left w:val="nil"/>
              <w:bottom w:val="single" w:color="auto" w:sz="4" w:space="0"/>
              <w:right w:val="single" w:color="auto" w:sz="4" w:space="0"/>
            </w:tcBorders>
            <w:noWrap w:val="0"/>
            <w:vAlign w:val="center"/>
          </w:tcPr>
          <w:p w14:paraId="40C561A4">
            <w:pPr>
              <w:spacing w:line="360" w:lineRule="auto"/>
              <w:jc w:val="center"/>
              <w:rPr>
                <w:rFonts w:ascii="宋体" w:hAnsi="宋体" w:cs="宋体"/>
                <w:szCs w:val="21"/>
                <w:highlight w:val="none"/>
              </w:rPr>
            </w:pPr>
            <w:r>
              <w:rPr>
                <w:rFonts w:hint="eastAsia" w:ascii="宋体" w:hAnsi="宋体" w:cs="宋体"/>
                <w:szCs w:val="21"/>
                <w:highlight w:val="none"/>
              </w:rPr>
              <w:t>10分</w:t>
            </w:r>
          </w:p>
        </w:tc>
      </w:tr>
      <w:tr w14:paraId="5B60A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5" w:type="pct"/>
            <w:tcBorders>
              <w:top w:val="single" w:color="auto" w:sz="4" w:space="0"/>
              <w:left w:val="single" w:color="auto" w:sz="4" w:space="0"/>
              <w:right w:val="single" w:color="auto" w:sz="4" w:space="0"/>
            </w:tcBorders>
            <w:noWrap w:val="0"/>
            <w:vAlign w:val="center"/>
          </w:tcPr>
          <w:p w14:paraId="70C45E53">
            <w:pPr>
              <w:spacing w:line="360" w:lineRule="auto"/>
              <w:jc w:val="center"/>
              <w:rPr>
                <w:rFonts w:ascii="宋体" w:hAnsi="宋体" w:cs="宋体"/>
                <w:szCs w:val="21"/>
                <w:highlight w:val="none"/>
              </w:rPr>
            </w:pPr>
            <w:r>
              <w:rPr>
                <w:rFonts w:hint="eastAsia" w:ascii="宋体" w:hAnsi="宋体" w:cs="宋体"/>
                <w:szCs w:val="21"/>
                <w:highlight w:val="none"/>
              </w:rPr>
              <w:t>服务要求</w:t>
            </w:r>
          </w:p>
          <w:p w14:paraId="7F6181BC">
            <w:pPr>
              <w:spacing w:line="360" w:lineRule="auto"/>
              <w:jc w:val="center"/>
              <w:rPr>
                <w:rFonts w:ascii="宋体" w:hAnsi="宋体" w:cs="宋体"/>
                <w:szCs w:val="21"/>
                <w:highlight w:val="none"/>
              </w:rPr>
            </w:pPr>
            <w:r>
              <w:rPr>
                <w:rFonts w:hint="eastAsia" w:ascii="宋体" w:hAnsi="宋体" w:cs="宋体"/>
                <w:szCs w:val="21"/>
                <w:highlight w:val="none"/>
              </w:rPr>
              <w:t>（18分）</w:t>
            </w:r>
          </w:p>
        </w:tc>
        <w:tc>
          <w:tcPr>
            <w:tcW w:w="3691" w:type="pct"/>
            <w:tcBorders>
              <w:top w:val="single" w:color="auto" w:sz="4" w:space="0"/>
              <w:left w:val="nil"/>
              <w:bottom w:val="single" w:color="auto" w:sz="4" w:space="0"/>
              <w:right w:val="single" w:color="auto" w:sz="4" w:space="0"/>
            </w:tcBorders>
            <w:noWrap w:val="0"/>
            <w:vAlign w:val="center"/>
          </w:tcPr>
          <w:p w14:paraId="56ADA890">
            <w:pPr>
              <w:spacing w:line="360" w:lineRule="auto"/>
              <w:rPr>
                <w:rFonts w:hint="eastAsia" w:ascii="宋体" w:hAnsi="宋体" w:cs="宋体"/>
                <w:szCs w:val="21"/>
                <w:highlight w:val="none"/>
              </w:rPr>
            </w:pPr>
            <w:r>
              <w:rPr>
                <w:rFonts w:hint="eastAsia" w:ascii="宋体" w:hAnsi="宋体" w:cs="宋体"/>
                <w:szCs w:val="21"/>
                <w:highlight w:val="none"/>
                <w:lang w:eastAsia="zh-CN"/>
              </w:rPr>
              <w:t>响应供应商</w:t>
            </w:r>
            <w:r>
              <w:rPr>
                <w:rFonts w:hint="eastAsia" w:ascii="宋体" w:hAnsi="宋体" w:cs="宋体"/>
                <w:szCs w:val="21"/>
                <w:highlight w:val="none"/>
              </w:rPr>
              <w:t>完全响应招标文件服务要求得 18分，有一项不满足扣2分。</w:t>
            </w:r>
          </w:p>
          <w:p w14:paraId="31C820B4">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val="en-US" w:eastAsia="zh-CN"/>
              </w:rPr>
              <w:t>注：</w:t>
            </w:r>
            <w:r>
              <w:rPr>
                <w:rFonts w:hint="eastAsia" w:ascii="宋体" w:hAnsi="宋体" w:cs="宋体"/>
                <w:szCs w:val="21"/>
                <w:highlight w:val="none"/>
              </w:rPr>
              <w:t>需提供技术偏离表及承诺书，未提供的不予认可</w:t>
            </w:r>
            <w:r>
              <w:rPr>
                <w:rFonts w:hint="eastAsia" w:ascii="宋体" w:hAnsi="宋体" w:cs="宋体"/>
                <w:szCs w:val="21"/>
                <w:highlight w:val="none"/>
                <w:lang w:eastAsia="zh-CN"/>
              </w:rPr>
              <w:t>。</w:t>
            </w:r>
          </w:p>
        </w:tc>
        <w:tc>
          <w:tcPr>
            <w:tcW w:w="513" w:type="pct"/>
            <w:tcBorders>
              <w:top w:val="single" w:color="auto" w:sz="4" w:space="0"/>
              <w:left w:val="nil"/>
              <w:bottom w:val="single" w:color="auto" w:sz="4" w:space="0"/>
              <w:right w:val="single" w:color="auto" w:sz="4" w:space="0"/>
            </w:tcBorders>
            <w:noWrap w:val="0"/>
            <w:vAlign w:val="center"/>
          </w:tcPr>
          <w:p w14:paraId="58555190">
            <w:pPr>
              <w:spacing w:line="360" w:lineRule="auto"/>
              <w:jc w:val="center"/>
              <w:rPr>
                <w:rFonts w:ascii="宋体" w:hAnsi="宋体" w:cs="宋体"/>
                <w:szCs w:val="21"/>
                <w:highlight w:val="none"/>
              </w:rPr>
            </w:pPr>
            <w:r>
              <w:rPr>
                <w:rFonts w:hint="eastAsia" w:ascii="宋体" w:hAnsi="宋体" w:cs="宋体"/>
                <w:szCs w:val="21"/>
                <w:highlight w:val="none"/>
              </w:rPr>
              <w:t>18分</w:t>
            </w:r>
          </w:p>
        </w:tc>
      </w:tr>
      <w:tr w14:paraId="68ECF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5" w:type="pct"/>
            <w:vMerge w:val="restart"/>
            <w:tcBorders>
              <w:top w:val="single" w:color="auto" w:sz="4" w:space="0"/>
              <w:left w:val="single" w:color="auto" w:sz="4" w:space="0"/>
              <w:right w:val="single" w:color="auto" w:sz="4" w:space="0"/>
            </w:tcBorders>
            <w:noWrap w:val="0"/>
            <w:vAlign w:val="center"/>
          </w:tcPr>
          <w:p w14:paraId="777177F5">
            <w:pPr>
              <w:spacing w:line="360" w:lineRule="auto"/>
              <w:jc w:val="center"/>
              <w:rPr>
                <w:rFonts w:ascii="宋体" w:hAnsi="宋体" w:cs="宋体"/>
                <w:szCs w:val="21"/>
                <w:highlight w:val="none"/>
              </w:rPr>
            </w:pPr>
            <w:r>
              <w:rPr>
                <w:rFonts w:hint="eastAsia" w:ascii="宋体" w:hAnsi="宋体" w:cs="宋体"/>
                <w:szCs w:val="21"/>
                <w:highlight w:val="none"/>
              </w:rPr>
              <w:t>服务能力</w:t>
            </w:r>
          </w:p>
          <w:p w14:paraId="0E2A9F45">
            <w:pPr>
              <w:spacing w:line="360" w:lineRule="auto"/>
              <w:jc w:val="center"/>
              <w:rPr>
                <w:rFonts w:ascii="宋体" w:hAnsi="宋体" w:cs="宋体"/>
                <w:szCs w:val="21"/>
                <w:highlight w:val="none"/>
              </w:rPr>
            </w:pPr>
            <w:r>
              <w:rPr>
                <w:rFonts w:hint="eastAsia" w:ascii="宋体" w:hAnsi="宋体" w:cs="宋体"/>
                <w:szCs w:val="21"/>
                <w:highlight w:val="none"/>
              </w:rPr>
              <w:t>（</w:t>
            </w:r>
            <w:r>
              <w:rPr>
                <w:rFonts w:hint="eastAsia" w:ascii="宋体" w:hAnsi="宋体" w:cs="宋体"/>
                <w:szCs w:val="21"/>
                <w:highlight w:val="none"/>
                <w:lang w:val="en-US" w:eastAsia="zh-CN"/>
              </w:rPr>
              <w:t>29</w:t>
            </w:r>
            <w:r>
              <w:rPr>
                <w:rFonts w:hint="eastAsia" w:ascii="宋体" w:hAnsi="宋体" w:cs="宋体"/>
                <w:szCs w:val="21"/>
                <w:highlight w:val="none"/>
              </w:rPr>
              <w:t>分）</w:t>
            </w:r>
          </w:p>
        </w:tc>
        <w:tc>
          <w:tcPr>
            <w:tcW w:w="3691" w:type="pct"/>
            <w:tcBorders>
              <w:top w:val="single" w:color="auto" w:sz="4" w:space="0"/>
              <w:left w:val="nil"/>
              <w:bottom w:val="single" w:color="auto" w:sz="4" w:space="0"/>
              <w:right w:val="single" w:color="auto" w:sz="4" w:space="0"/>
            </w:tcBorders>
            <w:noWrap w:val="0"/>
            <w:vAlign w:val="center"/>
          </w:tcPr>
          <w:p w14:paraId="2071F92D">
            <w:pPr>
              <w:spacing w:line="360" w:lineRule="auto"/>
              <w:rPr>
                <w:rFonts w:hint="eastAsia" w:ascii="宋体" w:hAnsi="宋体" w:eastAsia="宋体"/>
                <w:highlight w:val="none"/>
              </w:rPr>
            </w:pPr>
            <w:r>
              <w:rPr>
                <w:rFonts w:hint="eastAsia" w:ascii="宋体" w:hAnsi="宋体" w:eastAsia="宋体"/>
                <w:highlight w:val="none"/>
              </w:rPr>
              <w:t>一、</w:t>
            </w:r>
            <w:r>
              <w:rPr>
                <w:rFonts w:hint="eastAsia" w:ascii="宋体" w:hAnsi="宋体" w:eastAsia="宋体"/>
                <w:highlight w:val="none"/>
                <w:lang w:eastAsia="zh-CN"/>
              </w:rPr>
              <w:t>响应供应商</w:t>
            </w:r>
            <w:r>
              <w:rPr>
                <w:rFonts w:hint="eastAsia" w:ascii="宋体" w:hAnsi="宋体" w:eastAsia="宋体"/>
                <w:highlight w:val="none"/>
              </w:rPr>
              <w:t>为本项目配备专职的项目负责人：</w:t>
            </w:r>
          </w:p>
          <w:p w14:paraId="76128D0D">
            <w:pPr>
              <w:spacing w:line="360" w:lineRule="auto"/>
              <w:rPr>
                <w:rFonts w:hint="eastAsia" w:ascii="宋体" w:hAnsi="宋体" w:eastAsia="宋体"/>
                <w:highlight w:val="none"/>
              </w:rPr>
            </w:pPr>
            <w:r>
              <w:rPr>
                <w:rFonts w:hint="eastAsia" w:ascii="宋体" w:hAnsi="宋体" w:eastAsia="宋体"/>
                <w:highlight w:val="none"/>
              </w:rPr>
              <w:t>1.须具有食品安全快检相关工作经验，持有培训合格证书，符合要求的得2分。</w:t>
            </w:r>
          </w:p>
          <w:p w14:paraId="2B29ED0C">
            <w:pPr>
              <w:spacing w:line="360" w:lineRule="auto"/>
              <w:rPr>
                <w:rFonts w:hint="eastAsia" w:ascii="宋体" w:hAnsi="宋体" w:eastAsia="宋体"/>
                <w:highlight w:val="none"/>
              </w:rPr>
            </w:pPr>
            <w:r>
              <w:rPr>
                <w:rFonts w:hint="eastAsia" w:ascii="宋体" w:hAnsi="宋体" w:eastAsia="宋体"/>
                <w:highlight w:val="none"/>
              </w:rPr>
              <w:t>2.具有食品类、化工类、生物类中级及以上职称得2分。</w:t>
            </w:r>
          </w:p>
          <w:p w14:paraId="6BC67055">
            <w:pPr>
              <w:spacing w:line="360" w:lineRule="auto"/>
              <w:rPr>
                <w:rFonts w:hint="eastAsia" w:ascii="宋体" w:hAnsi="宋体" w:eastAsia="宋体"/>
                <w:highlight w:val="none"/>
              </w:rPr>
            </w:pPr>
            <w:r>
              <w:rPr>
                <w:rFonts w:hint="eastAsia" w:ascii="宋体" w:hAnsi="宋体" w:eastAsia="宋体"/>
                <w:highlight w:val="none"/>
              </w:rPr>
              <w:t>3.具有2年以上（含2年）的食品安全快检服务项目负责人工作经验的，得2分。须提供工作证明。</w:t>
            </w:r>
          </w:p>
          <w:p w14:paraId="1EB99E1D">
            <w:pPr>
              <w:spacing w:line="360" w:lineRule="auto"/>
              <w:rPr>
                <w:highlight w:val="none"/>
              </w:rPr>
            </w:pPr>
            <w:r>
              <w:rPr>
                <w:rFonts w:hint="eastAsia" w:ascii="宋体" w:hAnsi="宋体" w:eastAsia="宋体"/>
                <w:highlight w:val="none"/>
              </w:rPr>
              <w:t>注：需提培训合格证书、职称证书、工作证明和</w:t>
            </w:r>
            <w:r>
              <w:rPr>
                <w:rFonts w:hint="eastAsia" w:ascii="宋体" w:hAnsi="宋体" w:eastAsia="宋体"/>
                <w:highlight w:val="none"/>
                <w:lang w:eastAsia="zh-CN"/>
              </w:rPr>
              <w:t>响应供应商</w:t>
            </w:r>
            <w:r>
              <w:rPr>
                <w:rFonts w:hint="eastAsia" w:ascii="宋体" w:hAnsi="宋体" w:eastAsia="宋体"/>
                <w:highlight w:val="none"/>
              </w:rPr>
              <w:t>为项目负责人缴纳的</w:t>
            </w:r>
            <w:r>
              <w:rPr>
                <w:rFonts w:hint="eastAsia" w:ascii="宋体" w:hAnsi="宋体" w:cs="宋体"/>
                <w:color w:val="auto"/>
                <w:szCs w:val="21"/>
                <w:highlight w:val="none"/>
                <w:u w:val="none"/>
                <w:lang w:eastAsia="zh-CN"/>
              </w:rPr>
              <w:t>2026年1月（含）至开标当日任一月份</w:t>
            </w:r>
            <w:r>
              <w:rPr>
                <w:rFonts w:hint="eastAsia" w:ascii="宋体" w:hAnsi="宋体" w:eastAsia="宋体"/>
                <w:highlight w:val="none"/>
              </w:rPr>
              <w:t>的社保缴费证明及劳动合同复印件加盖公章，不提供不得分。</w:t>
            </w:r>
          </w:p>
        </w:tc>
        <w:tc>
          <w:tcPr>
            <w:tcW w:w="513" w:type="pct"/>
            <w:tcBorders>
              <w:top w:val="single" w:color="auto" w:sz="4" w:space="0"/>
              <w:left w:val="nil"/>
              <w:bottom w:val="single" w:color="auto" w:sz="4" w:space="0"/>
              <w:right w:val="single" w:color="auto" w:sz="4" w:space="0"/>
            </w:tcBorders>
            <w:noWrap w:val="0"/>
            <w:vAlign w:val="center"/>
          </w:tcPr>
          <w:p w14:paraId="232BC0CB">
            <w:pPr>
              <w:spacing w:line="360" w:lineRule="auto"/>
              <w:jc w:val="center"/>
              <w:rPr>
                <w:rFonts w:ascii="宋体" w:hAnsi="宋体" w:cs="宋体"/>
                <w:szCs w:val="21"/>
                <w:highlight w:val="none"/>
              </w:rPr>
            </w:pPr>
            <w:r>
              <w:rPr>
                <w:rFonts w:hint="eastAsia" w:ascii="宋体" w:hAnsi="宋体" w:cs="宋体"/>
                <w:szCs w:val="21"/>
                <w:highlight w:val="none"/>
                <w:lang w:val="en-US" w:eastAsia="zh-CN"/>
              </w:rPr>
              <w:t>6</w:t>
            </w:r>
            <w:r>
              <w:rPr>
                <w:rFonts w:hint="eastAsia" w:ascii="宋体" w:hAnsi="宋体" w:cs="宋体"/>
                <w:szCs w:val="21"/>
                <w:highlight w:val="none"/>
              </w:rPr>
              <w:t>分</w:t>
            </w:r>
          </w:p>
        </w:tc>
      </w:tr>
      <w:tr w14:paraId="761FE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5" w:type="pct"/>
            <w:vMerge w:val="continue"/>
            <w:tcBorders>
              <w:left w:val="single" w:color="auto" w:sz="4" w:space="0"/>
              <w:right w:val="single" w:color="auto" w:sz="4" w:space="0"/>
            </w:tcBorders>
            <w:noWrap w:val="0"/>
            <w:vAlign w:val="center"/>
          </w:tcPr>
          <w:p w14:paraId="10298B75">
            <w:pPr>
              <w:spacing w:line="360" w:lineRule="auto"/>
              <w:jc w:val="center"/>
              <w:rPr>
                <w:rFonts w:ascii="宋体" w:hAnsi="宋体" w:cs="宋体"/>
                <w:szCs w:val="21"/>
                <w:highlight w:val="none"/>
              </w:rPr>
            </w:pPr>
          </w:p>
        </w:tc>
        <w:tc>
          <w:tcPr>
            <w:tcW w:w="3691" w:type="pct"/>
            <w:tcBorders>
              <w:top w:val="single" w:color="auto" w:sz="4" w:space="0"/>
              <w:left w:val="nil"/>
              <w:bottom w:val="single" w:color="auto" w:sz="4" w:space="0"/>
              <w:right w:val="single" w:color="auto" w:sz="4" w:space="0"/>
            </w:tcBorders>
            <w:noWrap w:val="0"/>
            <w:vAlign w:val="center"/>
          </w:tcPr>
          <w:p w14:paraId="2E51E084">
            <w:pPr>
              <w:pStyle w:val="5"/>
              <w:spacing w:line="360" w:lineRule="auto"/>
              <w:ind w:firstLine="0"/>
              <w:rPr>
                <w:rFonts w:hint="eastAsia" w:ascii="宋体" w:hAnsi="宋体" w:eastAsia="宋体" w:cs="宋体"/>
                <w:szCs w:val="21"/>
                <w:highlight w:val="none"/>
              </w:rPr>
            </w:pPr>
            <w:r>
              <w:rPr>
                <w:rFonts w:hint="eastAsia" w:ascii="宋体" w:hAnsi="宋体" w:eastAsia="宋体" w:cs="宋体"/>
                <w:szCs w:val="21"/>
                <w:highlight w:val="none"/>
              </w:rPr>
              <w:t>二、</w:t>
            </w:r>
            <w:r>
              <w:rPr>
                <w:rFonts w:hint="eastAsia" w:ascii="宋体" w:hAnsi="宋体" w:eastAsia="宋体" w:cs="宋体"/>
                <w:szCs w:val="21"/>
                <w:highlight w:val="none"/>
                <w:lang w:eastAsia="zh-CN"/>
              </w:rPr>
              <w:t>响应供应商</w:t>
            </w:r>
            <w:r>
              <w:rPr>
                <w:rFonts w:hint="eastAsia" w:ascii="宋体" w:hAnsi="宋体" w:eastAsia="宋体" w:cs="宋体"/>
                <w:szCs w:val="21"/>
                <w:highlight w:val="none"/>
              </w:rPr>
              <w:t>为本项目提供专业管理或技术培训人员：</w:t>
            </w:r>
          </w:p>
          <w:p w14:paraId="3CDA8774">
            <w:pPr>
              <w:pStyle w:val="5"/>
              <w:spacing w:line="360" w:lineRule="auto"/>
              <w:ind w:firstLine="0"/>
              <w:rPr>
                <w:rFonts w:hint="eastAsia" w:ascii="宋体" w:hAnsi="宋体" w:eastAsia="宋体" w:cs="宋体"/>
                <w:szCs w:val="21"/>
                <w:highlight w:val="none"/>
              </w:rPr>
            </w:pPr>
            <w:r>
              <w:rPr>
                <w:rFonts w:hint="eastAsia" w:ascii="宋体" w:hAnsi="宋体" w:eastAsia="宋体" w:cs="宋体"/>
                <w:szCs w:val="21"/>
                <w:highlight w:val="none"/>
              </w:rPr>
              <w:t>具有食品安全快检相关工作经验，持有培训合格证书，1人得2分，满分4分。</w:t>
            </w:r>
          </w:p>
          <w:p w14:paraId="22B73EBC">
            <w:pPr>
              <w:pStyle w:val="5"/>
              <w:spacing w:line="360" w:lineRule="auto"/>
              <w:ind w:firstLine="0"/>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注：</w:t>
            </w:r>
            <w:r>
              <w:rPr>
                <w:rFonts w:hint="eastAsia" w:ascii="宋体" w:hAnsi="宋体" w:eastAsia="宋体" w:cs="宋体"/>
                <w:szCs w:val="21"/>
                <w:highlight w:val="none"/>
              </w:rPr>
              <w:t>需提供培训合格证书复印件并加盖公章以及</w:t>
            </w:r>
            <w:r>
              <w:rPr>
                <w:rFonts w:hint="eastAsia" w:ascii="宋体" w:hAnsi="宋体" w:cs="宋体"/>
                <w:color w:val="auto"/>
                <w:szCs w:val="21"/>
                <w:highlight w:val="none"/>
                <w:u w:val="none"/>
                <w:lang w:eastAsia="zh-CN"/>
              </w:rPr>
              <w:t>2026年1月（含）至开标当日任一月份</w:t>
            </w:r>
            <w:r>
              <w:rPr>
                <w:rFonts w:hint="eastAsia" w:ascii="宋体" w:hAnsi="宋体" w:eastAsia="宋体" w:cs="宋体"/>
                <w:szCs w:val="21"/>
                <w:highlight w:val="none"/>
              </w:rPr>
              <w:t>的</w:t>
            </w:r>
            <w:r>
              <w:rPr>
                <w:rFonts w:hint="eastAsia" w:ascii="宋体" w:hAnsi="宋体" w:eastAsia="宋体" w:cs="宋体"/>
                <w:szCs w:val="21"/>
                <w:highlight w:val="none"/>
                <w:lang w:eastAsia="zh-CN"/>
              </w:rPr>
              <w:t>响应供应商</w:t>
            </w:r>
            <w:r>
              <w:rPr>
                <w:rFonts w:hint="eastAsia" w:ascii="宋体" w:hAnsi="宋体" w:eastAsia="宋体" w:cs="宋体"/>
                <w:szCs w:val="21"/>
                <w:highlight w:val="none"/>
              </w:rPr>
              <w:t>为其连续缴纳社保缴费证明</w:t>
            </w:r>
            <w:r>
              <w:rPr>
                <w:rFonts w:hint="eastAsia" w:ascii="宋体" w:hAnsi="宋体" w:eastAsia="宋体" w:cs="宋体"/>
                <w:szCs w:val="21"/>
                <w:highlight w:val="none"/>
                <w:lang w:eastAsia="zh-CN"/>
              </w:rPr>
              <w:t>，</w:t>
            </w:r>
            <w:r>
              <w:rPr>
                <w:rFonts w:hint="eastAsia" w:ascii="宋体" w:hAnsi="宋体" w:eastAsia="宋体" w:cs="宋体"/>
                <w:szCs w:val="21"/>
                <w:highlight w:val="none"/>
              </w:rPr>
              <w:t>未提供不得分</w:t>
            </w:r>
            <w:r>
              <w:rPr>
                <w:rFonts w:hint="eastAsia" w:ascii="宋体" w:hAnsi="宋体" w:eastAsia="宋体" w:cs="宋体"/>
                <w:szCs w:val="21"/>
                <w:highlight w:val="none"/>
                <w:lang w:eastAsia="zh-CN"/>
              </w:rPr>
              <w:t>。</w:t>
            </w:r>
          </w:p>
        </w:tc>
        <w:tc>
          <w:tcPr>
            <w:tcW w:w="513" w:type="pct"/>
            <w:tcBorders>
              <w:top w:val="single" w:color="auto" w:sz="4" w:space="0"/>
              <w:left w:val="nil"/>
              <w:bottom w:val="single" w:color="auto" w:sz="4" w:space="0"/>
              <w:right w:val="single" w:color="auto" w:sz="4" w:space="0"/>
            </w:tcBorders>
            <w:noWrap w:val="0"/>
            <w:vAlign w:val="center"/>
          </w:tcPr>
          <w:p w14:paraId="31524211">
            <w:pPr>
              <w:spacing w:line="360" w:lineRule="auto"/>
              <w:jc w:val="center"/>
              <w:rPr>
                <w:rFonts w:ascii="宋体" w:hAnsi="宋体" w:cs="宋体"/>
                <w:szCs w:val="21"/>
                <w:highlight w:val="none"/>
              </w:rPr>
            </w:pPr>
            <w:r>
              <w:rPr>
                <w:rFonts w:hint="eastAsia" w:ascii="宋体" w:hAnsi="宋体" w:cs="宋体"/>
                <w:szCs w:val="21"/>
                <w:highlight w:val="none"/>
              </w:rPr>
              <w:t>4分</w:t>
            </w:r>
          </w:p>
        </w:tc>
      </w:tr>
      <w:tr w14:paraId="02AAA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5" w:type="pct"/>
            <w:vMerge w:val="continue"/>
            <w:tcBorders>
              <w:left w:val="single" w:color="auto" w:sz="4" w:space="0"/>
              <w:right w:val="single" w:color="auto" w:sz="4" w:space="0"/>
            </w:tcBorders>
            <w:noWrap w:val="0"/>
            <w:vAlign w:val="center"/>
          </w:tcPr>
          <w:p w14:paraId="2F5ECC8F">
            <w:pPr>
              <w:spacing w:line="360" w:lineRule="auto"/>
              <w:jc w:val="center"/>
              <w:rPr>
                <w:rFonts w:ascii="宋体" w:hAnsi="宋体" w:cs="宋体"/>
                <w:szCs w:val="21"/>
                <w:highlight w:val="none"/>
              </w:rPr>
            </w:pPr>
          </w:p>
        </w:tc>
        <w:tc>
          <w:tcPr>
            <w:tcW w:w="3691" w:type="pct"/>
            <w:tcBorders>
              <w:top w:val="single" w:color="auto" w:sz="4" w:space="0"/>
              <w:left w:val="nil"/>
              <w:bottom w:val="single" w:color="auto" w:sz="4" w:space="0"/>
              <w:right w:val="single" w:color="auto" w:sz="4" w:space="0"/>
            </w:tcBorders>
            <w:noWrap w:val="0"/>
            <w:vAlign w:val="center"/>
          </w:tcPr>
          <w:p w14:paraId="39CCFD1A">
            <w:pPr>
              <w:spacing w:line="360" w:lineRule="auto"/>
              <w:rPr>
                <w:rFonts w:hint="eastAsia" w:ascii="宋体" w:hAnsi="宋体" w:eastAsia="宋体" w:cs="宋体"/>
                <w:szCs w:val="21"/>
                <w:highlight w:val="none"/>
              </w:rPr>
            </w:pPr>
            <w:r>
              <w:rPr>
                <w:rFonts w:hint="eastAsia" w:ascii="宋体" w:hAnsi="宋体" w:eastAsia="宋体" w:cs="宋体"/>
                <w:highlight w:val="none"/>
              </w:rPr>
              <w:t>三、信息安全保障能力：</w:t>
            </w:r>
            <w:r>
              <w:rPr>
                <w:rFonts w:hint="eastAsia" w:ascii="宋体" w:hAnsi="宋体" w:eastAsia="宋体" w:cs="宋体"/>
                <w:highlight w:val="none"/>
                <w:lang w:eastAsia="zh-CN"/>
              </w:rPr>
              <w:t>响应供应商</w:t>
            </w:r>
            <w:r>
              <w:rPr>
                <w:rFonts w:hint="eastAsia" w:ascii="宋体" w:hAnsi="宋体" w:eastAsia="宋体" w:cs="宋体"/>
                <w:highlight w:val="none"/>
              </w:rPr>
              <w:t>所使用的快检相关软件具有软件著作权证书的；每提供1种证书得</w:t>
            </w:r>
            <w:r>
              <w:rPr>
                <w:rFonts w:hint="eastAsia" w:ascii="宋体" w:hAnsi="宋体" w:cs="宋体"/>
                <w:highlight w:val="none"/>
                <w:lang w:val="en-US" w:eastAsia="zh-CN"/>
              </w:rPr>
              <w:t>2</w:t>
            </w:r>
            <w:r>
              <w:rPr>
                <w:rFonts w:hint="eastAsia" w:ascii="宋体" w:hAnsi="宋体" w:eastAsia="宋体" w:cs="宋体"/>
                <w:highlight w:val="none"/>
              </w:rPr>
              <w:t>分，本项最多得</w:t>
            </w:r>
            <w:r>
              <w:rPr>
                <w:rFonts w:hint="eastAsia" w:ascii="宋体" w:hAnsi="宋体" w:cs="宋体"/>
                <w:highlight w:val="none"/>
                <w:lang w:val="en-US" w:eastAsia="zh-CN"/>
              </w:rPr>
              <w:t>6</w:t>
            </w:r>
            <w:r>
              <w:rPr>
                <w:rFonts w:hint="eastAsia" w:ascii="宋体" w:hAnsi="宋体" w:eastAsia="宋体" w:cs="宋体"/>
                <w:highlight w:val="none"/>
              </w:rPr>
              <w:t>分。（提供相关证书原件扫描件并加盖公章，否则不得分。）</w:t>
            </w:r>
          </w:p>
        </w:tc>
        <w:tc>
          <w:tcPr>
            <w:tcW w:w="513" w:type="pct"/>
            <w:tcBorders>
              <w:top w:val="single" w:color="auto" w:sz="4" w:space="0"/>
              <w:left w:val="nil"/>
              <w:bottom w:val="single" w:color="auto" w:sz="4" w:space="0"/>
              <w:right w:val="single" w:color="auto" w:sz="4" w:space="0"/>
            </w:tcBorders>
            <w:noWrap w:val="0"/>
            <w:vAlign w:val="center"/>
          </w:tcPr>
          <w:p w14:paraId="46BC49CB">
            <w:pPr>
              <w:spacing w:line="360" w:lineRule="auto"/>
              <w:jc w:val="center"/>
              <w:rPr>
                <w:rFonts w:ascii="宋体" w:hAnsi="宋体" w:cs="宋体"/>
                <w:szCs w:val="21"/>
                <w:highlight w:val="none"/>
              </w:rPr>
            </w:pPr>
            <w:r>
              <w:rPr>
                <w:rFonts w:hint="eastAsia" w:ascii="宋体" w:hAnsi="宋体" w:cs="宋体"/>
                <w:szCs w:val="21"/>
                <w:highlight w:val="none"/>
                <w:lang w:val="en-US" w:eastAsia="zh-CN"/>
              </w:rPr>
              <w:t>6</w:t>
            </w:r>
            <w:r>
              <w:rPr>
                <w:rFonts w:hint="eastAsia" w:ascii="宋体" w:hAnsi="宋体" w:cs="宋体"/>
                <w:szCs w:val="21"/>
                <w:highlight w:val="none"/>
              </w:rPr>
              <w:t>分</w:t>
            </w:r>
          </w:p>
        </w:tc>
      </w:tr>
      <w:tr w14:paraId="1274F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5" w:type="pct"/>
            <w:vMerge w:val="continue"/>
            <w:tcBorders>
              <w:left w:val="single" w:color="auto" w:sz="4" w:space="0"/>
              <w:right w:val="single" w:color="auto" w:sz="4" w:space="0"/>
            </w:tcBorders>
            <w:noWrap w:val="0"/>
            <w:vAlign w:val="center"/>
          </w:tcPr>
          <w:p w14:paraId="719EF3AD">
            <w:pPr>
              <w:spacing w:line="360" w:lineRule="auto"/>
              <w:jc w:val="center"/>
              <w:rPr>
                <w:rFonts w:ascii="宋体" w:hAnsi="宋体" w:cs="宋体"/>
                <w:szCs w:val="21"/>
                <w:highlight w:val="none"/>
              </w:rPr>
            </w:pPr>
          </w:p>
        </w:tc>
        <w:tc>
          <w:tcPr>
            <w:tcW w:w="3691" w:type="pct"/>
            <w:tcBorders>
              <w:top w:val="single" w:color="auto" w:sz="4" w:space="0"/>
              <w:left w:val="nil"/>
              <w:bottom w:val="single" w:color="auto" w:sz="4" w:space="0"/>
              <w:right w:val="single" w:color="auto" w:sz="4" w:space="0"/>
            </w:tcBorders>
            <w:noWrap w:val="0"/>
            <w:vAlign w:val="center"/>
          </w:tcPr>
          <w:p w14:paraId="311BC7F9">
            <w:pPr>
              <w:widowControl/>
              <w:spacing w:line="360" w:lineRule="auto"/>
              <w:rPr>
                <w:rFonts w:ascii="宋体" w:hAnsi="宋体" w:cs="宋体"/>
                <w:szCs w:val="21"/>
                <w:highlight w:val="none"/>
              </w:rPr>
            </w:pPr>
            <w:r>
              <w:rPr>
                <w:rFonts w:hint="eastAsia" w:ascii="宋体" w:hAnsi="宋体" w:cs="宋体"/>
                <w:szCs w:val="21"/>
                <w:highlight w:val="none"/>
              </w:rPr>
              <w:t>四、</w:t>
            </w:r>
            <w:r>
              <w:rPr>
                <w:rFonts w:hint="eastAsia" w:ascii="宋体" w:hAnsi="宋体" w:cs="宋体"/>
                <w:szCs w:val="21"/>
                <w:highlight w:val="none"/>
                <w:lang w:eastAsia="zh-CN"/>
              </w:rPr>
              <w:t>响应供应商</w:t>
            </w:r>
            <w:r>
              <w:rPr>
                <w:rFonts w:hint="eastAsia" w:ascii="宋体" w:hAnsi="宋体" w:cs="宋体"/>
                <w:szCs w:val="21"/>
                <w:highlight w:val="none"/>
              </w:rPr>
              <w:t>检测服务能力</w:t>
            </w:r>
          </w:p>
          <w:p w14:paraId="7A85B0C2">
            <w:pPr>
              <w:widowControl/>
              <w:spacing w:line="360" w:lineRule="auto"/>
              <w:rPr>
                <w:rFonts w:ascii="宋体" w:hAnsi="宋体" w:cs="宋体"/>
                <w:szCs w:val="21"/>
                <w:highlight w:val="none"/>
              </w:rPr>
            </w:pPr>
            <w:r>
              <w:rPr>
                <w:rFonts w:hint="eastAsia" w:ascii="宋体" w:hAnsi="宋体" w:cs="宋体"/>
                <w:szCs w:val="21"/>
                <w:highlight w:val="none"/>
              </w:rPr>
              <w:t>1.</w:t>
            </w:r>
            <w:r>
              <w:rPr>
                <w:rFonts w:hint="eastAsia" w:ascii="宋体" w:hAnsi="宋体" w:cs="宋体"/>
                <w:szCs w:val="21"/>
                <w:highlight w:val="none"/>
                <w:lang w:eastAsia="zh-CN"/>
              </w:rPr>
              <w:t>响应供应商</w:t>
            </w:r>
            <w:r>
              <w:rPr>
                <w:rFonts w:hint="eastAsia" w:ascii="宋体" w:hAnsi="宋体" w:cs="宋体"/>
                <w:szCs w:val="21"/>
                <w:highlight w:val="none"/>
              </w:rPr>
              <w:t>拟投入检测试剂通过中国水产科学研究院水产品中药物快速检测产品筛选验证（项目至少包含：氧氟沙星、孔雀石绿、氯霉素、硝基呋喃代谢物）的，可得2分。（提供相关红头证明文件加盖</w:t>
            </w:r>
            <w:r>
              <w:rPr>
                <w:rFonts w:hint="eastAsia" w:ascii="宋体" w:hAnsi="宋体" w:cs="宋体"/>
                <w:szCs w:val="21"/>
                <w:highlight w:val="none"/>
                <w:lang w:eastAsia="zh-CN"/>
              </w:rPr>
              <w:t>响应供应商</w:t>
            </w:r>
            <w:r>
              <w:rPr>
                <w:rFonts w:hint="eastAsia" w:ascii="宋体" w:hAnsi="宋体" w:cs="宋体"/>
                <w:szCs w:val="21"/>
                <w:highlight w:val="none"/>
              </w:rPr>
              <w:t>公章）</w:t>
            </w:r>
          </w:p>
          <w:p w14:paraId="4B714C21">
            <w:pPr>
              <w:widowControl/>
              <w:spacing w:line="360" w:lineRule="auto"/>
              <w:rPr>
                <w:rFonts w:ascii="宋体" w:hAnsi="宋体" w:cs="宋体"/>
                <w:szCs w:val="21"/>
                <w:highlight w:val="none"/>
              </w:rPr>
            </w:pPr>
            <w:r>
              <w:rPr>
                <w:rFonts w:hint="eastAsia" w:ascii="宋体" w:hAnsi="宋体" w:cs="宋体"/>
                <w:szCs w:val="21"/>
                <w:highlight w:val="none"/>
              </w:rPr>
              <w:t>2.</w:t>
            </w:r>
            <w:r>
              <w:rPr>
                <w:rFonts w:hint="eastAsia" w:ascii="宋体" w:hAnsi="宋体" w:cs="宋体"/>
                <w:szCs w:val="21"/>
                <w:highlight w:val="none"/>
                <w:lang w:eastAsia="zh-CN"/>
              </w:rPr>
              <w:t>响应供应商</w:t>
            </w:r>
            <w:r>
              <w:rPr>
                <w:rFonts w:hint="eastAsia" w:ascii="宋体" w:hAnsi="宋体" w:cs="宋体"/>
                <w:szCs w:val="21"/>
                <w:highlight w:val="none"/>
              </w:rPr>
              <w:t>拟投入农药残留检测试剂获得省级以上农村农业部门（不限江苏）推荐或通过，每份证明得1分，最多得2分。（提供相关红头证明文件加盖</w:t>
            </w:r>
            <w:r>
              <w:rPr>
                <w:rFonts w:hint="eastAsia" w:ascii="宋体" w:hAnsi="宋体" w:cs="宋体"/>
                <w:szCs w:val="21"/>
                <w:highlight w:val="none"/>
                <w:lang w:eastAsia="zh-CN"/>
              </w:rPr>
              <w:t>响应供应商</w:t>
            </w:r>
            <w:r>
              <w:rPr>
                <w:rFonts w:hint="eastAsia" w:ascii="宋体" w:hAnsi="宋体" w:cs="宋体"/>
                <w:szCs w:val="21"/>
                <w:highlight w:val="none"/>
              </w:rPr>
              <w:t>公章）</w:t>
            </w:r>
          </w:p>
          <w:p w14:paraId="4B1B183B">
            <w:pPr>
              <w:widowControl/>
              <w:spacing w:line="360" w:lineRule="auto"/>
              <w:rPr>
                <w:rFonts w:ascii="宋体" w:hAnsi="宋体" w:cs="宋体"/>
                <w:szCs w:val="21"/>
                <w:highlight w:val="none"/>
              </w:rPr>
            </w:pPr>
            <w:r>
              <w:rPr>
                <w:rFonts w:hint="eastAsia" w:ascii="宋体" w:hAnsi="宋体" w:cs="宋体"/>
                <w:szCs w:val="21"/>
                <w:highlight w:val="none"/>
              </w:rPr>
              <w:t>3.</w:t>
            </w:r>
            <w:r>
              <w:rPr>
                <w:rFonts w:hint="eastAsia" w:ascii="宋体" w:hAnsi="宋体" w:cs="宋体"/>
                <w:szCs w:val="21"/>
                <w:highlight w:val="none"/>
                <w:lang w:eastAsia="zh-CN"/>
              </w:rPr>
              <w:t>响应供应商</w:t>
            </w:r>
            <w:r>
              <w:rPr>
                <w:rFonts w:hint="eastAsia" w:ascii="宋体" w:hAnsi="宋体" w:cs="宋体"/>
                <w:szCs w:val="21"/>
                <w:highlight w:val="none"/>
              </w:rPr>
              <w:t>拟投入试剂需提供试剂生产厂家符合国家总局公告的快检方法的经过具有检验资质的第三方机构实验出具的评价报告，评价报告需按食药监办科</w:t>
            </w:r>
            <w:r>
              <w:rPr>
                <w:rFonts w:hint="eastAsia" w:ascii="仿宋" w:hAnsi="仿宋" w:eastAsia="仿宋" w:cs="仿宋"/>
                <w:szCs w:val="21"/>
                <w:highlight w:val="none"/>
              </w:rPr>
              <w:t>〔</w:t>
            </w:r>
            <w:r>
              <w:rPr>
                <w:rFonts w:hint="eastAsia" w:ascii="宋体" w:hAnsi="宋体" w:cs="宋体"/>
                <w:szCs w:val="21"/>
                <w:highlight w:val="none"/>
              </w:rPr>
              <w:t>2017</w:t>
            </w:r>
            <w:r>
              <w:rPr>
                <w:rFonts w:hint="eastAsia" w:ascii="仿宋" w:hAnsi="仿宋" w:eastAsia="仿宋" w:cs="仿宋"/>
                <w:szCs w:val="21"/>
                <w:highlight w:val="none"/>
              </w:rPr>
              <w:t>〕</w:t>
            </w:r>
            <w:r>
              <w:rPr>
                <w:rFonts w:hint="eastAsia" w:ascii="宋体" w:hAnsi="宋体" w:cs="宋体"/>
                <w:szCs w:val="21"/>
                <w:highlight w:val="none"/>
              </w:rPr>
              <w:t>43号《食品快速检测方法评价技术规范》要求进行盲样测试，评价结果需符合国家食药监总局快检方法要求（评价内容至少包括适用范围、灵敏度、特异性、假阳性率、假阴性率指标），每提供1个得0.5分，最高4分。</w:t>
            </w:r>
          </w:p>
        </w:tc>
        <w:tc>
          <w:tcPr>
            <w:tcW w:w="513" w:type="pct"/>
            <w:tcBorders>
              <w:top w:val="single" w:color="auto" w:sz="4" w:space="0"/>
              <w:left w:val="nil"/>
              <w:bottom w:val="single" w:color="auto" w:sz="4" w:space="0"/>
              <w:right w:val="single" w:color="auto" w:sz="4" w:space="0"/>
            </w:tcBorders>
            <w:noWrap w:val="0"/>
            <w:vAlign w:val="center"/>
          </w:tcPr>
          <w:p w14:paraId="5C295842">
            <w:pPr>
              <w:spacing w:line="360" w:lineRule="auto"/>
              <w:jc w:val="center"/>
              <w:rPr>
                <w:rFonts w:ascii="宋体" w:hAnsi="宋体" w:cs="宋体"/>
                <w:szCs w:val="21"/>
                <w:highlight w:val="none"/>
              </w:rPr>
            </w:pPr>
            <w:r>
              <w:rPr>
                <w:rFonts w:hint="eastAsia" w:ascii="宋体" w:hAnsi="宋体" w:cs="宋体"/>
                <w:szCs w:val="21"/>
                <w:highlight w:val="none"/>
              </w:rPr>
              <w:t>8分</w:t>
            </w:r>
          </w:p>
        </w:tc>
      </w:tr>
      <w:tr w14:paraId="42101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5" w:type="pct"/>
            <w:vMerge w:val="continue"/>
            <w:tcBorders>
              <w:left w:val="single" w:color="auto" w:sz="4" w:space="0"/>
              <w:right w:val="single" w:color="auto" w:sz="4" w:space="0"/>
            </w:tcBorders>
            <w:noWrap w:val="0"/>
            <w:vAlign w:val="center"/>
          </w:tcPr>
          <w:p w14:paraId="4A8CAB51">
            <w:pPr>
              <w:spacing w:line="360" w:lineRule="auto"/>
              <w:jc w:val="center"/>
              <w:rPr>
                <w:rFonts w:ascii="宋体" w:hAnsi="宋体" w:cs="宋体"/>
                <w:szCs w:val="21"/>
                <w:highlight w:val="none"/>
              </w:rPr>
            </w:pPr>
          </w:p>
        </w:tc>
        <w:tc>
          <w:tcPr>
            <w:tcW w:w="3691" w:type="pct"/>
            <w:tcBorders>
              <w:top w:val="single" w:color="auto" w:sz="4" w:space="0"/>
              <w:left w:val="nil"/>
              <w:bottom w:val="single" w:color="auto" w:sz="4" w:space="0"/>
              <w:right w:val="single" w:color="auto" w:sz="4" w:space="0"/>
            </w:tcBorders>
            <w:noWrap w:val="0"/>
            <w:vAlign w:val="center"/>
          </w:tcPr>
          <w:p w14:paraId="289452B2">
            <w:pPr>
              <w:widowControl/>
              <w:spacing w:line="360" w:lineRule="auto"/>
              <w:rPr>
                <w:rFonts w:ascii="宋体" w:hAnsi="宋体" w:cs="宋体"/>
                <w:szCs w:val="21"/>
                <w:highlight w:val="none"/>
              </w:rPr>
            </w:pPr>
            <w:r>
              <w:rPr>
                <w:rFonts w:hint="eastAsia" w:ascii="宋体" w:hAnsi="宋体" w:cs="宋体"/>
                <w:szCs w:val="21"/>
                <w:highlight w:val="none"/>
              </w:rPr>
              <w:t>五、</w:t>
            </w:r>
            <w:r>
              <w:rPr>
                <w:rFonts w:hint="eastAsia" w:ascii="宋体" w:hAnsi="宋体" w:cs="宋体"/>
                <w:szCs w:val="21"/>
                <w:highlight w:val="none"/>
                <w:lang w:eastAsia="zh-CN"/>
              </w:rPr>
              <w:t>响应供应商</w:t>
            </w:r>
            <w:r>
              <w:rPr>
                <w:rFonts w:hint="eastAsia" w:ascii="宋体" w:hAnsi="宋体" w:cs="宋体"/>
                <w:szCs w:val="21"/>
                <w:highlight w:val="none"/>
              </w:rPr>
              <w:t>重大活动保障的支持能力</w:t>
            </w:r>
          </w:p>
          <w:p w14:paraId="05B00F58">
            <w:pPr>
              <w:widowControl/>
              <w:spacing w:line="360" w:lineRule="auto"/>
              <w:rPr>
                <w:rFonts w:ascii="宋体" w:hAnsi="宋体" w:cs="宋体"/>
                <w:szCs w:val="21"/>
                <w:highlight w:val="none"/>
              </w:rPr>
            </w:pPr>
            <w:r>
              <w:rPr>
                <w:rFonts w:hint="eastAsia" w:ascii="宋体" w:hAnsi="宋体" w:cs="宋体"/>
                <w:szCs w:val="21"/>
                <w:highlight w:val="none"/>
                <w:lang w:eastAsia="zh-CN"/>
              </w:rPr>
              <w:t>响应供应商</w:t>
            </w:r>
            <w:r>
              <w:rPr>
                <w:rFonts w:hint="eastAsia" w:ascii="宋体" w:hAnsi="宋体" w:cs="宋体"/>
                <w:szCs w:val="21"/>
                <w:highlight w:val="none"/>
              </w:rPr>
              <w:t>自有或租赁专用食品安全快速检测车的，符合要求的得3分。</w:t>
            </w:r>
          </w:p>
          <w:p w14:paraId="6CB35BC1">
            <w:pPr>
              <w:spacing w:line="360" w:lineRule="auto"/>
              <w:rPr>
                <w:rFonts w:ascii="宋体" w:hAnsi="宋体" w:cs="宋体"/>
                <w:szCs w:val="21"/>
                <w:highlight w:val="none"/>
              </w:rPr>
            </w:pPr>
            <w:r>
              <w:rPr>
                <w:rFonts w:hint="eastAsia" w:ascii="宋体" w:hAnsi="宋体" w:cs="宋体"/>
                <w:szCs w:val="21"/>
                <w:highlight w:val="none"/>
              </w:rPr>
              <w:t>1.自有车辆：投标文件中须提供车辆行驶证（行驶证中车辆类型需为轻型或中型非载货专项作业，提供普通客车或货车行驶证不得分）及车辆登记证盖章复印件和整车实物照片（含车载设备），证件所有人需与</w:t>
            </w:r>
            <w:r>
              <w:rPr>
                <w:rFonts w:hint="eastAsia" w:ascii="宋体" w:hAnsi="宋体" w:cs="宋体"/>
                <w:szCs w:val="21"/>
                <w:highlight w:val="none"/>
                <w:lang w:eastAsia="zh-CN"/>
              </w:rPr>
              <w:t>响应供应商</w:t>
            </w:r>
            <w:r>
              <w:rPr>
                <w:rFonts w:hint="eastAsia" w:ascii="宋体" w:hAnsi="宋体" w:cs="宋体"/>
                <w:szCs w:val="21"/>
                <w:highlight w:val="none"/>
              </w:rPr>
              <w:t>名称一致。</w:t>
            </w:r>
          </w:p>
          <w:p w14:paraId="03AC538F">
            <w:pPr>
              <w:spacing w:line="360" w:lineRule="auto"/>
              <w:rPr>
                <w:rFonts w:ascii="宋体" w:hAnsi="宋体" w:cs="宋体"/>
                <w:szCs w:val="21"/>
                <w:highlight w:val="none"/>
              </w:rPr>
            </w:pPr>
            <w:r>
              <w:rPr>
                <w:rFonts w:hint="eastAsia" w:ascii="宋体" w:hAnsi="宋体" w:cs="宋体"/>
                <w:szCs w:val="21"/>
                <w:highlight w:val="none"/>
              </w:rPr>
              <w:t>2.租赁车辆：投标文件中须提供车辆行驶证（行驶证中车辆类型需为轻型或中型非载货专项作业，提供普通客车或货车行驶证不得分）及车辆登记证盖章复印件和整车实物照片（含车载设备），证件所有人需与出租方名称一致。除上述材料外，另须提供租赁合同复印件。</w:t>
            </w:r>
          </w:p>
        </w:tc>
        <w:tc>
          <w:tcPr>
            <w:tcW w:w="513" w:type="pct"/>
            <w:tcBorders>
              <w:top w:val="single" w:color="auto" w:sz="4" w:space="0"/>
              <w:left w:val="nil"/>
              <w:bottom w:val="single" w:color="auto" w:sz="4" w:space="0"/>
              <w:right w:val="single" w:color="auto" w:sz="4" w:space="0"/>
            </w:tcBorders>
            <w:noWrap w:val="0"/>
            <w:vAlign w:val="center"/>
          </w:tcPr>
          <w:p w14:paraId="00E99A5A">
            <w:pPr>
              <w:spacing w:line="360" w:lineRule="auto"/>
              <w:jc w:val="center"/>
              <w:rPr>
                <w:rFonts w:ascii="宋体" w:hAnsi="宋体" w:cs="宋体"/>
                <w:szCs w:val="21"/>
                <w:highlight w:val="none"/>
              </w:rPr>
            </w:pPr>
            <w:r>
              <w:rPr>
                <w:rFonts w:hint="eastAsia" w:ascii="宋体" w:hAnsi="宋体" w:cs="宋体"/>
                <w:szCs w:val="21"/>
                <w:highlight w:val="none"/>
              </w:rPr>
              <w:t>3分</w:t>
            </w:r>
          </w:p>
        </w:tc>
      </w:tr>
      <w:tr w14:paraId="255D2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5" w:type="pct"/>
            <w:vMerge w:val="continue"/>
            <w:tcBorders>
              <w:left w:val="single" w:color="auto" w:sz="4" w:space="0"/>
              <w:right w:val="single" w:color="auto" w:sz="4" w:space="0"/>
            </w:tcBorders>
            <w:noWrap w:val="0"/>
            <w:vAlign w:val="center"/>
          </w:tcPr>
          <w:p w14:paraId="2FB557C7">
            <w:pPr>
              <w:spacing w:line="360" w:lineRule="auto"/>
              <w:jc w:val="center"/>
              <w:rPr>
                <w:rFonts w:ascii="宋体" w:hAnsi="宋体" w:cs="宋体"/>
                <w:szCs w:val="21"/>
                <w:highlight w:val="none"/>
              </w:rPr>
            </w:pPr>
          </w:p>
        </w:tc>
        <w:tc>
          <w:tcPr>
            <w:tcW w:w="3691" w:type="pct"/>
            <w:tcBorders>
              <w:top w:val="single" w:color="auto" w:sz="4" w:space="0"/>
              <w:left w:val="nil"/>
              <w:bottom w:val="single" w:color="auto" w:sz="4" w:space="0"/>
              <w:right w:val="single" w:color="auto" w:sz="4" w:space="0"/>
            </w:tcBorders>
            <w:noWrap w:val="0"/>
            <w:vAlign w:val="center"/>
          </w:tcPr>
          <w:p w14:paraId="4E747B80">
            <w:pPr>
              <w:numPr>
                <w:ilvl w:val="0"/>
                <w:numId w:val="0"/>
              </w:numPr>
              <w:spacing w:line="360" w:lineRule="auto"/>
              <w:rPr>
                <w:rFonts w:hint="eastAsia" w:ascii="宋体" w:hAnsi="宋体" w:cs="宋体"/>
                <w:szCs w:val="21"/>
                <w:highlight w:val="none"/>
              </w:rPr>
            </w:pPr>
            <w:r>
              <w:rPr>
                <w:rFonts w:hint="eastAsia" w:ascii="宋体" w:hAnsi="宋体" w:cs="宋体"/>
                <w:szCs w:val="21"/>
                <w:highlight w:val="none"/>
                <w:lang w:val="en-US" w:eastAsia="zh-CN"/>
              </w:rPr>
              <w:t>六、</w:t>
            </w:r>
            <w:r>
              <w:rPr>
                <w:rFonts w:hint="eastAsia" w:ascii="宋体" w:hAnsi="宋体" w:cs="宋体"/>
                <w:szCs w:val="21"/>
                <w:highlight w:val="none"/>
                <w:lang w:eastAsia="zh-CN"/>
              </w:rPr>
              <w:t>响应供应商</w:t>
            </w:r>
            <w:r>
              <w:rPr>
                <w:rFonts w:hint="eastAsia" w:ascii="宋体" w:hAnsi="宋体" w:cs="宋体"/>
                <w:szCs w:val="21"/>
                <w:highlight w:val="none"/>
              </w:rPr>
              <w:t>拟投入本项目的产品通过国家认证认可机构认证的，每有一个产品通过认证且在有效期内的得1分；本项最高得</w:t>
            </w:r>
            <w:r>
              <w:rPr>
                <w:rFonts w:hint="eastAsia" w:ascii="宋体" w:hAnsi="宋体" w:cs="宋体"/>
                <w:szCs w:val="21"/>
                <w:highlight w:val="none"/>
                <w:lang w:val="en-US" w:eastAsia="zh-CN"/>
              </w:rPr>
              <w:t>2</w:t>
            </w:r>
            <w:r>
              <w:rPr>
                <w:rFonts w:hint="eastAsia" w:ascii="宋体" w:hAnsi="宋体" w:cs="宋体"/>
                <w:szCs w:val="21"/>
                <w:highlight w:val="none"/>
              </w:rPr>
              <w:t>分。</w:t>
            </w:r>
          </w:p>
          <w:p w14:paraId="172EF525">
            <w:pPr>
              <w:numPr>
                <w:ilvl w:val="0"/>
                <w:numId w:val="0"/>
              </w:numPr>
              <w:spacing w:line="360" w:lineRule="auto"/>
              <w:rPr>
                <w:rFonts w:ascii="宋体" w:hAnsi="宋体" w:cs="宋体"/>
                <w:szCs w:val="21"/>
                <w:highlight w:val="none"/>
              </w:rPr>
            </w:pPr>
            <w:r>
              <w:rPr>
                <w:rFonts w:hint="eastAsia" w:ascii="宋体" w:hAnsi="宋体" w:cs="宋体"/>
                <w:szCs w:val="21"/>
                <w:highlight w:val="none"/>
              </w:rPr>
              <w:t>注：提供认证证书复印件并加盖公章。</w:t>
            </w:r>
          </w:p>
        </w:tc>
        <w:tc>
          <w:tcPr>
            <w:tcW w:w="513" w:type="pct"/>
            <w:tcBorders>
              <w:top w:val="single" w:color="auto" w:sz="4" w:space="0"/>
              <w:left w:val="nil"/>
              <w:bottom w:val="single" w:color="auto" w:sz="4" w:space="0"/>
              <w:right w:val="single" w:color="auto" w:sz="4" w:space="0"/>
            </w:tcBorders>
            <w:noWrap w:val="0"/>
            <w:vAlign w:val="center"/>
          </w:tcPr>
          <w:p w14:paraId="3D47413B">
            <w:pPr>
              <w:spacing w:line="360" w:lineRule="auto"/>
              <w:jc w:val="center"/>
              <w:rPr>
                <w:rFonts w:ascii="宋体" w:hAnsi="宋体" w:cs="宋体"/>
                <w:szCs w:val="21"/>
                <w:highlight w:val="none"/>
              </w:rPr>
            </w:pPr>
            <w:r>
              <w:rPr>
                <w:rFonts w:hint="eastAsia" w:ascii="宋体" w:hAnsi="宋体" w:cs="宋体"/>
                <w:szCs w:val="21"/>
                <w:highlight w:val="none"/>
                <w:lang w:val="en-US" w:eastAsia="zh-CN"/>
              </w:rPr>
              <w:t>2</w:t>
            </w:r>
            <w:r>
              <w:rPr>
                <w:rFonts w:hint="eastAsia" w:ascii="宋体" w:hAnsi="宋体" w:cs="宋体"/>
                <w:szCs w:val="21"/>
                <w:highlight w:val="none"/>
              </w:rPr>
              <w:t>分</w:t>
            </w:r>
          </w:p>
        </w:tc>
      </w:tr>
      <w:tr w14:paraId="60EA6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trPr>
        <w:tc>
          <w:tcPr>
            <w:tcW w:w="795" w:type="pct"/>
            <w:tcBorders>
              <w:top w:val="single" w:color="auto" w:sz="4" w:space="0"/>
              <w:left w:val="single" w:color="auto" w:sz="4" w:space="0"/>
              <w:right w:val="single" w:color="auto" w:sz="4" w:space="0"/>
            </w:tcBorders>
            <w:noWrap w:val="0"/>
            <w:vAlign w:val="center"/>
          </w:tcPr>
          <w:p w14:paraId="6C33BC9C">
            <w:pPr>
              <w:spacing w:line="360" w:lineRule="auto"/>
              <w:jc w:val="center"/>
              <w:rPr>
                <w:rFonts w:ascii="宋体" w:hAnsi="宋体" w:cs="宋体"/>
                <w:szCs w:val="21"/>
                <w:highlight w:val="none"/>
              </w:rPr>
            </w:pPr>
            <w:r>
              <w:rPr>
                <w:rFonts w:hint="eastAsia" w:ascii="宋体" w:hAnsi="宋体" w:cs="宋体"/>
                <w:szCs w:val="21"/>
                <w:highlight w:val="none"/>
              </w:rPr>
              <w:t>综合实力</w:t>
            </w:r>
          </w:p>
          <w:p w14:paraId="55DAD7B0">
            <w:pPr>
              <w:spacing w:line="360" w:lineRule="auto"/>
              <w:jc w:val="center"/>
              <w:rPr>
                <w:rFonts w:ascii="宋体" w:hAnsi="宋体" w:cs="宋体"/>
                <w:szCs w:val="21"/>
                <w:highlight w:val="none"/>
              </w:rPr>
            </w:pPr>
            <w:r>
              <w:rPr>
                <w:rFonts w:hint="eastAsia" w:ascii="宋体" w:hAnsi="宋体" w:cs="宋体"/>
                <w:szCs w:val="21"/>
                <w:highlight w:val="none"/>
              </w:rPr>
              <w:t>（</w:t>
            </w:r>
            <w:r>
              <w:rPr>
                <w:rFonts w:hint="eastAsia" w:ascii="宋体" w:hAnsi="宋体" w:cs="宋体"/>
                <w:szCs w:val="21"/>
                <w:highlight w:val="none"/>
                <w:lang w:val="en-US" w:eastAsia="zh-CN"/>
              </w:rPr>
              <w:t>6</w:t>
            </w:r>
            <w:r>
              <w:rPr>
                <w:rFonts w:hint="eastAsia" w:ascii="宋体" w:hAnsi="宋体" w:cs="宋体"/>
                <w:szCs w:val="21"/>
                <w:highlight w:val="none"/>
              </w:rPr>
              <w:t>分）</w:t>
            </w:r>
          </w:p>
        </w:tc>
        <w:tc>
          <w:tcPr>
            <w:tcW w:w="3691" w:type="pct"/>
            <w:tcBorders>
              <w:top w:val="single" w:color="auto" w:sz="4" w:space="0"/>
              <w:left w:val="nil"/>
              <w:bottom w:val="single" w:color="auto" w:sz="4" w:space="0"/>
              <w:right w:val="single" w:color="auto" w:sz="4" w:space="0"/>
            </w:tcBorders>
            <w:noWrap w:val="0"/>
            <w:vAlign w:val="center"/>
          </w:tcPr>
          <w:p w14:paraId="45BAD72C">
            <w:pPr>
              <w:spacing w:line="360" w:lineRule="auto"/>
              <w:rPr>
                <w:rFonts w:ascii="宋体" w:hAnsi="宋体" w:cs="宋体"/>
                <w:szCs w:val="21"/>
                <w:highlight w:val="none"/>
              </w:rPr>
            </w:pPr>
            <w:r>
              <w:rPr>
                <w:rFonts w:hint="eastAsia" w:ascii="宋体" w:hAnsi="宋体" w:cs="宋体"/>
                <w:szCs w:val="21"/>
                <w:highlight w:val="none"/>
                <w:lang w:eastAsia="zh-CN"/>
              </w:rPr>
              <w:t>响应供应商</w:t>
            </w:r>
            <w:r>
              <w:rPr>
                <w:rFonts w:hint="eastAsia" w:ascii="宋体" w:hAnsi="宋体" w:cs="宋体"/>
                <w:szCs w:val="21"/>
                <w:highlight w:val="none"/>
              </w:rPr>
              <w:t>具有由国家认证认可监督管理部门批准设立的认证机构颁发的并在有效期内的质量管理体系认证、职业健康安全管理体系认证、环境管理体系认证、企业诚信管理体系认证、供应链安全管理体系认证、信息安全管理体系认证，每提供一份符合要求的证书得</w:t>
            </w:r>
            <w:r>
              <w:rPr>
                <w:rFonts w:hint="eastAsia" w:ascii="宋体" w:hAnsi="宋体" w:cs="宋体"/>
                <w:szCs w:val="21"/>
                <w:highlight w:val="none"/>
                <w:lang w:val="en-US" w:eastAsia="zh-CN"/>
              </w:rPr>
              <w:t>1</w:t>
            </w:r>
            <w:r>
              <w:rPr>
                <w:rFonts w:hint="eastAsia" w:ascii="宋体" w:hAnsi="宋体" w:cs="宋体"/>
                <w:szCs w:val="21"/>
                <w:highlight w:val="none"/>
              </w:rPr>
              <w:t>分，最多得</w:t>
            </w:r>
            <w:r>
              <w:rPr>
                <w:rFonts w:hint="eastAsia" w:ascii="宋体" w:hAnsi="宋体" w:cs="宋体"/>
                <w:szCs w:val="21"/>
                <w:highlight w:val="none"/>
                <w:lang w:val="en-US" w:eastAsia="zh-CN"/>
              </w:rPr>
              <w:t>6</w:t>
            </w:r>
            <w:r>
              <w:rPr>
                <w:rFonts w:hint="eastAsia" w:ascii="宋体" w:hAnsi="宋体" w:cs="宋体"/>
                <w:szCs w:val="21"/>
                <w:highlight w:val="none"/>
              </w:rPr>
              <w:t>分。响应文件中提供国家认证认可信息公共服务平台查询截图及证书（颁证时间需在本项目磋商公告发布前）扫描件并加盖供应商公章</w:t>
            </w:r>
            <w:r>
              <w:rPr>
                <w:rFonts w:hint="eastAsia" w:ascii="宋体" w:hAnsi="宋体" w:cs="宋体"/>
                <w:szCs w:val="21"/>
                <w:highlight w:val="none"/>
                <w:lang w:eastAsia="zh-CN"/>
              </w:rPr>
              <w:t>。</w:t>
            </w:r>
          </w:p>
        </w:tc>
        <w:tc>
          <w:tcPr>
            <w:tcW w:w="513" w:type="pct"/>
            <w:tcBorders>
              <w:top w:val="single" w:color="auto" w:sz="4" w:space="0"/>
              <w:left w:val="nil"/>
              <w:bottom w:val="single" w:color="auto" w:sz="4" w:space="0"/>
              <w:right w:val="single" w:color="auto" w:sz="4" w:space="0"/>
            </w:tcBorders>
            <w:noWrap w:val="0"/>
            <w:vAlign w:val="center"/>
          </w:tcPr>
          <w:p w14:paraId="1F6FEE8C">
            <w:pPr>
              <w:spacing w:line="360" w:lineRule="auto"/>
              <w:jc w:val="center"/>
              <w:rPr>
                <w:rFonts w:ascii="宋体" w:hAnsi="宋体" w:cs="宋体"/>
                <w:szCs w:val="21"/>
                <w:highlight w:val="none"/>
              </w:rPr>
            </w:pPr>
            <w:r>
              <w:rPr>
                <w:rFonts w:hint="eastAsia" w:ascii="宋体" w:hAnsi="宋体" w:cs="宋体"/>
                <w:szCs w:val="21"/>
                <w:highlight w:val="none"/>
                <w:lang w:val="en-US" w:eastAsia="zh-CN"/>
              </w:rPr>
              <w:t>6</w:t>
            </w:r>
            <w:r>
              <w:rPr>
                <w:rFonts w:hint="eastAsia" w:ascii="宋体" w:hAnsi="宋体" w:cs="宋体"/>
                <w:szCs w:val="21"/>
                <w:highlight w:val="none"/>
              </w:rPr>
              <w:t>分</w:t>
            </w:r>
          </w:p>
        </w:tc>
      </w:tr>
      <w:tr w14:paraId="77CD6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5" w:type="pct"/>
            <w:tcBorders>
              <w:left w:val="single" w:color="auto" w:sz="4" w:space="0"/>
              <w:bottom w:val="single" w:color="auto" w:sz="4" w:space="0"/>
              <w:right w:val="single" w:color="auto" w:sz="4" w:space="0"/>
            </w:tcBorders>
            <w:noWrap w:val="0"/>
            <w:vAlign w:val="center"/>
          </w:tcPr>
          <w:p w14:paraId="041B4123">
            <w:pPr>
              <w:spacing w:line="360" w:lineRule="auto"/>
              <w:jc w:val="center"/>
              <w:rPr>
                <w:rFonts w:ascii="宋体" w:hAnsi="宋体" w:cs="宋体"/>
                <w:szCs w:val="21"/>
                <w:highlight w:val="none"/>
              </w:rPr>
            </w:pPr>
            <w:r>
              <w:rPr>
                <w:rFonts w:hint="eastAsia" w:ascii="宋体" w:hAnsi="宋体" w:cs="宋体"/>
                <w:szCs w:val="21"/>
                <w:highlight w:val="none"/>
              </w:rPr>
              <w:t>类似业绩</w:t>
            </w:r>
          </w:p>
          <w:p w14:paraId="1490B745">
            <w:pPr>
              <w:spacing w:line="360" w:lineRule="auto"/>
              <w:jc w:val="center"/>
              <w:rPr>
                <w:rFonts w:ascii="宋体" w:hAnsi="宋体" w:cs="宋体"/>
                <w:szCs w:val="21"/>
                <w:highlight w:val="none"/>
              </w:rPr>
            </w:pPr>
            <w:r>
              <w:rPr>
                <w:rFonts w:hint="eastAsia" w:ascii="宋体" w:hAnsi="宋体" w:cs="宋体"/>
                <w:szCs w:val="21"/>
                <w:highlight w:val="none"/>
              </w:rPr>
              <w:t>（</w:t>
            </w:r>
            <w:r>
              <w:rPr>
                <w:rFonts w:hint="eastAsia" w:ascii="宋体" w:hAnsi="宋体" w:cs="宋体"/>
                <w:szCs w:val="21"/>
                <w:highlight w:val="none"/>
                <w:lang w:val="en-US" w:eastAsia="zh-CN"/>
              </w:rPr>
              <w:t>5</w:t>
            </w:r>
            <w:r>
              <w:rPr>
                <w:rFonts w:hint="eastAsia" w:ascii="宋体" w:hAnsi="宋体" w:cs="宋体"/>
                <w:szCs w:val="21"/>
                <w:highlight w:val="none"/>
              </w:rPr>
              <w:t>分）</w:t>
            </w:r>
          </w:p>
        </w:tc>
        <w:tc>
          <w:tcPr>
            <w:tcW w:w="3691" w:type="pct"/>
            <w:tcBorders>
              <w:top w:val="single" w:color="auto" w:sz="4" w:space="0"/>
              <w:left w:val="nil"/>
              <w:bottom w:val="single" w:color="auto" w:sz="4" w:space="0"/>
              <w:right w:val="single" w:color="auto" w:sz="4" w:space="0"/>
            </w:tcBorders>
            <w:noWrap w:val="0"/>
            <w:vAlign w:val="center"/>
          </w:tcPr>
          <w:p w14:paraId="61B5FBF6">
            <w:pPr>
              <w:spacing w:line="360" w:lineRule="auto"/>
              <w:rPr>
                <w:rFonts w:hint="eastAsia" w:ascii="宋体" w:hAnsi="宋体" w:cs="宋体"/>
                <w:szCs w:val="21"/>
                <w:highlight w:val="none"/>
              </w:rPr>
            </w:pPr>
            <w:r>
              <w:rPr>
                <w:rFonts w:hint="eastAsia" w:ascii="宋体" w:hAnsi="宋体" w:cs="宋体"/>
                <w:szCs w:val="21"/>
                <w:highlight w:val="none"/>
                <w:lang w:eastAsia="zh-CN"/>
              </w:rPr>
              <w:t>响应供应商</w:t>
            </w:r>
            <w:r>
              <w:rPr>
                <w:rFonts w:hint="eastAsia" w:ascii="宋体" w:hAnsi="宋体" w:cs="宋体"/>
                <w:szCs w:val="21"/>
                <w:highlight w:val="none"/>
              </w:rPr>
              <w:t>自202</w:t>
            </w:r>
            <w:r>
              <w:rPr>
                <w:rFonts w:hint="eastAsia" w:ascii="宋体" w:hAnsi="宋体" w:cs="宋体"/>
                <w:szCs w:val="21"/>
                <w:highlight w:val="none"/>
                <w:lang w:val="en-US" w:eastAsia="zh-CN"/>
              </w:rPr>
              <w:t>2</w:t>
            </w:r>
            <w:r>
              <w:rPr>
                <w:rFonts w:hint="eastAsia" w:ascii="宋体" w:hAnsi="宋体" w:cs="宋体"/>
                <w:szCs w:val="21"/>
                <w:highlight w:val="none"/>
              </w:rPr>
              <w:t>年1月1日（以合同签订时间为准）以来，具有与本项目相似的食品安全快速检测服务、食品安全检测</w:t>
            </w:r>
            <w:bookmarkStart w:id="143" w:name="_GoBack"/>
            <w:bookmarkEnd w:id="143"/>
            <w:r>
              <w:rPr>
                <w:rFonts w:hint="eastAsia" w:ascii="宋体" w:hAnsi="宋体" w:cs="宋体"/>
                <w:szCs w:val="21"/>
                <w:highlight w:val="none"/>
              </w:rPr>
              <w:t>服务成功案例的，每提供1份合同得1分，该项最高得</w:t>
            </w:r>
            <w:r>
              <w:rPr>
                <w:rFonts w:hint="eastAsia" w:ascii="宋体" w:hAnsi="宋体" w:cs="宋体"/>
                <w:szCs w:val="21"/>
                <w:highlight w:val="none"/>
                <w:lang w:val="en-US" w:eastAsia="zh-CN"/>
              </w:rPr>
              <w:t>5</w:t>
            </w:r>
            <w:r>
              <w:rPr>
                <w:rFonts w:hint="eastAsia" w:ascii="宋体" w:hAnsi="宋体" w:cs="宋体"/>
                <w:szCs w:val="21"/>
                <w:highlight w:val="none"/>
              </w:rPr>
              <w:t>分。</w:t>
            </w:r>
          </w:p>
          <w:p w14:paraId="39DDB08B">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lang w:val="en-US" w:eastAsia="zh-CN"/>
              </w:rPr>
              <w:t>注：</w:t>
            </w:r>
            <w:r>
              <w:rPr>
                <w:rFonts w:hint="eastAsia" w:ascii="宋体" w:hAnsi="宋体" w:cs="宋体"/>
                <w:szCs w:val="21"/>
                <w:highlight w:val="none"/>
              </w:rPr>
              <w:t>需提供中标通知书、合同复印件，未提供不得分</w:t>
            </w:r>
            <w:r>
              <w:rPr>
                <w:rFonts w:hint="eastAsia" w:ascii="宋体" w:hAnsi="宋体" w:cs="宋体"/>
                <w:szCs w:val="21"/>
                <w:highlight w:val="none"/>
                <w:lang w:eastAsia="zh-CN"/>
              </w:rPr>
              <w:t>。</w:t>
            </w:r>
          </w:p>
        </w:tc>
        <w:tc>
          <w:tcPr>
            <w:tcW w:w="513" w:type="pct"/>
            <w:tcBorders>
              <w:top w:val="single" w:color="auto" w:sz="4" w:space="0"/>
              <w:left w:val="nil"/>
              <w:bottom w:val="single" w:color="auto" w:sz="4" w:space="0"/>
              <w:right w:val="single" w:color="auto" w:sz="4" w:space="0"/>
            </w:tcBorders>
            <w:noWrap w:val="0"/>
            <w:vAlign w:val="center"/>
          </w:tcPr>
          <w:p w14:paraId="6A13D9A9">
            <w:pPr>
              <w:spacing w:line="360" w:lineRule="auto"/>
              <w:jc w:val="center"/>
              <w:rPr>
                <w:rFonts w:ascii="宋体" w:hAnsi="宋体" w:cs="宋体"/>
                <w:szCs w:val="21"/>
                <w:highlight w:val="none"/>
              </w:rPr>
            </w:pPr>
            <w:r>
              <w:rPr>
                <w:rFonts w:hint="eastAsia" w:ascii="宋体" w:hAnsi="宋体" w:cs="宋体"/>
                <w:szCs w:val="21"/>
                <w:highlight w:val="none"/>
                <w:lang w:val="en-US" w:eastAsia="zh-CN"/>
              </w:rPr>
              <w:t>5</w:t>
            </w:r>
            <w:r>
              <w:rPr>
                <w:rFonts w:hint="eastAsia" w:ascii="宋体" w:hAnsi="宋体" w:cs="宋体"/>
                <w:szCs w:val="21"/>
                <w:highlight w:val="none"/>
              </w:rPr>
              <w:t>分</w:t>
            </w:r>
          </w:p>
        </w:tc>
      </w:tr>
      <w:tr w14:paraId="5705A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5" w:type="pct"/>
            <w:tcBorders>
              <w:top w:val="single" w:color="auto" w:sz="4" w:space="0"/>
              <w:left w:val="single" w:color="auto" w:sz="4" w:space="0"/>
              <w:right w:val="single" w:color="auto" w:sz="4" w:space="0"/>
            </w:tcBorders>
            <w:noWrap w:val="0"/>
            <w:vAlign w:val="center"/>
          </w:tcPr>
          <w:p w14:paraId="08E9DF95">
            <w:pPr>
              <w:spacing w:line="360" w:lineRule="auto"/>
              <w:jc w:val="center"/>
              <w:rPr>
                <w:rFonts w:ascii="宋体" w:hAnsi="宋体" w:cs="宋体"/>
                <w:szCs w:val="21"/>
                <w:highlight w:val="none"/>
              </w:rPr>
            </w:pPr>
            <w:r>
              <w:rPr>
                <w:rFonts w:hint="eastAsia" w:ascii="宋体" w:hAnsi="宋体" w:cs="宋体"/>
                <w:szCs w:val="21"/>
                <w:highlight w:val="none"/>
              </w:rPr>
              <w:t>检测服务方案（32分）</w:t>
            </w:r>
          </w:p>
        </w:tc>
        <w:tc>
          <w:tcPr>
            <w:tcW w:w="3691" w:type="pct"/>
            <w:tcBorders>
              <w:top w:val="single" w:color="auto" w:sz="4" w:space="0"/>
              <w:left w:val="nil"/>
              <w:right w:val="single" w:color="auto" w:sz="4" w:space="0"/>
            </w:tcBorders>
            <w:noWrap w:val="0"/>
            <w:vAlign w:val="center"/>
          </w:tcPr>
          <w:p w14:paraId="54AD93DE">
            <w:pPr>
              <w:widowControl/>
              <w:spacing w:line="360" w:lineRule="auto"/>
              <w:rPr>
                <w:rFonts w:ascii="宋体" w:hAnsi="宋体" w:cs="宋体"/>
                <w:szCs w:val="21"/>
                <w:highlight w:val="none"/>
              </w:rPr>
            </w:pPr>
            <w:r>
              <w:rPr>
                <w:rFonts w:hint="eastAsia" w:ascii="宋体" w:hAnsi="宋体" w:cs="宋体"/>
                <w:szCs w:val="21"/>
                <w:highlight w:val="none"/>
                <w:lang w:eastAsia="zh-CN"/>
              </w:rPr>
              <w:t>响应供应商</w:t>
            </w:r>
            <w:r>
              <w:rPr>
                <w:rFonts w:hint="eastAsia" w:ascii="宋体" w:hAnsi="宋体" w:cs="宋体"/>
                <w:szCs w:val="21"/>
                <w:highlight w:val="none"/>
              </w:rPr>
              <w:t>结合项目需求，从检测服务人力资源保障、检测质量保障措施、应急保障措施、检测服务人员培训方案四个方面编写《服务保障方案》，评委会根据各磋商供应商的方案进行综合比较进行评分：</w:t>
            </w:r>
          </w:p>
          <w:p w14:paraId="39ED25C1">
            <w:pPr>
              <w:widowControl/>
              <w:spacing w:line="360" w:lineRule="auto"/>
              <w:rPr>
                <w:rFonts w:ascii="宋体" w:hAnsi="宋体" w:cs="宋体"/>
                <w:szCs w:val="21"/>
                <w:highlight w:val="none"/>
              </w:rPr>
            </w:pPr>
            <w:r>
              <w:rPr>
                <w:rFonts w:hint="eastAsia" w:ascii="宋体" w:hAnsi="宋体" w:cs="宋体"/>
                <w:szCs w:val="21"/>
                <w:highlight w:val="none"/>
              </w:rPr>
              <w:t>1.评委根据</w:t>
            </w:r>
            <w:r>
              <w:rPr>
                <w:rFonts w:hint="eastAsia" w:ascii="宋体" w:hAnsi="宋体" w:cs="宋体"/>
                <w:szCs w:val="21"/>
                <w:highlight w:val="none"/>
                <w:lang w:eastAsia="zh-CN"/>
              </w:rPr>
              <w:t>响应供应商</w:t>
            </w:r>
            <w:r>
              <w:rPr>
                <w:rFonts w:hint="eastAsia" w:ascii="宋体" w:hAnsi="宋体" w:cs="宋体"/>
                <w:szCs w:val="21"/>
                <w:highlight w:val="none"/>
              </w:rPr>
              <w:t>针对本项目提供的检测服务人力资源保障方案进行综合评分，上述方案思路清晰、目标明确、对食品安全检测服务人力资源保障的各项工作要求理解到位、具有较强的科学性及合理性的得8分；上述方案思路较清晰、目标较明确、对食品安全检测服务人力资源保障的各项工作要求基本理解、具有科学性及合理性的得4分；上述方案思路与目标设置基本符合本项目实际需求、但对食品安全检测服务人力资源保障的各项工作要求的理解有所欠缺、具有的合理性一般的得1分；上述方案思路较混乱、目标设置不明确、对食品安全检测服务人力资源保障的各项工作要求的理解有所偏差、不具有合理性的得0分。</w:t>
            </w:r>
          </w:p>
          <w:p w14:paraId="01A47EF5">
            <w:pPr>
              <w:widowControl/>
              <w:spacing w:line="360" w:lineRule="auto"/>
              <w:rPr>
                <w:rFonts w:ascii="宋体" w:hAnsi="宋体" w:cs="宋体"/>
                <w:szCs w:val="21"/>
                <w:highlight w:val="none"/>
              </w:rPr>
            </w:pPr>
            <w:r>
              <w:rPr>
                <w:rFonts w:hint="eastAsia" w:ascii="宋体" w:hAnsi="宋体" w:cs="宋体"/>
                <w:szCs w:val="21"/>
                <w:highlight w:val="none"/>
              </w:rPr>
              <w:t>2.评委根据</w:t>
            </w:r>
            <w:r>
              <w:rPr>
                <w:rFonts w:hint="eastAsia" w:ascii="宋体" w:hAnsi="宋体" w:cs="宋体"/>
                <w:szCs w:val="21"/>
                <w:highlight w:val="none"/>
                <w:lang w:eastAsia="zh-CN"/>
              </w:rPr>
              <w:t>响应供应商</w:t>
            </w:r>
            <w:r>
              <w:rPr>
                <w:rFonts w:hint="eastAsia" w:ascii="宋体" w:hAnsi="宋体" w:cs="宋体"/>
                <w:szCs w:val="21"/>
                <w:highlight w:val="none"/>
              </w:rPr>
              <w:t>针对本项目提供的检测服务质量保障方案进行综合评分，上述方案思路清晰、目标明确、对食品安全检测服务质量保障的各项工作要求理解到位、具有较强的科学性及合理性的得8分；上述方案思路较清晰、目标较明确、对食品安全检测服务质量保障的各项工作要求基本理解、具有科学性及合理性的得4分；上述方案思路与目标设置基本符合本项目实际需求、但对食品安全检测服务质量保障的各项工作要求的理解有所欠缺、合理性一般的得1分；上述方案思路较混乱、目标设置不明确、对食品安全检测服务质量保障的各项工作有所偏差、不具有合理性的得0分。</w:t>
            </w:r>
          </w:p>
          <w:p w14:paraId="3098E221">
            <w:pPr>
              <w:widowControl/>
              <w:spacing w:line="360" w:lineRule="auto"/>
              <w:rPr>
                <w:rFonts w:ascii="宋体" w:hAnsi="宋体" w:cs="宋体"/>
                <w:szCs w:val="21"/>
                <w:highlight w:val="none"/>
              </w:rPr>
            </w:pPr>
            <w:r>
              <w:rPr>
                <w:rFonts w:hint="eastAsia" w:ascii="宋体" w:hAnsi="宋体" w:cs="宋体"/>
                <w:szCs w:val="21"/>
                <w:highlight w:val="none"/>
              </w:rPr>
              <w:t>3.评委根据帮别人针对本项目提供的应急保障方案进行综合评分，上述方案思路清晰、目标明确、对食品安全检测服务应急保障的各项工作要求理解到位、具有较强的科学性及合理性的得8分；上述方案思路较清晰、目标较明确、对食品安全检测服务应急保障的各项工作要求基本理解、具有科学性及合理性的得4分；上述方案思路与目标设置基本符合本项目实际需求、但对食品安全检测服务应急保障各项工作要求的理解有所欠缺、合理性一般的得1分；上述方案思路较混乱、目标设置不明确、对食品安全检测服务应急保障的各项工作要求的理解有所偏差、不具有合理性的得0分。</w:t>
            </w:r>
          </w:p>
          <w:p w14:paraId="3FC0B40A">
            <w:pPr>
              <w:widowControl/>
              <w:spacing w:line="360" w:lineRule="auto"/>
              <w:rPr>
                <w:rFonts w:ascii="宋体" w:hAnsi="宋体" w:cs="宋体"/>
                <w:szCs w:val="21"/>
                <w:highlight w:val="none"/>
              </w:rPr>
            </w:pPr>
            <w:r>
              <w:rPr>
                <w:rFonts w:hint="eastAsia" w:ascii="宋体" w:hAnsi="宋体" w:cs="宋体"/>
                <w:szCs w:val="21"/>
                <w:highlight w:val="none"/>
              </w:rPr>
              <w:t>4.评委根据</w:t>
            </w:r>
            <w:r>
              <w:rPr>
                <w:rFonts w:hint="eastAsia" w:ascii="宋体" w:hAnsi="宋体" w:cs="宋体"/>
                <w:szCs w:val="21"/>
                <w:highlight w:val="none"/>
                <w:lang w:eastAsia="zh-CN"/>
              </w:rPr>
              <w:t>响应供应商</w:t>
            </w:r>
            <w:r>
              <w:rPr>
                <w:rFonts w:hint="eastAsia" w:ascii="宋体" w:hAnsi="宋体" w:cs="宋体"/>
                <w:szCs w:val="21"/>
                <w:highlight w:val="none"/>
              </w:rPr>
              <w:t>针对本项目提供的检测人员培训方案进行综合评分，上述方案思路清晰、目标明确、对检测人员培训方案的各项工作要求理解到位、具有较强的科学性及合理性的，得8分；上述方案思路较清晰、目标较明确、对检测人员培训方案的各项工作要求基本理解、具有科学性及合理性的得4分；上述方案思路与目标设置基本符合本项目实际需求、但对检测人员培训方案各项工作要求的理解有所欠缺、合理性一般的得1分；上述方案思路较混乱、目标设置不明确、对检测人员培训方案的各项工作要求的理解有所偏差、不具有合理性的得0分。</w:t>
            </w:r>
          </w:p>
        </w:tc>
        <w:tc>
          <w:tcPr>
            <w:tcW w:w="513" w:type="pct"/>
            <w:tcBorders>
              <w:top w:val="single" w:color="auto" w:sz="4" w:space="0"/>
              <w:left w:val="nil"/>
              <w:bottom w:val="single" w:color="auto" w:sz="4" w:space="0"/>
              <w:right w:val="single" w:color="auto" w:sz="4" w:space="0"/>
            </w:tcBorders>
            <w:noWrap w:val="0"/>
            <w:vAlign w:val="center"/>
          </w:tcPr>
          <w:p w14:paraId="4E3A1A5E">
            <w:pPr>
              <w:spacing w:line="360" w:lineRule="auto"/>
              <w:jc w:val="center"/>
              <w:rPr>
                <w:rFonts w:ascii="宋体" w:hAnsi="宋体" w:cs="宋体"/>
                <w:szCs w:val="21"/>
                <w:highlight w:val="none"/>
              </w:rPr>
            </w:pPr>
            <w:r>
              <w:rPr>
                <w:rFonts w:hint="eastAsia" w:ascii="宋体" w:hAnsi="宋体" w:cs="宋体"/>
                <w:szCs w:val="21"/>
                <w:highlight w:val="none"/>
              </w:rPr>
              <w:t>32分</w:t>
            </w:r>
          </w:p>
        </w:tc>
      </w:tr>
    </w:tbl>
    <w:p w14:paraId="341F3C4F">
      <w:pPr>
        <w:spacing w:line="360" w:lineRule="auto"/>
        <w:ind w:firstLine="482"/>
        <w:rPr>
          <w:rFonts w:hint="eastAsia" w:ascii="宋体" w:hAnsi="宋体" w:cs="宋体"/>
          <w:b/>
          <w:bCs/>
          <w:color w:val="auto"/>
          <w:szCs w:val="21"/>
          <w:highlight w:val="none"/>
          <w:u w:val="none"/>
        </w:rPr>
      </w:pPr>
    </w:p>
    <w:p w14:paraId="795948E9">
      <w:pPr>
        <w:spacing w:line="360" w:lineRule="auto"/>
        <w:ind w:firstLine="482"/>
        <w:rPr>
          <w:rFonts w:hint="eastAsia" w:ascii="宋体" w:hAnsi="宋体" w:cs="宋体"/>
          <w:b/>
          <w:bCs/>
          <w:color w:val="auto"/>
          <w:szCs w:val="21"/>
          <w:highlight w:val="none"/>
          <w:u w:val="none"/>
        </w:rPr>
      </w:pPr>
      <w:r>
        <w:rPr>
          <w:rFonts w:hint="eastAsia" w:ascii="宋体" w:hAnsi="宋体" w:cs="宋体"/>
          <w:b/>
          <w:bCs/>
          <w:color w:val="auto"/>
          <w:szCs w:val="21"/>
          <w:highlight w:val="none"/>
          <w:u w:val="none"/>
        </w:rPr>
        <w:t>注：1.上述响应文件中，证书或证明或业绩必须提供复印件或扫描件（加盖供应商</w:t>
      </w:r>
      <w:r>
        <w:rPr>
          <w:rFonts w:hint="eastAsia" w:ascii="宋体" w:hAnsi="宋体" w:cs="宋体"/>
          <w:b/>
          <w:bCs/>
          <w:color w:val="auto"/>
          <w:szCs w:val="21"/>
          <w:highlight w:val="none"/>
          <w:u w:val="none"/>
          <w:lang w:val="en-US" w:eastAsia="zh-CN"/>
        </w:rPr>
        <w:t>电子公章</w:t>
      </w:r>
      <w:r>
        <w:rPr>
          <w:rFonts w:hint="eastAsia" w:ascii="宋体" w:hAnsi="宋体" w:cs="宋体"/>
          <w:b/>
          <w:bCs/>
          <w:color w:val="auto"/>
          <w:szCs w:val="21"/>
          <w:highlight w:val="none"/>
          <w:u w:val="none"/>
        </w:rPr>
        <w:t xml:space="preserve">），如发现弄虚作假的，将按照本采购文件相关条款规定予以处理。 </w:t>
      </w:r>
    </w:p>
    <w:p w14:paraId="714EF8C5">
      <w:pPr>
        <w:spacing w:line="360" w:lineRule="auto"/>
        <w:ind w:firstLine="482"/>
        <w:rPr>
          <w:rFonts w:hint="eastAsia" w:ascii="宋体" w:hAnsi="宋体" w:cs="宋体"/>
          <w:b/>
          <w:bCs/>
          <w:color w:val="auto"/>
          <w:szCs w:val="21"/>
          <w:highlight w:val="none"/>
          <w:u w:val="none"/>
        </w:rPr>
      </w:pPr>
      <w:r>
        <w:rPr>
          <w:rFonts w:hint="eastAsia" w:ascii="宋体" w:hAnsi="宋体" w:cs="宋体"/>
          <w:b/>
          <w:bCs/>
          <w:color w:val="auto"/>
          <w:szCs w:val="21"/>
          <w:highlight w:val="none"/>
          <w:u w:val="none"/>
        </w:rPr>
        <w:t>2.评委依据采购文件载明的方法评分，评分四舍五入精确到小数点后两位。</w:t>
      </w:r>
    </w:p>
    <w:p w14:paraId="7DAA8D95">
      <w:pPr>
        <w:spacing w:line="360" w:lineRule="auto"/>
        <w:ind w:firstLine="482"/>
        <w:rPr>
          <w:rFonts w:hint="eastAsia" w:ascii="宋体" w:hAnsi="宋体" w:cs="宋体"/>
          <w:b/>
          <w:bCs/>
          <w:color w:val="auto"/>
          <w:szCs w:val="21"/>
          <w:highlight w:val="none"/>
          <w:u w:val="none"/>
        </w:rPr>
      </w:pPr>
      <w:r>
        <w:rPr>
          <w:rFonts w:hint="eastAsia" w:ascii="宋体" w:hAnsi="宋体" w:cs="宋体"/>
          <w:b/>
          <w:bCs/>
          <w:color w:val="auto"/>
          <w:szCs w:val="21"/>
          <w:highlight w:val="none"/>
          <w:u w:val="none"/>
        </w:rPr>
        <w:t>3.政府采购政策功能的落实：本项目专门面向中小微企业。供应商应在响应文件中提交《中小企业声明函》。</w:t>
      </w:r>
    </w:p>
    <w:p w14:paraId="13067C40">
      <w:pPr>
        <w:spacing w:line="360" w:lineRule="auto"/>
        <w:ind w:firstLine="482"/>
        <w:rPr>
          <w:rFonts w:hint="eastAsia" w:ascii="宋体" w:hAnsi="宋体" w:cs="宋体"/>
          <w:b/>
          <w:color w:val="auto"/>
          <w:szCs w:val="21"/>
          <w:highlight w:val="none"/>
          <w:u w:val="none"/>
        </w:rPr>
      </w:pPr>
      <w:r>
        <w:rPr>
          <w:rFonts w:hint="eastAsia" w:ascii="宋体" w:hAnsi="宋体" w:cs="宋体"/>
          <w:b/>
          <w:color w:val="auto"/>
          <w:szCs w:val="21"/>
          <w:highlight w:val="none"/>
          <w:u w:val="none"/>
        </w:rPr>
        <w:t>六、成交供应商的确定</w:t>
      </w:r>
    </w:p>
    <w:p w14:paraId="7AD9651C">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磋商小组汇总各评委评分后，按照得分从高到低的顺序推荐3名成交候选人，并编写评审报告。</w:t>
      </w:r>
    </w:p>
    <w:p w14:paraId="0108D66A">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采购人委托磋商小组直接确定排名第一的成交候选人为成交供应商。</w:t>
      </w:r>
    </w:p>
    <w:p w14:paraId="4B166212">
      <w:pPr>
        <w:spacing w:line="360" w:lineRule="auto"/>
        <w:ind w:firstLine="482"/>
        <w:rPr>
          <w:rFonts w:hint="eastAsia" w:ascii="宋体" w:hAnsi="宋体" w:cs="宋体"/>
          <w:b/>
          <w:color w:val="auto"/>
          <w:szCs w:val="21"/>
          <w:highlight w:val="none"/>
          <w:u w:val="none"/>
        </w:rPr>
      </w:pPr>
      <w:r>
        <w:rPr>
          <w:rFonts w:hint="eastAsia" w:ascii="宋体" w:hAnsi="宋体" w:cs="宋体"/>
          <w:b/>
          <w:color w:val="auto"/>
          <w:szCs w:val="21"/>
          <w:highlight w:val="none"/>
          <w:u w:val="none"/>
        </w:rPr>
        <w:t>当成交商无正当理由放弃成交，被查实存在影响成交结果的违法行为等情形，采购人有权按照政府采购相关法律法规的规定对其采取惩戒措施，包含但不限于列入采购失信人黑名单等措施。</w:t>
      </w:r>
    </w:p>
    <w:p w14:paraId="34BD23E8">
      <w:pPr>
        <w:spacing w:line="360" w:lineRule="auto"/>
        <w:ind w:firstLine="482"/>
        <w:rPr>
          <w:rFonts w:hint="eastAsia" w:ascii="宋体" w:hAnsi="宋体" w:cs="宋体"/>
          <w:b/>
          <w:color w:val="auto"/>
          <w:szCs w:val="21"/>
          <w:highlight w:val="none"/>
          <w:u w:val="none"/>
        </w:rPr>
      </w:pPr>
      <w:r>
        <w:rPr>
          <w:rFonts w:hint="eastAsia" w:ascii="宋体" w:hAnsi="宋体" w:cs="宋体"/>
          <w:b/>
          <w:color w:val="auto"/>
          <w:szCs w:val="21"/>
          <w:highlight w:val="none"/>
          <w:u w:val="none"/>
        </w:rPr>
        <w:t>当排名第一的成交候选人放弃成交、因不可抗力不能履行合同，或者被查实存在影响成交结果的违法行为等情形，不符合成交条件的，采购人可以按照磋商小组提出的成交候选人名单排序依次确定其他成交候选人为成交商，也可以重新组织采购。</w:t>
      </w:r>
    </w:p>
    <w:p w14:paraId="571758A4">
      <w:pPr>
        <w:spacing w:line="360" w:lineRule="auto"/>
        <w:ind w:firstLine="482"/>
        <w:rPr>
          <w:rFonts w:hint="eastAsia" w:ascii="宋体" w:hAnsi="宋体" w:cs="宋体"/>
          <w:b/>
          <w:color w:val="auto"/>
          <w:szCs w:val="21"/>
          <w:highlight w:val="none"/>
          <w:u w:val="none"/>
        </w:rPr>
      </w:pPr>
      <w:r>
        <w:rPr>
          <w:rFonts w:hint="eastAsia" w:ascii="宋体" w:hAnsi="宋体" w:cs="宋体"/>
          <w:b/>
          <w:color w:val="auto"/>
          <w:szCs w:val="21"/>
          <w:highlight w:val="none"/>
          <w:u w:val="none"/>
        </w:rPr>
        <w:t>七、公告成交结果及发放成交通知书</w:t>
      </w:r>
    </w:p>
    <w:p w14:paraId="35B071DB">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1.自确定成交供应商之日起2个工作日内，在江苏政府采购网公告成交结果，公告期限为1个工作日。</w:t>
      </w:r>
    </w:p>
    <w:p w14:paraId="4D0CB613">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2.公告成交结果的同时，采购代理机构向成交供应商发放成交通知书。成交通知书发出后，采购人不得违法改变成交结果，成交供应商无正当理由不得放弃成交。</w:t>
      </w:r>
    </w:p>
    <w:p w14:paraId="7BB1D6BB">
      <w:pPr>
        <w:tabs>
          <w:tab w:val="left" w:pos="360"/>
          <w:tab w:val="left" w:pos="1080"/>
        </w:tabs>
        <w:spacing w:line="360" w:lineRule="auto"/>
        <w:ind w:firstLine="883" w:firstLineChars="200"/>
        <w:rPr>
          <w:rFonts w:hint="eastAsia" w:ascii="宋体" w:hAnsi="宋体" w:cs="宋体"/>
          <w:b/>
          <w:bCs/>
          <w:color w:val="auto"/>
          <w:szCs w:val="21"/>
          <w:highlight w:val="none"/>
          <w:u w:val="none"/>
        </w:rPr>
      </w:pPr>
      <w:r>
        <w:rPr>
          <w:rFonts w:hint="eastAsia"/>
          <w:b/>
          <w:color w:val="auto"/>
          <w:sz w:val="44"/>
          <w:szCs w:val="44"/>
          <w:highlight w:val="none"/>
          <w:u w:val="none"/>
        </w:rPr>
        <w:br w:type="page" w:clear="all"/>
      </w:r>
    </w:p>
    <w:p w14:paraId="7087D059">
      <w:pPr>
        <w:pStyle w:val="14"/>
        <w:spacing w:line="360" w:lineRule="auto"/>
        <w:rPr>
          <w:rFonts w:hint="eastAsia" w:ascii="宋体" w:hAnsi="宋体"/>
          <w:bCs w:val="0"/>
          <w:color w:val="auto"/>
          <w:sz w:val="21"/>
          <w:szCs w:val="21"/>
          <w:highlight w:val="none"/>
          <w:u w:val="none"/>
        </w:rPr>
      </w:pPr>
      <w:bookmarkStart w:id="113" w:name="_Toc107246273"/>
      <w:r>
        <w:rPr>
          <w:rFonts w:hint="eastAsia" w:ascii="宋体" w:hAnsi="宋体"/>
          <w:bCs w:val="0"/>
          <w:color w:val="auto"/>
          <w:sz w:val="21"/>
          <w:szCs w:val="21"/>
          <w:highlight w:val="none"/>
          <w:u w:val="none"/>
        </w:rPr>
        <w:t>第六章 响应文件格式</w:t>
      </w:r>
      <w:bookmarkEnd w:id="113"/>
    </w:p>
    <w:p w14:paraId="2550CF75">
      <w:pPr>
        <w:spacing w:line="360" w:lineRule="auto"/>
        <w:rPr>
          <w:rFonts w:ascii="Microsoft New Tai Lue" w:hAnsi="Microsoft New Tai Lue" w:cs="Microsoft New Tai Lue"/>
          <w:b/>
          <w:bCs/>
          <w:color w:val="auto"/>
          <w:highlight w:val="none"/>
          <w:u w:val="none"/>
        </w:rPr>
      </w:pPr>
    </w:p>
    <w:p w14:paraId="28338F5A">
      <w:pPr>
        <w:spacing w:line="360" w:lineRule="auto"/>
        <w:ind w:firstLine="482"/>
        <w:rPr>
          <w:rFonts w:hint="eastAsia" w:ascii="宋体" w:hAnsi="宋体" w:cs="宋体"/>
          <w:b/>
          <w:bCs/>
          <w:color w:val="auto"/>
          <w:szCs w:val="21"/>
          <w:highlight w:val="none"/>
          <w:u w:val="none"/>
        </w:rPr>
      </w:pPr>
      <w:r>
        <w:rPr>
          <w:rFonts w:hint="eastAsia" w:ascii="宋体" w:hAnsi="宋体" w:cs="宋体"/>
          <w:b/>
          <w:bCs/>
          <w:color w:val="auto"/>
          <w:szCs w:val="21"/>
          <w:highlight w:val="none"/>
          <w:u w:val="none"/>
        </w:rPr>
        <w:t>一、资格审查文件</w:t>
      </w:r>
    </w:p>
    <w:p w14:paraId="5D0F2CFC">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1.法定代表人身份证明书及法定代表人身份证复印件；</w:t>
      </w:r>
    </w:p>
    <w:p w14:paraId="2A3DAFB7">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2.法定代表人授权委托书及授权委托人身份证复印件（如有）；</w:t>
      </w:r>
    </w:p>
    <w:p w14:paraId="1B8AD61A">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3.响应人营业执照复印件；</w:t>
      </w:r>
    </w:p>
    <w:p w14:paraId="38445606">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4.2024年度或2025年度经会计师事务所审计的财务报告（须提供加盖会计师事务所公章及注册会计师签章的复印件）；没有经审计的财务报告的，也可以提供2025年或2026年任意一个月的财务报表，或提供距离投标截止时间6个月内基本开户银行出具的资信证明复印件； </w:t>
      </w:r>
    </w:p>
    <w:p w14:paraId="0B292956">
      <w:pPr>
        <w:spacing w:line="360" w:lineRule="auto"/>
        <w:ind w:firstLine="480"/>
        <w:rPr>
          <w:rFonts w:hint="eastAsia" w:ascii="宋体" w:hAnsi="宋体" w:cs="宋体"/>
          <w:color w:val="auto"/>
          <w:szCs w:val="21"/>
          <w:highlight w:val="none"/>
          <w:u w:val="none"/>
          <w:lang w:val="en-US" w:eastAsia="zh-CN"/>
        </w:rPr>
      </w:pPr>
      <w:r>
        <w:rPr>
          <w:rFonts w:hint="eastAsia" w:ascii="宋体" w:hAnsi="宋体" w:cs="宋体"/>
          <w:color w:val="auto"/>
          <w:szCs w:val="21"/>
          <w:highlight w:val="none"/>
          <w:u w:val="none"/>
        </w:rPr>
        <w:t>5.</w:t>
      </w:r>
      <w:r>
        <w:rPr>
          <w:rFonts w:hint="eastAsia" w:ascii="宋体" w:hAnsi="宋体" w:cs="宋体"/>
          <w:color w:val="auto"/>
          <w:szCs w:val="21"/>
          <w:highlight w:val="none"/>
          <w:u w:val="none"/>
          <w:lang w:eastAsia="zh-CN"/>
        </w:rPr>
        <w:t>2026年1月（含）至开标当日任一月份依法缴纳税收（依法缴纳税收材料是指：税务部门出具的税收证明或完税凭证或银行出具的税收缴款证明）的相关材料复印件，如依法免税或不需要纳税的，则应提供相应证明材料复印件；</w:t>
      </w:r>
      <w:r>
        <w:rPr>
          <w:rFonts w:hint="eastAsia" w:ascii="宋体" w:hAnsi="宋体" w:cs="宋体"/>
          <w:color w:val="auto"/>
          <w:szCs w:val="21"/>
          <w:highlight w:val="none"/>
          <w:u w:val="none"/>
          <w:lang w:val="en-US" w:eastAsia="zh-CN"/>
        </w:rPr>
        <w:t xml:space="preserve">  </w:t>
      </w:r>
    </w:p>
    <w:p w14:paraId="5469EEB2">
      <w:pPr>
        <w:spacing w:line="360" w:lineRule="auto"/>
        <w:ind w:firstLine="480"/>
        <w:rPr>
          <w:rFonts w:hint="eastAsia" w:ascii="宋体" w:hAnsi="宋体" w:cs="宋体"/>
          <w:color w:val="auto"/>
          <w:szCs w:val="21"/>
          <w:highlight w:val="none"/>
          <w:u w:val="none"/>
          <w:lang w:eastAsia="zh-CN"/>
        </w:rPr>
      </w:pPr>
      <w:r>
        <w:rPr>
          <w:rFonts w:hint="eastAsia" w:ascii="宋体" w:hAnsi="宋体" w:cs="宋体"/>
          <w:color w:val="auto"/>
          <w:szCs w:val="21"/>
          <w:highlight w:val="none"/>
          <w:u w:val="none"/>
        </w:rPr>
        <w:t>6.</w:t>
      </w:r>
      <w:r>
        <w:rPr>
          <w:rFonts w:hint="eastAsia" w:ascii="宋体" w:hAnsi="宋体" w:cs="宋体"/>
          <w:color w:val="auto"/>
          <w:szCs w:val="21"/>
          <w:highlight w:val="none"/>
          <w:u w:val="none"/>
          <w:lang w:eastAsia="zh-CN"/>
        </w:rPr>
        <w:t>2026年1月（含）至开标当日任一月份的依法缴纳社会保障资金的相关材料复印件（社会保障资金材料是指：人社部门或税务机关或银行出具的缴纳社保的凭证），如依法不需要缴纳社会保障资金的，则应提供相应证明材料复印件；</w:t>
      </w:r>
    </w:p>
    <w:p w14:paraId="605B8BC6">
      <w:pPr>
        <w:spacing w:line="360" w:lineRule="auto"/>
        <w:ind w:firstLine="420" w:firstLineChars="200"/>
        <w:rPr>
          <w:rFonts w:hint="eastAsia" w:ascii="宋体" w:hAnsi="宋体" w:cs="宋体"/>
          <w:color w:val="auto"/>
          <w:szCs w:val="21"/>
          <w:highlight w:val="none"/>
          <w:u w:val="none"/>
        </w:rPr>
      </w:pPr>
      <w:r>
        <w:rPr>
          <w:rFonts w:hint="eastAsia" w:ascii="宋体" w:hAnsi="宋体" w:cs="宋体"/>
          <w:color w:val="auto"/>
          <w:szCs w:val="21"/>
          <w:highlight w:val="none"/>
          <w:u w:val="none"/>
        </w:rPr>
        <w:t>7.</w:t>
      </w:r>
      <w:r>
        <w:rPr>
          <w:rFonts w:hint="eastAsia" w:ascii="宋体" w:hAnsi="宋体" w:cs="宋体"/>
          <w:color w:val="auto"/>
          <w:szCs w:val="21"/>
          <w:highlight w:val="none"/>
          <w:u w:val="none"/>
          <w:lang w:eastAsia="zh-CN"/>
        </w:rPr>
        <w:t>响应供应商</w:t>
      </w:r>
      <w:r>
        <w:rPr>
          <w:rFonts w:hint="eastAsia" w:ascii="宋体" w:hAnsi="宋体" w:cs="宋体"/>
          <w:color w:val="auto"/>
          <w:szCs w:val="21"/>
          <w:highlight w:val="none"/>
          <w:u w:val="none"/>
        </w:rPr>
        <w:t>符合《中华人民共和国政府采购法》第二十二条规定条件的承诺函；</w:t>
      </w:r>
    </w:p>
    <w:p w14:paraId="330E20F1">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8.诚信承诺书；</w:t>
      </w:r>
    </w:p>
    <w:p w14:paraId="40129A9D">
      <w:pPr>
        <w:spacing w:line="360" w:lineRule="auto"/>
        <w:ind w:firstLine="480"/>
        <w:rPr>
          <w:rFonts w:hint="eastAsia" w:ascii="宋体" w:hAnsi="宋体" w:cs="宋体"/>
          <w:bCs/>
          <w:color w:val="auto"/>
          <w:szCs w:val="21"/>
          <w:highlight w:val="none"/>
          <w:u w:val="none"/>
        </w:rPr>
      </w:pPr>
      <w:r>
        <w:rPr>
          <w:rFonts w:hint="eastAsia" w:ascii="宋体" w:hAnsi="宋体" w:cs="宋体"/>
          <w:color w:val="auto"/>
          <w:szCs w:val="21"/>
          <w:highlight w:val="none"/>
          <w:u w:val="none"/>
        </w:rPr>
        <w:t>9</w:t>
      </w:r>
      <w:r>
        <w:rPr>
          <w:rFonts w:hint="eastAsia" w:ascii="宋体" w:hAnsi="宋体" w:cs="宋体"/>
          <w:bCs/>
          <w:color w:val="auto"/>
          <w:szCs w:val="21"/>
          <w:highlight w:val="none"/>
          <w:u w:val="none"/>
        </w:rPr>
        <w:t>.供应商未被列入失信被执行人名单、政府采购严重违法失信行为记录名单网站查询证明材料；</w:t>
      </w:r>
    </w:p>
    <w:p w14:paraId="24C24371">
      <w:pPr>
        <w:spacing w:line="360" w:lineRule="auto"/>
        <w:ind w:firstLine="480"/>
        <w:rPr>
          <w:rFonts w:hint="eastAsia" w:ascii="宋体" w:hAnsi="宋体" w:cs="宋体"/>
          <w:color w:val="auto"/>
          <w:szCs w:val="21"/>
          <w:highlight w:val="none"/>
          <w:u w:val="none"/>
        </w:rPr>
      </w:pPr>
      <w:r>
        <w:rPr>
          <w:rFonts w:hint="eastAsia" w:ascii="宋体" w:hAnsi="宋体" w:cs="宋体"/>
          <w:bCs/>
          <w:color w:val="auto"/>
          <w:szCs w:val="21"/>
          <w:highlight w:val="none"/>
          <w:u w:val="none"/>
        </w:rPr>
        <w:t>10.《中小企业声明函》或《残疾人福利性单位声明函》或监狱和戒毒企业证明材料。</w:t>
      </w:r>
    </w:p>
    <w:p w14:paraId="4BA207B0">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注：上述1—10中任何一条不符合要求，则资格性审查不通过，按无效响应文件处理。</w:t>
      </w:r>
    </w:p>
    <w:p w14:paraId="220DC946">
      <w:pPr>
        <w:pStyle w:val="27"/>
        <w:spacing w:line="360" w:lineRule="auto"/>
        <w:ind w:firstLine="480"/>
        <w:rPr>
          <w:rFonts w:hint="eastAsia" w:cs="宋体"/>
          <w:color w:val="auto"/>
          <w:highlight w:val="none"/>
          <w:u w:val="none"/>
          <w:lang w:val="zh-CN" w:eastAsia="zh-CN"/>
        </w:rPr>
      </w:pPr>
      <w:r>
        <w:rPr>
          <w:rFonts w:hint="eastAsia" w:cs="宋体"/>
          <w:color w:val="auto"/>
          <w:highlight w:val="none"/>
          <w:u w:val="none"/>
          <w:lang w:val="zh-CN" w:eastAsia="zh-CN"/>
        </w:rPr>
        <w:t>（</w:t>
      </w:r>
      <w:r>
        <w:rPr>
          <w:rFonts w:hint="eastAsia" w:cs="宋体"/>
          <w:color w:val="auto"/>
          <w:highlight w:val="none"/>
          <w:u w:val="none"/>
          <w:lang w:eastAsia="zh-CN"/>
        </w:rPr>
        <w:t>磋商</w:t>
      </w:r>
      <w:r>
        <w:rPr>
          <w:rFonts w:hint="eastAsia" w:cs="宋体"/>
          <w:color w:val="auto"/>
          <w:highlight w:val="none"/>
          <w:u w:val="none"/>
          <w:lang w:val="zh-CN" w:eastAsia="zh-CN"/>
        </w:rPr>
        <w:t>文件要求提供的</w:t>
      </w:r>
      <w:r>
        <w:rPr>
          <w:rFonts w:hint="eastAsia" w:cs="宋体"/>
          <w:b/>
          <w:bCs/>
          <w:color w:val="auto"/>
          <w:highlight w:val="none"/>
          <w:u w:val="none"/>
          <w:lang w:val="zh-CN" w:eastAsia="zh-CN"/>
        </w:rPr>
        <w:t>资格审查证明材料</w:t>
      </w:r>
      <w:r>
        <w:rPr>
          <w:rFonts w:hint="eastAsia" w:cs="宋体"/>
          <w:color w:val="auto"/>
          <w:highlight w:val="none"/>
          <w:u w:val="none"/>
          <w:lang w:val="zh-CN" w:eastAsia="zh-CN"/>
        </w:rPr>
        <w:t>中没有对应的接口上传的资料，可以在本部分的其他材料的接口中上传）</w:t>
      </w:r>
    </w:p>
    <w:p w14:paraId="05EF5036">
      <w:pPr>
        <w:spacing w:line="360" w:lineRule="auto"/>
        <w:ind w:firstLine="482"/>
        <w:rPr>
          <w:rFonts w:hint="eastAsia" w:ascii="宋体" w:hAnsi="宋体" w:cs="宋体"/>
          <w:b/>
          <w:bCs/>
          <w:color w:val="auto"/>
          <w:szCs w:val="21"/>
          <w:highlight w:val="none"/>
          <w:u w:val="none"/>
        </w:rPr>
      </w:pPr>
      <w:r>
        <w:rPr>
          <w:rFonts w:hint="eastAsia" w:ascii="宋体" w:hAnsi="宋体" w:cs="宋体"/>
          <w:b/>
          <w:bCs/>
          <w:color w:val="auto"/>
          <w:szCs w:val="21"/>
          <w:highlight w:val="none"/>
          <w:u w:val="none"/>
        </w:rPr>
        <w:t>二、符合性审查文件</w:t>
      </w:r>
    </w:p>
    <w:p w14:paraId="48E4C98F">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1.竞争性磋商响应函（格式参见第六章）；</w:t>
      </w:r>
    </w:p>
    <w:p w14:paraId="0C1557A8">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2.</w:t>
      </w:r>
      <w:r>
        <w:rPr>
          <w:rFonts w:hint="eastAsia" w:ascii="宋体" w:hAnsi="宋体" w:cs="宋体"/>
          <w:color w:val="auto"/>
          <w:szCs w:val="21"/>
          <w:highlight w:val="none"/>
          <w:u w:val="none"/>
          <w:lang w:val="en-US" w:eastAsia="zh-CN"/>
        </w:rPr>
        <w:t>首次分项报价表（格式自拟）</w:t>
      </w:r>
      <w:r>
        <w:rPr>
          <w:rFonts w:hint="eastAsia" w:ascii="宋体" w:hAnsi="宋体" w:cs="宋体"/>
          <w:color w:val="auto"/>
          <w:szCs w:val="21"/>
          <w:highlight w:val="none"/>
          <w:u w:val="none"/>
        </w:rPr>
        <w:t>；</w:t>
      </w:r>
    </w:p>
    <w:p w14:paraId="29D0804E">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3.供应商情况表；</w:t>
      </w:r>
    </w:p>
    <w:p w14:paraId="3ED6F39F">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4.技术商务条款响应正负偏离表（格式参见第六章）；</w:t>
      </w:r>
    </w:p>
    <w:p w14:paraId="574CF8F2">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5.第四章项目需求中要求提供的材料（如有）；</w:t>
      </w:r>
    </w:p>
    <w:p w14:paraId="3EF7421E">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6.项目组成人员表；</w:t>
      </w:r>
    </w:p>
    <w:p w14:paraId="2EB04973">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7.供应商认为需要提交的其他资料。</w:t>
      </w:r>
    </w:p>
    <w:p w14:paraId="3BFE7E5E">
      <w:pPr>
        <w:spacing w:line="360" w:lineRule="auto"/>
        <w:ind w:firstLine="482"/>
        <w:rPr>
          <w:rFonts w:hint="eastAsia" w:ascii="宋体" w:hAnsi="宋体" w:cs="宋体"/>
          <w:b/>
          <w:bCs/>
          <w:color w:val="auto"/>
          <w:szCs w:val="21"/>
          <w:highlight w:val="none"/>
          <w:u w:val="none"/>
        </w:rPr>
      </w:pPr>
      <w:r>
        <w:rPr>
          <w:rFonts w:hint="eastAsia" w:ascii="宋体" w:hAnsi="宋体" w:cs="宋体"/>
          <w:b/>
          <w:bCs/>
          <w:color w:val="auto"/>
          <w:szCs w:val="21"/>
          <w:highlight w:val="none"/>
          <w:u w:val="none"/>
        </w:rPr>
        <w:t>三、商务技术文件</w:t>
      </w:r>
    </w:p>
    <w:p w14:paraId="2D42C1D4">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1.评审办法中所涉及的事项需提供的所有资料；</w:t>
      </w:r>
    </w:p>
    <w:p w14:paraId="7512A825">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2.评审办法中未涉及的事项，供应商认为需要提交的其他资料。</w:t>
      </w:r>
    </w:p>
    <w:p w14:paraId="67C9943E">
      <w:pPr>
        <w:spacing w:line="360" w:lineRule="auto"/>
        <w:ind w:firstLine="480"/>
        <w:rPr>
          <w:rFonts w:hint="eastAsia" w:ascii="宋体" w:hAnsi="宋体" w:cs="宋体"/>
          <w:bCs/>
          <w:color w:val="auto"/>
          <w:szCs w:val="21"/>
          <w:highlight w:val="none"/>
          <w:u w:val="none"/>
        </w:rPr>
      </w:pPr>
      <w:r>
        <w:rPr>
          <w:rFonts w:hint="eastAsia" w:ascii="宋体" w:hAnsi="宋体" w:cs="宋体"/>
          <w:color w:val="auto"/>
          <w:szCs w:val="21"/>
          <w:highlight w:val="none"/>
          <w:u w:val="none"/>
        </w:rPr>
        <w:t>注：为方便评委评审，请供应商按评审办法中所涉及的事项顺序进行编制，可以补充相关材料；</w:t>
      </w:r>
    </w:p>
    <w:p w14:paraId="3B48F1A7">
      <w:pPr>
        <w:spacing w:line="360" w:lineRule="auto"/>
        <w:ind w:firstLine="482"/>
        <w:rPr>
          <w:rFonts w:hint="eastAsia" w:ascii="宋体" w:hAnsi="宋体" w:cs="宋体"/>
          <w:b/>
          <w:bCs/>
          <w:color w:val="auto"/>
          <w:szCs w:val="21"/>
          <w:highlight w:val="none"/>
          <w:u w:val="none"/>
        </w:rPr>
      </w:pPr>
      <w:r>
        <w:rPr>
          <w:rFonts w:hint="eastAsia" w:ascii="宋体" w:hAnsi="宋体" w:cs="宋体"/>
          <w:b/>
          <w:bCs/>
          <w:color w:val="auto"/>
          <w:szCs w:val="21"/>
          <w:highlight w:val="none"/>
          <w:u w:val="none"/>
        </w:rPr>
        <w:t>四、报价响应文件</w:t>
      </w:r>
    </w:p>
    <w:p w14:paraId="786B796B">
      <w:pPr>
        <w:spacing w:line="360" w:lineRule="auto"/>
        <w:ind w:firstLine="420" w:firstLineChars="200"/>
        <w:rPr>
          <w:rFonts w:hint="eastAsia" w:ascii="宋体" w:hAnsi="宋体" w:cs="宋体"/>
          <w:color w:val="auto"/>
          <w:szCs w:val="21"/>
          <w:highlight w:val="none"/>
          <w:u w:val="none"/>
        </w:rPr>
      </w:pPr>
      <w:r>
        <w:rPr>
          <w:rFonts w:hint="eastAsia" w:ascii="宋体" w:hAnsi="宋体" w:cs="宋体"/>
          <w:color w:val="auto"/>
          <w:szCs w:val="21"/>
          <w:highlight w:val="none"/>
          <w:u w:val="none"/>
        </w:rPr>
        <w:t>1.磋商响应报价表（开标一览表）；</w:t>
      </w:r>
    </w:p>
    <w:p w14:paraId="4E1DF156">
      <w:pPr>
        <w:spacing w:before="100" w:after="100" w:line="360" w:lineRule="auto"/>
        <w:ind w:firstLine="422" w:firstLineChars="200"/>
        <w:rPr>
          <w:rFonts w:hint="eastAsia" w:ascii="宋体" w:hAnsi="宋体" w:cs="宋体"/>
          <w:b/>
          <w:color w:val="auto"/>
          <w:szCs w:val="21"/>
          <w:highlight w:val="none"/>
          <w:u w:val="none"/>
        </w:rPr>
      </w:pPr>
      <w:r>
        <w:rPr>
          <w:rFonts w:hint="eastAsia" w:ascii="宋体" w:hAnsi="宋体" w:cs="宋体"/>
          <w:b/>
          <w:color w:val="auto"/>
          <w:szCs w:val="21"/>
          <w:highlight w:val="none"/>
          <w:u w:val="none"/>
        </w:rPr>
        <w:t>2.二次报价将在开标系统内填写。考虑磋商报价的方便，供应商在填写最终承诺报价后，（第一次报价－最终承诺报价）除以第一次报价后得出的优惠率视同为需求表中全部分项设备或服务的优惠浮动值（特定分项优惠除外）。此优惠率调整原则适用于合同内价格的计算及项目增减、变更时价格的计算。</w:t>
      </w:r>
    </w:p>
    <w:p w14:paraId="6DC046A2">
      <w:pPr>
        <w:spacing w:before="100" w:after="100" w:line="360" w:lineRule="auto"/>
        <w:rPr>
          <w:rFonts w:hint="eastAsia" w:ascii="宋体" w:hAnsi="宋体" w:cs="宋体"/>
          <w:b/>
          <w:color w:val="auto"/>
          <w:szCs w:val="21"/>
          <w:highlight w:val="none"/>
          <w:u w:val="none"/>
        </w:rPr>
        <w:sectPr>
          <w:footerReference r:id="rId9" w:type="default"/>
          <w:pgSz w:w="11907" w:h="16840"/>
          <w:pgMar w:top="1134" w:right="1134" w:bottom="1134" w:left="1560" w:header="851" w:footer="851" w:gutter="0"/>
          <w:pgBorders>
            <w:top w:val="none" w:sz="0" w:space="0"/>
            <w:left w:val="none" w:sz="0" w:space="0"/>
            <w:bottom w:val="none" w:sz="0" w:space="0"/>
            <w:right w:val="none" w:sz="0" w:space="0"/>
          </w:pgBorders>
          <w:cols w:space="720" w:num="1"/>
          <w:docGrid w:linePitch="312" w:charSpace="0"/>
        </w:sectPr>
      </w:pPr>
    </w:p>
    <w:p w14:paraId="04629F41">
      <w:pPr>
        <w:spacing w:before="100" w:after="100" w:line="360" w:lineRule="auto"/>
        <w:rPr>
          <w:rFonts w:hint="eastAsia" w:ascii="宋体" w:hAnsi="宋体" w:cs="宋体"/>
          <w:b/>
          <w:color w:val="auto"/>
          <w:szCs w:val="21"/>
          <w:highlight w:val="none"/>
          <w:u w:val="none"/>
        </w:rPr>
      </w:pPr>
      <w:r>
        <w:rPr>
          <w:rFonts w:hint="eastAsia" w:ascii="宋体" w:hAnsi="宋体" w:cs="宋体"/>
          <w:b/>
          <w:color w:val="auto"/>
          <w:szCs w:val="21"/>
          <w:highlight w:val="none"/>
          <w:u w:val="none"/>
        </w:rPr>
        <w:t>封面</w:t>
      </w:r>
    </w:p>
    <w:p w14:paraId="56843164">
      <w:pPr>
        <w:spacing w:line="360" w:lineRule="auto"/>
        <w:jc w:val="center"/>
        <w:rPr>
          <w:rFonts w:ascii="Microsoft New Tai Lue" w:hAnsi="Microsoft New Tai Lue" w:cs="Microsoft New Tai Lue"/>
          <w:b/>
          <w:color w:val="auto"/>
          <w:sz w:val="72"/>
          <w:szCs w:val="84"/>
          <w:highlight w:val="none"/>
          <w:u w:val="none"/>
        </w:rPr>
      </w:pPr>
    </w:p>
    <w:p w14:paraId="2867ACAF">
      <w:pPr>
        <w:spacing w:line="360" w:lineRule="auto"/>
        <w:jc w:val="center"/>
        <w:rPr>
          <w:rFonts w:hint="eastAsia" w:ascii="新宋体" w:hAnsi="新宋体" w:eastAsia="新宋体"/>
          <w:b/>
          <w:bCs/>
          <w:color w:val="auto"/>
          <w:sz w:val="32"/>
          <w:szCs w:val="32"/>
          <w:highlight w:val="none"/>
          <w:u w:val="none"/>
          <w:lang w:eastAsia="zh-CN"/>
        </w:rPr>
      </w:pPr>
      <w:r>
        <w:rPr>
          <w:rFonts w:hint="eastAsia" w:ascii="新宋体" w:hAnsi="新宋体" w:eastAsia="新宋体"/>
          <w:b/>
          <w:bCs/>
          <w:color w:val="auto"/>
          <w:sz w:val="32"/>
          <w:szCs w:val="32"/>
          <w:highlight w:val="none"/>
          <w:u w:val="none"/>
          <w:lang w:eastAsia="zh-CN"/>
        </w:rPr>
        <w:t>2026年泰州医药高新区（高港区）市场监督管理局食品安全快检服务</w:t>
      </w:r>
    </w:p>
    <w:p w14:paraId="2C5889DF">
      <w:pPr>
        <w:pStyle w:val="2"/>
        <w:ind w:firstLine="643"/>
        <w:rPr>
          <w:rFonts w:hint="eastAsia" w:ascii="新宋体" w:hAnsi="新宋体" w:eastAsia="新宋体"/>
          <w:b/>
          <w:bCs/>
          <w:color w:val="auto"/>
          <w:sz w:val="32"/>
          <w:szCs w:val="32"/>
          <w:highlight w:val="none"/>
          <w:u w:val="none"/>
        </w:rPr>
      </w:pPr>
    </w:p>
    <w:p w14:paraId="5BADF0C0">
      <w:pPr>
        <w:pStyle w:val="2"/>
        <w:ind w:firstLine="643"/>
        <w:rPr>
          <w:rFonts w:hint="eastAsia" w:ascii="新宋体" w:hAnsi="新宋体" w:eastAsia="新宋体"/>
          <w:b/>
          <w:bCs/>
          <w:color w:val="auto"/>
          <w:sz w:val="32"/>
          <w:szCs w:val="32"/>
          <w:highlight w:val="none"/>
          <w:u w:val="none"/>
        </w:rPr>
      </w:pPr>
    </w:p>
    <w:p w14:paraId="3AF9CD31">
      <w:pPr>
        <w:pStyle w:val="28"/>
        <w:spacing w:line="360" w:lineRule="auto"/>
        <w:rPr>
          <w:color w:val="auto"/>
          <w:highlight w:val="none"/>
          <w:u w:val="none"/>
        </w:rPr>
      </w:pPr>
    </w:p>
    <w:p w14:paraId="1C41A9AB">
      <w:pPr>
        <w:pStyle w:val="9"/>
        <w:spacing w:line="360" w:lineRule="auto"/>
        <w:jc w:val="center"/>
        <w:rPr>
          <w:rFonts w:ascii="Microsoft New Tai Lue" w:hAnsi="Microsoft New Tai Lue" w:cs="Microsoft New Tai Lue"/>
          <w:b/>
          <w:color w:val="auto"/>
          <w:sz w:val="84"/>
          <w:szCs w:val="84"/>
          <w:highlight w:val="none"/>
          <w:u w:val="none"/>
        </w:rPr>
      </w:pPr>
      <w:bookmarkStart w:id="114" w:name="_Toc100905255"/>
      <w:r>
        <w:rPr>
          <w:rFonts w:hint="eastAsia" w:ascii="Microsoft New Tai Lue" w:hAnsi="Microsoft New Tai Lue" w:cs="Microsoft New Tai Lue"/>
          <w:b/>
          <w:color w:val="auto"/>
          <w:sz w:val="84"/>
          <w:szCs w:val="84"/>
          <w:highlight w:val="none"/>
          <w:u w:val="none"/>
        </w:rPr>
        <w:t>响</w:t>
      </w:r>
      <w:r>
        <w:rPr>
          <w:rFonts w:ascii="Microsoft New Tai Lue" w:hAnsi="Microsoft New Tai Lue" w:cs="Microsoft New Tai Lue"/>
          <w:b/>
          <w:color w:val="auto"/>
          <w:sz w:val="84"/>
          <w:szCs w:val="84"/>
          <w:highlight w:val="none"/>
          <w:u w:val="none"/>
        </w:rPr>
        <w:t xml:space="preserve"> </w:t>
      </w:r>
      <w:r>
        <w:rPr>
          <w:rFonts w:hint="eastAsia" w:ascii="Microsoft New Tai Lue" w:hAnsi="Microsoft New Tai Lue" w:cs="Microsoft New Tai Lue"/>
          <w:b/>
          <w:color w:val="auto"/>
          <w:sz w:val="84"/>
          <w:szCs w:val="84"/>
          <w:highlight w:val="none"/>
          <w:u w:val="none"/>
        </w:rPr>
        <w:t xml:space="preserve"> 应</w:t>
      </w:r>
      <w:r>
        <w:rPr>
          <w:rFonts w:ascii="Microsoft New Tai Lue" w:hAnsi="Microsoft New Tai Lue" w:cs="Microsoft New Tai Lue"/>
          <w:b/>
          <w:color w:val="auto"/>
          <w:sz w:val="84"/>
          <w:szCs w:val="84"/>
          <w:highlight w:val="none"/>
          <w:u w:val="none"/>
        </w:rPr>
        <w:t xml:space="preserve"> 文 件</w:t>
      </w:r>
      <w:bookmarkEnd w:id="114"/>
    </w:p>
    <w:p w14:paraId="1E16C8EF">
      <w:pPr>
        <w:spacing w:line="360" w:lineRule="auto"/>
        <w:ind w:right="640"/>
        <w:jc w:val="center"/>
        <w:rPr>
          <w:rFonts w:ascii="Microsoft New Tai Lue" w:hAnsi="Microsoft New Tai Lue" w:cs="Microsoft New Tai Lue"/>
          <w:b/>
          <w:color w:val="auto"/>
          <w:sz w:val="44"/>
          <w:szCs w:val="44"/>
          <w:highlight w:val="none"/>
          <w:u w:val="none"/>
        </w:rPr>
      </w:pPr>
    </w:p>
    <w:p w14:paraId="6B273B0F">
      <w:pPr>
        <w:spacing w:line="360" w:lineRule="auto"/>
        <w:ind w:right="640" w:firstLine="2209" w:firstLineChars="500"/>
        <w:rPr>
          <w:rFonts w:ascii="Microsoft New Tai Lue" w:hAnsi="Microsoft New Tai Lue" w:cs="Microsoft New Tai Lue"/>
          <w:b/>
          <w:color w:val="auto"/>
          <w:sz w:val="44"/>
          <w:szCs w:val="44"/>
          <w:highlight w:val="none"/>
          <w:u w:val="none"/>
        </w:rPr>
      </w:pPr>
      <w:r>
        <w:rPr>
          <w:rFonts w:ascii="Microsoft New Tai Lue" w:hAnsi="Microsoft New Tai Lue" w:cs="Microsoft New Tai Lue"/>
          <w:b/>
          <w:color w:val="auto"/>
          <w:sz w:val="44"/>
          <w:szCs w:val="44"/>
          <w:highlight w:val="none"/>
          <w:u w:val="none"/>
        </w:rPr>
        <w:t>项目编号：</w:t>
      </w:r>
    </w:p>
    <w:p w14:paraId="5B119E2A">
      <w:pPr>
        <w:pStyle w:val="9"/>
        <w:spacing w:line="360" w:lineRule="auto"/>
        <w:rPr>
          <w:rFonts w:ascii="Microsoft New Tai Lue" w:hAnsi="Microsoft New Tai Lue" w:cs="Microsoft New Tai Lue"/>
          <w:color w:val="auto"/>
          <w:sz w:val="28"/>
          <w:szCs w:val="28"/>
          <w:highlight w:val="none"/>
          <w:u w:val="none"/>
        </w:rPr>
      </w:pPr>
    </w:p>
    <w:p w14:paraId="4DEDAADE">
      <w:pPr>
        <w:pStyle w:val="9"/>
        <w:spacing w:line="360" w:lineRule="auto"/>
        <w:rPr>
          <w:rFonts w:ascii="Microsoft New Tai Lue" w:hAnsi="Microsoft New Tai Lue" w:cs="Microsoft New Tai Lue"/>
          <w:color w:val="auto"/>
          <w:sz w:val="28"/>
          <w:szCs w:val="28"/>
          <w:highlight w:val="none"/>
          <w:u w:val="none"/>
        </w:rPr>
      </w:pPr>
    </w:p>
    <w:p w14:paraId="31C0D8EC">
      <w:pPr>
        <w:pStyle w:val="9"/>
        <w:spacing w:line="360" w:lineRule="auto"/>
        <w:rPr>
          <w:rFonts w:ascii="Microsoft New Tai Lue" w:hAnsi="Microsoft New Tai Lue" w:cs="Microsoft New Tai Lue"/>
          <w:color w:val="auto"/>
          <w:sz w:val="28"/>
          <w:szCs w:val="28"/>
          <w:highlight w:val="none"/>
          <w:u w:val="none"/>
        </w:rPr>
      </w:pPr>
    </w:p>
    <w:p w14:paraId="4E4E9A25">
      <w:pPr>
        <w:pStyle w:val="9"/>
        <w:spacing w:line="360" w:lineRule="auto"/>
        <w:rPr>
          <w:rFonts w:ascii="Microsoft New Tai Lue" w:hAnsi="Microsoft New Tai Lue" w:cs="Microsoft New Tai Lue"/>
          <w:color w:val="auto"/>
          <w:sz w:val="28"/>
          <w:szCs w:val="28"/>
          <w:highlight w:val="none"/>
          <w:u w:val="none"/>
        </w:rPr>
      </w:pPr>
    </w:p>
    <w:p w14:paraId="387C5110">
      <w:pPr>
        <w:pStyle w:val="9"/>
        <w:spacing w:line="360" w:lineRule="auto"/>
        <w:jc w:val="center"/>
        <w:rPr>
          <w:rFonts w:ascii="Microsoft New Tai Lue" w:hAnsi="Microsoft New Tai Lue" w:cs="Microsoft New Tai Lue"/>
          <w:b/>
          <w:color w:val="auto"/>
          <w:sz w:val="32"/>
          <w:szCs w:val="32"/>
          <w:highlight w:val="none"/>
          <w:u w:val="none"/>
        </w:rPr>
      </w:pPr>
      <w:r>
        <w:rPr>
          <w:rFonts w:hint="eastAsia" w:ascii="Microsoft New Tai Lue" w:hAnsi="Microsoft New Tai Lue" w:cs="Microsoft New Tai Lue"/>
          <w:b/>
          <w:color w:val="auto"/>
          <w:sz w:val="32"/>
          <w:szCs w:val="24"/>
          <w:highlight w:val="none"/>
          <w:u w:val="none"/>
          <w:lang w:eastAsia="zh-CN"/>
        </w:rPr>
        <w:t>响应供应商</w:t>
      </w:r>
      <w:r>
        <w:rPr>
          <w:rFonts w:ascii="Microsoft New Tai Lue" w:hAnsi="Microsoft New Tai Lue" w:cs="Microsoft New Tai Lue"/>
          <w:b/>
          <w:color w:val="auto"/>
          <w:sz w:val="32"/>
          <w:szCs w:val="24"/>
          <w:highlight w:val="none"/>
          <w:u w:val="none"/>
        </w:rPr>
        <w:t>名称：</w:t>
      </w:r>
      <w:r>
        <w:rPr>
          <w:rFonts w:ascii="Microsoft New Tai Lue" w:hAnsi="Microsoft New Tai Lue" w:cs="Microsoft New Tai Lue"/>
          <w:b/>
          <w:color w:val="auto"/>
          <w:sz w:val="32"/>
          <w:szCs w:val="32"/>
          <w:highlight w:val="none"/>
          <w:u w:val="none"/>
        </w:rPr>
        <w:t>_____________________</w:t>
      </w:r>
    </w:p>
    <w:p w14:paraId="143EA191">
      <w:pPr>
        <w:pStyle w:val="9"/>
        <w:spacing w:line="360" w:lineRule="auto"/>
        <w:jc w:val="center"/>
        <w:rPr>
          <w:rFonts w:ascii="Microsoft New Tai Lue" w:hAnsi="Microsoft New Tai Lue" w:cs="Microsoft New Tai Lue"/>
          <w:b/>
          <w:color w:val="auto"/>
          <w:sz w:val="32"/>
          <w:szCs w:val="32"/>
          <w:highlight w:val="none"/>
          <w:u w:val="none"/>
        </w:rPr>
      </w:pPr>
      <w:r>
        <w:rPr>
          <w:rFonts w:ascii="Microsoft New Tai Lue" w:hAnsi="Microsoft New Tai Lue" w:cs="Microsoft New Tai Lue"/>
          <w:b/>
          <w:color w:val="auto"/>
          <w:sz w:val="32"/>
          <w:szCs w:val="32"/>
          <w:highlight w:val="none"/>
          <w:u w:val="none"/>
        </w:rPr>
        <w:t>地址：_____________________</w:t>
      </w:r>
    </w:p>
    <w:p w14:paraId="41C8E77B">
      <w:pPr>
        <w:spacing w:line="360" w:lineRule="auto"/>
        <w:jc w:val="center"/>
        <w:rPr>
          <w:rFonts w:ascii="Microsoft New Tai Lue" w:hAnsi="Microsoft New Tai Lue" w:cs="Microsoft New Tai Lue"/>
          <w:b/>
          <w:color w:val="auto"/>
          <w:sz w:val="32"/>
          <w:highlight w:val="none"/>
          <w:u w:val="none"/>
        </w:rPr>
      </w:pPr>
      <w:r>
        <w:rPr>
          <w:rFonts w:hint="eastAsia" w:ascii="Microsoft New Tai Lue" w:hAnsi="Microsoft New Tai Lue" w:cs="Microsoft New Tai Lue"/>
          <w:b/>
          <w:color w:val="auto"/>
          <w:sz w:val="32"/>
          <w:highlight w:val="none"/>
          <w:u w:val="none"/>
        </w:rPr>
        <w:t>二〇二</w:t>
      </w:r>
      <w:r>
        <w:rPr>
          <w:rFonts w:hint="eastAsia" w:ascii="Microsoft New Tai Lue" w:hAnsi="Microsoft New Tai Lue" w:cs="Microsoft New Tai Lue"/>
          <w:b/>
          <w:color w:val="auto"/>
          <w:sz w:val="32"/>
          <w:highlight w:val="none"/>
          <w:u w:val="none"/>
          <w:lang w:val="en-US" w:eastAsia="zh-CN"/>
        </w:rPr>
        <w:t>六</w:t>
      </w:r>
      <w:r>
        <w:rPr>
          <w:rFonts w:ascii="Microsoft New Tai Lue" w:hAnsi="Microsoft New Tai Lue" w:cs="Microsoft New Tai Lue"/>
          <w:b/>
          <w:color w:val="auto"/>
          <w:sz w:val="32"/>
          <w:highlight w:val="none"/>
          <w:u w:val="none"/>
        </w:rPr>
        <w:t>年  月  日</w:t>
      </w:r>
    </w:p>
    <w:p w14:paraId="53652F2D">
      <w:pPr>
        <w:spacing w:line="360" w:lineRule="auto"/>
        <w:rPr>
          <w:rFonts w:ascii="Microsoft New Tai Lue" w:hAnsi="Microsoft New Tai Lue" w:cs="Microsoft New Tai Lue"/>
          <w:b/>
          <w:color w:val="auto"/>
          <w:highlight w:val="none"/>
          <w:u w:val="none"/>
        </w:rPr>
      </w:pPr>
      <w:r>
        <w:rPr>
          <w:rFonts w:ascii="Microsoft New Tai Lue" w:hAnsi="Microsoft New Tai Lue" w:cs="Microsoft New Tai Lue"/>
          <w:b/>
          <w:color w:val="auto"/>
          <w:highlight w:val="none"/>
          <w:u w:val="none"/>
        </w:rPr>
        <w:br w:type="page"/>
      </w:r>
      <w:bookmarkEnd w:id="108"/>
      <w:bookmarkEnd w:id="109"/>
      <w:bookmarkEnd w:id="110"/>
      <w:bookmarkStart w:id="115" w:name="_Toc337816640"/>
      <w:bookmarkStart w:id="116" w:name="_Toc456102122"/>
      <w:bookmarkStart w:id="117" w:name="_Toc456102676"/>
      <w:bookmarkStart w:id="118" w:name="_Toc456102499"/>
    </w:p>
    <w:p w14:paraId="6BCFB4DA">
      <w:pPr>
        <w:spacing w:line="360" w:lineRule="auto"/>
        <w:rPr>
          <w:rFonts w:hint="eastAsia" w:ascii="宋体" w:hAnsi="宋体"/>
          <w:b/>
          <w:bCs/>
          <w:color w:val="auto"/>
          <w:szCs w:val="21"/>
          <w:highlight w:val="none"/>
          <w:u w:val="none"/>
        </w:rPr>
      </w:pPr>
      <w:r>
        <w:rPr>
          <w:rFonts w:hint="eastAsia" w:ascii="宋体" w:hAnsi="宋体"/>
          <w:b/>
          <w:bCs/>
          <w:color w:val="auto"/>
          <w:szCs w:val="21"/>
          <w:highlight w:val="none"/>
          <w:u w:val="none"/>
        </w:rPr>
        <w:t>附件：</w:t>
      </w:r>
    </w:p>
    <w:p w14:paraId="1A59F16E">
      <w:pPr>
        <w:spacing w:line="360" w:lineRule="auto"/>
        <w:jc w:val="center"/>
        <w:outlineLvl w:val="4"/>
        <w:rPr>
          <w:rFonts w:hint="eastAsia" w:ascii="宋体" w:hAnsi="宋体" w:cs="宋体"/>
          <w:b/>
          <w:bCs/>
          <w:color w:val="auto"/>
          <w:szCs w:val="21"/>
          <w:highlight w:val="none"/>
          <w:u w:val="none"/>
        </w:rPr>
      </w:pPr>
      <w:r>
        <w:rPr>
          <w:rFonts w:hint="eastAsia" w:ascii="宋体" w:hAnsi="宋体" w:cs="宋体"/>
          <w:b/>
          <w:bCs/>
          <w:color w:val="auto"/>
          <w:szCs w:val="21"/>
          <w:highlight w:val="none"/>
          <w:u w:val="none"/>
        </w:rPr>
        <w:t>1.法定代表人身份证明</w:t>
      </w:r>
    </w:p>
    <w:p w14:paraId="078FC189">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单位名称：                                         </w:t>
      </w:r>
    </w:p>
    <w:p w14:paraId="31005D91">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单位性质：                                         </w:t>
      </w:r>
    </w:p>
    <w:p w14:paraId="76125160">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地    址：                                          </w:t>
      </w:r>
    </w:p>
    <w:p w14:paraId="37C8B794">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成立时间：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none"/>
        </w:rPr>
        <w:t xml:space="preserve"> 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none"/>
        </w:rPr>
        <w:t>日</w:t>
      </w:r>
    </w:p>
    <w:p w14:paraId="2A376B3B">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经营期限：</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none"/>
        </w:rPr>
        <w:t xml:space="preserve">                   </w:t>
      </w:r>
    </w:p>
    <w:p w14:paraId="2EE76F02">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姓    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none"/>
        </w:rPr>
        <w:t xml:space="preserve">    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none"/>
        </w:rPr>
        <w:t xml:space="preserve">  年龄：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none"/>
        </w:rPr>
        <w:t xml:space="preserve">     职务：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none"/>
        </w:rPr>
        <w:t xml:space="preserve">  </w:t>
      </w:r>
    </w:p>
    <w:p w14:paraId="2B196E55">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手机（必填）：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none"/>
        </w:rPr>
        <w:t xml:space="preserve">    系： </w:t>
      </w:r>
      <w:r>
        <w:rPr>
          <w:rFonts w:hint="eastAsia" w:ascii="宋体" w:hAnsi="宋体" w:cs="宋体"/>
          <w:color w:val="auto"/>
          <w:szCs w:val="21"/>
          <w:highlight w:val="none"/>
          <w:u w:val="single"/>
        </w:rPr>
        <w:t xml:space="preserve">    （响应供应商名称）            </w:t>
      </w:r>
      <w:r>
        <w:rPr>
          <w:rFonts w:hint="eastAsia" w:ascii="宋体" w:hAnsi="宋体" w:cs="宋体"/>
          <w:color w:val="auto"/>
          <w:szCs w:val="21"/>
          <w:highlight w:val="none"/>
          <w:u w:val="none"/>
        </w:rPr>
        <w:t>的法定代表人。</w:t>
      </w:r>
    </w:p>
    <w:p w14:paraId="09AA79B1">
      <w:pPr>
        <w:spacing w:line="360" w:lineRule="auto"/>
        <w:ind w:firstLine="480"/>
        <w:rPr>
          <w:rFonts w:hint="eastAsia" w:ascii="宋体" w:hAnsi="宋体" w:cs="宋体"/>
          <w:color w:val="auto"/>
          <w:szCs w:val="21"/>
          <w:highlight w:val="none"/>
          <w:u w:val="none"/>
          <w:lang w:eastAsia="zh-CN"/>
        </w:rPr>
      </w:pPr>
      <w:r>
        <w:rPr>
          <w:rFonts w:hint="eastAsia" w:ascii="宋体" w:hAnsi="宋体" w:cs="宋体"/>
          <w:color w:val="auto"/>
          <w:szCs w:val="21"/>
          <w:highlight w:val="none"/>
          <w:u w:val="none"/>
        </w:rPr>
        <w:t>特此证明</w:t>
      </w:r>
      <w:r>
        <w:rPr>
          <w:rFonts w:hint="eastAsia" w:ascii="宋体" w:hAnsi="宋体" w:cs="宋体"/>
          <w:color w:val="auto"/>
          <w:szCs w:val="21"/>
          <w:highlight w:val="none"/>
          <w:u w:val="none"/>
          <w:lang w:eastAsia="zh-CN"/>
        </w:rPr>
        <w:t>。</w:t>
      </w:r>
    </w:p>
    <w:p w14:paraId="1BE85B63">
      <w:pPr>
        <w:pStyle w:val="2"/>
        <w:rPr>
          <w:rFonts w:hint="eastAsia"/>
          <w:highlight w:val="none"/>
          <w:lang w:eastAsia="zh-CN"/>
        </w:rPr>
      </w:pPr>
    </w:p>
    <w:p w14:paraId="6C0B215D">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磋商响应人（盖法人章）：                   </w:t>
      </w:r>
    </w:p>
    <w:p w14:paraId="020BD11E">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日   期：        年      月      日</w:t>
      </w:r>
    </w:p>
    <w:p w14:paraId="1A6227C5">
      <w:pPr>
        <w:spacing w:line="360" w:lineRule="auto"/>
        <w:ind w:firstLine="480"/>
        <w:rPr>
          <w:rFonts w:hint="eastAsia" w:ascii="宋体" w:hAnsi="宋体" w:cs="宋体"/>
          <w:color w:val="auto"/>
          <w:szCs w:val="21"/>
          <w:highlight w:val="none"/>
          <w:u w:val="none"/>
        </w:rPr>
      </w:pPr>
    </w:p>
    <w:p w14:paraId="429C6911">
      <w:pPr>
        <w:spacing w:line="360" w:lineRule="auto"/>
        <w:rPr>
          <w:rFonts w:hint="eastAsia" w:ascii="宋体" w:hAnsi="宋体" w:cs="宋体"/>
          <w:color w:val="auto"/>
          <w:szCs w:val="21"/>
          <w:highlight w:val="none"/>
          <w:u w:val="none"/>
        </w:rPr>
      </w:pPr>
      <w:r>
        <w:rPr>
          <w:rFonts w:hint="eastAsia" w:ascii="宋体" w:hAnsi="宋体" w:cs="宋体"/>
          <w:color w:val="auto"/>
          <w:szCs w:val="21"/>
          <w:highlight w:val="none"/>
          <w:u w:val="none"/>
        </w:rPr>
        <w:t>法定代表人（单位负责人）有效期内的身份证复印件（正反面）</w:t>
      </w:r>
    </w:p>
    <w:tbl>
      <w:tblPr>
        <w:tblStyle w:val="16"/>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284"/>
        <w:gridCol w:w="4677"/>
      </w:tblGrid>
      <w:tr w14:paraId="2DBEF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8" w:type="dxa"/>
            <w:vAlign w:val="center"/>
          </w:tcPr>
          <w:p w14:paraId="05777A03">
            <w:pPr>
              <w:pStyle w:val="6"/>
              <w:spacing w:line="360" w:lineRule="auto"/>
              <w:jc w:val="center"/>
              <w:rPr>
                <w:i/>
                <w:color w:val="auto"/>
                <w:sz w:val="20"/>
                <w:highlight w:val="none"/>
                <w:u w:val="none"/>
              </w:rPr>
            </w:pPr>
            <w:r>
              <w:rPr>
                <w:i/>
                <w:color w:val="auto"/>
                <w:sz w:val="24"/>
                <w:highlight w:val="none"/>
                <w:u w:val="none"/>
              </w:rPr>
              <w:t>身份证正面</w:t>
            </w:r>
          </w:p>
        </w:tc>
        <w:tc>
          <w:tcPr>
            <w:tcW w:w="284" w:type="dxa"/>
            <w:tcBorders>
              <w:top w:val="nil"/>
              <w:bottom w:val="nil"/>
            </w:tcBorders>
          </w:tcPr>
          <w:p w14:paraId="5390677B">
            <w:pPr>
              <w:widowControl/>
              <w:spacing w:line="360" w:lineRule="auto"/>
              <w:jc w:val="left"/>
              <w:rPr>
                <w:color w:val="auto"/>
                <w:sz w:val="20"/>
                <w:highlight w:val="none"/>
                <w:u w:val="none"/>
              </w:rPr>
            </w:pPr>
          </w:p>
        </w:tc>
        <w:tc>
          <w:tcPr>
            <w:tcW w:w="4677" w:type="dxa"/>
            <w:vAlign w:val="center"/>
          </w:tcPr>
          <w:p w14:paraId="65DEC1D5">
            <w:pPr>
              <w:widowControl/>
              <w:spacing w:line="360" w:lineRule="auto"/>
              <w:jc w:val="center"/>
              <w:rPr>
                <w:color w:val="auto"/>
                <w:sz w:val="20"/>
                <w:highlight w:val="none"/>
                <w:u w:val="none"/>
              </w:rPr>
            </w:pPr>
            <w:r>
              <w:rPr>
                <w:i/>
                <w:color w:val="auto"/>
                <w:sz w:val="24"/>
                <w:highlight w:val="none"/>
                <w:u w:val="none"/>
              </w:rPr>
              <w:t>身份证反面</w:t>
            </w:r>
          </w:p>
        </w:tc>
      </w:tr>
    </w:tbl>
    <w:p w14:paraId="11BC7034">
      <w:pPr>
        <w:pStyle w:val="5"/>
        <w:spacing w:line="360" w:lineRule="auto"/>
        <w:rPr>
          <w:color w:val="auto"/>
          <w:highlight w:val="none"/>
          <w:u w:val="none"/>
        </w:rPr>
      </w:pPr>
    </w:p>
    <w:p w14:paraId="052943F3">
      <w:pPr>
        <w:pStyle w:val="4"/>
        <w:spacing w:before="0" w:after="0" w:line="360" w:lineRule="auto"/>
        <w:ind w:firstLine="422" w:firstLineChars="200"/>
        <w:rPr>
          <w:rFonts w:hint="eastAsia" w:ascii="宋体" w:hAnsi="宋体" w:eastAsia="宋体"/>
          <w:color w:val="auto"/>
          <w:sz w:val="21"/>
          <w:szCs w:val="21"/>
          <w:highlight w:val="none"/>
          <w:u w:val="none"/>
        </w:rPr>
        <w:sectPr>
          <w:footerReference r:id="rId10" w:type="default"/>
          <w:pgSz w:w="11907" w:h="16840"/>
          <w:pgMar w:top="1134" w:right="1134" w:bottom="1134" w:left="1560" w:header="851" w:footer="851" w:gutter="0"/>
          <w:pgBorders>
            <w:top w:val="none" w:sz="0" w:space="0"/>
            <w:left w:val="none" w:sz="0" w:space="0"/>
            <w:bottom w:val="none" w:sz="0" w:space="0"/>
            <w:right w:val="none" w:sz="0" w:space="0"/>
          </w:pgBorders>
          <w:cols w:space="720" w:num="1"/>
          <w:docGrid w:linePitch="312" w:charSpace="0"/>
        </w:sectPr>
      </w:pPr>
    </w:p>
    <w:p w14:paraId="1B207894">
      <w:pPr>
        <w:pStyle w:val="4"/>
        <w:spacing w:before="0" w:after="0" w:line="360" w:lineRule="auto"/>
        <w:ind w:firstLine="422" w:firstLineChars="200"/>
        <w:rPr>
          <w:rFonts w:hint="eastAsia" w:ascii="宋体" w:hAnsi="宋体" w:eastAsia="宋体"/>
          <w:color w:val="auto"/>
          <w:sz w:val="21"/>
          <w:szCs w:val="21"/>
          <w:highlight w:val="none"/>
          <w:u w:val="none"/>
        </w:rPr>
      </w:pPr>
      <w:r>
        <w:rPr>
          <w:rFonts w:hint="eastAsia" w:ascii="宋体" w:hAnsi="宋体" w:eastAsia="宋体"/>
          <w:color w:val="auto"/>
          <w:sz w:val="21"/>
          <w:szCs w:val="21"/>
          <w:highlight w:val="none"/>
          <w:u w:val="none"/>
        </w:rPr>
        <w:t>2.法定代表人授权书</w:t>
      </w:r>
    </w:p>
    <w:p w14:paraId="47BE7B30">
      <w:pPr>
        <w:pStyle w:val="29"/>
        <w:spacing w:line="360" w:lineRule="auto"/>
        <w:ind w:firstLine="422" w:firstLineChars="200"/>
        <w:jc w:val="center"/>
        <w:rPr>
          <w:rFonts w:hint="eastAsia" w:ascii="宋体" w:hAnsi="宋体"/>
          <w:b/>
          <w:color w:val="auto"/>
          <w:sz w:val="21"/>
          <w:szCs w:val="21"/>
          <w:highlight w:val="none"/>
          <w:u w:val="none"/>
        </w:rPr>
      </w:pPr>
    </w:p>
    <w:p w14:paraId="7188CDD5">
      <w:pPr>
        <w:pStyle w:val="29"/>
        <w:spacing w:line="360" w:lineRule="auto"/>
        <w:ind w:left="420" w:leftChars="200"/>
        <w:rPr>
          <w:rFonts w:hint="eastAsia" w:ascii="宋体" w:hAnsi="宋体"/>
          <w:color w:val="auto"/>
          <w:sz w:val="21"/>
          <w:szCs w:val="21"/>
          <w:highlight w:val="none"/>
          <w:u w:val="none"/>
        </w:rPr>
      </w:pPr>
      <w:r>
        <w:rPr>
          <w:rFonts w:hint="eastAsia" w:ascii="宋体" w:hAnsi="宋体"/>
          <w:color w:val="auto"/>
          <w:sz w:val="21"/>
          <w:szCs w:val="21"/>
          <w:highlight w:val="none"/>
          <w:u w:val="none"/>
        </w:rPr>
        <w:t xml:space="preserve">本授权书声明： </w:t>
      </w:r>
      <w:r>
        <w:rPr>
          <w:rFonts w:hint="eastAsia" w:ascii="宋体" w:hAnsi="宋体"/>
          <w:color w:val="auto"/>
          <w:sz w:val="21"/>
          <w:szCs w:val="21"/>
          <w:highlight w:val="none"/>
          <w:u w:val="single"/>
        </w:rPr>
        <w:t xml:space="preserve">     （供应商名称）</w:t>
      </w:r>
      <w:r>
        <w:rPr>
          <w:rFonts w:hint="eastAsia" w:ascii="宋体" w:hAnsi="宋体"/>
          <w:color w:val="auto"/>
          <w:sz w:val="21"/>
          <w:szCs w:val="21"/>
          <w:highlight w:val="none"/>
          <w:u w:val="none"/>
        </w:rPr>
        <w:t xml:space="preserve">授权 </w:t>
      </w:r>
      <w:r>
        <w:rPr>
          <w:rFonts w:hint="eastAsia" w:ascii="宋体" w:hAnsi="宋体"/>
          <w:color w:val="auto"/>
          <w:sz w:val="21"/>
          <w:szCs w:val="21"/>
          <w:highlight w:val="none"/>
          <w:u w:val="single"/>
        </w:rPr>
        <w:t xml:space="preserve">             （被授权人的姓名）</w:t>
      </w:r>
      <w:r>
        <w:rPr>
          <w:rFonts w:hint="eastAsia" w:ascii="宋体" w:hAnsi="宋体"/>
          <w:color w:val="auto"/>
          <w:sz w:val="21"/>
          <w:szCs w:val="21"/>
          <w:highlight w:val="none"/>
          <w:u w:val="none"/>
        </w:rPr>
        <w:t>为我方就</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none"/>
        </w:rPr>
        <w:t>项目采购活动的合法代理人，以本公司名义全权处理一切与该项目采购有关的事务</w:t>
      </w:r>
      <w:r>
        <w:rPr>
          <w:rFonts w:hint="eastAsia"/>
          <w:color w:val="auto"/>
          <w:sz w:val="21"/>
          <w:szCs w:val="21"/>
          <w:highlight w:val="none"/>
          <w:u w:val="none"/>
        </w:rPr>
        <w:t>，其后果由我单位承担。</w:t>
      </w:r>
    </w:p>
    <w:p w14:paraId="284D45B6">
      <w:pPr>
        <w:spacing w:line="360" w:lineRule="auto"/>
        <w:ind w:firstLine="420" w:firstLineChars="200"/>
        <w:rPr>
          <w:rFonts w:ascii="Microsoft New Tai Lue" w:hAnsi="Microsoft New Tai Lue" w:cs="Microsoft New Tai Lue"/>
          <w:color w:val="auto"/>
          <w:szCs w:val="21"/>
          <w:highlight w:val="none"/>
          <w:u w:val="none"/>
        </w:rPr>
      </w:pPr>
      <w:r>
        <w:rPr>
          <w:rFonts w:hint="eastAsia" w:ascii="Microsoft New Tai Lue" w:hAnsi="Microsoft New Tai Lue" w:cs="Microsoft New Tai Lue"/>
          <w:color w:val="auto"/>
          <w:szCs w:val="21"/>
          <w:highlight w:val="none"/>
          <w:u w:val="none"/>
        </w:rPr>
        <w:t>代理人无转委托权，特此委托。</w:t>
      </w:r>
    </w:p>
    <w:p w14:paraId="37782F29">
      <w:pPr>
        <w:pStyle w:val="29"/>
        <w:spacing w:line="360" w:lineRule="auto"/>
        <w:ind w:firstLine="420" w:firstLineChars="200"/>
        <w:rPr>
          <w:color w:val="auto"/>
          <w:sz w:val="21"/>
          <w:szCs w:val="21"/>
          <w:highlight w:val="none"/>
          <w:u w:val="none"/>
        </w:rPr>
      </w:pPr>
      <w:r>
        <w:rPr>
          <w:rFonts w:hint="eastAsia"/>
          <w:color w:val="auto"/>
          <w:sz w:val="21"/>
          <w:szCs w:val="21"/>
          <w:highlight w:val="none"/>
          <w:u w:val="none"/>
        </w:rPr>
        <w:t>委托期限：自本授权委托书签署之日起至投标有效期届满之日止。</w:t>
      </w:r>
    </w:p>
    <w:p w14:paraId="18B5FBC8">
      <w:pPr>
        <w:pStyle w:val="29"/>
        <w:spacing w:line="360" w:lineRule="auto"/>
        <w:ind w:firstLine="420" w:firstLineChars="200"/>
        <w:rPr>
          <w:rFonts w:hint="eastAsia" w:ascii="宋体" w:hAnsi="宋体"/>
          <w:color w:val="auto"/>
          <w:sz w:val="21"/>
          <w:szCs w:val="21"/>
          <w:highlight w:val="none"/>
          <w:u w:val="none"/>
        </w:rPr>
      </w:pPr>
      <w:r>
        <w:rPr>
          <w:rFonts w:hint="eastAsia" w:ascii="宋体" w:hAnsi="宋体"/>
          <w:color w:val="auto"/>
          <w:sz w:val="21"/>
          <w:szCs w:val="21"/>
          <w:highlight w:val="none"/>
          <w:u w:val="none"/>
        </w:rPr>
        <w:t>法定代表人：（签字或盖章）_______________________</w:t>
      </w:r>
    </w:p>
    <w:p w14:paraId="1888F0DD">
      <w:pPr>
        <w:pStyle w:val="29"/>
        <w:spacing w:line="360" w:lineRule="auto"/>
        <w:ind w:firstLine="420" w:firstLineChars="200"/>
        <w:rPr>
          <w:rFonts w:hint="eastAsia" w:ascii="宋体" w:hAnsi="宋体"/>
          <w:color w:val="auto"/>
          <w:sz w:val="21"/>
          <w:szCs w:val="21"/>
          <w:highlight w:val="none"/>
          <w:u w:val="none"/>
        </w:rPr>
      </w:pPr>
    </w:p>
    <w:p w14:paraId="588D1385">
      <w:pPr>
        <w:pStyle w:val="29"/>
        <w:spacing w:line="360" w:lineRule="auto"/>
        <w:ind w:firstLine="420" w:firstLineChars="200"/>
        <w:rPr>
          <w:rFonts w:hint="eastAsia" w:ascii="宋体" w:hAnsi="宋体"/>
          <w:color w:val="auto"/>
          <w:sz w:val="21"/>
          <w:szCs w:val="21"/>
          <w:highlight w:val="none"/>
          <w:u w:val="none"/>
        </w:rPr>
      </w:pPr>
      <w:r>
        <w:rPr>
          <w:rFonts w:hint="eastAsia" w:ascii="宋体" w:hAnsi="宋体"/>
          <w:color w:val="auto"/>
          <w:sz w:val="21"/>
          <w:szCs w:val="21"/>
          <w:highlight w:val="none"/>
          <w:u w:val="none"/>
        </w:rPr>
        <w:t>授权单位名称（盖章）：_________________________________</w:t>
      </w:r>
    </w:p>
    <w:p w14:paraId="3732A8DD">
      <w:pPr>
        <w:pStyle w:val="29"/>
        <w:spacing w:line="360" w:lineRule="auto"/>
        <w:ind w:firstLine="420" w:firstLineChars="200"/>
        <w:rPr>
          <w:rFonts w:hint="eastAsia" w:ascii="宋体" w:hAnsi="宋体"/>
          <w:color w:val="auto"/>
          <w:sz w:val="21"/>
          <w:szCs w:val="21"/>
          <w:highlight w:val="none"/>
          <w:u w:val="none"/>
        </w:rPr>
      </w:pPr>
      <w:r>
        <w:rPr>
          <w:rFonts w:hint="eastAsia" w:ascii="宋体" w:hAnsi="宋体"/>
          <w:color w:val="auto"/>
          <w:sz w:val="21"/>
          <w:szCs w:val="21"/>
          <w:highlight w:val="none"/>
          <w:u w:val="none"/>
        </w:rPr>
        <w:t>地址：_____________________________________</w:t>
      </w:r>
    </w:p>
    <w:p w14:paraId="2D84EE11">
      <w:pPr>
        <w:pStyle w:val="29"/>
        <w:spacing w:line="360" w:lineRule="auto"/>
        <w:ind w:firstLine="420" w:firstLineChars="200"/>
        <w:rPr>
          <w:color w:val="auto"/>
          <w:highlight w:val="none"/>
          <w:u w:val="none"/>
        </w:rPr>
      </w:pPr>
      <w:r>
        <w:rPr>
          <w:rFonts w:hint="eastAsia" w:ascii="宋体" w:hAnsi="宋体"/>
          <w:color w:val="auto"/>
          <w:sz w:val="21"/>
          <w:szCs w:val="21"/>
          <w:highlight w:val="none"/>
          <w:u w:val="none"/>
        </w:rPr>
        <w:t>日期：</w:t>
      </w:r>
      <w:bookmarkStart w:id="119" w:name="_Hlt26671380"/>
      <w:bookmarkEnd w:id="119"/>
      <w:bookmarkStart w:id="120" w:name="_Hlt26955070"/>
      <w:bookmarkEnd w:id="120"/>
      <w:bookmarkStart w:id="121" w:name="_格式3__银行出具的资信证明"/>
      <w:bookmarkEnd w:id="121"/>
      <w:r>
        <w:rPr>
          <w:rFonts w:hint="eastAsia" w:ascii="宋体" w:hAnsi="宋体"/>
          <w:color w:val="auto"/>
          <w:sz w:val="21"/>
          <w:szCs w:val="21"/>
          <w:highlight w:val="none"/>
          <w:u w:val="none"/>
        </w:rPr>
        <w:t xml:space="preserve">     年  月  日</w:t>
      </w:r>
    </w:p>
    <w:p w14:paraId="5FADDC76">
      <w:pPr>
        <w:spacing w:line="360" w:lineRule="auto"/>
        <w:rPr>
          <w:color w:val="auto"/>
          <w:szCs w:val="21"/>
          <w:highlight w:val="none"/>
          <w:u w:val="none"/>
        </w:rPr>
      </w:pPr>
    </w:p>
    <w:p w14:paraId="2BEF965A">
      <w:pPr>
        <w:spacing w:line="360" w:lineRule="auto"/>
        <w:rPr>
          <w:rFonts w:ascii="Microsoft New Tai Lue" w:hAnsi="Microsoft New Tai Lue" w:cs="Microsoft New Tai Lue"/>
          <w:color w:val="auto"/>
          <w:highlight w:val="none"/>
          <w:u w:val="none"/>
        </w:rPr>
      </w:pPr>
      <w:r>
        <w:rPr>
          <w:rFonts w:hint="eastAsia"/>
          <w:color w:val="auto"/>
          <w:szCs w:val="21"/>
          <w:highlight w:val="none"/>
          <w:u w:val="none"/>
        </w:rPr>
        <w:t>附：</w:t>
      </w:r>
      <w:r>
        <w:rPr>
          <w:color w:val="auto"/>
          <w:szCs w:val="21"/>
          <w:highlight w:val="none"/>
          <w:u w:val="none"/>
        </w:rPr>
        <w:t>授权代表</w:t>
      </w:r>
      <w:r>
        <w:rPr>
          <w:rFonts w:hint="eastAsia"/>
          <w:color w:val="auto"/>
          <w:szCs w:val="21"/>
          <w:highlight w:val="none"/>
          <w:u w:val="none"/>
        </w:rPr>
        <w:t>有效期内的身份证复印件</w:t>
      </w:r>
      <w:r>
        <w:rPr>
          <w:rFonts w:ascii="Microsoft New Tai Lue" w:hAnsi="Microsoft New Tai Lue" w:cs="Microsoft New Tai Lue"/>
          <w:color w:val="auto"/>
          <w:highlight w:val="none"/>
          <w:u w:val="none"/>
        </w:rPr>
        <w:t>（正反面）</w:t>
      </w:r>
    </w:p>
    <w:tbl>
      <w:tblPr>
        <w:tblStyle w:val="16"/>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8"/>
        <w:gridCol w:w="278"/>
        <w:gridCol w:w="4695"/>
      </w:tblGrid>
      <w:tr w14:paraId="60012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9" w:hRule="atLeast"/>
        </w:trPr>
        <w:tc>
          <w:tcPr>
            <w:tcW w:w="4678" w:type="dxa"/>
            <w:vAlign w:val="center"/>
          </w:tcPr>
          <w:p w14:paraId="2167BB5C">
            <w:pPr>
              <w:pStyle w:val="6"/>
              <w:spacing w:line="360" w:lineRule="auto"/>
              <w:jc w:val="center"/>
              <w:rPr>
                <w:i/>
                <w:color w:val="auto"/>
                <w:sz w:val="20"/>
                <w:highlight w:val="none"/>
                <w:u w:val="none"/>
              </w:rPr>
            </w:pPr>
            <w:r>
              <w:rPr>
                <w:i/>
                <w:color w:val="auto"/>
                <w:sz w:val="24"/>
                <w:highlight w:val="none"/>
                <w:u w:val="none"/>
              </w:rPr>
              <w:t>身份证正面</w:t>
            </w:r>
          </w:p>
        </w:tc>
        <w:tc>
          <w:tcPr>
            <w:tcW w:w="278" w:type="dxa"/>
            <w:tcBorders>
              <w:top w:val="nil"/>
              <w:bottom w:val="nil"/>
            </w:tcBorders>
          </w:tcPr>
          <w:p w14:paraId="238B88E6">
            <w:pPr>
              <w:widowControl/>
              <w:spacing w:line="360" w:lineRule="auto"/>
              <w:jc w:val="left"/>
              <w:rPr>
                <w:color w:val="auto"/>
                <w:sz w:val="20"/>
                <w:highlight w:val="none"/>
                <w:u w:val="none"/>
              </w:rPr>
            </w:pPr>
          </w:p>
        </w:tc>
        <w:tc>
          <w:tcPr>
            <w:tcW w:w="4695" w:type="dxa"/>
            <w:vAlign w:val="center"/>
          </w:tcPr>
          <w:p w14:paraId="3B0F962E">
            <w:pPr>
              <w:widowControl/>
              <w:spacing w:line="360" w:lineRule="auto"/>
              <w:jc w:val="center"/>
              <w:rPr>
                <w:color w:val="auto"/>
                <w:sz w:val="20"/>
                <w:highlight w:val="none"/>
                <w:u w:val="none"/>
              </w:rPr>
            </w:pPr>
            <w:r>
              <w:rPr>
                <w:i/>
                <w:color w:val="auto"/>
                <w:sz w:val="24"/>
                <w:highlight w:val="none"/>
                <w:u w:val="none"/>
              </w:rPr>
              <w:t>身份证反面</w:t>
            </w:r>
          </w:p>
        </w:tc>
      </w:tr>
    </w:tbl>
    <w:p w14:paraId="27214591">
      <w:pPr>
        <w:pStyle w:val="13"/>
        <w:spacing w:line="360" w:lineRule="auto"/>
        <w:rPr>
          <w:rFonts w:ascii="Times New Roman" w:hAnsi="Times New Roman"/>
          <w:b/>
          <w:bCs/>
          <w:color w:val="auto"/>
          <w:szCs w:val="21"/>
          <w:highlight w:val="none"/>
          <w:u w:val="none"/>
        </w:rPr>
      </w:pPr>
      <w:r>
        <w:rPr>
          <w:rFonts w:ascii="Times New Roman" w:hAnsi="Times New Roman"/>
          <w:b/>
          <w:bCs/>
          <w:color w:val="auto"/>
          <w:szCs w:val="21"/>
          <w:highlight w:val="none"/>
          <w:u w:val="none"/>
        </w:rPr>
        <w:t>注：</w:t>
      </w:r>
    </w:p>
    <w:p w14:paraId="42768346">
      <w:pPr>
        <w:pStyle w:val="13"/>
        <w:spacing w:line="360" w:lineRule="auto"/>
        <w:ind w:firstLine="420"/>
        <w:rPr>
          <w:rFonts w:ascii="Times New Roman" w:hAnsi="Times New Roman"/>
          <w:b/>
          <w:bCs/>
          <w:color w:val="auto"/>
          <w:szCs w:val="21"/>
          <w:highlight w:val="none"/>
          <w:u w:val="none"/>
        </w:rPr>
      </w:pPr>
      <w:r>
        <w:rPr>
          <w:rFonts w:hint="eastAsia" w:ascii="Times New Roman" w:hAnsi="Times New Roman"/>
          <w:b/>
          <w:bCs/>
          <w:color w:val="auto"/>
          <w:szCs w:val="21"/>
          <w:highlight w:val="none"/>
          <w:u w:val="none"/>
        </w:rPr>
        <w:t>1.若供应商为分公司、分支机构等依法无须设置法定代表人职务的单位（仅当招标文件注明允许上述单位投标时），法定代表人签字处可由单位负责人签署。</w:t>
      </w:r>
    </w:p>
    <w:p w14:paraId="5796E5BA">
      <w:pPr>
        <w:pStyle w:val="13"/>
        <w:spacing w:line="360" w:lineRule="auto"/>
        <w:ind w:firstLine="420"/>
        <w:rPr>
          <w:rFonts w:ascii="Times New Roman" w:hAnsi="Times New Roman"/>
          <w:b/>
          <w:bCs/>
          <w:color w:val="auto"/>
          <w:szCs w:val="21"/>
          <w:highlight w:val="none"/>
          <w:u w:val="none"/>
        </w:rPr>
      </w:pPr>
      <w:r>
        <w:rPr>
          <w:rFonts w:hint="eastAsia" w:ascii="Times New Roman" w:hAnsi="Times New Roman"/>
          <w:b/>
          <w:bCs/>
          <w:color w:val="auto"/>
          <w:szCs w:val="21"/>
          <w:highlight w:val="none"/>
          <w:u w:val="none"/>
        </w:rPr>
        <w:t>2.若响应文件中签字之处均为法定代表人（单位负责人）本人签署，则可不提供本《授权委托书》，但须提供《法定代表人（单位负责人）身份证明》。</w:t>
      </w:r>
    </w:p>
    <w:p w14:paraId="52F7ED7B">
      <w:pPr>
        <w:pStyle w:val="5"/>
        <w:spacing w:line="360" w:lineRule="auto"/>
        <w:rPr>
          <w:color w:val="auto"/>
          <w:highlight w:val="none"/>
          <w:u w:val="none"/>
        </w:rPr>
      </w:pPr>
    </w:p>
    <w:p w14:paraId="0C5E6A84">
      <w:pPr>
        <w:pStyle w:val="4"/>
        <w:spacing w:line="360" w:lineRule="auto"/>
        <w:jc w:val="both"/>
        <w:rPr>
          <w:rFonts w:hint="eastAsia" w:ascii="宋体" w:hAnsi="宋体" w:eastAsia="宋体"/>
          <w:color w:val="auto"/>
          <w:sz w:val="21"/>
          <w:szCs w:val="21"/>
          <w:highlight w:val="none"/>
          <w:u w:val="none"/>
        </w:rPr>
        <w:sectPr>
          <w:pgSz w:w="11907" w:h="16840"/>
          <w:pgMar w:top="1134" w:right="1134" w:bottom="1134" w:left="1560" w:header="851" w:footer="851" w:gutter="0"/>
          <w:pgBorders>
            <w:top w:val="none" w:sz="0" w:space="0"/>
            <w:left w:val="none" w:sz="0" w:space="0"/>
            <w:bottom w:val="none" w:sz="0" w:space="0"/>
            <w:right w:val="none" w:sz="0" w:space="0"/>
          </w:pgBorders>
          <w:cols w:space="720" w:num="1"/>
          <w:docGrid w:linePitch="312" w:charSpace="0"/>
        </w:sectPr>
      </w:pPr>
    </w:p>
    <w:p w14:paraId="1D2913D6">
      <w:pPr>
        <w:pStyle w:val="4"/>
        <w:spacing w:line="360" w:lineRule="auto"/>
        <w:rPr>
          <w:rFonts w:hint="eastAsia" w:ascii="宋体" w:hAnsi="宋体" w:eastAsia="宋体"/>
          <w:color w:val="auto"/>
          <w:sz w:val="21"/>
          <w:szCs w:val="21"/>
          <w:highlight w:val="none"/>
          <w:u w:val="none"/>
        </w:rPr>
      </w:pPr>
      <w:r>
        <w:rPr>
          <w:rFonts w:hint="eastAsia" w:ascii="宋体" w:hAnsi="宋体" w:eastAsia="宋体"/>
          <w:color w:val="auto"/>
          <w:sz w:val="21"/>
          <w:szCs w:val="21"/>
          <w:highlight w:val="none"/>
          <w:u w:val="none"/>
        </w:rPr>
        <w:t xml:space="preserve">3.供应商资格声明书 </w:t>
      </w:r>
    </w:p>
    <w:p w14:paraId="4BEAAFF7">
      <w:pPr>
        <w:tabs>
          <w:tab w:val="left" w:pos="5580"/>
        </w:tabs>
        <w:spacing w:line="360" w:lineRule="auto"/>
        <w:rPr>
          <w:color w:val="auto"/>
          <w:szCs w:val="21"/>
          <w:highlight w:val="none"/>
          <w:u w:val="none"/>
        </w:rPr>
      </w:pPr>
      <w:r>
        <w:rPr>
          <w:rFonts w:hint="eastAsia"/>
          <w:color w:val="auto"/>
          <w:szCs w:val="21"/>
          <w:highlight w:val="none"/>
          <w:u w:val="none"/>
        </w:rPr>
        <w:t>致：采购人</w:t>
      </w:r>
    </w:p>
    <w:p w14:paraId="056D6B8E">
      <w:pPr>
        <w:spacing w:line="360" w:lineRule="auto"/>
        <w:ind w:firstLine="420" w:firstLineChars="200"/>
        <w:rPr>
          <w:color w:val="auto"/>
          <w:szCs w:val="21"/>
          <w:highlight w:val="none"/>
          <w:u w:val="none"/>
        </w:rPr>
      </w:pPr>
      <w:r>
        <w:rPr>
          <w:rFonts w:hint="eastAsia"/>
          <w:color w:val="auto"/>
          <w:szCs w:val="21"/>
          <w:highlight w:val="none"/>
          <w:u w:val="none"/>
        </w:rPr>
        <w:t>在参与本次项目响应中，我单位承诺：</w:t>
      </w:r>
    </w:p>
    <w:p w14:paraId="51C3CB60">
      <w:pPr>
        <w:numPr>
          <w:ilvl w:val="0"/>
          <w:numId w:val="6"/>
        </w:numPr>
        <w:autoSpaceDE w:val="0"/>
        <w:autoSpaceDN w:val="0"/>
        <w:spacing w:line="360" w:lineRule="auto"/>
        <w:ind w:left="1134"/>
        <w:jc w:val="left"/>
        <w:rPr>
          <w:color w:val="auto"/>
          <w:szCs w:val="21"/>
          <w:highlight w:val="none"/>
          <w:u w:val="none"/>
        </w:rPr>
      </w:pPr>
      <w:r>
        <w:rPr>
          <w:rFonts w:hint="eastAsia"/>
          <w:color w:val="auto"/>
          <w:szCs w:val="21"/>
          <w:highlight w:val="none"/>
          <w:u w:val="none"/>
        </w:rPr>
        <w:t>具有良好的商业信誉和健全的财务会计制度；</w:t>
      </w:r>
    </w:p>
    <w:p w14:paraId="5F5E02D5">
      <w:pPr>
        <w:numPr>
          <w:ilvl w:val="0"/>
          <w:numId w:val="6"/>
        </w:numPr>
        <w:autoSpaceDE w:val="0"/>
        <w:autoSpaceDN w:val="0"/>
        <w:spacing w:line="360" w:lineRule="auto"/>
        <w:ind w:left="1134"/>
        <w:jc w:val="left"/>
        <w:rPr>
          <w:color w:val="auto"/>
          <w:szCs w:val="21"/>
          <w:highlight w:val="none"/>
          <w:u w:val="none"/>
        </w:rPr>
      </w:pPr>
      <w:r>
        <w:rPr>
          <w:rFonts w:hint="eastAsia"/>
          <w:color w:val="auto"/>
          <w:szCs w:val="21"/>
          <w:highlight w:val="none"/>
          <w:u w:val="none"/>
        </w:rPr>
        <w:t>具有履行合同所必需的设备和专业技术能力；</w:t>
      </w:r>
    </w:p>
    <w:p w14:paraId="349F80DE">
      <w:pPr>
        <w:numPr>
          <w:ilvl w:val="0"/>
          <w:numId w:val="6"/>
        </w:numPr>
        <w:autoSpaceDE w:val="0"/>
        <w:autoSpaceDN w:val="0"/>
        <w:spacing w:line="360" w:lineRule="auto"/>
        <w:ind w:left="1134"/>
        <w:jc w:val="left"/>
        <w:rPr>
          <w:color w:val="auto"/>
          <w:szCs w:val="21"/>
          <w:highlight w:val="none"/>
          <w:u w:val="none"/>
        </w:rPr>
      </w:pPr>
      <w:r>
        <w:rPr>
          <w:rFonts w:hint="eastAsia"/>
          <w:color w:val="auto"/>
          <w:szCs w:val="21"/>
          <w:highlight w:val="none"/>
          <w:u w:val="none"/>
        </w:rPr>
        <w:t>具有依法缴纳税收和社会保障资金的良好记录；</w:t>
      </w:r>
    </w:p>
    <w:p w14:paraId="661F962B">
      <w:pPr>
        <w:numPr>
          <w:ilvl w:val="0"/>
          <w:numId w:val="6"/>
        </w:numPr>
        <w:autoSpaceDE w:val="0"/>
        <w:autoSpaceDN w:val="0"/>
        <w:spacing w:line="360" w:lineRule="auto"/>
        <w:ind w:left="1134"/>
        <w:jc w:val="left"/>
        <w:rPr>
          <w:color w:val="auto"/>
          <w:szCs w:val="21"/>
          <w:highlight w:val="none"/>
          <w:u w:val="none"/>
        </w:rPr>
      </w:pPr>
      <w:r>
        <w:rPr>
          <w:rFonts w:hint="eastAsia"/>
          <w:color w:val="auto"/>
          <w:szCs w:val="21"/>
          <w:highlight w:val="none"/>
          <w:u w:val="none"/>
        </w:rPr>
        <w:t>参加政府采购活动前三年内，在经营活动中没有重大违法记录（重大违法记录是指因违法经营受到刑事处罚或者责令停产停业、吊销许可证或者执照、较大数额罚款等行政处罚，不包括因违法经营被禁止在一定期限内参加政府采购活动，但期限已经届满的情形）；</w:t>
      </w:r>
    </w:p>
    <w:p w14:paraId="64D0E16F">
      <w:pPr>
        <w:numPr>
          <w:ilvl w:val="0"/>
          <w:numId w:val="6"/>
        </w:numPr>
        <w:autoSpaceDE w:val="0"/>
        <w:autoSpaceDN w:val="0"/>
        <w:spacing w:line="360" w:lineRule="auto"/>
        <w:ind w:left="1134"/>
        <w:jc w:val="left"/>
        <w:rPr>
          <w:color w:val="auto"/>
          <w:szCs w:val="21"/>
          <w:highlight w:val="none"/>
          <w:u w:val="none"/>
        </w:rPr>
      </w:pPr>
      <w:r>
        <w:rPr>
          <w:rFonts w:hint="eastAsia"/>
          <w:color w:val="auto"/>
          <w:szCs w:val="21"/>
          <w:highlight w:val="none"/>
          <w:u w:val="none"/>
        </w:rPr>
        <w:t>我单位不存在为采购项目提供整体设计、规范编制或者项目管理、监理、检测等服务后，再参加该采购项目的其他采购活动的情形（单一来源采购项目除外）；</w:t>
      </w:r>
    </w:p>
    <w:p w14:paraId="3C655C28">
      <w:pPr>
        <w:numPr>
          <w:ilvl w:val="0"/>
          <w:numId w:val="6"/>
        </w:numPr>
        <w:autoSpaceDE w:val="0"/>
        <w:autoSpaceDN w:val="0"/>
        <w:spacing w:line="360" w:lineRule="auto"/>
        <w:ind w:left="1134"/>
        <w:jc w:val="left"/>
        <w:rPr>
          <w:color w:val="auto"/>
          <w:szCs w:val="21"/>
          <w:highlight w:val="none"/>
          <w:u w:val="none"/>
        </w:rPr>
      </w:pPr>
      <w:r>
        <w:rPr>
          <w:rFonts w:hint="eastAsia"/>
          <w:color w:val="auto"/>
          <w:szCs w:val="21"/>
          <w:highlight w:val="none"/>
          <w:u w:val="none"/>
        </w:rPr>
        <w:t>与我单位存在“单位负责人为同一人或者存在直接控股、管理关系”的其他法人单位信息如下（如有，不论其是否参加同一合同项下的政府采购活动均须填写）：</w:t>
      </w:r>
    </w:p>
    <w:tbl>
      <w:tblPr>
        <w:tblStyle w:val="1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6AA0C1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tcBorders>
              <w:top w:val="single" w:color="000000" w:sz="4" w:space="0"/>
              <w:left w:val="single" w:color="000000" w:sz="4" w:space="0"/>
              <w:bottom w:val="single" w:color="000000" w:sz="4" w:space="0"/>
              <w:right w:val="single" w:color="000000" w:sz="4" w:space="0"/>
            </w:tcBorders>
            <w:vAlign w:val="center"/>
          </w:tcPr>
          <w:p w14:paraId="178D358A">
            <w:pPr>
              <w:spacing w:line="360" w:lineRule="auto"/>
              <w:jc w:val="center"/>
              <w:rPr>
                <w:color w:val="auto"/>
                <w:szCs w:val="21"/>
                <w:highlight w:val="none"/>
                <w:u w:val="none"/>
              </w:rPr>
            </w:pPr>
            <w:r>
              <w:rPr>
                <w:rFonts w:hint="eastAsia"/>
                <w:color w:val="auto"/>
                <w:szCs w:val="21"/>
                <w:highlight w:val="none"/>
                <w:u w:val="none"/>
              </w:rPr>
              <w:t>序号</w:t>
            </w:r>
          </w:p>
        </w:tc>
        <w:tc>
          <w:tcPr>
            <w:tcW w:w="4574" w:type="dxa"/>
            <w:tcBorders>
              <w:top w:val="single" w:color="000000" w:sz="4" w:space="0"/>
              <w:left w:val="single" w:color="000000" w:sz="4" w:space="0"/>
              <w:bottom w:val="single" w:color="000000" w:sz="4" w:space="0"/>
              <w:right w:val="single" w:color="000000" w:sz="4" w:space="0"/>
            </w:tcBorders>
            <w:vAlign w:val="center"/>
          </w:tcPr>
          <w:p w14:paraId="1F4B9BCB">
            <w:pPr>
              <w:spacing w:line="360" w:lineRule="auto"/>
              <w:jc w:val="center"/>
              <w:rPr>
                <w:color w:val="auto"/>
                <w:szCs w:val="21"/>
                <w:highlight w:val="none"/>
                <w:u w:val="none"/>
              </w:rPr>
            </w:pPr>
            <w:r>
              <w:rPr>
                <w:rFonts w:hint="eastAsia"/>
                <w:color w:val="auto"/>
                <w:szCs w:val="21"/>
                <w:highlight w:val="none"/>
                <w:u w:val="none"/>
              </w:rPr>
              <w:t>单位名称</w:t>
            </w:r>
          </w:p>
        </w:tc>
        <w:tc>
          <w:tcPr>
            <w:tcW w:w="2976" w:type="dxa"/>
            <w:tcBorders>
              <w:top w:val="single" w:color="000000" w:sz="4" w:space="0"/>
              <w:left w:val="single" w:color="000000" w:sz="4" w:space="0"/>
              <w:bottom w:val="single" w:color="000000" w:sz="4" w:space="0"/>
              <w:right w:val="single" w:color="000000" w:sz="4" w:space="0"/>
            </w:tcBorders>
            <w:vAlign w:val="center"/>
          </w:tcPr>
          <w:p w14:paraId="32A4781D">
            <w:pPr>
              <w:spacing w:line="360" w:lineRule="auto"/>
              <w:jc w:val="center"/>
              <w:rPr>
                <w:color w:val="auto"/>
                <w:szCs w:val="21"/>
                <w:highlight w:val="none"/>
                <w:u w:val="none"/>
              </w:rPr>
            </w:pPr>
            <w:r>
              <w:rPr>
                <w:rFonts w:hint="eastAsia"/>
                <w:color w:val="auto"/>
                <w:szCs w:val="21"/>
                <w:highlight w:val="none"/>
                <w:u w:val="none"/>
              </w:rPr>
              <w:t>相互关系</w:t>
            </w:r>
          </w:p>
        </w:tc>
      </w:tr>
      <w:tr w14:paraId="39005B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tcBorders>
              <w:top w:val="single" w:color="000000" w:sz="4" w:space="0"/>
              <w:left w:val="single" w:color="000000" w:sz="4" w:space="0"/>
              <w:bottom w:val="single" w:color="000000" w:sz="4" w:space="0"/>
              <w:right w:val="single" w:color="000000" w:sz="4" w:space="0"/>
            </w:tcBorders>
            <w:vAlign w:val="center"/>
          </w:tcPr>
          <w:p w14:paraId="3424C632">
            <w:pPr>
              <w:spacing w:line="360" w:lineRule="auto"/>
              <w:jc w:val="center"/>
              <w:rPr>
                <w:color w:val="auto"/>
                <w:szCs w:val="21"/>
                <w:highlight w:val="none"/>
                <w:u w:val="none"/>
              </w:rPr>
            </w:pPr>
            <w:r>
              <w:rPr>
                <w:rFonts w:hint="eastAsia"/>
                <w:color w:val="auto"/>
                <w:szCs w:val="21"/>
                <w:highlight w:val="none"/>
                <w:u w:val="none"/>
              </w:rPr>
              <w:t>1</w:t>
            </w:r>
          </w:p>
        </w:tc>
        <w:tc>
          <w:tcPr>
            <w:tcW w:w="4574" w:type="dxa"/>
            <w:tcBorders>
              <w:top w:val="single" w:color="000000" w:sz="4" w:space="0"/>
              <w:left w:val="single" w:color="000000" w:sz="4" w:space="0"/>
              <w:bottom w:val="single" w:color="000000" w:sz="4" w:space="0"/>
              <w:right w:val="single" w:color="000000" w:sz="4" w:space="0"/>
            </w:tcBorders>
            <w:vAlign w:val="center"/>
          </w:tcPr>
          <w:p w14:paraId="01D4457C">
            <w:pPr>
              <w:spacing w:line="360" w:lineRule="auto"/>
              <w:jc w:val="center"/>
              <w:rPr>
                <w:b/>
                <w:bCs/>
                <w:color w:val="auto"/>
                <w:szCs w:val="21"/>
                <w:highlight w:val="none"/>
                <w:u w:val="none"/>
              </w:rPr>
            </w:pPr>
            <w:r>
              <w:rPr>
                <w:rFonts w:hint="eastAsia"/>
                <w:b/>
                <w:bCs/>
                <w:color w:val="auto"/>
                <w:szCs w:val="21"/>
                <w:highlight w:val="none"/>
                <w:u w:val="none"/>
              </w:rPr>
              <w:t>/</w:t>
            </w:r>
          </w:p>
        </w:tc>
        <w:tc>
          <w:tcPr>
            <w:tcW w:w="2976" w:type="dxa"/>
            <w:tcBorders>
              <w:top w:val="single" w:color="000000" w:sz="4" w:space="0"/>
              <w:left w:val="single" w:color="000000" w:sz="4" w:space="0"/>
              <w:bottom w:val="single" w:color="000000" w:sz="4" w:space="0"/>
              <w:right w:val="single" w:color="000000" w:sz="4" w:space="0"/>
            </w:tcBorders>
            <w:vAlign w:val="center"/>
          </w:tcPr>
          <w:p w14:paraId="477A46F1">
            <w:pPr>
              <w:spacing w:line="360" w:lineRule="auto"/>
              <w:jc w:val="center"/>
              <w:rPr>
                <w:b/>
                <w:bCs/>
                <w:color w:val="auto"/>
                <w:szCs w:val="21"/>
                <w:highlight w:val="none"/>
                <w:u w:val="none"/>
              </w:rPr>
            </w:pPr>
            <w:r>
              <w:rPr>
                <w:rFonts w:hint="eastAsia"/>
                <w:b/>
                <w:bCs/>
                <w:color w:val="auto"/>
                <w:szCs w:val="21"/>
                <w:highlight w:val="none"/>
                <w:u w:val="none"/>
              </w:rPr>
              <w:t>/</w:t>
            </w:r>
          </w:p>
        </w:tc>
      </w:tr>
      <w:tr w14:paraId="13E69B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tcBorders>
              <w:top w:val="single" w:color="000000" w:sz="4" w:space="0"/>
              <w:left w:val="single" w:color="000000" w:sz="4" w:space="0"/>
              <w:bottom w:val="single" w:color="000000" w:sz="4" w:space="0"/>
              <w:right w:val="single" w:color="000000" w:sz="4" w:space="0"/>
            </w:tcBorders>
            <w:vAlign w:val="center"/>
          </w:tcPr>
          <w:p w14:paraId="5DC04734">
            <w:pPr>
              <w:spacing w:line="360" w:lineRule="auto"/>
              <w:jc w:val="center"/>
              <w:rPr>
                <w:color w:val="auto"/>
                <w:szCs w:val="21"/>
                <w:highlight w:val="none"/>
                <w:u w:val="none"/>
              </w:rPr>
            </w:pPr>
            <w:r>
              <w:rPr>
                <w:rFonts w:hint="eastAsia"/>
                <w:color w:val="auto"/>
                <w:szCs w:val="21"/>
                <w:highlight w:val="none"/>
                <w:u w:val="none"/>
              </w:rPr>
              <w:t>2</w:t>
            </w:r>
          </w:p>
        </w:tc>
        <w:tc>
          <w:tcPr>
            <w:tcW w:w="4574" w:type="dxa"/>
            <w:tcBorders>
              <w:top w:val="single" w:color="000000" w:sz="4" w:space="0"/>
              <w:left w:val="single" w:color="000000" w:sz="4" w:space="0"/>
              <w:bottom w:val="single" w:color="000000" w:sz="4" w:space="0"/>
              <w:right w:val="single" w:color="000000" w:sz="4" w:space="0"/>
            </w:tcBorders>
            <w:vAlign w:val="center"/>
          </w:tcPr>
          <w:p w14:paraId="3478713B">
            <w:pPr>
              <w:spacing w:line="360" w:lineRule="auto"/>
              <w:jc w:val="center"/>
              <w:rPr>
                <w:b/>
                <w:bCs/>
                <w:color w:val="auto"/>
                <w:szCs w:val="21"/>
                <w:highlight w:val="none"/>
                <w:u w:val="none"/>
              </w:rPr>
            </w:pPr>
            <w:r>
              <w:rPr>
                <w:rFonts w:hint="eastAsia"/>
                <w:b/>
                <w:bCs/>
                <w:color w:val="auto"/>
                <w:szCs w:val="21"/>
                <w:highlight w:val="none"/>
                <w:u w:val="none"/>
              </w:rPr>
              <w:t>/</w:t>
            </w:r>
          </w:p>
        </w:tc>
        <w:tc>
          <w:tcPr>
            <w:tcW w:w="2976" w:type="dxa"/>
            <w:tcBorders>
              <w:top w:val="single" w:color="000000" w:sz="4" w:space="0"/>
              <w:left w:val="single" w:color="000000" w:sz="4" w:space="0"/>
              <w:bottom w:val="single" w:color="000000" w:sz="4" w:space="0"/>
              <w:right w:val="single" w:color="000000" w:sz="4" w:space="0"/>
            </w:tcBorders>
            <w:vAlign w:val="center"/>
          </w:tcPr>
          <w:p w14:paraId="0B9CA806">
            <w:pPr>
              <w:spacing w:line="360" w:lineRule="auto"/>
              <w:jc w:val="center"/>
              <w:rPr>
                <w:b/>
                <w:bCs/>
                <w:color w:val="auto"/>
                <w:szCs w:val="21"/>
                <w:highlight w:val="none"/>
                <w:u w:val="none"/>
              </w:rPr>
            </w:pPr>
            <w:r>
              <w:rPr>
                <w:rFonts w:hint="eastAsia"/>
                <w:b/>
                <w:bCs/>
                <w:color w:val="auto"/>
                <w:szCs w:val="21"/>
                <w:highlight w:val="none"/>
                <w:u w:val="none"/>
              </w:rPr>
              <w:t>/</w:t>
            </w:r>
          </w:p>
        </w:tc>
      </w:tr>
      <w:tr w14:paraId="5423E4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tcBorders>
              <w:top w:val="single" w:color="000000" w:sz="4" w:space="0"/>
              <w:left w:val="single" w:color="000000" w:sz="4" w:space="0"/>
              <w:bottom w:val="single" w:color="000000" w:sz="4" w:space="0"/>
              <w:right w:val="single" w:color="000000" w:sz="4" w:space="0"/>
            </w:tcBorders>
            <w:vAlign w:val="center"/>
          </w:tcPr>
          <w:p w14:paraId="10E8C650">
            <w:pPr>
              <w:spacing w:line="360" w:lineRule="auto"/>
              <w:jc w:val="center"/>
              <w:rPr>
                <w:color w:val="auto"/>
                <w:szCs w:val="21"/>
                <w:highlight w:val="none"/>
                <w:u w:val="none"/>
              </w:rPr>
            </w:pPr>
            <w:r>
              <w:rPr>
                <w:rFonts w:hint="eastAsia"/>
                <w:color w:val="auto"/>
                <w:szCs w:val="21"/>
                <w:highlight w:val="none"/>
                <w:u w:val="none"/>
              </w:rPr>
              <w:t>…</w:t>
            </w:r>
          </w:p>
        </w:tc>
        <w:tc>
          <w:tcPr>
            <w:tcW w:w="4574" w:type="dxa"/>
            <w:tcBorders>
              <w:top w:val="single" w:color="000000" w:sz="4" w:space="0"/>
              <w:left w:val="single" w:color="000000" w:sz="4" w:space="0"/>
              <w:bottom w:val="single" w:color="000000" w:sz="4" w:space="0"/>
              <w:right w:val="single" w:color="000000" w:sz="4" w:space="0"/>
            </w:tcBorders>
            <w:vAlign w:val="center"/>
          </w:tcPr>
          <w:p w14:paraId="4D0C96BF">
            <w:pPr>
              <w:spacing w:line="360" w:lineRule="auto"/>
              <w:jc w:val="center"/>
              <w:rPr>
                <w:b/>
                <w:bCs/>
                <w:color w:val="auto"/>
                <w:szCs w:val="21"/>
                <w:highlight w:val="none"/>
                <w:u w:val="none"/>
              </w:rPr>
            </w:pPr>
            <w:r>
              <w:rPr>
                <w:rFonts w:hint="eastAsia"/>
                <w:b/>
                <w:bCs/>
                <w:color w:val="auto"/>
                <w:szCs w:val="21"/>
                <w:highlight w:val="none"/>
                <w:u w:val="none"/>
              </w:rPr>
              <w:t>/</w:t>
            </w:r>
          </w:p>
        </w:tc>
        <w:tc>
          <w:tcPr>
            <w:tcW w:w="2976" w:type="dxa"/>
            <w:tcBorders>
              <w:top w:val="single" w:color="000000" w:sz="4" w:space="0"/>
              <w:left w:val="single" w:color="000000" w:sz="4" w:space="0"/>
              <w:bottom w:val="single" w:color="000000" w:sz="4" w:space="0"/>
              <w:right w:val="single" w:color="000000" w:sz="4" w:space="0"/>
            </w:tcBorders>
            <w:vAlign w:val="center"/>
          </w:tcPr>
          <w:p w14:paraId="76FFF340">
            <w:pPr>
              <w:spacing w:line="360" w:lineRule="auto"/>
              <w:jc w:val="center"/>
              <w:rPr>
                <w:b/>
                <w:bCs/>
                <w:color w:val="auto"/>
                <w:szCs w:val="21"/>
                <w:highlight w:val="none"/>
                <w:u w:val="none"/>
              </w:rPr>
            </w:pPr>
            <w:r>
              <w:rPr>
                <w:rFonts w:hint="eastAsia"/>
                <w:b/>
                <w:bCs/>
                <w:color w:val="auto"/>
                <w:szCs w:val="21"/>
                <w:highlight w:val="none"/>
                <w:u w:val="none"/>
              </w:rPr>
              <w:t>/</w:t>
            </w:r>
          </w:p>
        </w:tc>
      </w:tr>
    </w:tbl>
    <w:p w14:paraId="00058F49">
      <w:pPr>
        <w:spacing w:line="360" w:lineRule="auto"/>
        <w:rPr>
          <w:color w:val="auto"/>
          <w:szCs w:val="21"/>
          <w:highlight w:val="none"/>
          <w:u w:val="none"/>
        </w:rPr>
      </w:pPr>
    </w:p>
    <w:p w14:paraId="7056A4DB">
      <w:pPr>
        <w:spacing w:line="360" w:lineRule="auto"/>
        <w:ind w:firstLine="420" w:firstLineChars="200"/>
        <w:rPr>
          <w:color w:val="auto"/>
          <w:szCs w:val="21"/>
          <w:highlight w:val="none"/>
          <w:u w:val="none"/>
        </w:rPr>
      </w:pPr>
      <w:r>
        <w:rPr>
          <w:rFonts w:hint="eastAsia"/>
          <w:color w:val="auto"/>
          <w:szCs w:val="21"/>
          <w:highlight w:val="none"/>
          <w:u w:val="none"/>
        </w:rPr>
        <w:t>上述声明真实有效，否则我方负全部责任。</w:t>
      </w:r>
    </w:p>
    <w:p w14:paraId="46FF4E62">
      <w:pPr>
        <w:spacing w:line="360" w:lineRule="auto"/>
        <w:rPr>
          <w:color w:val="auto"/>
          <w:szCs w:val="21"/>
          <w:highlight w:val="none"/>
          <w:u w:val="none"/>
        </w:rPr>
      </w:pPr>
    </w:p>
    <w:p w14:paraId="4B6EF1B9">
      <w:pPr>
        <w:wordWrap w:val="0"/>
        <w:spacing w:before="25" w:after="25" w:line="360" w:lineRule="auto"/>
        <w:jc w:val="right"/>
        <w:rPr>
          <w:color w:val="auto"/>
          <w:szCs w:val="21"/>
          <w:highlight w:val="none"/>
          <w:u w:val="none"/>
        </w:rPr>
      </w:pPr>
      <w:r>
        <w:rPr>
          <w:rFonts w:hint="eastAsia"/>
          <w:color w:val="auto"/>
          <w:szCs w:val="21"/>
          <w:highlight w:val="none"/>
          <w:u w:val="none"/>
        </w:rPr>
        <w:t xml:space="preserve">供应商名称（加盖公章）：             </w:t>
      </w:r>
    </w:p>
    <w:p w14:paraId="7A3C242A">
      <w:pPr>
        <w:spacing w:line="360" w:lineRule="auto"/>
        <w:ind w:right="360" w:firstLine="480"/>
        <w:jc w:val="right"/>
        <w:rPr>
          <w:color w:val="auto"/>
          <w:szCs w:val="21"/>
          <w:highlight w:val="none"/>
          <w:u w:val="none"/>
        </w:rPr>
      </w:pPr>
      <w:r>
        <w:rPr>
          <w:rFonts w:hint="eastAsia"/>
          <w:color w:val="auto"/>
          <w:szCs w:val="21"/>
          <w:highlight w:val="none"/>
          <w:u w:val="none"/>
        </w:rPr>
        <w:t xml:space="preserve">日期： </w:t>
      </w:r>
      <w:r>
        <w:rPr>
          <w:color w:val="auto"/>
          <w:szCs w:val="21"/>
          <w:highlight w:val="none"/>
          <w:u w:val="none"/>
        </w:rPr>
        <w:t xml:space="preserve">  </w:t>
      </w:r>
      <w:r>
        <w:rPr>
          <w:rFonts w:hint="eastAsia"/>
          <w:color w:val="auto"/>
          <w:szCs w:val="21"/>
          <w:highlight w:val="none"/>
          <w:u w:val="none"/>
        </w:rPr>
        <w:t xml:space="preserve">  年    月    日</w:t>
      </w:r>
    </w:p>
    <w:p w14:paraId="704456EA">
      <w:pPr>
        <w:spacing w:before="25" w:after="25" w:line="360" w:lineRule="auto"/>
        <w:jc w:val="right"/>
        <w:rPr>
          <w:color w:val="auto"/>
          <w:szCs w:val="21"/>
          <w:highlight w:val="none"/>
          <w:u w:val="none"/>
        </w:rPr>
      </w:pPr>
    </w:p>
    <w:p w14:paraId="08C7525C">
      <w:pPr>
        <w:spacing w:line="360" w:lineRule="auto"/>
        <w:rPr>
          <w:color w:val="auto"/>
          <w:szCs w:val="21"/>
          <w:highlight w:val="none"/>
          <w:u w:val="none"/>
        </w:rPr>
      </w:pPr>
    </w:p>
    <w:p w14:paraId="61AF56EE">
      <w:pPr>
        <w:spacing w:line="360" w:lineRule="auto"/>
        <w:rPr>
          <w:color w:val="auto"/>
          <w:szCs w:val="21"/>
          <w:highlight w:val="none"/>
          <w:u w:val="none"/>
        </w:rPr>
      </w:pPr>
      <w:r>
        <w:rPr>
          <w:rFonts w:hint="eastAsia"/>
          <w:color w:val="auto"/>
          <w:szCs w:val="21"/>
          <w:highlight w:val="none"/>
          <w:u w:val="none"/>
        </w:rPr>
        <w:t>说明：供应商承诺不实的，依据《</w:t>
      </w:r>
      <w:r>
        <w:rPr>
          <w:rFonts w:hint="eastAsia" w:ascii="宋体" w:hAnsi="宋体" w:cs="宋体"/>
          <w:color w:val="auto"/>
          <w:szCs w:val="21"/>
          <w:highlight w:val="none"/>
          <w:u w:val="none"/>
        </w:rPr>
        <w:t>中华人民共和国政府采购法</w:t>
      </w:r>
      <w:r>
        <w:rPr>
          <w:rFonts w:hint="eastAsia"/>
          <w:color w:val="auto"/>
          <w:szCs w:val="21"/>
          <w:highlight w:val="none"/>
          <w:u w:val="none"/>
        </w:rPr>
        <w:t>》第七十七条“提供虚假材料谋取中标、成交的”有关规定予以处理。</w:t>
      </w:r>
    </w:p>
    <w:p w14:paraId="1EA6DB8E">
      <w:pPr>
        <w:spacing w:line="360" w:lineRule="auto"/>
        <w:ind w:firstLine="420" w:firstLineChars="200"/>
        <w:contextualSpacing/>
        <w:rPr>
          <w:rFonts w:hint="eastAsia" w:ascii="宋体" w:hAnsi="宋体"/>
          <w:bCs/>
          <w:color w:val="auto"/>
          <w:szCs w:val="21"/>
          <w:highlight w:val="none"/>
          <w:u w:val="none"/>
        </w:rPr>
      </w:pPr>
    </w:p>
    <w:p w14:paraId="02418A11">
      <w:pPr>
        <w:spacing w:line="360" w:lineRule="auto"/>
        <w:jc w:val="center"/>
        <w:rPr>
          <w:rFonts w:hint="eastAsia" w:ascii="宋体" w:hAnsi="宋体"/>
          <w:bCs/>
          <w:color w:val="auto"/>
          <w:sz w:val="30"/>
          <w:szCs w:val="30"/>
          <w:highlight w:val="none"/>
          <w:u w:val="none"/>
        </w:rPr>
      </w:pPr>
    </w:p>
    <w:p w14:paraId="275A597C">
      <w:pPr>
        <w:spacing w:line="360" w:lineRule="auto"/>
        <w:jc w:val="center"/>
        <w:rPr>
          <w:rFonts w:hint="eastAsia" w:ascii="宋体" w:hAnsi="宋体"/>
          <w:b/>
          <w:color w:val="auto"/>
          <w:szCs w:val="21"/>
          <w:highlight w:val="none"/>
          <w:u w:val="none"/>
        </w:rPr>
      </w:pPr>
    </w:p>
    <w:p w14:paraId="5027C370">
      <w:pPr>
        <w:spacing w:line="360" w:lineRule="auto"/>
        <w:rPr>
          <w:color w:val="auto"/>
          <w:highlight w:val="none"/>
          <w:u w:val="none"/>
        </w:rPr>
        <w:sectPr>
          <w:pgSz w:w="11907" w:h="16840"/>
          <w:pgMar w:top="1134" w:right="1134" w:bottom="1134" w:left="1560" w:header="851" w:footer="851" w:gutter="0"/>
          <w:pgBorders>
            <w:top w:val="none" w:sz="0" w:space="0"/>
            <w:left w:val="none" w:sz="0" w:space="0"/>
            <w:bottom w:val="none" w:sz="0" w:space="0"/>
            <w:right w:val="none" w:sz="0" w:space="0"/>
          </w:pgBorders>
          <w:cols w:space="720" w:num="1"/>
          <w:docGrid w:linePitch="312" w:charSpace="0"/>
        </w:sectPr>
      </w:pPr>
    </w:p>
    <w:p w14:paraId="208184EB">
      <w:pPr>
        <w:spacing w:line="360" w:lineRule="auto"/>
        <w:jc w:val="center"/>
        <w:outlineLvl w:val="4"/>
        <w:rPr>
          <w:rFonts w:hint="eastAsia" w:ascii="宋体" w:hAnsi="宋体" w:cs="宋体"/>
          <w:b/>
          <w:bCs/>
          <w:color w:val="auto"/>
          <w:szCs w:val="21"/>
          <w:highlight w:val="none"/>
          <w:u w:val="none"/>
        </w:rPr>
      </w:pPr>
      <w:r>
        <w:rPr>
          <w:rFonts w:hint="eastAsia" w:ascii="宋体" w:hAnsi="宋体" w:cs="宋体"/>
          <w:b/>
          <w:bCs/>
          <w:color w:val="auto"/>
          <w:szCs w:val="21"/>
          <w:highlight w:val="none"/>
          <w:u w:val="none"/>
        </w:rPr>
        <w:t>4.诚信承诺书</w:t>
      </w:r>
    </w:p>
    <w:p w14:paraId="23D4EE0F">
      <w:pPr>
        <w:spacing w:line="360" w:lineRule="auto"/>
        <w:rPr>
          <w:rFonts w:hint="eastAsia" w:ascii="宋体" w:hAnsi="宋体" w:cs="宋体"/>
          <w:bCs/>
          <w:color w:val="auto"/>
          <w:szCs w:val="21"/>
          <w:highlight w:val="none"/>
          <w:u w:val="none"/>
        </w:rPr>
      </w:pPr>
      <w:r>
        <w:rPr>
          <w:rFonts w:hint="eastAsia" w:ascii="宋体" w:hAnsi="宋体" w:cs="宋体"/>
          <w:color w:val="auto"/>
          <w:szCs w:val="21"/>
          <w:highlight w:val="none"/>
          <w:u w:val="single"/>
        </w:rPr>
        <w:t xml:space="preserve">           （采购人名称）</w:t>
      </w:r>
      <w:r>
        <w:rPr>
          <w:rFonts w:hint="eastAsia" w:ascii="宋体" w:hAnsi="宋体" w:cs="宋体"/>
          <w:color w:val="auto"/>
          <w:szCs w:val="21"/>
          <w:highlight w:val="none"/>
          <w:u w:val="none"/>
        </w:rPr>
        <w:t>：</w:t>
      </w:r>
    </w:p>
    <w:p w14:paraId="3ABD8240">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我单位在参加贵单位组织的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none"/>
        </w:rPr>
        <w:t>项目的磋商活动中，郑重承诺如下：</w:t>
      </w:r>
    </w:p>
    <w:p w14:paraId="133AB20F">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1.我单位参与本项目投标，提交的磋商响应文件包括资格审查材料均真实可信。证件及有关附件是真实的，绝无提供虚假材料行为。</w:t>
      </w:r>
    </w:p>
    <w:p w14:paraId="4DCDB700">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2.我单位参与本项目投标绝无借资质、挂靠行为。</w:t>
      </w:r>
    </w:p>
    <w:p w14:paraId="67F254C3">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3.本项目授权代表为本单位正式员工。</w:t>
      </w:r>
    </w:p>
    <w:p w14:paraId="56AAADE8">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4.我单位遵守国家廉政相关规定，无失信、行贿等不良行为。</w:t>
      </w:r>
    </w:p>
    <w:p w14:paraId="6CDE7ACA">
      <w:pPr>
        <w:spacing w:line="360" w:lineRule="auto"/>
        <w:ind w:firstLine="480"/>
        <w:rPr>
          <w:rFonts w:hint="eastAsia" w:ascii="宋体" w:hAnsi="宋体" w:cs="宋体"/>
          <w:color w:val="auto"/>
          <w:szCs w:val="21"/>
          <w:highlight w:val="none"/>
          <w:u w:val="none"/>
          <w:lang w:val="en-GB"/>
        </w:rPr>
      </w:pPr>
      <w:r>
        <w:rPr>
          <w:rFonts w:hint="eastAsia" w:ascii="宋体" w:hAnsi="宋体" w:cs="宋体"/>
          <w:color w:val="auto"/>
          <w:szCs w:val="21"/>
          <w:highlight w:val="none"/>
          <w:u w:val="none"/>
        </w:rPr>
        <w:t>5.</w:t>
      </w:r>
      <w:r>
        <w:rPr>
          <w:rFonts w:hint="eastAsia" w:ascii="宋体" w:hAnsi="宋体" w:cs="宋体"/>
          <w:color w:val="auto"/>
          <w:szCs w:val="21"/>
          <w:highlight w:val="none"/>
          <w:u w:val="none"/>
          <w:lang w:val="en-GB"/>
        </w:rPr>
        <w:t>我单位</w:t>
      </w:r>
      <w:r>
        <w:rPr>
          <w:rFonts w:hint="eastAsia" w:ascii="宋体" w:hAnsi="宋体" w:cs="宋体"/>
          <w:color w:val="auto"/>
          <w:szCs w:val="21"/>
          <w:highlight w:val="none"/>
          <w:u w:val="none"/>
        </w:rPr>
        <w:t>参与本项目</w:t>
      </w:r>
      <w:r>
        <w:rPr>
          <w:rFonts w:hint="eastAsia" w:ascii="宋体" w:hAnsi="宋体" w:cs="宋体"/>
          <w:color w:val="auto"/>
          <w:szCs w:val="21"/>
          <w:highlight w:val="none"/>
          <w:u w:val="none"/>
          <w:lang w:val="en-GB"/>
        </w:rPr>
        <w:t>投标</w:t>
      </w:r>
      <w:r>
        <w:rPr>
          <w:rFonts w:hint="eastAsia" w:ascii="宋体" w:hAnsi="宋体" w:cs="宋体"/>
          <w:color w:val="auto"/>
          <w:szCs w:val="21"/>
          <w:highlight w:val="none"/>
          <w:u w:val="none"/>
        </w:rPr>
        <w:t>绝无</w:t>
      </w:r>
      <w:r>
        <w:rPr>
          <w:rFonts w:hint="eastAsia" w:ascii="宋体" w:hAnsi="宋体" w:cs="宋体"/>
          <w:color w:val="auto"/>
          <w:szCs w:val="21"/>
          <w:highlight w:val="none"/>
          <w:u w:val="none"/>
          <w:lang w:val="en-GB"/>
        </w:rPr>
        <w:t>串标、围标等行为。</w:t>
      </w:r>
    </w:p>
    <w:p w14:paraId="2E198B99">
      <w:pPr>
        <w:spacing w:line="360" w:lineRule="auto"/>
        <w:ind w:firstLine="480"/>
        <w:rPr>
          <w:rFonts w:hint="eastAsia" w:ascii="宋体" w:hAnsi="宋体" w:cs="宋体"/>
          <w:color w:val="auto"/>
          <w:szCs w:val="21"/>
          <w:highlight w:val="none"/>
          <w:u w:val="none"/>
          <w:lang w:val="en-GB"/>
        </w:rPr>
      </w:pPr>
      <w:r>
        <w:rPr>
          <w:rFonts w:hint="eastAsia" w:ascii="宋体" w:hAnsi="宋体" w:cs="宋体"/>
          <w:color w:val="auto"/>
          <w:szCs w:val="21"/>
          <w:highlight w:val="none"/>
          <w:u w:val="none"/>
        </w:rPr>
        <w:t>6.</w:t>
      </w:r>
      <w:r>
        <w:rPr>
          <w:rFonts w:hint="eastAsia" w:ascii="宋体" w:hAnsi="宋体" w:cs="宋体"/>
          <w:color w:val="auto"/>
          <w:szCs w:val="21"/>
          <w:highlight w:val="none"/>
          <w:u w:val="none"/>
          <w:lang w:val="en-GB"/>
        </w:rPr>
        <w:t>我单位在参加政府采购活动前三年内，在经营活动中没有重大违法记录。</w:t>
      </w:r>
    </w:p>
    <w:p w14:paraId="250D3BEF">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7.如中标，我单位</w:t>
      </w:r>
      <w:r>
        <w:rPr>
          <w:rFonts w:hint="eastAsia" w:ascii="宋体" w:hAnsi="宋体" w:cs="宋体"/>
          <w:color w:val="auto"/>
          <w:szCs w:val="21"/>
          <w:highlight w:val="none"/>
          <w:u w:val="none"/>
          <w:lang w:val="en-GB"/>
        </w:rPr>
        <w:t>在</w:t>
      </w:r>
      <w:r>
        <w:rPr>
          <w:rFonts w:hint="eastAsia" w:ascii="宋体" w:hAnsi="宋体" w:cs="宋体"/>
          <w:color w:val="auto"/>
          <w:szCs w:val="21"/>
          <w:highlight w:val="none"/>
          <w:u w:val="none"/>
        </w:rPr>
        <w:t>成交结果</w:t>
      </w:r>
      <w:r>
        <w:rPr>
          <w:rFonts w:hint="eastAsia" w:ascii="宋体" w:hAnsi="宋体" w:cs="宋体"/>
          <w:color w:val="auto"/>
          <w:szCs w:val="21"/>
          <w:highlight w:val="none"/>
          <w:u w:val="none"/>
          <w:lang w:val="en-GB"/>
        </w:rPr>
        <w:t>公示结束后</w:t>
      </w:r>
      <w:r>
        <w:rPr>
          <w:rFonts w:hint="eastAsia" w:ascii="宋体" w:hAnsi="宋体" w:cs="宋体"/>
          <w:color w:val="auto"/>
          <w:szCs w:val="21"/>
          <w:highlight w:val="none"/>
          <w:u w:val="none"/>
        </w:rPr>
        <w:t>3天内领取中标通知书。</w:t>
      </w:r>
    </w:p>
    <w:p w14:paraId="07C10104">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8.中标后，我单位将按照采购文件规定并在成交通知书规定的时限内与采购单位签订合同。</w:t>
      </w:r>
    </w:p>
    <w:p w14:paraId="1250AAFB">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9.如中标，我单位将按照采购文件规定以及响应文件中承诺的相关事项向采购人提供完整相关证明材料或配合采购人做好相关工作。</w:t>
      </w:r>
    </w:p>
    <w:p w14:paraId="3BBC1F53">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若我单位未能兑现以上承诺，愿意放弃本项目中标资格，愿意被采购人列入政府采购黑名单1～3年，愿意接受采购人和监管部门的其他处罚，并愿意承担因违反上述承诺内容所引发的一切责任与后果。</w:t>
      </w:r>
    </w:p>
    <w:p w14:paraId="3B0A7936">
      <w:pPr>
        <w:spacing w:line="360" w:lineRule="auto"/>
        <w:ind w:firstLine="560"/>
        <w:rPr>
          <w:rFonts w:hint="eastAsia" w:ascii="宋体" w:hAnsi="宋体" w:cs="宋体"/>
          <w:bCs/>
          <w:color w:val="auto"/>
          <w:szCs w:val="21"/>
          <w:highlight w:val="none"/>
          <w:u w:val="none"/>
        </w:rPr>
      </w:pPr>
    </w:p>
    <w:p w14:paraId="1BD8E017">
      <w:pPr>
        <w:spacing w:line="360" w:lineRule="auto"/>
        <w:ind w:firstLine="3624" w:firstLineChars="1726"/>
        <w:rPr>
          <w:rFonts w:hint="eastAsia" w:ascii="宋体" w:hAnsi="宋体" w:cs="宋体"/>
          <w:bCs/>
          <w:color w:val="auto"/>
          <w:szCs w:val="21"/>
          <w:highlight w:val="none"/>
          <w:u w:val="none"/>
        </w:rPr>
      </w:pPr>
      <w:r>
        <w:rPr>
          <w:rFonts w:hint="eastAsia" w:ascii="宋体" w:hAnsi="宋体" w:cs="宋体"/>
          <w:bCs/>
          <w:color w:val="auto"/>
          <w:szCs w:val="21"/>
          <w:highlight w:val="none"/>
          <w:u w:val="none"/>
        </w:rPr>
        <w:t xml:space="preserve">供应商（盖公章）：                              </w:t>
      </w:r>
    </w:p>
    <w:p w14:paraId="6A19932B">
      <w:pPr>
        <w:spacing w:line="360" w:lineRule="auto"/>
        <w:ind w:firstLine="480"/>
        <w:rPr>
          <w:rFonts w:hint="eastAsia" w:ascii="宋体" w:hAnsi="宋体" w:cs="宋体"/>
          <w:bCs/>
          <w:color w:val="auto"/>
          <w:szCs w:val="21"/>
          <w:highlight w:val="none"/>
          <w:u w:val="none"/>
        </w:rPr>
      </w:pPr>
    </w:p>
    <w:p w14:paraId="722FB707">
      <w:pPr>
        <w:spacing w:line="360" w:lineRule="auto"/>
        <w:ind w:firstLine="3624" w:firstLineChars="1726"/>
        <w:rPr>
          <w:rFonts w:hint="eastAsia" w:ascii="宋体" w:hAnsi="宋体" w:cs="宋体"/>
          <w:bCs/>
          <w:color w:val="auto"/>
          <w:szCs w:val="21"/>
          <w:highlight w:val="none"/>
          <w:u w:val="none"/>
        </w:rPr>
      </w:pPr>
      <w:r>
        <w:rPr>
          <w:rFonts w:hint="eastAsia" w:ascii="宋体" w:hAnsi="宋体" w:cs="宋体"/>
          <w:bCs/>
          <w:color w:val="auto"/>
          <w:szCs w:val="21"/>
          <w:highlight w:val="none"/>
          <w:u w:val="none"/>
        </w:rPr>
        <w:t xml:space="preserve">法定代表人（签字或盖章）：                      </w:t>
      </w:r>
    </w:p>
    <w:p w14:paraId="2B8D82A7">
      <w:pPr>
        <w:spacing w:line="360" w:lineRule="auto"/>
        <w:ind w:firstLine="480"/>
        <w:jc w:val="right"/>
        <w:rPr>
          <w:rFonts w:hint="eastAsia" w:ascii="宋体" w:hAnsi="宋体" w:cs="宋体"/>
          <w:color w:val="auto"/>
          <w:szCs w:val="21"/>
          <w:highlight w:val="none"/>
          <w:u w:val="none"/>
        </w:rPr>
      </w:pPr>
    </w:p>
    <w:p w14:paraId="6EDA04ED">
      <w:pPr>
        <w:spacing w:line="360" w:lineRule="auto"/>
        <w:ind w:left="2833" w:right="560" w:firstLine="2777"/>
        <w:rPr>
          <w:rFonts w:hint="eastAsia" w:ascii="宋体" w:hAnsi="宋体" w:cs="宋体"/>
          <w:color w:val="auto"/>
          <w:szCs w:val="21"/>
          <w:highlight w:val="none"/>
          <w:u w:val="none"/>
        </w:rPr>
      </w:pPr>
      <w:r>
        <w:rPr>
          <w:rFonts w:hint="eastAsia" w:ascii="宋体" w:hAnsi="宋体" w:cs="宋体"/>
          <w:color w:val="auto"/>
          <w:szCs w:val="21"/>
          <w:highlight w:val="none"/>
          <w:u w:val="none"/>
        </w:rPr>
        <w:t>年     月     日</w:t>
      </w:r>
    </w:p>
    <w:p w14:paraId="3CFBE425">
      <w:pPr>
        <w:spacing w:line="360" w:lineRule="auto"/>
        <w:jc w:val="center"/>
        <w:rPr>
          <w:rFonts w:hint="eastAsia" w:ascii="宋体" w:hAnsi="宋体" w:cs="宋体"/>
          <w:b/>
          <w:color w:val="auto"/>
          <w:szCs w:val="21"/>
          <w:highlight w:val="none"/>
          <w:u w:val="none"/>
        </w:rPr>
      </w:pPr>
      <w:r>
        <w:rPr>
          <w:rFonts w:hint="eastAsia" w:ascii="宋体" w:hAnsi="宋体" w:cs="宋体"/>
          <w:b/>
          <w:color w:val="auto"/>
          <w:szCs w:val="21"/>
          <w:highlight w:val="none"/>
          <w:u w:val="none"/>
        </w:rPr>
        <w:br w:type="page" w:clear="all"/>
      </w:r>
      <w:r>
        <w:rPr>
          <w:rFonts w:hint="eastAsia" w:ascii="宋体" w:hAnsi="宋体" w:cs="宋体"/>
          <w:b/>
          <w:color w:val="auto"/>
          <w:szCs w:val="21"/>
          <w:highlight w:val="none"/>
          <w:u w:val="none"/>
        </w:rPr>
        <w:t>5.中小企业声明函（工程、服务）</w:t>
      </w:r>
    </w:p>
    <w:p w14:paraId="266C3696">
      <w:pPr>
        <w:spacing w:line="360" w:lineRule="auto"/>
        <w:ind w:firstLine="560"/>
        <w:rPr>
          <w:rFonts w:hint="eastAsia" w:ascii="宋体" w:hAnsi="宋体" w:cs="宋体"/>
          <w:color w:val="auto"/>
          <w:szCs w:val="21"/>
          <w:highlight w:val="none"/>
          <w:u w:val="none"/>
          <w:lang w:bidi="zh-CN"/>
        </w:rPr>
      </w:pPr>
      <w:r>
        <w:rPr>
          <w:rFonts w:hint="eastAsia" w:ascii="宋体" w:hAnsi="宋体" w:cs="宋体"/>
          <w:color w:val="auto"/>
          <w:szCs w:val="21"/>
          <w:highlight w:val="none"/>
          <w:u w:val="none"/>
          <w:lang w:bidi="zh-CN"/>
        </w:rPr>
        <w:t>本公司郑重声明，根据《政府采购促进中小企业发展管理办法》（财库﹝2020﹞46 号）的规定，本公司参加</w:t>
      </w:r>
      <w:r>
        <w:rPr>
          <w:rFonts w:hint="eastAsia" w:ascii="宋体" w:hAnsi="宋体" w:cs="宋体"/>
          <w:color w:val="auto"/>
          <w:szCs w:val="21"/>
          <w:highlight w:val="none"/>
          <w:u w:val="single"/>
          <w:lang w:bidi="zh-CN"/>
        </w:rPr>
        <w:t>（单位名称）</w:t>
      </w:r>
      <w:r>
        <w:rPr>
          <w:rFonts w:hint="eastAsia" w:ascii="宋体" w:hAnsi="宋体" w:cs="宋体"/>
          <w:color w:val="auto"/>
          <w:szCs w:val="21"/>
          <w:highlight w:val="none"/>
          <w:u w:val="none"/>
          <w:lang w:bidi="zh-CN"/>
        </w:rPr>
        <w:t>的</w:t>
      </w:r>
      <w:r>
        <w:rPr>
          <w:rFonts w:hint="eastAsia" w:ascii="宋体" w:hAnsi="宋体" w:cs="宋体"/>
          <w:color w:val="auto"/>
          <w:szCs w:val="21"/>
          <w:highlight w:val="none"/>
          <w:u w:val="single"/>
          <w:lang w:bidi="zh-CN"/>
        </w:rPr>
        <w:t>（项目名称）</w:t>
      </w:r>
      <w:r>
        <w:rPr>
          <w:rFonts w:hint="eastAsia" w:ascii="宋体" w:hAnsi="宋体" w:cs="宋体"/>
          <w:color w:val="auto"/>
          <w:szCs w:val="21"/>
          <w:highlight w:val="none"/>
          <w:u w:val="none"/>
          <w:lang w:bidi="zh-CN"/>
        </w:rPr>
        <w:t>采购活动，工程的施工单位全部为符合政策要求的中小企业（或者：服务全部由符合政策要求的中小企业承接）。企业的具体情况如下：</w:t>
      </w:r>
    </w:p>
    <w:p w14:paraId="2076D57C">
      <w:pPr>
        <w:spacing w:line="360" w:lineRule="auto"/>
        <w:ind w:firstLine="420" w:firstLineChars="200"/>
        <w:jc w:val="left"/>
        <w:rPr>
          <w:rFonts w:hint="eastAsia" w:ascii="宋体" w:hAnsi="宋体" w:cs="宋体"/>
          <w:color w:val="auto"/>
          <w:szCs w:val="21"/>
          <w:highlight w:val="none"/>
          <w:u w:val="none"/>
          <w:lang w:bidi="zh-CN"/>
        </w:rPr>
      </w:pPr>
      <w:r>
        <w:rPr>
          <w:rFonts w:hint="eastAsia" w:ascii="宋体" w:hAnsi="宋体" w:cs="宋体"/>
          <w:color w:val="auto"/>
          <w:szCs w:val="21"/>
          <w:highlight w:val="none"/>
          <w:u w:val="none"/>
          <w:lang w:bidi="zh-CN"/>
        </w:rPr>
        <w:t>1.</w:t>
      </w:r>
      <w:r>
        <w:rPr>
          <w:rFonts w:hint="eastAsia" w:ascii="宋体" w:hAnsi="宋体" w:cs="宋体"/>
          <w:color w:val="auto"/>
          <w:szCs w:val="21"/>
          <w:highlight w:val="none"/>
          <w:u w:val="single"/>
          <w:lang w:bidi="zh-CN"/>
        </w:rPr>
        <w:t>（标的名称）</w:t>
      </w:r>
      <w:r>
        <w:rPr>
          <w:rFonts w:hint="eastAsia" w:ascii="宋体" w:hAnsi="宋体" w:cs="宋体"/>
          <w:color w:val="auto"/>
          <w:szCs w:val="21"/>
          <w:highlight w:val="none"/>
          <w:u w:val="none"/>
          <w:lang w:bidi="zh-CN"/>
        </w:rPr>
        <w:t>，属于</w:t>
      </w:r>
      <w:r>
        <w:rPr>
          <w:rFonts w:hint="eastAsia" w:ascii="宋体" w:hAnsi="宋体" w:cs="宋体"/>
          <w:color w:val="auto"/>
          <w:szCs w:val="21"/>
          <w:highlight w:val="none"/>
          <w:u w:val="single"/>
          <w:lang w:bidi="zh-CN"/>
        </w:rPr>
        <w:t>（采购文件中明确的所属行业）</w:t>
      </w:r>
      <w:r>
        <w:rPr>
          <w:rFonts w:hint="eastAsia" w:ascii="宋体" w:hAnsi="宋体" w:cs="宋体"/>
          <w:color w:val="auto"/>
          <w:szCs w:val="21"/>
          <w:highlight w:val="none"/>
          <w:u w:val="none"/>
          <w:lang w:bidi="zh-CN"/>
        </w:rPr>
        <w:t>；承建（承接）企业为</w:t>
      </w:r>
      <w:r>
        <w:rPr>
          <w:rFonts w:hint="eastAsia" w:ascii="宋体" w:hAnsi="宋体" w:cs="宋体"/>
          <w:color w:val="auto"/>
          <w:szCs w:val="21"/>
          <w:highlight w:val="none"/>
          <w:u w:val="single"/>
          <w:lang w:bidi="zh-CN"/>
        </w:rPr>
        <w:t>（企业名称）</w:t>
      </w:r>
      <w:r>
        <w:rPr>
          <w:rFonts w:hint="eastAsia" w:ascii="宋体" w:hAnsi="宋体" w:cs="宋体"/>
          <w:color w:val="auto"/>
          <w:szCs w:val="21"/>
          <w:highlight w:val="none"/>
          <w:u w:val="none"/>
          <w:lang w:bidi="zh-CN"/>
        </w:rPr>
        <w:t>，从业人员</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u w:val="single"/>
          <w:lang w:bidi="zh-CN"/>
        </w:rPr>
        <w:tab/>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u w:val="none"/>
          <w:lang w:bidi="zh-CN"/>
        </w:rPr>
        <w:t xml:space="preserve">人，营业收入为 </w:t>
      </w:r>
      <w:r>
        <w:rPr>
          <w:rFonts w:hint="eastAsia" w:ascii="宋体" w:hAnsi="宋体" w:cs="宋体"/>
          <w:color w:val="auto"/>
          <w:szCs w:val="21"/>
          <w:highlight w:val="none"/>
          <w:u w:val="single"/>
          <w:lang w:bidi="zh-CN"/>
        </w:rPr>
        <w:tab/>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u w:val="none"/>
          <w:lang w:bidi="zh-CN"/>
        </w:rPr>
        <w:t xml:space="preserve">万元，资产总额为 </w:t>
      </w:r>
      <w:r>
        <w:rPr>
          <w:rFonts w:hint="eastAsia" w:ascii="宋体" w:hAnsi="宋体" w:cs="宋体"/>
          <w:color w:val="auto"/>
          <w:szCs w:val="21"/>
          <w:highlight w:val="none"/>
          <w:u w:val="single"/>
          <w:lang w:bidi="zh-CN"/>
        </w:rPr>
        <w:tab/>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u w:val="none"/>
          <w:lang w:bidi="zh-CN"/>
        </w:rPr>
        <w:t>万元，属于</w:t>
      </w:r>
      <w:r>
        <w:rPr>
          <w:rFonts w:hint="eastAsia" w:ascii="宋体" w:hAnsi="宋体" w:cs="宋体"/>
          <w:color w:val="auto"/>
          <w:szCs w:val="21"/>
          <w:highlight w:val="none"/>
          <w:u w:val="single"/>
          <w:lang w:bidi="zh-CN"/>
        </w:rPr>
        <w:t>（中型企业、小型企业、微型企业）</w:t>
      </w:r>
      <w:r>
        <w:rPr>
          <w:rFonts w:hint="eastAsia" w:ascii="宋体" w:hAnsi="宋体" w:cs="宋体"/>
          <w:color w:val="auto"/>
          <w:szCs w:val="21"/>
          <w:highlight w:val="none"/>
          <w:u w:val="none"/>
          <w:lang w:bidi="zh-CN"/>
        </w:rPr>
        <w:t>；</w:t>
      </w:r>
    </w:p>
    <w:p w14:paraId="09E8CA58">
      <w:pPr>
        <w:spacing w:line="360" w:lineRule="auto"/>
        <w:ind w:firstLine="480"/>
        <w:jc w:val="left"/>
        <w:rPr>
          <w:rFonts w:hint="eastAsia" w:ascii="宋体" w:hAnsi="宋体" w:cs="宋体"/>
          <w:color w:val="auto"/>
          <w:szCs w:val="21"/>
          <w:highlight w:val="none"/>
          <w:u w:val="none"/>
          <w:lang w:bidi="zh-CN"/>
        </w:rPr>
      </w:pPr>
      <w:r>
        <w:rPr>
          <w:rFonts w:hint="eastAsia" w:ascii="宋体" w:hAnsi="宋体" w:cs="宋体"/>
          <w:color w:val="auto"/>
          <w:szCs w:val="21"/>
          <w:highlight w:val="none"/>
          <w:u w:val="none"/>
          <w:lang w:bidi="zh-CN"/>
        </w:rPr>
        <w:t>……</w:t>
      </w:r>
    </w:p>
    <w:p w14:paraId="42A752B5">
      <w:pPr>
        <w:spacing w:line="360" w:lineRule="auto"/>
        <w:ind w:firstLine="480"/>
        <w:jc w:val="left"/>
        <w:rPr>
          <w:rFonts w:hint="eastAsia" w:ascii="宋体" w:hAnsi="宋体" w:cs="宋体"/>
          <w:color w:val="auto"/>
          <w:szCs w:val="21"/>
          <w:highlight w:val="none"/>
          <w:u w:val="none"/>
          <w:lang w:bidi="zh-CN"/>
        </w:rPr>
      </w:pPr>
      <w:r>
        <w:rPr>
          <w:rFonts w:hint="eastAsia" w:ascii="宋体" w:hAnsi="宋体" w:cs="宋体"/>
          <w:color w:val="auto"/>
          <w:szCs w:val="21"/>
          <w:highlight w:val="none"/>
          <w:u w:val="none"/>
          <w:lang w:bidi="zh-CN"/>
        </w:rPr>
        <w:t>以上企业，不属于大企业的分支机构，不存在控股股东为大企业的情形，也不存在与大企业的负责人为同一人的情形。</w:t>
      </w:r>
    </w:p>
    <w:p w14:paraId="281CC132">
      <w:pPr>
        <w:spacing w:line="360" w:lineRule="auto"/>
        <w:ind w:firstLine="480"/>
        <w:jc w:val="left"/>
        <w:rPr>
          <w:rFonts w:hint="eastAsia" w:ascii="宋体" w:hAnsi="宋体" w:cs="宋体"/>
          <w:color w:val="auto"/>
          <w:szCs w:val="21"/>
          <w:highlight w:val="none"/>
          <w:u w:val="none"/>
          <w:lang w:bidi="zh-CN"/>
        </w:rPr>
      </w:pPr>
      <w:r>
        <w:rPr>
          <w:rFonts w:hint="eastAsia" w:ascii="宋体" w:hAnsi="宋体" w:cs="宋体"/>
          <w:color w:val="auto"/>
          <w:szCs w:val="21"/>
          <w:highlight w:val="none"/>
          <w:u w:val="none"/>
          <w:lang w:bidi="zh-CN"/>
        </w:rPr>
        <w:t>本企业对上述声明内容的真实性负责。如有虚假，将依法承担相应责任。</w:t>
      </w:r>
    </w:p>
    <w:p w14:paraId="722C7407">
      <w:pPr>
        <w:spacing w:line="360" w:lineRule="auto"/>
        <w:jc w:val="left"/>
        <w:rPr>
          <w:rFonts w:hint="eastAsia" w:ascii="宋体" w:hAnsi="宋体" w:cs="宋体"/>
          <w:color w:val="auto"/>
          <w:szCs w:val="21"/>
          <w:highlight w:val="none"/>
          <w:u w:val="none"/>
          <w:lang w:bidi="zh-CN"/>
        </w:rPr>
      </w:pPr>
    </w:p>
    <w:p w14:paraId="2E6C1AB8">
      <w:pPr>
        <w:spacing w:line="360" w:lineRule="auto"/>
        <w:ind w:firstLine="4830" w:firstLineChars="2300"/>
        <w:jc w:val="left"/>
        <w:rPr>
          <w:rFonts w:hint="eastAsia" w:ascii="宋体" w:hAnsi="宋体" w:cs="宋体"/>
          <w:color w:val="auto"/>
          <w:szCs w:val="21"/>
          <w:highlight w:val="none"/>
          <w:u w:val="none"/>
          <w:lang w:bidi="zh-CN"/>
        </w:rPr>
      </w:pPr>
      <w:r>
        <w:rPr>
          <w:rFonts w:hint="eastAsia" w:ascii="宋体" w:hAnsi="宋体" w:cs="宋体"/>
          <w:color w:val="auto"/>
          <w:szCs w:val="21"/>
          <w:highlight w:val="none"/>
          <w:u w:val="none"/>
          <w:lang w:bidi="zh-CN"/>
        </w:rPr>
        <w:t>企业名称（盖章）：</w:t>
      </w:r>
    </w:p>
    <w:p w14:paraId="0449C729">
      <w:pPr>
        <w:spacing w:line="360" w:lineRule="auto"/>
        <w:ind w:firstLine="5250" w:firstLineChars="2500"/>
        <w:jc w:val="left"/>
        <w:rPr>
          <w:rFonts w:hint="eastAsia" w:ascii="宋体" w:hAnsi="宋体" w:cs="宋体"/>
          <w:color w:val="auto"/>
          <w:szCs w:val="21"/>
          <w:highlight w:val="none"/>
          <w:u w:val="none"/>
          <w:lang w:bidi="zh-CN"/>
        </w:rPr>
      </w:pPr>
      <w:r>
        <w:rPr>
          <w:rFonts w:hint="eastAsia" w:ascii="宋体" w:hAnsi="宋体" w:cs="宋体"/>
          <w:color w:val="auto"/>
          <w:szCs w:val="21"/>
          <w:highlight w:val="none"/>
          <w:u w:val="none"/>
          <w:lang w:bidi="zh-CN"/>
        </w:rPr>
        <w:t>日期：</w:t>
      </w:r>
    </w:p>
    <w:p w14:paraId="1D6A19DB">
      <w:pPr>
        <w:spacing w:line="360" w:lineRule="auto"/>
        <w:ind w:firstLine="577"/>
        <w:rPr>
          <w:rFonts w:hint="eastAsia" w:ascii="宋体" w:hAnsi="宋体" w:cs="宋体"/>
          <w:color w:val="auto"/>
          <w:szCs w:val="21"/>
          <w:highlight w:val="none"/>
          <w:u w:val="none"/>
        </w:rPr>
      </w:pPr>
    </w:p>
    <w:p w14:paraId="0A6EB59D">
      <w:pPr>
        <w:spacing w:line="360" w:lineRule="auto"/>
        <w:ind w:firstLine="577"/>
        <w:rPr>
          <w:rFonts w:hint="eastAsia" w:ascii="宋体" w:hAnsi="宋体" w:cs="宋体"/>
          <w:color w:val="auto"/>
          <w:szCs w:val="21"/>
          <w:highlight w:val="none"/>
          <w:u w:val="none"/>
        </w:rPr>
      </w:pPr>
    </w:p>
    <w:p w14:paraId="5439ED59">
      <w:pPr>
        <w:spacing w:line="360" w:lineRule="auto"/>
        <w:ind w:firstLine="494"/>
        <w:rPr>
          <w:rFonts w:hint="eastAsia" w:ascii="宋体" w:hAnsi="宋体" w:cs="宋体"/>
          <w:color w:val="auto"/>
          <w:szCs w:val="21"/>
          <w:highlight w:val="none"/>
          <w:u w:val="none"/>
        </w:rPr>
      </w:pPr>
      <w:r>
        <w:rPr>
          <w:rFonts w:hint="eastAsia" w:ascii="宋体" w:hAnsi="宋体" w:cs="宋体"/>
          <w:color w:val="auto"/>
          <w:szCs w:val="21"/>
          <w:highlight w:val="none"/>
          <w:u w:val="none"/>
        </w:rPr>
        <w:t>注：</w:t>
      </w:r>
    </w:p>
    <w:p w14:paraId="4D535AB4">
      <w:pPr>
        <w:spacing w:line="360" w:lineRule="auto"/>
        <w:ind w:firstLine="494"/>
        <w:rPr>
          <w:rFonts w:hint="eastAsia" w:ascii="宋体" w:hAnsi="宋体" w:cs="宋体"/>
          <w:color w:val="auto"/>
          <w:szCs w:val="21"/>
          <w:highlight w:val="none"/>
          <w:u w:val="none"/>
        </w:rPr>
      </w:pPr>
      <w:r>
        <w:rPr>
          <w:rFonts w:hint="eastAsia" w:ascii="宋体" w:hAnsi="宋体" w:cs="宋体"/>
          <w:color w:val="auto"/>
          <w:szCs w:val="21"/>
          <w:highlight w:val="none"/>
          <w:u w:val="none"/>
        </w:rPr>
        <w:t>（1）中小企业划分标准以工信部联企业〔2011〕300号通知中的《中小企业划型标准规定》为准。</w:t>
      </w:r>
    </w:p>
    <w:p w14:paraId="11CB9066">
      <w:pPr>
        <w:spacing w:line="360" w:lineRule="auto"/>
        <w:ind w:firstLine="494"/>
        <w:rPr>
          <w:rFonts w:hint="eastAsia" w:ascii="宋体" w:hAnsi="宋体" w:cs="宋体"/>
          <w:color w:val="auto"/>
          <w:szCs w:val="21"/>
          <w:highlight w:val="none"/>
          <w:u w:val="none"/>
        </w:rPr>
      </w:pPr>
      <w:r>
        <w:rPr>
          <w:rFonts w:hint="eastAsia" w:ascii="宋体" w:hAnsi="宋体" w:cs="宋体"/>
          <w:color w:val="auto"/>
          <w:szCs w:val="21"/>
          <w:highlight w:val="none"/>
          <w:u w:val="none"/>
        </w:rPr>
        <w:t>（2）从业人员、营业收入、资产总额填报上一年度数据，无上一年度数据的新成立企业可不填报。</w:t>
      </w:r>
    </w:p>
    <w:p w14:paraId="496F46D6">
      <w:pPr>
        <w:spacing w:line="360" w:lineRule="auto"/>
        <w:ind w:right="561"/>
        <w:rPr>
          <w:rFonts w:hint="eastAsia" w:ascii="宋体" w:hAnsi="宋体" w:cs="宋体"/>
          <w:color w:val="auto"/>
          <w:szCs w:val="21"/>
          <w:highlight w:val="none"/>
          <w:u w:val="none"/>
        </w:rPr>
      </w:pPr>
    </w:p>
    <w:p w14:paraId="4CFD58E8">
      <w:pPr>
        <w:spacing w:line="360" w:lineRule="auto"/>
        <w:jc w:val="center"/>
        <w:rPr>
          <w:rFonts w:hint="eastAsia" w:ascii="宋体" w:hAnsi="宋体" w:cs="宋体"/>
          <w:b/>
          <w:color w:val="auto"/>
          <w:szCs w:val="21"/>
          <w:highlight w:val="none"/>
          <w:u w:val="none"/>
        </w:rPr>
      </w:pPr>
      <w:r>
        <w:rPr>
          <w:rFonts w:hint="eastAsia" w:ascii="宋体" w:hAnsi="宋体" w:cs="宋体"/>
          <w:b/>
          <w:bCs/>
          <w:color w:val="auto"/>
          <w:szCs w:val="21"/>
          <w:highlight w:val="none"/>
          <w:u w:val="none"/>
        </w:rPr>
        <w:br w:type="page" w:clear="all"/>
      </w:r>
      <w:r>
        <w:rPr>
          <w:rFonts w:hint="eastAsia" w:ascii="宋体" w:hAnsi="宋体" w:cs="宋体"/>
          <w:b/>
          <w:bCs/>
          <w:color w:val="auto"/>
          <w:szCs w:val="21"/>
          <w:highlight w:val="none"/>
          <w:u w:val="none"/>
        </w:rPr>
        <w:t>6.残疾人福利性单位声明函（如有）</w:t>
      </w:r>
    </w:p>
    <w:p w14:paraId="2E489BF7">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本单位郑重声明，根据《财政部民政部中国残疾人联合会关于促进残疾人就业政府采购政策的通知》（财库〔2017〕141号）的规定，本单位为符合条件的残疾人福利性单位，且本单位参加______单位的采购文件编号为______的       项目采购活动提供本单位制造的货物（由本单位承担工程/提供服务），或者提供其他残疾人福利性单位制造的货物（不包括使用非残疾人福利性单位注册商标的货物）。</w:t>
      </w:r>
    </w:p>
    <w:p w14:paraId="32942AD9">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本单位在本次政府采购活动中提供的残疾人福利单位产品报价合计为人民币（大写）      圆整（￥：     ）。</w:t>
      </w:r>
    </w:p>
    <w:p w14:paraId="793C91AF">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本单位对上述声明的真实性负责。如有虚假，将依法承担相应责任。</w:t>
      </w:r>
    </w:p>
    <w:p w14:paraId="23ADD206">
      <w:pPr>
        <w:spacing w:line="360" w:lineRule="auto"/>
        <w:ind w:firstLine="480"/>
        <w:rPr>
          <w:rFonts w:hint="eastAsia" w:ascii="宋体" w:hAnsi="宋体" w:cs="宋体"/>
          <w:color w:val="auto"/>
          <w:spacing w:val="6"/>
          <w:szCs w:val="21"/>
          <w:highlight w:val="none"/>
          <w:u w:val="none"/>
        </w:rPr>
      </w:pPr>
      <w:r>
        <w:rPr>
          <w:rFonts w:hint="eastAsia" w:ascii="宋体" w:hAnsi="宋体" w:cs="宋体"/>
          <w:color w:val="auto"/>
          <w:szCs w:val="21"/>
          <w:highlight w:val="none"/>
          <w:u w:val="none"/>
        </w:rPr>
        <w:t>（备注：成交供应商为残疾人福利单位的，此声明函将随成交结果同时公告，接受社会监督）</w:t>
      </w:r>
    </w:p>
    <w:p w14:paraId="5E5EF5F0">
      <w:pPr>
        <w:tabs>
          <w:tab w:val="left" w:pos="4860"/>
        </w:tabs>
        <w:spacing w:line="360" w:lineRule="auto"/>
        <w:ind w:firstLine="624"/>
        <w:jc w:val="center"/>
        <w:rPr>
          <w:rFonts w:hint="eastAsia" w:ascii="宋体" w:hAnsi="宋体" w:cs="宋体"/>
          <w:color w:val="auto"/>
          <w:szCs w:val="21"/>
          <w:highlight w:val="none"/>
          <w:u w:val="none"/>
        </w:rPr>
      </w:pPr>
      <w:r>
        <w:rPr>
          <w:rFonts w:hint="eastAsia" w:ascii="宋体" w:hAnsi="宋体" w:cs="宋体"/>
          <w:color w:val="auto"/>
          <w:spacing w:val="6"/>
          <w:szCs w:val="21"/>
          <w:highlight w:val="none"/>
          <w:u w:val="none"/>
        </w:rPr>
        <w:t xml:space="preserve">      </w:t>
      </w:r>
      <w:r>
        <w:rPr>
          <w:rFonts w:hint="eastAsia" w:ascii="宋体" w:hAnsi="宋体" w:cs="宋体"/>
          <w:color w:val="auto"/>
          <w:szCs w:val="21"/>
          <w:highlight w:val="none"/>
          <w:u w:val="none"/>
        </w:rPr>
        <w:t xml:space="preserve">                     供应商全称（盖章）：</w:t>
      </w:r>
    </w:p>
    <w:p w14:paraId="7C0DD625">
      <w:pPr>
        <w:tabs>
          <w:tab w:val="left" w:pos="4860"/>
        </w:tabs>
        <w:spacing w:line="360" w:lineRule="auto"/>
        <w:ind w:firstLine="480"/>
        <w:jc w:val="center"/>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                              日  期：</w:t>
      </w:r>
    </w:p>
    <w:p w14:paraId="39DD411A">
      <w:pPr>
        <w:shd w:val="clear" w:color="auto" w:fill="FFFFFF"/>
        <w:spacing w:line="360" w:lineRule="auto"/>
        <w:jc w:val="left"/>
        <w:rPr>
          <w:rFonts w:hint="eastAsia" w:ascii="宋体" w:hAnsi="宋体" w:cs="宋体"/>
          <w:color w:val="auto"/>
          <w:szCs w:val="21"/>
          <w:highlight w:val="none"/>
          <w:u w:val="none"/>
        </w:rPr>
      </w:pPr>
      <w:r>
        <w:rPr>
          <w:rFonts w:hint="eastAsia" w:ascii="宋体" w:hAnsi="宋体" w:cs="宋体"/>
          <w:color w:val="auto"/>
          <w:szCs w:val="21"/>
          <w:highlight w:val="none"/>
          <w:u w:val="none"/>
        </w:rPr>
        <w:t>享受政府采购支持政策的残疾人福利性单位应当同时满足以下条件：</w:t>
      </w:r>
    </w:p>
    <w:p w14:paraId="78175F6E">
      <w:pPr>
        <w:shd w:val="clear" w:color="auto" w:fill="FFFFFF"/>
        <w:spacing w:line="360" w:lineRule="auto"/>
        <w:jc w:val="left"/>
        <w:rPr>
          <w:rFonts w:hint="eastAsia" w:ascii="宋体" w:hAnsi="宋体" w:cs="宋体"/>
          <w:color w:val="auto"/>
          <w:szCs w:val="21"/>
          <w:highlight w:val="none"/>
          <w:u w:val="none"/>
        </w:rPr>
      </w:pPr>
      <w:r>
        <w:rPr>
          <w:rFonts w:hint="eastAsia" w:ascii="宋体" w:hAnsi="宋体" w:cs="宋体"/>
          <w:color w:val="auto"/>
          <w:szCs w:val="21"/>
          <w:highlight w:val="none"/>
          <w:u w:val="none"/>
        </w:rPr>
        <w:t>　　（一）安置的残疾人占本单位在职职工人数的比例不低于25%（含25%），并且安置的残疾人人数不少于10人（含10人）；</w:t>
      </w:r>
    </w:p>
    <w:p w14:paraId="33B4E8C3">
      <w:pPr>
        <w:shd w:val="clear" w:color="auto" w:fill="FFFFFF"/>
        <w:spacing w:line="360" w:lineRule="auto"/>
        <w:jc w:val="left"/>
        <w:rPr>
          <w:rFonts w:hint="eastAsia" w:ascii="宋体" w:hAnsi="宋体" w:cs="宋体"/>
          <w:color w:val="auto"/>
          <w:szCs w:val="21"/>
          <w:highlight w:val="none"/>
          <w:u w:val="none"/>
        </w:rPr>
      </w:pPr>
      <w:r>
        <w:rPr>
          <w:rFonts w:hint="eastAsia" w:ascii="宋体" w:hAnsi="宋体" w:cs="宋体"/>
          <w:color w:val="auto"/>
          <w:szCs w:val="21"/>
          <w:highlight w:val="none"/>
          <w:u w:val="none"/>
        </w:rPr>
        <w:t>　　（二）依法与安置的每位残疾人签订了一年以上（含一年）的劳动合同或服务协议；</w:t>
      </w:r>
    </w:p>
    <w:p w14:paraId="3E524699">
      <w:pPr>
        <w:shd w:val="clear" w:color="auto" w:fill="FFFFFF"/>
        <w:spacing w:line="360" w:lineRule="auto"/>
        <w:jc w:val="left"/>
        <w:rPr>
          <w:rFonts w:hint="eastAsia" w:ascii="宋体" w:hAnsi="宋体" w:cs="宋体"/>
          <w:color w:val="auto"/>
          <w:szCs w:val="21"/>
          <w:highlight w:val="none"/>
          <w:u w:val="none"/>
        </w:rPr>
      </w:pPr>
      <w:r>
        <w:rPr>
          <w:rFonts w:hint="eastAsia" w:ascii="宋体" w:hAnsi="宋体" w:cs="宋体"/>
          <w:color w:val="auto"/>
          <w:szCs w:val="21"/>
          <w:highlight w:val="none"/>
          <w:u w:val="none"/>
        </w:rPr>
        <w:t>　　（三）为安置的每位残疾人按月足额缴纳了基本养老保险、基本医疗保险、失业保险、工伤保险和生育保险等社会保险费；</w:t>
      </w:r>
    </w:p>
    <w:p w14:paraId="756B398A">
      <w:pPr>
        <w:shd w:val="clear" w:color="auto" w:fill="FFFFFF"/>
        <w:spacing w:line="360" w:lineRule="auto"/>
        <w:jc w:val="left"/>
        <w:rPr>
          <w:rFonts w:hint="eastAsia" w:ascii="宋体" w:hAnsi="宋体" w:cs="宋体"/>
          <w:color w:val="auto"/>
          <w:szCs w:val="21"/>
          <w:highlight w:val="none"/>
          <w:u w:val="none"/>
        </w:rPr>
      </w:pPr>
      <w:r>
        <w:rPr>
          <w:rFonts w:hint="eastAsia" w:ascii="宋体" w:hAnsi="宋体" w:cs="宋体"/>
          <w:color w:val="auto"/>
          <w:szCs w:val="21"/>
          <w:highlight w:val="none"/>
          <w:u w:val="none"/>
        </w:rPr>
        <w:t>　　（四）通过银行等金融机构向安置的每位残疾人，按月支付了不低于单位所在区县适用的经省级人民政府批准的月最低工资标准的工资；</w:t>
      </w:r>
    </w:p>
    <w:p w14:paraId="2D8B5ACB">
      <w:pPr>
        <w:shd w:val="clear" w:color="auto" w:fill="FFFFFF"/>
        <w:spacing w:line="360" w:lineRule="auto"/>
        <w:jc w:val="left"/>
        <w:rPr>
          <w:rFonts w:hint="eastAsia" w:ascii="宋体" w:hAnsi="宋体" w:cs="宋体"/>
          <w:color w:val="auto"/>
          <w:szCs w:val="21"/>
          <w:highlight w:val="none"/>
          <w:u w:val="none"/>
        </w:rPr>
      </w:pPr>
      <w:r>
        <w:rPr>
          <w:rFonts w:hint="eastAsia" w:ascii="宋体" w:hAnsi="宋体" w:cs="宋体"/>
          <w:color w:val="auto"/>
          <w:szCs w:val="21"/>
          <w:highlight w:val="none"/>
          <w:u w:val="none"/>
        </w:rPr>
        <w:t>　　（五）提供本单位制造的货物、承担的工程或者服务（以下简称产品），或者提供其他残疾人福利性单位制造的货物（不包括使用非残疾人福利性单位注册商标的货物）。</w:t>
      </w:r>
    </w:p>
    <w:p w14:paraId="5626FABB">
      <w:pPr>
        <w:shd w:val="clear" w:color="auto" w:fill="FFFFFF"/>
        <w:spacing w:line="360" w:lineRule="auto"/>
        <w:ind w:firstLine="480"/>
        <w:jc w:val="left"/>
        <w:rPr>
          <w:rFonts w:hint="eastAsia" w:ascii="宋体" w:hAnsi="宋体" w:cs="宋体"/>
          <w:color w:val="auto"/>
          <w:szCs w:val="21"/>
          <w:highlight w:val="none"/>
          <w:u w:val="none"/>
        </w:rPr>
      </w:pPr>
      <w:r>
        <w:rPr>
          <w:rFonts w:hint="eastAsia" w:ascii="宋体" w:hAnsi="宋体" w:cs="宋体"/>
          <w:color w:val="auto"/>
          <w:szCs w:val="21"/>
          <w:highlight w:val="none"/>
          <w:u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306DC1BC">
      <w:pPr>
        <w:spacing w:line="360" w:lineRule="auto"/>
        <w:ind w:firstLine="211"/>
        <w:jc w:val="center"/>
        <w:rPr>
          <w:rFonts w:hint="eastAsia" w:ascii="宋体" w:hAnsi="宋体" w:cs="宋体"/>
          <w:b/>
          <w:bCs/>
          <w:color w:val="auto"/>
          <w:szCs w:val="21"/>
          <w:highlight w:val="none"/>
          <w:u w:val="none"/>
        </w:rPr>
      </w:pPr>
      <w:r>
        <w:rPr>
          <w:rFonts w:hint="eastAsia" w:ascii="宋体" w:hAnsi="宋体" w:cs="宋体"/>
          <w:b/>
          <w:bCs/>
          <w:color w:val="auto"/>
          <w:szCs w:val="21"/>
          <w:highlight w:val="none"/>
          <w:u w:val="none"/>
        </w:rPr>
        <w:t>7.监狱企业证明函（如有）</w:t>
      </w:r>
    </w:p>
    <w:p w14:paraId="7DAE0F0D">
      <w:pPr>
        <w:spacing w:line="360" w:lineRule="auto"/>
        <w:jc w:val="center"/>
        <w:rPr>
          <w:rFonts w:hint="eastAsia" w:ascii="宋体" w:hAnsi="宋体"/>
          <w:color w:val="auto"/>
          <w:szCs w:val="21"/>
          <w:highlight w:val="none"/>
          <w:u w:val="none"/>
        </w:rPr>
      </w:pPr>
      <w:r>
        <w:rPr>
          <w:rFonts w:hint="eastAsia" w:ascii="宋体" w:hAnsi="宋体" w:cs="宋体"/>
          <w:b/>
          <w:bCs/>
          <w:color w:val="auto"/>
          <w:szCs w:val="21"/>
          <w:highlight w:val="none"/>
          <w:u w:val="none"/>
        </w:rPr>
        <w:br w:type="page" w:clear="all"/>
      </w:r>
      <w:r>
        <w:rPr>
          <w:rFonts w:hint="eastAsia" w:ascii="宋体" w:hAnsi="宋体" w:cs="宋体"/>
          <w:b/>
          <w:bCs/>
          <w:color w:val="auto"/>
          <w:szCs w:val="21"/>
          <w:highlight w:val="none"/>
          <w:u w:val="none"/>
        </w:rPr>
        <w:t>8.磋商响应函</w:t>
      </w:r>
    </w:p>
    <w:p w14:paraId="19846A0C">
      <w:pPr>
        <w:pStyle w:val="21"/>
        <w:adjustRightInd/>
        <w:ind w:firstLine="420"/>
        <w:rPr>
          <w:rFonts w:hint="eastAsia" w:ascii="宋体" w:hAnsi="宋体"/>
          <w:b/>
          <w:bCs/>
          <w:color w:val="auto"/>
          <w:sz w:val="21"/>
          <w:szCs w:val="21"/>
          <w:highlight w:val="none"/>
          <w:u w:val="none"/>
        </w:rPr>
      </w:pPr>
      <w:r>
        <w:rPr>
          <w:rFonts w:hint="eastAsia" w:ascii="宋体" w:hAnsi="宋体"/>
          <w:color w:val="auto"/>
          <w:sz w:val="21"/>
          <w:szCs w:val="21"/>
          <w:highlight w:val="none"/>
          <w:u w:val="none"/>
        </w:rPr>
        <w:t>致：</w:t>
      </w:r>
      <w:r>
        <w:rPr>
          <w:rFonts w:hint="eastAsia" w:ascii="宋体" w:hAnsi="宋体"/>
          <w:b/>
          <w:bCs/>
          <w:color w:val="auto"/>
          <w:sz w:val="21"/>
          <w:szCs w:val="21"/>
          <w:highlight w:val="none"/>
          <w:u w:val="single"/>
        </w:rPr>
        <w:t xml:space="preserve">      （采购人名称）  </w:t>
      </w:r>
      <w:r>
        <w:rPr>
          <w:rFonts w:hint="eastAsia" w:ascii="宋体" w:hAnsi="宋体"/>
          <w:b/>
          <w:bCs/>
          <w:color w:val="auto"/>
          <w:sz w:val="21"/>
          <w:szCs w:val="21"/>
          <w:highlight w:val="none"/>
          <w:u w:val="none"/>
        </w:rPr>
        <w:t xml:space="preserve"> </w:t>
      </w:r>
    </w:p>
    <w:p w14:paraId="07E51FCF">
      <w:pPr>
        <w:pStyle w:val="29"/>
        <w:spacing w:line="360" w:lineRule="auto"/>
        <w:ind w:firstLine="420" w:firstLineChars="200"/>
        <w:rPr>
          <w:rFonts w:hint="eastAsia" w:ascii="宋体" w:hAnsi="宋体"/>
          <w:color w:val="auto"/>
          <w:sz w:val="21"/>
          <w:szCs w:val="21"/>
          <w:highlight w:val="none"/>
          <w:u w:val="none"/>
        </w:rPr>
      </w:pPr>
      <w:r>
        <w:rPr>
          <w:rFonts w:hint="eastAsia" w:ascii="宋体" w:hAnsi="宋体"/>
          <w:color w:val="auto"/>
          <w:sz w:val="21"/>
          <w:szCs w:val="21"/>
          <w:highlight w:val="none"/>
          <w:u w:val="none"/>
        </w:rPr>
        <w:t>根据贵方的</w:t>
      </w:r>
      <w:r>
        <w:rPr>
          <w:rFonts w:hint="eastAsia" w:ascii="宋体" w:hAnsi="宋体" w:eastAsia="宋体" w:cs="Times New Roman"/>
          <w:b/>
          <w:bCs/>
          <w:color w:val="auto"/>
          <w:sz w:val="21"/>
          <w:szCs w:val="21"/>
          <w:highlight w:val="none"/>
          <w:u w:val="single"/>
          <w:lang w:val="en-US" w:eastAsia="zh-CN" w:bidi="ar-SA"/>
        </w:rPr>
        <w:t xml:space="preserve">       号</w:t>
      </w:r>
      <w:r>
        <w:rPr>
          <w:rFonts w:hint="eastAsia" w:ascii="宋体" w:hAnsi="宋体"/>
          <w:color w:val="auto"/>
          <w:sz w:val="21"/>
          <w:szCs w:val="21"/>
          <w:highlight w:val="none"/>
          <w:u w:val="none"/>
        </w:rPr>
        <w:t>磋商文件，正式授权下述签字人</w:t>
      </w:r>
      <w:r>
        <w:rPr>
          <w:rFonts w:hint="eastAsia" w:ascii="宋体" w:hAnsi="宋体" w:eastAsia="宋体" w:cs="Times New Roman"/>
          <w:b/>
          <w:bCs/>
          <w:color w:val="auto"/>
          <w:sz w:val="21"/>
          <w:szCs w:val="21"/>
          <w:highlight w:val="none"/>
          <w:u w:val="single"/>
          <w:lang w:val="en-US" w:eastAsia="zh-CN" w:bidi="ar-SA"/>
        </w:rPr>
        <w:t xml:space="preserve">       （姓名和职务）</w:t>
      </w:r>
      <w:r>
        <w:rPr>
          <w:rFonts w:hint="eastAsia" w:ascii="宋体" w:hAnsi="宋体"/>
          <w:color w:val="auto"/>
          <w:sz w:val="21"/>
          <w:szCs w:val="21"/>
          <w:highlight w:val="none"/>
          <w:u w:val="none"/>
        </w:rPr>
        <w:t>代表我方</w:t>
      </w:r>
      <w:r>
        <w:rPr>
          <w:rFonts w:hint="eastAsia" w:ascii="宋体" w:hAnsi="宋体"/>
          <w:color w:val="auto"/>
          <w:sz w:val="21"/>
          <w:szCs w:val="21"/>
          <w:highlight w:val="none"/>
          <w:u w:val="single"/>
        </w:rPr>
        <w:t xml:space="preserve">                   （供应商的名称）</w:t>
      </w:r>
      <w:r>
        <w:rPr>
          <w:rFonts w:hint="eastAsia" w:ascii="宋体" w:hAnsi="宋体"/>
          <w:color w:val="auto"/>
          <w:sz w:val="21"/>
          <w:szCs w:val="21"/>
          <w:highlight w:val="none"/>
          <w:u w:val="none"/>
        </w:rPr>
        <w:t>，全权处理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none"/>
        </w:rPr>
        <w:t>磋商采购的有关事宜。</w:t>
      </w:r>
    </w:p>
    <w:p w14:paraId="7C020CAE">
      <w:pPr>
        <w:pStyle w:val="29"/>
        <w:spacing w:line="360" w:lineRule="auto"/>
        <w:ind w:firstLine="420" w:firstLineChars="200"/>
        <w:rPr>
          <w:rFonts w:hint="eastAsia" w:ascii="宋体" w:hAnsi="宋体"/>
          <w:color w:val="auto"/>
          <w:sz w:val="21"/>
          <w:szCs w:val="21"/>
          <w:highlight w:val="none"/>
          <w:u w:val="none"/>
        </w:rPr>
      </w:pPr>
      <w:r>
        <w:rPr>
          <w:rFonts w:hint="eastAsia" w:ascii="宋体" w:hAnsi="宋体"/>
          <w:color w:val="auto"/>
          <w:sz w:val="21"/>
          <w:szCs w:val="21"/>
          <w:highlight w:val="none"/>
          <w:u w:val="none"/>
        </w:rPr>
        <w:t>据此函，</w:t>
      </w:r>
      <w:r>
        <w:rPr>
          <w:rFonts w:hint="eastAsia" w:ascii="宋体" w:hAnsi="宋体"/>
          <w:color w:val="auto"/>
          <w:sz w:val="21"/>
          <w:szCs w:val="21"/>
          <w:highlight w:val="none"/>
          <w:u w:val="single"/>
        </w:rPr>
        <w:t xml:space="preserve">         （签字人）</w:t>
      </w:r>
      <w:r>
        <w:rPr>
          <w:rFonts w:hint="eastAsia" w:ascii="宋体" w:hAnsi="宋体"/>
          <w:color w:val="auto"/>
          <w:sz w:val="21"/>
          <w:szCs w:val="21"/>
          <w:highlight w:val="none"/>
          <w:u w:val="none"/>
        </w:rPr>
        <w:t>兹宣布同意如下：</w:t>
      </w:r>
    </w:p>
    <w:p w14:paraId="75AD7029">
      <w:pPr>
        <w:pStyle w:val="29"/>
        <w:spacing w:line="360" w:lineRule="auto"/>
        <w:ind w:firstLine="420" w:firstLineChars="200"/>
        <w:rPr>
          <w:rFonts w:hint="eastAsia" w:ascii="宋体" w:hAnsi="宋体"/>
          <w:color w:val="auto"/>
          <w:sz w:val="21"/>
          <w:szCs w:val="21"/>
          <w:highlight w:val="none"/>
          <w:u w:val="none"/>
        </w:rPr>
      </w:pPr>
      <w:r>
        <w:rPr>
          <w:rFonts w:hint="eastAsia" w:ascii="宋体" w:hAnsi="宋体"/>
          <w:color w:val="auto"/>
          <w:sz w:val="21"/>
          <w:szCs w:val="21"/>
          <w:highlight w:val="none"/>
          <w:u w:val="none"/>
        </w:rPr>
        <w:t>1.按照磋商文件规定的各项要求，向采购人提供所需服务。</w:t>
      </w:r>
    </w:p>
    <w:p w14:paraId="19B4C5F7">
      <w:pPr>
        <w:pStyle w:val="29"/>
        <w:spacing w:line="360" w:lineRule="auto"/>
        <w:ind w:firstLine="420" w:firstLineChars="200"/>
        <w:rPr>
          <w:rFonts w:hint="eastAsia" w:ascii="宋体" w:hAnsi="宋体"/>
          <w:color w:val="auto"/>
          <w:sz w:val="21"/>
          <w:szCs w:val="21"/>
          <w:highlight w:val="none"/>
          <w:u w:val="none"/>
        </w:rPr>
      </w:pPr>
      <w:r>
        <w:rPr>
          <w:rFonts w:hint="eastAsia" w:ascii="宋体" w:hAnsi="宋体"/>
          <w:color w:val="auto"/>
          <w:sz w:val="21"/>
          <w:szCs w:val="21"/>
          <w:highlight w:val="none"/>
          <w:u w:val="none"/>
        </w:rPr>
        <w:t>2.我们已详细审核全部磋商文件及其有效补充文件，我们知道必须放弃提出含糊不清或误解问题的权利。</w:t>
      </w:r>
    </w:p>
    <w:p w14:paraId="471B4BF4">
      <w:pPr>
        <w:pStyle w:val="29"/>
        <w:spacing w:line="360" w:lineRule="auto"/>
        <w:ind w:firstLine="420" w:firstLineChars="200"/>
        <w:rPr>
          <w:rFonts w:hint="eastAsia" w:ascii="宋体" w:hAnsi="宋体"/>
          <w:color w:val="auto"/>
          <w:sz w:val="21"/>
          <w:szCs w:val="21"/>
          <w:highlight w:val="none"/>
          <w:u w:val="none"/>
        </w:rPr>
      </w:pPr>
      <w:r>
        <w:rPr>
          <w:rFonts w:hint="eastAsia" w:ascii="宋体" w:hAnsi="宋体"/>
          <w:color w:val="auto"/>
          <w:sz w:val="21"/>
          <w:szCs w:val="21"/>
          <w:highlight w:val="none"/>
          <w:u w:val="none"/>
        </w:rPr>
        <w:t>3.我们同意从规定的响应文件接收截止时间起遵循本响应文件，并在规定的磋商有效期届满之前均具有约束力。</w:t>
      </w:r>
    </w:p>
    <w:p w14:paraId="7D3DA475">
      <w:pPr>
        <w:pStyle w:val="29"/>
        <w:spacing w:line="360" w:lineRule="auto"/>
        <w:ind w:firstLine="420" w:firstLineChars="200"/>
        <w:rPr>
          <w:rFonts w:hint="eastAsia" w:ascii="宋体" w:hAnsi="宋体"/>
          <w:color w:val="auto"/>
          <w:sz w:val="21"/>
          <w:szCs w:val="21"/>
          <w:highlight w:val="none"/>
          <w:u w:val="none"/>
        </w:rPr>
      </w:pPr>
      <w:r>
        <w:rPr>
          <w:rFonts w:hint="eastAsia" w:ascii="宋体" w:hAnsi="宋体"/>
          <w:color w:val="auto"/>
          <w:sz w:val="21"/>
          <w:szCs w:val="21"/>
          <w:highlight w:val="none"/>
          <w:u w:val="none"/>
        </w:rPr>
        <w:t>4.如果在响应文件接收截止时间后规定的磋商有效期内撤回响应文件或成交后拒绝签订合同，我们自愿接受政府采购监管机构的处理。</w:t>
      </w:r>
    </w:p>
    <w:p w14:paraId="40DB0E05">
      <w:pPr>
        <w:pStyle w:val="29"/>
        <w:spacing w:line="360" w:lineRule="auto"/>
        <w:ind w:firstLine="420" w:firstLineChars="200"/>
        <w:rPr>
          <w:rFonts w:hint="eastAsia" w:ascii="宋体" w:hAnsi="宋体"/>
          <w:color w:val="auto"/>
          <w:sz w:val="21"/>
          <w:szCs w:val="21"/>
          <w:highlight w:val="none"/>
          <w:u w:val="none"/>
        </w:rPr>
      </w:pPr>
      <w:r>
        <w:rPr>
          <w:rFonts w:hint="eastAsia" w:ascii="宋体" w:hAnsi="宋体"/>
          <w:color w:val="auto"/>
          <w:sz w:val="21"/>
          <w:szCs w:val="21"/>
          <w:highlight w:val="none"/>
          <w:u w:val="none"/>
        </w:rPr>
        <w:t>5.同意向贵方提供贵方可能另外要求的与磋商采购有关的任何证据或资料，并保证我方已提供和将要提供的文件是真实的、准确的。</w:t>
      </w:r>
    </w:p>
    <w:p w14:paraId="2EB5B6DA">
      <w:pPr>
        <w:pStyle w:val="29"/>
        <w:spacing w:line="360" w:lineRule="auto"/>
        <w:ind w:firstLine="420" w:firstLineChars="200"/>
        <w:rPr>
          <w:rFonts w:hint="eastAsia" w:ascii="宋体" w:hAnsi="宋体"/>
          <w:color w:val="auto"/>
          <w:sz w:val="21"/>
          <w:szCs w:val="21"/>
          <w:highlight w:val="none"/>
          <w:u w:val="none"/>
        </w:rPr>
      </w:pPr>
      <w:r>
        <w:rPr>
          <w:rFonts w:hint="eastAsia" w:ascii="宋体" w:hAnsi="宋体"/>
          <w:color w:val="auto"/>
          <w:sz w:val="21"/>
          <w:szCs w:val="21"/>
          <w:highlight w:val="none"/>
          <w:u w:val="none"/>
        </w:rPr>
        <w:t>6.一旦我方成交，我方将根据磋商文件的规定，严格履行合同的责任和义务，并保证在磋商文件规定的时间完成项目，交付采购人验收、使用。</w:t>
      </w:r>
    </w:p>
    <w:p w14:paraId="0C34854B">
      <w:pPr>
        <w:pStyle w:val="29"/>
        <w:spacing w:line="360" w:lineRule="auto"/>
        <w:ind w:firstLine="420" w:firstLineChars="200"/>
        <w:rPr>
          <w:rFonts w:hint="eastAsia" w:ascii="宋体" w:hAnsi="宋体"/>
          <w:color w:val="auto"/>
          <w:sz w:val="21"/>
          <w:szCs w:val="21"/>
          <w:highlight w:val="none"/>
          <w:u w:val="none"/>
        </w:rPr>
      </w:pPr>
      <w:r>
        <w:rPr>
          <w:rFonts w:hint="eastAsia" w:ascii="宋体" w:hAnsi="宋体"/>
          <w:color w:val="auto"/>
          <w:sz w:val="21"/>
          <w:szCs w:val="21"/>
          <w:highlight w:val="none"/>
          <w:u w:val="none"/>
        </w:rPr>
        <w:t>7.遵守磋商文件中要求的收费项目和标准。</w:t>
      </w:r>
    </w:p>
    <w:p w14:paraId="55EA3548">
      <w:pPr>
        <w:pStyle w:val="29"/>
        <w:spacing w:line="360" w:lineRule="auto"/>
        <w:ind w:firstLine="420" w:firstLineChars="200"/>
        <w:rPr>
          <w:rFonts w:hint="eastAsia" w:ascii="宋体" w:hAnsi="宋体"/>
          <w:color w:val="auto"/>
          <w:sz w:val="21"/>
          <w:szCs w:val="21"/>
          <w:highlight w:val="none"/>
          <w:u w:val="none"/>
        </w:rPr>
      </w:pPr>
      <w:r>
        <w:rPr>
          <w:rFonts w:hint="eastAsia" w:ascii="宋体" w:hAnsi="宋体"/>
          <w:color w:val="auto"/>
          <w:sz w:val="21"/>
          <w:szCs w:val="21"/>
          <w:highlight w:val="none"/>
          <w:u w:val="none"/>
        </w:rPr>
        <w:t>8.与本磋商采购有关的正式通讯地址为：</w:t>
      </w:r>
    </w:p>
    <w:p w14:paraId="150AFD5A">
      <w:pPr>
        <w:pStyle w:val="29"/>
        <w:spacing w:line="360" w:lineRule="auto"/>
        <w:ind w:firstLine="420" w:firstLineChars="200"/>
        <w:rPr>
          <w:rFonts w:hint="eastAsia" w:ascii="宋体" w:hAnsi="宋体"/>
          <w:color w:val="auto"/>
          <w:sz w:val="21"/>
          <w:szCs w:val="21"/>
          <w:highlight w:val="none"/>
          <w:u w:val="none"/>
        </w:rPr>
      </w:pPr>
      <w:r>
        <w:rPr>
          <w:rFonts w:hint="eastAsia" w:ascii="宋体" w:hAnsi="宋体"/>
          <w:color w:val="auto"/>
          <w:sz w:val="21"/>
          <w:szCs w:val="21"/>
          <w:highlight w:val="none"/>
          <w:u w:val="none"/>
        </w:rPr>
        <w:t>地 址：                         邮 编：</w:t>
      </w:r>
    </w:p>
    <w:p w14:paraId="61A61247">
      <w:pPr>
        <w:pStyle w:val="29"/>
        <w:spacing w:line="360" w:lineRule="auto"/>
        <w:ind w:firstLine="420" w:firstLineChars="200"/>
        <w:rPr>
          <w:rFonts w:hint="eastAsia" w:ascii="宋体" w:hAnsi="宋体"/>
          <w:color w:val="auto"/>
          <w:sz w:val="21"/>
          <w:szCs w:val="21"/>
          <w:highlight w:val="none"/>
          <w:u w:val="none"/>
        </w:rPr>
      </w:pPr>
      <w:r>
        <w:rPr>
          <w:rFonts w:hint="eastAsia" w:ascii="宋体" w:hAnsi="宋体"/>
          <w:color w:val="auto"/>
          <w:sz w:val="21"/>
          <w:szCs w:val="21"/>
          <w:highlight w:val="none"/>
          <w:u w:val="none"/>
        </w:rPr>
        <w:t>电 话：                         传 真：</w:t>
      </w:r>
    </w:p>
    <w:p w14:paraId="3B180A8E">
      <w:pPr>
        <w:pStyle w:val="29"/>
        <w:spacing w:line="360" w:lineRule="auto"/>
        <w:ind w:firstLine="420" w:firstLineChars="200"/>
        <w:rPr>
          <w:rFonts w:hint="eastAsia" w:ascii="宋体" w:hAnsi="宋体"/>
          <w:color w:val="auto"/>
          <w:sz w:val="21"/>
          <w:szCs w:val="21"/>
          <w:highlight w:val="none"/>
          <w:u w:val="none"/>
        </w:rPr>
      </w:pPr>
      <w:r>
        <w:rPr>
          <w:rFonts w:hint="eastAsia" w:ascii="宋体" w:hAnsi="宋体"/>
          <w:color w:val="auto"/>
          <w:sz w:val="21"/>
          <w:szCs w:val="21"/>
          <w:highlight w:val="none"/>
          <w:u w:val="none"/>
        </w:rPr>
        <w:t xml:space="preserve">供应商开户行：                  账 户： </w:t>
      </w:r>
    </w:p>
    <w:p w14:paraId="2459BE7B">
      <w:pPr>
        <w:pStyle w:val="29"/>
        <w:spacing w:line="360" w:lineRule="auto"/>
        <w:ind w:firstLine="420" w:firstLineChars="200"/>
        <w:rPr>
          <w:rFonts w:hint="eastAsia" w:ascii="宋体" w:hAnsi="宋体"/>
          <w:color w:val="auto"/>
          <w:sz w:val="21"/>
          <w:szCs w:val="21"/>
          <w:highlight w:val="none"/>
          <w:u w:val="none"/>
        </w:rPr>
      </w:pPr>
      <w:r>
        <w:rPr>
          <w:rFonts w:hint="eastAsia" w:ascii="宋体" w:hAnsi="宋体"/>
          <w:color w:val="auto"/>
          <w:sz w:val="21"/>
          <w:szCs w:val="21"/>
          <w:highlight w:val="none"/>
          <w:u w:val="none"/>
        </w:rPr>
        <w:t>法定代表人或授权代表姓名（签字）：     联系电话：</w:t>
      </w:r>
    </w:p>
    <w:p w14:paraId="21ED46CF">
      <w:pPr>
        <w:pStyle w:val="29"/>
        <w:spacing w:line="360" w:lineRule="auto"/>
        <w:ind w:firstLine="420" w:firstLineChars="200"/>
        <w:rPr>
          <w:rFonts w:hint="eastAsia" w:ascii="宋体" w:hAnsi="宋体"/>
          <w:color w:val="auto"/>
          <w:sz w:val="21"/>
          <w:szCs w:val="21"/>
          <w:highlight w:val="none"/>
          <w:u w:val="none"/>
        </w:rPr>
      </w:pPr>
      <w:r>
        <w:rPr>
          <w:rFonts w:hint="eastAsia" w:ascii="宋体" w:hAnsi="宋体"/>
          <w:color w:val="auto"/>
          <w:sz w:val="21"/>
          <w:szCs w:val="21"/>
          <w:highlight w:val="none"/>
          <w:u w:val="none"/>
        </w:rPr>
        <w:t xml:space="preserve">供应商名称（公章）：            </w:t>
      </w:r>
    </w:p>
    <w:p w14:paraId="26C229AD">
      <w:pPr>
        <w:pStyle w:val="29"/>
        <w:spacing w:line="360" w:lineRule="auto"/>
        <w:ind w:firstLine="420" w:firstLineChars="200"/>
        <w:rPr>
          <w:rFonts w:hint="eastAsia" w:ascii="宋体" w:hAnsi="宋体"/>
          <w:color w:val="auto"/>
          <w:sz w:val="21"/>
          <w:szCs w:val="21"/>
          <w:highlight w:val="none"/>
          <w:u w:val="none"/>
        </w:rPr>
      </w:pPr>
      <w:r>
        <w:rPr>
          <w:rFonts w:hint="eastAsia" w:ascii="宋体" w:hAnsi="宋体"/>
          <w:color w:val="auto"/>
          <w:sz w:val="21"/>
          <w:szCs w:val="21"/>
          <w:highlight w:val="none"/>
          <w:u w:val="none"/>
        </w:rPr>
        <w:t>日 期：      年   月   日</w:t>
      </w:r>
    </w:p>
    <w:p w14:paraId="01C5875A">
      <w:pPr>
        <w:spacing w:line="360" w:lineRule="auto"/>
        <w:ind w:firstLine="420" w:firstLineChars="200"/>
        <w:rPr>
          <w:rFonts w:hint="eastAsia" w:ascii="宋体" w:hAnsi="宋体"/>
          <w:color w:val="auto"/>
          <w:szCs w:val="21"/>
          <w:highlight w:val="none"/>
          <w:u w:val="none"/>
        </w:rPr>
      </w:pPr>
    </w:p>
    <w:p w14:paraId="11E62F56">
      <w:pPr>
        <w:spacing w:line="360" w:lineRule="auto"/>
        <w:ind w:firstLine="420" w:firstLineChars="200"/>
        <w:jc w:val="left"/>
        <w:rPr>
          <w:rFonts w:hint="eastAsia" w:ascii="宋体" w:hAnsi="宋体"/>
          <w:color w:val="auto"/>
          <w:szCs w:val="21"/>
          <w:highlight w:val="none"/>
          <w:u w:val="none"/>
        </w:rPr>
      </w:pPr>
    </w:p>
    <w:p w14:paraId="46B2AD18">
      <w:pPr>
        <w:spacing w:line="360" w:lineRule="auto"/>
        <w:ind w:firstLine="420" w:firstLineChars="200"/>
        <w:jc w:val="left"/>
        <w:rPr>
          <w:rFonts w:hint="eastAsia" w:ascii="宋体" w:hAnsi="宋体"/>
          <w:color w:val="auto"/>
          <w:szCs w:val="21"/>
          <w:highlight w:val="none"/>
          <w:u w:val="none"/>
        </w:rPr>
      </w:pPr>
      <w:r>
        <w:rPr>
          <w:rFonts w:ascii="宋体" w:hAnsi="宋体"/>
          <w:color w:val="auto"/>
          <w:szCs w:val="21"/>
          <w:highlight w:val="none"/>
          <w:u w:val="none"/>
        </w:rPr>
        <w:br w:type="page"/>
      </w:r>
    </w:p>
    <w:p w14:paraId="4FA73AB3">
      <w:pPr>
        <w:spacing w:line="360" w:lineRule="auto"/>
        <w:jc w:val="center"/>
        <w:rPr>
          <w:rFonts w:hint="eastAsia" w:ascii="宋体" w:hAnsi="宋体" w:cs="宋体"/>
          <w:b/>
          <w:color w:val="auto"/>
          <w:szCs w:val="21"/>
          <w:highlight w:val="none"/>
          <w:u w:val="none"/>
        </w:rPr>
      </w:pPr>
      <w:r>
        <w:rPr>
          <w:rFonts w:hint="eastAsia" w:ascii="宋体" w:hAnsi="宋体" w:cs="宋体"/>
          <w:b/>
          <w:color w:val="auto"/>
          <w:szCs w:val="21"/>
          <w:highlight w:val="none"/>
          <w:u w:val="none"/>
        </w:rPr>
        <w:t>9.技术条款响应及偏离表</w:t>
      </w:r>
    </w:p>
    <w:p w14:paraId="5D83BBB8">
      <w:pPr>
        <w:spacing w:line="360" w:lineRule="auto"/>
        <w:jc w:val="center"/>
        <w:rPr>
          <w:rFonts w:hint="eastAsia" w:ascii="宋体" w:hAnsi="宋体" w:cs="宋体"/>
          <w:color w:val="auto"/>
          <w:szCs w:val="21"/>
          <w:highlight w:val="none"/>
          <w:u w:val="none"/>
        </w:rPr>
      </w:pPr>
      <w:r>
        <w:rPr>
          <w:rFonts w:hint="eastAsia" w:ascii="宋体" w:hAnsi="宋体" w:cs="宋体"/>
          <w:color w:val="auto"/>
          <w:szCs w:val="21"/>
          <w:highlight w:val="none"/>
          <w:u w:val="none"/>
        </w:rPr>
        <w:t>（由响应人据实提交，表格不够自行添加）</w:t>
      </w:r>
    </w:p>
    <w:tbl>
      <w:tblPr>
        <w:tblStyle w:val="16"/>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959"/>
        <w:gridCol w:w="1267"/>
        <w:gridCol w:w="2392"/>
        <w:gridCol w:w="2720"/>
        <w:gridCol w:w="1417"/>
      </w:tblGrid>
      <w:tr w14:paraId="38B3857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94" w:hRule="atLeast"/>
          <w:jc w:val="center"/>
        </w:trPr>
        <w:tc>
          <w:tcPr>
            <w:tcW w:w="959" w:type="dxa"/>
            <w:tcBorders>
              <w:top w:val="single" w:color="000000" w:sz="12" w:space="0"/>
              <w:left w:val="single" w:color="000000" w:sz="12" w:space="0"/>
              <w:bottom w:val="single" w:color="000000" w:sz="6" w:space="0"/>
              <w:right w:val="single" w:color="000000" w:sz="6" w:space="0"/>
            </w:tcBorders>
            <w:vAlign w:val="center"/>
          </w:tcPr>
          <w:p w14:paraId="21C561C1">
            <w:pPr>
              <w:spacing w:line="360" w:lineRule="auto"/>
              <w:jc w:val="center"/>
              <w:rPr>
                <w:rFonts w:hint="eastAsia" w:ascii="宋体" w:hAnsi="宋体" w:cs="宋体"/>
                <w:color w:val="auto"/>
                <w:szCs w:val="21"/>
                <w:highlight w:val="none"/>
                <w:u w:val="none"/>
              </w:rPr>
            </w:pPr>
            <w:r>
              <w:rPr>
                <w:rFonts w:hint="eastAsia" w:ascii="宋体" w:hAnsi="宋体" w:cs="宋体"/>
                <w:color w:val="auto"/>
                <w:szCs w:val="21"/>
                <w:highlight w:val="none"/>
                <w:u w:val="none"/>
              </w:rPr>
              <w:t>序号</w:t>
            </w:r>
          </w:p>
        </w:tc>
        <w:tc>
          <w:tcPr>
            <w:tcW w:w="1267" w:type="dxa"/>
            <w:tcBorders>
              <w:top w:val="single" w:color="000000" w:sz="12" w:space="0"/>
              <w:left w:val="single" w:color="000000" w:sz="6" w:space="0"/>
              <w:bottom w:val="single" w:color="000000" w:sz="6" w:space="0"/>
              <w:right w:val="single" w:color="000000" w:sz="6" w:space="0"/>
            </w:tcBorders>
            <w:vAlign w:val="center"/>
          </w:tcPr>
          <w:p w14:paraId="2C43EFC6">
            <w:pPr>
              <w:spacing w:line="360" w:lineRule="auto"/>
              <w:jc w:val="center"/>
              <w:rPr>
                <w:rFonts w:hint="eastAsia" w:ascii="宋体" w:hAnsi="宋体" w:cs="宋体"/>
                <w:color w:val="auto"/>
                <w:szCs w:val="21"/>
                <w:highlight w:val="none"/>
                <w:u w:val="none"/>
              </w:rPr>
            </w:pPr>
            <w:r>
              <w:rPr>
                <w:rFonts w:hint="eastAsia" w:ascii="宋体" w:hAnsi="宋体" w:cs="宋体"/>
                <w:color w:val="auto"/>
                <w:szCs w:val="21"/>
                <w:highlight w:val="none"/>
                <w:u w:val="none"/>
              </w:rPr>
              <w:t>项目</w:t>
            </w:r>
          </w:p>
        </w:tc>
        <w:tc>
          <w:tcPr>
            <w:tcW w:w="2392" w:type="dxa"/>
            <w:tcBorders>
              <w:top w:val="single" w:color="000000" w:sz="12" w:space="0"/>
              <w:left w:val="single" w:color="000000" w:sz="6" w:space="0"/>
              <w:bottom w:val="single" w:color="000000" w:sz="6" w:space="0"/>
              <w:right w:val="single" w:color="000000" w:sz="6" w:space="0"/>
            </w:tcBorders>
            <w:vAlign w:val="center"/>
          </w:tcPr>
          <w:p w14:paraId="45523D6B">
            <w:pPr>
              <w:spacing w:line="360" w:lineRule="auto"/>
              <w:ind w:firstLine="480"/>
              <w:jc w:val="center"/>
              <w:rPr>
                <w:rFonts w:hint="eastAsia" w:ascii="宋体" w:hAnsi="宋体" w:cs="宋体"/>
                <w:color w:val="auto"/>
                <w:szCs w:val="21"/>
                <w:highlight w:val="none"/>
                <w:u w:val="none"/>
              </w:rPr>
            </w:pPr>
            <w:r>
              <w:rPr>
                <w:rFonts w:hint="eastAsia" w:ascii="宋体" w:hAnsi="宋体" w:cs="宋体"/>
                <w:color w:val="auto"/>
                <w:szCs w:val="21"/>
                <w:highlight w:val="none"/>
                <w:u w:val="none"/>
              </w:rPr>
              <w:t>磋商文件要求</w:t>
            </w:r>
          </w:p>
        </w:tc>
        <w:tc>
          <w:tcPr>
            <w:tcW w:w="2720" w:type="dxa"/>
            <w:tcBorders>
              <w:top w:val="single" w:color="000000" w:sz="12" w:space="0"/>
              <w:left w:val="single" w:color="000000" w:sz="6" w:space="0"/>
              <w:bottom w:val="single" w:color="000000" w:sz="6" w:space="0"/>
              <w:right w:val="single" w:color="000000" w:sz="6" w:space="0"/>
            </w:tcBorders>
            <w:vAlign w:val="center"/>
          </w:tcPr>
          <w:p w14:paraId="7F0B1E70">
            <w:pPr>
              <w:spacing w:line="360" w:lineRule="auto"/>
              <w:jc w:val="center"/>
              <w:rPr>
                <w:rFonts w:hint="eastAsia" w:ascii="宋体" w:hAnsi="宋体" w:cs="宋体"/>
                <w:color w:val="auto"/>
                <w:szCs w:val="21"/>
                <w:highlight w:val="none"/>
                <w:u w:val="none"/>
              </w:rPr>
            </w:pPr>
            <w:r>
              <w:rPr>
                <w:rFonts w:hint="eastAsia" w:ascii="宋体" w:hAnsi="宋体" w:cs="宋体"/>
                <w:color w:val="auto"/>
                <w:szCs w:val="21"/>
                <w:highlight w:val="none"/>
                <w:u w:val="none"/>
              </w:rPr>
              <w:t>响应文件响应情况</w:t>
            </w:r>
          </w:p>
        </w:tc>
        <w:tc>
          <w:tcPr>
            <w:tcW w:w="1417" w:type="dxa"/>
            <w:tcBorders>
              <w:top w:val="single" w:color="000000" w:sz="12" w:space="0"/>
              <w:left w:val="single" w:color="000000" w:sz="6" w:space="0"/>
              <w:bottom w:val="single" w:color="000000" w:sz="6" w:space="0"/>
              <w:right w:val="single" w:color="000000" w:sz="12" w:space="0"/>
            </w:tcBorders>
            <w:vAlign w:val="center"/>
          </w:tcPr>
          <w:p w14:paraId="689BB675">
            <w:pPr>
              <w:spacing w:line="360" w:lineRule="auto"/>
              <w:jc w:val="center"/>
              <w:rPr>
                <w:rFonts w:hint="eastAsia" w:ascii="宋体" w:hAnsi="宋体" w:cs="宋体"/>
                <w:color w:val="auto"/>
                <w:szCs w:val="21"/>
                <w:highlight w:val="none"/>
                <w:u w:val="none"/>
              </w:rPr>
            </w:pPr>
            <w:r>
              <w:rPr>
                <w:rFonts w:hint="eastAsia" w:ascii="宋体" w:hAnsi="宋体" w:cs="宋体"/>
                <w:color w:val="auto"/>
                <w:szCs w:val="21"/>
                <w:highlight w:val="none"/>
                <w:u w:val="none"/>
              </w:rPr>
              <w:t>偏离说明</w:t>
            </w:r>
          </w:p>
        </w:tc>
      </w:tr>
      <w:tr w14:paraId="0CDFFB3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jc w:val="center"/>
        </w:trPr>
        <w:tc>
          <w:tcPr>
            <w:tcW w:w="959" w:type="dxa"/>
            <w:tcBorders>
              <w:top w:val="single" w:color="000000" w:sz="6" w:space="0"/>
              <w:left w:val="single" w:color="000000" w:sz="12" w:space="0"/>
              <w:bottom w:val="single" w:color="000000" w:sz="6" w:space="0"/>
              <w:right w:val="single" w:color="000000" w:sz="6" w:space="0"/>
            </w:tcBorders>
          </w:tcPr>
          <w:p w14:paraId="5A12F8D8">
            <w:pPr>
              <w:spacing w:line="360" w:lineRule="auto"/>
              <w:jc w:val="center"/>
              <w:rPr>
                <w:rFonts w:hint="eastAsia" w:ascii="宋体" w:hAnsi="宋体" w:cs="宋体"/>
                <w:color w:val="auto"/>
                <w:szCs w:val="21"/>
                <w:highlight w:val="none"/>
                <w:u w:val="none"/>
              </w:rPr>
            </w:pPr>
            <w:r>
              <w:rPr>
                <w:rFonts w:hint="eastAsia" w:ascii="宋体" w:hAnsi="宋体" w:cs="宋体"/>
                <w:color w:val="auto"/>
                <w:szCs w:val="21"/>
                <w:highlight w:val="none"/>
                <w:u w:val="none"/>
              </w:rPr>
              <w:t>1</w:t>
            </w:r>
          </w:p>
        </w:tc>
        <w:tc>
          <w:tcPr>
            <w:tcW w:w="1267" w:type="dxa"/>
            <w:tcBorders>
              <w:top w:val="single" w:color="000000" w:sz="6" w:space="0"/>
              <w:left w:val="single" w:color="000000" w:sz="6" w:space="0"/>
              <w:bottom w:val="single" w:color="000000" w:sz="6" w:space="0"/>
              <w:right w:val="single" w:color="000000" w:sz="6" w:space="0"/>
            </w:tcBorders>
            <w:vAlign w:val="center"/>
          </w:tcPr>
          <w:p w14:paraId="24E16A89">
            <w:pPr>
              <w:spacing w:line="360" w:lineRule="auto"/>
              <w:ind w:firstLine="480"/>
              <w:rPr>
                <w:rFonts w:hint="eastAsia" w:ascii="宋体" w:hAnsi="宋体" w:cs="宋体"/>
                <w:color w:val="auto"/>
                <w:szCs w:val="21"/>
                <w:highlight w:val="none"/>
                <w:u w:val="none"/>
              </w:rPr>
            </w:pPr>
          </w:p>
        </w:tc>
        <w:tc>
          <w:tcPr>
            <w:tcW w:w="2392" w:type="dxa"/>
            <w:tcBorders>
              <w:top w:val="single" w:color="000000" w:sz="6" w:space="0"/>
              <w:left w:val="single" w:color="000000" w:sz="6" w:space="0"/>
              <w:bottom w:val="single" w:color="000000" w:sz="6" w:space="0"/>
              <w:right w:val="single" w:color="000000" w:sz="6" w:space="0"/>
            </w:tcBorders>
            <w:vAlign w:val="center"/>
          </w:tcPr>
          <w:p w14:paraId="76C0CB1B">
            <w:pPr>
              <w:spacing w:line="360" w:lineRule="auto"/>
              <w:ind w:firstLine="480"/>
              <w:rPr>
                <w:rFonts w:hint="eastAsia" w:ascii="宋体" w:hAnsi="宋体" w:cs="宋体"/>
                <w:color w:val="auto"/>
                <w:szCs w:val="21"/>
                <w:highlight w:val="none"/>
                <w:u w:val="none"/>
              </w:rPr>
            </w:pPr>
          </w:p>
        </w:tc>
        <w:tc>
          <w:tcPr>
            <w:tcW w:w="2720" w:type="dxa"/>
            <w:tcBorders>
              <w:top w:val="single" w:color="000000" w:sz="6" w:space="0"/>
              <w:left w:val="single" w:color="000000" w:sz="6" w:space="0"/>
              <w:bottom w:val="single" w:color="000000" w:sz="6" w:space="0"/>
              <w:right w:val="single" w:color="000000" w:sz="6" w:space="0"/>
            </w:tcBorders>
            <w:vAlign w:val="center"/>
          </w:tcPr>
          <w:p w14:paraId="5D3CB3A2">
            <w:pPr>
              <w:spacing w:line="360" w:lineRule="auto"/>
              <w:ind w:firstLine="480"/>
              <w:rPr>
                <w:rFonts w:hint="eastAsia" w:ascii="宋体" w:hAnsi="宋体" w:cs="宋体"/>
                <w:color w:val="auto"/>
                <w:szCs w:val="21"/>
                <w:highlight w:val="none"/>
                <w:u w:val="none"/>
              </w:rPr>
            </w:pPr>
          </w:p>
        </w:tc>
        <w:tc>
          <w:tcPr>
            <w:tcW w:w="1417" w:type="dxa"/>
            <w:tcBorders>
              <w:top w:val="single" w:color="000000" w:sz="6" w:space="0"/>
              <w:left w:val="single" w:color="000000" w:sz="6" w:space="0"/>
              <w:bottom w:val="single" w:color="000000" w:sz="6" w:space="0"/>
              <w:right w:val="single" w:color="000000" w:sz="12" w:space="0"/>
            </w:tcBorders>
          </w:tcPr>
          <w:p w14:paraId="7CC42C2F">
            <w:pPr>
              <w:spacing w:line="360" w:lineRule="auto"/>
              <w:ind w:firstLine="480"/>
              <w:rPr>
                <w:rFonts w:hint="eastAsia" w:ascii="宋体" w:hAnsi="宋体" w:cs="宋体"/>
                <w:color w:val="auto"/>
                <w:szCs w:val="21"/>
                <w:highlight w:val="none"/>
                <w:u w:val="none"/>
              </w:rPr>
            </w:pPr>
          </w:p>
        </w:tc>
      </w:tr>
      <w:tr w14:paraId="78401B1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8" w:hRule="atLeast"/>
          <w:jc w:val="center"/>
        </w:trPr>
        <w:tc>
          <w:tcPr>
            <w:tcW w:w="959" w:type="dxa"/>
            <w:tcBorders>
              <w:top w:val="single" w:color="000000" w:sz="6" w:space="0"/>
              <w:left w:val="single" w:color="000000" w:sz="12" w:space="0"/>
              <w:bottom w:val="single" w:color="000000" w:sz="6" w:space="0"/>
              <w:right w:val="single" w:color="000000" w:sz="6" w:space="0"/>
            </w:tcBorders>
          </w:tcPr>
          <w:p w14:paraId="07B53571">
            <w:pPr>
              <w:spacing w:line="360" w:lineRule="auto"/>
              <w:jc w:val="center"/>
              <w:rPr>
                <w:rFonts w:hint="eastAsia" w:ascii="宋体" w:hAnsi="宋体" w:cs="宋体"/>
                <w:color w:val="auto"/>
                <w:szCs w:val="21"/>
                <w:highlight w:val="none"/>
                <w:u w:val="none"/>
              </w:rPr>
            </w:pPr>
            <w:r>
              <w:rPr>
                <w:rFonts w:hint="eastAsia" w:ascii="宋体" w:hAnsi="宋体" w:cs="宋体"/>
                <w:color w:val="auto"/>
                <w:szCs w:val="21"/>
                <w:highlight w:val="none"/>
                <w:u w:val="none"/>
              </w:rPr>
              <w:t>2</w:t>
            </w:r>
          </w:p>
        </w:tc>
        <w:tc>
          <w:tcPr>
            <w:tcW w:w="1267" w:type="dxa"/>
            <w:tcBorders>
              <w:top w:val="single" w:color="000000" w:sz="6" w:space="0"/>
              <w:left w:val="single" w:color="000000" w:sz="6" w:space="0"/>
              <w:bottom w:val="single" w:color="000000" w:sz="6" w:space="0"/>
              <w:right w:val="single" w:color="000000" w:sz="6" w:space="0"/>
            </w:tcBorders>
            <w:vAlign w:val="center"/>
          </w:tcPr>
          <w:p w14:paraId="4DCFD5F7">
            <w:pPr>
              <w:spacing w:line="360" w:lineRule="auto"/>
              <w:ind w:firstLine="480"/>
              <w:rPr>
                <w:rFonts w:hint="eastAsia" w:ascii="宋体" w:hAnsi="宋体" w:cs="宋体"/>
                <w:color w:val="auto"/>
                <w:szCs w:val="21"/>
                <w:highlight w:val="none"/>
                <w:u w:val="none"/>
              </w:rPr>
            </w:pPr>
          </w:p>
        </w:tc>
        <w:tc>
          <w:tcPr>
            <w:tcW w:w="2392" w:type="dxa"/>
            <w:tcBorders>
              <w:top w:val="single" w:color="000000" w:sz="6" w:space="0"/>
              <w:left w:val="single" w:color="000000" w:sz="6" w:space="0"/>
              <w:bottom w:val="single" w:color="000000" w:sz="6" w:space="0"/>
              <w:right w:val="single" w:color="000000" w:sz="6" w:space="0"/>
            </w:tcBorders>
            <w:vAlign w:val="center"/>
          </w:tcPr>
          <w:p w14:paraId="39503B20">
            <w:pPr>
              <w:spacing w:line="360" w:lineRule="auto"/>
              <w:ind w:firstLine="480"/>
              <w:rPr>
                <w:rFonts w:hint="eastAsia" w:ascii="宋体" w:hAnsi="宋体" w:cs="宋体"/>
                <w:color w:val="auto"/>
                <w:szCs w:val="21"/>
                <w:highlight w:val="none"/>
                <w:u w:val="none"/>
              </w:rPr>
            </w:pPr>
          </w:p>
        </w:tc>
        <w:tc>
          <w:tcPr>
            <w:tcW w:w="2720" w:type="dxa"/>
            <w:tcBorders>
              <w:top w:val="single" w:color="000000" w:sz="6" w:space="0"/>
              <w:left w:val="single" w:color="000000" w:sz="6" w:space="0"/>
              <w:bottom w:val="single" w:color="000000" w:sz="6" w:space="0"/>
              <w:right w:val="single" w:color="000000" w:sz="6" w:space="0"/>
            </w:tcBorders>
            <w:vAlign w:val="center"/>
          </w:tcPr>
          <w:p w14:paraId="55F8FEA9">
            <w:pPr>
              <w:spacing w:line="360" w:lineRule="auto"/>
              <w:ind w:firstLine="480"/>
              <w:rPr>
                <w:rFonts w:hint="eastAsia" w:ascii="宋体" w:hAnsi="宋体" w:cs="宋体"/>
                <w:color w:val="auto"/>
                <w:szCs w:val="21"/>
                <w:highlight w:val="none"/>
                <w:u w:val="none"/>
              </w:rPr>
            </w:pPr>
          </w:p>
        </w:tc>
        <w:tc>
          <w:tcPr>
            <w:tcW w:w="1417" w:type="dxa"/>
            <w:tcBorders>
              <w:top w:val="single" w:color="000000" w:sz="6" w:space="0"/>
              <w:left w:val="single" w:color="000000" w:sz="6" w:space="0"/>
              <w:bottom w:val="single" w:color="000000" w:sz="6" w:space="0"/>
              <w:right w:val="single" w:color="000000" w:sz="12" w:space="0"/>
            </w:tcBorders>
          </w:tcPr>
          <w:p w14:paraId="4C4E7089">
            <w:pPr>
              <w:spacing w:line="360" w:lineRule="auto"/>
              <w:ind w:firstLine="480"/>
              <w:rPr>
                <w:rFonts w:hint="eastAsia" w:ascii="宋体" w:hAnsi="宋体" w:cs="宋体"/>
                <w:color w:val="auto"/>
                <w:szCs w:val="21"/>
                <w:highlight w:val="none"/>
                <w:u w:val="none"/>
              </w:rPr>
            </w:pPr>
          </w:p>
        </w:tc>
      </w:tr>
      <w:tr w14:paraId="045BAB9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0" w:hRule="atLeast"/>
          <w:jc w:val="center"/>
        </w:trPr>
        <w:tc>
          <w:tcPr>
            <w:tcW w:w="959" w:type="dxa"/>
            <w:tcBorders>
              <w:top w:val="single" w:color="000000" w:sz="6" w:space="0"/>
              <w:left w:val="single" w:color="000000" w:sz="12" w:space="0"/>
              <w:bottom w:val="single" w:color="000000" w:sz="6" w:space="0"/>
              <w:right w:val="single" w:color="000000" w:sz="6" w:space="0"/>
            </w:tcBorders>
          </w:tcPr>
          <w:p w14:paraId="4E5D6EEB">
            <w:pPr>
              <w:spacing w:line="360" w:lineRule="auto"/>
              <w:jc w:val="center"/>
              <w:rPr>
                <w:rFonts w:hint="eastAsia" w:ascii="宋体" w:hAnsi="宋体" w:cs="宋体"/>
                <w:color w:val="auto"/>
                <w:szCs w:val="21"/>
                <w:highlight w:val="none"/>
                <w:u w:val="none"/>
              </w:rPr>
            </w:pPr>
            <w:r>
              <w:rPr>
                <w:rFonts w:hint="eastAsia" w:ascii="宋体" w:hAnsi="宋体" w:cs="宋体"/>
                <w:color w:val="auto"/>
                <w:szCs w:val="21"/>
                <w:highlight w:val="none"/>
                <w:u w:val="none"/>
              </w:rPr>
              <w:t>3</w:t>
            </w:r>
          </w:p>
        </w:tc>
        <w:tc>
          <w:tcPr>
            <w:tcW w:w="1267" w:type="dxa"/>
            <w:tcBorders>
              <w:top w:val="single" w:color="000000" w:sz="6" w:space="0"/>
              <w:left w:val="single" w:color="000000" w:sz="6" w:space="0"/>
              <w:bottom w:val="single" w:color="000000" w:sz="6" w:space="0"/>
              <w:right w:val="single" w:color="000000" w:sz="6" w:space="0"/>
            </w:tcBorders>
            <w:vAlign w:val="center"/>
          </w:tcPr>
          <w:p w14:paraId="7175148B">
            <w:pPr>
              <w:spacing w:line="360" w:lineRule="auto"/>
              <w:ind w:firstLine="480"/>
              <w:rPr>
                <w:rFonts w:hint="eastAsia" w:ascii="宋体" w:hAnsi="宋体" w:cs="宋体"/>
                <w:color w:val="auto"/>
                <w:szCs w:val="21"/>
                <w:highlight w:val="none"/>
                <w:u w:val="none"/>
              </w:rPr>
            </w:pPr>
          </w:p>
        </w:tc>
        <w:tc>
          <w:tcPr>
            <w:tcW w:w="2392" w:type="dxa"/>
            <w:tcBorders>
              <w:top w:val="single" w:color="000000" w:sz="6" w:space="0"/>
              <w:left w:val="single" w:color="000000" w:sz="6" w:space="0"/>
              <w:bottom w:val="single" w:color="000000" w:sz="6" w:space="0"/>
              <w:right w:val="single" w:color="000000" w:sz="6" w:space="0"/>
            </w:tcBorders>
            <w:vAlign w:val="center"/>
          </w:tcPr>
          <w:p w14:paraId="33A21D45">
            <w:pPr>
              <w:spacing w:line="360" w:lineRule="auto"/>
              <w:ind w:firstLine="480"/>
              <w:rPr>
                <w:rFonts w:hint="eastAsia" w:ascii="宋体" w:hAnsi="宋体" w:cs="宋体"/>
                <w:color w:val="auto"/>
                <w:szCs w:val="21"/>
                <w:highlight w:val="none"/>
                <w:u w:val="none"/>
              </w:rPr>
            </w:pPr>
          </w:p>
        </w:tc>
        <w:tc>
          <w:tcPr>
            <w:tcW w:w="2720" w:type="dxa"/>
            <w:tcBorders>
              <w:top w:val="single" w:color="000000" w:sz="6" w:space="0"/>
              <w:left w:val="single" w:color="000000" w:sz="6" w:space="0"/>
              <w:bottom w:val="single" w:color="000000" w:sz="6" w:space="0"/>
              <w:right w:val="single" w:color="000000" w:sz="6" w:space="0"/>
            </w:tcBorders>
            <w:vAlign w:val="center"/>
          </w:tcPr>
          <w:p w14:paraId="6D49B4CF">
            <w:pPr>
              <w:spacing w:line="360" w:lineRule="auto"/>
              <w:ind w:firstLine="480"/>
              <w:rPr>
                <w:rFonts w:hint="eastAsia" w:ascii="宋体" w:hAnsi="宋体" w:cs="宋体"/>
                <w:color w:val="auto"/>
                <w:szCs w:val="21"/>
                <w:highlight w:val="none"/>
                <w:u w:val="none"/>
              </w:rPr>
            </w:pPr>
          </w:p>
        </w:tc>
        <w:tc>
          <w:tcPr>
            <w:tcW w:w="1417" w:type="dxa"/>
            <w:tcBorders>
              <w:top w:val="single" w:color="000000" w:sz="6" w:space="0"/>
              <w:left w:val="single" w:color="000000" w:sz="6" w:space="0"/>
              <w:bottom w:val="single" w:color="000000" w:sz="6" w:space="0"/>
              <w:right w:val="single" w:color="000000" w:sz="12" w:space="0"/>
            </w:tcBorders>
          </w:tcPr>
          <w:p w14:paraId="3FAA53BF">
            <w:pPr>
              <w:spacing w:line="360" w:lineRule="auto"/>
              <w:ind w:firstLine="480"/>
              <w:rPr>
                <w:rFonts w:hint="eastAsia" w:ascii="宋体" w:hAnsi="宋体" w:cs="宋体"/>
                <w:color w:val="auto"/>
                <w:szCs w:val="21"/>
                <w:highlight w:val="none"/>
                <w:u w:val="none"/>
              </w:rPr>
            </w:pPr>
          </w:p>
        </w:tc>
      </w:tr>
      <w:tr w14:paraId="1568E56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jc w:val="center"/>
        </w:trPr>
        <w:tc>
          <w:tcPr>
            <w:tcW w:w="959" w:type="dxa"/>
            <w:tcBorders>
              <w:top w:val="single" w:color="000000" w:sz="6" w:space="0"/>
              <w:left w:val="single" w:color="000000" w:sz="12" w:space="0"/>
              <w:bottom w:val="single" w:color="000000" w:sz="6" w:space="0"/>
              <w:right w:val="single" w:color="000000" w:sz="6" w:space="0"/>
            </w:tcBorders>
          </w:tcPr>
          <w:p w14:paraId="4BD38F16">
            <w:pPr>
              <w:spacing w:line="360" w:lineRule="auto"/>
              <w:ind w:firstLine="480"/>
              <w:rPr>
                <w:rFonts w:hint="eastAsia" w:ascii="宋体" w:hAnsi="宋体" w:cs="宋体"/>
                <w:color w:val="auto"/>
                <w:szCs w:val="21"/>
                <w:highlight w:val="none"/>
                <w:u w:val="none"/>
              </w:rPr>
            </w:pPr>
          </w:p>
        </w:tc>
        <w:tc>
          <w:tcPr>
            <w:tcW w:w="1267" w:type="dxa"/>
            <w:tcBorders>
              <w:top w:val="single" w:color="000000" w:sz="6" w:space="0"/>
              <w:left w:val="single" w:color="000000" w:sz="6" w:space="0"/>
              <w:bottom w:val="single" w:color="000000" w:sz="6" w:space="0"/>
              <w:right w:val="single" w:color="000000" w:sz="6" w:space="0"/>
            </w:tcBorders>
            <w:vAlign w:val="center"/>
          </w:tcPr>
          <w:p w14:paraId="0E250BCC">
            <w:pPr>
              <w:spacing w:line="360" w:lineRule="auto"/>
              <w:ind w:firstLine="480"/>
              <w:rPr>
                <w:rFonts w:hint="eastAsia" w:ascii="宋体" w:hAnsi="宋体" w:cs="宋体"/>
                <w:color w:val="auto"/>
                <w:szCs w:val="21"/>
                <w:highlight w:val="none"/>
                <w:u w:val="none"/>
              </w:rPr>
            </w:pPr>
          </w:p>
        </w:tc>
        <w:tc>
          <w:tcPr>
            <w:tcW w:w="2392" w:type="dxa"/>
            <w:tcBorders>
              <w:top w:val="single" w:color="000000" w:sz="6" w:space="0"/>
              <w:left w:val="single" w:color="000000" w:sz="6" w:space="0"/>
              <w:bottom w:val="single" w:color="000000" w:sz="6" w:space="0"/>
              <w:right w:val="single" w:color="000000" w:sz="6" w:space="0"/>
            </w:tcBorders>
            <w:vAlign w:val="center"/>
          </w:tcPr>
          <w:p w14:paraId="3E424B8E">
            <w:pPr>
              <w:spacing w:line="360" w:lineRule="auto"/>
              <w:ind w:firstLine="480"/>
              <w:rPr>
                <w:rFonts w:hint="eastAsia" w:ascii="宋体" w:hAnsi="宋体" w:cs="宋体"/>
                <w:color w:val="auto"/>
                <w:szCs w:val="21"/>
                <w:highlight w:val="none"/>
                <w:u w:val="none"/>
              </w:rPr>
            </w:pPr>
          </w:p>
        </w:tc>
        <w:tc>
          <w:tcPr>
            <w:tcW w:w="2720" w:type="dxa"/>
            <w:tcBorders>
              <w:top w:val="single" w:color="000000" w:sz="6" w:space="0"/>
              <w:left w:val="single" w:color="000000" w:sz="6" w:space="0"/>
              <w:bottom w:val="single" w:color="000000" w:sz="6" w:space="0"/>
              <w:right w:val="single" w:color="000000" w:sz="6" w:space="0"/>
            </w:tcBorders>
            <w:vAlign w:val="center"/>
          </w:tcPr>
          <w:p w14:paraId="10595424">
            <w:pPr>
              <w:spacing w:line="360" w:lineRule="auto"/>
              <w:ind w:firstLine="480"/>
              <w:rPr>
                <w:rFonts w:hint="eastAsia" w:ascii="宋体" w:hAnsi="宋体" w:cs="宋体"/>
                <w:color w:val="auto"/>
                <w:szCs w:val="21"/>
                <w:highlight w:val="none"/>
                <w:u w:val="none"/>
              </w:rPr>
            </w:pPr>
          </w:p>
        </w:tc>
        <w:tc>
          <w:tcPr>
            <w:tcW w:w="1417" w:type="dxa"/>
            <w:tcBorders>
              <w:top w:val="single" w:color="000000" w:sz="6" w:space="0"/>
              <w:left w:val="single" w:color="000000" w:sz="6" w:space="0"/>
              <w:bottom w:val="single" w:color="000000" w:sz="6" w:space="0"/>
              <w:right w:val="single" w:color="000000" w:sz="12" w:space="0"/>
            </w:tcBorders>
          </w:tcPr>
          <w:p w14:paraId="4DFD9C7A">
            <w:pPr>
              <w:spacing w:line="360" w:lineRule="auto"/>
              <w:ind w:firstLine="480"/>
              <w:rPr>
                <w:rFonts w:hint="eastAsia" w:ascii="宋体" w:hAnsi="宋体" w:cs="宋体"/>
                <w:color w:val="auto"/>
                <w:szCs w:val="21"/>
                <w:highlight w:val="none"/>
                <w:u w:val="none"/>
              </w:rPr>
            </w:pPr>
          </w:p>
        </w:tc>
      </w:tr>
    </w:tbl>
    <w:p w14:paraId="7434E479">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注：</w:t>
      </w:r>
    </w:p>
    <w:p w14:paraId="2C2DEA2C">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1.响应人提交的响应文件中与磋商文件第四章 项目需求中的技术部分的要求有不同时，应逐条填列在偏离表中，否则将视为响应人接受磋商文件的所有要求。完全响应以空白表格列示。</w:t>
      </w:r>
    </w:p>
    <w:p w14:paraId="787D6955">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2.“偏离说明”一栏选择“正偏离”、“负偏离”进行填写。正偏离的确认和负偏离的是否响应磋商文件，经三分之二评委认定。</w:t>
      </w:r>
    </w:p>
    <w:p w14:paraId="7E3EC96D">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3.响应人如有虚假响应，将承担被暂停参加采购人组织政府采购活动的风险。</w:t>
      </w:r>
    </w:p>
    <w:p w14:paraId="49C25C00">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4.供应商若提供其他增值服务，可以在表中自行据实填写。</w:t>
      </w:r>
    </w:p>
    <w:p w14:paraId="40503A27">
      <w:pPr>
        <w:spacing w:line="360" w:lineRule="auto"/>
        <w:ind w:firstLine="480"/>
        <w:rPr>
          <w:rFonts w:hint="eastAsia" w:ascii="宋体" w:hAnsi="宋体" w:cs="宋体"/>
          <w:color w:val="auto"/>
          <w:szCs w:val="21"/>
          <w:highlight w:val="none"/>
          <w:u w:val="none"/>
        </w:rPr>
      </w:pPr>
    </w:p>
    <w:p w14:paraId="60D3AEF3">
      <w:pPr>
        <w:spacing w:line="360" w:lineRule="auto"/>
        <w:ind w:firstLine="480"/>
        <w:rPr>
          <w:rFonts w:hint="eastAsia" w:ascii="宋体" w:hAnsi="宋体" w:cs="宋体"/>
          <w:color w:val="auto"/>
          <w:szCs w:val="21"/>
          <w:highlight w:val="none"/>
          <w:u w:val="none"/>
        </w:rPr>
      </w:pPr>
    </w:p>
    <w:p w14:paraId="33EB96BD">
      <w:pPr>
        <w:spacing w:line="360" w:lineRule="auto"/>
        <w:ind w:firstLine="4674" w:firstLineChars="2226"/>
        <w:rPr>
          <w:rFonts w:hint="eastAsia" w:ascii="宋体" w:hAnsi="宋体" w:cs="宋体"/>
          <w:color w:val="auto"/>
          <w:szCs w:val="21"/>
          <w:highlight w:val="none"/>
          <w:u w:val="none"/>
        </w:rPr>
      </w:pPr>
      <w:r>
        <w:rPr>
          <w:rFonts w:hint="eastAsia" w:ascii="宋体" w:hAnsi="宋体" w:cs="宋体"/>
          <w:color w:val="auto"/>
          <w:szCs w:val="21"/>
          <w:highlight w:val="none"/>
          <w:u w:val="none"/>
        </w:rPr>
        <w:t>供应商名称（盖章）：</w:t>
      </w:r>
    </w:p>
    <w:p w14:paraId="7002B12A">
      <w:pPr>
        <w:spacing w:line="360" w:lineRule="auto"/>
        <w:ind w:firstLine="4674" w:firstLineChars="2226"/>
        <w:rPr>
          <w:rFonts w:hint="eastAsia" w:ascii="宋体" w:hAnsi="宋体" w:cs="宋体"/>
          <w:color w:val="auto"/>
          <w:szCs w:val="21"/>
          <w:highlight w:val="none"/>
          <w:u w:val="none"/>
        </w:rPr>
      </w:pPr>
      <w:r>
        <w:rPr>
          <w:rFonts w:hint="eastAsia" w:ascii="宋体" w:hAnsi="宋体" w:cs="宋体"/>
          <w:color w:val="auto"/>
          <w:szCs w:val="21"/>
          <w:highlight w:val="none"/>
          <w:u w:val="none"/>
        </w:rPr>
        <w:t>法人或授权委托人（签字或盖章）：</w:t>
      </w:r>
    </w:p>
    <w:p w14:paraId="325396AA">
      <w:pPr>
        <w:spacing w:line="360" w:lineRule="auto"/>
        <w:ind w:firstLine="4830" w:firstLineChars="2300"/>
        <w:rPr>
          <w:rFonts w:hint="eastAsia" w:ascii="宋体" w:hAnsi="宋体" w:cs="宋体"/>
          <w:color w:val="auto"/>
          <w:szCs w:val="21"/>
          <w:highlight w:val="none"/>
          <w:u w:val="none"/>
        </w:rPr>
      </w:pPr>
      <w:r>
        <w:rPr>
          <w:rFonts w:hint="eastAsia" w:ascii="宋体" w:hAnsi="宋体" w:cs="宋体"/>
          <w:color w:val="auto"/>
          <w:szCs w:val="21"/>
          <w:highlight w:val="none"/>
          <w:u w:val="none"/>
        </w:rPr>
        <w:t>日期：</w:t>
      </w:r>
    </w:p>
    <w:p w14:paraId="4BC7BBB8">
      <w:pPr>
        <w:spacing w:line="360" w:lineRule="auto"/>
        <w:ind w:firstLine="420" w:firstLineChars="200"/>
        <w:contextualSpacing/>
        <w:rPr>
          <w:rFonts w:hint="eastAsia" w:ascii="宋体" w:hAnsi="宋体" w:cs="宋体"/>
          <w:bCs/>
          <w:color w:val="auto"/>
          <w:szCs w:val="21"/>
          <w:highlight w:val="none"/>
          <w:u w:val="none"/>
        </w:rPr>
      </w:pPr>
    </w:p>
    <w:p w14:paraId="48795204">
      <w:pPr>
        <w:spacing w:line="360" w:lineRule="auto"/>
        <w:ind w:firstLine="420" w:firstLineChars="200"/>
        <w:rPr>
          <w:rFonts w:hint="eastAsia" w:ascii="宋体" w:hAnsi="宋体" w:cs="宋体"/>
          <w:bCs/>
          <w:color w:val="auto"/>
          <w:szCs w:val="21"/>
          <w:highlight w:val="none"/>
          <w:u w:val="none"/>
        </w:rPr>
        <w:sectPr>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p>
    <w:p w14:paraId="714C4AED">
      <w:pPr>
        <w:pStyle w:val="30"/>
        <w:spacing w:line="360" w:lineRule="auto"/>
        <w:ind w:left="0" w:firstLine="0"/>
        <w:jc w:val="center"/>
        <w:rPr>
          <w:rFonts w:hint="eastAsia" w:ascii="宋体" w:hAnsi="宋体" w:cs="宋体"/>
          <w:color w:val="auto"/>
          <w:sz w:val="21"/>
          <w:szCs w:val="21"/>
          <w:highlight w:val="none"/>
          <w:u w:val="none"/>
        </w:rPr>
      </w:pPr>
      <w:bookmarkStart w:id="122" w:name="_Toc20755"/>
      <w:bookmarkStart w:id="123" w:name="_Toc15683"/>
      <w:r>
        <w:rPr>
          <w:rFonts w:hint="eastAsia" w:ascii="宋体" w:hAnsi="宋体" w:cs="宋体"/>
          <w:color w:val="auto"/>
          <w:sz w:val="21"/>
          <w:szCs w:val="21"/>
          <w:highlight w:val="none"/>
          <w:u w:val="none"/>
        </w:rPr>
        <w:t>10.商务条款响应及偏离表</w:t>
      </w:r>
      <w:bookmarkEnd w:id="122"/>
      <w:bookmarkEnd w:id="123"/>
    </w:p>
    <w:tbl>
      <w:tblPr>
        <w:tblStyle w:val="16"/>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94"/>
        <w:gridCol w:w="2008"/>
        <w:gridCol w:w="2127"/>
        <w:gridCol w:w="1659"/>
        <w:gridCol w:w="1884"/>
      </w:tblGrid>
      <w:tr w14:paraId="4ACC70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3"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16E36062">
            <w:pPr>
              <w:snapToGrid w:val="0"/>
              <w:spacing w:before="156" w:beforeLines="50" w:line="360" w:lineRule="auto"/>
              <w:jc w:val="center"/>
              <w:rPr>
                <w:color w:val="auto"/>
                <w:szCs w:val="21"/>
                <w:highlight w:val="none"/>
                <w:u w:val="none"/>
              </w:rPr>
            </w:pPr>
            <w:r>
              <w:rPr>
                <w:color w:val="auto"/>
                <w:szCs w:val="21"/>
                <w:highlight w:val="none"/>
                <w:u w:val="none"/>
              </w:rPr>
              <w:t>序号</w:t>
            </w:r>
          </w:p>
        </w:tc>
        <w:tc>
          <w:tcPr>
            <w:tcW w:w="2008" w:type="dxa"/>
            <w:tcBorders>
              <w:top w:val="single" w:color="auto" w:sz="4" w:space="0"/>
              <w:left w:val="single" w:color="auto" w:sz="4" w:space="0"/>
              <w:bottom w:val="single" w:color="auto" w:sz="4" w:space="0"/>
              <w:right w:val="single" w:color="auto" w:sz="4" w:space="0"/>
            </w:tcBorders>
            <w:vAlign w:val="center"/>
          </w:tcPr>
          <w:p w14:paraId="2BF553DD">
            <w:pPr>
              <w:snapToGrid w:val="0"/>
              <w:spacing w:before="156" w:beforeLines="50" w:line="360" w:lineRule="auto"/>
              <w:jc w:val="center"/>
              <w:rPr>
                <w:color w:val="auto"/>
                <w:szCs w:val="21"/>
                <w:highlight w:val="none"/>
                <w:u w:val="none"/>
              </w:rPr>
            </w:pPr>
            <w:r>
              <w:rPr>
                <w:color w:val="auto"/>
                <w:szCs w:val="21"/>
                <w:highlight w:val="none"/>
                <w:u w:val="none"/>
              </w:rPr>
              <w:t>项目</w:t>
            </w:r>
          </w:p>
        </w:tc>
        <w:tc>
          <w:tcPr>
            <w:tcW w:w="2127" w:type="dxa"/>
            <w:tcBorders>
              <w:top w:val="single" w:color="auto" w:sz="4" w:space="0"/>
              <w:left w:val="single" w:color="auto" w:sz="4" w:space="0"/>
              <w:bottom w:val="single" w:color="auto" w:sz="4" w:space="0"/>
              <w:right w:val="single" w:color="auto" w:sz="4" w:space="0"/>
            </w:tcBorders>
            <w:vAlign w:val="center"/>
          </w:tcPr>
          <w:p w14:paraId="7D9F0AF7">
            <w:pPr>
              <w:snapToGrid w:val="0"/>
              <w:spacing w:before="156" w:beforeLines="50" w:line="360" w:lineRule="auto"/>
              <w:jc w:val="center"/>
              <w:rPr>
                <w:color w:val="auto"/>
                <w:szCs w:val="21"/>
                <w:highlight w:val="none"/>
                <w:u w:val="none"/>
              </w:rPr>
            </w:pPr>
            <w:r>
              <w:rPr>
                <w:rFonts w:hint="eastAsia"/>
                <w:color w:val="auto"/>
                <w:szCs w:val="21"/>
                <w:highlight w:val="none"/>
                <w:u w:val="none"/>
              </w:rPr>
              <w:t>磋商文件</w:t>
            </w:r>
            <w:r>
              <w:rPr>
                <w:color w:val="auto"/>
                <w:szCs w:val="21"/>
                <w:highlight w:val="none"/>
                <w:u w:val="none"/>
              </w:rPr>
              <w:t>要求</w:t>
            </w:r>
          </w:p>
        </w:tc>
        <w:tc>
          <w:tcPr>
            <w:tcW w:w="1659" w:type="dxa"/>
            <w:tcBorders>
              <w:top w:val="single" w:color="auto" w:sz="4" w:space="0"/>
              <w:left w:val="single" w:color="auto" w:sz="4" w:space="0"/>
              <w:bottom w:val="single" w:color="auto" w:sz="4" w:space="0"/>
              <w:right w:val="single" w:color="auto" w:sz="4" w:space="0"/>
            </w:tcBorders>
            <w:vAlign w:val="center"/>
          </w:tcPr>
          <w:p w14:paraId="5974A316">
            <w:pPr>
              <w:spacing w:line="360" w:lineRule="auto"/>
              <w:jc w:val="center"/>
              <w:rPr>
                <w:color w:val="auto"/>
                <w:szCs w:val="21"/>
                <w:highlight w:val="none"/>
                <w:u w:val="none"/>
              </w:rPr>
            </w:pPr>
            <w:r>
              <w:rPr>
                <w:rFonts w:hint="eastAsia" w:ascii="宋体" w:hAnsi="宋体" w:cs="宋体"/>
                <w:color w:val="auto"/>
                <w:szCs w:val="21"/>
                <w:highlight w:val="none"/>
                <w:u w:val="none"/>
              </w:rPr>
              <w:t>响应文件响应情况</w:t>
            </w:r>
          </w:p>
        </w:tc>
        <w:tc>
          <w:tcPr>
            <w:tcW w:w="1884" w:type="dxa"/>
            <w:tcBorders>
              <w:top w:val="single" w:color="auto" w:sz="4" w:space="0"/>
              <w:left w:val="single" w:color="auto" w:sz="4" w:space="0"/>
              <w:bottom w:val="single" w:color="auto" w:sz="4" w:space="0"/>
              <w:right w:val="single" w:color="auto" w:sz="4" w:space="0"/>
            </w:tcBorders>
            <w:vAlign w:val="center"/>
          </w:tcPr>
          <w:p w14:paraId="6AA1587C">
            <w:pPr>
              <w:spacing w:line="360" w:lineRule="auto"/>
              <w:jc w:val="center"/>
              <w:rPr>
                <w:color w:val="auto"/>
                <w:szCs w:val="21"/>
                <w:highlight w:val="none"/>
                <w:u w:val="none"/>
              </w:rPr>
            </w:pPr>
            <w:r>
              <w:rPr>
                <w:rFonts w:hint="eastAsia" w:ascii="宋体" w:hAnsi="宋体" w:cs="宋体"/>
                <w:color w:val="auto"/>
                <w:szCs w:val="21"/>
                <w:highlight w:val="none"/>
                <w:u w:val="none"/>
              </w:rPr>
              <w:t>偏离说明</w:t>
            </w:r>
          </w:p>
        </w:tc>
      </w:tr>
      <w:tr w14:paraId="6AC558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2006B375">
            <w:pPr>
              <w:snapToGrid w:val="0"/>
              <w:spacing w:before="156" w:beforeLines="50" w:line="360" w:lineRule="auto"/>
              <w:jc w:val="center"/>
              <w:rPr>
                <w:rFonts w:ascii="Times New Roman" w:hAnsi="Times New Roman"/>
                <w:color w:val="auto"/>
                <w:szCs w:val="21"/>
                <w:highlight w:val="none"/>
                <w:u w:val="none"/>
              </w:rPr>
            </w:pPr>
            <w:r>
              <w:rPr>
                <w:rFonts w:ascii="Times New Roman" w:hAnsi="Times New Roman"/>
                <w:color w:val="auto"/>
                <w:szCs w:val="21"/>
                <w:highlight w:val="none"/>
                <w:u w:val="none"/>
              </w:rPr>
              <w:t>1</w:t>
            </w:r>
          </w:p>
        </w:tc>
        <w:tc>
          <w:tcPr>
            <w:tcW w:w="2008" w:type="dxa"/>
            <w:tcBorders>
              <w:top w:val="single" w:color="auto" w:sz="4" w:space="0"/>
              <w:left w:val="single" w:color="auto" w:sz="4" w:space="0"/>
              <w:bottom w:val="single" w:color="auto" w:sz="4" w:space="0"/>
              <w:right w:val="single" w:color="auto" w:sz="4" w:space="0"/>
            </w:tcBorders>
            <w:vAlign w:val="center"/>
          </w:tcPr>
          <w:p w14:paraId="3C1F4800">
            <w:pPr>
              <w:snapToGrid w:val="0"/>
              <w:spacing w:before="156" w:beforeLines="50" w:line="360" w:lineRule="auto"/>
              <w:jc w:val="center"/>
              <w:rPr>
                <w:rFonts w:ascii="Times New Roman" w:hAnsi="Times New Roman"/>
                <w:color w:val="auto"/>
                <w:szCs w:val="21"/>
                <w:highlight w:val="none"/>
                <w:u w:val="none"/>
              </w:rPr>
            </w:pPr>
            <w:r>
              <w:rPr>
                <w:rFonts w:hint="eastAsia" w:ascii="Times New Roman" w:hAnsi="Times New Roman"/>
                <w:color w:val="auto"/>
                <w:szCs w:val="21"/>
                <w:highlight w:val="none"/>
                <w:u w:val="none"/>
              </w:rPr>
              <w:t>合同履行期限</w:t>
            </w:r>
          </w:p>
        </w:tc>
        <w:tc>
          <w:tcPr>
            <w:tcW w:w="2127" w:type="dxa"/>
            <w:tcBorders>
              <w:top w:val="single" w:color="auto" w:sz="4" w:space="0"/>
              <w:left w:val="single" w:color="auto" w:sz="4" w:space="0"/>
              <w:bottom w:val="single" w:color="auto" w:sz="4" w:space="0"/>
              <w:right w:val="single" w:color="auto" w:sz="4" w:space="0"/>
            </w:tcBorders>
            <w:vAlign w:val="center"/>
          </w:tcPr>
          <w:p w14:paraId="171A0032">
            <w:pPr>
              <w:snapToGrid w:val="0"/>
              <w:spacing w:before="156" w:beforeLines="50" w:line="360" w:lineRule="auto"/>
              <w:rPr>
                <w:color w:val="auto"/>
                <w:szCs w:val="21"/>
                <w:highlight w:val="none"/>
                <w:u w:val="none"/>
              </w:rPr>
            </w:pPr>
          </w:p>
        </w:tc>
        <w:tc>
          <w:tcPr>
            <w:tcW w:w="1659" w:type="dxa"/>
            <w:tcBorders>
              <w:top w:val="single" w:color="auto" w:sz="4" w:space="0"/>
              <w:left w:val="single" w:color="auto" w:sz="4" w:space="0"/>
              <w:bottom w:val="single" w:color="auto" w:sz="4" w:space="0"/>
              <w:right w:val="single" w:color="auto" w:sz="4" w:space="0"/>
            </w:tcBorders>
            <w:vAlign w:val="center"/>
          </w:tcPr>
          <w:p w14:paraId="5B86299F">
            <w:pPr>
              <w:snapToGrid w:val="0"/>
              <w:spacing w:before="156" w:beforeLines="50" w:line="360" w:lineRule="auto"/>
              <w:rPr>
                <w:color w:val="auto"/>
                <w:szCs w:val="21"/>
                <w:highlight w:val="none"/>
                <w:u w:val="none"/>
              </w:rPr>
            </w:pPr>
          </w:p>
        </w:tc>
        <w:tc>
          <w:tcPr>
            <w:tcW w:w="1884" w:type="dxa"/>
            <w:tcBorders>
              <w:top w:val="single" w:color="auto" w:sz="4" w:space="0"/>
              <w:left w:val="single" w:color="auto" w:sz="4" w:space="0"/>
              <w:bottom w:val="single" w:color="auto" w:sz="4" w:space="0"/>
              <w:right w:val="single" w:color="auto" w:sz="4" w:space="0"/>
            </w:tcBorders>
            <w:vAlign w:val="center"/>
          </w:tcPr>
          <w:p w14:paraId="44F7A016">
            <w:pPr>
              <w:snapToGrid w:val="0"/>
              <w:spacing w:before="156" w:beforeLines="50" w:line="360" w:lineRule="auto"/>
              <w:rPr>
                <w:color w:val="auto"/>
                <w:szCs w:val="21"/>
                <w:highlight w:val="none"/>
                <w:u w:val="none"/>
              </w:rPr>
            </w:pPr>
          </w:p>
        </w:tc>
      </w:tr>
      <w:tr w14:paraId="2D2327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2"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2FDACE1C">
            <w:pPr>
              <w:snapToGrid w:val="0"/>
              <w:spacing w:before="156" w:beforeLines="50" w:line="360" w:lineRule="auto"/>
              <w:jc w:val="center"/>
              <w:rPr>
                <w:rFonts w:ascii="Times New Roman" w:hAnsi="Times New Roman"/>
                <w:color w:val="auto"/>
                <w:szCs w:val="21"/>
                <w:highlight w:val="none"/>
                <w:u w:val="none"/>
              </w:rPr>
            </w:pPr>
            <w:r>
              <w:rPr>
                <w:rFonts w:ascii="Times New Roman" w:hAnsi="Times New Roman"/>
                <w:color w:val="auto"/>
                <w:szCs w:val="21"/>
                <w:highlight w:val="none"/>
                <w:u w:val="none"/>
              </w:rPr>
              <w:t>2</w:t>
            </w:r>
          </w:p>
        </w:tc>
        <w:tc>
          <w:tcPr>
            <w:tcW w:w="2008" w:type="dxa"/>
            <w:tcBorders>
              <w:top w:val="single" w:color="auto" w:sz="4" w:space="0"/>
              <w:left w:val="single" w:color="auto" w:sz="4" w:space="0"/>
              <w:bottom w:val="single" w:color="auto" w:sz="4" w:space="0"/>
              <w:right w:val="single" w:color="auto" w:sz="4" w:space="0"/>
            </w:tcBorders>
            <w:vAlign w:val="center"/>
          </w:tcPr>
          <w:p w14:paraId="7821CD2D">
            <w:pPr>
              <w:snapToGrid w:val="0"/>
              <w:spacing w:before="156" w:beforeLines="50" w:line="360" w:lineRule="auto"/>
              <w:jc w:val="center"/>
              <w:rPr>
                <w:rFonts w:ascii="Times New Roman" w:hAnsi="Times New Roman"/>
                <w:color w:val="auto"/>
                <w:szCs w:val="21"/>
                <w:highlight w:val="none"/>
                <w:u w:val="none"/>
              </w:rPr>
            </w:pPr>
            <w:r>
              <w:rPr>
                <w:rFonts w:hint="eastAsia" w:ascii="Times New Roman" w:hAnsi="Times New Roman"/>
                <w:color w:val="auto"/>
                <w:szCs w:val="21"/>
                <w:highlight w:val="none"/>
                <w:u w:val="none"/>
              </w:rPr>
              <w:t>服务地点</w:t>
            </w:r>
          </w:p>
        </w:tc>
        <w:tc>
          <w:tcPr>
            <w:tcW w:w="2127" w:type="dxa"/>
            <w:tcBorders>
              <w:top w:val="single" w:color="auto" w:sz="4" w:space="0"/>
              <w:left w:val="single" w:color="auto" w:sz="4" w:space="0"/>
              <w:bottom w:val="single" w:color="auto" w:sz="4" w:space="0"/>
              <w:right w:val="single" w:color="auto" w:sz="4" w:space="0"/>
            </w:tcBorders>
            <w:vAlign w:val="center"/>
          </w:tcPr>
          <w:p w14:paraId="43C942B7">
            <w:pPr>
              <w:snapToGrid w:val="0"/>
              <w:spacing w:before="156" w:beforeLines="50" w:line="360" w:lineRule="auto"/>
              <w:rPr>
                <w:color w:val="auto"/>
                <w:szCs w:val="21"/>
                <w:highlight w:val="none"/>
                <w:u w:val="none"/>
              </w:rPr>
            </w:pPr>
          </w:p>
        </w:tc>
        <w:tc>
          <w:tcPr>
            <w:tcW w:w="1659" w:type="dxa"/>
            <w:tcBorders>
              <w:top w:val="single" w:color="auto" w:sz="4" w:space="0"/>
              <w:left w:val="single" w:color="auto" w:sz="4" w:space="0"/>
              <w:bottom w:val="single" w:color="auto" w:sz="4" w:space="0"/>
              <w:right w:val="single" w:color="auto" w:sz="4" w:space="0"/>
            </w:tcBorders>
            <w:vAlign w:val="center"/>
          </w:tcPr>
          <w:p w14:paraId="1B113AA1">
            <w:pPr>
              <w:snapToGrid w:val="0"/>
              <w:spacing w:before="156" w:beforeLines="50" w:line="360" w:lineRule="auto"/>
              <w:rPr>
                <w:color w:val="auto"/>
                <w:szCs w:val="21"/>
                <w:highlight w:val="none"/>
                <w:u w:val="none"/>
              </w:rPr>
            </w:pPr>
          </w:p>
        </w:tc>
        <w:tc>
          <w:tcPr>
            <w:tcW w:w="1884" w:type="dxa"/>
            <w:tcBorders>
              <w:top w:val="single" w:color="auto" w:sz="4" w:space="0"/>
              <w:left w:val="single" w:color="auto" w:sz="4" w:space="0"/>
              <w:bottom w:val="single" w:color="auto" w:sz="4" w:space="0"/>
              <w:right w:val="single" w:color="auto" w:sz="4" w:space="0"/>
            </w:tcBorders>
            <w:vAlign w:val="center"/>
          </w:tcPr>
          <w:p w14:paraId="7F02E549">
            <w:pPr>
              <w:snapToGrid w:val="0"/>
              <w:spacing w:before="156" w:beforeLines="50" w:line="360" w:lineRule="auto"/>
              <w:rPr>
                <w:color w:val="auto"/>
                <w:szCs w:val="21"/>
                <w:highlight w:val="none"/>
                <w:u w:val="none"/>
              </w:rPr>
            </w:pPr>
          </w:p>
        </w:tc>
      </w:tr>
      <w:tr w14:paraId="597D72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1"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38B1BDDE">
            <w:pPr>
              <w:snapToGrid w:val="0"/>
              <w:spacing w:before="156" w:beforeLines="50" w:line="360" w:lineRule="auto"/>
              <w:jc w:val="center"/>
              <w:rPr>
                <w:rFonts w:ascii="Times New Roman" w:hAnsi="Times New Roman"/>
                <w:color w:val="auto"/>
                <w:szCs w:val="21"/>
                <w:highlight w:val="none"/>
                <w:u w:val="none"/>
              </w:rPr>
            </w:pPr>
            <w:r>
              <w:rPr>
                <w:rFonts w:ascii="Times New Roman" w:hAnsi="Times New Roman"/>
                <w:color w:val="auto"/>
                <w:szCs w:val="21"/>
                <w:highlight w:val="none"/>
                <w:u w:val="none"/>
              </w:rPr>
              <w:t>3</w:t>
            </w:r>
          </w:p>
        </w:tc>
        <w:tc>
          <w:tcPr>
            <w:tcW w:w="2008" w:type="dxa"/>
            <w:tcBorders>
              <w:top w:val="single" w:color="auto" w:sz="4" w:space="0"/>
              <w:left w:val="single" w:color="auto" w:sz="4" w:space="0"/>
              <w:bottom w:val="single" w:color="auto" w:sz="4" w:space="0"/>
              <w:right w:val="single" w:color="auto" w:sz="4" w:space="0"/>
            </w:tcBorders>
            <w:vAlign w:val="center"/>
          </w:tcPr>
          <w:p w14:paraId="15CDBF79">
            <w:pPr>
              <w:snapToGrid w:val="0"/>
              <w:spacing w:before="156" w:beforeLines="50" w:line="360" w:lineRule="auto"/>
              <w:jc w:val="center"/>
              <w:rPr>
                <w:rFonts w:ascii="Times New Roman" w:hAnsi="Times New Roman"/>
                <w:color w:val="auto"/>
                <w:szCs w:val="21"/>
                <w:highlight w:val="none"/>
                <w:u w:val="none"/>
              </w:rPr>
            </w:pPr>
            <w:r>
              <w:rPr>
                <w:rFonts w:hint="eastAsia" w:ascii="Times New Roman" w:hAnsi="Times New Roman"/>
                <w:color w:val="auto"/>
                <w:szCs w:val="21"/>
                <w:highlight w:val="none"/>
                <w:u w:val="none"/>
              </w:rPr>
              <w:t>付款方式</w:t>
            </w:r>
          </w:p>
        </w:tc>
        <w:tc>
          <w:tcPr>
            <w:tcW w:w="2127" w:type="dxa"/>
            <w:tcBorders>
              <w:top w:val="single" w:color="auto" w:sz="4" w:space="0"/>
              <w:left w:val="single" w:color="auto" w:sz="4" w:space="0"/>
              <w:bottom w:val="single" w:color="auto" w:sz="4" w:space="0"/>
              <w:right w:val="single" w:color="auto" w:sz="4" w:space="0"/>
            </w:tcBorders>
            <w:vAlign w:val="center"/>
          </w:tcPr>
          <w:p w14:paraId="113745EC">
            <w:pPr>
              <w:snapToGrid w:val="0"/>
              <w:spacing w:before="156" w:beforeLines="50" w:line="360" w:lineRule="auto"/>
              <w:rPr>
                <w:color w:val="auto"/>
                <w:szCs w:val="21"/>
                <w:highlight w:val="none"/>
                <w:u w:val="none"/>
              </w:rPr>
            </w:pPr>
          </w:p>
        </w:tc>
        <w:tc>
          <w:tcPr>
            <w:tcW w:w="1659" w:type="dxa"/>
            <w:tcBorders>
              <w:top w:val="single" w:color="auto" w:sz="4" w:space="0"/>
              <w:left w:val="single" w:color="auto" w:sz="4" w:space="0"/>
              <w:bottom w:val="single" w:color="auto" w:sz="4" w:space="0"/>
              <w:right w:val="single" w:color="auto" w:sz="4" w:space="0"/>
            </w:tcBorders>
            <w:vAlign w:val="center"/>
          </w:tcPr>
          <w:p w14:paraId="108234B8">
            <w:pPr>
              <w:snapToGrid w:val="0"/>
              <w:spacing w:before="156" w:beforeLines="50" w:line="360" w:lineRule="auto"/>
              <w:rPr>
                <w:color w:val="auto"/>
                <w:szCs w:val="21"/>
                <w:highlight w:val="none"/>
                <w:u w:val="none"/>
              </w:rPr>
            </w:pPr>
          </w:p>
        </w:tc>
        <w:tc>
          <w:tcPr>
            <w:tcW w:w="1884" w:type="dxa"/>
            <w:tcBorders>
              <w:top w:val="single" w:color="auto" w:sz="4" w:space="0"/>
              <w:left w:val="single" w:color="auto" w:sz="4" w:space="0"/>
              <w:bottom w:val="single" w:color="auto" w:sz="4" w:space="0"/>
              <w:right w:val="single" w:color="auto" w:sz="4" w:space="0"/>
            </w:tcBorders>
            <w:vAlign w:val="center"/>
          </w:tcPr>
          <w:p w14:paraId="6E2D4358">
            <w:pPr>
              <w:snapToGrid w:val="0"/>
              <w:spacing w:before="156" w:beforeLines="50" w:line="360" w:lineRule="auto"/>
              <w:rPr>
                <w:color w:val="auto"/>
                <w:szCs w:val="21"/>
                <w:highlight w:val="none"/>
                <w:u w:val="none"/>
              </w:rPr>
            </w:pPr>
          </w:p>
        </w:tc>
      </w:tr>
      <w:tr w14:paraId="0D2790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3C9578BD">
            <w:pPr>
              <w:snapToGrid w:val="0"/>
              <w:spacing w:before="156" w:beforeLines="50" w:line="360" w:lineRule="auto"/>
              <w:jc w:val="center"/>
              <w:rPr>
                <w:rFonts w:ascii="Times New Roman" w:hAnsi="Times New Roman"/>
                <w:color w:val="auto"/>
                <w:szCs w:val="21"/>
                <w:highlight w:val="none"/>
                <w:u w:val="none"/>
              </w:rPr>
            </w:pPr>
            <w:r>
              <w:rPr>
                <w:rFonts w:ascii="Times New Roman" w:hAnsi="Times New Roman"/>
                <w:color w:val="auto"/>
                <w:szCs w:val="21"/>
                <w:highlight w:val="none"/>
                <w:u w:val="none"/>
              </w:rPr>
              <w:t>4</w:t>
            </w:r>
          </w:p>
        </w:tc>
        <w:tc>
          <w:tcPr>
            <w:tcW w:w="2008" w:type="dxa"/>
            <w:tcBorders>
              <w:top w:val="single" w:color="auto" w:sz="4" w:space="0"/>
              <w:left w:val="single" w:color="auto" w:sz="4" w:space="0"/>
              <w:bottom w:val="single" w:color="auto" w:sz="4" w:space="0"/>
              <w:right w:val="single" w:color="auto" w:sz="4" w:space="0"/>
            </w:tcBorders>
            <w:vAlign w:val="center"/>
          </w:tcPr>
          <w:p w14:paraId="4D45C2ED">
            <w:pPr>
              <w:snapToGrid w:val="0"/>
              <w:spacing w:before="156" w:beforeLines="50" w:line="360" w:lineRule="auto"/>
              <w:jc w:val="center"/>
              <w:rPr>
                <w:rFonts w:ascii="Times New Roman" w:hAnsi="Times New Roman"/>
                <w:color w:val="auto"/>
                <w:szCs w:val="21"/>
                <w:highlight w:val="none"/>
                <w:u w:val="none"/>
              </w:rPr>
            </w:pPr>
            <w:r>
              <w:rPr>
                <w:rFonts w:ascii="Times New Roman" w:hAnsi="Times New Roman"/>
                <w:color w:val="auto"/>
                <w:szCs w:val="21"/>
                <w:highlight w:val="none"/>
                <w:u w:val="none"/>
              </w:rPr>
              <w:t>投标货币</w:t>
            </w:r>
          </w:p>
        </w:tc>
        <w:tc>
          <w:tcPr>
            <w:tcW w:w="2127" w:type="dxa"/>
            <w:tcBorders>
              <w:top w:val="single" w:color="auto" w:sz="4" w:space="0"/>
              <w:left w:val="single" w:color="auto" w:sz="4" w:space="0"/>
              <w:bottom w:val="single" w:color="auto" w:sz="4" w:space="0"/>
              <w:right w:val="single" w:color="auto" w:sz="4" w:space="0"/>
            </w:tcBorders>
            <w:vAlign w:val="center"/>
          </w:tcPr>
          <w:p w14:paraId="0853D6E4">
            <w:pPr>
              <w:snapToGrid w:val="0"/>
              <w:spacing w:before="156" w:beforeLines="50" w:line="360" w:lineRule="auto"/>
              <w:rPr>
                <w:color w:val="auto"/>
                <w:szCs w:val="21"/>
                <w:highlight w:val="none"/>
                <w:u w:val="none"/>
              </w:rPr>
            </w:pPr>
          </w:p>
        </w:tc>
        <w:tc>
          <w:tcPr>
            <w:tcW w:w="1659" w:type="dxa"/>
            <w:tcBorders>
              <w:top w:val="single" w:color="auto" w:sz="4" w:space="0"/>
              <w:left w:val="single" w:color="auto" w:sz="4" w:space="0"/>
              <w:bottom w:val="single" w:color="auto" w:sz="4" w:space="0"/>
              <w:right w:val="single" w:color="auto" w:sz="4" w:space="0"/>
            </w:tcBorders>
            <w:vAlign w:val="center"/>
          </w:tcPr>
          <w:p w14:paraId="1367A5AC">
            <w:pPr>
              <w:snapToGrid w:val="0"/>
              <w:spacing w:before="156" w:beforeLines="50" w:line="360" w:lineRule="auto"/>
              <w:rPr>
                <w:color w:val="auto"/>
                <w:szCs w:val="21"/>
                <w:highlight w:val="none"/>
                <w:u w:val="none"/>
              </w:rPr>
            </w:pPr>
          </w:p>
        </w:tc>
        <w:tc>
          <w:tcPr>
            <w:tcW w:w="1884" w:type="dxa"/>
            <w:tcBorders>
              <w:top w:val="single" w:color="auto" w:sz="4" w:space="0"/>
              <w:left w:val="single" w:color="auto" w:sz="4" w:space="0"/>
              <w:bottom w:val="single" w:color="auto" w:sz="4" w:space="0"/>
              <w:right w:val="single" w:color="auto" w:sz="4" w:space="0"/>
            </w:tcBorders>
            <w:vAlign w:val="center"/>
          </w:tcPr>
          <w:p w14:paraId="0A4B7DD8">
            <w:pPr>
              <w:snapToGrid w:val="0"/>
              <w:spacing w:before="156" w:beforeLines="50" w:line="360" w:lineRule="auto"/>
              <w:rPr>
                <w:color w:val="auto"/>
                <w:szCs w:val="21"/>
                <w:highlight w:val="none"/>
                <w:u w:val="none"/>
              </w:rPr>
            </w:pPr>
          </w:p>
        </w:tc>
      </w:tr>
      <w:tr w14:paraId="3C9016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41DD6278">
            <w:pPr>
              <w:snapToGrid w:val="0"/>
              <w:spacing w:before="156" w:beforeLines="50" w:line="360" w:lineRule="auto"/>
              <w:jc w:val="center"/>
              <w:rPr>
                <w:color w:val="auto"/>
                <w:szCs w:val="21"/>
                <w:highlight w:val="none"/>
                <w:u w:val="none"/>
              </w:rPr>
            </w:pPr>
          </w:p>
        </w:tc>
        <w:tc>
          <w:tcPr>
            <w:tcW w:w="2008" w:type="dxa"/>
            <w:tcBorders>
              <w:top w:val="single" w:color="auto" w:sz="4" w:space="0"/>
              <w:left w:val="single" w:color="auto" w:sz="4" w:space="0"/>
              <w:bottom w:val="single" w:color="auto" w:sz="4" w:space="0"/>
              <w:right w:val="single" w:color="auto" w:sz="4" w:space="0"/>
            </w:tcBorders>
            <w:vAlign w:val="center"/>
          </w:tcPr>
          <w:p w14:paraId="65177580">
            <w:pPr>
              <w:snapToGrid w:val="0"/>
              <w:spacing w:before="156" w:beforeLines="50" w:line="360" w:lineRule="auto"/>
              <w:rPr>
                <w:color w:val="auto"/>
                <w:szCs w:val="21"/>
                <w:highlight w:val="none"/>
                <w:u w:val="none"/>
              </w:rPr>
            </w:pPr>
          </w:p>
        </w:tc>
        <w:tc>
          <w:tcPr>
            <w:tcW w:w="2127" w:type="dxa"/>
            <w:tcBorders>
              <w:top w:val="single" w:color="auto" w:sz="4" w:space="0"/>
              <w:left w:val="single" w:color="auto" w:sz="4" w:space="0"/>
              <w:bottom w:val="single" w:color="auto" w:sz="4" w:space="0"/>
              <w:right w:val="single" w:color="auto" w:sz="4" w:space="0"/>
            </w:tcBorders>
            <w:vAlign w:val="center"/>
          </w:tcPr>
          <w:p w14:paraId="50039C85">
            <w:pPr>
              <w:snapToGrid w:val="0"/>
              <w:spacing w:before="156" w:beforeLines="50" w:line="360" w:lineRule="auto"/>
              <w:rPr>
                <w:color w:val="auto"/>
                <w:szCs w:val="21"/>
                <w:highlight w:val="none"/>
                <w:u w:val="none"/>
              </w:rPr>
            </w:pPr>
          </w:p>
        </w:tc>
        <w:tc>
          <w:tcPr>
            <w:tcW w:w="1659" w:type="dxa"/>
            <w:tcBorders>
              <w:top w:val="single" w:color="auto" w:sz="4" w:space="0"/>
              <w:left w:val="single" w:color="auto" w:sz="4" w:space="0"/>
              <w:bottom w:val="single" w:color="auto" w:sz="4" w:space="0"/>
              <w:right w:val="single" w:color="auto" w:sz="4" w:space="0"/>
            </w:tcBorders>
            <w:vAlign w:val="center"/>
          </w:tcPr>
          <w:p w14:paraId="35987F2C">
            <w:pPr>
              <w:snapToGrid w:val="0"/>
              <w:spacing w:before="156" w:beforeLines="50" w:line="360" w:lineRule="auto"/>
              <w:rPr>
                <w:color w:val="auto"/>
                <w:szCs w:val="21"/>
                <w:highlight w:val="none"/>
                <w:u w:val="none"/>
              </w:rPr>
            </w:pPr>
          </w:p>
        </w:tc>
        <w:tc>
          <w:tcPr>
            <w:tcW w:w="1884" w:type="dxa"/>
            <w:tcBorders>
              <w:top w:val="single" w:color="auto" w:sz="4" w:space="0"/>
              <w:left w:val="single" w:color="auto" w:sz="4" w:space="0"/>
              <w:bottom w:val="single" w:color="auto" w:sz="4" w:space="0"/>
              <w:right w:val="single" w:color="auto" w:sz="4" w:space="0"/>
            </w:tcBorders>
            <w:vAlign w:val="center"/>
          </w:tcPr>
          <w:p w14:paraId="36538131">
            <w:pPr>
              <w:snapToGrid w:val="0"/>
              <w:spacing w:before="156" w:beforeLines="50" w:line="360" w:lineRule="auto"/>
              <w:rPr>
                <w:color w:val="auto"/>
                <w:szCs w:val="21"/>
                <w:highlight w:val="none"/>
                <w:u w:val="none"/>
              </w:rPr>
            </w:pPr>
          </w:p>
        </w:tc>
      </w:tr>
      <w:tr w14:paraId="02C6264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6"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7EB0CE2F">
            <w:pPr>
              <w:snapToGrid w:val="0"/>
              <w:spacing w:before="156" w:beforeLines="50" w:line="360" w:lineRule="auto"/>
              <w:jc w:val="center"/>
              <w:rPr>
                <w:color w:val="auto"/>
                <w:szCs w:val="21"/>
                <w:highlight w:val="none"/>
                <w:u w:val="none"/>
              </w:rPr>
            </w:pPr>
          </w:p>
        </w:tc>
        <w:tc>
          <w:tcPr>
            <w:tcW w:w="2008" w:type="dxa"/>
            <w:tcBorders>
              <w:top w:val="single" w:color="auto" w:sz="4" w:space="0"/>
              <w:left w:val="single" w:color="auto" w:sz="4" w:space="0"/>
              <w:bottom w:val="single" w:color="auto" w:sz="4" w:space="0"/>
              <w:right w:val="single" w:color="auto" w:sz="4" w:space="0"/>
            </w:tcBorders>
            <w:vAlign w:val="center"/>
          </w:tcPr>
          <w:p w14:paraId="5FE2E698">
            <w:pPr>
              <w:snapToGrid w:val="0"/>
              <w:spacing w:before="156" w:beforeLines="50" w:line="360" w:lineRule="auto"/>
              <w:rPr>
                <w:color w:val="auto"/>
                <w:szCs w:val="21"/>
                <w:highlight w:val="none"/>
                <w:u w:val="none"/>
              </w:rPr>
            </w:pPr>
          </w:p>
        </w:tc>
        <w:tc>
          <w:tcPr>
            <w:tcW w:w="2127" w:type="dxa"/>
            <w:tcBorders>
              <w:top w:val="single" w:color="auto" w:sz="4" w:space="0"/>
              <w:left w:val="single" w:color="auto" w:sz="4" w:space="0"/>
              <w:bottom w:val="single" w:color="auto" w:sz="4" w:space="0"/>
              <w:right w:val="single" w:color="auto" w:sz="4" w:space="0"/>
            </w:tcBorders>
            <w:vAlign w:val="center"/>
          </w:tcPr>
          <w:p w14:paraId="1EB5496F">
            <w:pPr>
              <w:snapToGrid w:val="0"/>
              <w:spacing w:before="156" w:beforeLines="50" w:line="360" w:lineRule="auto"/>
              <w:rPr>
                <w:color w:val="auto"/>
                <w:szCs w:val="21"/>
                <w:highlight w:val="none"/>
                <w:u w:val="none"/>
              </w:rPr>
            </w:pPr>
          </w:p>
        </w:tc>
        <w:tc>
          <w:tcPr>
            <w:tcW w:w="1659" w:type="dxa"/>
            <w:tcBorders>
              <w:top w:val="single" w:color="auto" w:sz="4" w:space="0"/>
              <w:left w:val="single" w:color="auto" w:sz="4" w:space="0"/>
              <w:bottom w:val="single" w:color="auto" w:sz="4" w:space="0"/>
              <w:right w:val="single" w:color="auto" w:sz="4" w:space="0"/>
            </w:tcBorders>
            <w:vAlign w:val="center"/>
          </w:tcPr>
          <w:p w14:paraId="2BCEF69A">
            <w:pPr>
              <w:snapToGrid w:val="0"/>
              <w:spacing w:before="156" w:beforeLines="50" w:line="360" w:lineRule="auto"/>
              <w:rPr>
                <w:color w:val="auto"/>
                <w:szCs w:val="21"/>
                <w:highlight w:val="none"/>
                <w:u w:val="none"/>
              </w:rPr>
            </w:pPr>
          </w:p>
        </w:tc>
        <w:tc>
          <w:tcPr>
            <w:tcW w:w="1884" w:type="dxa"/>
            <w:tcBorders>
              <w:top w:val="single" w:color="auto" w:sz="4" w:space="0"/>
              <w:left w:val="single" w:color="auto" w:sz="4" w:space="0"/>
              <w:bottom w:val="single" w:color="auto" w:sz="4" w:space="0"/>
              <w:right w:val="single" w:color="auto" w:sz="4" w:space="0"/>
            </w:tcBorders>
            <w:vAlign w:val="center"/>
          </w:tcPr>
          <w:p w14:paraId="3DD72C2A">
            <w:pPr>
              <w:snapToGrid w:val="0"/>
              <w:spacing w:before="156" w:beforeLines="50" w:line="360" w:lineRule="auto"/>
              <w:rPr>
                <w:color w:val="auto"/>
                <w:szCs w:val="21"/>
                <w:highlight w:val="none"/>
                <w:u w:val="none"/>
              </w:rPr>
            </w:pPr>
          </w:p>
        </w:tc>
      </w:tr>
      <w:tr w14:paraId="6888CF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1"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06B6E4D6">
            <w:pPr>
              <w:snapToGrid w:val="0"/>
              <w:spacing w:before="156" w:beforeLines="50" w:line="360" w:lineRule="auto"/>
              <w:jc w:val="center"/>
              <w:rPr>
                <w:color w:val="auto"/>
                <w:szCs w:val="21"/>
                <w:highlight w:val="none"/>
                <w:u w:val="none"/>
              </w:rPr>
            </w:pPr>
          </w:p>
        </w:tc>
        <w:tc>
          <w:tcPr>
            <w:tcW w:w="2008" w:type="dxa"/>
            <w:tcBorders>
              <w:top w:val="single" w:color="auto" w:sz="4" w:space="0"/>
              <w:left w:val="single" w:color="auto" w:sz="4" w:space="0"/>
              <w:bottom w:val="single" w:color="auto" w:sz="4" w:space="0"/>
              <w:right w:val="single" w:color="auto" w:sz="4" w:space="0"/>
            </w:tcBorders>
            <w:vAlign w:val="center"/>
          </w:tcPr>
          <w:p w14:paraId="317588F6">
            <w:pPr>
              <w:snapToGrid w:val="0"/>
              <w:spacing w:before="156" w:beforeLines="50" w:line="360" w:lineRule="auto"/>
              <w:rPr>
                <w:color w:val="auto"/>
                <w:szCs w:val="21"/>
                <w:highlight w:val="none"/>
                <w:u w:val="none"/>
              </w:rPr>
            </w:pPr>
          </w:p>
        </w:tc>
        <w:tc>
          <w:tcPr>
            <w:tcW w:w="2127" w:type="dxa"/>
            <w:tcBorders>
              <w:top w:val="single" w:color="auto" w:sz="4" w:space="0"/>
              <w:left w:val="single" w:color="auto" w:sz="4" w:space="0"/>
              <w:bottom w:val="single" w:color="auto" w:sz="4" w:space="0"/>
              <w:right w:val="single" w:color="auto" w:sz="4" w:space="0"/>
            </w:tcBorders>
            <w:vAlign w:val="center"/>
          </w:tcPr>
          <w:p w14:paraId="05141E14">
            <w:pPr>
              <w:snapToGrid w:val="0"/>
              <w:spacing w:before="156" w:beforeLines="50" w:line="360" w:lineRule="auto"/>
              <w:rPr>
                <w:color w:val="auto"/>
                <w:szCs w:val="21"/>
                <w:highlight w:val="none"/>
                <w:u w:val="none"/>
              </w:rPr>
            </w:pPr>
          </w:p>
        </w:tc>
        <w:tc>
          <w:tcPr>
            <w:tcW w:w="1659" w:type="dxa"/>
            <w:tcBorders>
              <w:top w:val="single" w:color="auto" w:sz="4" w:space="0"/>
              <w:left w:val="single" w:color="auto" w:sz="4" w:space="0"/>
              <w:bottom w:val="single" w:color="auto" w:sz="4" w:space="0"/>
              <w:right w:val="single" w:color="auto" w:sz="4" w:space="0"/>
            </w:tcBorders>
            <w:vAlign w:val="center"/>
          </w:tcPr>
          <w:p w14:paraId="6FD28BE3">
            <w:pPr>
              <w:snapToGrid w:val="0"/>
              <w:spacing w:before="156" w:beforeLines="50" w:line="360" w:lineRule="auto"/>
              <w:rPr>
                <w:color w:val="auto"/>
                <w:szCs w:val="21"/>
                <w:highlight w:val="none"/>
                <w:u w:val="none"/>
              </w:rPr>
            </w:pPr>
          </w:p>
        </w:tc>
        <w:tc>
          <w:tcPr>
            <w:tcW w:w="1884" w:type="dxa"/>
            <w:tcBorders>
              <w:top w:val="single" w:color="auto" w:sz="4" w:space="0"/>
              <w:left w:val="single" w:color="auto" w:sz="4" w:space="0"/>
              <w:bottom w:val="single" w:color="auto" w:sz="4" w:space="0"/>
              <w:right w:val="single" w:color="auto" w:sz="4" w:space="0"/>
            </w:tcBorders>
            <w:vAlign w:val="center"/>
          </w:tcPr>
          <w:p w14:paraId="7B4D88DF">
            <w:pPr>
              <w:snapToGrid w:val="0"/>
              <w:spacing w:before="156" w:beforeLines="50" w:line="360" w:lineRule="auto"/>
              <w:rPr>
                <w:color w:val="auto"/>
                <w:szCs w:val="21"/>
                <w:highlight w:val="none"/>
                <w:u w:val="none"/>
              </w:rPr>
            </w:pPr>
          </w:p>
        </w:tc>
      </w:tr>
      <w:tr w14:paraId="3D3494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639D3C6A">
            <w:pPr>
              <w:snapToGrid w:val="0"/>
              <w:spacing w:before="156" w:beforeLines="50" w:line="360" w:lineRule="auto"/>
              <w:jc w:val="center"/>
              <w:rPr>
                <w:color w:val="auto"/>
                <w:szCs w:val="21"/>
                <w:highlight w:val="none"/>
                <w:u w:val="none"/>
              </w:rPr>
            </w:pPr>
          </w:p>
        </w:tc>
        <w:tc>
          <w:tcPr>
            <w:tcW w:w="2008" w:type="dxa"/>
            <w:tcBorders>
              <w:top w:val="single" w:color="auto" w:sz="4" w:space="0"/>
              <w:left w:val="single" w:color="auto" w:sz="4" w:space="0"/>
              <w:bottom w:val="single" w:color="auto" w:sz="4" w:space="0"/>
              <w:right w:val="single" w:color="auto" w:sz="4" w:space="0"/>
            </w:tcBorders>
            <w:vAlign w:val="center"/>
          </w:tcPr>
          <w:p w14:paraId="2223AABE">
            <w:pPr>
              <w:snapToGrid w:val="0"/>
              <w:spacing w:before="156" w:beforeLines="50" w:line="360" w:lineRule="auto"/>
              <w:rPr>
                <w:color w:val="auto"/>
                <w:szCs w:val="21"/>
                <w:highlight w:val="none"/>
                <w:u w:val="none"/>
              </w:rPr>
            </w:pPr>
          </w:p>
        </w:tc>
        <w:tc>
          <w:tcPr>
            <w:tcW w:w="2127" w:type="dxa"/>
            <w:tcBorders>
              <w:top w:val="single" w:color="auto" w:sz="4" w:space="0"/>
              <w:left w:val="single" w:color="auto" w:sz="4" w:space="0"/>
              <w:bottom w:val="single" w:color="auto" w:sz="4" w:space="0"/>
              <w:right w:val="single" w:color="auto" w:sz="4" w:space="0"/>
            </w:tcBorders>
            <w:vAlign w:val="center"/>
          </w:tcPr>
          <w:p w14:paraId="4D59F4A5">
            <w:pPr>
              <w:snapToGrid w:val="0"/>
              <w:spacing w:before="156" w:beforeLines="50" w:line="360" w:lineRule="auto"/>
              <w:rPr>
                <w:color w:val="auto"/>
                <w:szCs w:val="21"/>
                <w:highlight w:val="none"/>
                <w:u w:val="none"/>
              </w:rPr>
            </w:pPr>
          </w:p>
        </w:tc>
        <w:tc>
          <w:tcPr>
            <w:tcW w:w="1659" w:type="dxa"/>
            <w:tcBorders>
              <w:top w:val="single" w:color="auto" w:sz="4" w:space="0"/>
              <w:left w:val="single" w:color="auto" w:sz="4" w:space="0"/>
              <w:bottom w:val="single" w:color="auto" w:sz="4" w:space="0"/>
              <w:right w:val="single" w:color="auto" w:sz="4" w:space="0"/>
            </w:tcBorders>
            <w:vAlign w:val="center"/>
          </w:tcPr>
          <w:p w14:paraId="0F0B2B92">
            <w:pPr>
              <w:snapToGrid w:val="0"/>
              <w:spacing w:before="156" w:beforeLines="50" w:line="360" w:lineRule="auto"/>
              <w:rPr>
                <w:color w:val="auto"/>
                <w:szCs w:val="21"/>
                <w:highlight w:val="none"/>
                <w:u w:val="none"/>
              </w:rPr>
            </w:pPr>
          </w:p>
        </w:tc>
        <w:tc>
          <w:tcPr>
            <w:tcW w:w="1884" w:type="dxa"/>
            <w:tcBorders>
              <w:top w:val="single" w:color="auto" w:sz="4" w:space="0"/>
              <w:left w:val="single" w:color="auto" w:sz="4" w:space="0"/>
              <w:bottom w:val="single" w:color="auto" w:sz="4" w:space="0"/>
              <w:right w:val="single" w:color="auto" w:sz="4" w:space="0"/>
            </w:tcBorders>
            <w:vAlign w:val="center"/>
          </w:tcPr>
          <w:p w14:paraId="3A933A69">
            <w:pPr>
              <w:snapToGrid w:val="0"/>
              <w:spacing w:before="156" w:beforeLines="50" w:line="360" w:lineRule="auto"/>
              <w:rPr>
                <w:color w:val="auto"/>
                <w:szCs w:val="21"/>
                <w:highlight w:val="none"/>
                <w:u w:val="none"/>
              </w:rPr>
            </w:pPr>
          </w:p>
        </w:tc>
      </w:tr>
      <w:tr w14:paraId="748B48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794" w:type="dxa"/>
            <w:tcBorders>
              <w:top w:val="single" w:color="auto" w:sz="4" w:space="0"/>
              <w:left w:val="single" w:color="auto" w:sz="4" w:space="0"/>
              <w:bottom w:val="single" w:color="auto" w:sz="4" w:space="0"/>
              <w:right w:val="single" w:color="auto" w:sz="4" w:space="0"/>
            </w:tcBorders>
            <w:vAlign w:val="center"/>
          </w:tcPr>
          <w:p w14:paraId="253A8175">
            <w:pPr>
              <w:snapToGrid w:val="0"/>
              <w:spacing w:before="156" w:beforeLines="50" w:line="360" w:lineRule="auto"/>
              <w:jc w:val="center"/>
              <w:rPr>
                <w:color w:val="auto"/>
                <w:szCs w:val="21"/>
                <w:highlight w:val="none"/>
                <w:u w:val="none"/>
              </w:rPr>
            </w:pPr>
          </w:p>
        </w:tc>
        <w:tc>
          <w:tcPr>
            <w:tcW w:w="2008" w:type="dxa"/>
            <w:tcBorders>
              <w:top w:val="single" w:color="auto" w:sz="4" w:space="0"/>
              <w:left w:val="single" w:color="auto" w:sz="4" w:space="0"/>
              <w:bottom w:val="single" w:color="auto" w:sz="4" w:space="0"/>
              <w:right w:val="single" w:color="auto" w:sz="4" w:space="0"/>
            </w:tcBorders>
            <w:vAlign w:val="center"/>
          </w:tcPr>
          <w:p w14:paraId="50852FD5">
            <w:pPr>
              <w:snapToGrid w:val="0"/>
              <w:spacing w:before="156" w:beforeLines="50" w:line="360" w:lineRule="auto"/>
              <w:rPr>
                <w:color w:val="auto"/>
                <w:szCs w:val="21"/>
                <w:highlight w:val="none"/>
                <w:u w:val="none"/>
              </w:rPr>
            </w:pPr>
          </w:p>
        </w:tc>
        <w:tc>
          <w:tcPr>
            <w:tcW w:w="2127" w:type="dxa"/>
            <w:tcBorders>
              <w:top w:val="single" w:color="auto" w:sz="4" w:space="0"/>
              <w:left w:val="single" w:color="auto" w:sz="4" w:space="0"/>
              <w:bottom w:val="single" w:color="auto" w:sz="4" w:space="0"/>
              <w:right w:val="single" w:color="auto" w:sz="4" w:space="0"/>
            </w:tcBorders>
            <w:vAlign w:val="center"/>
          </w:tcPr>
          <w:p w14:paraId="2088DF6A">
            <w:pPr>
              <w:snapToGrid w:val="0"/>
              <w:spacing w:before="156" w:beforeLines="50" w:line="360" w:lineRule="auto"/>
              <w:rPr>
                <w:color w:val="auto"/>
                <w:szCs w:val="21"/>
                <w:highlight w:val="none"/>
                <w:u w:val="none"/>
              </w:rPr>
            </w:pPr>
          </w:p>
        </w:tc>
        <w:tc>
          <w:tcPr>
            <w:tcW w:w="1659" w:type="dxa"/>
            <w:tcBorders>
              <w:top w:val="single" w:color="auto" w:sz="4" w:space="0"/>
              <w:left w:val="single" w:color="auto" w:sz="4" w:space="0"/>
              <w:bottom w:val="single" w:color="auto" w:sz="4" w:space="0"/>
              <w:right w:val="single" w:color="auto" w:sz="4" w:space="0"/>
            </w:tcBorders>
            <w:vAlign w:val="center"/>
          </w:tcPr>
          <w:p w14:paraId="3DEFA19A">
            <w:pPr>
              <w:snapToGrid w:val="0"/>
              <w:spacing w:before="156" w:beforeLines="50" w:line="360" w:lineRule="auto"/>
              <w:rPr>
                <w:color w:val="auto"/>
                <w:szCs w:val="21"/>
                <w:highlight w:val="none"/>
                <w:u w:val="none"/>
              </w:rPr>
            </w:pPr>
          </w:p>
        </w:tc>
        <w:tc>
          <w:tcPr>
            <w:tcW w:w="1884" w:type="dxa"/>
            <w:tcBorders>
              <w:top w:val="single" w:color="auto" w:sz="4" w:space="0"/>
              <w:left w:val="single" w:color="auto" w:sz="4" w:space="0"/>
              <w:bottom w:val="single" w:color="auto" w:sz="4" w:space="0"/>
              <w:right w:val="single" w:color="auto" w:sz="4" w:space="0"/>
            </w:tcBorders>
            <w:vAlign w:val="center"/>
          </w:tcPr>
          <w:p w14:paraId="2D175E59">
            <w:pPr>
              <w:snapToGrid w:val="0"/>
              <w:spacing w:before="156" w:beforeLines="50" w:line="360" w:lineRule="auto"/>
              <w:rPr>
                <w:color w:val="auto"/>
                <w:szCs w:val="21"/>
                <w:highlight w:val="none"/>
                <w:u w:val="none"/>
              </w:rPr>
            </w:pPr>
          </w:p>
        </w:tc>
      </w:tr>
    </w:tbl>
    <w:p w14:paraId="1E5C1FD8">
      <w:pPr>
        <w:pStyle w:val="5"/>
        <w:spacing w:line="360" w:lineRule="auto"/>
        <w:ind w:firstLine="4200" w:firstLineChars="2000"/>
        <w:rPr>
          <w:color w:val="auto"/>
          <w:szCs w:val="21"/>
          <w:highlight w:val="none"/>
          <w:u w:val="none"/>
        </w:rPr>
      </w:pPr>
      <w:r>
        <w:rPr>
          <w:rFonts w:hint="eastAsia"/>
          <w:color w:val="auto"/>
          <w:szCs w:val="21"/>
          <w:highlight w:val="none"/>
          <w:u w:val="none"/>
          <w:lang w:eastAsia="zh-CN"/>
        </w:rPr>
        <w:t>响应供应商</w:t>
      </w:r>
      <w:r>
        <w:rPr>
          <w:rFonts w:hint="eastAsia"/>
          <w:color w:val="auto"/>
          <w:szCs w:val="21"/>
          <w:highlight w:val="none"/>
          <w:u w:val="none"/>
        </w:rPr>
        <w:t xml:space="preserve">名称（公章）：   </w:t>
      </w:r>
      <w:r>
        <w:rPr>
          <w:rFonts w:hint="eastAsia" w:ascii="宋体" w:hAnsi="宋体" w:cs="宋体"/>
          <w:color w:val="auto"/>
          <w:szCs w:val="24"/>
          <w:highlight w:val="none"/>
          <w:u w:val="none"/>
        </w:rPr>
        <w:t xml:space="preserve">                        </w:t>
      </w:r>
      <w:r>
        <w:rPr>
          <w:rFonts w:hint="eastAsia"/>
          <w:color w:val="auto"/>
          <w:szCs w:val="21"/>
          <w:highlight w:val="none"/>
          <w:u w:val="none"/>
        </w:rPr>
        <w:t xml:space="preserve">                   </w:t>
      </w:r>
    </w:p>
    <w:p w14:paraId="4F3E57F1">
      <w:pPr>
        <w:pStyle w:val="5"/>
        <w:spacing w:line="360" w:lineRule="auto"/>
        <w:ind w:firstLineChars="200"/>
        <w:rPr>
          <w:color w:val="auto"/>
          <w:szCs w:val="21"/>
          <w:highlight w:val="none"/>
          <w:u w:val="none"/>
        </w:rPr>
      </w:pPr>
    </w:p>
    <w:p w14:paraId="25C0946A">
      <w:pPr>
        <w:spacing w:line="360" w:lineRule="auto"/>
        <w:ind w:hanging="315"/>
        <w:rPr>
          <w:color w:val="auto"/>
          <w:szCs w:val="21"/>
          <w:highlight w:val="none"/>
          <w:u w:val="none"/>
        </w:rPr>
      </w:pPr>
      <w:r>
        <w:rPr>
          <w:color w:val="auto"/>
          <w:szCs w:val="21"/>
          <w:highlight w:val="none"/>
          <w:u w:val="none"/>
        </w:rPr>
        <w:t xml:space="preserve">                                           </w:t>
      </w:r>
      <w:r>
        <w:rPr>
          <w:rFonts w:hint="eastAsia"/>
          <w:color w:val="auto"/>
          <w:szCs w:val="21"/>
          <w:highlight w:val="none"/>
          <w:u w:val="none"/>
        </w:rPr>
        <w:t xml:space="preserve">                   </w:t>
      </w:r>
      <w:r>
        <w:rPr>
          <w:color w:val="auto"/>
          <w:szCs w:val="21"/>
          <w:highlight w:val="none"/>
          <w:u w:val="none"/>
        </w:rPr>
        <w:t xml:space="preserve">日期： </w:t>
      </w:r>
      <w:r>
        <w:rPr>
          <w:rFonts w:hint="eastAsia"/>
          <w:color w:val="auto"/>
          <w:szCs w:val="21"/>
          <w:highlight w:val="none"/>
          <w:u w:val="none"/>
        </w:rPr>
        <w:t xml:space="preserve">   </w:t>
      </w:r>
      <w:r>
        <w:rPr>
          <w:color w:val="auto"/>
          <w:szCs w:val="21"/>
          <w:highlight w:val="none"/>
          <w:u w:val="none"/>
        </w:rPr>
        <w:t>年</w:t>
      </w:r>
      <w:r>
        <w:rPr>
          <w:rFonts w:hint="eastAsia"/>
          <w:color w:val="auto"/>
          <w:szCs w:val="21"/>
          <w:highlight w:val="none"/>
          <w:u w:val="none"/>
        </w:rPr>
        <w:t xml:space="preserve">  </w:t>
      </w:r>
      <w:r>
        <w:rPr>
          <w:color w:val="auto"/>
          <w:szCs w:val="21"/>
          <w:highlight w:val="none"/>
          <w:u w:val="none"/>
        </w:rPr>
        <w:t>月</w:t>
      </w:r>
      <w:r>
        <w:rPr>
          <w:rFonts w:hint="eastAsia"/>
          <w:color w:val="auto"/>
          <w:szCs w:val="21"/>
          <w:highlight w:val="none"/>
          <w:u w:val="none"/>
        </w:rPr>
        <w:t xml:space="preserve">   </w:t>
      </w:r>
      <w:r>
        <w:rPr>
          <w:color w:val="auto"/>
          <w:szCs w:val="21"/>
          <w:highlight w:val="none"/>
          <w:u w:val="none"/>
        </w:rPr>
        <w:t>日</w:t>
      </w:r>
    </w:p>
    <w:p w14:paraId="680A7482">
      <w:pPr>
        <w:spacing w:line="360" w:lineRule="auto"/>
        <w:rPr>
          <w:rFonts w:hint="eastAsia" w:ascii="宋体" w:hAnsi="宋体" w:cs="宋体"/>
          <w:b/>
          <w:bCs/>
          <w:color w:val="auto"/>
          <w:sz w:val="24"/>
          <w:highlight w:val="none"/>
          <w:u w:val="none"/>
        </w:rPr>
        <w:sectPr>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p>
    <w:bookmarkEnd w:id="115"/>
    <w:bookmarkEnd w:id="116"/>
    <w:bookmarkEnd w:id="117"/>
    <w:bookmarkEnd w:id="118"/>
    <w:p w14:paraId="74247C6F">
      <w:pPr>
        <w:spacing w:line="360" w:lineRule="auto"/>
        <w:jc w:val="center"/>
        <w:rPr>
          <w:rFonts w:hint="eastAsia" w:ascii="宋体" w:hAnsi="宋体"/>
          <w:b/>
          <w:color w:val="auto"/>
          <w:szCs w:val="21"/>
          <w:highlight w:val="none"/>
          <w:u w:val="none"/>
        </w:rPr>
      </w:pPr>
      <w:r>
        <w:rPr>
          <w:rFonts w:hint="eastAsia" w:ascii="宋体" w:hAnsi="宋体"/>
          <w:b/>
          <w:color w:val="auto"/>
          <w:szCs w:val="21"/>
          <w:highlight w:val="none"/>
          <w:u w:val="none"/>
        </w:rPr>
        <w:t>11.项目组成人员表</w:t>
      </w:r>
    </w:p>
    <w:p w14:paraId="36C6AD07">
      <w:pPr>
        <w:spacing w:line="360" w:lineRule="auto"/>
        <w:rPr>
          <w:rFonts w:hint="eastAsia" w:ascii="宋体" w:hAnsi="宋体"/>
          <w:color w:val="auto"/>
          <w:szCs w:val="21"/>
          <w:highlight w:val="none"/>
          <w:u w:val="none"/>
        </w:rPr>
      </w:pPr>
    </w:p>
    <w:tbl>
      <w:tblPr>
        <w:tblStyle w:val="16"/>
        <w:tblW w:w="9360" w:type="dxa"/>
        <w:tblInd w:w="99" w:type="dxa"/>
        <w:tblLayout w:type="fixed"/>
        <w:tblCellMar>
          <w:top w:w="0" w:type="dxa"/>
          <w:left w:w="108" w:type="dxa"/>
          <w:bottom w:w="0" w:type="dxa"/>
          <w:right w:w="108" w:type="dxa"/>
        </w:tblCellMar>
      </w:tblPr>
      <w:tblGrid>
        <w:gridCol w:w="1486"/>
        <w:gridCol w:w="1134"/>
        <w:gridCol w:w="933"/>
        <w:gridCol w:w="1276"/>
        <w:gridCol w:w="1276"/>
        <w:gridCol w:w="1701"/>
        <w:gridCol w:w="1554"/>
      </w:tblGrid>
      <w:tr w14:paraId="05624E84">
        <w:tblPrEx>
          <w:tblCellMar>
            <w:top w:w="0" w:type="dxa"/>
            <w:left w:w="108" w:type="dxa"/>
            <w:bottom w:w="0" w:type="dxa"/>
            <w:right w:w="108" w:type="dxa"/>
          </w:tblCellMar>
        </w:tblPrEx>
        <w:trPr>
          <w:trHeight w:val="480" w:hRule="atLeast"/>
        </w:trPr>
        <w:tc>
          <w:tcPr>
            <w:tcW w:w="1486" w:type="dxa"/>
            <w:vMerge w:val="restart"/>
            <w:tcBorders>
              <w:top w:val="single" w:color="auto" w:sz="8" w:space="0"/>
              <w:left w:val="single" w:color="auto" w:sz="8" w:space="0"/>
              <w:bottom w:val="single" w:color="000000" w:sz="8" w:space="0"/>
              <w:right w:val="single" w:color="auto" w:sz="8" w:space="0"/>
            </w:tcBorders>
            <w:vAlign w:val="center"/>
          </w:tcPr>
          <w:p w14:paraId="7EE8C55F">
            <w:pPr>
              <w:widowControl/>
              <w:spacing w:line="360" w:lineRule="auto"/>
              <w:jc w:val="center"/>
              <w:rPr>
                <w:rFonts w:hint="eastAsia" w:ascii="宋体" w:hAnsi="宋体" w:cs="宋体"/>
                <w:color w:val="auto"/>
                <w:szCs w:val="21"/>
                <w:highlight w:val="none"/>
                <w:u w:val="none"/>
              </w:rPr>
            </w:pPr>
            <w:r>
              <w:rPr>
                <w:rFonts w:hint="eastAsia" w:ascii="宋体" w:hAnsi="宋体" w:cs="宋体"/>
                <w:color w:val="auto"/>
                <w:szCs w:val="21"/>
                <w:highlight w:val="none"/>
                <w:u w:val="none"/>
              </w:rPr>
              <w:t>岗位</w:t>
            </w:r>
          </w:p>
        </w:tc>
        <w:tc>
          <w:tcPr>
            <w:tcW w:w="1134" w:type="dxa"/>
            <w:vMerge w:val="restart"/>
            <w:tcBorders>
              <w:top w:val="single" w:color="auto" w:sz="8" w:space="0"/>
              <w:left w:val="single" w:color="auto" w:sz="8" w:space="0"/>
              <w:bottom w:val="single" w:color="000000" w:sz="8" w:space="0"/>
              <w:right w:val="single" w:color="auto" w:sz="8" w:space="0"/>
            </w:tcBorders>
            <w:vAlign w:val="center"/>
          </w:tcPr>
          <w:p w14:paraId="42E8D9ED">
            <w:pPr>
              <w:widowControl/>
              <w:spacing w:line="360" w:lineRule="auto"/>
              <w:jc w:val="center"/>
              <w:rPr>
                <w:rFonts w:hint="eastAsia" w:ascii="宋体" w:hAnsi="宋体" w:cs="宋体"/>
                <w:color w:val="auto"/>
                <w:szCs w:val="21"/>
                <w:highlight w:val="none"/>
                <w:u w:val="none"/>
              </w:rPr>
            </w:pPr>
            <w:r>
              <w:rPr>
                <w:rFonts w:hint="eastAsia" w:ascii="宋体" w:hAnsi="宋体" w:cs="宋体"/>
                <w:color w:val="auto"/>
                <w:szCs w:val="21"/>
                <w:highlight w:val="none"/>
                <w:u w:val="none"/>
              </w:rPr>
              <w:t>姓名</w:t>
            </w:r>
          </w:p>
        </w:tc>
        <w:tc>
          <w:tcPr>
            <w:tcW w:w="933" w:type="dxa"/>
            <w:vMerge w:val="restart"/>
            <w:tcBorders>
              <w:top w:val="single" w:color="auto" w:sz="8" w:space="0"/>
              <w:left w:val="single" w:color="auto" w:sz="8" w:space="0"/>
              <w:bottom w:val="single" w:color="000000" w:sz="8" w:space="0"/>
              <w:right w:val="single" w:color="auto" w:sz="8" w:space="0"/>
            </w:tcBorders>
            <w:vAlign w:val="center"/>
          </w:tcPr>
          <w:p w14:paraId="79FD4238">
            <w:pPr>
              <w:widowControl/>
              <w:spacing w:line="360" w:lineRule="auto"/>
              <w:jc w:val="center"/>
              <w:rPr>
                <w:rFonts w:hint="eastAsia" w:ascii="宋体" w:hAnsi="宋体" w:cs="宋体"/>
                <w:color w:val="auto"/>
                <w:szCs w:val="21"/>
                <w:highlight w:val="none"/>
                <w:u w:val="none"/>
              </w:rPr>
            </w:pPr>
            <w:r>
              <w:rPr>
                <w:rFonts w:hint="eastAsia" w:ascii="宋体" w:hAnsi="宋体" w:cs="宋体"/>
                <w:color w:val="auto"/>
                <w:szCs w:val="21"/>
                <w:highlight w:val="none"/>
                <w:u w:val="none"/>
              </w:rPr>
              <w:t>性别</w:t>
            </w:r>
          </w:p>
        </w:tc>
        <w:tc>
          <w:tcPr>
            <w:tcW w:w="1276" w:type="dxa"/>
            <w:vMerge w:val="restart"/>
            <w:tcBorders>
              <w:top w:val="single" w:color="auto" w:sz="8" w:space="0"/>
              <w:left w:val="single" w:color="auto" w:sz="8" w:space="0"/>
              <w:bottom w:val="single" w:color="000000" w:sz="8" w:space="0"/>
              <w:right w:val="single" w:color="auto" w:sz="8" w:space="0"/>
            </w:tcBorders>
            <w:vAlign w:val="center"/>
          </w:tcPr>
          <w:p w14:paraId="03E2587B">
            <w:pPr>
              <w:widowControl/>
              <w:spacing w:line="360" w:lineRule="auto"/>
              <w:jc w:val="center"/>
              <w:rPr>
                <w:rFonts w:hint="eastAsia" w:ascii="宋体" w:hAnsi="宋体" w:cs="宋体"/>
                <w:color w:val="auto"/>
                <w:szCs w:val="21"/>
                <w:highlight w:val="none"/>
                <w:u w:val="none"/>
              </w:rPr>
            </w:pPr>
            <w:r>
              <w:rPr>
                <w:rFonts w:hint="eastAsia" w:ascii="宋体" w:hAnsi="宋体" w:cs="宋体"/>
                <w:color w:val="auto"/>
                <w:szCs w:val="21"/>
                <w:highlight w:val="none"/>
                <w:u w:val="none"/>
              </w:rPr>
              <w:t>年龄</w:t>
            </w:r>
          </w:p>
        </w:tc>
        <w:tc>
          <w:tcPr>
            <w:tcW w:w="1276" w:type="dxa"/>
            <w:vMerge w:val="restart"/>
            <w:tcBorders>
              <w:top w:val="single" w:color="auto" w:sz="8" w:space="0"/>
              <w:left w:val="single" w:color="auto" w:sz="8" w:space="0"/>
              <w:bottom w:val="single" w:color="000000" w:sz="8" w:space="0"/>
              <w:right w:val="single" w:color="auto" w:sz="8" w:space="0"/>
            </w:tcBorders>
            <w:vAlign w:val="center"/>
          </w:tcPr>
          <w:p w14:paraId="1D691D29">
            <w:pPr>
              <w:widowControl/>
              <w:spacing w:line="360" w:lineRule="auto"/>
              <w:jc w:val="center"/>
              <w:rPr>
                <w:rFonts w:hint="eastAsia" w:ascii="宋体" w:hAnsi="宋体" w:cs="宋体"/>
                <w:color w:val="auto"/>
                <w:szCs w:val="21"/>
                <w:highlight w:val="none"/>
                <w:u w:val="none"/>
              </w:rPr>
            </w:pPr>
            <w:r>
              <w:rPr>
                <w:rFonts w:hint="eastAsia" w:ascii="宋体" w:hAnsi="宋体" w:cs="宋体"/>
                <w:color w:val="auto"/>
                <w:szCs w:val="21"/>
                <w:highlight w:val="none"/>
                <w:u w:val="none"/>
              </w:rPr>
              <w:t>专业</w:t>
            </w:r>
          </w:p>
        </w:tc>
        <w:tc>
          <w:tcPr>
            <w:tcW w:w="1701" w:type="dxa"/>
            <w:vMerge w:val="restart"/>
            <w:tcBorders>
              <w:top w:val="single" w:color="auto" w:sz="8" w:space="0"/>
              <w:left w:val="single" w:color="auto" w:sz="8" w:space="0"/>
              <w:bottom w:val="single" w:color="000000" w:sz="8" w:space="0"/>
              <w:right w:val="single" w:color="auto" w:sz="8" w:space="0"/>
            </w:tcBorders>
            <w:vAlign w:val="center"/>
          </w:tcPr>
          <w:p w14:paraId="64906364">
            <w:pPr>
              <w:widowControl/>
              <w:spacing w:line="360" w:lineRule="auto"/>
              <w:jc w:val="center"/>
              <w:rPr>
                <w:rFonts w:hint="eastAsia" w:ascii="宋体" w:hAnsi="宋体" w:cs="宋体"/>
                <w:color w:val="auto"/>
                <w:szCs w:val="21"/>
                <w:highlight w:val="none"/>
                <w:u w:val="none"/>
              </w:rPr>
            </w:pPr>
            <w:r>
              <w:rPr>
                <w:rFonts w:hint="eastAsia" w:ascii="宋体" w:hAnsi="宋体" w:cs="宋体"/>
                <w:color w:val="auto"/>
                <w:szCs w:val="21"/>
                <w:highlight w:val="none"/>
                <w:u w:val="none"/>
              </w:rPr>
              <w:t>职称</w:t>
            </w:r>
          </w:p>
        </w:tc>
        <w:tc>
          <w:tcPr>
            <w:tcW w:w="1554" w:type="dxa"/>
            <w:vMerge w:val="restart"/>
            <w:tcBorders>
              <w:top w:val="single" w:color="auto" w:sz="8" w:space="0"/>
              <w:left w:val="single" w:color="auto" w:sz="8" w:space="0"/>
              <w:bottom w:val="single" w:color="000000" w:sz="8" w:space="0"/>
              <w:right w:val="single" w:color="auto" w:sz="8" w:space="0"/>
            </w:tcBorders>
            <w:vAlign w:val="center"/>
          </w:tcPr>
          <w:p w14:paraId="1241E7B2">
            <w:pPr>
              <w:widowControl/>
              <w:spacing w:line="360" w:lineRule="auto"/>
              <w:jc w:val="center"/>
              <w:rPr>
                <w:rFonts w:hint="eastAsia" w:ascii="宋体" w:hAnsi="宋体" w:cs="宋体"/>
                <w:color w:val="auto"/>
                <w:szCs w:val="21"/>
                <w:highlight w:val="none"/>
                <w:u w:val="none"/>
              </w:rPr>
            </w:pPr>
            <w:r>
              <w:rPr>
                <w:rFonts w:hint="eastAsia" w:ascii="宋体" w:hAnsi="宋体" w:cs="宋体"/>
                <w:color w:val="auto"/>
                <w:szCs w:val="21"/>
                <w:highlight w:val="none"/>
                <w:u w:val="none"/>
              </w:rPr>
              <w:t>资格证书</w:t>
            </w:r>
          </w:p>
        </w:tc>
      </w:tr>
      <w:tr w14:paraId="04208ACA">
        <w:tblPrEx>
          <w:tblCellMar>
            <w:top w:w="0" w:type="dxa"/>
            <w:left w:w="108" w:type="dxa"/>
            <w:bottom w:w="0" w:type="dxa"/>
            <w:right w:w="108" w:type="dxa"/>
          </w:tblCellMar>
        </w:tblPrEx>
        <w:trPr>
          <w:trHeight w:val="566" w:hRule="atLeast"/>
        </w:trPr>
        <w:tc>
          <w:tcPr>
            <w:tcW w:w="1486" w:type="dxa"/>
            <w:vMerge w:val="continue"/>
            <w:tcBorders>
              <w:top w:val="single" w:color="auto" w:sz="8" w:space="0"/>
              <w:left w:val="single" w:color="auto" w:sz="8" w:space="0"/>
              <w:bottom w:val="single" w:color="000000" w:sz="8" w:space="0"/>
              <w:right w:val="single" w:color="auto" w:sz="8" w:space="0"/>
            </w:tcBorders>
            <w:vAlign w:val="center"/>
          </w:tcPr>
          <w:p w14:paraId="276ACFEF">
            <w:pPr>
              <w:widowControl/>
              <w:spacing w:line="360" w:lineRule="auto"/>
              <w:jc w:val="center"/>
              <w:rPr>
                <w:rFonts w:hint="eastAsia" w:ascii="宋体" w:hAnsi="宋体" w:cs="宋体"/>
                <w:color w:val="auto"/>
                <w:szCs w:val="21"/>
                <w:highlight w:val="none"/>
                <w:u w:val="none"/>
              </w:rPr>
            </w:pPr>
          </w:p>
        </w:tc>
        <w:tc>
          <w:tcPr>
            <w:tcW w:w="1134" w:type="dxa"/>
            <w:vMerge w:val="continue"/>
            <w:tcBorders>
              <w:top w:val="single" w:color="auto" w:sz="8" w:space="0"/>
              <w:left w:val="single" w:color="auto" w:sz="8" w:space="0"/>
              <w:bottom w:val="single" w:color="000000" w:sz="8" w:space="0"/>
              <w:right w:val="single" w:color="auto" w:sz="8" w:space="0"/>
            </w:tcBorders>
            <w:vAlign w:val="center"/>
          </w:tcPr>
          <w:p w14:paraId="47B7BD38">
            <w:pPr>
              <w:widowControl/>
              <w:spacing w:line="360" w:lineRule="auto"/>
              <w:jc w:val="center"/>
              <w:rPr>
                <w:rFonts w:hint="eastAsia" w:ascii="宋体" w:hAnsi="宋体" w:cs="宋体"/>
                <w:color w:val="auto"/>
                <w:szCs w:val="21"/>
                <w:highlight w:val="none"/>
                <w:u w:val="none"/>
              </w:rPr>
            </w:pPr>
          </w:p>
        </w:tc>
        <w:tc>
          <w:tcPr>
            <w:tcW w:w="933" w:type="dxa"/>
            <w:vMerge w:val="continue"/>
            <w:tcBorders>
              <w:top w:val="single" w:color="auto" w:sz="8" w:space="0"/>
              <w:left w:val="single" w:color="auto" w:sz="8" w:space="0"/>
              <w:bottom w:val="single" w:color="000000" w:sz="8" w:space="0"/>
              <w:right w:val="single" w:color="auto" w:sz="8" w:space="0"/>
            </w:tcBorders>
            <w:vAlign w:val="center"/>
          </w:tcPr>
          <w:p w14:paraId="6EE2EC6D">
            <w:pPr>
              <w:widowControl/>
              <w:spacing w:line="360" w:lineRule="auto"/>
              <w:jc w:val="center"/>
              <w:rPr>
                <w:rFonts w:hint="eastAsia" w:ascii="宋体" w:hAnsi="宋体" w:cs="宋体"/>
                <w:color w:val="auto"/>
                <w:szCs w:val="21"/>
                <w:highlight w:val="none"/>
                <w:u w:val="none"/>
              </w:rPr>
            </w:pPr>
          </w:p>
        </w:tc>
        <w:tc>
          <w:tcPr>
            <w:tcW w:w="1276" w:type="dxa"/>
            <w:vMerge w:val="continue"/>
            <w:tcBorders>
              <w:top w:val="single" w:color="auto" w:sz="8" w:space="0"/>
              <w:left w:val="single" w:color="auto" w:sz="8" w:space="0"/>
              <w:bottom w:val="single" w:color="000000" w:sz="8" w:space="0"/>
              <w:right w:val="single" w:color="auto" w:sz="8" w:space="0"/>
            </w:tcBorders>
            <w:vAlign w:val="center"/>
          </w:tcPr>
          <w:p w14:paraId="1294FEB2">
            <w:pPr>
              <w:widowControl/>
              <w:spacing w:line="360" w:lineRule="auto"/>
              <w:jc w:val="center"/>
              <w:rPr>
                <w:rFonts w:hint="eastAsia" w:ascii="宋体" w:hAnsi="宋体" w:cs="宋体"/>
                <w:color w:val="auto"/>
                <w:szCs w:val="21"/>
                <w:highlight w:val="none"/>
                <w:u w:val="none"/>
              </w:rPr>
            </w:pPr>
          </w:p>
        </w:tc>
        <w:tc>
          <w:tcPr>
            <w:tcW w:w="1276" w:type="dxa"/>
            <w:vMerge w:val="continue"/>
            <w:tcBorders>
              <w:top w:val="single" w:color="auto" w:sz="8" w:space="0"/>
              <w:left w:val="single" w:color="auto" w:sz="8" w:space="0"/>
              <w:bottom w:val="single" w:color="000000" w:sz="8" w:space="0"/>
              <w:right w:val="single" w:color="auto" w:sz="8" w:space="0"/>
            </w:tcBorders>
            <w:vAlign w:val="center"/>
          </w:tcPr>
          <w:p w14:paraId="78FBB81F">
            <w:pPr>
              <w:widowControl/>
              <w:spacing w:line="360" w:lineRule="auto"/>
              <w:jc w:val="center"/>
              <w:rPr>
                <w:rFonts w:hint="eastAsia" w:ascii="宋体" w:hAnsi="宋体" w:cs="宋体"/>
                <w:color w:val="auto"/>
                <w:szCs w:val="21"/>
                <w:highlight w:val="none"/>
                <w:u w:val="none"/>
              </w:rPr>
            </w:pPr>
          </w:p>
        </w:tc>
        <w:tc>
          <w:tcPr>
            <w:tcW w:w="1701" w:type="dxa"/>
            <w:vMerge w:val="continue"/>
            <w:tcBorders>
              <w:top w:val="single" w:color="auto" w:sz="8" w:space="0"/>
              <w:left w:val="single" w:color="auto" w:sz="8" w:space="0"/>
              <w:bottom w:val="single" w:color="000000" w:sz="8" w:space="0"/>
              <w:right w:val="single" w:color="auto" w:sz="8" w:space="0"/>
            </w:tcBorders>
            <w:vAlign w:val="center"/>
          </w:tcPr>
          <w:p w14:paraId="6BD365B6">
            <w:pPr>
              <w:widowControl/>
              <w:spacing w:line="360" w:lineRule="auto"/>
              <w:jc w:val="center"/>
              <w:rPr>
                <w:rFonts w:hint="eastAsia" w:ascii="宋体" w:hAnsi="宋体" w:cs="宋体"/>
                <w:color w:val="auto"/>
                <w:szCs w:val="21"/>
                <w:highlight w:val="none"/>
                <w:u w:val="none"/>
              </w:rPr>
            </w:pPr>
          </w:p>
        </w:tc>
        <w:tc>
          <w:tcPr>
            <w:tcW w:w="1554" w:type="dxa"/>
            <w:vMerge w:val="continue"/>
            <w:tcBorders>
              <w:top w:val="single" w:color="auto" w:sz="8" w:space="0"/>
              <w:left w:val="single" w:color="auto" w:sz="8" w:space="0"/>
              <w:bottom w:val="single" w:color="000000" w:sz="8" w:space="0"/>
              <w:right w:val="single" w:color="auto" w:sz="8" w:space="0"/>
            </w:tcBorders>
            <w:vAlign w:val="center"/>
          </w:tcPr>
          <w:p w14:paraId="27F1D90D">
            <w:pPr>
              <w:widowControl/>
              <w:spacing w:line="360" w:lineRule="auto"/>
              <w:jc w:val="center"/>
              <w:rPr>
                <w:rFonts w:hint="eastAsia" w:ascii="宋体" w:hAnsi="宋体" w:cs="宋体"/>
                <w:color w:val="auto"/>
                <w:szCs w:val="21"/>
                <w:highlight w:val="none"/>
                <w:u w:val="none"/>
              </w:rPr>
            </w:pPr>
          </w:p>
        </w:tc>
      </w:tr>
      <w:tr w14:paraId="040D0019">
        <w:tblPrEx>
          <w:tblCellMar>
            <w:top w:w="0" w:type="dxa"/>
            <w:left w:w="108" w:type="dxa"/>
            <w:bottom w:w="0" w:type="dxa"/>
            <w:right w:w="108" w:type="dxa"/>
          </w:tblCellMar>
        </w:tblPrEx>
        <w:trPr>
          <w:trHeight w:val="508" w:hRule="atLeast"/>
        </w:trPr>
        <w:tc>
          <w:tcPr>
            <w:tcW w:w="1486" w:type="dxa"/>
            <w:tcBorders>
              <w:top w:val="nil"/>
              <w:left w:val="single" w:color="auto" w:sz="8" w:space="0"/>
              <w:bottom w:val="single" w:color="auto" w:sz="8" w:space="0"/>
              <w:right w:val="single" w:color="auto" w:sz="8" w:space="0"/>
            </w:tcBorders>
            <w:vAlign w:val="center"/>
          </w:tcPr>
          <w:p w14:paraId="6F790A4C">
            <w:pPr>
              <w:widowControl/>
              <w:spacing w:line="360" w:lineRule="auto"/>
              <w:jc w:val="center"/>
              <w:rPr>
                <w:rFonts w:hint="eastAsia" w:ascii="宋体" w:hAnsi="宋体" w:cs="宋体"/>
                <w:color w:val="auto"/>
                <w:szCs w:val="21"/>
                <w:highlight w:val="none"/>
                <w:u w:val="none"/>
              </w:rPr>
            </w:pPr>
            <w:r>
              <w:rPr>
                <w:rFonts w:hint="eastAsia" w:ascii="宋体" w:hAnsi="宋体" w:cs="宋体"/>
                <w:color w:val="auto"/>
                <w:szCs w:val="21"/>
                <w:highlight w:val="none"/>
                <w:u w:val="none"/>
              </w:rPr>
              <w:t>项目负责人</w:t>
            </w:r>
          </w:p>
        </w:tc>
        <w:tc>
          <w:tcPr>
            <w:tcW w:w="1134" w:type="dxa"/>
            <w:tcBorders>
              <w:top w:val="nil"/>
              <w:left w:val="nil"/>
              <w:bottom w:val="single" w:color="auto" w:sz="8" w:space="0"/>
              <w:right w:val="single" w:color="auto" w:sz="8" w:space="0"/>
            </w:tcBorders>
            <w:vAlign w:val="center"/>
          </w:tcPr>
          <w:p w14:paraId="118CF82E">
            <w:pPr>
              <w:widowControl/>
              <w:spacing w:line="360" w:lineRule="auto"/>
              <w:rPr>
                <w:rFonts w:hint="eastAsia" w:ascii="宋体" w:hAnsi="宋体" w:cs="宋体"/>
                <w:color w:val="auto"/>
                <w:szCs w:val="21"/>
                <w:highlight w:val="none"/>
                <w:u w:val="none"/>
              </w:rPr>
            </w:pPr>
          </w:p>
        </w:tc>
        <w:tc>
          <w:tcPr>
            <w:tcW w:w="933" w:type="dxa"/>
            <w:tcBorders>
              <w:top w:val="nil"/>
              <w:left w:val="nil"/>
              <w:bottom w:val="single" w:color="auto" w:sz="8" w:space="0"/>
              <w:right w:val="single" w:color="auto" w:sz="8" w:space="0"/>
            </w:tcBorders>
            <w:vAlign w:val="center"/>
          </w:tcPr>
          <w:p w14:paraId="6819A5D8">
            <w:pPr>
              <w:widowControl/>
              <w:spacing w:line="360" w:lineRule="auto"/>
              <w:jc w:val="center"/>
              <w:rPr>
                <w:rFonts w:hint="eastAsia" w:ascii="宋体" w:hAnsi="宋体" w:cs="宋体"/>
                <w:color w:val="auto"/>
                <w:szCs w:val="21"/>
                <w:highlight w:val="none"/>
                <w:u w:val="none"/>
              </w:rPr>
            </w:pPr>
          </w:p>
        </w:tc>
        <w:tc>
          <w:tcPr>
            <w:tcW w:w="1276" w:type="dxa"/>
            <w:tcBorders>
              <w:top w:val="nil"/>
              <w:left w:val="nil"/>
              <w:bottom w:val="single" w:color="auto" w:sz="8" w:space="0"/>
              <w:right w:val="single" w:color="auto" w:sz="8" w:space="0"/>
            </w:tcBorders>
            <w:vAlign w:val="center"/>
          </w:tcPr>
          <w:p w14:paraId="3AFC44F5">
            <w:pPr>
              <w:widowControl/>
              <w:spacing w:line="360" w:lineRule="auto"/>
              <w:jc w:val="center"/>
              <w:rPr>
                <w:rFonts w:hint="eastAsia" w:ascii="宋体" w:hAnsi="宋体" w:cs="宋体"/>
                <w:color w:val="auto"/>
                <w:szCs w:val="21"/>
                <w:highlight w:val="none"/>
                <w:u w:val="none"/>
              </w:rPr>
            </w:pPr>
          </w:p>
        </w:tc>
        <w:tc>
          <w:tcPr>
            <w:tcW w:w="1276" w:type="dxa"/>
            <w:tcBorders>
              <w:top w:val="nil"/>
              <w:left w:val="nil"/>
              <w:bottom w:val="single" w:color="auto" w:sz="8" w:space="0"/>
              <w:right w:val="single" w:color="auto" w:sz="8" w:space="0"/>
            </w:tcBorders>
            <w:vAlign w:val="center"/>
          </w:tcPr>
          <w:p w14:paraId="7AEE3DA6">
            <w:pPr>
              <w:widowControl/>
              <w:spacing w:line="360" w:lineRule="auto"/>
              <w:jc w:val="center"/>
              <w:rPr>
                <w:rFonts w:hint="eastAsia" w:ascii="宋体" w:hAnsi="宋体" w:cs="宋体"/>
                <w:color w:val="auto"/>
                <w:szCs w:val="21"/>
                <w:highlight w:val="none"/>
                <w:u w:val="none"/>
              </w:rPr>
            </w:pPr>
          </w:p>
        </w:tc>
        <w:tc>
          <w:tcPr>
            <w:tcW w:w="1701" w:type="dxa"/>
            <w:tcBorders>
              <w:top w:val="nil"/>
              <w:left w:val="nil"/>
              <w:bottom w:val="single" w:color="auto" w:sz="8" w:space="0"/>
              <w:right w:val="single" w:color="auto" w:sz="8" w:space="0"/>
            </w:tcBorders>
            <w:vAlign w:val="center"/>
          </w:tcPr>
          <w:p w14:paraId="20BFF08F">
            <w:pPr>
              <w:widowControl/>
              <w:spacing w:line="360" w:lineRule="auto"/>
              <w:jc w:val="center"/>
              <w:rPr>
                <w:rFonts w:hint="eastAsia" w:ascii="宋体" w:hAnsi="宋体" w:cs="宋体"/>
                <w:color w:val="auto"/>
                <w:szCs w:val="21"/>
                <w:highlight w:val="none"/>
                <w:u w:val="none"/>
              </w:rPr>
            </w:pPr>
          </w:p>
        </w:tc>
        <w:tc>
          <w:tcPr>
            <w:tcW w:w="1554" w:type="dxa"/>
            <w:tcBorders>
              <w:top w:val="nil"/>
              <w:left w:val="nil"/>
              <w:bottom w:val="single" w:color="auto" w:sz="8" w:space="0"/>
              <w:right w:val="single" w:color="auto" w:sz="8" w:space="0"/>
            </w:tcBorders>
            <w:vAlign w:val="center"/>
          </w:tcPr>
          <w:p w14:paraId="7E7C5D1C">
            <w:pPr>
              <w:widowControl/>
              <w:spacing w:line="360" w:lineRule="auto"/>
              <w:jc w:val="center"/>
              <w:rPr>
                <w:rFonts w:hint="eastAsia" w:ascii="宋体" w:hAnsi="宋体" w:cs="宋体"/>
                <w:color w:val="auto"/>
                <w:szCs w:val="21"/>
                <w:highlight w:val="none"/>
                <w:u w:val="none"/>
              </w:rPr>
            </w:pPr>
          </w:p>
        </w:tc>
      </w:tr>
      <w:tr w14:paraId="6C1EC348">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vAlign w:val="center"/>
          </w:tcPr>
          <w:p w14:paraId="01C97B8E">
            <w:pPr>
              <w:widowControl/>
              <w:spacing w:line="360" w:lineRule="auto"/>
              <w:rPr>
                <w:rFonts w:hint="eastAsia" w:ascii="宋体" w:hAnsi="宋体" w:cs="宋体"/>
                <w:color w:val="auto"/>
                <w:szCs w:val="21"/>
                <w:highlight w:val="none"/>
                <w:u w:val="none"/>
              </w:rPr>
            </w:pPr>
          </w:p>
        </w:tc>
        <w:tc>
          <w:tcPr>
            <w:tcW w:w="1134" w:type="dxa"/>
            <w:tcBorders>
              <w:top w:val="nil"/>
              <w:left w:val="nil"/>
              <w:bottom w:val="single" w:color="auto" w:sz="8" w:space="0"/>
              <w:right w:val="single" w:color="auto" w:sz="8" w:space="0"/>
            </w:tcBorders>
            <w:vAlign w:val="center"/>
          </w:tcPr>
          <w:p w14:paraId="29959A1B">
            <w:pPr>
              <w:widowControl/>
              <w:spacing w:line="360" w:lineRule="auto"/>
              <w:rPr>
                <w:rFonts w:hint="eastAsia" w:ascii="宋体" w:hAnsi="宋体" w:cs="宋体"/>
                <w:color w:val="auto"/>
                <w:szCs w:val="21"/>
                <w:highlight w:val="none"/>
                <w:u w:val="none"/>
              </w:rPr>
            </w:pPr>
          </w:p>
        </w:tc>
        <w:tc>
          <w:tcPr>
            <w:tcW w:w="933" w:type="dxa"/>
            <w:tcBorders>
              <w:top w:val="nil"/>
              <w:left w:val="nil"/>
              <w:bottom w:val="single" w:color="auto" w:sz="8" w:space="0"/>
              <w:right w:val="single" w:color="auto" w:sz="8" w:space="0"/>
            </w:tcBorders>
            <w:vAlign w:val="center"/>
          </w:tcPr>
          <w:p w14:paraId="6B45B508">
            <w:pPr>
              <w:widowControl/>
              <w:spacing w:line="360" w:lineRule="auto"/>
              <w:jc w:val="center"/>
              <w:rPr>
                <w:rFonts w:hint="eastAsia" w:ascii="宋体" w:hAnsi="宋体" w:cs="宋体"/>
                <w:color w:val="auto"/>
                <w:szCs w:val="21"/>
                <w:highlight w:val="none"/>
                <w:u w:val="none"/>
              </w:rPr>
            </w:pPr>
          </w:p>
        </w:tc>
        <w:tc>
          <w:tcPr>
            <w:tcW w:w="1276" w:type="dxa"/>
            <w:tcBorders>
              <w:top w:val="nil"/>
              <w:left w:val="nil"/>
              <w:bottom w:val="single" w:color="auto" w:sz="8" w:space="0"/>
              <w:right w:val="single" w:color="auto" w:sz="8" w:space="0"/>
            </w:tcBorders>
            <w:vAlign w:val="center"/>
          </w:tcPr>
          <w:p w14:paraId="6C3EDFBA">
            <w:pPr>
              <w:widowControl/>
              <w:spacing w:line="360" w:lineRule="auto"/>
              <w:jc w:val="center"/>
              <w:rPr>
                <w:rFonts w:hint="eastAsia" w:ascii="宋体" w:hAnsi="宋体" w:cs="宋体"/>
                <w:color w:val="auto"/>
                <w:szCs w:val="21"/>
                <w:highlight w:val="none"/>
                <w:u w:val="none"/>
              </w:rPr>
            </w:pPr>
          </w:p>
        </w:tc>
        <w:tc>
          <w:tcPr>
            <w:tcW w:w="1276" w:type="dxa"/>
            <w:tcBorders>
              <w:top w:val="nil"/>
              <w:left w:val="nil"/>
              <w:bottom w:val="single" w:color="auto" w:sz="8" w:space="0"/>
              <w:right w:val="single" w:color="auto" w:sz="8" w:space="0"/>
            </w:tcBorders>
            <w:vAlign w:val="center"/>
          </w:tcPr>
          <w:p w14:paraId="4319CB18">
            <w:pPr>
              <w:widowControl/>
              <w:spacing w:line="360" w:lineRule="auto"/>
              <w:jc w:val="center"/>
              <w:rPr>
                <w:rFonts w:hint="eastAsia" w:ascii="宋体" w:hAnsi="宋体" w:cs="宋体"/>
                <w:color w:val="auto"/>
                <w:szCs w:val="21"/>
                <w:highlight w:val="none"/>
                <w:u w:val="none"/>
              </w:rPr>
            </w:pPr>
          </w:p>
        </w:tc>
        <w:tc>
          <w:tcPr>
            <w:tcW w:w="1701" w:type="dxa"/>
            <w:tcBorders>
              <w:top w:val="nil"/>
              <w:left w:val="nil"/>
              <w:bottom w:val="single" w:color="auto" w:sz="8" w:space="0"/>
              <w:right w:val="single" w:color="auto" w:sz="8" w:space="0"/>
            </w:tcBorders>
            <w:vAlign w:val="center"/>
          </w:tcPr>
          <w:p w14:paraId="4F91408B">
            <w:pPr>
              <w:widowControl/>
              <w:spacing w:line="360" w:lineRule="auto"/>
              <w:jc w:val="center"/>
              <w:rPr>
                <w:rFonts w:hint="eastAsia" w:ascii="宋体" w:hAnsi="宋体" w:cs="宋体"/>
                <w:color w:val="auto"/>
                <w:szCs w:val="21"/>
                <w:highlight w:val="none"/>
                <w:u w:val="none"/>
              </w:rPr>
            </w:pPr>
          </w:p>
        </w:tc>
        <w:tc>
          <w:tcPr>
            <w:tcW w:w="1554" w:type="dxa"/>
            <w:tcBorders>
              <w:top w:val="nil"/>
              <w:left w:val="nil"/>
              <w:bottom w:val="single" w:color="auto" w:sz="8" w:space="0"/>
              <w:right w:val="single" w:color="auto" w:sz="8" w:space="0"/>
            </w:tcBorders>
            <w:vAlign w:val="center"/>
          </w:tcPr>
          <w:p w14:paraId="1265F2C2">
            <w:pPr>
              <w:widowControl/>
              <w:spacing w:line="360" w:lineRule="auto"/>
              <w:jc w:val="center"/>
              <w:rPr>
                <w:rFonts w:hint="eastAsia" w:ascii="宋体" w:hAnsi="宋体" w:cs="宋体"/>
                <w:color w:val="auto"/>
                <w:szCs w:val="21"/>
                <w:highlight w:val="none"/>
                <w:u w:val="none"/>
              </w:rPr>
            </w:pPr>
          </w:p>
        </w:tc>
      </w:tr>
      <w:tr w14:paraId="5FA7279F">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vAlign w:val="center"/>
          </w:tcPr>
          <w:p w14:paraId="733693F2">
            <w:pPr>
              <w:widowControl/>
              <w:spacing w:line="360" w:lineRule="auto"/>
              <w:jc w:val="center"/>
              <w:rPr>
                <w:rFonts w:hint="eastAsia" w:ascii="宋体" w:hAnsi="宋体" w:cs="宋体"/>
                <w:color w:val="auto"/>
                <w:szCs w:val="21"/>
                <w:highlight w:val="none"/>
                <w:u w:val="none"/>
              </w:rPr>
            </w:pPr>
          </w:p>
        </w:tc>
        <w:tc>
          <w:tcPr>
            <w:tcW w:w="1134" w:type="dxa"/>
            <w:tcBorders>
              <w:top w:val="nil"/>
              <w:left w:val="nil"/>
              <w:bottom w:val="single" w:color="auto" w:sz="8" w:space="0"/>
              <w:right w:val="single" w:color="auto" w:sz="8" w:space="0"/>
            </w:tcBorders>
            <w:vAlign w:val="center"/>
          </w:tcPr>
          <w:p w14:paraId="0FD68F3F">
            <w:pPr>
              <w:widowControl/>
              <w:spacing w:line="360" w:lineRule="auto"/>
              <w:jc w:val="center"/>
              <w:rPr>
                <w:rFonts w:hint="eastAsia" w:ascii="宋体" w:hAnsi="宋体" w:cs="宋体"/>
                <w:color w:val="auto"/>
                <w:szCs w:val="21"/>
                <w:highlight w:val="none"/>
                <w:u w:val="none"/>
              </w:rPr>
            </w:pPr>
          </w:p>
        </w:tc>
        <w:tc>
          <w:tcPr>
            <w:tcW w:w="933" w:type="dxa"/>
            <w:tcBorders>
              <w:top w:val="nil"/>
              <w:left w:val="nil"/>
              <w:bottom w:val="single" w:color="auto" w:sz="8" w:space="0"/>
              <w:right w:val="single" w:color="auto" w:sz="8" w:space="0"/>
            </w:tcBorders>
            <w:vAlign w:val="center"/>
          </w:tcPr>
          <w:p w14:paraId="35421FC1">
            <w:pPr>
              <w:widowControl/>
              <w:spacing w:line="360" w:lineRule="auto"/>
              <w:jc w:val="center"/>
              <w:rPr>
                <w:rFonts w:hint="eastAsia" w:ascii="宋体" w:hAnsi="宋体" w:cs="宋体"/>
                <w:color w:val="auto"/>
                <w:szCs w:val="21"/>
                <w:highlight w:val="none"/>
                <w:u w:val="none"/>
              </w:rPr>
            </w:pPr>
          </w:p>
        </w:tc>
        <w:tc>
          <w:tcPr>
            <w:tcW w:w="1276" w:type="dxa"/>
            <w:tcBorders>
              <w:top w:val="nil"/>
              <w:left w:val="nil"/>
              <w:bottom w:val="single" w:color="auto" w:sz="8" w:space="0"/>
              <w:right w:val="single" w:color="auto" w:sz="8" w:space="0"/>
            </w:tcBorders>
            <w:vAlign w:val="center"/>
          </w:tcPr>
          <w:p w14:paraId="44C90DF9">
            <w:pPr>
              <w:widowControl/>
              <w:spacing w:line="360" w:lineRule="auto"/>
              <w:jc w:val="center"/>
              <w:rPr>
                <w:rFonts w:hint="eastAsia" w:ascii="宋体" w:hAnsi="宋体" w:cs="宋体"/>
                <w:color w:val="auto"/>
                <w:szCs w:val="21"/>
                <w:highlight w:val="none"/>
                <w:u w:val="none"/>
              </w:rPr>
            </w:pPr>
          </w:p>
        </w:tc>
        <w:tc>
          <w:tcPr>
            <w:tcW w:w="1276" w:type="dxa"/>
            <w:tcBorders>
              <w:top w:val="nil"/>
              <w:left w:val="nil"/>
              <w:bottom w:val="single" w:color="auto" w:sz="8" w:space="0"/>
              <w:right w:val="single" w:color="auto" w:sz="8" w:space="0"/>
            </w:tcBorders>
            <w:vAlign w:val="center"/>
          </w:tcPr>
          <w:p w14:paraId="7029E1A5">
            <w:pPr>
              <w:widowControl/>
              <w:spacing w:line="360" w:lineRule="auto"/>
              <w:jc w:val="center"/>
              <w:rPr>
                <w:rFonts w:hint="eastAsia" w:ascii="宋体" w:hAnsi="宋体" w:cs="宋体"/>
                <w:color w:val="auto"/>
                <w:szCs w:val="21"/>
                <w:highlight w:val="none"/>
                <w:u w:val="none"/>
              </w:rPr>
            </w:pPr>
          </w:p>
        </w:tc>
        <w:tc>
          <w:tcPr>
            <w:tcW w:w="1701" w:type="dxa"/>
            <w:tcBorders>
              <w:top w:val="nil"/>
              <w:left w:val="nil"/>
              <w:bottom w:val="single" w:color="auto" w:sz="8" w:space="0"/>
              <w:right w:val="single" w:color="auto" w:sz="8" w:space="0"/>
            </w:tcBorders>
            <w:vAlign w:val="center"/>
          </w:tcPr>
          <w:p w14:paraId="11C26F21">
            <w:pPr>
              <w:widowControl/>
              <w:spacing w:line="360" w:lineRule="auto"/>
              <w:jc w:val="center"/>
              <w:rPr>
                <w:rFonts w:hint="eastAsia" w:ascii="宋体" w:hAnsi="宋体" w:cs="宋体"/>
                <w:color w:val="auto"/>
                <w:szCs w:val="21"/>
                <w:highlight w:val="none"/>
                <w:u w:val="none"/>
              </w:rPr>
            </w:pPr>
          </w:p>
        </w:tc>
        <w:tc>
          <w:tcPr>
            <w:tcW w:w="1554" w:type="dxa"/>
            <w:tcBorders>
              <w:top w:val="nil"/>
              <w:left w:val="nil"/>
              <w:bottom w:val="single" w:color="auto" w:sz="8" w:space="0"/>
              <w:right w:val="single" w:color="auto" w:sz="8" w:space="0"/>
            </w:tcBorders>
            <w:vAlign w:val="center"/>
          </w:tcPr>
          <w:p w14:paraId="6B2E05F3">
            <w:pPr>
              <w:widowControl/>
              <w:spacing w:line="360" w:lineRule="auto"/>
              <w:jc w:val="center"/>
              <w:rPr>
                <w:rFonts w:hint="eastAsia" w:ascii="宋体" w:hAnsi="宋体" w:cs="宋体"/>
                <w:color w:val="auto"/>
                <w:szCs w:val="21"/>
                <w:highlight w:val="none"/>
                <w:u w:val="none"/>
              </w:rPr>
            </w:pPr>
          </w:p>
        </w:tc>
      </w:tr>
      <w:tr w14:paraId="21252E05">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vAlign w:val="center"/>
          </w:tcPr>
          <w:p w14:paraId="2AA7F1C7">
            <w:pPr>
              <w:widowControl/>
              <w:spacing w:line="360" w:lineRule="auto"/>
              <w:jc w:val="center"/>
              <w:rPr>
                <w:rFonts w:hint="eastAsia" w:ascii="宋体" w:hAnsi="宋体" w:cs="宋体"/>
                <w:color w:val="auto"/>
                <w:szCs w:val="21"/>
                <w:highlight w:val="none"/>
                <w:u w:val="none"/>
              </w:rPr>
            </w:pPr>
          </w:p>
        </w:tc>
        <w:tc>
          <w:tcPr>
            <w:tcW w:w="1134" w:type="dxa"/>
            <w:tcBorders>
              <w:top w:val="nil"/>
              <w:left w:val="nil"/>
              <w:bottom w:val="single" w:color="auto" w:sz="8" w:space="0"/>
              <w:right w:val="single" w:color="auto" w:sz="8" w:space="0"/>
            </w:tcBorders>
            <w:vAlign w:val="center"/>
          </w:tcPr>
          <w:p w14:paraId="07F3322B">
            <w:pPr>
              <w:widowControl/>
              <w:spacing w:line="360" w:lineRule="auto"/>
              <w:jc w:val="center"/>
              <w:rPr>
                <w:rFonts w:hint="eastAsia" w:ascii="宋体" w:hAnsi="宋体" w:cs="宋体"/>
                <w:color w:val="auto"/>
                <w:szCs w:val="21"/>
                <w:highlight w:val="none"/>
                <w:u w:val="none"/>
              </w:rPr>
            </w:pPr>
          </w:p>
        </w:tc>
        <w:tc>
          <w:tcPr>
            <w:tcW w:w="933" w:type="dxa"/>
            <w:tcBorders>
              <w:top w:val="nil"/>
              <w:left w:val="nil"/>
              <w:bottom w:val="single" w:color="auto" w:sz="8" w:space="0"/>
              <w:right w:val="single" w:color="auto" w:sz="8" w:space="0"/>
            </w:tcBorders>
            <w:vAlign w:val="center"/>
          </w:tcPr>
          <w:p w14:paraId="17D84B0E">
            <w:pPr>
              <w:widowControl/>
              <w:spacing w:line="360" w:lineRule="auto"/>
              <w:jc w:val="center"/>
              <w:rPr>
                <w:rFonts w:hint="eastAsia" w:ascii="宋体" w:hAnsi="宋体" w:cs="宋体"/>
                <w:color w:val="auto"/>
                <w:szCs w:val="21"/>
                <w:highlight w:val="none"/>
                <w:u w:val="none"/>
              </w:rPr>
            </w:pPr>
          </w:p>
        </w:tc>
        <w:tc>
          <w:tcPr>
            <w:tcW w:w="1276" w:type="dxa"/>
            <w:tcBorders>
              <w:top w:val="nil"/>
              <w:left w:val="nil"/>
              <w:bottom w:val="single" w:color="auto" w:sz="8" w:space="0"/>
              <w:right w:val="single" w:color="auto" w:sz="8" w:space="0"/>
            </w:tcBorders>
            <w:vAlign w:val="center"/>
          </w:tcPr>
          <w:p w14:paraId="5FC40ABC">
            <w:pPr>
              <w:widowControl/>
              <w:spacing w:line="360" w:lineRule="auto"/>
              <w:jc w:val="center"/>
              <w:rPr>
                <w:rFonts w:hint="eastAsia" w:ascii="宋体" w:hAnsi="宋体" w:cs="宋体"/>
                <w:color w:val="auto"/>
                <w:szCs w:val="21"/>
                <w:highlight w:val="none"/>
                <w:u w:val="none"/>
              </w:rPr>
            </w:pPr>
          </w:p>
        </w:tc>
        <w:tc>
          <w:tcPr>
            <w:tcW w:w="1276" w:type="dxa"/>
            <w:tcBorders>
              <w:top w:val="nil"/>
              <w:left w:val="nil"/>
              <w:bottom w:val="single" w:color="auto" w:sz="8" w:space="0"/>
              <w:right w:val="single" w:color="auto" w:sz="8" w:space="0"/>
            </w:tcBorders>
            <w:vAlign w:val="center"/>
          </w:tcPr>
          <w:p w14:paraId="7EDCC667">
            <w:pPr>
              <w:widowControl/>
              <w:spacing w:line="360" w:lineRule="auto"/>
              <w:jc w:val="center"/>
              <w:rPr>
                <w:rFonts w:hint="eastAsia" w:ascii="宋体" w:hAnsi="宋体" w:cs="宋体"/>
                <w:color w:val="auto"/>
                <w:szCs w:val="21"/>
                <w:highlight w:val="none"/>
                <w:u w:val="none"/>
              </w:rPr>
            </w:pPr>
          </w:p>
        </w:tc>
        <w:tc>
          <w:tcPr>
            <w:tcW w:w="1701" w:type="dxa"/>
            <w:tcBorders>
              <w:top w:val="nil"/>
              <w:left w:val="nil"/>
              <w:bottom w:val="single" w:color="auto" w:sz="8" w:space="0"/>
              <w:right w:val="single" w:color="auto" w:sz="8" w:space="0"/>
            </w:tcBorders>
            <w:vAlign w:val="center"/>
          </w:tcPr>
          <w:p w14:paraId="76B46423">
            <w:pPr>
              <w:widowControl/>
              <w:spacing w:line="360" w:lineRule="auto"/>
              <w:jc w:val="center"/>
              <w:rPr>
                <w:rFonts w:hint="eastAsia" w:ascii="宋体" w:hAnsi="宋体" w:cs="宋体"/>
                <w:color w:val="auto"/>
                <w:szCs w:val="21"/>
                <w:highlight w:val="none"/>
                <w:u w:val="none"/>
              </w:rPr>
            </w:pPr>
          </w:p>
        </w:tc>
        <w:tc>
          <w:tcPr>
            <w:tcW w:w="1554" w:type="dxa"/>
            <w:tcBorders>
              <w:top w:val="nil"/>
              <w:left w:val="nil"/>
              <w:bottom w:val="single" w:color="auto" w:sz="8" w:space="0"/>
              <w:right w:val="single" w:color="auto" w:sz="8" w:space="0"/>
            </w:tcBorders>
            <w:vAlign w:val="center"/>
          </w:tcPr>
          <w:p w14:paraId="01728356">
            <w:pPr>
              <w:widowControl/>
              <w:spacing w:line="360" w:lineRule="auto"/>
              <w:jc w:val="center"/>
              <w:rPr>
                <w:rFonts w:hint="eastAsia" w:ascii="宋体" w:hAnsi="宋体" w:cs="宋体"/>
                <w:color w:val="auto"/>
                <w:szCs w:val="21"/>
                <w:highlight w:val="none"/>
                <w:u w:val="none"/>
              </w:rPr>
            </w:pPr>
          </w:p>
        </w:tc>
      </w:tr>
      <w:tr w14:paraId="7D0C33DB">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vAlign w:val="center"/>
          </w:tcPr>
          <w:p w14:paraId="2A633D00">
            <w:pPr>
              <w:widowControl/>
              <w:spacing w:line="360" w:lineRule="auto"/>
              <w:jc w:val="center"/>
              <w:rPr>
                <w:rFonts w:hint="eastAsia" w:ascii="宋体" w:hAnsi="宋体" w:cs="宋体"/>
                <w:color w:val="auto"/>
                <w:szCs w:val="21"/>
                <w:highlight w:val="none"/>
                <w:u w:val="none"/>
              </w:rPr>
            </w:pPr>
          </w:p>
        </w:tc>
        <w:tc>
          <w:tcPr>
            <w:tcW w:w="1134" w:type="dxa"/>
            <w:tcBorders>
              <w:top w:val="nil"/>
              <w:left w:val="nil"/>
              <w:bottom w:val="single" w:color="auto" w:sz="8" w:space="0"/>
              <w:right w:val="single" w:color="auto" w:sz="8" w:space="0"/>
            </w:tcBorders>
            <w:vAlign w:val="center"/>
          </w:tcPr>
          <w:p w14:paraId="3C27FD68">
            <w:pPr>
              <w:widowControl/>
              <w:spacing w:line="360" w:lineRule="auto"/>
              <w:jc w:val="center"/>
              <w:rPr>
                <w:rFonts w:hint="eastAsia" w:ascii="宋体" w:hAnsi="宋体" w:cs="宋体"/>
                <w:color w:val="auto"/>
                <w:szCs w:val="21"/>
                <w:highlight w:val="none"/>
                <w:u w:val="none"/>
              </w:rPr>
            </w:pPr>
          </w:p>
        </w:tc>
        <w:tc>
          <w:tcPr>
            <w:tcW w:w="933" w:type="dxa"/>
            <w:tcBorders>
              <w:top w:val="nil"/>
              <w:left w:val="nil"/>
              <w:bottom w:val="single" w:color="auto" w:sz="8" w:space="0"/>
              <w:right w:val="single" w:color="auto" w:sz="8" w:space="0"/>
            </w:tcBorders>
            <w:vAlign w:val="center"/>
          </w:tcPr>
          <w:p w14:paraId="65315D27">
            <w:pPr>
              <w:widowControl/>
              <w:spacing w:line="360" w:lineRule="auto"/>
              <w:jc w:val="center"/>
              <w:rPr>
                <w:rFonts w:hint="eastAsia" w:ascii="宋体" w:hAnsi="宋体" w:cs="宋体"/>
                <w:color w:val="auto"/>
                <w:szCs w:val="21"/>
                <w:highlight w:val="none"/>
                <w:u w:val="none"/>
              </w:rPr>
            </w:pPr>
          </w:p>
        </w:tc>
        <w:tc>
          <w:tcPr>
            <w:tcW w:w="1276" w:type="dxa"/>
            <w:tcBorders>
              <w:top w:val="nil"/>
              <w:left w:val="nil"/>
              <w:bottom w:val="single" w:color="auto" w:sz="8" w:space="0"/>
              <w:right w:val="single" w:color="auto" w:sz="8" w:space="0"/>
            </w:tcBorders>
            <w:vAlign w:val="center"/>
          </w:tcPr>
          <w:p w14:paraId="31CF8593">
            <w:pPr>
              <w:widowControl/>
              <w:spacing w:line="360" w:lineRule="auto"/>
              <w:jc w:val="center"/>
              <w:rPr>
                <w:rFonts w:hint="eastAsia" w:ascii="宋体" w:hAnsi="宋体" w:cs="宋体"/>
                <w:color w:val="auto"/>
                <w:szCs w:val="21"/>
                <w:highlight w:val="none"/>
                <w:u w:val="none"/>
              </w:rPr>
            </w:pPr>
          </w:p>
        </w:tc>
        <w:tc>
          <w:tcPr>
            <w:tcW w:w="1276" w:type="dxa"/>
            <w:tcBorders>
              <w:top w:val="nil"/>
              <w:left w:val="nil"/>
              <w:bottom w:val="single" w:color="auto" w:sz="8" w:space="0"/>
              <w:right w:val="single" w:color="auto" w:sz="8" w:space="0"/>
            </w:tcBorders>
            <w:vAlign w:val="center"/>
          </w:tcPr>
          <w:p w14:paraId="01441B2B">
            <w:pPr>
              <w:widowControl/>
              <w:spacing w:line="360" w:lineRule="auto"/>
              <w:jc w:val="center"/>
              <w:rPr>
                <w:rFonts w:hint="eastAsia" w:ascii="宋体" w:hAnsi="宋体" w:cs="宋体"/>
                <w:color w:val="auto"/>
                <w:szCs w:val="21"/>
                <w:highlight w:val="none"/>
                <w:u w:val="none"/>
              </w:rPr>
            </w:pPr>
          </w:p>
        </w:tc>
        <w:tc>
          <w:tcPr>
            <w:tcW w:w="1701" w:type="dxa"/>
            <w:tcBorders>
              <w:top w:val="nil"/>
              <w:left w:val="nil"/>
              <w:bottom w:val="single" w:color="auto" w:sz="8" w:space="0"/>
              <w:right w:val="single" w:color="auto" w:sz="8" w:space="0"/>
            </w:tcBorders>
            <w:vAlign w:val="center"/>
          </w:tcPr>
          <w:p w14:paraId="2CD2EE07">
            <w:pPr>
              <w:widowControl/>
              <w:spacing w:line="360" w:lineRule="auto"/>
              <w:jc w:val="center"/>
              <w:rPr>
                <w:rFonts w:hint="eastAsia" w:ascii="宋体" w:hAnsi="宋体" w:cs="宋体"/>
                <w:color w:val="auto"/>
                <w:szCs w:val="21"/>
                <w:highlight w:val="none"/>
                <w:u w:val="none"/>
              </w:rPr>
            </w:pPr>
          </w:p>
        </w:tc>
        <w:tc>
          <w:tcPr>
            <w:tcW w:w="1554" w:type="dxa"/>
            <w:tcBorders>
              <w:top w:val="nil"/>
              <w:left w:val="nil"/>
              <w:bottom w:val="single" w:color="auto" w:sz="8" w:space="0"/>
              <w:right w:val="single" w:color="auto" w:sz="8" w:space="0"/>
            </w:tcBorders>
            <w:vAlign w:val="center"/>
          </w:tcPr>
          <w:p w14:paraId="33025F3B">
            <w:pPr>
              <w:widowControl/>
              <w:spacing w:line="360" w:lineRule="auto"/>
              <w:jc w:val="center"/>
              <w:rPr>
                <w:rFonts w:hint="eastAsia" w:ascii="宋体" w:hAnsi="宋体" w:cs="宋体"/>
                <w:color w:val="auto"/>
                <w:szCs w:val="21"/>
                <w:highlight w:val="none"/>
                <w:u w:val="none"/>
              </w:rPr>
            </w:pPr>
          </w:p>
        </w:tc>
      </w:tr>
      <w:tr w14:paraId="37C8E4CB">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vAlign w:val="center"/>
          </w:tcPr>
          <w:p w14:paraId="582E63D0">
            <w:pPr>
              <w:widowControl/>
              <w:spacing w:line="360" w:lineRule="auto"/>
              <w:jc w:val="center"/>
              <w:rPr>
                <w:rFonts w:hint="eastAsia" w:ascii="宋体" w:hAnsi="宋体" w:cs="宋体"/>
                <w:color w:val="auto"/>
                <w:szCs w:val="21"/>
                <w:highlight w:val="none"/>
                <w:u w:val="none"/>
              </w:rPr>
            </w:pPr>
          </w:p>
        </w:tc>
        <w:tc>
          <w:tcPr>
            <w:tcW w:w="1134" w:type="dxa"/>
            <w:tcBorders>
              <w:top w:val="nil"/>
              <w:left w:val="nil"/>
              <w:bottom w:val="single" w:color="auto" w:sz="8" w:space="0"/>
              <w:right w:val="single" w:color="auto" w:sz="8" w:space="0"/>
            </w:tcBorders>
            <w:vAlign w:val="center"/>
          </w:tcPr>
          <w:p w14:paraId="06B7FF8D">
            <w:pPr>
              <w:widowControl/>
              <w:spacing w:line="360" w:lineRule="auto"/>
              <w:jc w:val="center"/>
              <w:rPr>
                <w:rFonts w:hint="eastAsia" w:ascii="宋体" w:hAnsi="宋体" w:cs="宋体"/>
                <w:color w:val="auto"/>
                <w:szCs w:val="21"/>
                <w:highlight w:val="none"/>
                <w:u w:val="none"/>
              </w:rPr>
            </w:pPr>
          </w:p>
        </w:tc>
        <w:tc>
          <w:tcPr>
            <w:tcW w:w="933" w:type="dxa"/>
            <w:tcBorders>
              <w:top w:val="nil"/>
              <w:left w:val="nil"/>
              <w:bottom w:val="single" w:color="auto" w:sz="8" w:space="0"/>
              <w:right w:val="single" w:color="auto" w:sz="8" w:space="0"/>
            </w:tcBorders>
            <w:vAlign w:val="center"/>
          </w:tcPr>
          <w:p w14:paraId="5BD387A8">
            <w:pPr>
              <w:widowControl/>
              <w:spacing w:line="360" w:lineRule="auto"/>
              <w:jc w:val="center"/>
              <w:rPr>
                <w:rFonts w:hint="eastAsia" w:ascii="宋体" w:hAnsi="宋体" w:cs="宋体"/>
                <w:color w:val="auto"/>
                <w:szCs w:val="21"/>
                <w:highlight w:val="none"/>
                <w:u w:val="none"/>
              </w:rPr>
            </w:pPr>
          </w:p>
        </w:tc>
        <w:tc>
          <w:tcPr>
            <w:tcW w:w="1276" w:type="dxa"/>
            <w:tcBorders>
              <w:top w:val="nil"/>
              <w:left w:val="nil"/>
              <w:bottom w:val="single" w:color="auto" w:sz="8" w:space="0"/>
              <w:right w:val="single" w:color="auto" w:sz="8" w:space="0"/>
            </w:tcBorders>
            <w:vAlign w:val="center"/>
          </w:tcPr>
          <w:p w14:paraId="5D082427">
            <w:pPr>
              <w:widowControl/>
              <w:spacing w:line="360" w:lineRule="auto"/>
              <w:jc w:val="center"/>
              <w:rPr>
                <w:rFonts w:hint="eastAsia" w:ascii="宋体" w:hAnsi="宋体" w:cs="宋体"/>
                <w:color w:val="auto"/>
                <w:szCs w:val="21"/>
                <w:highlight w:val="none"/>
                <w:u w:val="none"/>
              </w:rPr>
            </w:pPr>
          </w:p>
        </w:tc>
        <w:tc>
          <w:tcPr>
            <w:tcW w:w="1276" w:type="dxa"/>
            <w:tcBorders>
              <w:top w:val="nil"/>
              <w:left w:val="nil"/>
              <w:bottom w:val="single" w:color="auto" w:sz="8" w:space="0"/>
              <w:right w:val="single" w:color="auto" w:sz="8" w:space="0"/>
            </w:tcBorders>
            <w:vAlign w:val="center"/>
          </w:tcPr>
          <w:p w14:paraId="1C5FCA21">
            <w:pPr>
              <w:widowControl/>
              <w:spacing w:line="360" w:lineRule="auto"/>
              <w:jc w:val="center"/>
              <w:rPr>
                <w:rFonts w:hint="eastAsia" w:ascii="宋体" w:hAnsi="宋体" w:cs="宋体"/>
                <w:color w:val="auto"/>
                <w:szCs w:val="21"/>
                <w:highlight w:val="none"/>
                <w:u w:val="none"/>
              </w:rPr>
            </w:pPr>
          </w:p>
        </w:tc>
        <w:tc>
          <w:tcPr>
            <w:tcW w:w="1701" w:type="dxa"/>
            <w:tcBorders>
              <w:top w:val="nil"/>
              <w:left w:val="nil"/>
              <w:bottom w:val="single" w:color="auto" w:sz="8" w:space="0"/>
              <w:right w:val="single" w:color="auto" w:sz="8" w:space="0"/>
            </w:tcBorders>
            <w:vAlign w:val="center"/>
          </w:tcPr>
          <w:p w14:paraId="21DA254A">
            <w:pPr>
              <w:widowControl/>
              <w:spacing w:line="360" w:lineRule="auto"/>
              <w:jc w:val="center"/>
              <w:rPr>
                <w:rFonts w:hint="eastAsia" w:ascii="宋体" w:hAnsi="宋体" w:cs="宋体"/>
                <w:color w:val="auto"/>
                <w:szCs w:val="21"/>
                <w:highlight w:val="none"/>
                <w:u w:val="none"/>
              </w:rPr>
            </w:pPr>
          </w:p>
        </w:tc>
        <w:tc>
          <w:tcPr>
            <w:tcW w:w="1554" w:type="dxa"/>
            <w:tcBorders>
              <w:top w:val="nil"/>
              <w:left w:val="nil"/>
              <w:bottom w:val="single" w:color="auto" w:sz="8" w:space="0"/>
              <w:right w:val="single" w:color="auto" w:sz="8" w:space="0"/>
            </w:tcBorders>
            <w:vAlign w:val="center"/>
          </w:tcPr>
          <w:p w14:paraId="48D53E6E">
            <w:pPr>
              <w:widowControl/>
              <w:spacing w:line="360" w:lineRule="auto"/>
              <w:jc w:val="center"/>
              <w:rPr>
                <w:rFonts w:hint="eastAsia" w:ascii="宋体" w:hAnsi="宋体" w:cs="宋体"/>
                <w:color w:val="auto"/>
                <w:szCs w:val="21"/>
                <w:highlight w:val="none"/>
                <w:u w:val="none"/>
              </w:rPr>
            </w:pPr>
          </w:p>
        </w:tc>
      </w:tr>
      <w:tr w14:paraId="25A2B017">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vAlign w:val="center"/>
          </w:tcPr>
          <w:p w14:paraId="30FE09A0">
            <w:pPr>
              <w:widowControl/>
              <w:spacing w:line="360" w:lineRule="auto"/>
              <w:jc w:val="center"/>
              <w:rPr>
                <w:rFonts w:hint="eastAsia" w:ascii="宋体" w:hAnsi="宋体" w:cs="宋体"/>
                <w:color w:val="auto"/>
                <w:szCs w:val="21"/>
                <w:highlight w:val="none"/>
                <w:u w:val="none"/>
              </w:rPr>
            </w:pPr>
          </w:p>
        </w:tc>
        <w:tc>
          <w:tcPr>
            <w:tcW w:w="1134" w:type="dxa"/>
            <w:tcBorders>
              <w:top w:val="nil"/>
              <w:left w:val="nil"/>
              <w:bottom w:val="single" w:color="auto" w:sz="8" w:space="0"/>
              <w:right w:val="single" w:color="auto" w:sz="8" w:space="0"/>
            </w:tcBorders>
            <w:vAlign w:val="center"/>
          </w:tcPr>
          <w:p w14:paraId="1CC41CB7">
            <w:pPr>
              <w:widowControl/>
              <w:spacing w:line="360" w:lineRule="auto"/>
              <w:jc w:val="center"/>
              <w:rPr>
                <w:rFonts w:hint="eastAsia" w:ascii="宋体" w:hAnsi="宋体" w:cs="宋体"/>
                <w:color w:val="auto"/>
                <w:szCs w:val="21"/>
                <w:highlight w:val="none"/>
                <w:u w:val="none"/>
              </w:rPr>
            </w:pPr>
          </w:p>
        </w:tc>
        <w:tc>
          <w:tcPr>
            <w:tcW w:w="933" w:type="dxa"/>
            <w:tcBorders>
              <w:top w:val="nil"/>
              <w:left w:val="nil"/>
              <w:bottom w:val="single" w:color="auto" w:sz="8" w:space="0"/>
              <w:right w:val="single" w:color="auto" w:sz="8" w:space="0"/>
            </w:tcBorders>
            <w:vAlign w:val="center"/>
          </w:tcPr>
          <w:p w14:paraId="2A8E46F0">
            <w:pPr>
              <w:widowControl/>
              <w:spacing w:line="360" w:lineRule="auto"/>
              <w:jc w:val="center"/>
              <w:rPr>
                <w:rFonts w:hint="eastAsia" w:ascii="宋体" w:hAnsi="宋体" w:cs="宋体"/>
                <w:color w:val="auto"/>
                <w:szCs w:val="21"/>
                <w:highlight w:val="none"/>
                <w:u w:val="none"/>
              </w:rPr>
            </w:pPr>
          </w:p>
        </w:tc>
        <w:tc>
          <w:tcPr>
            <w:tcW w:w="1276" w:type="dxa"/>
            <w:tcBorders>
              <w:top w:val="nil"/>
              <w:left w:val="nil"/>
              <w:bottom w:val="single" w:color="auto" w:sz="8" w:space="0"/>
              <w:right w:val="single" w:color="auto" w:sz="8" w:space="0"/>
            </w:tcBorders>
            <w:vAlign w:val="center"/>
          </w:tcPr>
          <w:p w14:paraId="2F443058">
            <w:pPr>
              <w:widowControl/>
              <w:spacing w:line="360" w:lineRule="auto"/>
              <w:jc w:val="center"/>
              <w:rPr>
                <w:rFonts w:hint="eastAsia" w:ascii="宋体" w:hAnsi="宋体" w:cs="宋体"/>
                <w:color w:val="auto"/>
                <w:szCs w:val="21"/>
                <w:highlight w:val="none"/>
                <w:u w:val="none"/>
              </w:rPr>
            </w:pPr>
          </w:p>
        </w:tc>
        <w:tc>
          <w:tcPr>
            <w:tcW w:w="1276" w:type="dxa"/>
            <w:tcBorders>
              <w:top w:val="nil"/>
              <w:left w:val="nil"/>
              <w:bottom w:val="single" w:color="auto" w:sz="8" w:space="0"/>
              <w:right w:val="single" w:color="auto" w:sz="8" w:space="0"/>
            </w:tcBorders>
            <w:vAlign w:val="center"/>
          </w:tcPr>
          <w:p w14:paraId="65FF5A90">
            <w:pPr>
              <w:widowControl/>
              <w:spacing w:line="360" w:lineRule="auto"/>
              <w:jc w:val="center"/>
              <w:rPr>
                <w:rFonts w:hint="eastAsia" w:ascii="宋体" w:hAnsi="宋体" w:cs="宋体"/>
                <w:color w:val="auto"/>
                <w:szCs w:val="21"/>
                <w:highlight w:val="none"/>
                <w:u w:val="none"/>
              </w:rPr>
            </w:pPr>
          </w:p>
        </w:tc>
        <w:tc>
          <w:tcPr>
            <w:tcW w:w="1701" w:type="dxa"/>
            <w:tcBorders>
              <w:top w:val="nil"/>
              <w:left w:val="nil"/>
              <w:bottom w:val="single" w:color="auto" w:sz="8" w:space="0"/>
              <w:right w:val="single" w:color="auto" w:sz="8" w:space="0"/>
            </w:tcBorders>
            <w:vAlign w:val="center"/>
          </w:tcPr>
          <w:p w14:paraId="104221CE">
            <w:pPr>
              <w:widowControl/>
              <w:spacing w:line="360" w:lineRule="auto"/>
              <w:jc w:val="center"/>
              <w:rPr>
                <w:rFonts w:hint="eastAsia" w:ascii="宋体" w:hAnsi="宋体" w:cs="宋体"/>
                <w:color w:val="auto"/>
                <w:szCs w:val="21"/>
                <w:highlight w:val="none"/>
                <w:u w:val="none"/>
              </w:rPr>
            </w:pPr>
          </w:p>
        </w:tc>
        <w:tc>
          <w:tcPr>
            <w:tcW w:w="1554" w:type="dxa"/>
            <w:tcBorders>
              <w:top w:val="nil"/>
              <w:left w:val="nil"/>
              <w:bottom w:val="single" w:color="auto" w:sz="8" w:space="0"/>
              <w:right w:val="single" w:color="auto" w:sz="8" w:space="0"/>
            </w:tcBorders>
            <w:vAlign w:val="center"/>
          </w:tcPr>
          <w:p w14:paraId="541786FE">
            <w:pPr>
              <w:widowControl/>
              <w:spacing w:line="360" w:lineRule="auto"/>
              <w:jc w:val="center"/>
              <w:rPr>
                <w:rFonts w:hint="eastAsia" w:ascii="宋体" w:hAnsi="宋体" w:cs="宋体"/>
                <w:color w:val="auto"/>
                <w:szCs w:val="21"/>
                <w:highlight w:val="none"/>
                <w:u w:val="none"/>
              </w:rPr>
            </w:pPr>
          </w:p>
        </w:tc>
      </w:tr>
      <w:tr w14:paraId="6B3F68F2">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vAlign w:val="center"/>
          </w:tcPr>
          <w:p w14:paraId="6D4A38D2">
            <w:pPr>
              <w:widowControl/>
              <w:spacing w:line="360" w:lineRule="auto"/>
              <w:jc w:val="center"/>
              <w:rPr>
                <w:rFonts w:hint="eastAsia" w:ascii="宋体" w:hAnsi="宋体" w:cs="宋体"/>
                <w:color w:val="auto"/>
                <w:szCs w:val="21"/>
                <w:highlight w:val="none"/>
                <w:u w:val="none"/>
              </w:rPr>
            </w:pPr>
          </w:p>
        </w:tc>
        <w:tc>
          <w:tcPr>
            <w:tcW w:w="1134" w:type="dxa"/>
            <w:tcBorders>
              <w:top w:val="nil"/>
              <w:left w:val="nil"/>
              <w:bottom w:val="single" w:color="auto" w:sz="8" w:space="0"/>
              <w:right w:val="single" w:color="auto" w:sz="8" w:space="0"/>
            </w:tcBorders>
            <w:vAlign w:val="center"/>
          </w:tcPr>
          <w:p w14:paraId="5372C1A8">
            <w:pPr>
              <w:widowControl/>
              <w:spacing w:line="360" w:lineRule="auto"/>
              <w:jc w:val="center"/>
              <w:rPr>
                <w:rFonts w:hint="eastAsia" w:ascii="宋体" w:hAnsi="宋体" w:cs="宋体"/>
                <w:color w:val="auto"/>
                <w:szCs w:val="21"/>
                <w:highlight w:val="none"/>
                <w:u w:val="none"/>
              </w:rPr>
            </w:pPr>
          </w:p>
        </w:tc>
        <w:tc>
          <w:tcPr>
            <w:tcW w:w="933" w:type="dxa"/>
            <w:tcBorders>
              <w:top w:val="nil"/>
              <w:left w:val="nil"/>
              <w:bottom w:val="single" w:color="auto" w:sz="8" w:space="0"/>
              <w:right w:val="single" w:color="auto" w:sz="8" w:space="0"/>
            </w:tcBorders>
            <w:vAlign w:val="center"/>
          </w:tcPr>
          <w:p w14:paraId="747C1D20">
            <w:pPr>
              <w:widowControl/>
              <w:spacing w:line="360" w:lineRule="auto"/>
              <w:jc w:val="center"/>
              <w:rPr>
                <w:rFonts w:hint="eastAsia" w:ascii="宋体" w:hAnsi="宋体" w:cs="宋体"/>
                <w:color w:val="auto"/>
                <w:szCs w:val="21"/>
                <w:highlight w:val="none"/>
                <w:u w:val="none"/>
              </w:rPr>
            </w:pPr>
          </w:p>
        </w:tc>
        <w:tc>
          <w:tcPr>
            <w:tcW w:w="1276" w:type="dxa"/>
            <w:tcBorders>
              <w:top w:val="nil"/>
              <w:left w:val="nil"/>
              <w:bottom w:val="single" w:color="auto" w:sz="8" w:space="0"/>
              <w:right w:val="single" w:color="auto" w:sz="8" w:space="0"/>
            </w:tcBorders>
            <w:vAlign w:val="center"/>
          </w:tcPr>
          <w:p w14:paraId="58763F52">
            <w:pPr>
              <w:widowControl/>
              <w:spacing w:line="360" w:lineRule="auto"/>
              <w:jc w:val="center"/>
              <w:rPr>
                <w:rFonts w:hint="eastAsia" w:ascii="宋体" w:hAnsi="宋体" w:cs="宋体"/>
                <w:color w:val="auto"/>
                <w:szCs w:val="21"/>
                <w:highlight w:val="none"/>
                <w:u w:val="none"/>
              </w:rPr>
            </w:pPr>
          </w:p>
        </w:tc>
        <w:tc>
          <w:tcPr>
            <w:tcW w:w="1276" w:type="dxa"/>
            <w:tcBorders>
              <w:top w:val="nil"/>
              <w:left w:val="nil"/>
              <w:bottom w:val="single" w:color="auto" w:sz="8" w:space="0"/>
              <w:right w:val="single" w:color="auto" w:sz="8" w:space="0"/>
            </w:tcBorders>
            <w:vAlign w:val="center"/>
          </w:tcPr>
          <w:p w14:paraId="4B681FCE">
            <w:pPr>
              <w:widowControl/>
              <w:spacing w:line="360" w:lineRule="auto"/>
              <w:jc w:val="center"/>
              <w:rPr>
                <w:rFonts w:hint="eastAsia" w:ascii="宋体" w:hAnsi="宋体" w:cs="宋体"/>
                <w:color w:val="auto"/>
                <w:szCs w:val="21"/>
                <w:highlight w:val="none"/>
                <w:u w:val="none"/>
              </w:rPr>
            </w:pPr>
          </w:p>
        </w:tc>
        <w:tc>
          <w:tcPr>
            <w:tcW w:w="1701" w:type="dxa"/>
            <w:tcBorders>
              <w:top w:val="nil"/>
              <w:left w:val="nil"/>
              <w:bottom w:val="single" w:color="auto" w:sz="8" w:space="0"/>
              <w:right w:val="single" w:color="auto" w:sz="8" w:space="0"/>
            </w:tcBorders>
            <w:vAlign w:val="center"/>
          </w:tcPr>
          <w:p w14:paraId="7498F4B4">
            <w:pPr>
              <w:widowControl/>
              <w:spacing w:line="360" w:lineRule="auto"/>
              <w:jc w:val="center"/>
              <w:rPr>
                <w:rFonts w:hint="eastAsia" w:ascii="宋体" w:hAnsi="宋体" w:cs="宋体"/>
                <w:color w:val="auto"/>
                <w:szCs w:val="21"/>
                <w:highlight w:val="none"/>
                <w:u w:val="none"/>
              </w:rPr>
            </w:pPr>
          </w:p>
        </w:tc>
        <w:tc>
          <w:tcPr>
            <w:tcW w:w="1554" w:type="dxa"/>
            <w:tcBorders>
              <w:top w:val="nil"/>
              <w:left w:val="nil"/>
              <w:bottom w:val="single" w:color="auto" w:sz="8" w:space="0"/>
              <w:right w:val="single" w:color="auto" w:sz="8" w:space="0"/>
            </w:tcBorders>
            <w:vAlign w:val="center"/>
          </w:tcPr>
          <w:p w14:paraId="2AF0998C">
            <w:pPr>
              <w:widowControl/>
              <w:spacing w:line="360" w:lineRule="auto"/>
              <w:jc w:val="center"/>
              <w:rPr>
                <w:rFonts w:hint="eastAsia" w:ascii="宋体" w:hAnsi="宋体" w:cs="宋体"/>
                <w:color w:val="auto"/>
                <w:szCs w:val="21"/>
                <w:highlight w:val="none"/>
                <w:u w:val="none"/>
              </w:rPr>
            </w:pPr>
          </w:p>
        </w:tc>
      </w:tr>
      <w:tr w14:paraId="231B8F01">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vAlign w:val="center"/>
          </w:tcPr>
          <w:p w14:paraId="7AAA0AFD">
            <w:pPr>
              <w:widowControl/>
              <w:spacing w:line="360" w:lineRule="auto"/>
              <w:jc w:val="center"/>
              <w:rPr>
                <w:rFonts w:hint="eastAsia" w:ascii="宋体" w:hAnsi="宋体" w:cs="宋体"/>
                <w:color w:val="auto"/>
                <w:szCs w:val="21"/>
                <w:highlight w:val="none"/>
                <w:u w:val="none"/>
              </w:rPr>
            </w:pPr>
          </w:p>
        </w:tc>
        <w:tc>
          <w:tcPr>
            <w:tcW w:w="1134" w:type="dxa"/>
            <w:tcBorders>
              <w:top w:val="nil"/>
              <w:left w:val="nil"/>
              <w:bottom w:val="single" w:color="auto" w:sz="8" w:space="0"/>
              <w:right w:val="single" w:color="auto" w:sz="8" w:space="0"/>
            </w:tcBorders>
            <w:vAlign w:val="center"/>
          </w:tcPr>
          <w:p w14:paraId="68748E82">
            <w:pPr>
              <w:widowControl/>
              <w:spacing w:line="360" w:lineRule="auto"/>
              <w:jc w:val="center"/>
              <w:rPr>
                <w:rFonts w:hint="eastAsia" w:ascii="宋体" w:hAnsi="宋体" w:cs="宋体"/>
                <w:color w:val="auto"/>
                <w:szCs w:val="21"/>
                <w:highlight w:val="none"/>
                <w:u w:val="none"/>
              </w:rPr>
            </w:pPr>
          </w:p>
        </w:tc>
        <w:tc>
          <w:tcPr>
            <w:tcW w:w="933" w:type="dxa"/>
            <w:tcBorders>
              <w:top w:val="nil"/>
              <w:left w:val="nil"/>
              <w:bottom w:val="single" w:color="auto" w:sz="8" w:space="0"/>
              <w:right w:val="single" w:color="auto" w:sz="8" w:space="0"/>
            </w:tcBorders>
            <w:vAlign w:val="center"/>
          </w:tcPr>
          <w:p w14:paraId="5A8C0224">
            <w:pPr>
              <w:widowControl/>
              <w:spacing w:line="360" w:lineRule="auto"/>
              <w:jc w:val="center"/>
              <w:rPr>
                <w:rFonts w:hint="eastAsia" w:ascii="宋体" w:hAnsi="宋体" w:cs="宋体"/>
                <w:color w:val="auto"/>
                <w:szCs w:val="21"/>
                <w:highlight w:val="none"/>
                <w:u w:val="none"/>
              </w:rPr>
            </w:pPr>
          </w:p>
        </w:tc>
        <w:tc>
          <w:tcPr>
            <w:tcW w:w="1276" w:type="dxa"/>
            <w:tcBorders>
              <w:top w:val="nil"/>
              <w:left w:val="nil"/>
              <w:bottom w:val="single" w:color="auto" w:sz="8" w:space="0"/>
              <w:right w:val="single" w:color="auto" w:sz="8" w:space="0"/>
            </w:tcBorders>
            <w:vAlign w:val="center"/>
          </w:tcPr>
          <w:p w14:paraId="483B1504">
            <w:pPr>
              <w:widowControl/>
              <w:spacing w:line="360" w:lineRule="auto"/>
              <w:jc w:val="center"/>
              <w:rPr>
                <w:rFonts w:hint="eastAsia" w:ascii="宋体" w:hAnsi="宋体" w:cs="宋体"/>
                <w:color w:val="auto"/>
                <w:szCs w:val="21"/>
                <w:highlight w:val="none"/>
                <w:u w:val="none"/>
              </w:rPr>
            </w:pPr>
          </w:p>
        </w:tc>
        <w:tc>
          <w:tcPr>
            <w:tcW w:w="1276" w:type="dxa"/>
            <w:tcBorders>
              <w:top w:val="nil"/>
              <w:left w:val="nil"/>
              <w:bottom w:val="single" w:color="auto" w:sz="8" w:space="0"/>
              <w:right w:val="single" w:color="auto" w:sz="8" w:space="0"/>
            </w:tcBorders>
            <w:vAlign w:val="center"/>
          </w:tcPr>
          <w:p w14:paraId="1DA2108C">
            <w:pPr>
              <w:widowControl/>
              <w:spacing w:line="360" w:lineRule="auto"/>
              <w:jc w:val="center"/>
              <w:rPr>
                <w:rFonts w:hint="eastAsia" w:ascii="宋体" w:hAnsi="宋体" w:cs="宋体"/>
                <w:color w:val="auto"/>
                <w:szCs w:val="21"/>
                <w:highlight w:val="none"/>
                <w:u w:val="none"/>
              </w:rPr>
            </w:pPr>
          </w:p>
        </w:tc>
        <w:tc>
          <w:tcPr>
            <w:tcW w:w="1701" w:type="dxa"/>
            <w:tcBorders>
              <w:top w:val="nil"/>
              <w:left w:val="nil"/>
              <w:bottom w:val="single" w:color="auto" w:sz="8" w:space="0"/>
              <w:right w:val="single" w:color="auto" w:sz="8" w:space="0"/>
            </w:tcBorders>
            <w:vAlign w:val="center"/>
          </w:tcPr>
          <w:p w14:paraId="6D619962">
            <w:pPr>
              <w:widowControl/>
              <w:spacing w:line="360" w:lineRule="auto"/>
              <w:jc w:val="center"/>
              <w:rPr>
                <w:rFonts w:hint="eastAsia" w:ascii="宋体" w:hAnsi="宋体" w:cs="宋体"/>
                <w:color w:val="auto"/>
                <w:szCs w:val="21"/>
                <w:highlight w:val="none"/>
                <w:u w:val="none"/>
              </w:rPr>
            </w:pPr>
          </w:p>
        </w:tc>
        <w:tc>
          <w:tcPr>
            <w:tcW w:w="1554" w:type="dxa"/>
            <w:tcBorders>
              <w:top w:val="nil"/>
              <w:left w:val="nil"/>
              <w:bottom w:val="single" w:color="auto" w:sz="8" w:space="0"/>
              <w:right w:val="single" w:color="auto" w:sz="8" w:space="0"/>
            </w:tcBorders>
            <w:vAlign w:val="center"/>
          </w:tcPr>
          <w:p w14:paraId="54462C3A">
            <w:pPr>
              <w:widowControl/>
              <w:spacing w:line="360" w:lineRule="auto"/>
              <w:jc w:val="center"/>
              <w:rPr>
                <w:rFonts w:hint="eastAsia" w:ascii="宋体" w:hAnsi="宋体" w:cs="宋体"/>
                <w:color w:val="auto"/>
                <w:szCs w:val="21"/>
                <w:highlight w:val="none"/>
                <w:u w:val="none"/>
              </w:rPr>
            </w:pPr>
          </w:p>
        </w:tc>
      </w:tr>
      <w:tr w14:paraId="70684166">
        <w:tblPrEx>
          <w:tblCellMar>
            <w:top w:w="0" w:type="dxa"/>
            <w:left w:w="108" w:type="dxa"/>
            <w:bottom w:w="0" w:type="dxa"/>
            <w:right w:w="108" w:type="dxa"/>
          </w:tblCellMar>
        </w:tblPrEx>
        <w:trPr>
          <w:trHeight w:val="290" w:hRule="atLeast"/>
        </w:trPr>
        <w:tc>
          <w:tcPr>
            <w:tcW w:w="1486" w:type="dxa"/>
            <w:tcBorders>
              <w:top w:val="nil"/>
              <w:left w:val="single" w:color="auto" w:sz="8" w:space="0"/>
              <w:bottom w:val="single" w:color="auto" w:sz="8" w:space="0"/>
              <w:right w:val="single" w:color="auto" w:sz="8" w:space="0"/>
            </w:tcBorders>
            <w:vAlign w:val="center"/>
          </w:tcPr>
          <w:p w14:paraId="7349DC59">
            <w:pPr>
              <w:widowControl/>
              <w:spacing w:line="360" w:lineRule="auto"/>
              <w:jc w:val="center"/>
              <w:rPr>
                <w:rFonts w:hint="eastAsia" w:ascii="宋体" w:hAnsi="宋体" w:cs="宋体"/>
                <w:color w:val="auto"/>
                <w:szCs w:val="21"/>
                <w:highlight w:val="none"/>
                <w:u w:val="none"/>
              </w:rPr>
            </w:pPr>
          </w:p>
        </w:tc>
        <w:tc>
          <w:tcPr>
            <w:tcW w:w="1134" w:type="dxa"/>
            <w:tcBorders>
              <w:top w:val="nil"/>
              <w:left w:val="nil"/>
              <w:bottom w:val="single" w:color="auto" w:sz="8" w:space="0"/>
              <w:right w:val="single" w:color="auto" w:sz="8" w:space="0"/>
            </w:tcBorders>
            <w:vAlign w:val="center"/>
          </w:tcPr>
          <w:p w14:paraId="73972B01">
            <w:pPr>
              <w:widowControl/>
              <w:spacing w:line="360" w:lineRule="auto"/>
              <w:jc w:val="center"/>
              <w:rPr>
                <w:rFonts w:hint="eastAsia" w:ascii="宋体" w:hAnsi="宋体" w:cs="宋体"/>
                <w:color w:val="auto"/>
                <w:szCs w:val="21"/>
                <w:highlight w:val="none"/>
                <w:u w:val="none"/>
              </w:rPr>
            </w:pPr>
          </w:p>
        </w:tc>
        <w:tc>
          <w:tcPr>
            <w:tcW w:w="933" w:type="dxa"/>
            <w:tcBorders>
              <w:top w:val="nil"/>
              <w:left w:val="nil"/>
              <w:bottom w:val="single" w:color="auto" w:sz="8" w:space="0"/>
              <w:right w:val="single" w:color="auto" w:sz="8" w:space="0"/>
            </w:tcBorders>
            <w:vAlign w:val="center"/>
          </w:tcPr>
          <w:p w14:paraId="0959BC21">
            <w:pPr>
              <w:widowControl/>
              <w:spacing w:line="360" w:lineRule="auto"/>
              <w:jc w:val="center"/>
              <w:rPr>
                <w:rFonts w:hint="eastAsia" w:ascii="宋体" w:hAnsi="宋体" w:cs="宋体"/>
                <w:color w:val="auto"/>
                <w:szCs w:val="21"/>
                <w:highlight w:val="none"/>
                <w:u w:val="none"/>
              </w:rPr>
            </w:pPr>
          </w:p>
        </w:tc>
        <w:tc>
          <w:tcPr>
            <w:tcW w:w="1276" w:type="dxa"/>
            <w:tcBorders>
              <w:top w:val="nil"/>
              <w:left w:val="nil"/>
              <w:bottom w:val="single" w:color="auto" w:sz="8" w:space="0"/>
              <w:right w:val="single" w:color="auto" w:sz="8" w:space="0"/>
            </w:tcBorders>
            <w:vAlign w:val="center"/>
          </w:tcPr>
          <w:p w14:paraId="5292EDB8">
            <w:pPr>
              <w:widowControl/>
              <w:spacing w:line="360" w:lineRule="auto"/>
              <w:jc w:val="center"/>
              <w:rPr>
                <w:rFonts w:hint="eastAsia" w:ascii="宋体" w:hAnsi="宋体" w:cs="宋体"/>
                <w:color w:val="auto"/>
                <w:szCs w:val="21"/>
                <w:highlight w:val="none"/>
                <w:u w:val="none"/>
              </w:rPr>
            </w:pPr>
          </w:p>
        </w:tc>
        <w:tc>
          <w:tcPr>
            <w:tcW w:w="1276" w:type="dxa"/>
            <w:tcBorders>
              <w:top w:val="nil"/>
              <w:left w:val="nil"/>
              <w:bottom w:val="single" w:color="auto" w:sz="8" w:space="0"/>
              <w:right w:val="single" w:color="auto" w:sz="8" w:space="0"/>
            </w:tcBorders>
            <w:vAlign w:val="center"/>
          </w:tcPr>
          <w:p w14:paraId="69B67A5E">
            <w:pPr>
              <w:widowControl/>
              <w:spacing w:line="360" w:lineRule="auto"/>
              <w:jc w:val="center"/>
              <w:rPr>
                <w:rFonts w:hint="eastAsia" w:ascii="宋体" w:hAnsi="宋体" w:cs="宋体"/>
                <w:color w:val="auto"/>
                <w:szCs w:val="21"/>
                <w:highlight w:val="none"/>
                <w:u w:val="none"/>
              </w:rPr>
            </w:pPr>
          </w:p>
        </w:tc>
        <w:tc>
          <w:tcPr>
            <w:tcW w:w="1701" w:type="dxa"/>
            <w:tcBorders>
              <w:top w:val="nil"/>
              <w:left w:val="nil"/>
              <w:bottom w:val="single" w:color="auto" w:sz="8" w:space="0"/>
              <w:right w:val="single" w:color="auto" w:sz="8" w:space="0"/>
            </w:tcBorders>
            <w:vAlign w:val="center"/>
          </w:tcPr>
          <w:p w14:paraId="18814FC7">
            <w:pPr>
              <w:widowControl/>
              <w:spacing w:line="360" w:lineRule="auto"/>
              <w:jc w:val="center"/>
              <w:rPr>
                <w:rFonts w:hint="eastAsia" w:ascii="宋体" w:hAnsi="宋体" w:cs="宋体"/>
                <w:color w:val="auto"/>
                <w:szCs w:val="21"/>
                <w:highlight w:val="none"/>
                <w:u w:val="none"/>
              </w:rPr>
            </w:pPr>
          </w:p>
        </w:tc>
        <w:tc>
          <w:tcPr>
            <w:tcW w:w="1554" w:type="dxa"/>
            <w:tcBorders>
              <w:top w:val="nil"/>
              <w:left w:val="nil"/>
              <w:bottom w:val="single" w:color="auto" w:sz="8" w:space="0"/>
              <w:right w:val="single" w:color="auto" w:sz="8" w:space="0"/>
            </w:tcBorders>
            <w:vAlign w:val="center"/>
          </w:tcPr>
          <w:p w14:paraId="33DE40C9">
            <w:pPr>
              <w:widowControl/>
              <w:spacing w:line="360" w:lineRule="auto"/>
              <w:jc w:val="center"/>
              <w:rPr>
                <w:rFonts w:hint="eastAsia" w:ascii="宋体" w:hAnsi="宋体" w:cs="宋体"/>
                <w:color w:val="auto"/>
                <w:szCs w:val="21"/>
                <w:highlight w:val="none"/>
                <w:u w:val="none"/>
              </w:rPr>
            </w:pPr>
          </w:p>
        </w:tc>
      </w:tr>
    </w:tbl>
    <w:p w14:paraId="6AA1D2D9">
      <w:pPr>
        <w:spacing w:line="360" w:lineRule="auto"/>
        <w:rPr>
          <w:rFonts w:hint="eastAsia" w:ascii="宋体" w:hAnsi="宋体"/>
          <w:color w:val="auto"/>
          <w:szCs w:val="21"/>
          <w:highlight w:val="none"/>
          <w:u w:val="none"/>
        </w:rPr>
      </w:pPr>
    </w:p>
    <w:p w14:paraId="5D22C524">
      <w:pPr>
        <w:spacing w:line="360" w:lineRule="auto"/>
        <w:rPr>
          <w:rFonts w:hint="eastAsia" w:ascii="宋体" w:hAnsi="宋体"/>
          <w:color w:val="auto"/>
          <w:szCs w:val="21"/>
          <w:highlight w:val="none"/>
          <w:u w:val="none"/>
        </w:rPr>
      </w:pPr>
    </w:p>
    <w:p w14:paraId="19F1EF04">
      <w:pPr>
        <w:pStyle w:val="31"/>
        <w:overflowPunct w:val="0"/>
        <w:spacing w:line="360" w:lineRule="auto"/>
        <w:ind w:firstLine="420" w:firstLineChars="200"/>
        <w:rPr>
          <w:rFonts w:hint="eastAsia" w:ascii="宋体" w:hAnsi="宋体"/>
          <w:color w:val="auto"/>
          <w:highlight w:val="none"/>
          <w:u w:val="none"/>
        </w:rPr>
      </w:pPr>
    </w:p>
    <w:p w14:paraId="716B265F">
      <w:pPr>
        <w:spacing w:line="360" w:lineRule="auto"/>
        <w:ind w:firstLine="480"/>
        <w:jc w:val="right"/>
        <w:rPr>
          <w:rFonts w:hint="eastAsia" w:ascii="宋体" w:hAnsi="宋体" w:cs="宋体"/>
          <w:color w:val="auto"/>
          <w:szCs w:val="21"/>
          <w:highlight w:val="none"/>
          <w:u w:val="none"/>
        </w:rPr>
      </w:pPr>
    </w:p>
    <w:p w14:paraId="36ABF403">
      <w:pPr>
        <w:spacing w:line="360" w:lineRule="auto"/>
        <w:ind w:firstLine="480"/>
        <w:jc w:val="center"/>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                             供应商（公章）：</w:t>
      </w:r>
    </w:p>
    <w:p w14:paraId="7DBCE756">
      <w:pPr>
        <w:spacing w:line="360" w:lineRule="auto"/>
        <w:ind w:firstLine="480"/>
        <w:jc w:val="right"/>
        <w:rPr>
          <w:rFonts w:hint="eastAsia" w:ascii="宋体" w:hAnsi="宋体" w:cs="宋体"/>
          <w:color w:val="auto"/>
          <w:szCs w:val="21"/>
          <w:highlight w:val="none"/>
          <w:u w:val="none"/>
        </w:rPr>
      </w:pPr>
      <w:r>
        <w:rPr>
          <w:rFonts w:hint="eastAsia" w:ascii="宋体" w:hAnsi="宋体" w:cs="宋体"/>
          <w:color w:val="auto"/>
          <w:szCs w:val="21"/>
          <w:highlight w:val="none"/>
          <w:u w:val="none"/>
        </w:rPr>
        <w:t>法定代表人或授权代表（签字或盖章）：</w:t>
      </w:r>
    </w:p>
    <w:p w14:paraId="5303BCB0">
      <w:pPr>
        <w:spacing w:line="360" w:lineRule="auto"/>
        <w:ind w:firstLine="480"/>
        <w:jc w:val="center"/>
        <w:rPr>
          <w:rFonts w:hint="eastAsia" w:ascii="宋体" w:hAnsi="宋体" w:cs="宋体"/>
          <w:color w:val="auto"/>
          <w:szCs w:val="21"/>
          <w:highlight w:val="none"/>
          <w:u w:val="none"/>
        </w:rPr>
      </w:pPr>
      <w:r>
        <w:rPr>
          <w:rFonts w:hint="eastAsia" w:ascii="宋体" w:hAnsi="宋体" w:cs="宋体"/>
          <w:color w:val="auto"/>
          <w:szCs w:val="21"/>
          <w:highlight w:val="none"/>
          <w:u w:val="none"/>
        </w:rPr>
        <w:t xml:space="preserve">                                 日期：  　年　月　日</w:t>
      </w:r>
    </w:p>
    <w:p w14:paraId="516A7BE3">
      <w:pPr>
        <w:pStyle w:val="31"/>
        <w:overflowPunct w:val="0"/>
        <w:spacing w:line="360" w:lineRule="auto"/>
        <w:ind w:firstLine="420" w:firstLineChars="200"/>
        <w:rPr>
          <w:rFonts w:hint="eastAsia" w:ascii="宋体" w:hAnsi="宋体"/>
          <w:color w:val="auto"/>
          <w:highlight w:val="none"/>
          <w:u w:val="none"/>
        </w:rPr>
      </w:pPr>
    </w:p>
    <w:p w14:paraId="7D1F8608">
      <w:pPr>
        <w:widowControl/>
        <w:spacing w:line="360" w:lineRule="auto"/>
        <w:jc w:val="center"/>
        <w:rPr>
          <w:rFonts w:hint="eastAsia" w:ascii="宋体" w:hAnsi="宋体" w:cs="宋体"/>
          <w:b/>
          <w:color w:val="auto"/>
          <w:szCs w:val="21"/>
          <w:highlight w:val="none"/>
          <w:u w:val="none"/>
        </w:rPr>
      </w:pPr>
      <w:r>
        <w:rPr>
          <w:rFonts w:ascii="宋体" w:hAnsi="宋体"/>
          <w:b/>
          <w:color w:val="auto"/>
          <w:szCs w:val="21"/>
          <w:highlight w:val="none"/>
          <w:u w:val="none"/>
        </w:rPr>
        <w:br w:type="page"/>
      </w:r>
      <w:r>
        <w:rPr>
          <w:rFonts w:hint="eastAsia" w:ascii="宋体" w:hAnsi="宋体" w:cs="宋体"/>
          <w:b/>
          <w:color w:val="auto"/>
          <w:szCs w:val="21"/>
          <w:highlight w:val="none"/>
          <w:u w:val="none"/>
        </w:rPr>
        <w:t>12.</w:t>
      </w:r>
      <w:r>
        <w:rPr>
          <w:rFonts w:hint="eastAsia" w:ascii="宋体" w:hAnsi="宋体" w:cs="宋体"/>
          <w:b/>
          <w:bCs/>
          <w:color w:val="auto"/>
          <w:szCs w:val="21"/>
          <w:highlight w:val="none"/>
          <w:u w:val="none"/>
        </w:rPr>
        <w:t>供应商一般情况表</w:t>
      </w:r>
    </w:p>
    <w:tbl>
      <w:tblPr>
        <w:tblStyle w:val="1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26"/>
        <w:gridCol w:w="897"/>
        <w:gridCol w:w="1021"/>
        <w:gridCol w:w="1160"/>
        <w:gridCol w:w="311"/>
        <w:gridCol w:w="1246"/>
        <w:gridCol w:w="63"/>
        <w:gridCol w:w="720"/>
        <w:gridCol w:w="1923"/>
      </w:tblGrid>
      <w:tr w14:paraId="4D926A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26" w:type="dxa"/>
            <w:vAlign w:val="center"/>
          </w:tcPr>
          <w:p w14:paraId="3D65E78E">
            <w:pPr>
              <w:spacing w:line="360" w:lineRule="auto"/>
              <w:jc w:val="center"/>
              <w:rPr>
                <w:rFonts w:hint="eastAsia" w:ascii="宋体" w:hAnsi="宋体" w:cs="宋体"/>
                <w:color w:val="auto"/>
                <w:szCs w:val="21"/>
                <w:highlight w:val="none"/>
                <w:u w:val="none"/>
              </w:rPr>
            </w:pPr>
            <w:r>
              <w:rPr>
                <w:rFonts w:hint="eastAsia" w:ascii="宋体" w:hAnsi="宋体" w:cs="宋体"/>
                <w:color w:val="auto"/>
                <w:szCs w:val="21"/>
                <w:highlight w:val="none"/>
                <w:u w:val="none"/>
              </w:rPr>
              <w:t>供应商名称</w:t>
            </w:r>
          </w:p>
        </w:tc>
        <w:tc>
          <w:tcPr>
            <w:tcW w:w="7341" w:type="dxa"/>
            <w:gridSpan w:val="8"/>
            <w:vAlign w:val="center"/>
          </w:tcPr>
          <w:p w14:paraId="0970F5CD">
            <w:pPr>
              <w:spacing w:line="360" w:lineRule="auto"/>
              <w:jc w:val="center"/>
              <w:rPr>
                <w:rFonts w:hint="eastAsia" w:ascii="宋体" w:hAnsi="宋体" w:cs="宋体"/>
                <w:color w:val="auto"/>
                <w:szCs w:val="21"/>
                <w:highlight w:val="none"/>
                <w:u w:val="none"/>
              </w:rPr>
            </w:pPr>
          </w:p>
        </w:tc>
      </w:tr>
      <w:tr w14:paraId="101C20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26" w:type="dxa"/>
            <w:vAlign w:val="center"/>
          </w:tcPr>
          <w:p w14:paraId="0505DC7B">
            <w:pPr>
              <w:spacing w:line="360" w:lineRule="auto"/>
              <w:jc w:val="center"/>
              <w:rPr>
                <w:rFonts w:hint="eastAsia" w:ascii="宋体" w:hAnsi="宋体" w:cs="宋体"/>
                <w:color w:val="auto"/>
                <w:szCs w:val="21"/>
                <w:highlight w:val="none"/>
                <w:u w:val="none"/>
              </w:rPr>
            </w:pPr>
            <w:r>
              <w:rPr>
                <w:rFonts w:hint="eastAsia" w:ascii="宋体" w:hAnsi="宋体" w:cs="宋体"/>
                <w:color w:val="auto"/>
                <w:szCs w:val="21"/>
                <w:highlight w:val="none"/>
                <w:u w:val="none"/>
              </w:rPr>
              <w:t>注册地址</w:t>
            </w:r>
          </w:p>
        </w:tc>
        <w:tc>
          <w:tcPr>
            <w:tcW w:w="3389" w:type="dxa"/>
            <w:gridSpan w:val="4"/>
            <w:vAlign w:val="center"/>
          </w:tcPr>
          <w:p w14:paraId="4CE8047E">
            <w:pPr>
              <w:spacing w:line="360" w:lineRule="auto"/>
              <w:jc w:val="center"/>
              <w:rPr>
                <w:rFonts w:hint="eastAsia" w:ascii="宋体" w:hAnsi="宋体" w:cs="宋体"/>
                <w:color w:val="auto"/>
                <w:szCs w:val="21"/>
                <w:highlight w:val="none"/>
                <w:u w:val="none"/>
              </w:rPr>
            </w:pPr>
          </w:p>
        </w:tc>
        <w:tc>
          <w:tcPr>
            <w:tcW w:w="1246" w:type="dxa"/>
            <w:vAlign w:val="center"/>
          </w:tcPr>
          <w:p w14:paraId="7C013D3F">
            <w:pPr>
              <w:spacing w:line="360" w:lineRule="auto"/>
              <w:jc w:val="center"/>
              <w:rPr>
                <w:rFonts w:hint="eastAsia" w:ascii="宋体" w:hAnsi="宋体" w:cs="宋体"/>
                <w:color w:val="auto"/>
                <w:szCs w:val="21"/>
                <w:highlight w:val="none"/>
                <w:u w:val="none"/>
              </w:rPr>
            </w:pPr>
            <w:r>
              <w:rPr>
                <w:rFonts w:hint="eastAsia" w:ascii="宋体" w:hAnsi="宋体" w:cs="宋体"/>
                <w:color w:val="auto"/>
                <w:szCs w:val="21"/>
                <w:highlight w:val="none"/>
                <w:u w:val="none"/>
              </w:rPr>
              <w:t>邮政编码</w:t>
            </w:r>
          </w:p>
        </w:tc>
        <w:tc>
          <w:tcPr>
            <w:tcW w:w="2706" w:type="dxa"/>
            <w:gridSpan w:val="3"/>
            <w:vAlign w:val="center"/>
          </w:tcPr>
          <w:p w14:paraId="5697942B">
            <w:pPr>
              <w:spacing w:line="360" w:lineRule="auto"/>
              <w:jc w:val="center"/>
              <w:rPr>
                <w:rFonts w:hint="eastAsia" w:ascii="宋体" w:hAnsi="宋体" w:cs="宋体"/>
                <w:color w:val="auto"/>
                <w:szCs w:val="21"/>
                <w:highlight w:val="none"/>
                <w:u w:val="none"/>
              </w:rPr>
            </w:pPr>
          </w:p>
        </w:tc>
      </w:tr>
      <w:tr w14:paraId="4D968D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626" w:type="dxa"/>
            <w:vMerge w:val="restart"/>
            <w:vAlign w:val="center"/>
          </w:tcPr>
          <w:p w14:paraId="220DD692">
            <w:pPr>
              <w:spacing w:line="360" w:lineRule="auto"/>
              <w:jc w:val="center"/>
              <w:rPr>
                <w:rFonts w:hint="eastAsia" w:ascii="宋体" w:hAnsi="宋体" w:cs="宋体"/>
                <w:color w:val="auto"/>
                <w:szCs w:val="21"/>
                <w:highlight w:val="none"/>
                <w:u w:val="none"/>
              </w:rPr>
            </w:pPr>
            <w:r>
              <w:rPr>
                <w:rFonts w:hint="eastAsia" w:ascii="宋体" w:hAnsi="宋体" w:cs="宋体"/>
                <w:color w:val="auto"/>
                <w:szCs w:val="21"/>
                <w:highlight w:val="none"/>
                <w:u w:val="none"/>
              </w:rPr>
              <w:t>联系方式</w:t>
            </w:r>
          </w:p>
        </w:tc>
        <w:tc>
          <w:tcPr>
            <w:tcW w:w="897" w:type="dxa"/>
            <w:vAlign w:val="center"/>
          </w:tcPr>
          <w:p w14:paraId="07ED7609">
            <w:pPr>
              <w:spacing w:line="360" w:lineRule="auto"/>
              <w:jc w:val="center"/>
              <w:rPr>
                <w:rFonts w:hint="eastAsia" w:ascii="宋体" w:hAnsi="宋体" w:cs="宋体"/>
                <w:color w:val="auto"/>
                <w:szCs w:val="21"/>
                <w:highlight w:val="none"/>
                <w:u w:val="none"/>
              </w:rPr>
            </w:pPr>
            <w:r>
              <w:rPr>
                <w:rFonts w:hint="eastAsia" w:ascii="宋体" w:hAnsi="宋体" w:cs="宋体"/>
                <w:color w:val="auto"/>
                <w:szCs w:val="21"/>
                <w:highlight w:val="none"/>
                <w:u w:val="none"/>
              </w:rPr>
              <w:t>联系人</w:t>
            </w:r>
          </w:p>
        </w:tc>
        <w:tc>
          <w:tcPr>
            <w:tcW w:w="2492" w:type="dxa"/>
            <w:gridSpan w:val="3"/>
            <w:vAlign w:val="center"/>
          </w:tcPr>
          <w:p w14:paraId="3BD5E653">
            <w:pPr>
              <w:spacing w:line="360" w:lineRule="auto"/>
              <w:jc w:val="center"/>
              <w:rPr>
                <w:rFonts w:hint="eastAsia" w:ascii="宋体" w:hAnsi="宋体" w:cs="宋体"/>
                <w:color w:val="auto"/>
                <w:szCs w:val="21"/>
                <w:highlight w:val="none"/>
                <w:u w:val="none"/>
              </w:rPr>
            </w:pPr>
          </w:p>
        </w:tc>
        <w:tc>
          <w:tcPr>
            <w:tcW w:w="1246" w:type="dxa"/>
            <w:vAlign w:val="center"/>
          </w:tcPr>
          <w:p w14:paraId="17F1DAB1">
            <w:pPr>
              <w:spacing w:line="360" w:lineRule="auto"/>
              <w:jc w:val="center"/>
              <w:rPr>
                <w:rFonts w:hint="eastAsia" w:ascii="宋体" w:hAnsi="宋体" w:cs="宋体"/>
                <w:color w:val="auto"/>
                <w:szCs w:val="21"/>
                <w:highlight w:val="none"/>
                <w:u w:val="none"/>
              </w:rPr>
            </w:pPr>
            <w:r>
              <w:rPr>
                <w:rFonts w:hint="eastAsia" w:ascii="宋体" w:hAnsi="宋体" w:cs="宋体"/>
                <w:color w:val="auto"/>
                <w:szCs w:val="21"/>
                <w:highlight w:val="none"/>
                <w:u w:val="none"/>
              </w:rPr>
              <w:t>电话</w:t>
            </w:r>
          </w:p>
        </w:tc>
        <w:tc>
          <w:tcPr>
            <w:tcW w:w="2706" w:type="dxa"/>
            <w:gridSpan w:val="3"/>
            <w:vAlign w:val="center"/>
          </w:tcPr>
          <w:p w14:paraId="345F784A">
            <w:pPr>
              <w:spacing w:line="360" w:lineRule="auto"/>
              <w:jc w:val="center"/>
              <w:rPr>
                <w:rFonts w:hint="eastAsia" w:ascii="宋体" w:hAnsi="宋体" w:cs="宋体"/>
                <w:color w:val="auto"/>
                <w:szCs w:val="21"/>
                <w:highlight w:val="none"/>
                <w:u w:val="none"/>
              </w:rPr>
            </w:pPr>
          </w:p>
        </w:tc>
      </w:tr>
      <w:tr w14:paraId="51C03B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626" w:type="dxa"/>
            <w:vMerge w:val="continue"/>
            <w:vAlign w:val="center"/>
          </w:tcPr>
          <w:p w14:paraId="23BA2ADD">
            <w:pPr>
              <w:spacing w:line="360" w:lineRule="auto"/>
              <w:jc w:val="center"/>
              <w:rPr>
                <w:rFonts w:hint="eastAsia" w:ascii="宋体" w:hAnsi="宋体" w:cs="宋体"/>
                <w:color w:val="auto"/>
                <w:szCs w:val="21"/>
                <w:highlight w:val="none"/>
                <w:u w:val="none"/>
              </w:rPr>
            </w:pPr>
          </w:p>
        </w:tc>
        <w:tc>
          <w:tcPr>
            <w:tcW w:w="897" w:type="dxa"/>
            <w:vAlign w:val="center"/>
          </w:tcPr>
          <w:p w14:paraId="380B205A">
            <w:pPr>
              <w:spacing w:line="360" w:lineRule="auto"/>
              <w:jc w:val="center"/>
              <w:rPr>
                <w:rFonts w:hint="eastAsia" w:ascii="宋体" w:hAnsi="宋体" w:cs="宋体"/>
                <w:color w:val="auto"/>
                <w:szCs w:val="21"/>
                <w:highlight w:val="none"/>
                <w:u w:val="none"/>
              </w:rPr>
            </w:pPr>
            <w:r>
              <w:rPr>
                <w:rFonts w:hint="eastAsia" w:ascii="宋体" w:hAnsi="宋体" w:cs="宋体"/>
                <w:color w:val="auto"/>
                <w:szCs w:val="21"/>
                <w:highlight w:val="none"/>
                <w:u w:val="none"/>
              </w:rPr>
              <w:t>传真</w:t>
            </w:r>
          </w:p>
        </w:tc>
        <w:tc>
          <w:tcPr>
            <w:tcW w:w="2492" w:type="dxa"/>
            <w:gridSpan w:val="3"/>
            <w:vAlign w:val="center"/>
          </w:tcPr>
          <w:p w14:paraId="1DE4DBCA">
            <w:pPr>
              <w:spacing w:line="360" w:lineRule="auto"/>
              <w:jc w:val="center"/>
              <w:rPr>
                <w:rFonts w:hint="eastAsia" w:ascii="宋体" w:hAnsi="宋体" w:cs="宋体"/>
                <w:color w:val="auto"/>
                <w:szCs w:val="21"/>
                <w:highlight w:val="none"/>
                <w:u w:val="none"/>
              </w:rPr>
            </w:pPr>
          </w:p>
        </w:tc>
        <w:tc>
          <w:tcPr>
            <w:tcW w:w="1246" w:type="dxa"/>
            <w:vAlign w:val="center"/>
          </w:tcPr>
          <w:p w14:paraId="6FD0859C">
            <w:pPr>
              <w:spacing w:line="360" w:lineRule="auto"/>
              <w:jc w:val="center"/>
              <w:rPr>
                <w:rFonts w:hint="eastAsia" w:ascii="宋体" w:hAnsi="宋体" w:cs="宋体"/>
                <w:color w:val="auto"/>
                <w:szCs w:val="21"/>
                <w:highlight w:val="none"/>
                <w:u w:val="none"/>
              </w:rPr>
            </w:pPr>
            <w:r>
              <w:rPr>
                <w:rFonts w:hint="eastAsia" w:ascii="宋体" w:hAnsi="宋体" w:cs="宋体"/>
                <w:color w:val="auto"/>
                <w:szCs w:val="21"/>
                <w:highlight w:val="none"/>
                <w:u w:val="none"/>
              </w:rPr>
              <w:t>网址</w:t>
            </w:r>
          </w:p>
        </w:tc>
        <w:tc>
          <w:tcPr>
            <w:tcW w:w="2706" w:type="dxa"/>
            <w:gridSpan w:val="3"/>
            <w:vAlign w:val="center"/>
          </w:tcPr>
          <w:p w14:paraId="2DA2987A">
            <w:pPr>
              <w:spacing w:line="360" w:lineRule="auto"/>
              <w:jc w:val="center"/>
              <w:rPr>
                <w:rFonts w:hint="eastAsia" w:ascii="宋体" w:hAnsi="宋体" w:cs="宋体"/>
                <w:color w:val="auto"/>
                <w:szCs w:val="21"/>
                <w:highlight w:val="none"/>
                <w:u w:val="none"/>
              </w:rPr>
            </w:pPr>
          </w:p>
        </w:tc>
      </w:tr>
      <w:tr w14:paraId="3CBB74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26" w:type="dxa"/>
            <w:vAlign w:val="center"/>
          </w:tcPr>
          <w:p w14:paraId="56C65CD0">
            <w:pPr>
              <w:spacing w:line="360" w:lineRule="auto"/>
              <w:jc w:val="center"/>
              <w:rPr>
                <w:rFonts w:hint="eastAsia" w:ascii="宋体" w:hAnsi="宋体" w:cs="宋体"/>
                <w:color w:val="auto"/>
                <w:szCs w:val="21"/>
                <w:highlight w:val="none"/>
                <w:u w:val="none"/>
              </w:rPr>
            </w:pPr>
            <w:r>
              <w:rPr>
                <w:rFonts w:hint="eastAsia" w:ascii="宋体" w:hAnsi="宋体" w:cs="宋体"/>
                <w:color w:val="auto"/>
                <w:szCs w:val="21"/>
                <w:highlight w:val="none"/>
                <w:u w:val="none"/>
              </w:rPr>
              <w:t>企业统一社会信用代码</w:t>
            </w:r>
          </w:p>
        </w:tc>
        <w:tc>
          <w:tcPr>
            <w:tcW w:w="7341" w:type="dxa"/>
            <w:gridSpan w:val="8"/>
            <w:vAlign w:val="center"/>
          </w:tcPr>
          <w:p w14:paraId="12E3803E">
            <w:pPr>
              <w:spacing w:line="360" w:lineRule="auto"/>
              <w:jc w:val="center"/>
              <w:rPr>
                <w:rFonts w:hint="eastAsia" w:ascii="宋体" w:hAnsi="宋体" w:cs="宋体"/>
                <w:color w:val="auto"/>
                <w:szCs w:val="21"/>
                <w:highlight w:val="none"/>
                <w:u w:val="none"/>
              </w:rPr>
            </w:pPr>
          </w:p>
        </w:tc>
      </w:tr>
      <w:tr w14:paraId="1AFB87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26" w:type="dxa"/>
            <w:vAlign w:val="center"/>
          </w:tcPr>
          <w:p w14:paraId="7E708818">
            <w:pPr>
              <w:spacing w:line="360" w:lineRule="auto"/>
              <w:jc w:val="center"/>
              <w:rPr>
                <w:rFonts w:hint="eastAsia" w:ascii="宋体" w:hAnsi="宋体" w:cs="宋体"/>
                <w:color w:val="auto"/>
                <w:szCs w:val="21"/>
                <w:highlight w:val="none"/>
                <w:u w:val="none"/>
              </w:rPr>
            </w:pPr>
            <w:r>
              <w:rPr>
                <w:rFonts w:hint="eastAsia" w:ascii="宋体" w:hAnsi="宋体" w:cs="宋体"/>
                <w:color w:val="auto"/>
                <w:szCs w:val="21"/>
                <w:highlight w:val="none"/>
                <w:u w:val="none"/>
              </w:rPr>
              <w:t>法定代表人</w:t>
            </w:r>
          </w:p>
        </w:tc>
        <w:tc>
          <w:tcPr>
            <w:tcW w:w="897" w:type="dxa"/>
            <w:vAlign w:val="center"/>
          </w:tcPr>
          <w:p w14:paraId="3E21F2C3">
            <w:pPr>
              <w:spacing w:line="360" w:lineRule="auto"/>
              <w:jc w:val="center"/>
              <w:rPr>
                <w:rFonts w:hint="eastAsia" w:ascii="宋体" w:hAnsi="宋体" w:cs="宋体"/>
                <w:color w:val="auto"/>
                <w:szCs w:val="21"/>
                <w:highlight w:val="none"/>
                <w:u w:val="none"/>
              </w:rPr>
            </w:pPr>
            <w:r>
              <w:rPr>
                <w:rFonts w:hint="eastAsia" w:ascii="宋体" w:hAnsi="宋体" w:cs="宋体"/>
                <w:color w:val="auto"/>
                <w:szCs w:val="21"/>
                <w:highlight w:val="none"/>
                <w:u w:val="none"/>
              </w:rPr>
              <w:t>姓名</w:t>
            </w:r>
          </w:p>
        </w:tc>
        <w:tc>
          <w:tcPr>
            <w:tcW w:w="1021" w:type="dxa"/>
            <w:vAlign w:val="center"/>
          </w:tcPr>
          <w:p w14:paraId="376AE800">
            <w:pPr>
              <w:spacing w:line="360" w:lineRule="auto"/>
              <w:jc w:val="center"/>
              <w:rPr>
                <w:rFonts w:hint="eastAsia" w:ascii="宋体" w:hAnsi="宋体" w:cs="宋体"/>
                <w:color w:val="auto"/>
                <w:szCs w:val="21"/>
                <w:highlight w:val="none"/>
                <w:u w:val="none"/>
              </w:rPr>
            </w:pPr>
          </w:p>
        </w:tc>
        <w:tc>
          <w:tcPr>
            <w:tcW w:w="1160" w:type="dxa"/>
            <w:vAlign w:val="center"/>
          </w:tcPr>
          <w:p w14:paraId="1B531494">
            <w:pPr>
              <w:spacing w:line="360" w:lineRule="auto"/>
              <w:jc w:val="center"/>
              <w:rPr>
                <w:rFonts w:hint="eastAsia" w:ascii="宋体" w:hAnsi="宋体" w:cs="宋体"/>
                <w:color w:val="auto"/>
                <w:szCs w:val="21"/>
                <w:highlight w:val="none"/>
                <w:u w:val="none"/>
              </w:rPr>
            </w:pPr>
            <w:r>
              <w:rPr>
                <w:rFonts w:hint="eastAsia" w:ascii="宋体" w:hAnsi="宋体" w:cs="宋体"/>
                <w:color w:val="auto"/>
                <w:szCs w:val="21"/>
                <w:highlight w:val="none"/>
                <w:u w:val="none"/>
              </w:rPr>
              <w:t>技术职称</w:t>
            </w:r>
          </w:p>
        </w:tc>
        <w:tc>
          <w:tcPr>
            <w:tcW w:w="1620" w:type="dxa"/>
            <w:gridSpan w:val="3"/>
            <w:vAlign w:val="center"/>
          </w:tcPr>
          <w:p w14:paraId="5D493DAB">
            <w:pPr>
              <w:spacing w:line="360" w:lineRule="auto"/>
              <w:jc w:val="center"/>
              <w:rPr>
                <w:rFonts w:hint="eastAsia" w:ascii="宋体" w:hAnsi="宋体" w:cs="宋体"/>
                <w:color w:val="auto"/>
                <w:szCs w:val="21"/>
                <w:highlight w:val="none"/>
                <w:u w:val="none"/>
              </w:rPr>
            </w:pPr>
          </w:p>
        </w:tc>
        <w:tc>
          <w:tcPr>
            <w:tcW w:w="720" w:type="dxa"/>
            <w:vAlign w:val="center"/>
          </w:tcPr>
          <w:p w14:paraId="5DCFA309">
            <w:pPr>
              <w:spacing w:line="360" w:lineRule="auto"/>
              <w:jc w:val="center"/>
              <w:rPr>
                <w:rFonts w:hint="eastAsia" w:ascii="宋体" w:hAnsi="宋体" w:cs="宋体"/>
                <w:color w:val="auto"/>
                <w:szCs w:val="21"/>
                <w:highlight w:val="none"/>
                <w:u w:val="none"/>
              </w:rPr>
            </w:pPr>
            <w:r>
              <w:rPr>
                <w:rFonts w:hint="eastAsia" w:ascii="宋体" w:hAnsi="宋体" w:cs="宋体"/>
                <w:color w:val="auto"/>
                <w:szCs w:val="21"/>
                <w:highlight w:val="none"/>
                <w:u w:val="none"/>
              </w:rPr>
              <w:t>电话</w:t>
            </w:r>
          </w:p>
        </w:tc>
        <w:tc>
          <w:tcPr>
            <w:tcW w:w="1923" w:type="dxa"/>
            <w:vAlign w:val="center"/>
          </w:tcPr>
          <w:p w14:paraId="01AE68EA">
            <w:pPr>
              <w:spacing w:line="360" w:lineRule="auto"/>
              <w:jc w:val="center"/>
              <w:rPr>
                <w:rFonts w:hint="eastAsia" w:ascii="宋体" w:hAnsi="宋体" w:cs="宋体"/>
                <w:color w:val="auto"/>
                <w:szCs w:val="21"/>
                <w:highlight w:val="none"/>
                <w:u w:val="none"/>
              </w:rPr>
            </w:pPr>
          </w:p>
        </w:tc>
      </w:tr>
      <w:tr w14:paraId="4BA26C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26" w:type="dxa"/>
            <w:vAlign w:val="center"/>
          </w:tcPr>
          <w:p w14:paraId="3E99EA9C">
            <w:pPr>
              <w:spacing w:line="360" w:lineRule="auto"/>
              <w:jc w:val="center"/>
              <w:rPr>
                <w:rFonts w:hint="eastAsia" w:ascii="宋体" w:hAnsi="宋体" w:cs="宋体"/>
                <w:color w:val="auto"/>
                <w:szCs w:val="21"/>
                <w:highlight w:val="none"/>
                <w:u w:val="none"/>
              </w:rPr>
            </w:pPr>
            <w:r>
              <w:rPr>
                <w:rFonts w:hint="eastAsia" w:ascii="宋体" w:hAnsi="宋体" w:cs="宋体"/>
                <w:color w:val="auto"/>
                <w:szCs w:val="21"/>
                <w:highlight w:val="none"/>
                <w:u w:val="none"/>
              </w:rPr>
              <w:t>技术负责人</w:t>
            </w:r>
          </w:p>
        </w:tc>
        <w:tc>
          <w:tcPr>
            <w:tcW w:w="897" w:type="dxa"/>
            <w:vAlign w:val="center"/>
          </w:tcPr>
          <w:p w14:paraId="31CA41E8">
            <w:pPr>
              <w:spacing w:line="360" w:lineRule="auto"/>
              <w:jc w:val="center"/>
              <w:rPr>
                <w:rFonts w:hint="eastAsia" w:ascii="宋体" w:hAnsi="宋体" w:cs="宋体"/>
                <w:color w:val="auto"/>
                <w:szCs w:val="21"/>
                <w:highlight w:val="none"/>
                <w:u w:val="none"/>
              </w:rPr>
            </w:pPr>
            <w:r>
              <w:rPr>
                <w:rFonts w:hint="eastAsia" w:ascii="宋体" w:hAnsi="宋体" w:cs="宋体"/>
                <w:color w:val="auto"/>
                <w:szCs w:val="21"/>
                <w:highlight w:val="none"/>
                <w:u w:val="none"/>
              </w:rPr>
              <w:t>姓名</w:t>
            </w:r>
          </w:p>
        </w:tc>
        <w:tc>
          <w:tcPr>
            <w:tcW w:w="1021" w:type="dxa"/>
            <w:vAlign w:val="center"/>
          </w:tcPr>
          <w:p w14:paraId="374F35F3">
            <w:pPr>
              <w:spacing w:line="360" w:lineRule="auto"/>
              <w:jc w:val="center"/>
              <w:rPr>
                <w:rFonts w:hint="eastAsia" w:ascii="宋体" w:hAnsi="宋体" w:cs="宋体"/>
                <w:color w:val="auto"/>
                <w:szCs w:val="21"/>
                <w:highlight w:val="none"/>
                <w:u w:val="none"/>
              </w:rPr>
            </w:pPr>
          </w:p>
        </w:tc>
        <w:tc>
          <w:tcPr>
            <w:tcW w:w="1160" w:type="dxa"/>
            <w:vAlign w:val="center"/>
          </w:tcPr>
          <w:p w14:paraId="74D58EDB">
            <w:pPr>
              <w:spacing w:line="360" w:lineRule="auto"/>
              <w:jc w:val="center"/>
              <w:rPr>
                <w:rFonts w:hint="eastAsia" w:ascii="宋体" w:hAnsi="宋体" w:cs="宋体"/>
                <w:color w:val="auto"/>
                <w:szCs w:val="21"/>
                <w:highlight w:val="none"/>
                <w:u w:val="none"/>
              </w:rPr>
            </w:pPr>
            <w:r>
              <w:rPr>
                <w:rFonts w:hint="eastAsia" w:ascii="宋体" w:hAnsi="宋体" w:cs="宋体"/>
                <w:color w:val="auto"/>
                <w:szCs w:val="21"/>
                <w:highlight w:val="none"/>
                <w:u w:val="none"/>
              </w:rPr>
              <w:t>技术职称</w:t>
            </w:r>
          </w:p>
        </w:tc>
        <w:tc>
          <w:tcPr>
            <w:tcW w:w="1620" w:type="dxa"/>
            <w:gridSpan w:val="3"/>
            <w:vAlign w:val="center"/>
          </w:tcPr>
          <w:p w14:paraId="3FD650C2">
            <w:pPr>
              <w:spacing w:line="360" w:lineRule="auto"/>
              <w:jc w:val="center"/>
              <w:rPr>
                <w:rFonts w:hint="eastAsia" w:ascii="宋体" w:hAnsi="宋体" w:cs="宋体"/>
                <w:color w:val="auto"/>
                <w:szCs w:val="21"/>
                <w:highlight w:val="none"/>
                <w:u w:val="none"/>
              </w:rPr>
            </w:pPr>
          </w:p>
        </w:tc>
        <w:tc>
          <w:tcPr>
            <w:tcW w:w="720" w:type="dxa"/>
            <w:vAlign w:val="center"/>
          </w:tcPr>
          <w:p w14:paraId="1BE4FD38">
            <w:pPr>
              <w:spacing w:line="360" w:lineRule="auto"/>
              <w:jc w:val="center"/>
              <w:rPr>
                <w:rFonts w:hint="eastAsia" w:ascii="宋体" w:hAnsi="宋体" w:cs="宋体"/>
                <w:color w:val="auto"/>
                <w:szCs w:val="21"/>
                <w:highlight w:val="none"/>
                <w:u w:val="none"/>
              </w:rPr>
            </w:pPr>
            <w:r>
              <w:rPr>
                <w:rFonts w:hint="eastAsia" w:ascii="宋体" w:hAnsi="宋体" w:cs="宋体"/>
                <w:color w:val="auto"/>
                <w:szCs w:val="21"/>
                <w:highlight w:val="none"/>
                <w:u w:val="none"/>
              </w:rPr>
              <w:t>电话</w:t>
            </w:r>
          </w:p>
        </w:tc>
        <w:tc>
          <w:tcPr>
            <w:tcW w:w="1923" w:type="dxa"/>
            <w:vAlign w:val="center"/>
          </w:tcPr>
          <w:p w14:paraId="3AD2FF8C">
            <w:pPr>
              <w:spacing w:line="360" w:lineRule="auto"/>
              <w:jc w:val="center"/>
              <w:rPr>
                <w:rFonts w:hint="eastAsia" w:ascii="宋体" w:hAnsi="宋体" w:cs="宋体"/>
                <w:color w:val="auto"/>
                <w:szCs w:val="21"/>
                <w:highlight w:val="none"/>
                <w:u w:val="none"/>
              </w:rPr>
            </w:pPr>
          </w:p>
        </w:tc>
      </w:tr>
      <w:tr w14:paraId="593F7E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26" w:type="dxa"/>
            <w:vAlign w:val="center"/>
          </w:tcPr>
          <w:p w14:paraId="311C339E">
            <w:pPr>
              <w:spacing w:line="360" w:lineRule="auto"/>
              <w:jc w:val="center"/>
              <w:rPr>
                <w:rFonts w:hint="eastAsia" w:ascii="宋体" w:hAnsi="宋体" w:cs="宋体"/>
                <w:color w:val="auto"/>
                <w:szCs w:val="21"/>
                <w:highlight w:val="none"/>
                <w:u w:val="none"/>
              </w:rPr>
            </w:pPr>
            <w:r>
              <w:rPr>
                <w:rFonts w:hint="eastAsia" w:ascii="宋体" w:hAnsi="宋体" w:cs="宋体"/>
                <w:color w:val="auto"/>
                <w:szCs w:val="21"/>
                <w:highlight w:val="none"/>
                <w:u w:val="none"/>
              </w:rPr>
              <w:t>成立时间</w:t>
            </w:r>
          </w:p>
        </w:tc>
        <w:tc>
          <w:tcPr>
            <w:tcW w:w="1918" w:type="dxa"/>
            <w:gridSpan w:val="2"/>
            <w:vAlign w:val="center"/>
          </w:tcPr>
          <w:p w14:paraId="21F4FC42">
            <w:pPr>
              <w:spacing w:line="360" w:lineRule="auto"/>
              <w:jc w:val="center"/>
              <w:rPr>
                <w:rFonts w:hint="eastAsia" w:ascii="宋体" w:hAnsi="宋体" w:cs="宋体"/>
                <w:color w:val="auto"/>
                <w:szCs w:val="21"/>
                <w:highlight w:val="none"/>
                <w:u w:val="none"/>
              </w:rPr>
            </w:pPr>
          </w:p>
        </w:tc>
        <w:tc>
          <w:tcPr>
            <w:tcW w:w="5423" w:type="dxa"/>
            <w:gridSpan w:val="6"/>
            <w:vAlign w:val="center"/>
          </w:tcPr>
          <w:p w14:paraId="4E7E2ADF">
            <w:pPr>
              <w:spacing w:line="360" w:lineRule="auto"/>
              <w:jc w:val="center"/>
              <w:rPr>
                <w:rFonts w:hint="eastAsia" w:ascii="宋体" w:hAnsi="宋体" w:cs="宋体"/>
                <w:color w:val="auto"/>
                <w:szCs w:val="21"/>
                <w:highlight w:val="none"/>
                <w:u w:val="none"/>
              </w:rPr>
            </w:pPr>
            <w:r>
              <w:rPr>
                <w:rFonts w:hint="eastAsia" w:ascii="宋体" w:hAnsi="宋体" w:cs="宋体"/>
                <w:color w:val="auto"/>
                <w:szCs w:val="21"/>
                <w:highlight w:val="none"/>
                <w:u w:val="none"/>
              </w:rPr>
              <w:t>员工总人数：</w:t>
            </w:r>
          </w:p>
        </w:tc>
      </w:tr>
      <w:tr w14:paraId="0F9611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626" w:type="dxa"/>
            <w:vAlign w:val="center"/>
          </w:tcPr>
          <w:p w14:paraId="73D1FA20">
            <w:pPr>
              <w:spacing w:line="360" w:lineRule="auto"/>
              <w:jc w:val="center"/>
              <w:rPr>
                <w:rFonts w:hint="eastAsia" w:ascii="宋体" w:hAnsi="宋体" w:cs="宋体"/>
                <w:color w:val="auto"/>
                <w:szCs w:val="21"/>
                <w:highlight w:val="none"/>
                <w:u w:val="none"/>
              </w:rPr>
            </w:pPr>
            <w:r>
              <w:rPr>
                <w:rFonts w:hint="eastAsia" w:ascii="宋体" w:hAnsi="宋体" w:cs="宋体"/>
                <w:color w:val="auto"/>
                <w:szCs w:val="21"/>
                <w:highlight w:val="none"/>
                <w:u w:val="none"/>
              </w:rPr>
              <w:t>企业资质等级</w:t>
            </w:r>
          </w:p>
        </w:tc>
        <w:tc>
          <w:tcPr>
            <w:tcW w:w="1918" w:type="dxa"/>
            <w:gridSpan w:val="2"/>
            <w:vAlign w:val="center"/>
          </w:tcPr>
          <w:p w14:paraId="597590F0">
            <w:pPr>
              <w:spacing w:line="360" w:lineRule="auto"/>
              <w:jc w:val="center"/>
              <w:rPr>
                <w:rFonts w:hint="eastAsia" w:ascii="宋体" w:hAnsi="宋体" w:cs="宋体"/>
                <w:color w:val="auto"/>
                <w:szCs w:val="21"/>
                <w:highlight w:val="none"/>
                <w:u w:val="none"/>
              </w:rPr>
            </w:pPr>
          </w:p>
        </w:tc>
        <w:tc>
          <w:tcPr>
            <w:tcW w:w="1160" w:type="dxa"/>
            <w:vMerge w:val="restart"/>
            <w:vAlign w:val="center"/>
          </w:tcPr>
          <w:p w14:paraId="0E463603">
            <w:pPr>
              <w:spacing w:line="360" w:lineRule="auto"/>
              <w:jc w:val="center"/>
              <w:rPr>
                <w:rFonts w:hint="eastAsia" w:ascii="宋体" w:hAnsi="宋体" w:cs="宋体"/>
                <w:color w:val="auto"/>
                <w:szCs w:val="21"/>
                <w:highlight w:val="none"/>
                <w:u w:val="none"/>
              </w:rPr>
            </w:pPr>
            <w:r>
              <w:rPr>
                <w:rFonts w:hint="eastAsia" w:ascii="宋体" w:hAnsi="宋体" w:cs="宋体"/>
                <w:color w:val="auto"/>
                <w:szCs w:val="21"/>
                <w:highlight w:val="none"/>
                <w:u w:val="none"/>
              </w:rPr>
              <w:t>其中</w:t>
            </w:r>
          </w:p>
        </w:tc>
        <w:tc>
          <w:tcPr>
            <w:tcW w:w="1620" w:type="dxa"/>
            <w:gridSpan w:val="3"/>
            <w:vAlign w:val="center"/>
          </w:tcPr>
          <w:p w14:paraId="3692B701">
            <w:pPr>
              <w:spacing w:line="360" w:lineRule="auto"/>
              <w:jc w:val="center"/>
              <w:rPr>
                <w:rFonts w:hint="eastAsia" w:ascii="宋体" w:hAnsi="宋体" w:cs="宋体"/>
                <w:color w:val="auto"/>
                <w:szCs w:val="21"/>
                <w:highlight w:val="none"/>
                <w:u w:val="none"/>
              </w:rPr>
            </w:pPr>
            <w:r>
              <w:rPr>
                <w:rFonts w:hint="eastAsia" w:ascii="宋体" w:hAnsi="宋体" w:cs="宋体"/>
                <w:color w:val="auto"/>
                <w:szCs w:val="21"/>
                <w:highlight w:val="none"/>
                <w:u w:val="none"/>
              </w:rPr>
              <w:t>注册建造师</w:t>
            </w:r>
          </w:p>
        </w:tc>
        <w:tc>
          <w:tcPr>
            <w:tcW w:w="2643" w:type="dxa"/>
            <w:gridSpan w:val="2"/>
            <w:vAlign w:val="center"/>
          </w:tcPr>
          <w:p w14:paraId="358377C2">
            <w:pPr>
              <w:spacing w:line="360" w:lineRule="auto"/>
              <w:jc w:val="center"/>
              <w:rPr>
                <w:rFonts w:hint="eastAsia" w:ascii="宋体" w:hAnsi="宋体" w:cs="宋体"/>
                <w:color w:val="auto"/>
                <w:szCs w:val="21"/>
                <w:highlight w:val="none"/>
                <w:u w:val="none"/>
              </w:rPr>
            </w:pPr>
          </w:p>
        </w:tc>
      </w:tr>
      <w:tr w14:paraId="3033AC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626" w:type="dxa"/>
            <w:vAlign w:val="center"/>
          </w:tcPr>
          <w:p w14:paraId="0B2AA5BC">
            <w:pPr>
              <w:spacing w:line="360" w:lineRule="auto"/>
              <w:jc w:val="center"/>
              <w:rPr>
                <w:rFonts w:hint="eastAsia" w:ascii="宋体" w:hAnsi="宋体" w:cs="宋体"/>
                <w:color w:val="auto"/>
                <w:szCs w:val="21"/>
                <w:highlight w:val="none"/>
                <w:u w:val="none"/>
              </w:rPr>
            </w:pPr>
            <w:r>
              <w:rPr>
                <w:rFonts w:hint="eastAsia" w:ascii="宋体" w:hAnsi="宋体" w:cs="宋体"/>
                <w:color w:val="auto"/>
                <w:szCs w:val="21"/>
                <w:highlight w:val="none"/>
                <w:u w:val="none"/>
              </w:rPr>
              <w:t>营业执照号</w:t>
            </w:r>
          </w:p>
        </w:tc>
        <w:tc>
          <w:tcPr>
            <w:tcW w:w="1918" w:type="dxa"/>
            <w:gridSpan w:val="2"/>
            <w:vAlign w:val="center"/>
          </w:tcPr>
          <w:p w14:paraId="7E24DA49">
            <w:pPr>
              <w:spacing w:line="360" w:lineRule="auto"/>
              <w:jc w:val="center"/>
              <w:rPr>
                <w:rFonts w:hint="eastAsia" w:ascii="宋体" w:hAnsi="宋体" w:cs="宋体"/>
                <w:color w:val="auto"/>
                <w:szCs w:val="21"/>
                <w:highlight w:val="none"/>
                <w:u w:val="none"/>
              </w:rPr>
            </w:pPr>
          </w:p>
        </w:tc>
        <w:tc>
          <w:tcPr>
            <w:tcW w:w="1160" w:type="dxa"/>
            <w:vMerge w:val="continue"/>
            <w:vAlign w:val="center"/>
          </w:tcPr>
          <w:p w14:paraId="66D71D2D">
            <w:pPr>
              <w:spacing w:line="360" w:lineRule="auto"/>
              <w:jc w:val="center"/>
              <w:rPr>
                <w:rFonts w:hint="eastAsia" w:ascii="宋体" w:hAnsi="宋体" w:cs="宋体"/>
                <w:color w:val="auto"/>
                <w:szCs w:val="21"/>
                <w:highlight w:val="none"/>
                <w:u w:val="none"/>
              </w:rPr>
            </w:pPr>
          </w:p>
        </w:tc>
        <w:tc>
          <w:tcPr>
            <w:tcW w:w="1620" w:type="dxa"/>
            <w:gridSpan w:val="3"/>
            <w:vAlign w:val="center"/>
          </w:tcPr>
          <w:p w14:paraId="65872E86">
            <w:pPr>
              <w:spacing w:line="360" w:lineRule="auto"/>
              <w:jc w:val="center"/>
              <w:rPr>
                <w:rFonts w:hint="eastAsia" w:ascii="宋体" w:hAnsi="宋体" w:cs="宋体"/>
                <w:color w:val="auto"/>
                <w:szCs w:val="21"/>
                <w:highlight w:val="none"/>
                <w:u w:val="none"/>
              </w:rPr>
            </w:pPr>
            <w:r>
              <w:rPr>
                <w:rFonts w:hint="eastAsia" w:ascii="宋体" w:hAnsi="宋体" w:cs="宋体"/>
                <w:color w:val="auto"/>
                <w:szCs w:val="21"/>
                <w:highlight w:val="none"/>
                <w:u w:val="none"/>
              </w:rPr>
              <w:t>高级职称人员</w:t>
            </w:r>
          </w:p>
        </w:tc>
        <w:tc>
          <w:tcPr>
            <w:tcW w:w="2643" w:type="dxa"/>
            <w:gridSpan w:val="2"/>
            <w:vAlign w:val="center"/>
          </w:tcPr>
          <w:p w14:paraId="0E10A918">
            <w:pPr>
              <w:spacing w:line="360" w:lineRule="auto"/>
              <w:jc w:val="center"/>
              <w:rPr>
                <w:rFonts w:hint="eastAsia" w:ascii="宋体" w:hAnsi="宋体" w:cs="宋体"/>
                <w:color w:val="auto"/>
                <w:szCs w:val="21"/>
                <w:highlight w:val="none"/>
                <w:u w:val="none"/>
              </w:rPr>
            </w:pPr>
          </w:p>
        </w:tc>
      </w:tr>
      <w:tr w14:paraId="164EEB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626" w:type="dxa"/>
            <w:vAlign w:val="center"/>
          </w:tcPr>
          <w:p w14:paraId="495E25A1">
            <w:pPr>
              <w:spacing w:line="360" w:lineRule="auto"/>
              <w:jc w:val="center"/>
              <w:rPr>
                <w:rFonts w:hint="eastAsia" w:ascii="宋体" w:hAnsi="宋体" w:cs="宋体"/>
                <w:color w:val="auto"/>
                <w:szCs w:val="21"/>
                <w:highlight w:val="none"/>
                <w:u w:val="none"/>
              </w:rPr>
            </w:pPr>
            <w:r>
              <w:rPr>
                <w:rFonts w:hint="eastAsia" w:ascii="宋体" w:hAnsi="宋体" w:cs="宋体"/>
                <w:color w:val="auto"/>
                <w:szCs w:val="21"/>
                <w:highlight w:val="none"/>
                <w:u w:val="none"/>
              </w:rPr>
              <w:t>注册资金</w:t>
            </w:r>
          </w:p>
        </w:tc>
        <w:tc>
          <w:tcPr>
            <w:tcW w:w="1918" w:type="dxa"/>
            <w:gridSpan w:val="2"/>
            <w:vAlign w:val="center"/>
          </w:tcPr>
          <w:p w14:paraId="3BD67691">
            <w:pPr>
              <w:spacing w:line="360" w:lineRule="auto"/>
              <w:jc w:val="center"/>
              <w:rPr>
                <w:rFonts w:hint="eastAsia" w:ascii="宋体" w:hAnsi="宋体" w:cs="宋体"/>
                <w:color w:val="auto"/>
                <w:szCs w:val="21"/>
                <w:highlight w:val="none"/>
                <w:u w:val="none"/>
              </w:rPr>
            </w:pPr>
          </w:p>
        </w:tc>
        <w:tc>
          <w:tcPr>
            <w:tcW w:w="1160" w:type="dxa"/>
            <w:vMerge w:val="continue"/>
            <w:vAlign w:val="center"/>
          </w:tcPr>
          <w:p w14:paraId="2D8F73CA">
            <w:pPr>
              <w:spacing w:line="360" w:lineRule="auto"/>
              <w:jc w:val="center"/>
              <w:rPr>
                <w:rFonts w:hint="eastAsia" w:ascii="宋体" w:hAnsi="宋体" w:cs="宋体"/>
                <w:color w:val="auto"/>
                <w:szCs w:val="21"/>
                <w:highlight w:val="none"/>
                <w:u w:val="none"/>
              </w:rPr>
            </w:pPr>
          </w:p>
        </w:tc>
        <w:tc>
          <w:tcPr>
            <w:tcW w:w="1620" w:type="dxa"/>
            <w:gridSpan w:val="3"/>
            <w:vAlign w:val="center"/>
          </w:tcPr>
          <w:p w14:paraId="7359E16C">
            <w:pPr>
              <w:spacing w:line="360" w:lineRule="auto"/>
              <w:jc w:val="center"/>
              <w:rPr>
                <w:rFonts w:hint="eastAsia" w:ascii="宋体" w:hAnsi="宋体" w:cs="宋体"/>
                <w:color w:val="auto"/>
                <w:szCs w:val="21"/>
                <w:highlight w:val="none"/>
                <w:u w:val="none"/>
              </w:rPr>
            </w:pPr>
            <w:r>
              <w:rPr>
                <w:rFonts w:hint="eastAsia" w:ascii="宋体" w:hAnsi="宋体" w:cs="宋体"/>
                <w:color w:val="auto"/>
                <w:szCs w:val="21"/>
                <w:highlight w:val="none"/>
                <w:u w:val="none"/>
              </w:rPr>
              <w:t>中级职称人员</w:t>
            </w:r>
          </w:p>
        </w:tc>
        <w:tc>
          <w:tcPr>
            <w:tcW w:w="2643" w:type="dxa"/>
            <w:gridSpan w:val="2"/>
            <w:vAlign w:val="center"/>
          </w:tcPr>
          <w:p w14:paraId="5A29F2A8">
            <w:pPr>
              <w:spacing w:line="360" w:lineRule="auto"/>
              <w:jc w:val="center"/>
              <w:rPr>
                <w:rFonts w:hint="eastAsia" w:ascii="宋体" w:hAnsi="宋体" w:cs="宋体"/>
                <w:color w:val="auto"/>
                <w:szCs w:val="21"/>
                <w:highlight w:val="none"/>
                <w:u w:val="none"/>
              </w:rPr>
            </w:pPr>
          </w:p>
        </w:tc>
      </w:tr>
      <w:tr w14:paraId="26E203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626" w:type="dxa"/>
            <w:vAlign w:val="center"/>
          </w:tcPr>
          <w:p w14:paraId="6CB7F57A">
            <w:pPr>
              <w:spacing w:line="360" w:lineRule="auto"/>
              <w:jc w:val="center"/>
              <w:rPr>
                <w:rFonts w:hint="eastAsia" w:ascii="宋体" w:hAnsi="宋体" w:cs="宋体"/>
                <w:color w:val="auto"/>
                <w:szCs w:val="21"/>
                <w:highlight w:val="none"/>
                <w:u w:val="none"/>
              </w:rPr>
            </w:pPr>
            <w:r>
              <w:rPr>
                <w:rFonts w:hint="eastAsia" w:ascii="宋体" w:hAnsi="宋体" w:cs="宋体"/>
                <w:color w:val="auto"/>
                <w:szCs w:val="21"/>
                <w:highlight w:val="none"/>
                <w:u w:val="none"/>
              </w:rPr>
              <w:t>开户银行</w:t>
            </w:r>
          </w:p>
        </w:tc>
        <w:tc>
          <w:tcPr>
            <w:tcW w:w="1918" w:type="dxa"/>
            <w:gridSpan w:val="2"/>
            <w:vAlign w:val="center"/>
          </w:tcPr>
          <w:p w14:paraId="68512E65">
            <w:pPr>
              <w:spacing w:line="360" w:lineRule="auto"/>
              <w:jc w:val="center"/>
              <w:rPr>
                <w:rFonts w:hint="eastAsia" w:ascii="宋体" w:hAnsi="宋体" w:cs="宋体"/>
                <w:color w:val="auto"/>
                <w:szCs w:val="21"/>
                <w:highlight w:val="none"/>
                <w:u w:val="none"/>
              </w:rPr>
            </w:pPr>
          </w:p>
        </w:tc>
        <w:tc>
          <w:tcPr>
            <w:tcW w:w="1160" w:type="dxa"/>
            <w:vMerge w:val="continue"/>
            <w:vAlign w:val="center"/>
          </w:tcPr>
          <w:p w14:paraId="0D6DDA3F">
            <w:pPr>
              <w:spacing w:line="360" w:lineRule="auto"/>
              <w:jc w:val="center"/>
              <w:rPr>
                <w:rFonts w:hint="eastAsia" w:ascii="宋体" w:hAnsi="宋体" w:cs="宋体"/>
                <w:color w:val="auto"/>
                <w:szCs w:val="21"/>
                <w:highlight w:val="none"/>
                <w:u w:val="none"/>
              </w:rPr>
            </w:pPr>
          </w:p>
        </w:tc>
        <w:tc>
          <w:tcPr>
            <w:tcW w:w="1620" w:type="dxa"/>
            <w:gridSpan w:val="3"/>
            <w:vAlign w:val="center"/>
          </w:tcPr>
          <w:p w14:paraId="4A5A5889">
            <w:pPr>
              <w:spacing w:line="360" w:lineRule="auto"/>
              <w:jc w:val="center"/>
              <w:rPr>
                <w:rFonts w:hint="eastAsia" w:ascii="宋体" w:hAnsi="宋体" w:cs="宋体"/>
                <w:color w:val="auto"/>
                <w:szCs w:val="21"/>
                <w:highlight w:val="none"/>
                <w:u w:val="none"/>
              </w:rPr>
            </w:pPr>
            <w:r>
              <w:rPr>
                <w:rFonts w:hint="eastAsia" w:ascii="宋体" w:hAnsi="宋体" w:cs="宋体"/>
                <w:color w:val="auto"/>
                <w:szCs w:val="21"/>
                <w:highlight w:val="none"/>
                <w:u w:val="none"/>
              </w:rPr>
              <w:t>初级职称人员</w:t>
            </w:r>
          </w:p>
        </w:tc>
        <w:tc>
          <w:tcPr>
            <w:tcW w:w="2643" w:type="dxa"/>
            <w:gridSpan w:val="2"/>
            <w:vAlign w:val="center"/>
          </w:tcPr>
          <w:p w14:paraId="07035BB6">
            <w:pPr>
              <w:spacing w:line="360" w:lineRule="auto"/>
              <w:jc w:val="center"/>
              <w:rPr>
                <w:rFonts w:hint="eastAsia" w:ascii="宋体" w:hAnsi="宋体" w:cs="宋体"/>
                <w:color w:val="auto"/>
                <w:szCs w:val="21"/>
                <w:highlight w:val="none"/>
                <w:u w:val="none"/>
              </w:rPr>
            </w:pPr>
          </w:p>
        </w:tc>
      </w:tr>
      <w:tr w14:paraId="759495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1626" w:type="dxa"/>
            <w:vAlign w:val="center"/>
          </w:tcPr>
          <w:p w14:paraId="47B5A94C">
            <w:pPr>
              <w:spacing w:line="360" w:lineRule="auto"/>
              <w:jc w:val="center"/>
              <w:rPr>
                <w:rFonts w:hint="eastAsia" w:ascii="宋体" w:hAnsi="宋体" w:cs="宋体"/>
                <w:color w:val="auto"/>
                <w:szCs w:val="21"/>
                <w:highlight w:val="none"/>
                <w:u w:val="none"/>
              </w:rPr>
            </w:pPr>
            <w:r>
              <w:rPr>
                <w:rFonts w:hint="eastAsia" w:ascii="宋体" w:hAnsi="宋体" w:cs="宋体"/>
                <w:color w:val="auto"/>
                <w:szCs w:val="21"/>
                <w:highlight w:val="none"/>
                <w:u w:val="none"/>
              </w:rPr>
              <w:t>账号</w:t>
            </w:r>
          </w:p>
        </w:tc>
        <w:tc>
          <w:tcPr>
            <w:tcW w:w="1918" w:type="dxa"/>
            <w:gridSpan w:val="2"/>
            <w:vAlign w:val="center"/>
          </w:tcPr>
          <w:p w14:paraId="1F2CA154">
            <w:pPr>
              <w:spacing w:line="360" w:lineRule="auto"/>
              <w:jc w:val="center"/>
              <w:rPr>
                <w:rFonts w:hint="eastAsia" w:ascii="宋体" w:hAnsi="宋体" w:cs="宋体"/>
                <w:color w:val="auto"/>
                <w:szCs w:val="21"/>
                <w:highlight w:val="none"/>
                <w:u w:val="none"/>
              </w:rPr>
            </w:pPr>
          </w:p>
        </w:tc>
        <w:tc>
          <w:tcPr>
            <w:tcW w:w="1160" w:type="dxa"/>
            <w:vMerge w:val="continue"/>
            <w:vAlign w:val="center"/>
          </w:tcPr>
          <w:p w14:paraId="0E35C964">
            <w:pPr>
              <w:spacing w:line="360" w:lineRule="auto"/>
              <w:jc w:val="center"/>
              <w:rPr>
                <w:rFonts w:hint="eastAsia" w:ascii="宋体" w:hAnsi="宋体" w:cs="宋体"/>
                <w:color w:val="auto"/>
                <w:szCs w:val="21"/>
                <w:highlight w:val="none"/>
                <w:u w:val="none"/>
              </w:rPr>
            </w:pPr>
          </w:p>
        </w:tc>
        <w:tc>
          <w:tcPr>
            <w:tcW w:w="1620" w:type="dxa"/>
            <w:gridSpan w:val="3"/>
            <w:vAlign w:val="center"/>
          </w:tcPr>
          <w:p w14:paraId="407BCBCF">
            <w:pPr>
              <w:spacing w:line="360" w:lineRule="auto"/>
              <w:jc w:val="center"/>
              <w:rPr>
                <w:rFonts w:hint="eastAsia" w:ascii="宋体" w:hAnsi="宋体" w:cs="宋体"/>
                <w:color w:val="auto"/>
                <w:szCs w:val="21"/>
                <w:highlight w:val="none"/>
                <w:u w:val="none"/>
              </w:rPr>
            </w:pPr>
            <w:r>
              <w:rPr>
                <w:rFonts w:hint="eastAsia" w:ascii="宋体" w:hAnsi="宋体" w:cs="宋体"/>
                <w:color w:val="auto"/>
                <w:szCs w:val="21"/>
                <w:highlight w:val="none"/>
                <w:u w:val="none"/>
              </w:rPr>
              <w:t>技工</w:t>
            </w:r>
          </w:p>
        </w:tc>
        <w:tc>
          <w:tcPr>
            <w:tcW w:w="2643" w:type="dxa"/>
            <w:gridSpan w:val="2"/>
            <w:vAlign w:val="center"/>
          </w:tcPr>
          <w:p w14:paraId="68468CCD">
            <w:pPr>
              <w:spacing w:line="360" w:lineRule="auto"/>
              <w:jc w:val="center"/>
              <w:rPr>
                <w:rFonts w:hint="eastAsia" w:ascii="宋体" w:hAnsi="宋体" w:cs="宋体"/>
                <w:color w:val="auto"/>
                <w:szCs w:val="21"/>
                <w:highlight w:val="none"/>
                <w:u w:val="none"/>
              </w:rPr>
            </w:pPr>
          </w:p>
        </w:tc>
      </w:tr>
      <w:tr w14:paraId="6D52BB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37" w:hRule="atLeast"/>
          <w:jc w:val="center"/>
        </w:trPr>
        <w:tc>
          <w:tcPr>
            <w:tcW w:w="1626" w:type="dxa"/>
            <w:vAlign w:val="center"/>
          </w:tcPr>
          <w:p w14:paraId="6026E1DF">
            <w:pPr>
              <w:spacing w:line="360" w:lineRule="auto"/>
              <w:jc w:val="center"/>
              <w:rPr>
                <w:rFonts w:hint="eastAsia" w:ascii="宋体" w:hAnsi="宋体" w:cs="宋体"/>
                <w:color w:val="auto"/>
                <w:szCs w:val="21"/>
                <w:highlight w:val="none"/>
                <w:u w:val="none"/>
              </w:rPr>
            </w:pPr>
            <w:r>
              <w:rPr>
                <w:rFonts w:hint="eastAsia" w:ascii="宋体" w:hAnsi="宋体" w:cs="宋体"/>
                <w:color w:val="auto"/>
                <w:szCs w:val="21"/>
                <w:highlight w:val="none"/>
                <w:u w:val="none"/>
              </w:rPr>
              <w:t>经营范围</w:t>
            </w:r>
          </w:p>
        </w:tc>
        <w:tc>
          <w:tcPr>
            <w:tcW w:w="7341" w:type="dxa"/>
            <w:gridSpan w:val="8"/>
            <w:vAlign w:val="center"/>
          </w:tcPr>
          <w:p w14:paraId="4EB4133C">
            <w:pPr>
              <w:spacing w:line="360" w:lineRule="auto"/>
              <w:jc w:val="center"/>
              <w:rPr>
                <w:rFonts w:hint="eastAsia" w:ascii="宋体" w:hAnsi="宋体" w:cs="宋体"/>
                <w:color w:val="auto"/>
                <w:szCs w:val="21"/>
                <w:highlight w:val="none"/>
                <w:u w:val="none"/>
              </w:rPr>
            </w:pPr>
          </w:p>
        </w:tc>
      </w:tr>
      <w:tr w14:paraId="680E95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626" w:type="dxa"/>
            <w:vAlign w:val="center"/>
          </w:tcPr>
          <w:p w14:paraId="19FDE9AD">
            <w:pPr>
              <w:spacing w:line="360" w:lineRule="auto"/>
              <w:jc w:val="center"/>
              <w:rPr>
                <w:rFonts w:hint="eastAsia" w:ascii="宋体" w:hAnsi="宋体" w:cs="宋体"/>
                <w:color w:val="auto"/>
                <w:szCs w:val="21"/>
                <w:highlight w:val="none"/>
                <w:u w:val="none"/>
              </w:rPr>
            </w:pPr>
            <w:r>
              <w:rPr>
                <w:rFonts w:hint="eastAsia" w:ascii="宋体" w:hAnsi="宋体" w:cs="宋体"/>
                <w:color w:val="auto"/>
                <w:szCs w:val="21"/>
                <w:highlight w:val="none"/>
                <w:u w:val="none"/>
              </w:rPr>
              <w:t>备注</w:t>
            </w:r>
          </w:p>
        </w:tc>
        <w:tc>
          <w:tcPr>
            <w:tcW w:w="7341" w:type="dxa"/>
            <w:gridSpan w:val="8"/>
            <w:vAlign w:val="center"/>
          </w:tcPr>
          <w:p w14:paraId="3CFA43FA">
            <w:pPr>
              <w:spacing w:line="360" w:lineRule="auto"/>
              <w:jc w:val="center"/>
              <w:rPr>
                <w:rFonts w:hint="eastAsia" w:ascii="宋体" w:hAnsi="宋体" w:cs="宋体"/>
                <w:color w:val="auto"/>
                <w:szCs w:val="21"/>
                <w:highlight w:val="none"/>
                <w:u w:val="none"/>
              </w:rPr>
            </w:pPr>
          </w:p>
        </w:tc>
      </w:tr>
    </w:tbl>
    <w:p w14:paraId="127CD003">
      <w:pPr>
        <w:spacing w:line="360" w:lineRule="auto"/>
        <w:ind w:firstLine="480"/>
        <w:jc w:val="right"/>
        <w:rPr>
          <w:rFonts w:hint="eastAsia" w:ascii="宋体" w:hAnsi="宋体" w:cs="宋体"/>
          <w:color w:val="auto"/>
          <w:szCs w:val="21"/>
          <w:highlight w:val="none"/>
          <w:u w:val="none"/>
        </w:rPr>
      </w:pPr>
    </w:p>
    <w:p w14:paraId="5944CA92">
      <w:pPr>
        <w:spacing w:line="360" w:lineRule="auto"/>
        <w:ind w:firstLine="480"/>
        <w:jc w:val="right"/>
        <w:rPr>
          <w:rFonts w:hint="eastAsia" w:ascii="宋体" w:hAnsi="宋体" w:cs="宋体"/>
          <w:color w:val="auto"/>
          <w:szCs w:val="21"/>
          <w:highlight w:val="none"/>
          <w:u w:val="none"/>
        </w:rPr>
      </w:pPr>
      <w:r>
        <w:rPr>
          <w:rFonts w:hint="eastAsia" w:ascii="宋体" w:hAnsi="宋体" w:cs="宋体"/>
          <w:color w:val="auto"/>
          <w:szCs w:val="21"/>
          <w:highlight w:val="none"/>
          <w:u w:val="none"/>
        </w:rPr>
        <w:t>供应商：（加盖公章）</w:t>
      </w:r>
    </w:p>
    <w:p w14:paraId="3F1C27D1">
      <w:pPr>
        <w:spacing w:line="360" w:lineRule="auto"/>
        <w:ind w:firstLine="480"/>
        <w:jc w:val="right"/>
        <w:rPr>
          <w:rFonts w:hint="eastAsia" w:ascii="宋体" w:hAnsi="宋体" w:cs="宋体"/>
          <w:color w:val="auto"/>
          <w:szCs w:val="21"/>
          <w:highlight w:val="none"/>
          <w:u w:val="none"/>
        </w:rPr>
      </w:pPr>
      <w:r>
        <w:rPr>
          <w:rFonts w:hint="eastAsia" w:ascii="宋体" w:hAnsi="宋体" w:cs="宋体"/>
          <w:color w:val="auto"/>
          <w:szCs w:val="21"/>
          <w:highlight w:val="none"/>
          <w:u w:val="none"/>
        </w:rPr>
        <w:t>法定代表人或被授权人：（签字或盖章）</w:t>
      </w:r>
    </w:p>
    <w:p w14:paraId="36306288">
      <w:pPr>
        <w:spacing w:line="360" w:lineRule="auto"/>
        <w:ind w:firstLine="1320"/>
        <w:jc w:val="right"/>
        <w:rPr>
          <w:rFonts w:hint="eastAsia" w:ascii="宋体" w:hAnsi="宋体" w:cs="宋体"/>
          <w:color w:val="auto"/>
          <w:szCs w:val="21"/>
          <w:highlight w:val="none"/>
          <w:u w:val="none"/>
        </w:rPr>
      </w:pPr>
      <w:r>
        <w:rPr>
          <w:rFonts w:hint="eastAsia" w:ascii="宋体" w:hAnsi="宋体" w:cs="宋体"/>
          <w:color w:val="auto"/>
          <w:szCs w:val="21"/>
          <w:highlight w:val="none"/>
          <w:u w:val="none"/>
        </w:rPr>
        <w:t>年      月     日</w:t>
      </w:r>
    </w:p>
    <w:p w14:paraId="7940BA91">
      <w:pPr>
        <w:spacing w:line="360" w:lineRule="auto"/>
        <w:ind w:firstLine="422" w:firstLineChars="200"/>
        <w:rPr>
          <w:rFonts w:hint="eastAsia" w:ascii="宋体" w:hAnsi="宋体"/>
          <w:b/>
          <w:color w:val="auto"/>
          <w:szCs w:val="21"/>
          <w:highlight w:val="none"/>
          <w:u w:val="none"/>
        </w:rPr>
      </w:pPr>
      <w:r>
        <w:rPr>
          <w:rFonts w:hint="eastAsia" w:ascii="宋体" w:hAnsi="宋体" w:cs="宋体"/>
          <w:b/>
          <w:color w:val="auto"/>
          <w:szCs w:val="21"/>
          <w:highlight w:val="none"/>
          <w:u w:val="none"/>
        </w:rPr>
        <w:br w:type="page" w:clear="all"/>
      </w:r>
      <w:bookmarkStart w:id="124" w:name="_Toc55705168"/>
      <w:bookmarkStart w:id="125" w:name="_Toc55639393"/>
      <w:bookmarkStart w:id="126" w:name="_Toc440442375"/>
      <w:bookmarkStart w:id="127" w:name="_Toc439777351"/>
      <w:bookmarkStart w:id="128" w:name="_Toc54372071"/>
      <w:bookmarkStart w:id="129" w:name="_Toc59900983"/>
      <w:bookmarkStart w:id="130" w:name="_Toc54372237"/>
      <w:bookmarkStart w:id="131" w:name="_Toc59896715"/>
      <w:bookmarkStart w:id="132" w:name="_Toc434481560"/>
      <w:bookmarkStart w:id="133" w:name="_Toc54372655"/>
      <w:bookmarkStart w:id="134" w:name="_Toc56139088"/>
      <w:bookmarkStart w:id="135" w:name="_Toc56141898"/>
      <w:bookmarkStart w:id="136" w:name="_Toc56409114"/>
      <w:bookmarkStart w:id="137" w:name="_Toc56153862"/>
      <w:bookmarkStart w:id="138" w:name="_Toc439777159"/>
      <w:bookmarkStart w:id="139" w:name="_Toc55654540"/>
      <w:bookmarkStart w:id="140" w:name="_Toc55707673"/>
    </w:p>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14:paraId="43425199">
      <w:pPr>
        <w:spacing w:line="360" w:lineRule="auto"/>
        <w:jc w:val="left"/>
        <w:rPr>
          <w:rFonts w:hint="eastAsia" w:ascii="宋体" w:hAnsi="宋体"/>
          <w:color w:val="auto"/>
          <w:szCs w:val="21"/>
          <w:highlight w:val="none"/>
          <w:u w:val="none"/>
        </w:rPr>
      </w:pPr>
    </w:p>
    <w:p w14:paraId="62413D69">
      <w:pPr>
        <w:pStyle w:val="4"/>
        <w:spacing w:before="0" w:after="0" w:line="360" w:lineRule="auto"/>
        <w:ind w:firstLine="422" w:firstLineChars="200"/>
        <w:rPr>
          <w:rFonts w:hint="eastAsia" w:ascii="宋体" w:hAnsi="宋体" w:eastAsia="宋体"/>
          <w:color w:val="auto"/>
          <w:sz w:val="21"/>
          <w:szCs w:val="21"/>
          <w:highlight w:val="none"/>
          <w:u w:val="none"/>
        </w:rPr>
      </w:pPr>
      <w:r>
        <w:rPr>
          <w:rFonts w:hint="eastAsia" w:ascii="宋体" w:hAnsi="宋体" w:eastAsia="宋体"/>
          <w:color w:val="auto"/>
          <w:sz w:val="21"/>
          <w:szCs w:val="21"/>
          <w:highlight w:val="none"/>
          <w:u w:val="none"/>
        </w:rPr>
        <w:t>13.首次响应报价表</w:t>
      </w:r>
    </w:p>
    <w:p w14:paraId="7BDDD562">
      <w:pPr>
        <w:pStyle w:val="4"/>
        <w:spacing w:before="0" w:after="0" w:line="360" w:lineRule="auto"/>
        <w:jc w:val="both"/>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u w:val="none"/>
        </w:rPr>
        <w:t xml:space="preserve">项目名称： </w:t>
      </w:r>
    </w:p>
    <w:tbl>
      <w:tblPr>
        <w:tblStyle w:val="16"/>
        <w:tblW w:w="4998"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top w:w="0" w:type="dxa"/>
          <w:left w:w="108" w:type="dxa"/>
          <w:bottom w:w="0" w:type="dxa"/>
          <w:right w:w="108" w:type="dxa"/>
        </w:tblCellMar>
      </w:tblPr>
      <w:tblGrid>
        <w:gridCol w:w="857"/>
        <w:gridCol w:w="2638"/>
        <w:gridCol w:w="1690"/>
        <w:gridCol w:w="3225"/>
        <w:gridCol w:w="1015"/>
      </w:tblGrid>
      <w:tr w14:paraId="43E32CB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916" w:hRule="atLeast"/>
          <w:jc w:val="center"/>
        </w:trPr>
        <w:tc>
          <w:tcPr>
            <w:tcW w:w="455" w:type="pct"/>
            <w:tcBorders>
              <w:top w:val="single" w:color="000000" w:sz="4" w:space="0"/>
              <w:left w:val="single" w:color="000000" w:sz="4" w:space="0"/>
              <w:bottom w:val="single" w:color="000000" w:sz="4" w:space="0"/>
              <w:right w:val="single" w:color="000000" w:sz="4" w:space="0"/>
            </w:tcBorders>
            <w:vAlign w:val="center"/>
          </w:tcPr>
          <w:p w14:paraId="0850148E">
            <w:pPr>
              <w:spacing w:line="360" w:lineRule="auto"/>
              <w:jc w:val="center"/>
              <w:rPr>
                <w:rFonts w:hint="eastAsia" w:ascii="宋体" w:hAnsi="宋体" w:cs="宋体"/>
                <w:b/>
                <w:color w:val="auto"/>
                <w:szCs w:val="21"/>
                <w:highlight w:val="none"/>
                <w:u w:val="none"/>
              </w:rPr>
            </w:pPr>
            <w:r>
              <w:rPr>
                <w:rFonts w:hint="eastAsia" w:ascii="宋体" w:hAnsi="宋体" w:cs="宋体"/>
                <w:b/>
                <w:color w:val="auto"/>
                <w:szCs w:val="21"/>
                <w:highlight w:val="none"/>
                <w:u w:val="none"/>
              </w:rPr>
              <w:t>序号</w:t>
            </w:r>
          </w:p>
        </w:tc>
        <w:tc>
          <w:tcPr>
            <w:tcW w:w="1399" w:type="pct"/>
            <w:tcBorders>
              <w:top w:val="single" w:color="000000" w:sz="4" w:space="0"/>
              <w:left w:val="single" w:color="000000" w:sz="4" w:space="0"/>
              <w:bottom w:val="single" w:color="000000" w:sz="4" w:space="0"/>
              <w:right w:val="single" w:color="000000" w:sz="4" w:space="0"/>
            </w:tcBorders>
            <w:vAlign w:val="center"/>
          </w:tcPr>
          <w:p w14:paraId="03313A1F">
            <w:pPr>
              <w:spacing w:line="360" w:lineRule="auto"/>
              <w:jc w:val="center"/>
              <w:rPr>
                <w:rFonts w:hint="eastAsia" w:ascii="宋体" w:hAnsi="宋体" w:cs="宋体"/>
                <w:b/>
                <w:color w:val="auto"/>
                <w:szCs w:val="21"/>
                <w:highlight w:val="none"/>
                <w:u w:val="none"/>
              </w:rPr>
            </w:pPr>
            <w:r>
              <w:rPr>
                <w:rFonts w:hint="eastAsia" w:ascii="宋体" w:hAnsi="宋体" w:cs="宋体"/>
                <w:b/>
                <w:color w:val="auto"/>
                <w:szCs w:val="21"/>
                <w:highlight w:val="none"/>
                <w:u w:val="none"/>
              </w:rPr>
              <w:t>项目内容</w:t>
            </w:r>
          </w:p>
        </w:tc>
        <w:tc>
          <w:tcPr>
            <w:tcW w:w="896" w:type="pct"/>
            <w:tcBorders>
              <w:top w:val="single" w:color="000000" w:sz="4" w:space="0"/>
              <w:left w:val="single" w:color="000000" w:sz="4" w:space="0"/>
              <w:bottom w:val="single" w:color="000000" w:sz="4" w:space="0"/>
              <w:right w:val="single" w:color="000000" w:sz="4" w:space="0"/>
            </w:tcBorders>
            <w:vAlign w:val="center"/>
          </w:tcPr>
          <w:p w14:paraId="128F6306">
            <w:pPr>
              <w:spacing w:line="360" w:lineRule="auto"/>
              <w:jc w:val="center"/>
              <w:rPr>
                <w:rFonts w:hint="eastAsia" w:ascii="宋体" w:hAnsi="宋体" w:cs="宋体"/>
                <w:b/>
                <w:color w:val="auto"/>
                <w:szCs w:val="21"/>
                <w:highlight w:val="none"/>
                <w:u w:val="none"/>
              </w:rPr>
            </w:pPr>
            <w:r>
              <w:rPr>
                <w:rFonts w:hint="eastAsia" w:ascii="宋体" w:hAnsi="宋体" w:cs="宋体"/>
                <w:b/>
                <w:color w:val="auto"/>
                <w:szCs w:val="21"/>
                <w:highlight w:val="none"/>
                <w:u w:val="none"/>
              </w:rPr>
              <w:t>报价轮次</w:t>
            </w:r>
          </w:p>
        </w:tc>
        <w:tc>
          <w:tcPr>
            <w:tcW w:w="1710" w:type="pct"/>
            <w:tcBorders>
              <w:top w:val="single" w:color="000000" w:sz="4" w:space="0"/>
              <w:left w:val="single" w:color="000000" w:sz="4" w:space="0"/>
              <w:bottom w:val="single" w:color="000000" w:sz="4" w:space="0"/>
              <w:right w:val="single" w:color="000000" w:sz="4" w:space="0"/>
            </w:tcBorders>
            <w:vAlign w:val="center"/>
          </w:tcPr>
          <w:p w14:paraId="21D693A8">
            <w:pPr>
              <w:spacing w:line="360" w:lineRule="auto"/>
              <w:jc w:val="center"/>
              <w:rPr>
                <w:rFonts w:hint="eastAsia" w:ascii="宋体" w:hAnsi="宋体" w:cs="宋体"/>
                <w:b/>
                <w:color w:val="auto"/>
                <w:szCs w:val="21"/>
                <w:highlight w:val="none"/>
                <w:u w:val="none"/>
              </w:rPr>
            </w:pPr>
            <w:r>
              <w:rPr>
                <w:rFonts w:hint="eastAsia" w:ascii="宋体" w:hAnsi="宋体" w:cs="宋体"/>
                <w:b/>
                <w:color w:val="auto"/>
                <w:szCs w:val="21"/>
                <w:highlight w:val="none"/>
                <w:u w:val="none"/>
              </w:rPr>
              <w:t>磋商响应报价（元/</w:t>
            </w:r>
            <w:r>
              <w:rPr>
                <w:rFonts w:hint="eastAsia" w:ascii="宋体" w:hAnsi="宋体" w:cs="宋体"/>
                <w:b/>
                <w:color w:val="auto"/>
                <w:szCs w:val="21"/>
                <w:highlight w:val="none"/>
                <w:u w:val="none"/>
                <w:lang w:val="en-US" w:eastAsia="zh-CN"/>
              </w:rPr>
              <w:t>批次</w:t>
            </w:r>
            <w:r>
              <w:rPr>
                <w:rFonts w:hint="eastAsia" w:ascii="宋体" w:hAnsi="宋体" w:cs="宋体"/>
                <w:b/>
                <w:color w:val="auto"/>
                <w:szCs w:val="21"/>
                <w:highlight w:val="none"/>
                <w:u w:val="none"/>
              </w:rPr>
              <w:t>）</w:t>
            </w:r>
          </w:p>
        </w:tc>
        <w:tc>
          <w:tcPr>
            <w:tcW w:w="538" w:type="pct"/>
            <w:tcBorders>
              <w:top w:val="single" w:color="000000" w:sz="4" w:space="0"/>
              <w:left w:val="single" w:color="000000" w:sz="4" w:space="0"/>
              <w:bottom w:val="single" w:color="000000" w:sz="4" w:space="0"/>
              <w:right w:val="single" w:color="000000" w:sz="4" w:space="0"/>
            </w:tcBorders>
            <w:vAlign w:val="center"/>
          </w:tcPr>
          <w:p w14:paraId="3FEB6089">
            <w:pPr>
              <w:spacing w:line="360" w:lineRule="auto"/>
              <w:jc w:val="center"/>
              <w:rPr>
                <w:rFonts w:hint="eastAsia" w:ascii="宋体" w:hAnsi="宋体" w:cs="宋体"/>
                <w:b/>
                <w:color w:val="auto"/>
                <w:szCs w:val="21"/>
                <w:highlight w:val="none"/>
                <w:u w:val="none"/>
              </w:rPr>
            </w:pPr>
            <w:r>
              <w:rPr>
                <w:rFonts w:hint="eastAsia" w:ascii="宋体" w:hAnsi="宋体" w:cs="宋体"/>
                <w:b/>
                <w:color w:val="auto"/>
                <w:szCs w:val="21"/>
                <w:highlight w:val="none"/>
                <w:u w:val="none"/>
              </w:rPr>
              <w:t>备注</w:t>
            </w:r>
          </w:p>
        </w:tc>
      </w:tr>
      <w:tr w14:paraId="3B5A742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1006" w:hRule="atLeast"/>
          <w:jc w:val="center"/>
        </w:trPr>
        <w:tc>
          <w:tcPr>
            <w:tcW w:w="455" w:type="pct"/>
            <w:tcBorders>
              <w:top w:val="single" w:color="000000" w:sz="4" w:space="0"/>
              <w:left w:val="single" w:color="000000" w:sz="4" w:space="0"/>
              <w:bottom w:val="single" w:color="000000" w:sz="4" w:space="0"/>
              <w:right w:val="single" w:color="000000" w:sz="4" w:space="0"/>
            </w:tcBorders>
            <w:vAlign w:val="center"/>
          </w:tcPr>
          <w:p w14:paraId="7D36D36C">
            <w:pPr>
              <w:spacing w:line="360" w:lineRule="auto"/>
              <w:jc w:val="center"/>
              <w:rPr>
                <w:rFonts w:hint="eastAsia" w:ascii="宋体" w:hAnsi="宋体" w:cs="宋体"/>
                <w:bCs/>
                <w:color w:val="auto"/>
                <w:szCs w:val="21"/>
                <w:highlight w:val="none"/>
                <w:u w:val="none"/>
              </w:rPr>
            </w:pPr>
            <w:r>
              <w:rPr>
                <w:rFonts w:hint="eastAsia" w:ascii="宋体" w:hAnsi="宋体" w:cs="宋体"/>
                <w:bCs/>
                <w:color w:val="auto"/>
                <w:szCs w:val="21"/>
                <w:highlight w:val="none"/>
                <w:u w:val="none"/>
              </w:rPr>
              <w:t>1</w:t>
            </w:r>
          </w:p>
        </w:tc>
        <w:tc>
          <w:tcPr>
            <w:tcW w:w="1399" w:type="pct"/>
            <w:tcBorders>
              <w:top w:val="single" w:color="000000" w:sz="4" w:space="0"/>
              <w:left w:val="single" w:color="000000" w:sz="4" w:space="0"/>
              <w:right w:val="single" w:color="000000" w:sz="4" w:space="0"/>
            </w:tcBorders>
            <w:vAlign w:val="center"/>
          </w:tcPr>
          <w:p w14:paraId="3B59D4DD">
            <w:pPr>
              <w:spacing w:line="360" w:lineRule="auto"/>
              <w:jc w:val="center"/>
              <w:rPr>
                <w:rFonts w:hint="eastAsia" w:ascii="宋体" w:hAnsi="宋体" w:eastAsia="宋体" w:cs="宋体"/>
                <w:b/>
                <w:bCs/>
                <w:color w:val="auto"/>
                <w:szCs w:val="21"/>
                <w:highlight w:val="none"/>
                <w:u w:val="none"/>
                <w:lang w:eastAsia="zh-CN"/>
              </w:rPr>
            </w:pPr>
            <w:r>
              <w:rPr>
                <w:rFonts w:hint="eastAsia" w:ascii="宋体" w:hAnsi="宋体" w:cs="宋体"/>
                <w:bCs/>
                <w:color w:val="auto"/>
                <w:szCs w:val="21"/>
                <w:highlight w:val="none"/>
                <w:u w:val="none"/>
                <w:lang w:eastAsia="zh-CN"/>
              </w:rPr>
              <w:t>2026年泰州医药高新区（高港区）市场监督管理局食品安全快检服务</w:t>
            </w:r>
          </w:p>
        </w:tc>
        <w:tc>
          <w:tcPr>
            <w:tcW w:w="896" w:type="pct"/>
            <w:tcBorders>
              <w:top w:val="single" w:color="000000" w:sz="4" w:space="0"/>
              <w:left w:val="single" w:color="000000" w:sz="4" w:space="0"/>
              <w:bottom w:val="single" w:color="000000" w:sz="4" w:space="0"/>
              <w:right w:val="single" w:color="000000" w:sz="4" w:space="0"/>
            </w:tcBorders>
            <w:vAlign w:val="center"/>
          </w:tcPr>
          <w:p w14:paraId="0047FB3B">
            <w:pPr>
              <w:spacing w:line="360" w:lineRule="auto"/>
              <w:jc w:val="center"/>
              <w:rPr>
                <w:rFonts w:hint="eastAsia" w:ascii="宋体" w:hAnsi="宋体" w:cs="宋体"/>
                <w:bCs/>
                <w:color w:val="auto"/>
                <w:szCs w:val="21"/>
                <w:highlight w:val="none"/>
                <w:u w:val="none"/>
              </w:rPr>
            </w:pPr>
            <w:r>
              <w:rPr>
                <w:rFonts w:hint="eastAsia" w:ascii="宋体" w:hAnsi="宋体" w:cs="宋体"/>
                <w:bCs/>
                <w:color w:val="auto"/>
                <w:szCs w:val="21"/>
                <w:highlight w:val="none"/>
                <w:u w:val="none"/>
              </w:rPr>
              <w:t>首次报价</w:t>
            </w:r>
          </w:p>
        </w:tc>
        <w:tc>
          <w:tcPr>
            <w:tcW w:w="1710" w:type="pct"/>
            <w:tcBorders>
              <w:top w:val="single" w:color="000000" w:sz="4" w:space="0"/>
              <w:left w:val="single" w:color="000000" w:sz="4" w:space="0"/>
              <w:bottom w:val="single" w:color="000000" w:sz="4" w:space="0"/>
              <w:right w:val="single" w:color="000000" w:sz="4" w:space="0"/>
            </w:tcBorders>
            <w:vAlign w:val="center"/>
          </w:tcPr>
          <w:p w14:paraId="647DAAD9">
            <w:pPr>
              <w:spacing w:line="360" w:lineRule="auto"/>
              <w:rPr>
                <w:rFonts w:hint="eastAsia" w:ascii="宋体" w:hAnsi="宋体" w:cs="宋体"/>
                <w:color w:val="auto"/>
                <w:szCs w:val="21"/>
                <w:highlight w:val="none"/>
                <w:u w:val="none"/>
              </w:rPr>
            </w:pPr>
          </w:p>
        </w:tc>
        <w:tc>
          <w:tcPr>
            <w:tcW w:w="538" w:type="pct"/>
            <w:tcBorders>
              <w:top w:val="single" w:color="000000" w:sz="4" w:space="0"/>
              <w:left w:val="single" w:color="000000" w:sz="4" w:space="0"/>
              <w:bottom w:val="single" w:color="000000" w:sz="4" w:space="0"/>
              <w:right w:val="single" w:color="000000" w:sz="4" w:space="0"/>
            </w:tcBorders>
            <w:vAlign w:val="center"/>
          </w:tcPr>
          <w:p w14:paraId="44102B50">
            <w:pPr>
              <w:spacing w:line="360" w:lineRule="auto"/>
              <w:rPr>
                <w:rFonts w:hint="eastAsia" w:ascii="宋体" w:hAnsi="宋体" w:cs="宋体"/>
                <w:color w:val="auto"/>
                <w:szCs w:val="21"/>
                <w:highlight w:val="none"/>
                <w:u w:val="none"/>
              </w:rPr>
            </w:pPr>
          </w:p>
        </w:tc>
      </w:tr>
    </w:tbl>
    <w:p w14:paraId="1827D391">
      <w:pPr>
        <w:spacing w:line="360" w:lineRule="auto"/>
        <w:rPr>
          <w:rFonts w:hint="eastAsia" w:ascii="宋体" w:hAnsi="宋体" w:cs="宋体"/>
          <w:color w:val="auto"/>
          <w:szCs w:val="21"/>
          <w:highlight w:val="none"/>
          <w:u w:val="none"/>
        </w:rPr>
      </w:pPr>
    </w:p>
    <w:p w14:paraId="4AEC26C2">
      <w:pPr>
        <w:spacing w:line="360" w:lineRule="auto"/>
        <w:ind w:firstLine="4620" w:firstLineChars="2200"/>
        <w:rPr>
          <w:rFonts w:hint="eastAsia" w:ascii="宋体" w:hAnsi="宋体" w:cs="宋体"/>
          <w:color w:val="auto"/>
          <w:szCs w:val="21"/>
          <w:highlight w:val="none"/>
          <w:u w:val="none"/>
        </w:rPr>
      </w:pPr>
      <w:r>
        <w:rPr>
          <w:rFonts w:hint="eastAsia" w:ascii="宋体" w:hAnsi="宋体" w:cs="宋体"/>
          <w:color w:val="auto"/>
          <w:szCs w:val="21"/>
          <w:highlight w:val="none"/>
          <w:u w:val="none"/>
        </w:rPr>
        <w:t>竞争性磋商响应单位：（加盖公章）</w:t>
      </w:r>
    </w:p>
    <w:p w14:paraId="6097CC72">
      <w:pPr>
        <w:spacing w:line="360" w:lineRule="auto"/>
        <w:ind w:firstLine="4410" w:firstLineChars="2100"/>
        <w:rPr>
          <w:rFonts w:hint="eastAsia" w:ascii="宋体" w:hAnsi="宋体" w:cs="宋体"/>
          <w:color w:val="auto"/>
          <w:szCs w:val="21"/>
          <w:highlight w:val="none"/>
          <w:u w:val="none"/>
        </w:rPr>
      </w:pPr>
      <w:r>
        <w:rPr>
          <w:rFonts w:hint="eastAsia" w:ascii="宋体" w:hAnsi="宋体" w:cs="宋体"/>
          <w:color w:val="auto"/>
          <w:szCs w:val="21"/>
          <w:highlight w:val="none"/>
          <w:u w:val="none"/>
          <w:lang w:val="zh-CN"/>
        </w:rPr>
        <w:t>法定代表人或其授权委托人：</w:t>
      </w:r>
      <w:r>
        <w:rPr>
          <w:rFonts w:hint="eastAsia" w:ascii="宋体" w:hAnsi="宋体" w:cs="宋体"/>
          <w:bCs/>
          <w:color w:val="auto"/>
          <w:spacing w:val="10"/>
          <w:szCs w:val="21"/>
          <w:highlight w:val="none"/>
          <w:u w:val="none"/>
        </w:rPr>
        <w:t>（签字或盖章）</w:t>
      </w:r>
    </w:p>
    <w:p w14:paraId="3A8B27CD">
      <w:pPr>
        <w:spacing w:line="360" w:lineRule="auto"/>
        <w:rPr>
          <w:color w:val="auto"/>
          <w:sz w:val="20"/>
          <w:highlight w:val="none"/>
          <w:u w:val="none"/>
        </w:rPr>
      </w:pPr>
    </w:p>
    <w:p w14:paraId="0782BD04">
      <w:pPr>
        <w:pStyle w:val="32"/>
        <w:spacing w:line="360" w:lineRule="auto"/>
        <w:ind w:firstLine="5400"/>
        <w:jc w:val="left"/>
        <w:rPr>
          <w:rFonts w:ascii="Times New Roman" w:hAnsi="Times New Roman" w:cs="宋体"/>
          <w:b/>
          <w:bCs/>
          <w:color w:val="auto"/>
          <w:szCs w:val="21"/>
          <w:highlight w:val="none"/>
          <w:u w:val="none"/>
        </w:rPr>
      </w:pPr>
      <w:r>
        <w:rPr>
          <w:rFonts w:hint="eastAsia" w:ascii="Times New Roman" w:hAnsi="Times New Roman" w:cs="宋体"/>
          <w:color w:val="auto"/>
          <w:szCs w:val="21"/>
          <w:highlight w:val="none"/>
          <w:u w:val="none"/>
        </w:rPr>
        <w:t>年  月  日</w:t>
      </w:r>
    </w:p>
    <w:p w14:paraId="3D99F841">
      <w:pPr>
        <w:spacing w:line="360" w:lineRule="auto"/>
        <w:ind w:firstLine="422" w:firstLineChars="200"/>
        <w:rPr>
          <w:rFonts w:hint="eastAsia" w:ascii="宋体" w:hAnsi="宋体"/>
          <w:b/>
          <w:color w:val="auto"/>
          <w:szCs w:val="21"/>
          <w:highlight w:val="none"/>
          <w:u w:val="none"/>
        </w:rPr>
      </w:pPr>
    </w:p>
    <w:p w14:paraId="56D5991F">
      <w:pPr>
        <w:spacing w:line="360" w:lineRule="auto"/>
        <w:ind w:firstLine="482"/>
        <w:rPr>
          <w:rFonts w:hint="eastAsia" w:ascii="宋体" w:hAnsi="宋体" w:cs="宋体"/>
          <w:b/>
          <w:color w:val="auto"/>
          <w:szCs w:val="21"/>
          <w:highlight w:val="none"/>
          <w:u w:val="none"/>
        </w:rPr>
      </w:pPr>
      <w:r>
        <w:rPr>
          <w:rFonts w:hint="eastAsia" w:ascii="宋体" w:hAnsi="宋体" w:cs="宋体"/>
          <w:b/>
          <w:color w:val="auto"/>
          <w:szCs w:val="21"/>
          <w:highlight w:val="none"/>
          <w:u w:val="none"/>
        </w:rPr>
        <w:t>注：1.</w:t>
      </w:r>
      <w:r>
        <w:rPr>
          <w:rFonts w:hint="eastAsia" w:ascii="宋体" w:hAnsi="宋体" w:cs="宋体"/>
          <w:color w:val="auto"/>
          <w:szCs w:val="21"/>
          <w:highlight w:val="none"/>
          <w:u w:val="none"/>
        </w:rPr>
        <w:t>磋商报价（以人民币计价）</w:t>
      </w:r>
      <w:r>
        <w:rPr>
          <w:rFonts w:hint="eastAsia" w:ascii="宋体" w:hAnsi="宋体" w:cs="宋体"/>
          <w:bCs/>
          <w:color w:val="auto"/>
          <w:szCs w:val="21"/>
          <w:highlight w:val="none"/>
          <w:u w:val="none"/>
        </w:rPr>
        <w:t>应包括采购文件所确定的采购范围内相应需求清单及相关资料及规范、规定等全部内容，以及为完成上述内容所必需的材料、劳务、机械与各工种间的协调配合工作、验收、安全措施、技术措施，作为一名有经验的磋商响应供应商所应考虑的各种因素、风险及所需的全部费用</w:t>
      </w:r>
      <w:r>
        <w:rPr>
          <w:rFonts w:hint="eastAsia" w:ascii="宋体" w:hAnsi="宋体" w:cs="宋体"/>
          <w:color w:val="auto"/>
          <w:szCs w:val="21"/>
          <w:highlight w:val="none"/>
          <w:u w:val="none"/>
        </w:rPr>
        <w:t>。</w:t>
      </w:r>
    </w:p>
    <w:p w14:paraId="5B602D5A">
      <w:pPr>
        <w:spacing w:line="360" w:lineRule="auto"/>
        <w:ind w:firstLine="482"/>
        <w:rPr>
          <w:rFonts w:hint="eastAsia" w:ascii="宋体" w:hAnsi="宋体" w:cs="宋体"/>
          <w:b/>
          <w:color w:val="auto"/>
          <w:szCs w:val="21"/>
          <w:highlight w:val="none"/>
          <w:u w:val="none"/>
        </w:rPr>
      </w:pPr>
      <w:r>
        <w:rPr>
          <w:rFonts w:hint="eastAsia" w:ascii="宋体" w:hAnsi="宋体" w:cs="宋体"/>
          <w:b/>
          <w:color w:val="auto"/>
          <w:szCs w:val="21"/>
          <w:highlight w:val="none"/>
          <w:u w:val="none"/>
        </w:rPr>
        <w:t>2.第二次报价将在磋商现场进行，响应文件提交时只需填写磋商报价表（首次）。在二次报价环节，代理机构在苏采云系统发送二次报价通知后，所有的响应供应商须在15分钟内填写完成二次报价，并按苏采云系统要求提交二次报价表。</w:t>
      </w:r>
    </w:p>
    <w:p w14:paraId="13B8AF8A">
      <w:pPr>
        <w:spacing w:line="360" w:lineRule="auto"/>
        <w:ind w:firstLine="420" w:firstLineChars="200"/>
        <w:rPr>
          <w:rFonts w:hint="eastAsia" w:ascii="宋体" w:hAnsi="宋体" w:cs="宋体"/>
          <w:color w:val="auto"/>
          <w:szCs w:val="21"/>
          <w:highlight w:val="none"/>
          <w:u w:val="none"/>
        </w:rPr>
      </w:pPr>
      <w:r>
        <w:rPr>
          <w:rFonts w:hint="eastAsia" w:ascii="宋体" w:hAnsi="宋体" w:cs="宋体"/>
          <w:color w:val="auto"/>
          <w:szCs w:val="21"/>
          <w:highlight w:val="none"/>
          <w:u w:val="none"/>
          <w:lang w:bidi="zh-CN"/>
        </w:rPr>
        <w:br w:type="page" w:clear="all"/>
      </w:r>
    </w:p>
    <w:p w14:paraId="2F32EC71">
      <w:pPr>
        <w:spacing w:line="360" w:lineRule="auto"/>
        <w:ind w:firstLine="420" w:firstLineChars="200"/>
        <w:rPr>
          <w:rFonts w:hint="eastAsia" w:ascii="宋体" w:hAnsi="宋体"/>
          <w:color w:val="auto"/>
          <w:szCs w:val="21"/>
          <w:highlight w:val="none"/>
          <w:u w:val="none"/>
        </w:rPr>
        <w:sectPr>
          <w:pgSz w:w="11907" w:h="16840"/>
          <w:pgMar w:top="1134" w:right="1134" w:bottom="1134" w:left="1560" w:header="851" w:footer="851" w:gutter="0"/>
          <w:pgBorders>
            <w:top w:val="none" w:sz="0" w:space="0"/>
            <w:left w:val="none" w:sz="0" w:space="0"/>
            <w:bottom w:val="none" w:sz="0" w:space="0"/>
            <w:right w:val="none" w:sz="0" w:space="0"/>
          </w:pgBorders>
          <w:cols w:space="720" w:num="1"/>
          <w:docGrid w:linePitch="312" w:charSpace="0"/>
        </w:sectPr>
      </w:pPr>
      <w:bookmarkStart w:id="141" w:name="_Toc162919810"/>
      <w:bookmarkStart w:id="142" w:name="_Toc162859072"/>
    </w:p>
    <w:bookmarkEnd w:id="141"/>
    <w:bookmarkEnd w:id="142"/>
    <w:p w14:paraId="75CE79DE">
      <w:pPr>
        <w:spacing w:line="360" w:lineRule="auto"/>
        <w:rPr>
          <w:rFonts w:hint="eastAsia" w:ascii="宋体" w:hAnsi="宋体" w:cs="宋体"/>
          <w:b/>
          <w:color w:val="auto"/>
          <w:szCs w:val="21"/>
          <w:highlight w:val="none"/>
          <w:u w:val="none"/>
        </w:rPr>
      </w:pPr>
      <w:r>
        <w:rPr>
          <w:rFonts w:hint="eastAsia" w:ascii="宋体" w:hAnsi="宋体"/>
          <w:color w:val="auto"/>
          <w:szCs w:val="21"/>
          <w:highlight w:val="none"/>
          <w:u w:val="none"/>
        </w:rPr>
        <w:t>14.技术说明与服务方案</w:t>
      </w:r>
    </w:p>
    <w:p w14:paraId="0D262DDE">
      <w:pPr>
        <w:spacing w:line="360" w:lineRule="auto"/>
        <w:rPr>
          <w:rFonts w:hint="eastAsia" w:ascii="宋体" w:hAnsi="宋体"/>
          <w:color w:val="auto"/>
          <w:szCs w:val="21"/>
          <w:highlight w:val="none"/>
          <w:u w:val="none"/>
        </w:rPr>
      </w:pPr>
      <w:r>
        <w:rPr>
          <w:rFonts w:hint="eastAsia" w:ascii="宋体" w:hAnsi="宋体"/>
          <w:color w:val="auto"/>
          <w:szCs w:val="21"/>
          <w:highlight w:val="none"/>
          <w:u w:val="none"/>
        </w:rPr>
        <w:t>15.其他（供应商认为有必要提供的声明和文件，如有自拟并自行添加）</w:t>
      </w:r>
    </w:p>
    <w:p w14:paraId="0CBA46A3">
      <w:pPr>
        <w:pStyle w:val="33"/>
        <w:shd w:val="clear" w:color="auto" w:fill="FFFFFF"/>
        <w:spacing w:before="0" w:beforeAutospacing="0" w:after="0" w:afterAutospacing="0" w:line="360" w:lineRule="auto"/>
        <w:ind w:firstLine="482"/>
        <w:jc w:val="center"/>
        <w:rPr>
          <w:rFonts w:hint="eastAsia" w:ascii="宋体" w:hAnsi="宋体" w:cs="宋体"/>
          <w:b/>
          <w:color w:val="auto"/>
          <w:sz w:val="21"/>
          <w:szCs w:val="21"/>
          <w:highlight w:val="none"/>
          <w:u w:val="none"/>
          <w:lang w:eastAsia="zh-CN"/>
        </w:rPr>
      </w:pPr>
    </w:p>
    <w:p w14:paraId="61349C67">
      <w:pPr>
        <w:pStyle w:val="33"/>
        <w:shd w:val="clear" w:color="auto" w:fill="FFFFFF"/>
        <w:spacing w:before="0" w:beforeAutospacing="0" w:after="0" w:afterAutospacing="0" w:line="360" w:lineRule="auto"/>
        <w:ind w:firstLine="482"/>
        <w:jc w:val="center"/>
        <w:rPr>
          <w:rFonts w:hint="eastAsia" w:ascii="宋体" w:hAnsi="宋体" w:cs="宋体"/>
          <w:color w:val="auto"/>
          <w:sz w:val="21"/>
          <w:szCs w:val="21"/>
          <w:highlight w:val="none"/>
          <w:u w:val="none"/>
          <w:lang w:eastAsia="zh-CN"/>
        </w:rPr>
      </w:pPr>
      <w:r>
        <w:rPr>
          <w:rFonts w:hint="eastAsia" w:ascii="宋体" w:hAnsi="宋体" w:cs="宋体"/>
          <w:b/>
          <w:color w:val="auto"/>
          <w:sz w:val="21"/>
          <w:szCs w:val="21"/>
          <w:highlight w:val="none"/>
          <w:u w:val="none"/>
          <w:lang w:eastAsia="zh-CN"/>
        </w:rPr>
        <w:t>中小企业划型标准规定</w:t>
      </w:r>
    </w:p>
    <w:p w14:paraId="3A60F64F">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34D5F4D7">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各行业划型标准为：</w:t>
      </w:r>
    </w:p>
    <w:p w14:paraId="0F1EA22B">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（一）农、林、牧、渔业。营业收入20000万元以下的为中小微型企业。其中，营业收入500万元及以上的为中型企业，营业收入50万元及以上的为小型企业，营业收入50万元以下的为微型企业。</w:t>
      </w:r>
    </w:p>
    <w:p w14:paraId="253FF8BB">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2235DEC0">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07AF23CD">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64FD1DDA">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5D6F1EBE">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0AFB441B">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470748E">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493466FE">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A5FFE54">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FACD779">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34D319A5">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18B9CDE">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040DC6E5">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1F93F54B">
      <w:pPr>
        <w:spacing w:line="360" w:lineRule="auto"/>
        <w:ind w:firstLine="480"/>
        <w:rPr>
          <w:rFonts w:hint="eastAsia" w:ascii="宋体" w:hAnsi="宋体" w:cs="宋体"/>
          <w:color w:val="auto"/>
          <w:szCs w:val="21"/>
          <w:highlight w:val="none"/>
          <w:u w:val="none"/>
        </w:rPr>
      </w:pPr>
      <w:r>
        <w:rPr>
          <w:rFonts w:hint="eastAsia" w:ascii="宋体" w:hAnsi="宋体" w:cs="宋体"/>
          <w:color w:val="auto"/>
          <w:szCs w:val="21"/>
          <w:highlight w:val="none"/>
          <w:u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0A35F745">
      <w:pPr>
        <w:spacing w:line="360" w:lineRule="auto"/>
        <w:ind w:firstLine="480"/>
        <w:rPr>
          <w:color w:val="auto"/>
          <w:highlight w:val="none"/>
          <w:u w:val="none"/>
        </w:rPr>
      </w:pPr>
      <w:r>
        <w:rPr>
          <w:rFonts w:hint="eastAsia" w:ascii="宋体" w:hAnsi="宋体" w:cs="宋体"/>
          <w:color w:val="auto"/>
          <w:szCs w:val="21"/>
          <w:highlight w:val="none"/>
          <w:u w:val="none"/>
        </w:rPr>
        <w:t>（十六）其他未列明行业。从业人员300人以下的为中小微型企业。其中，从业人员100人及以上的为中型企业；从业人员10人及以上的为小型企业；从业人员10人以下的为微型企业。</w:t>
      </w:r>
    </w:p>
    <w:p w14:paraId="535BCE4F">
      <w:pPr>
        <w:spacing w:line="360" w:lineRule="auto"/>
        <w:rPr>
          <w:color w:val="auto"/>
          <w:highlight w:val="none"/>
          <w:u w:val="none"/>
        </w:rPr>
      </w:pPr>
    </w:p>
    <w:p w14:paraId="0406880A">
      <w:pPr>
        <w:pStyle w:val="29"/>
        <w:spacing w:line="360" w:lineRule="auto"/>
        <w:rPr>
          <w:rFonts w:hint="eastAsia" w:ascii="宋体" w:hAnsi="宋体"/>
          <w:bCs/>
          <w:color w:val="auto"/>
          <w:sz w:val="21"/>
          <w:szCs w:val="21"/>
          <w:highlight w:val="none"/>
          <w:u w:val="none"/>
        </w:rPr>
      </w:pPr>
    </w:p>
    <w:p w14:paraId="099DAB39">
      <w:pPr>
        <w:keepNext/>
        <w:keepLines/>
        <w:spacing w:before="260" w:after="260" w:line="360" w:lineRule="auto"/>
        <w:jc w:val="center"/>
        <w:outlineLvl w:val="1"/>
        <w:rPr>
          <w:rFonts w:hint="eastAsia" w:ascii="宋体" w:hAnsi="宋体"/>
          <w:color w:val="auto"/>
          <w:szCs w:val="21"/>
          <w:highlight w:val="none"/>
          <w:u w:val="none"/>
        </w:rPr>
      </w:pPr>
    </w:p>
    <w:p w14:paraId="00BE570B">
      <w:pPr>
        <w:spacing w:line="360" w:lineRule="auto"/>
        <w:rPr>
          <w:color w:val="auto"/>
          <w:highlight w:val="none"/>
          <w:u w:val="none"/>
        </w:rPr>
      </w:pPr>
    </w:p>
    <w:p w14:paraId="211DF05A">
      <w:pPr>
        <w:spacing w:line="360" w:lineRule="auto"/>
        <w:rPr>
          <w:color w:val="auto"/>
          <w:highlight w:val="none"/>
          <w:u w:val="none"/>
        </w:rPr>
      </w:pPr>
    </w:p>
    <w:p w14:paraId="149A7EBF">
      <w:pPr>
        <w:spacing w:line="360" w:lineRule="auto"/>
        <w:rPr>
          <w:color w:val="auto"/>
          <w:highlight w:val="none"/>
          <w:u w:val="none"/>
        </w:rPr>
      </w:pPr>
    </w:p>
    <w:p w14:paraId="05FD2066">
      <w:pPr>
        <w:spacing w:line="360" w:lineRule="auto"/>
        <w:rPr>
          <w:color w:val="auto"/>
          <w:highlight w:val="none"/>
          <w:u w:val="none"/>
        </w:rPr>
      </w:pPr>
    </w:p>
    <w:p w14:paraId="5AD08AF5">
      <w:pPr>
        <w:spacing w:line="360" w:lineRule="auto"/>
        <w:rPr>
          <w:color w:val="auto"/>
          <w:highlight w:val="none"/>
          <w:u w:val="none"/>
        </w:rPr>
      </w:pPr>
    </w:p>
    <w:p w14:paraId="0D6FCD69">
      <w:pPr>
        <w:spacing w:line="360" w:lineRule="auto"/>
        <w:rPr>
          <w:color w:val="auto"/>
          <w:highlight w:val="none"/>
          <w:u w:val="none"/>
        </w:rPr>
      </w:pPr>
    </w:p>
    <w:p w14:paraId="1527DC43">
      <w:pPr>
        <w:spacing w:line="360" w:lineRule="auto"/>
        <w:rPr>
          <w:color w:val="auto"/>
          <w:highlight w:val="none"/>
          <w:u w:val="none"/>
        </w:rPr>
      </w:pPr>
    </w:p>
    <w:p w14:paraId="3539A2C6">
      <w:pPr>
        <w:spacing w:line="360" w:lineRule="auto"/>
        <w:rPr>
          <w:color w:val="auto"/>
          <w:highlight w:val="none"/>
          <w:u w:val="none"/>
        </w:rPr>
      </w:pPr>
    </w:p>
    <w:p w14:paraId="7F2654C0">
      <w:pPr>
        <w:spacing w:line="360" w:lineRule="auto"/>
        <w:rPr>
          <w:color w:val="auto"/>
          <w:highlight w:val="none"/>
          <w:u w:val="none"/>
        </w:rPr>
      </w:pPr>
    </w:p>
    <w:p w14:paraId="5387A60C">
      <w:pPr>
        <w:rPr>
          <w:color w:val="auto"/>
          <w:highlight w:val="none"/>
          <w:u w:val="none"/>
        </w:rPr>
      </w:pPr>
    </w:p>
    <w:sectPr>
      <w:footerReference r:id="rId11"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C17CE9A1-09C9-4890-AF75-E59F1294D18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AC6546DB-AE57-45D0-B0E9-49B413F0860B}"/>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10" w:usb3="00000000" w:csb0="00040000" w:csb1="00000000"/>
    <w:embedRegular r:id="rId3" w:fontKey="{AFF57467-13A9-4CF2-A9E9-285278D5BD97}"/>
  </w:font>
  <w:font w:name="仿宋">
    <w:panose1 w:val="02010609060101010101"/>
    <w:charset w:val="86"/>
    <w:family w:val="auto"/>
    <w:pitch w:val="default"/>
    <w:sig w:usb0="800002BF" w:usb1="38CF7CFA" w:usb2="00000016" w:usb3="00000000" w:csb0="00040001" w:csb1="00000000"/>
    <w:embedRegular r:id="rId4" w:fontKey="{D5F74E7D-B9BE-416E-A717-1059FE832B54}"/>
  </w:font>
  <w:font w:name="微软雅黑">
    <w:panose1 w:val="020B0503020204020204"/>
    <w:charset w:val="86"/>
    <w:family w:val="swiss"/>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新宋体">
    <w:panose1 w:val="02010609030101010101"/>
    <w:charset w:val="86"/>
    <w:family w:val="modern"/>
    <w:pitch w:val="default"/>
    <w:sig w:usb0="00000203" w:usb1="288F0000" w:usb2="00000006" w:usb3="00000000" w:csb0="00040001" w:csb1="00000000"/>
    <w:embedRegular r:id="rId5" w:fontKey="{097744D5-1920-49B3-965F-424C04213C3A}"/>
  </w:font>
  <w:font w:name="Microsoft New Tai Lue">
    <w:panose1 w:val="020B0502040204020203"/>
    <w:charset w:val="00"/>
    <w:family w:val="swiss"/>
    <w:pitch w:val="default"/>
    <w:sig w:usb0="00000003" w:usb1="00000000" w:usb2="80000000" w:usb3="00000000" w:csb0="00000001" w:csb1="00000000"/>
    <w:embedRegular r:id="rId6" w:fontKey="{48F1F55D-BA15-4E85-B1B6-62D1F15B03E5}"/>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B3FF9F">
    <w:pPr>
      <w:pStyle w:val="10"/>
      <w:jc w:val="center"/>
      <w:rPr>
        <w:rStyle w:val="19"/>
      </w:rPr>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2113C008">
                          <w:pPr>
                            <w:pStyle w:val="10"/>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52</w:t>
                          </w:r>
                          <w:r>
                            <w:fldChar w:fldCharType="end"/>
                          </w:r>
                          <w:r>
                            <w:t xml:space="preserve"> 页</w:t>
                          </w:r>
                        </w:p>
                      </w:txbxContent>
                    </wps:txbx>
                    <wps:bodyPr vert="horz" wrap="none" lIns="0" tIns="0" rIns="0" bIns="0" anchor="t">
                      <a:spAutoFit/>
                    </wps:bodyPr>
                  </wps:wsp>
                </a:graphicData>
              </a:graphic>
            </wp:anchor>
          </w:drawing>
        </mc:Choice>
        <mc:Fallback>
          <w:pict>
            <v:rect id="文本框 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AJYnrPJAQAAkgMAAA4AAABkcnMvZTJvRG9jLnhtbK1TzY7TMBC+I/EO&#10;lu80aYWgRE1XSNUiJAQrLTyA6ziNJf9pxm1SHgDegBMX7jxXn4Oxk3TRctkDF2fGY3/zfZ8nm5vB&#10;GnZSgNq7mi8XJWfKSd9od6j5l8+3L9acYRSuEcY7VfOzQn6zff5s04dKrXznTaOAEYjDqg8172IM&#10;VVGg7JQVuPBBOSq2HqyIlMKhaED0hG5NsSrLV0XvoQngpUKk3d1Y5BMiPAXQt62Waufl0SoXR1RQ&#10;RkSShJ0OyLeZbdsqGT+1LarITM1JacwrNaF4n9ZiuxHVAUTotJwoiKdQeKTJCu2o6RVqJ6JgR9D/&#10;QFktwaNv40J6W4xCsiOkYlk+8ua+E0FlLWQ1hqvp+P9g5cfTHTDd1Pxl+eY1Z05YevPLj++Xn78v&#10;v76xZXKoD1jRwftwB1OGFCa5Qws2fUkIG7Kr56uraohM0uZyvVqvSzJcUm1OCKd4uB4A4zvlLUtB&#10;zYGeLbspTh8wjkfnI6mbcWl1/lYbM1bTTpFojsRSFIf9MLHd++ZMKmnoCbzz8JWznp685o4mnDPz&#10;3pGjaTrmAOZgPwfCSbpY85EXhrfHSO0zt9Rs7DBxoKfK6qaxSrPwd55PPfxK2z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Alies8kBAACSAwAADgAAAAAAAAABACAAAAAfAQAAZHJzL2Uyb0Rv&#10;Yy54bWxQSwUGAAAAAAYABgBZAQAAWgUAAAAA&#10;">
              <v:fill on="f" focussize="0,0"/>
              <v:stroke on="f"/>
              <v:imagedata o:title=""/>
              <o:lock v:ext="edit" aspectratio="f"/>
              <v:textbox inset="0mm,0mm,0mm,0mm" style="mso-fit-shape-to-text:t;">
                <w:txbxContent>
                  <w:p w14:paraId="2113C008">
                    <w:pPr>
                      <w:pStyle w:val="10"/>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52</w:t>
                    </w:r>
                    <w:r>
                      <w:fldChar w:fldCharType="end"/>
                    </w:r>
                    <w:r>
                      <w:t xml:space="preserve"> 页</w:t>
                    </w:r>
                  </w:p>
                </w:txbxContent>
              </v:textbox>
            </v:rect>
          </w:pict>
        </mc:Fallback>
      </mc:AlternateContent>
    </w:r>
  </w:p>
  <w:p w14:paraId="68625D56">
    <w:pPr>
      <w:pStyle w:val="1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2FD933">
    <w:pPr>
      <w:pStyle w:val="10"/>
      <w:ind w:firstLine="4140" w:firstLineChars="2300"/>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61</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95</w:t>
    </w:r>
    <w:r>
      <w:rPr>
        <w:szCs w:val="21"/>
      </w:rPr>
      <w:fldChar w:fldCharType="end"/>
    </w:r>
    <w:r>
      <w:rPr>
        <w:rFonts w:hint="eastAsia"/>
        <w:szCs w:val="21"/>
      </w:rPr>
      <w:t xml:space="preserve"> 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151728">
    <w:pPr>
      <w:pStyle w:val="10"/>
      <w:jc w:val="center"/>
    </w:pPr>
    <w: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8" name="文本框 2"/>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51CC32E1">
                          <w:pPr>
                            <w:pStyle w:val="10"/>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52</w:t>
                          </w:r>
                          <w:r>
                            <w:fldChar w:fldCharType="end"/>
                          </w:r>
                          <w:r>
                            <w:t xml:space="preserve"> 页</w:t>
                          </w:r>
                        </w:p>
                      </w:txbxContent>
                    </wps:txbx>
                    <wps:bodyPr vert="horz" wrap="none" lIns="0" tIns="0" rIns="0" bIns="0" anchor="t">
                      <a:spAutoFit/>
                    </wps:bodyPr>
                  </wps:wsp>
                </a:graphicData>
              </a:graphic>
            </wp:anchor>
          </w:drawing>
        </mc:Choice>
        <mc:Fallback>
          <w:pict>
            <v:rect id="文本框 2"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PEb63XJAQAAkgMAAA4AAABkcnMvZTJvRG9jLnhtbK1TS47TQBDdI3GH&#10;Vu+JnQihYMUZIUWDkBCMNHCATrsdt9Q/VXVihwPADVixYc+5cg6q23ZmNGxmwaZd1Z9X770qb24G&#10;a9hJAWrvar5clJwpJ32j3aHmX7/cvlpzhlG4RhjvVM3PCvnN9uWLTR8qtfKdN40CRiAOqz7UvIsx&#10;VEWBslNW4MIH5eiw9WBFpBQORQOiJ3RrilVZvil6D00ALxUi7e7GQz4hwnMAfdtqqXZeHq1ycUQF&#10;ZUQkSdjpgHyb2batkvFz26KKzNSclMa8UhGK92ktthtRHUCETsuJgngOhSearNCOil6hdiIKdgT9&#10;D5TVEjz6Ni6kt8UoJDtCKpblE2/uOxFU1kJWY7iajv8PVn463QHTTc1fl2+p805Y6vnl54/Lrz+X&#10;39/ZKjnUB6zo4n24gylDCpPcoQWbviSEDdnV89VVNUQmaXO5Xq3XJRku6WxOCKd4eB4A43vlLUtB&#10;zYHalt0Up48Yx6vzlVTNuLQ6f6uNGU/TTpFojsRSFIf9MLHd++ZMKmnoCbzz8I2znlpec0cTzpn5&#10;4MjRNB1zAHOwnwPhJD2s+cgLw7tjpPKZWyo2Vpg4UKuyumms0iw8zvOth19p+x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8RvrdckBAACSAwAADgAAAAAAAAABACAAAAAfAQAAZHJzL2Uyb0Rv&#10;Yy54bWxQSwUGAAAAAAYABgBZAQAAWgUAAAAA&#10;">
              <v:fill on="f" focussize="0,0"/>
              <v:stroke on="f"/>
              <v:imagedata o:title=""/>
              <o:lock v:ext="edit" aspectratio="f"/>
              <v:textbox inset="0mm,0mm,0mm,0mm" style="mso-fit-shape-to-text:t;">
                <w:txbxContent>
                  <w:p w14:paraId="51CC32E1">
                    <w:pPr>
                      <w:pStyle w:val="10"/>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52</w:t>
                    </w:r>
                    <w:r>
                      <w:fldChar w:fldCharType="end"/>
                    </w:r>
                    <w:r>
                      <w:t xml:space="preserve"> 页</w:t>
                    </w:r>
                  </w:p>
                </w:txbxContent>
              </v:textbox>
            </v:rect>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B3A18C">
    <w:pPr>
      <w:pStyle w:val="34"/>
    </w:pPr>
    <w:r>
      <w:rPr>
        <w:lang w:eastAsia="zh-CN"/>
      </w:rPr>
      <mc:AlternateContent>
        <mc:Choice Requires="wps">
          <w:drawing>
            <wp:anchor distT="0" distB="0" distL="0" distR="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9" name="文本框 5"/>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2BCB5A35">
                          <w:pPr>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7</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52</w:t>
                          </w:r>
                          <w:r>
                            <w:rPr>
                              <w:rFonts w:hint="eastAsia" w:ascii="宋体" w:hAnsi="宋体" w:cs="宋体"/>
                              <w:sz w:val="18"/>
                              <w:szCs w:val="18"/>
                            </w:rPr>
                            <w:fldChar w:fldCharType="end"/>
                          </w:r>
                          <w:r>
                            <w:rPr>
                              <w:rFonts w:hint="eastAsia" w:ascii="宋体" w:hAnsi="宋体" w:cs="宋体"/>
                              <w:sz w:val="18"/>
                              <w:szCs w:val="18"/>
                            </w:rPr>
                            <w:t xml:space="preserve"> 页</w:t>
                          </w:r>
                        </w:p>
                      </w:txbxContent>
                    </wps:txbx>
                    <wps:bodyPr wrap="none" lIns="0" tIns="0" rIns="0" bIns="0" upright="1">
                      <a:spAutoFit/>
                    </wps:bodyPr>
                  </wps:wsp>
                </a:graphicData>
              </a:graphic>
            </wp:anchor>
          </w:drawing>
        </mc:Choice>
        <mc:Fallback>
          <w:pict>
            <v:rect id="文本框 5" o:spid="_x0000_s1026" o:spt="1"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JcUAEHDAQAAhwMAAA4AAABkcnMvZTJvRG9jLnhtbK1TzY7TMBC+I/EO&#10;lu80aQWoGzVdIVWLkBCstPAAruM0lvynGbdJXwDegBMX7jxXn4Oxk3TRctkDF3fG437zfd9MNreD&#10;NeykALV3NV8uSs6Uk77R7lDzr1/uXq05wyhcI4x3quZnhfx2+/LFpg+VWvnOm0YBIxCHVR9q3sUY&#10;qqJA2SkrcOGDclRsPVgRKYVD0YDoCd2aYlWWb4veQxPAS4VIt7uxyCdEeA6gb1st1c7Lo1Uujqig&#10;jIgkCTsdkG8z27ZVMn5uW1SRmZqT0phPakLxPp3FdiOqA4jQaTlREM+h8ESTFdpR0yvUTkTBjqD/&#10;gbJagkffxoX0thiFZEdIxbJ84s1DJ4LKWshqDFfT8f/Byk+ne2C6qfnr8uaGMycszfzy4/vl5+/L&#10;r2/sTXKoD1jRw4dwD1OGFCa5Qws2/ZIQNmRXz1dX1RCZpMvlerVel2S4pNqcEE7x+PcAGN8rb1kK&#10;ag40tuymOH3EOD6dn6RuxqXT+TttzFhNN0WiORJLURz2w8R275szqexpzDV3tNWcmQ+OXEwbMQcw&#10;B/s5OAbQh474LDMZDO+OkXpmQqnDCDs1pvlkSdMupQX4O8+vHr+f7R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5dblS0AAAAAUBAAAPAAAAAAAAAAEAIAAAACIAAABkcnMvZG93bnJldi54bWxQSwEC&#10;FAAUAAAACACHTuJAlxQAQcMBAACHAwAADgAAAAAAAAABACAAAAAfAQAAZHJzL2Uyb0RvYy54bWxQ&#10;SwUGAAAAAAYABgBZAQAAVAUAAAAA&#10;">
              <v:fill on="f" focussize="0,0"/>
              <v:stroke on="f"/>
              <v:imagedata o:title=""/>
              <o:lock v:ext="edit" aspectratio="f"/>
              <v:textbox inset="0mm,0mm,0mm,0mm" style="mso-fit-shape-to-text:t;">
                <w:txbxContent>
                  <w:p w14:paraId="2BCB5A35">
                    <w:pPr>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7</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52</w:t>
                    </w:r>
                    <w:r>
                      <w:rPr>
                        <w:rFonts w:hint="eastAsia" w:ascii="宋体" w:hAnsi="宋体" w:cs="宋体"/>
                        <w:sz w:val="18"/>
                        <w:szCs w:val="18"/>
                      </w:rPr>
                      <w:fldChar w:fldCharType="end"/>
                    </w:r>
                    <w:r>
                      <w:rPr>
                        <w:rFonts w:hint="eastAsia" w:ascii="宋体" w:hAnsi="宋体" w:cs="宋体"/>
                        <w:sz w:val="18"/>
                        <w:szCs w:val="18"/>
                      </w:rPr>
                      <w:t xml:space="preserve"> 页</w:t>
                    </w:r>
                  </w:p>
                </w:txbxContent>
              </v:textbox>
            </v:rect>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7DC44">
    <w:pPr>
      <w:pStyle w:val="10"/>
      <w:jc w:val="center"/>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0" name="文本框 3"/>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2A8F3638">
                          <w:pPr>
                            <w:pStyle w:val="10"/>
                          </w:pPr>
                          <w:r>
                            <w:t xml:space="preserve">第 </w:t>
                          </w:r>
                          <w:r>
                            <w:fldChar w:fldCharType="begin"/>
                          </w:r>
                          <w:r>
                            <w:instrText xml:space="preserve"> PAGE  \* MERGEFORMAT </w:instrText>
                          </w:r>
                          <w:r>
                            <w:fldChar w:fldCharType="separate"/>
                          </w:r>
                          <w:r>
                            <w:t>23</w:t>
                          </w:r>
                          <w:r>
                            <w:fldChar w:fldCharType="end"/>
                          </w:r>
                          <w:r>
                            <w:t xml:space="preserve"> 页 共 </w:t>
                          </w:r>
                          <w:r>
                            <w:fldChar w:fldCharType="begin"/>
                          </w:r>
                          <w:r>
                            <w:instrText xml:space="preserve"> NUMPAGES  \* MERGEFORMAT </w:instrText>
                          </w:r>
                          <w:r>
                            <w:fldChar w:fldCharType="separate"/>
                          </w:r>
                          <w:r>
                            <w:t>52</w:t>
                          </w:r>
                          <w:r>
                            <w:fldChar w:fldCharType="end"/>
                          </w:r>
                          <w:r>
                            <w:t xml:space="preserve"> 页</w:t>
                          </w:r>
                        </w:p>
                      </w:txbxContent>
                    </wps:txbx>
                    <wps:bodyPr vert="horz" wrap="none" lIns="0" tIns="0" rIns="0" bIns="0" anchor="t">
                      <a:spAutoFit/>
                    </wps:bodyPr>
                  </wps:wsp>
                </a:graphicData>
              </a:graphic>
            </wp:anchor>
          </w:drawing>
        </mc:Choice>
        <mc:Fallback>
          <w:pict>
            <v:rect id="文本框 3"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MhuuerIAQAAkgMAAA4AAABkcnMvZTJvRG9jLnhtbK1TzY7TMBC+I/EO&#10;lu80aUGoipqukKpFSAhWWngA13EaS/7TjNukPAC8AScu3HmuPgdjJ+mulsseuDgzHvub7/s82dwM&#10;1rCTAtTe1Xy5KDlTTvpGu0PNv365fbXmDKNwjTDeqZqfFfKb7csXmz5UauU7bxoFjEAcVn2oeRdj&#10;qIoCZaeswIUPylGx9WBFpBQORQOiJ3RrilVZvi16D00ALxUi7e7GIp8Q4TmAvm21VDsvj1a5OKKC&#10;MiKSJOx0QL7NbNtWyfi5bVFFZmpOSmNeqQnF+7QW242oDiBCp+VEQTyHwhNNVmhHTa9QOxEFO4L+&#10;B8pqCR59GxfS22IUkh0hFcvyiTf3nQgqayGrMVxNx/8HKz+d7oDppuZvliWZ4oSlN7/8/HH59efy&#10;+zt7nRzqA1Z08D7cwZQhhUnu0IJNXxLChuzq+eqqGiKTtLlcr9brhC2pNieEUzxcD4DxvfKWpaDm&#10;QM+W3RSnjxjHo/OR1M24tDp/q40Zq2mnSDRHYimKw36Y2O59cyaVNPQE3nn4xllPT15zRxPOmfng&#10;yNE0HXMAc7CfA+EkXaz5yAvDu2Ok9plbajZ2mDjQU2V101ilWXic51MPv9L2L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Ll1uVLQAAAABQEAAA8AAAAAAAAAAQAgAAAAIgAAAGRycy9kb3ducmV2Lnht&#10;bFBLAQIUABQAAAAIAIdO4kDIbrnqyAEAAJIDAAAOAAAAAAAAAAEAIAAAAB8BAABkcnMvZTJvRG9j&#10;LnhtbFBLBQYAAAAABgAGAFkBAABZBQAAAAA=&#10;">
              <v:fill on="f" focussize="0,0"/>
              <v:stroke on="f"/>
              <v:imagedata o:title=""/>
              <o:lock v:ext="edit" aspectratio="f"/>
              <v:textbox inset="0mm,0mm,0mm,0mm" style="mso-fit-shape-to-text:t;">
                <w:txbxContent>
                  <w:p w14:paraId="2A8F3638">
                    <w:pPr>
                      <w:pStyle w:val="10"/>
                    </w:pPr>
                    <w:r>
                      <w:t xml:space="preserve">第 </w:t>
                    </w:r>
                    <w:r>
                      <w:fldChar w:fldCharType="begin"/>
                    </w:r>
                    <w:r>
                      <w:instrText xml:space="preserve"> PAGE  \* MERGEFORMAT </w:instrText>
                    </w:r>
                    <w:r>
                      <w:fldChar w:fldCharType="separate"/>
                    </w:r>
                    <w:r>
                      <w:t>23</w:t>
                    </w:r>
                    <w:r>
                      <w:fldChar w:fldCharType="end"/>
                    </w:r>
                    <w:r>
                      <w:t xml:space="preserve"> 页 共 </w:t>
                    </w:r>
                    <w:r>
                      <w:fldChar w:fldCharType="begin"/>
                    </w:r>
                    <w:r>
                      <w:instrText xml:space="preserve"> NUMPAGES  \* MERGEFORMAT </w:instrText>
                    </w:r>
                    <w:r>
                      <w:fldChar w:fldCharType="separate"/>
                    </w:r>
                    <w:r>
                      <w:t>52</w:t>
                    </w:r>
                    <w:r>
                      <w:fldChar w:fldCharType="end"/>
                    </w:r>
                    <w:r>
                      <w:t xml:space="preserve"> 页</w:t>
                    </w:r>
                  </w:p>
                </w:txbxContent>
              </v:textbox>
            </v:rect>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1BFEE8">
    <w:pPr>
      <w:pStyle w:val="10"/>
      <w:jc w:val="center"/>
    </w:pPr>
    <w:r>
      <w:rPr>
        <w:rFonts w:hint="eastAsia"/>
      </w:rPr>
      <w:t>第</w:t>
    </w:r>
    <w:r>
      <w:fldChar w:fldCharType="begin"/>
    </w:r>
    <w:r>
      <w:rPr>
        <w:rStyle w:val="19"/>
      </w:rPr>
      <w:instrText xml:space="preserve"> PAGE </w:instrText>
    </w:r>
    <w:r>
      <w:fldChar w:fldCharType="separate"/>
    </w:r>
    <w:r>
      <w:rPr>
        <w:rStyle w:val="19"/>
      </w:rPr>
      <w:t>7</w:t>
    </w:r>
    <w:r>
      <w:fldChar w:fldCharType="end"/>
    </w:r>
    <w:r>
      <w:rPr>
        <w:rFonts w:hint="eastAsia"/>
      </w:rPr>
      <w:t>页共</w:t>
    </w:r>
    <w:r>
      <w:fldChar w:fldCharType="begin"/>
    </w:r>
    <w:r>
      <w:rPr>
        <w:rStyle w:val="19"/>
      </w:rPr>
      <w:instrText xml:space="preserve"> NUMPAGES </w:instrText>
    </w:r>
    <w:r>
      <w:fldChar w:fldCharType="separate"/>
    </w:r>
    <w:r>
      <w:rPr>
        <w:rStyle w:val="19"/>
      </w:rPr>
      <w:t>11</w:t>
    </w:r>
    <w:r>
      <w:fldChar w:fldCharType="end"/>
    </w:r>
    <w:r>
      <w:rPr>
        <w:rFonts w:hint="eastAsia"/>
      </w:rPr>
      <w:t>页</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01A30B">
    <w:pPr>
      <w:pStyle w:val="10"/>
    </w:pPr>
    <w:r>
      <mc:AlternateContent>
        <mc:Choice Requires="wps">
          <w:drawing>
            <wp:anchor distT="0" distB="0" distL="0" distR="0" simplePos="0" relativeHeight="251662336" behindDoc="0" locked="0" layoutInCell="1" allowOverlap="1">
              <wp:simplePos x="0" y="0"/>
              <wp:positionH relativeFrom="margin">
                <wp:align>center</wp:align>
              </wp:positionH>
              <wp:positionV relativeFrom="paragraph">
                <wp:posOffset>0</wp:posOffset>
              </wp:positionV>
              <wp:extent cx="1664335" cy="218440"/>
              <wp:effectExtent l="0" t="0" r="0" b="0"/>
              <wp:wrapNone/>
              <wp:docPr id="4101" name="文本框 4"/>
              <wp:cNvGraphicFramePr/>
              <a:graphic xmlns:a="http://schemas.openxmlformats.org/drawingml/2006/main">
                <a:graphicData uri="http://schemas.microsoft.com/office/word/2010/wordprocessingShape">
                  <wps:wsp>
                    <wps:cNvSpPr/>
                    <wps:spPr>
                      <a:xfrm>
                        <a:off x="0" y="0"/>
                        <a:ext cx="1664335" cy="218440"/>
                      </a:xfrm>
                      <a:prstGeom prst="rect">
                        <a:avLst/>
                      </a:prstGeom>
                      <a:ln>
                        <a:noFill/>
                      </a:ln>
                    </wps:spPr>
                    <wps:txbx>
                      <w:txbxContent>
                        <w:p w14:paraId="3080030A">
                          <w:pPr>
                            <w:pStyle w:val="2"/>
                            <w:ind w:firstLine="36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37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p>
                      </w:txbxContent>
                    </wps:txbx>
                    <wps:bodyPr vert="horz" wrap="square" lIns="0" tIns="0" rIns="0" bIns="0" anchor="t">
                      <a:noAutofit/>
                    </wps:bodyPr>
                  </wps:wsp>
                </a:graphicData>
              </a:graphic>
            </wp:anchor>
          </w:drawing>
        </mc:Choice>
        <mc:Fallback>
          <w:pict>
            <v:rect id="文本框 4" o:spid="_x0000_s1026" o:spt="1" style="position:absolute;left:0pt;margin-top:0pt;height:17.2pt;width:131.05pt;mso-position-horizontal:center;mso-position-horizontal-relative:margin;z-index:251662336;mso-width-relative:page;mso-height-relative:page;" filled="f" stroked="f" coordsize="21600,21600" o:gfxdata="UEsDBAoAAAAAAIdO4kAAAAAAAAAAAAAAAAAEAAAAZHJzL1BLAwQUAAAACACHTuJAPlDI4dcAAAAE&#10;AQAADwAAAGRycy9kb3ducmV2LnhtbE2PzU7DMBCE70i8g7VI3KiTUFVtiFNV/KgcaYtUuLnxkkS1&#10;11G8bQpPj+mlXFYazWjm22J+clYcsQ+tJwXpKAGBVHnTUq3gffNyNwURWJPR1hMq+MYA8/L6qtC5&#10;8QOt8LjmWsQSCrlW0DB3uZShatDpMPIdUvS+fO80R9nX0vR6iOXOyixJJtLpluJCozt8bLDarw9O&#10;wXLaLT5e/c9Q2+fP5fZtO3vazFip25s0eQDBeOJLGP7wIzqUkWnnD2SCsAriI3y+0csmWQpip+B+&#10;PAZZFvI/fPkLUEsDBBQAAAAIAIdO4kCcFTji0gEAAJMDAAAOAAAAZHJzL2Uyb0RvYy54bWytU0tu&#10;2zAQ3RfoHQjua0mOawSC5SCAkaJA0QZIewCaIi0C/HVIW3IP0N6gq26677l8jg4p2SnSTRbZUEMO&#10;+ea9N6PVzWA0OQgIytmGVrOSEmG5a5XdNfTL57s315SEyGzLtLOioUcR6M369atV72sxd53TrQCC&#10;IDbUvW9oF6OviyLwThgWZs4Li0npwLCIW9gVLbAe0Y0u5mW5LHoHrQfHRQh4uhmTdEKE5wA6KRUX&#10;G8f3Rtg4ooLQLKKk0Ckf6DqzlVLw+EnKICLRDUWlMa9YBONtWov1itU7YL5TfKLAnkPhiSbDlMWi&#10;F6gNi4zsQf0HZRQHF5yMM+5MMQrJjqCKqnzizUPHvMha0OrgL6aHl4PlHw/3QFTb0EVVVpRYZrDn&#10;p58/Tr/+nH5/J4vkUO9DjRcf/D1Mu4BhkjtIMOmLQsiQXT1eXBVDJBwPq+VycXX1lhKOuXl1vVhk&#10;24vH1x5CfCecISloKGDXspns8CFErIhXz1dSMW3Tat2d0nrMppMisRx5pSgO22Eiu3XtEUXizCN4&#10;5+AbJT12vKHh656BoES/t2hpGo9zAOdgew6Y5fi0oSMz62730UmV2aVyY42JBfYqk57mKg3Dv/t8&#10;6/FfWv8F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PlDI4dcAAAAEAQAADwAAAAAAAAABACAAAAAi&#10;AAAAZHJzL2Rvd25yZXYueG1sUEsBAhQAFAAAAAgAh07iQJwVOOLSAQAAkwMAAA4AAAAAAAAAAQAg&#10;AAAAJgEAAGRycy9lMm9Eb2MueG1sUEsFBgAAAAAGAAYAWQEAAGoFAAAAAA==&#10;">
              <v:fill on="f" focussize="0,0"/>
              <v:stroke on="f"/>
              <v:imagedata o:title=""/>
              <o:lock v:ext="edit" aspectratio="f"/>
              <v:textbox inset="0mm,0mm,0mm,0mm">
                <w:txbxContent>
                  <w:p w14:paraId="3080030A">
                    <w:pPr>
                      <w:pStyle w:val="2"/>
                      <w:ind w:firstLine="360"/>
                      <w:rPr>
                        <w:rFonts w:hint="eastAsia"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37</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hint="eastAsia" w:ascii="宋体" w:hAnsi="宋体" w:eastAsia="宋体" w:cs="宋体"/>
                        <w:sz w:val="18"/>
                        <w:szCs w:val="18"/>
                      </w:rPr>
                      <w:t>52</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p>
                </w:txbxContent>
              </v:textbox>
            </v:rect>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6C04B9">
    <w:pPr>
      <w:pStyle w:val="10"/>
      <w:jc w:val="center"/>
    </w:pPr>
    <w:r>
      <w:rPr>
        <w:rFonts w:hint="eastAsia"/>
      </w:rPr>
      <w:t>第</w:t>
    </w:r>
    <w:r>
      <w:fldChar w:fldCharType="begin"/>
    </w:r>
    <w:r>
      <w:rPr>
        <w:rStyle w:val="19"/>
      </w:rPr>
      <w:instrText xml:space="preserve"> PAGE </w:instrText>
    </w:r>
    <w:r>
      <w:fldChar w:fldCharType="separate"/>
    </w:r>
    <w:r>
      <w:rPr>
        <w:rStyle w:val="19"/>
      </w:rPr>
      <w:t>7</w:t>
    </w:r>
    <w:r>
      <w:fldChar w:fldCharType="end"/>
    </w:r>
    <w:r>
      <w:rPr>
        <w:rFonts w:hint="eastAsia"/>
      </w:rPr>
      <w:t>页共</w:t>
    </w:r>
    <w:r>
      <w:fldChar w:fldCharType="begin"/>
    </w:r>
    <w:r>
      <w:rPr>
        <w:rStyle w:val="19"/>
      </w:rPr>
      <w:instrText xml:space="preserve"> NUMPAGES </w:instrText>
    </w:r>
    <w:r>
      <w:fldChar w:fldCharType="separate"/>
    </w:r>
    <w:r>
      <w:rPr>
        <w:rStyle w:val="19"/>
      </w:rPr>
      <w:t>11</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2DE762">
    <w:pPr>
      <w:pStyle w:val="1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CA255C"/>
    <w:multiLevelType w:val="singleLevel"/>
    <w:tmpl w:val="85CA255C"/>
    <w:lvl w:ilvl="0" w:tentative="0">
      <w:start w:val="1"/>
      <w:numFmt w:val="decimal"/>
      <w:suff w:val="nothing"/>
      <w:lvlText w:val="（%1）"/>
      <w:lvlJc w:val="left"/>
    </w:lvl>
  </w:abstractNum>
  <w:abstractNum w:abstractNumId="1">
    <w:nsid w:val="00000001"/>
    <w:multiLevelType w:val="singleLevel"/>
    <w:tmpl w:val="00000001"/>
    <w:lvl w:ilvl="0" w:tentative="0">
      <w:start w:val="5"/>
      <w:numFmt w:val="chineseCounting"/>
      <w:suff w:val="space"/>
      <w:lvlText w:val="第%1章"/>
      <w:lvlJc w:val="left"/>
      <w:rPr>
        <w:rFonts w:hint="eastAsia"/>
      </w:rPr>
    </w:lvl>
  </w:abstractNum>
  <w:abstractNum w:abstractNumId="2">
    <w:nsid w:val="00000002"/>
    <w:multiLevelType w:val="singleLevel"/>
    <w:tmpl w:val="00000002"/>
    <w:lvl w:ilvl="0" w:tentative="0">
      <w:start w:val="7"/>
      <w:numFmt w:val="chineseCounting"/>
      <w:suff w:val="nothing"/>
      <w:lvlText w:val="%1、"/>
      <w:lvlJc w:val="left"/>
      <w:rPr>
        <w:rFonts w:hint="eastAsia"/>
      </w:rPr>
    </w:lvl>
  </w:abstractNum>
  <w:abstractNum w:abstractNumId="3">
    <w:nsid w:val="00000003"/>
    <w:multiLevelType w:val="multilevel"/>
    <w:tmpl w:val="00000003"/>
    <w:lvl w:ilvl="0" w:tentative="0">
      <w:start w:val="1"/>
      <w:numFmt w:val="japaneseCounting"/>
      <w:lvlText w:val="（%1）"/>
      <w:lvlJc w:val="left"/>
      <w:pPr>
        <w:ind w:left="1560" w:hanging="720"/>
      </w:p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4">
    <w:nsid w:val="00000004"/>
    <w:multiLevelType w:val="singleLevel"/>
    <w:tmpl w:val="00000004"/>
    <w:lvl w:ilvl="0" w:tentative="0">
      <w:start w:val="3"/>
      <w:numFmt w:val="chineseCounting"/>
      <w:suff w:val="space"/>
      <w:lvlText w:val="第%1章"/>
      <w:lvlJc w:val="left"/>
      <w:rPr>
        <w:rFonts w:hint="eastAsia"/>
      </w:rPr>
    </w:lvl>
  </w:abstractNum>
  <w:abstractNum w:abstractNumId="5">
    <w:nsid w:val="59ADCABA"/>
    <w:multiLevelType w:val="multilevel"/>
    <w:tmpl w:val="59ADCABA"/>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4"/>
  </w:num>
  <w:num w:numId="4">
    <w:abstractNumId w:val="5"/>
  </w:num>
  <w:num w:numId="5">
    <w:abstractNumId w:val="1"/>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4"/>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4EA5606"/>
    <w:rsid w:val="02557C87"/>
    <w:rsid w:val="02921448"/>
    <w:rsid w:val="02D60658"/>
    <w:rsid w:val="04EA5606"/>
    <w:rsid w:val="0AA92AAA"/>
    <w:rsid w:val="0C375D35"/>
    <w:rsid w:val="0ED504F1"/>
    <w:rsid w:val="10BB33AB"/>
    <w:rsid w:val="16393BDB"/>
    <w:rsid w:val="1837038F"/>
    <w:rsid w:val="201B5C14"/>
    <w:rsid w:val="27A72484"/>
    <w:rsid w:val="29B719BF"/>
    <w:rsid w:val="2AB60981"/>
    <w:rsid w:val="2B577D1D"/>
    <w:rsid w:val="36465E0D"/>
    <w:rsid w:val="36C22E36"/>
    <w:rsid w:val="3C1D696F"/>
    <w:rsid w:val="3F94159C"/>
    <w:rsid w:val="46FB1ED1"/>
    <w:rsid w:val="48B05B59"/>
    <w:rsid w:val="4A421F20"/>
    <w:rsid w:val="4B7E5C76"/>
    <w:rsid w:val="51705511"/>
    <w:rsid w:val="53F00E9B"/>
    <w:rsid w:val="59914276"/>
    <w:rsid w:val="59BB5C10"/>
    <w:rsid w:val="5E9112BE"/>
    <w:rsid w:val="62851A54"/>
    <w:rsid w:val="6494748A"/>
    <w:rsid w:val="64FB6FD5"/>
    <w:rsid w:val="678C7D6C"/>
    <w:rsid w:val="6CDF30F3"/>
    <w:rsid w:val="70845005"/>
    <w:rsid w:val="71D917C0"/>
    <w:rsid w:val="738F6EF9"/>
    <w:rsid w:val="769D40DA"/>
    <w:rsid w:val="797806EF"/>
    <w:rsid w:val="7EAA2B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sz w:val="21"/>
      <w:szCs w:val="24"/>
      <w:lang w:val="en-US" w:eastAsia="zh-CN" w:bidi="ar-SA"/>
    </w:rPr>
  </w:style>
  <w:style w:type="paragraph" w:styleId="3">
    <w:name w:val="heading 1"/>
    <w:basedOn w:val="1"/>
    <w:next w:val="1"/>
    <w:qFormat/>
    <w:uiPriority w:val="0"/>
    <w:pPr>
      <w:keepNext/>
      <w:outlineLvl w:val="0"/>
    </w:pPr>
    <w:rPr>
      <w:rFonts w:ascii="楷体_GB2312" w:hAnsi="Times New Roman" w:eastAsia="楷体_GB2312"/>
      <w:sz w:val="28"/>
      <w:szCs w:val="20"/>
    </w:rPr>
  </w:style>
  <w:style w:type="paragraph" w:styleId="4">
    <w:name w:val="heading 2"/>
    <w:basedOn w:val="1"/>
    <w:next w:val="5"/>
    <w:qFormat/>
    <w:uiPriority w:val="0"/>
    <w:pPr>
      <w:keepNext/>
      <w:keepLines/>
      <w:spacing w:before="260" w:after="260" w:line="416" w:lineRule="auto"/>
      <w:jc w:val="center"/>
      <w:outlineLvl w:val="1"/>
    </w:pPr>
    <w:rPr>
      <w:rFonts w:ascii="Arial" w:hAnsi="Arial" w:eastAsia="幼圆"/>
      <w:b/>
      <w:sz w:val="44"/>
      <w:szCs w:val="20"/>
    </w:rPr>
  </w:style>
  <w:style w:type="character" w:default="1" w:styleId="18">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2">
    <w:name w:val="Body Text First Indent"/>
    <w:basedOn w:val="1"/>
    <w:qFormat/>
    <w:uiPriority w:val="0"/>
    <w:pPr>
      <w:spacing w:line="360" w:lineRule="auto"/>
      <w:ind w:firstLine="200" w:firstLineChars="200"/>
    </w:pPr>
    <w:rPr>
      <w:rFonts w:ascii="仿宋_GB2312" w:eastAsia="仿宋_GB2312"/>
      <w:sz w:val="30"/>
      <w:szCs w:val="30"/>
    </w:rPr>
  </w:style>
  <w:style w:type="paragraph" w:styleId="5">
    <w:name w:val="Normal Indent"/>
    <w:basedOn w:val="1"/>
    <w:qFormat/>
    <w:uiPriority w:val="0"/>
    <w:pPr>
      <w:ind w:firstLine="420"/>
    </w:pPr>
    <w:rPr>
      <w:rFonts w:ascii="Times New Roman" w:hAnsi="Times New Roman"/>
      <w:szCs w:val="20"/>
    </w:rPr>
  </w:style>
  <w:style w:type="paragraph" w:styleId="6">
    <w:name w:val="Body Text"/>
    <w:basedOn w:val="1"/>
    <w:qFormat/>
    <w:uiPriority w:val="0"/>
    <w:rPr>
      <w:rFonts w:ascii="楷体_GB2312" w:hAnsi="Arial" w:eastAsia="楷体_GB2312"/>
      <w:sz w:val="28"/>
      <w:szCs w:val="20"/>
    </w:rPr>
  </w:style>
  <w:style w:type="paragraph" w:styleId="7">
    <w:name w:val="Body Text Indent"/>
    <w:basedOn w:val="1"/>
    <w:qFormat/>
    <w:uiPriority w:val="0"/>
    <w:pPr>
      <w:ind w:firstLine="645"/>
    </w:pPr>
    <w:rPr>
      <w:rFonts w:ascii="楷体_GB2312" w:hAnsi="Times New Roman" w:eastAsia="楷体_GB2312"/>
      <w:sz w:val="32"/>
      <w:szCs w:val="20"/>
    </w:rPr>
  </w:style>
  <w:style w:type="paragraph" w:styleId="8">
    <w:name w:val="Block Text"/>
    <w:basedOn w:val="1"/>
    <w:qFormat/>
    <w:uiPriority w:val="0"/>
    <w:rPr>
      <w:rFonts w:eastAsia="微软雅黑"/>
    </w:rPr>
  </w:style>
  <w:style w:type="paragraph" w:styleId="9">
    <w:name w:val="Plain Text"/>
    <w:basedOn w:val="1"/>
    <w:next w:val="5"/>
    <w:qFormat/>
    <w:uiPriority w:val="99"/>
    <w:rPr>
      <w:rFonts w:ascii="宋体" w:hAnsi="Courier New"/>
      <w:szCs w:val="20"/>
    </w:rPr>
  </w:style>
  <w:style w:type="paragraph" w:styleId="10">
    <w:name w:val="footer"/>
    <w:basedOn w:val="1"/>
    <w:qFormat/>
    <w:uiPriority w:val="0"/>
    <w:pPr>
      <w:tabs>
        <w:tab w:val="center" w:pos="4153"/>
        <w:tab w:val="right" w:pos="8306"/>
      </w:tabs>
      <w:jc w:val="left"/>
    </w:pPr>
    <w:rPr>
      <w:rFonts w:ascii="Times New Roman" w:hAnsi="Times New Roman"/>
      <w:sz w:val="18"/>
      <w:szCs w:val="20"/>
    </w:rPr>
  </w:style>
  <w:style w:type="paragraph" w:styleId="11">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2">
    <w:name w:val="toc 1"/>
    <w:basedOn w:val="1"/>
    <w:next w:val="1"/>
    <w:qFormat/>
    <w:uiPriority w:val="39"/>
    <w:pPr>
      <w:tabs>
        <w:tab w:val="right" w:leader="dot" w:pos="9440"/>
      </w:tabs>
      <w:spacing w:before="120" w:after="120" w:line="300" w:lineRule="exact"/>
      <w:jc w:val="left"/>
    </w:pPr>
    <w:rPr>
      <w:rFonts w:ascii="黑体" w:hAnsi="Times New Roman" w:eastAsia="黑体"/>
      <w:b/>
      <w:caps/>
      <w:sz w:val="18"/>
      <w:szCs w:val="28"/>
    </w:rPr>
  </w:style>
  <w:style w:type="paragraph" w:styleId="13">
    <w:name w:val="Body Text 2"/>
    <w:basedOn w:val="1"/>
    <w:qFormat/>
    <w:uiPriority w:val="0"/>
    <w:pPr>
      <w:spacing w:after="120" w:line="480" w:lineRule="auto"/>
    </w:pPr>
  </w:style>
  <w:style w:type="paragraph" w:styleId="14">
    <w:name w:val="Title"/>
    <w:basedOn w:val="1"/>
    <w:next w:val="1"/>
    <w:qFormat/>
    <w:uiPriority w:val="0"/>
    <w:pPr>
      <w:spacing w:before="240" w:after="60"/>
      <w:jc w:val="center"/>
      <w:outlineLvl w:val="0"/>
    </w:pPr>
    <w:rPr>
      <w:rFonts w:ascii="等线 Light" w:hAnsi="等线 Light"/>
      <w:b/>
      <w:bCs/>
      <w:sz w:val="32"/>
      <w:szCs w:val="32"/>
    </w:rPr>
  </w:style>
  <w:style w:type="paragraph" w:styleId="15">
    <w:name w:val="Body Text First Indent 2"/>
    <w:basedOn w:val="7"/>
    <w:qFormat/>
    <w:uiPriority w:val="0"/>
    <w:pPr>
      <w:ind w:firstLine="420"/>
    </w:pPr>
    <w:rPr>
      <w:rFonts w:cs="宋体"/>
      <w:szCs w:val="21"/>
    </w:rPr>
  </w:style>
  <w:style w:type="table" w:styleId="17">
    <w:name w:val="Table Grid"/>
    <w:basedOn w:val="16"/>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9">
    <w:name w:val="page number"/>
    <w:qFormat/>
    <w:uiPriority w:val="0"/>
    <w:rPr>
      <w:rFonts w:ascii="Times New Roman" w:hAnsi="Times New Roman" w:eastAsia="宋体" w:cs="Times New Roman"/>
    </w:rPr>
  </w:style>
  <w:style w:type="character" w:styleId="20">
    <w:name w:val="Hyperlink"/>
    <w:qFormat/>
    <w:uiPriority w:val="99"/>
    <w:rPr>
      <w:rFonts w:ascii="Times New Roman" w:hAnsi="Times New Roman" w:eastAsia="宋体" w:cs="Times New Roman"/>
      <w:color w:val="0000FF"/>
      <w:u w:val="single"/>
    </w:rPr>
  </w:style>
  <w:style w:type="paragraph" w:customStyle="1" w:styleId="21">
    <w:name w:val="普通正文"/>
    <w:basedOn w:val="1"/>
    <w:qFormat/>
    <w:uiPriority w:val="0"/>
    <w:pPr>
      <w:adjustRightInd w:val="0"/>
      <w:spacing w:line="360" w:lineRule="auto"/>
      <w:ind w:firstLine="482" w:firstLineChars="200"/>
      <w:jc w:val="left"/>
      <w:textAlignment w:val="baseline"/>
    </w:pPr>
    <w:rPr>
      <w:rFonts w:ascii="Arial" w:hAnsi="Arial"/>
      <w:sz w:val="24"/>
    </w:rPr>
  </w:style>
  <w:style w:type="paragraph" w:customStyle="1" w:styleId="22">
    <w:name w:val="TOC 标题1"/>
    <w:basedOn w:val="3"/>
    <w:next w:val="1"/>
    <w:qFormat/>
    <w:uiPriority w:val="39"/>
    <w:pPr>
      <w:keepLines/>
      <w:widowControl/>
      <w:spacing w:before="240" w:line="259" w:lineRule="auto"/>
      <w:jc w:val="left"/>
      <w:outlineLvl w:val="9"/>
    </w:pPr>
    <w:rPr>
      <w:rFonts w:ascii="等线 Light" w:hAnsi="等线 Light" w:eastAsia="等线 Light"/>
      <w:color w:val="2F5496"/>
      <w:sz w:val="32"/>
      <w:szCs w:val="32"/>
    </w:rPr>
  </w:style>
  <w:style w:type="paragraph" w:customStyle="1" w:styleId="23">
    <w:name w:val="目录 31"/>
    <w:basedOn w:val="1"/>
    <w:next w:val="1"/>
    <w:qFormat/>
    <w:uiPriority w:val="0"/>
    <w:pPr>
      <w:ind w:left="840"/>
    </w:pPr>
    <w:rPr>
      <w:lang w:eastAsia="en-US"/>
    </w:rPr>
  </w:style>
  <w:style w:type="paragraph" w:customStyle="1" w:styleId="24">
    <w:name w:val="标题 31"/>
    <w:basedOn w:val="1"/>
    <w:next w:val="1"/>
    <w:qFormat/>
    <w:uiPriority w:val="0"/>
    <w:pPr>
      <w:keepNext/>
      <w:keepLines/>
      <w:spacing w:before="260" w:after="260" w:line="413" w:lineRule="auto"/>
      <w:outlineLvl w:val="2"/>
    </w:pPr>
    <w:rPr>
      <w:b/>
      <w:sz w:val="32"/>
      <w:szCs w:val="20"/>
    </w:rPr>
  </w:style>
  <w:style w:type="paragraph" w:customStyle="1" w:styleId="25">
    <w:name w:val="正文文本首行缩进1"/>
    <w:next w:val="26"/>
    <w:qFormat/>
    <w:uiPriority w:val="0"/>
    <w:pPr>
      <w:widowControl w:val="0"/>
      <w:spacing w:after="120"/>
      <w:ind w:firstLine="420"/>
      <w:jc w:val="both"/>
    </w:pPr>
    <w:rPr>
      <w:rFonts w:ascii="Times New Roman" w:hAnsi="Times New Roman" w:eastAsia="宋体" w:cs="Times New Roman"/>
      <w:sz w:val="21"/>
      <w:szCs w:val="24"/>
      <w:lang w:val="en-US" w:eastAsia="zh-CN" w:bidi="ar-SA"/>
    </w:rPr>
  </w:style>
  <w:style w:type="paragraph" w:customStyle="1" w:styleId="26">
    <w:name w:val="正文缩进11"/>
    <w:basedOn w:val="1"/>
    <w:next w:val="1"/>
    <w:qFormat/>
    <w:uiPriority w:val="0"/>
    <w:pPr>
      <w:ind w:firstLine="420"/>
      <w:jc w:val="left"/>
    </w:pPr>
    <w:rPr>
      <w:rFonts w:eastAsia="楷体_GB2312"/>
      <w:sz w:val="24"/>
      <w:lang w:eastAsia="en-US"/>
    </w:rPr>
  </w:style>
  <w:style w:type="paragraph" w:customStyle="1" w:styleId="27">
    <w:name w:val="sh4"/>
    <w:basedOn w:val="1"/>
    <w:qFormat/>
    <w:uiPriority w:val="0"/>
    <w:pPr>
      <w:spacing w:line="460" w:lineRule="exact"/>
      <w:ind w:firstLine="420"/>
    </w:pPr>
    <w:rPr>
      <w:rFonts w:ascii="宋体" w:hAnsi="宋体"/>
      <w:szCs w:val="21"/>
      <w:lang w:eastAsia="en-US"/>
    </w:rPr>
  </w:style>
  <w:style w:type="paragraph" w:customStyle="1" w:styleId="28">
    <w:name w:val="段"/>
    <w:next w:val="1"/>
    <w:qFormat/>
    <w:uiPriority w:val="0"/>
    <w:pPr>
      <w:autoSpaceDE w:val="0"/>
      <w:autoSpaceDN w:val="0"/>
      <w:ind w:firstLine="200"/>
      <w:jc w:val="both"/>
    </w:pPr>
    <w:rPr>
      <w:rFonts w:ascii="宋体" w:hAnsi="Times New Roman" w:eastAsia="宋体" w:cs="Times New Roman"/>
      <w:sz w:val="21"/>
      <w:szCs w:val="22"/>
      <w:lang w:val="en-US" w:eastAsia="zh-CN" w:bidi="ar-SA"/>
    </w:rPr>
  </w:style>
  <w:style w:type="paragraph" w:customStyle="1" w:styleId="29">
    <w:name w:val="Char"/>
    <w:basedOn w:val="1"/>
    <w:qFormat/>
    <w:uiPriority w:val="0"/>
    <w:pPr>
      <w:tabs>
        <w:tab w:val="left" w:pos="360"/>
      </w:tabs>
    </w:pPr>
    <w:rPr>
      <w:rFonts w:ascii="Times New Roman" w:hAnsi="Times New Roman"/>
      <w:sz w:val="24"/>
    </w:rPr>
  </w:style>
  <w:style w:type="paragraph" w:customStyle="1" w:styleId="30">
    <w:name w:val="二级目录"/>
    <w:next w:val="1"/>
    <w:qFormat/>
    <w:uiPriority w:val="99"/>
    <w:pPr>
      <w:tabs>
        <w:tab w:val="left" w:pos="720"/>
      </w:tabs>
      <w:ind w:left="567" w:hanging="567"/>
    </w:pPr>
    <w:rPr>
      <w:rFonts w:ascii="Times New Roman" w:hAnsi="Times New Roman" w:eastAsia="宋体" w:cs="Times New Roman"/>
      <w:b/>
      <w:kern w:val="2"/>
      <w:sz w:val="30"/>
      <w:szCs w:val="28"/>
      <w:lang w:val="en-US" w:eastAsia="zh-CN" w:bidi="ar-SA"/>
    </w:rPr>
  </w:style>
  <w:style w:type="paragraph" w:customStyle="1" w:styleId="31">
    <w:name w:val="简单回函地址"/>
    <w:basedOn w:val="1"/>
    <w:qFormat/>
    <w:uiPriority w:val="0"/>
    <w:rPr>
      <w:rFonts w:ascii="Times New Roman" w:hAnsi="Times New Roman" w:cs="宋体"/>
      <w:szCs w:val="21"/>
    </w:rPr>
  </w:style>
  <w:style w:type="paragraph" w:customStyle="1" w:styleId="32">
    <w:name w:val="索引 41"/>
    <w:basedOn w:val="1"/>
    <w:next w:val="1"/>
    <w:qFormat/>
    <w:uiPriority w:val="0"/>
    <w:pPr>
      <w:ind w:left="1260"/>
    </w:pPr>
  </w:style>
  <w:style w:type="paragraph" w:customStyle="1" w:styleId="33">
    <w:name w:val="普通(网站)1"/>
    <w:basedOn w:val="1"/>
    <w:qFormat/>
    <w:uiPriority w:val="0"/>
    <w:pPr>
      <w:spacing w:before="100" w:beforeAutospacing="1" w:after="100" w:afterAutospacing="1"/>
      <w:jc w:val="left"/>
    </w:pPr>
    <w:rPr>
      <w:sz w:val="24"/>
      <w:lang w:eastAsia="en-US"/>
    </w:rPr>
  </w:style>
  <w:style w:type="paragraph" w:customStyle="1" w:styleId="34">
    <w:name w:val="页脚11"/>
    <w:basedOn w:val="1"/>
    <w:qFormat/>
    <w:uiPriority w:val="0"/>
    <w:pPr>
      <w:tabs>
        <w:tab w:val="center" w:pos="4153"/>
        <w:tab w:val="right" w:pos="8306"/>
      </w:tabs>
      <w:jc w:val="left"/>
    </w:pPr>
    <w:rPr>
      <w:sz w:val="18"/>
      <w:szCs w:val="18"/>
      <w:lang w:eastAsia="en-US"/>
    </w:rPr>
  </w:style>
  <w:style w:type="paragraph" w:styleId="35">
    <w:name w:val="List Paragraph"/>
    <w:basedOn w:val="1"/>
    <w:qFormat/>
    <w:uiPriority w:val="34"/>
    <w:pPr>
      <w:ind w:firstLine="420"/>
    </w:p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56</Pages>
  <Words>22038</Words>
  <Characters>22964</Characters>
  <Lines>0</Lines>
  <Paragraphs>0</Paragraphs>
  <TotalTime>58</TotalTime>
  <ScaleCrop>false</ScaleCrop>
  <LinksUpToDate>false</LinksUpToDate>
  <CharactersWithSpaces>23512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2026-08-09T10:14:00Z</dcterms:created>
  <dc:creator>歪点羊子</dc:creator>
  <cp:lastModifiedBy>歪点羊子</cp:lastModifiedBy>
  <dcterms:modified xsi:type="dcterms:W3CDTF">2026-08-12T08:55:04Z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F57BEB2A7A2E4D0899C49672B81EFF2C_11</vt:lpwstr>
  </property>
  <property fmtid="{D5CDD505-2E9C-101B-9397-08002B2CF9AE}" pid="4" name="KSOTemplateDocerSaveRecord">
    <vt:lpwstr>eyJoZGlkIjoiNjZjY2E1ZjhjOTY5ZWM3MTZlNzk1NGExOWYyZDJkYTEiLCJ1c2VySWQiOiIyODkwODU3NTEifQ==</vt:lpwstr>
  </property>
</Properties>
</file>