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spacing w:before="120" w:beforeAutospacing="0" w:after="120" w:afterAutospacing="0" w:line="360" w:lineRule="auto"/>
      </w:pPr>
      <w:r>
        <w:t xml:space="preserve"> </w:t>
      </w:r>
      <w:r/>
    </w:p>
    <w:p>
      <w:pPr>
        <w:pStyle w:val="755"/>
        <w:jc w:val="center"/>
        <w:spacing w:before="120" w:beforeAutospacing="0" w:after="120" w:afterAutospacing="0" w:line="360" w:lineRule="auto"/>
        <w:rPr>
          <w:rFonts w:hint="eastAsia" w:ascii="方正小标宋_GBK" w:hAnsi="方正小标宋_GBK" w:eastAsia="方正小标宋_GBK" w:cs="方正小标宋_GBK"/>
          <w:bCs/>
          <w:color w:val="000000"/>
          <w:sz w:val="84"/>
          <w:szCs w:val="84"/>
        </w:rPr>
      </w:pPr>
      <w:r>
        <w:rPr>
          <w:rFonts w:hint="eastAsia" w:ascii="方正小标宋_GBK" w:hAnsi="方正小标宋_GBK" w:eastAsia="方正小标宋_GBK" w:cs="方正小标宋_GBK"/>
          <w:bCs/>
          <w:color w:val="000000"/>
          <w:sz w:val="84"/>
          <w:szCs w:val="84"/>
        </w:rPr>
      </w:r>
      <w:r/>
    </w:p>
    <w:p>
      <w:pPr>
        <w:pStyle w:val="755"/>
        <w:jc w:val="center"/>
        <w:spacing w:before="120" w:beforeAutospacing="0" w:after="120" w:afterAutospacing="0" w:line="360" w:lineRule="auto"/>
        <w:rPr>
          <w:rFonts w:hint="eastAsia" w:ascii="方正小标宋_GBK" w:hAnsi="方正小标宋_GBK" w:eastAsia="方正小标宋_GBK" w:cs="方正小标宋_GBK"/>
          <w:bCs/>
          <w:sz w:val="84"/>
          <w:szCs w:val="84"/>
        </w:rPr>
      </w:pPr>
      <w:r>
        <w:rPr>
          <w:rFonts w:hint="eastAsia" w:ascii="Arial" w:hAnsi="Arial" w:eastAsia="宋体" w:cs="Arial"/>
          <w:b/>
          <w:bCs/>
          <w:color w:val="000000"/>
          <w:sz w:val="96"/>
          <w:szCs w:val="96"/>
        </w:rPr>
        <w:t xml:space="preserve">招 标 文 件</w:t>
      </w:r>
      <w:r/>
    </w:p>
    <w:p>
      <w:pPr>
        <w:pStyle w:val="755"/>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55"/>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55"/>
        <w:jc w:val="center"/>
        <w:spacing w:before="120" w:beforeAutospacing="0" w:after="120" w:afterAutospacing="0" w:line="360" w:lineRule="auto"/>
        <w:rPr>
          <w:rFonts w:eastAsia="宋体"/>
        </w:rPr>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w:t>
      </w:r>
      <w:r>
        <w:rPr>
          <w:rFonts w:hint="eastAsia" w:ascii="Arial" w:hAnsi="Arial" w:eastAsia="宋体" w:cs="Arial"/>
          <w:b/>
          <w:color w:val="000000"/>
          <w:sz w:val="32"/>
          <w:szCs w:val="32"/>
        </w:rPr>
        <w:t xml:space="preserve">第四人民医院智慧处方点评系统项目</w:t>
      </w:r>
      <w:r/>
    </w:p>
    <w:p>
      <w:pPr>
        <w:pStyle w:val="755"/>
        <w:jc w:val="both"/>
        <w:spacing w:beforeAutospacing="0" w:afterAutospacing="0"/>
        <w:rPr>
          <w:rFonts w:ascii="Times New Roman" w:hAnsi="Times New Roman"/>
          <w:b/>
          <w:color w:val="000000"/>
          <w:sz w:val="32"/>
          <w:szCs w:val="32"/>
        </w:rPr>
      </w:pPr>
      <w:r>
        <w:rPr>
          <w:rFonts w:ascii="Times New Roman" w:hAnsi="Times New Roman"/>
          <w:b/>
          <w:color w:val="000000"/>
          <w:sz w:val="32"/>
          <w:szCs w:val="32"/>
        </w:rPr>
      </w:r>
      <w:r/>
    </w:p>
    <w:p>
      <w:pPr>
        <w:pStyle w:val="755"/>
        <w:jc w:val="center"/>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JSZC-320900-JZCG-G2026-0054</w:t>
      </w:r>
      <w:r/>
    </w:p>
    <w:p>
      <w:pPr>
        <w:pStyle w:val="755"/>
        <w:spacing w:beforeAutospacing="0" w:afterAutospacing="0" w:line="360" w:lineRule="auto"/>
      </w:pPr>
      <w:r>
        <w:t xml:space="preserve"> </w:t>
      </w:r>
      <w:r/>
    </w:p>
    <w:p>
      <w:pPr>
        <w:pStyle w:val="755"/>
        <w:spacing w:beforeAutospacing="0" w:afterAutospacing="0" w:line="360" w:lineRule="auto"/>
      </w:pPr>
      <w:r>
        <w:t xml:space="preserve"> </w:t>
      </w:r>
      <w:r/>
    </w:p>
    <w:p>
      <w:pPr>
        <w:pStyle w:val="755"/>
        <w:spacing w:beforeAutospacing="0" w:afterAutospacing="0" w:line="360" w:lineRule="auto"/>
      </w:pPr>
      <w:r>
        <w:t xml:space="preserve"> </w:t>
      </w:r>
      <w:r/>
    </w:p>
    <w:p>
      <w:pPr>
        <w:pStyle w:val="755"/>
        <w:spacing w:beforeAutospacing="0" w:afterAutospacing="0" w:line="360" w:lineRule="auto"/>
      </w:pPr>
      <w:r>
        <w:t xml:space="preserve"> </w:t>
      </w:r>
      <w:r/>
    </w:p>
    <w:p>
      <w:pPr>
        <w:pStyle w:val="755"/>
        <w:spacing w:beforeAutospacing="0" w:afterAutospacing="0" w:line="360" w:lineRule="auto"/>
      </w:pPr>
      <w:r>
        <w:t xml:space="preserve"> </w:t>
      </w:r>
      <w:r/>
    </w:p>
    <w:p>
      <w:pPr>
        <w:pStyle w:val="755"/>
        <w:jc w:val="center"/>
        <w:spacing w:before="120" w:beforeAutospacing="0" w:after="120" w:afterAutospacing="0" w:line="360" w:lineRule="auto"/>
        <w:rPr>
          <w:rFonts w:ascii="Times New Roman" w:hAnsi="Times New Roman"/>
        </w:rPr>
      </w:pPr>
      <w:r>
        <w:t xml:space="preserve"> </w:t>
      </w:r>
      <w:r>
        <w:rPr>
          <w:rFonts w:hint="eastAsia" w:eastAsia="宋体"/>
        </w:rPr>
        <w:t xml:space="preserve">   </w:t>
      </w:r>
      <w:r>
        <w:rPr>
          <w:rFonts w:hint="eastAsia" w:ascii="黑体" w:hAnsi="Times New Roman" w:eastAsia="黑体" w:cs="黑体"/>
          <w:bCs/>
          <w:color w:val="000000"/>
          <w:sz w:val="32"/>
          <w:szCs w:val="32"/>
        </w:rPr>
        <w:t xml:space="preserve">盐城市第四人民医院                                                    2026年8月</w:t>
      </w:r>
      <w:r/>
    </w:p>
    <w:p>
      <w:pPr>
        <w:pStyle w:val="755"/>
        <w:spacing w:before="120" w:beforeAutospacing="0" w:after="120" w:afterAutospacing="0" w:line="360" w:lineRule="auto"/>
      </w:pPr>
      <w:r>
        <w:rPr>
          <w:rFonts w:ascii="Arial" w:hAnsi="Arial" w:cs="Arial"/>
          <w:color w:val="000000"/>
        </w:rPr>
        <w:t xml:space="preserve"> </w:t>
      </w:r>
      <w:r>
        <w:t xml:space="preserve"> </w:t>
      </w:r>
      <w:r/>
    </w:p>
    <w:p>
      <w:pPr>
        <w:pStyle w:val="755"/>
        <w:jc w:val="center"/>
        <w:spacing w:beforeAutospacing="0" w:afterAutospacing="0" w:line="480" w:lineRule="auto"/>
      </w:pPr>
      <w:r>
        <w:rPr>
          <w:rFonts w:ascii="Times New Roman" w:hAnsi="Times New Roman"/>
          <w:color w:val="000000"/>
          <w:sz w:val="21"/>
          <w:szCs w:val="21"/>
        </w:rPr>
        <w:br w:type="page" w:clear="all"/>
      </w:r>
      <w:r/>
    </w:p>
    <w:p>
      <w:pPr>
        <w:jc w:val="center"/>
        <w:rPr>
          <w:rFonts w:ascii="黑体" w:hAnsi="Times New Roman" w:eastAsia="黑体" w:cs="黑体"/>
          <w:bCs/>
          <w:color w:val="000000"/>
          <w:sz w:val="44"/>
        </w:rPr>
      </w:pPr>
      <w:r>
        <w:rPr>
          <w:rFonts w:ascii="黑体" w:hAnsi="Times New Roman" w:eastAsia="黑体" w:cs="黑体"/>
          <w:bCs/>
          <w:color w:val="000000"/>
          <w:sz w:val="44"/>
        </w:rPr>
      </w:r>
      <w:r/>
    </w:p>
    <w:p>
      <w:pPr>
        <w:jc w:val="center"/>
        <w:rPr>
          <w:rFonts w:ascii="黑体" w:hAnsi="Times New Roman" w:eastAsia="黑体" w:cs="黑体"/>
          <w:bCs/>
          <w:color w:val="000000"/>
          <w:sz w:val="44"/>
        </w:rPr>
      </w:pPr>
      <w:r>
        <w:rPr>
          <w:rFonts w:hint="eastAsia" w:ascii="黑体" w:hAnsi="Times New Roman" w:eastAsia="黑体" w:cs="黑体"/>
          <w:bCs/>
          <w:color w:val="000000"/>
          <w:sz w:val="44"/>
        </w:rPr>
        <w:t xml:space="preserve">总  目  录</w:t>
      </w:r>
      <w:r/>
    </w:p>
    <w:p>
      <w:pPr>
        <w:jc w:val="center"/>
        <w:rPr>
          <w:rFonts w:ascii="黑体" w:hAnsi="Times New Roman" w:eastAsia="黑体" w:cs="黑体"/>
          <w:bCs/>
          <w:color w:val="000000"/>
          <w:sz w:val="44"/>
        </w:rPr>
      </w:pPr>
      <w:r>
        <w:rPr>
          <w:rFonts w:ascii="黑体" w:hAnsi="Times New Roman" w:eastAsia="黑体" w:cs="黑体"/>
          <w:bCs/>
          <w:color w:val="000000"/>
          <w:sz w:val="44"/>
        </w:rPr>
      </w:r>
      <w:r/>
    </w:p>
    <w:p>
      <w:pPr>
        <w:numPr>
          <w:ilvl w:val="0"/>
          <w:numId w:val="1"/>
        </w:num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 招标公告……………………………3</w:t>
      </w:r>
      <w:r/>
    </w:p>
    <w:p>
      <w:pPr>
        <w:numPr>
          <w:ilvl w:val="0"/>
          <w:numId w:val="1"/>
        </w:num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 投标人须知…………………………7</w:t>
      </w:r>
      <w:r>
        <w:rPr>
          <w:rFonts w:hint="eastAsia" w:ascii="黑体" w:hAnsi="Times New Roman" w:eastAsia="黑体" w:cs="Times New Roman"/>
          <w:color w:val="000000"/>
          <w:sz w:val="36"/>
          <w:lang w:val="en-US" w:eastAsia="zh-CN"/>
        </w:rPr>
      </w:r>
      <w:r/>
    </w:p>
    <w:p>
      <w:pPr>
        <w:numPr>
          <w:ilvl w:val="0"/>
          <w:numId w:val="1"/>
        </w:num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 合同文本……………………………25</w:t>
      </w:r>
      <w:r>
        <w:rPr>
          <w:rFonts w:hint="eastAsia" w:ascii="黑体" w:hAnsi="Times New Roman" w:eastAsia="黑体" w:cs="Times New Roman"/>
          <w:color w:val="000000"/>
          <w:sz w:val="36"/>
          <w:lang w:val="en-US" w:eastAsia="zh-CN"/>
        </w:rPr>
      </w:r>
      <w:r/>
    </w:p>
    <w:p>
      <w:pPr>
        <w:numPr>
          <w:ilvl w:val="0"/>
          <w:numId w:val="1"/>
        </w:numPr>
        <w:ind w:left="1856" w:hanging="1018"/>
        <w:spacing w:line="560" w:lineRule="exact"/>
        <w:rPr>
          <w:rFonts w:hint="eastAsia" w:ascii="黑体" w:hAnsi="Times New Roman" w:eastAsia="黑体" w:cs="Times New Roman"/>
          <w:color w:val="000000"/>
          <w:sz w:val="36"/>
          <w:lang w:val="en-US" w:eastAsia="zh-CN"/>
        </w:rPr>
        <w:outlineLvl w:val="0"/>
      </w:pPr>
      <w:r>
        <w:rPr>
          <w:rFonts w:hint="eastAsia" w:ascii="黑体" w:hAnsi="Times New Roman" w:eastAsia="黑体" w:cs="Times New Roman"/>
          <w:color w:val="000000"/>
          <w:sz w:val="36"/>
        </w:rPr>
        <w:t xml:space="preserve"> 采购需求……………………………</w:t>
      </w:r>
      <w:r>
        <w:rPr>
          <w:rFonts w:hint="eastAsia" w:ascii="黑体" w:hAnsi="Times New Roman" w:eastAsia="黑体" w:cs="Times New Roman"/>
          <w:color w:val="000000"/>
          <w:sz w:val="36"/>
          <w:lang w:val="en-US" w:eastAsia="zh-CN"/>
        </w:rPr>
        <w:t xml:space="preserve">30</w:t>
      </w:r>
      <w:r/>
    </w:p>
    <w:p>
      <w:pPr>
        <w:numPr>
          <w:ilvl w:val="0"/>
          <w:numId w:val="1"/>
        </w:numPr>
        <w:ind w:left="1856" w:hanging="1018"/>
        <w:spacing w:line="560" w:lineRule="exact"/>
        <w:rPr>
          <w:rFonts w:hint="default" w:ascii="黑体" w:hAnsi="Times New Roman" w:eastAsia="黑体" w:cs="Times New Roman"/>
          <w:color w:val="000000"/>
          <w:sz w:val="36"/>
          <w:lang w:val="en-US" w:eastAsia="zh-CN"/>
        </w:rPr>
        <w:outlineLvl w:val="0"/>
      </w:pPr>
      <w:r>
        <w:rPr>
          <w:rFonts w:hint="eastAsia" w:ascii="黑体" w:hAnsi="Times New Roman" w:eastAsia="黑体" w:cs="Times New Roman"/>
          <w:color w:val="000000"/>
          <w:sz w:val="36"/>
          <w:lang w:val="en-US" w:eastAsia="zh-CN"/>
        </w:rPr>
        <w:t xml:space="preserve"> </w:t>
      </w:r>
      <w:r>
        <w:rPr>
          <w:rFonts w:hint="eastAsia" w:ascii="黑体" w:hAnsi="Times New Roman" w:eastAsia="黑体" w:cs="Times New Roman"/>
          <w:color w:val="000000"/>
          <w:sz w:val="36"/>
        </w:rPr>
        <w:t xml:space="preserve">评标方法与评标标准………………</w:t>
      </w:r>
      <w:r>
        <w:rPr>
          <w:rFonts w:hint="eastAsia" w:ascii="黑体" w:hAnsi="Times New Roman" w:eastAsia="黑体" w:cs="Times New Roman"/>
          <w:color w:val="000000"/>
          <w:sz w:val="36"/>
          <w:lang w:val="en-US" w:eastAsia="zh-CN"/>
        </w:rPr>
        <w:t xml:space="preserve">49</w:t>
      </w:r>
      <w:r/>
    </w:p>
    <w:p>
      <w:pPr>
        <w:ind w:left="1856" w:hanging="1018"/>
        <w:spacing w:line="560" w:lineRule="exact"/>
        <w:rPr>
          <w:rFonts w:hint="default" w:ascii="黑体" w:hAnsi="Times New Roman" w:eastAsia="黑体" w:cs="Times New Roman"/>
          <w:color w:val="000000"/>
          <w:sz w:val="36"/>
          <w:lang w:val="en-US" w:eastAsia="zh-CN"/>
        </w:rPr>
        <w:outlineLvl w:val="0"/>
      </w:pPr>
      <w:r>
        <w:rPr>
          <w:rFonts w:hint="eastAsia" w:ascii="黑体" w:hAnsi="Times New Roman" w:eastAsia="黑体" w:cs="Times New Roman"/>
          <w:color w:val="000000"/>
          <w:sz w:val="36"/>
        </w:rPr>
        <w:t xml:space="preserve">第六章  投标文件格式………………………</w:t>
      </w:r>
      <w:r>
        <w:rPr>
          <w:rFonts w:hint="eastAsia" w:ascii="黑体" w:hAnsi="Times New Roman" w:eastAsia="黑体" w:cs="Times New Roman"/>
          <w:color w:val="000000"/>
          <w:sz w:val="36"/>
          <w:lang w:val="en-US" w:eastAsia="zh-CN"/>
        </w:rPr>
        <w:t xml:space="preserve">55</w:t>
      </w:r>
      <w:r/>
    </w:p>
    <w:p>
      <w:pPr>
        <w:pStyle w:val="75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55"/>
        <w:jc w:val="center"/>
        <w:keepLines/>
        <w:keepNext/>
        <w:spacing w:before="260" w:beforeAutospacing="0" w:after="260" w:afterAutospacing="0" w:line="560" w:lineRule="exact"/>
        <w:rPr>
          <w:rFonts w:hint="eastAsia" w:ascii="黑体" w:hAnsi="宋体" w:eastAsia="黑体" w:cs="黑体"/>
          <w:color w:val="000000"/>
          <w:sz w:val="44"/>
          <w:szCs w:val="44"/>
        </w:rPr>
      </w:pPr>
      <w:r>
        <w:rPr>
          <w:rFonts w:hint="eastAsia" w:ascii="黑体" w:hAnsi="宋体" w:eastAsia="黑体" w:cs="黑体"/>
          <w:bCs/>
          <w:color w:val="000000"/>
          <w:sz w:val="44"/>
          <w:szCs w:val="44"/>
        </w:rPr>
        <w:t xml:space="preserve">第一章 招标公告</w:t>
      </w:r>
      <w:r/>
    </w:p>
    <w:p>
      <w:pPr>
        <w:ind w:firstLine="482"/>
        <w:jc w:val="left"/>
        <w:spacing w:line="560" w:lineRule="exact"/>
        <w:widowControl/>
        <w:rPr>
          <w:rFonts w:hint="eastAsia" w:ascii="宋体" w:hAnsi="宋体" w:eastAsia="宋体" w:cs="宋体"/>
          <w:color w:val="000000"/>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000000"/>
          <w:sz w:val="24"/>
          <w:szCs w:val="20"/>
        </w:rPr>
        <w:t xml:space="preserve">项目概况</w:t>
      </w:r>
      <w:r/>
    </w:p>
    <w:p>
      <w:pPr>
        <w:ind w:firstLine="482"/>
        <w:jc w:val="left"/>
        <w:spacing w:line="560" w:lineRule="exact"/>
        <w:widowControl/>
        <w:rPr>
          <w:rFonts w:hint="eastAsia" w:ascii="宋体" w:hAnsi="宋体" w:eastAsia="宋体" w:cs="宋体"/>
          <w:color w:val="000000"/>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000000"/>
          <w:sz w:val="24"/>
          <w:szCs w:val="20"/>
        </w:rPr>
        <w:t xml:space="preserve">盐城市第四人民医院智慧处方点评系统项目JSZC-320900-JZCG-G2026-0054的潜在投标人应在“苏采云”系统内免费下载（投标人必须在苏采云系统中获取采购文件，方能参与政府采购项目），并于2026年9月18日9点30分（北京时间）前递交投标文件。</w:t>
      </w:r>
      <w:r/>
    </w:p>
    <w:p>
      <w:pPr>
        <w:ind w:firstLine="482"/>
        <w:jc w:val="left"/>
        <w:spacing w:line="560" w:lineRule="exact"/>
        <w:widowControl/>
        <w:rPr>
          <w:rFonts w:hint="eastAsia" w:ascii="宋体" w:hAnsi="宋体" w:eastAsia="宋体" w:cs="宋体"/>
          <w:b/>
          <w:bCs/>
          <w:color w:val="000000"/>
          <w:sz w:val="24"/>
          <w:szCs w:val="20"/>
        </w:rPr>
      </w:pPr>
      <w:r/>
      <w:bookmarkStart w:id="0" w:name="_Toc28359079"/>
      <w:r/>
      <w:bookmarkStart w:id="1" w:name="_Toc28359002"/>
      <w:r/>
      <w:bookmarkStart w:id="2" w:name="_Toc38985263"/>
      <w:r/>
      <w:bookmarkStart w:id="3" w:name="_Toc35393621"/>
      <w:r/>
      <w:bookmarkStart w:id="4" w:name="_Hlk24379207"/>
      <w:r/>
      <w:bookmarkStart w:id="5" w:name="_Toc35393790"/>
      <w:r>
        <w:rPr>
          <w:rFonts w:hint="eastAsia" w:ascii="宋体" w:hAnsi="宋体" w:eastAsia="宋体" w:cs="宋体"/>
          <w:b/>
          <w:bCs/>
          <w:color w:val="000000"/>
          <w:sz w:val="24"/>
          <w:szCs w:val="20"/>
        </w:rPr>
        <w:t xml:space="preserve">一、项目基本情况</w:t>
      </w:r>
      <w:bookmarkEnd w:id="0"/>
      <w:r/>
      <w:bookmarkEnd w:id="1"/>
      <w:r/>
      <w:bookmarkEnd w:id="2"/>
      <w:r/>
      <w:bookmarkEnd w:id="3"/>
      <w:r/>
      <w:bookmarkEnd w:id="4"/>
      <w:r/>
      <w:bookmarkEnd w:id="5"/>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1.项目编号：JSZC-320900-JZCG-G2026-0054</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2.项目名称：盐城市第四人民医院智慧处方点评系统项目</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4.预算金额：20万元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5.最高限价：20万元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采购需求：处方点评系统的开发、部署、运维及相关技术服务，并包含一套用于系统宣传推广的配套网站。系统面向门急诊与住院处方（医嘱）的回顾性点评，采用规则校验与人工智能辅助相结合的方式，在药师主导下提升点评质量与效率。（详细内容见本招标文件第四章采购需求）</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7.合同履行期限：二年。</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hint="eastAsia" w:ascii="宋体" w:hAnsi="宋体" w:eastAsia="宋体" w:cs="宋体"/>
          <w:b/>
          <w:bCs/>
          <w:color w:val="000000"/>
          <w:sz w:val="24"/>
          <w:szCs w:val="20"/>
        </w:rPr>
      </w:pPr>
      <w:r/>
      <w:bookmarkStart w:id="6" w:name="_Toc28359003"/>
      <w:r/>
      <w:bookmarkStart w:id="7" w:name="_Toc38985264"/>
      <w:r/>
      <w:bookmarkStart w:id="8" w:name="_Toc28359080"/>
      <w:r/>
      <w:bookmarkStart w:id="9" w:name="_Toc35393791"/>
      <w:r/>
      <w:bookmarkStart w:id="10" w:name="_Toc35393622"/>
      <w:r>
        <w:rPr>
          <w:rFonts w:hint="eastAsia" w:ascii="宋体" w:hAnsi="宋体" w:eastAsia="宋体" w:cs="宋体"/>
          <w:b/>
          <w:bCs/>
          <w:color w:val="000000"/>
          <w:sz w:val="24"/>
          <w:szCs w:val="20"/>
        </w:rPr>
        <w:t xml:space="preserve">二、申请人的资格要求：</w:t>
      </w:r>
      <w:bookmarkEnd w:id="6"/>
      <w:r/>
      <w:bookmarkEnd w:id="7"/>
      <w:r/>
      <w:bookmarkEnd w:id="8"/>
      <w:r/>
      <w:bookmarkEnd w:id="9"/>
      <w:r/>
      <w:bookmarkEnd w:id="10"/>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1.1法人或者其他组织的营业执照等证明文件，自然人的身份证明；</w:t>
      </w: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0"/>
        </w:rPr>
        <w:t xml:space="preserve">1.2</w:t>
      </w:r>
      <w:r>
        <w:rPr>
          <w:rFonts w:hint="eastAsia" w:ascii="宋体" w:hAnsi="宋体" w:eastAsia="宋体" w:cs="宋体"/>
          <w:color w:val="000000"/>
          <w:sz w:val="24"/>
          <w:szCs w:val="20"/>
          <w:lang w:val="en-US" w:eastAsia="zh-CN"/>
        </w:rPr>
        <w:t xml:space="preserve">上一</w:t>
      </w:r>
      <w:r>
        <w:rPr>
          <w:rFonts w:hint="eastAsia" w:ascii="宋体" w:hAnsi="宋体" w:eastAsia="宋体" w:cs="宋体"/>
          <w:color w:val="000000"/>
          <w:sz w:val="24"/>
          <w:szCs w:val="24"/>
        </w:rPr>
        <w:t xml:space="preserve">年度的财务状况报告（成立不满一年无需提供）</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1.3具</w:t>
      </w:r>
      <w:r>
        <w:rPr>
          <w:rFonts w:hint="eastAsia" w:ascii="宋体" w:hAnsi="宋体" w:eastAsia="宋体" w:cs="宋体"/>
          <w:color w:val="000000"/>
          <w:sz w:val="24"/>
          <w:szCs w:val="24"/>
        </w:rPr>
        <w:t xml:space="preserve">备履行合同所必需的设备和专业技术能力的书面声明；            </w:t>
      </w:r>
      <w:r>
        <w:rPr>
          <w:rFonts w:hint="eastAsia" w:ascii="宋体" w:hAnsi="宋体" w:eastAsia="宋体" w:cs="宋体"/>
          <w:color w:val="000000"/>
          <w:sz w:val="24"/>
          <w:szCs w:val="24"/>
          <w14:ligatures w14:val="none"/>
        </w:rPr>
      </w:r>
      <w:r>
        <w:rPr>
          <w:rFonts w:hint="eastAsia" w:ascii="宋体" w:hAnsi="宋体" w:eastAsia="宋体" w:cs="宋体"/>
          <w:color w:val="000000"/>
          <w:sz w:val="24"/>
          <w:szCs w:val="24"/>
        </w:rP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14:ligatures w14:val="none"/>
        </w:rP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1.4依法缴纳税收和社</w:t>
      </w:r>
      <w:r>
        <w:rPr>
          <w:rFonts w:hint="eastAsia" w:ascii="宋体" w:hAnsi="宋体" w:eastAsia="宋体" w:cs="宋体"/>
          <w:color w:val="000000"/>
          <w:sz w:val="24"/>
          <w:szCs w:val="24"/>
        </w:rPr>
        <w:t xml:space="preserve">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14:ligatures w14:val="none"/>
        </w:rPr>
      </w: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1.5参加政府采购活动前3年内在经营活动中没有重大违法记录的书面声明。</w:t>
      </w:r>
      <w:r>
        <w:rPr>
          <w:rFonts w:hint="eastAsia" w:ascii="宋体" w:hAnsi="宋体" w:eastAsia="宋体" w:cs="宋体"/>
          <w:color w:val="000000"/>
          <w:sz w:val="24"/>
          <w:szCs w:val="24"/>
        </w:rP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4"/>
        </w:rPr>
        <w:t xml:space="preserve">1.6法律、行政法规规定的其他条件。</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w:t>
      </w:r>
      <w:r/>
    </w:p>
    <w:p>
      <w:pPr>
        <w:ind w:firstLine="482"/>
        <w:jc w:val="left"/>
        <w:spacing w:line="560" w:lineRule="exact"/>
        <w:widowControl/>
        <w:rPr>
          <w:rFonts w:hint="eastAsia" w:ascii="宋体" w:hAnsi="宋体" w:eastAsia="宋体" w:cs="宋体"/>
          <w:b/>
          <w:bCs/>
          <w:color w:val="000000"/>
          <w:sz w:val="24"/>
          <w:szCs w:val="20"/>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落实政府采购政策需满足的资格要求：</w:t>
      </w:r>
      <w:r>
        <w:rPr>
          <w:rFonts w:hint="eastAsia" w:ascii="宋体" w:hAnsi="宋体" w:eastAsia="宋体" w:cs="宋体"/>
          <w:b/>
          <w:bCs/>
          <w:color w:val="000000"/>
          <w:sz w:val="24"/>
          <w:szCs w:val="24"/>
        </w:rPr>
        <w:t xml:space="preserve">本项目专门面向中小企业采购。采购标的所属行业为软件和信息技术服务业，投标人需按照采购文件的要求提供相应的《中小企业声明函》，企业标准请参照《关于印发中小企业划分标准规定的通知》（工信部联企业【2011】300号）文件规定自行填写。</w:t>
      </w: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3.本项目的特定资格要求：无</w:t>
      </w:r>
      <w:r>
        <w:rPr>
          <w:rFonts w:hint="eastAsia" w:ascii="宋体" w:hAnsi="宋体" w:eastAsia="宋体" w:cs="宋体"/>
          <w:color w:val="000000"/>
          <w:sz w:val="24"/>
          <w:szCs w:val="24"/>
        </w:rPr>
      </w:r>
      <w:r/>
    </w:p>
    <w:p>
      <w:pPr>
        <w:ind w:firstLine="482"/>
        <w:jc w:val="left"/>
        <w:spacing w:line="560" w:lineRule="exact"/>
        <w:widowControl/>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rPr>
        <w:t xml:space="preserve">三、获取招标文件</w:t>
      </w:r>
      <w:r>
        <w:rPr>
          <w:rFonts w:hint="eastAsia" w:ascii="宋体" w:hAnsi="宋体" w:eastAsia="宋体" w:cs="宋体"/>
          <w:b/>
          <w:bCs/>
          <w:color w:val="000000"/>
          <w:sz w:val="24"/>
          <w:szCs w:val="24"/>
        </w:rPr>
      </w: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r>
      <w:bookmarkStart w:id="11" w:name="_Toc35393793"/>
      <w:r>
        <w:rPr>
          <w:rFonts w:hint="eastAsia" w:ascii="宋体" w:hAnsi="宋体" w:eastAsia="宋体" w:cs="宋体"/>
          <w:color w:val="000000"/>
          <w:sz w:val="24"/>
          <w:szCs w:val="24"/>
        </w:rPr>
      </w:r>
      <w:bookmarkStart w:id="12" w:name="_Toc28359005"/>
      <w:r>
        <w:rPr>
          <w:rFonts w:hint="eastAsia" w:ascii="宋体" w:hAnsi="宋体" w:eastAsia="宋体" w:cs="宋体"/>
          <w:color w:val="000000"/>
          <w:sz w:val="24"/>
          <w:szCs w:val="24"/>
        </w:rPr>
      </w:r>
      <w:bookmarkStart w:id="13" w:name="_Toc38985266"/>
      <w:r>
        <w:rPr>
          <w:rFonts w:hint="eastAsia" w:ascii="宋体" w:hAnsi="宋体" w:eastAsia="宋体" w:cs="宋体"/>
          <w:color w:val="000000"/>
          <w:sz w:val="24"/>
          <w:szCs w:val="24"/>
        </w:rPr>
      </w:r>
      <w:bookmarkStart w:id="14" w:name="_Toc35393624"/>
      <w:r>
        <w:rPr>
          <w:rFonts w:hint="eastAsia" w:ascii="宋体" w:hAnsi="宋体" w:eastAsia="宋体" w:cs="宋体"/>
          <w:color w:val="000000"/>
          <w:sz w:val="24"/>
          <w:szCs w:val="24"/>
        </w:rPr>
      </w:r>
      <w:bookmarkStart w:id="15" w:name="_Toc28359082"/>
      <w:r>
        <w:rPr>
          <w:rFonts w:hint="eastAsia" w:ascii="宋体" w:hAnsi="宋体" w:eastAsia="宋体" w:cs="宋体"/>
          <w:color w:val="000000"/>
          <w:sz w:val="24"/>
          <w:szCs w:val="24"/>
        </w:rPr>
        <w:t xml:space="preserve">1.时间：</w:t>
      </w:r>
      <w:bookmarkEnd w:id="11"/>
      <w:r>
        <w:rPr>
          <w:rFonts w:hint="eastAsia" w:ascii="宋体" w:hAnsi="宋体" w:eastAsia="宋体" w:cs="宋体"/>
          <w:color w:val="000000"/>
          <w:sz w:val="24"/>
          <w:szCs w:val="24"/>
        </w:rPr>
      </w:r>
      <w:bookmarkEnd w:id="12"/>
      <w:r>
        <w:rPr>
          <w:rFonts w:hint="eastAsia" w:ascii="宋体" w:hAnsi="宋体" w:eastAsia="宋体" w:cs="宋体"/>
          <w:color w:val="000000"/>
          <w:sz w:val="24"/>
          <w:szCs w:val="24"/>
        </w:rPr>
      </w:r>
      <w:bookmarkEnd w:id="13"/>
      <w:r>
        <w:rPr>
          <w:rFonts w:hint="eastAsia" w:ascii="宋体" w:hAnsi="宋体" w:eastAsia="宋体" w:cs="宋体"/>
          <w:color w:val="000000"/>
          <w:sz w:val="24"/>
          <w:szCs w:val="24"/>
        </w:rPr>
      </w:r>
      <w:bookmarkEnd w:id="14"/>
      <w:r>
        <w:rPr>
          <w:rFonts w:hint="eastAsia" w:ascii="宋体" w:hAnsi="宋体" w:eastAsia="宋体" w:cs="宋体"/>
          <w:color w:val="000000"/>
          <w:sz w:val="24"/>
          <w:szCs w:val="24"/>
        </w:rPr>
      </w:r>
      <w:bookmarkEnd w:id="15"/>
      <w:r>
        <w:rPr>
          <w:rFonts w:hint="eastAsia" w:ascii="宋体" w:hAnsi="宋体" w:eastAsia="宋体" w:cs="宋体"/>
          <w:color w:val="000000"/>
          <w:sz w:val="24"/>
          <w:szCs w:val="24"/>
        </w:rPr>
        <w:t xml:space="preserve">自招标文件公告发布之日起5个工作日。</w:t>
      </w:r>
      <w:r>
        <w:rPr>
          <w:rFonts w:hint="eastAsia" w:ascii="宋体" w:hAnsi="宋体" w:eastAsia="宋体" w:cs="宋体"/>
          <w:color w:val="000000"/>
          <w:sz w:val="24"/>
          <w:szCs w:val="24"/>
        </w:rPr>
      </w: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2.地点：“苏采云”系统内免费下载（投标人必须在苏采云系统中获取采购文件，方能参与政府采购项目）；</w:t>
      </w:r>
      <w:r>
        <w:rPr>
          <w:rFonts w:hint="eastAsia" w:ascii="宋体" w:hAnsi="宋体" w:eastAsia="宋体" w:cs="宋体"/>
          <w:color w:val="000000"/>
          <w:sz w:val="24"/>
          <w:szCs w:val="24"/>
        </w:rPr>
      </w: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3.方式：本项目采用网上注册登记方式。 </w:t>
      </w:r>
      <w:r>
        <w:rPr>
          <w:rFonts w:hint="eastAsia" w:ascii="宋体" w:hAnsi="宋体" w:eastAsia="宋体" w:cs="宋体"/>
          <w:color w:val="000000"/>
          <w:sz w:val="24"/>
          <w:szCs w:val="24"/>
        </w:rPr>
      </w:r>
      <w:r/>
    </w:p>
    <w:p>
      <w:pPr>
        <w:ind w:firstLine="482"/>
        <w:jc w:val="left"/>
        <w:spacing w:line="56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4.售价：0元</w:t>
      </w:r>
      <w:r>
        <w:rPr>
          <w:rFonts w:hint="eastAsia" w:ascii="宋体" w:hAnsi="宋体" w:eastAsia="宋体" w:cs="宋体"/>
          <w:color w:val="000000"/>
          <w:sz w:val="24"/>
          <w:szCs w:val="24"/>
        </w:rPr>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四、提交投标文件截止时间、开标时间和地点</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1.时间：2026年9月18日9点30分（北京时间）</w:t>
      </w:r>
      <w:r/>
    </w:p>
    <w:p>
      <w:pPr>
        <w:ind w:firstLine="482"/>
        <w:jc w:val="left"/>
        <w:spacing w:line="5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0"/>
        </w:rPr>
        <w:t xml:space="preserve">2.地点：苏采云“不见面”开标大厅。</w:t>
      </w:r>
      <w:r>
        <w:rPr>
          <w:rFonts w:hint="eastAsia" w:ascii="宋体" w:hAnsi="宋体" w:eastAsia="宋体" w:cs="宋体"/>
          <w:color w:val="000000"/>
          <w:sz w:val="24"/>
          <w:szCs w:val="20"/>
        </w:rPr>
      </w:r>
    </w:p>
    <w:p>
      <w:pPr>
        <w:ind w:firstLine="0"/>
        <w:jc w:val="left"/>
        <w:spacing w:line="5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0"/>
        </w:rPr>
        <w:t xml:space="preserve">    </w:t>
      </w:r>
      <w:r/>
      <w:bookmarkStart w:id="16" w:name="_Toc35393794"/>
      <w:r/>
      <w:bookmarkStart w:id="17" w:name="_Toc38985267"/>
      <w:r/>
      <w:bookmarkStart w:id="18" w:name="_Toc28359084"/>
      <w:r/>
      <w:bookmarkStart w:id="19" w:name="_Toc35393625"/>
      <w:r/>
      <w:bookmarkStart w:id="20" w:name="_Toc28359007"/>
      <w:r>
        <w:rPr>
          <w:rFonts w:hint="eastAsia" w:ascii="宋体" w:hAnsi="Times New Roman" w:eastAsia="宋体" w:cs="宋体"/>
          <w:b/>
          <w:bCs/>
          <w:color w:val="000000"/>
          <w:sz w:val="24"/>
          <w:szCs w:val="20"/>
        </w:rPr>
        <w:t xml:space="preserve">五、公告期限</w:t>
      </w:r>
      <w:bookmarkEnd w:id="16"/>
      <w:r/>
      <w:bookmarkEnd w:id="17"/>
      <w:r/>
      <w:bookmarkEnd w:id="18"/>
      <w:r/>
      <w:bookmarkEnd w:id="19"/>
      <w:r/>
      <w:bookmarkEnd w:id="20"/>
      <w:r>
        <w:rPr>
          <w:rFonts w:hint="eastAsia" w:ascii="宋体" w:hAnsi="宋体" w:eastAsia="宋体" w:cs="宋体"/>
          <w:color w:val="000000"/>
          <w:sz w:val="24"/>
          <w:szCs w:val="20"/>
        </w:rPr>
      </w:r>
      <w:r/>
    </w:p>
    <w:p>
      <w:pPr>
        <w:ind w:firstLine="482"/>
        <w:jc w:val="left"/>
        <w:spacing w:line="560" w:lineRule="exact"/>
        <w:widowControl/>
        <w:rPr>
          <w:rFonts w:hint="eastAsia" w:ascii="宋体" w:hAnsi="宋体" w:eastAsia="宋体" w:cs="宋体"/>
          <w:color w:val="000000"/>
          <w:sz w:val="24"/>
          <w:szCs w:val="24"/>
          <w:shd w:val="clear" w:color="auto" w:fill="ffffff"/>
          <w14:ligatures w14:val="none"/>
        </w:rPr>
      </w:pPr>
      <w:r>
        <w:rPr>
          <w:rFonts w:hint="eastAsia" w:ascii="宋体" w:hAnsi="宋体" w:eastAsia="宋体" w:cs="宋体"/>
          <w:color w:val="000000"/>
          <w:sz w:val="24"/>
          <w:szCs w:val="24"/>
        </w:rPr>
      </w:r>
      <w:bookmarkStart w:id="21" w:name="_Toc38985268"/>
      <w:r>
        <w:rPr>
          <w:rFonts w:hint="eastAsia" w:ascii="宋体" w:hAnsi="宋体" w:eastAsia="宋体" w:cs="宋体"/>
          <w:color w:val="000000"/>
          <w:sz w:val="24"/>
          <w:szCs w:val="24"/>
        </w:rPr>
      </w:r>
      <w:bookmarkStart w:id="22" w:name="_Toc35393795"/>
      <w:r>
        <w:rPr>
          <w:rFonts w:hint="eastAsia" w:ascii="宋体" w:hAnsi="宋体" w:eastAsia="宋体" w:cs="宋体"/>
          <w:color w:val="000000"/>
          <w:sz w:val="24"/>
          <w:szCs w:val="24"/>
        </w:rPr>
      </w:r>
      <w:bookmarkStart w:id="23" w:name="_Toc35393626"/>
      <w:r>
        <w:rPr>
          <w:rFonts w:hint="eastAsia" w:ascii="宋体" w:hAnsi="宋体" w:eastAsia="宋体" w:cs="宋体"/>
          <w:color w:val="000000"/>
          <w:sz w:val="24"/>
          <w:szCs w:val="24"/>
        </w:rPr>
        <w:t xml:space="preserve">自本公告发布之日起5个工作日</w:t>
      </w:r>
      <w:bookmarkEnd w:id="21"/>
      <w:r>
        <w:rPr>
          <w:rFonts w:hint="eastAsia" w:ascii="宋体" w:hAnsi="宋体" w:eastAsia="宋体" w:cs="宋体"/>
          <w:color w:val="000000"/>
          <w:sz w:val="24"/>
          <w:szCs w:val="24"/>
        </w:rPr>
      </w:r>
      <w:bookmarkEnd w:id="22"/>
      <w:r>
        <w:rPr>
          <w:rFonts w:hint="eastAsia" w:ascii="宋体" w:hAnsi="宋体" w:eastAsia="宋体" w:cs="宋体"/>
          <w:color w:val="000000"/>
          <w:sz w:val="24"/>
          <w:szCs w:val="24"/>
        </w:rPr>
      </w:r>
      <w:bookmarkEnd w:id="23"/>
      <w:r>
        <w:rPr>
          <w:rFonts w:hint="eastAsia" w:ascii="宋体" w:hAnsi="宋体" w:eastAsia="宋体" w:cs="宋体"/>
          <w:color w:val="000000"/>
          <w:sz w:val="24"/>
          <w:szCs w:val="24"/>
        </w:rPr>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六、其他补充事宜</w:t>
      </w:r>
      <w:r/>
    </w:p>
    <w:p>
      <w:pPr>
        <w:ind w:firstLine="482"/>
        <w:jc w:val="left"/>
        <w:spacing w:line="560" w:lineRule="exact"/>
        <w:widowControl/>
        <w:rPr>
          <w:rFonts w:hint="eastAsia" w:ascii="宋体" w:hAnsi="宋体" w:eastAsia="宋体" w:cs="宋体"/>
          <w:color w:val="000000"/>
          <w:sz w:val="24"/>
          <w:szCs w:val="20"/>
        </w:rPr>
      </w:pPr>
      <w:r/>
      <w:bookmarkStart w:id="24" w:name="_Toc28359018"/>
      <w:r>
        <w:rPr>
          <w:rFonts w:hint="eastAsia" w:ascii="宋体" w:hAnsi="宋体" w:eastAsia="宋体" w:cs="宋体"/>
          <w:color w:val="000000"/>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contextualSpacing w:val="0"/>
        <w:ind w:left="0" w:firstLine="482"/>
        <w:jc w:val="left"/>
        <w:spacing w:line="560" w:lineRule="exact"/>
        <w:widowControl w:val="off"/>
        <w:rPr>
          <w:rFonts w:hint="eastAsia" w:ascii="宋体" w:hAnsi="宋体" w:eastAsia="宋体" w:cs="宋体"/>
          <w:color w:val="000000"/>
          <w:sz w:val="24"/>
          <w:szCs w:val="24"/>
          <w14:ligatures w14:val="none"/>
        </w:rPr>
        <w:suppressLineNumbers w:val="0"/>
      </w:pPr>
      <w:r>
        <w:rPr>
          <w:rFonts w:hint="eastAsia" w:ascii="宋体" w:hAnsi="宋体" w:eastAsia="宋体" w:cs="宋体"/>
          <w:color w:val="000000"/>
          <w:sz w:val="24"/>
          <w:szCs w:val="20"/>
        </w:rPr>
        <w:t xml:space="preserve">领取CA和办理电子签章（</w:t>
      </w:r>
      <w:r>
        <w:rPr>
          <w:rFonts w:hint="eastAsia" w:ascii="宋体" w:hAnsi="宋体" w:eastAsia="宋体" w:cs="宋体"/>
          <w:b/>
          <w:bCs/>
          <w:color w:val="000000"/>
          <w:sz w:val="24"/>
          <w:szCs w:val="20"/>
        </w:rPr>
        <w:t xml:space="preserve">请至盐城市府西路1号盐城市公共资源交易中心四楼大厅10号，11号窗口办理</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4"/>
        </w:rPr>
        <w:t xml:space="preserve">联系电话：15051556883，</w:t>
      </w:r>
      <w:r>
        <w:rPr>
          <w:rFonts w:hint="eastAsia" w:ascii="宋体" w:hAnsi="宋体" w:eastAsia="宋体" w:cs="宋体"/>
          <w:color w:val="000000"/>
          <w:sz w:val="24"/>
          <w:szCs w:val="24"/>
        </w:rPr>
        <w:t xml:space="preserve">办理邮箱：</w:t>
      </w:r>
      <w:r>
        <w:rPr>
          <w:rFonts w:hint="eastAsia" w:ascii="宋体" w:hAnsi="宋体" w:eastAsia="宋体" w:cs="宋体"/>
          <w:color w:val="000000"/>
          <w:sz w:val="24"/>
          <w:szCs w:val="24"/>
        </w:rPr>
        <w:t xml:space="preserve">yancheng@ideabank.net.cn，</w:t>
      </w:r>
      <w:r>
        <w:rPr>
          <w:rFonts w:hint="eastAsia" w:ascii="宋体" w:hAnsi="宋体" w:eastAsia="宋体" w:cs="宋体"/>
          <w:color w:val="000000"/>
          <w:sz w:val="24"/>
          <w:szCs w:val="24"/>
        </w:rPr>
        <w:t xml:space="preserve">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color w:val="000000"/>
          <w:sz w:val="24"/>
          <w:szCs w:val="24"/>
        </w:rPr>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 </w:t>
      </w:r>
      <w:r/>
    </w:p>
    <w:p>
      <w:pPr>
        <w:ind w:firstLine="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0"/>
        </w:rPr>
        <w:t xml:space="preserve">2.2 潜在投标人访问“苏采云”系统方法：江苏省政府采购网首页-“苏采云”链接。                                                               </w:t>
      </w:r>
      <w:r>
        <w:rPr>
          <w:rFonts w:hint="eastAsia" w:ascii="宋体" w:hAnsi="宋体" w:eastAsia="宋体" w:cs="宋体"/>
          <w:color w:val="000000"/>
          <w:sz w:val="24"/>
          <w:szCs w:val="24"/>
        </w:rPr>
      </w:r>
    </w:p>
    <w:p>
      <w:pPr>
        <w:ind w:firstLine="482"/>
        <w:jc w:val="left"/>
        <w:spacing w:line="5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0"/>
        </w:rPr>
      </w:r>
      <w:r>
        <w:rPr>
          <w:rFonts w:hint="eastAsia" w:ascii="宋体" w:hAnsi="宋体" w:eastAsia="宋体" w:cs="宋体"/>
          <w:color w:val="000000"/>
          <w:sz w:val="24"/>
          <w:szCs w:val="20"/>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rPr>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0"/>
        </w:rPr>
        <w:t xml:space="preserve">如潜在投标人未按上述要求操作，将自行承担所产生的风险。</w:t>
      </w:r>
      <w:r>
        <w:rPr>
          <w:rFonts w:hint="eastAsia" w:ascii="宋体" w:hAnsi="宋体" w:eastAsia="宋体" w:cs="宋体"/>
          <w:color w:val="000000"/>
          <w:sz w:val="24"/>
          <w:szCs w:val="20"/>
        </w:rPr>
      </w:r>
      <w:r/>
    </w:p>
    <w:p>
      <w:pPr>
        <w:ind w:firstLine="482"/>
        <w:jc w:val="left"/>
        <w:spacing w:line="5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0"/>
        </w:rPr>
      </w:r>
      <w:r>
        <w:rPr>
          <w:rFonts w:hint="eastAsia" w:ascii="宋体" w:hAnsi="宋体" w:eastAsia="宋体" w:cs="宋体"/>
          <w:color w:val="000000"/>
          <w:sz w:val="24"/>
          <w:szCs w:val="20"/>
        </w:rPr>
        <w:t xml:space="preserve">3.有关本次招标的事项若存在变动或修改，敬请及时关注盐城市政府采购中心在“中国政府采购网”、“江苏政府采购网”、“盐城市政府采购网”发布的更正公告。</w:t>
      </w:r>
      <w:r>
        <w:rPr>
          <w:rFonts w:hint="eastAsia" w:ascii="宋体" w:hAnsi="宋体" w:eastAsia="宋体" w:cs="宋体"/>
          <w:color w:val="000000"/>
          <w:sz w:val="24"/>
          <w:szCs w:val="20"/>
        </w:rPr>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4.本次招标不收取投标保证金，不收取质量保证金。</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七、对本次招标提出询问，请按以下方式联系。</w:t>
      </w:r>
      <w:bookmarkEnd w:id="24"/>
      <w:r/>
      <w:r/>
    </w:p>
    <w:p>
      <w:pPr>
        <w:pStyle w:val="755"/>
        <w:ind w:firstLine="560"/>
        <w:jc w:val="both"/>
        <w:spacing w:beforeAutospacing="0" w:afterAutospacing="0" w:line="560" w:lineRule="exact"/>
        <w:shd w:val="clear" w:color="auto" w:fill="ffffff"/>
        <w:widowControl/>
        <w:rPr>
          <w:rFonts w:hint="eastAsia" w:ascii="宋体" w:hAnsi="宋体" w:eastAsia="宋体" w:cs="宋体"/>
          <w:b/>
          <w:bCs/>
          <w:color w:val="333333"/>
          <w:shd w:val="clear" w:color="auto" w:fill="ffffff"/>
        </w:rPr>
      </w:pPr>
      <w:r/>
      <w:bookmarkStart w:id="25" w:name="_Toc28359009"/>
      <w:r>
        <w:rPr>
          <w:rFonts w:hint="eastAsia" w:ascii="宋体" w:hAnsi="宋体" w:eastAsia="宋体" w:cs="宋体"/>
          <w:b/>
          <w:bCs/>
          <w:color w:val="333333"/>
          <w:shd w:val="clear" w:color="auto" w:fill="ffffff"/>
        </w:rPr>
        <w:t xml:space="preserve">1.采购人信息</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称：盐城市第四人民医院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址：盐城市开放大道北路112号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人：万</w:t>
      </w:r>
      <w:r>
        <w:rPr>
          <w:rFonts w:hint="eastAsia" w:ascii="宋体" w:hAnsi="宋体" w:eastAsia="宋体" w:cs="宋体"/>
          <w:color w:val="000000"/>
          <w:sz w:val="24"/>
          <w:szCs w:val="20"/>
          <w:lang w:val="en-US" w:eastAsia="zh-CN"/>
        </w:rPr>
        <w:t xml:space="preserve">先生</w:t>
      </w:r>
      <w:r>
        <w:rPr>
          <w:rFonts w:hint="eastAsia" w:ascii="宋体" w:hAnsi="宋体" w:eastAsia="宋体" w:cs="宋体"/>
          <w:color w:val="000000"/>
          <w:sz w:val="24"/>
          <w:szCs w:val="20"/>
        </w:rPr>
        <w:t xml:space="preserve">      </w:t>
      </w:r>
      <w:r/>
    </w:p>
    <w:p>
      <w:pPr>
        <w:ind w:firstLine="482"/>
        <w:jc w:val="left"/>
        <w:spacing w:line="560" w:lineRule="exact"/>
        <w:widowControl/>
        <w:rPr>
          <w:rFonts w:hint="eastAsia" w:ascii="宋体" w:hAnsi="宋体" w:eastAsia="宋体" w:cs="宋体"/>
          <w:color w:val="333333"/>
          <w:sz w:val="24"/>
          <w:shd w:val="clear" w:color="auto" w:fill="ffffff"/>
        </w:rPr>
      </w:pPr>
      <w:r>
        <w:rPr>
          <w:rFonts w:hint="eastAsia" w:ascii="宋体" w:hAnsi="宋体" w:eastAsia="宋体" w:cs="宋体"/>
          <w:color w:val="000000"/>
          <w:sz w:val="24"/>
          <w:szCs w:val="20"/>
        </w:rPr>
        <w:t xml:space="preserve">联系方式：0515-68668917  </w:t>
      </w:r>
      <w:r>
        <w:rPr>
          <w:rFonts w:hint="eastAsia" w:ascii="宋体" w:hAnsi="宋体" w:eastAsia="宋体" w:cs="宋体"/>
          <w:color w:val="333333"/>
          <w:sz w:val="24"/>
          <w:shd w:val="clear" w:color="auto" w:fill="ffffff"/>
        </w:rPr>
        <w:t xml:space="preserve">    </w:t>
      </w:r>
      <w:r/>
    </w:p>
    <w:p>
      <w:pPr>
        <w:pStyle w:val="755"/>
        <w:ind w:firstLine="560"/>
        <w:jc w:val="both"/>
        <w:spacing w:beforeAutospacing="0" w:afterAutospacing="0" w:line="560" w:lineRule="exact"/>
        <w:shd w:val="clear" w:color="auto" w:fill="ffffff"/>
        <w:widowControl/>
        <w:rPr>
          <w:rFonts w:hint="eastAsia" w:ascii="宋体" w:hAnsi="宋体" w:eastAsia="宋体" w:cs="宋体"/>
          <w:b/>
          <w:bCs/>
          <w:color w:val="333333"/>
          <w:shd w:val="clear" w:color="auto" w:fill="ffffff"/>
        </w:rPr>
      </w:pPr>
      <w:r>
        <w:rPr>
          <w:rFonts w:hint="eastAsia" w:ascii="宋体" w:hAnsi="宋体" w:eastAsia="宋体" w:cs="宋体"/>
          <w:b/>
          <w:bCs/>
          <w:color w:val="333333"/>
          <w:shd w:val="clear" w:color="auto" w:fill="ffffff"/>
        </w:rPr>
        <w:t xml:space="preserve">2.采购代理机构信息</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称：盐城市政府采购中心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址：盐城市府西路1号市公共资源交易中心5楼</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人：顾女士</w:t>
      </w:r>
      <w:r>
        <w:rPr>
          <w:rFonts w:hint="eastAsia" w:ascii="宋体" w:hAnsi="宋体" w:eastAsia="宋体" w:cs="宋体"/>
          <w:color w:val="000000"/>
          <w:sz w:val="24"/>
          <w:szCs w:val="20"/>
        </w:rPr>
        <w:tab/>
      </w:r>
      <w:r>
        <w:rPr>
          <w:rFonts w:hint="eastAsia" w:ascii="宋体" w:hAnsi="宋体" w:eastAsia="宋体" w:cs="宋体"/>
          <w:color w:val="000000"/>
          <w:sz w:val="24"/>
          <w:szCs w:val="20"/>
        </w:rPr>
        <w:t xml:space="preserve">                    </w:t>
      </w:r>
      <w:r/>
    </w:p>
    <w:p>
      <w:pPr>
        <w:ind w:firstLine="482"/>
        <w:jc w:val="left"/>
        <w:spacing w:line="560" w:lineRule="exact"/>
        <w:widowControl/>
        <w:rPr>
          <w:rFonts w:hint="eastAsia" w:ascii="宋体" w:hAnsi="宋体" w:eastAsia="宋体" w:cs="宋体"/>
          <w:color w:val="333333"/>
          <w:sz w:val="24"/>
          <w:shd w:val="clear" w:color="auto" w:fill="ffffff"/>
        </w:rPr>
      </w:pPr>
      <w:r>
        <w:rPr>
          <w:rFonts w:hint="eastAsia" w:ascii="宋体" w:hAnsi="宋体" w:eastAsia="宋体" w:cs="宋体"/>
          <w:color w:val="000000"/>
          <w:sz w:val="24"/>
          <w:szCs w:val="20"/>
        </w:rPr>
        <w:t xml:space="preserve">联系方式：</w:t>
      </w:r>
      <w:bookmarkStart w:id="26" w:name="_Toc28359087"/>
      <w:r/>
      <w:bookmarkStart w:id="27" w:name="_Toc28359010"/>
      <w:r>
        <w:rPr>
          <w:rFonts w:hint="eastAsia" w:ascii="宋体" w:hAnsi="宋体" w:eastAsia="宋体" w:cs="宋体"/>
          <w:color w:val="000000"/>
          <w:sz w:val="24"/>
          <w:szCs w:val="20"/>
        </w:rPr>
        <w:t xml:space="preserve">0515-86665092 </w:t>
      </w:r>
      <w:r>
        <w:rPr>
          <w:rFonts w:hint="eastAsia" w:ascii="宋体" w:hAnsi="宋体" w:eastAsia="宋体" w:cs="宋体"/>
          <w:color w:val="333333"/>
          <w:sz w:val="24"/>
          <w:shd w:val="clear" w:color="auto" w:fill="ffffff"/>
        </w:rPr>
        <w:t xml:space="preserve">    </w:t>
      </w:r>
      <w:bookmarkEnd w:id="26"/>
      <w:r/>
      <w:bookmarkEnd w:id="27"/>
      <w:r>
        <w:rPr>
          <w:rFonts w:hint="eastAsia" w:ascii="宋体" w:hAnsi="宋体" w:eastAsia="宋体" w:cs="宋体"/>
          <w:color w:val="333333"/>
          <w:sz w:val="24"/>
          <w:shd w:val="clear" w:color="auto" w:fill="ffffff"/>
        </w:rPr>
        <w:t xml:space="preserve">            </w:t>
      </w:r>
      <w:r/>
    </w:p>
    <w:p>
      <w:pPr>
        <w:pStyle w:val="755"/>
        <w:ind w:firstLine="560"/>
        <w:jc w:val="both"/>
        <w:spacing w:beforeAutospacing="0" w:afterAutospacing="0" w:line="560" w:lineRule="exact"/>
        <w:shd w:val="clear" w:color="auto" w:fill="ffffff"/>
        <w:widowControl/>
        <w:rPr>
          <w:rFonts w:hint="eastAsia" w:ascii="宋体" w:hAnsi="宋体" w:eastAsia="宋体" w:cs="宋体"/>
          <w:b/>
          <w:bCs/>
          <w:color w:val="333333"/>
          <w:shd w:val="clear" w:color="auto" w:fill="ffffff"/>
        </w:rPr>
      </w:pPr>
      <w:r/>
      <w:bookmarkStart w:id="28" w:name="_Toc28359021"/>
      <w:r>
        <w:rPr>
          <w:rFonts w:hint="eastAsia" w:ascii="宋体" w:hAnsi="宋体" w:eastAsia="宋体" w:cs="宋体"/>
          <w:b/>
          <w:bCs/>
          <w:color w:val="333333"/>
          <w:shd w:val="clear" w:color="auto" w:fill="ffffff"/>
        </w:rPr>
        <w:t xml:space="preserve">3.</w:t>
      </w:r>
      <w:bookmarkEnd w:id="28"/>
      <w:r>
        <w:rPr>
          <w:rFonts w:hint="eastAsia" w:ascii="宋体" w:hAnsi="宋体" w:eastAsia="宋体" w:cs="宋体"/>
          <w:b/>
          <w:bCs/>
          <w:color w:val="333333"/>
          <w:shd w:val="clear" w:color="auto" w:fill="ffffff"/>
        </w:rPr>
        <w:t xml:space="preserve">项目联系方式</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人：顾女士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联系方式：0515-86665092 </w:t>
      </w:r>
      <w:r>
        <w:rPr>
          <w:rFonts w:hint="eastAsia" w:ascii="宋体" w:hAnsi="宋体" w:eastAsia="宋体" w:cs="宋体"/>
          <w:color w:val="333333"/>
          <w:sz w:val="24"/>
          <w:shd w:val="clear" w:color="auto" w:fill="ffffff"/>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p>
    <w:p>
      <w:pPr>
        <w:pStyle w:val="755"/>
        <w:jc w:val="center"/>
        <w:keepLines/>
        <w:keepNext/>
        <w:spacing w:before="260" w:beforeAutospacing="0" w:after="260" w:afterAutospacing="0" w:line="560" w:lineRule="exact"/>
        <w:rPr>
          <w:bCs/>
        </w:rPr>
      </w:pPr>
      <w:r/>
      <w:bookmarkStart w:id="29" w:name="_Toc120614211"/>
      <w:r>
        <w:rPr>
          <w:rFonts w:hint="eastAsia" w:ascii="黑体" w:hAnsi="宋体" w:eastAsia="黑体" w:cs="黑体"/>
          <w:bCs/>
          <w:color w:val="000000"/>
          <w:sz w:val="44"/>
          <w:szCs w:val="44"/>
        </w:rPr>
        <w:t xml:space="preserve">第二章 </w:t>
      </w:r>
      <w:bookmarkEnd w:id="29"/>
      <w:r/>
      <w:bookmarkStart w:id="30" w:name="_Toc16938518"/>
      <w:r/>
      <w:bookmarkStart w:id="31" w:name="_Toc120614213"/>
      <w:r/>
      <w:bookmarkStart w:id="32" w:name="_Toc513029202"/>
      <w:r/>
      <w:bookmarkStart w:id="33" w:name="_Toc20823274"/>
      <w:r>
        <w:rPr>
          <w:rFonts w:hint="eastAsia" w:ascii="黑体" w:hAnsi="宋体" w:eastAsia="黑体" w:cs="黑体"/>
          <w:bCs/>
          <w:color w:val="000000"/>
          <w:sz w:val="44"/>
          <w:szCs w:val="44"/>
        </w:rPr>
        <w:t xml:space="preserve">投标人须知</w:t>
      </w:r>
      <w:bookmarkEnd w:id="30"/>
      <w:r/>
      <w:bookmarkEnd w:id="31"/>
      <w:r/>
      <w:bookmarkEnd w:id="32"/>
      <w:r/>
      <w:bookmarkEnd w:id="33"/>
      <w:r/>
      <w:r/>
    </w:p>
    <w:p>
      <w:pPr>
        <w:ind w:firstLine="480"/>
        <w:jc w:val="left"/>
        <w:spacing w:line="560" w:lineRule="exact"/>
        <w:widowControl/>
        <w:rPr>
          <w:rFonts w:ascii="宋体" w:hAnsi="Times New Roman" w:eastAsia="Arial" w:cs="宋体"/>
          <w:b/>
          <w:bCs/>
          <w:color w:val="000000"/>
          <w:sz w:val="24"/>
          <w:szCs w:val="20"/>
          <w:lang w:val="zh-CN"/>
        </w:rPr>
      </w:pPr>
      <w:r/>
      <w:bookmarkStart w:id="34" w:name="_Toc513029203"/>
      <w:r/>
      <w:bookmarkStart w:id="35" w:name="_Toc120614214"/>
      <w:r/>
      <w:bookmarkStart w:id="36" w:name="_Toc20823275"/>
      <w:r/>
      <w:bookmarkStart w:id="37" w:name="_Toc16938519"/>
      <w:r>
        <w:rPr>
          <w:rFonts w:hint="eastAsia" w:ascii="宋体" w:hAnsi="Times New Roman" w:eastAsia="Arial" w:cs="宋体"/>
          <w:b/>
          <w:bCs/>
          <w:color w:val="000000"/>
          <w:sz w:val="24"/>
          <w:szCs w:val="20"/>
          <w:lang w:val="zh-CN"/>
        </w:rPr>
        <w:t xml:space="preserve">一、总则</w:t>
      </w:r>
      <w:bookmarkEnd w:id="34"/>
      <w:r/>
      <w:bookmarkEnd w:id="35"/>
      <w:r/>
      <w:bookmarkEnd w:id="36"/>
      <w:r/>
      <w:bookmarkEnd w:id="37"/>
      <w:r/>
      <w:r/>
    </w:p>
    <w:p>
      <w:pPr>
        <w:ind w:firstLine="480"/>
        <w:jc w:val="left"/>
        <w:spacing w:line="560" w:lineRule="exact"/>
        <w:widowControl/>
        <w:rPr>
          <w:rFonts w:ascii="宋体" w:hAnsi="Times New Roman" w:eastAsia="宋体" w:cs="宋体"/>
          <w:b/>
          <w:bCs/>
          <w:color w:val="000000"/>
          <w:sz w:val="24"/>
          <w:szCs w:val="20"/>
        </w:rPr>
      </w:pPr>
      <w:r/>
      <w:bookmarkStart w:id="38" w:name="_Toc16938520"/>
      <w:r/>
      <w:bookmarkStart w:id="39" w:name="_Toc513029204"/>
      <w:r/>
      <w:bookmarkStart w:id="40" w:name="_Toc20823276"/>
      <w:r/>
      <w:bookmarkStart w:id="41" w:name="_Toc458694821"/>
      <w:r/>
      <w:bookmarkStart w:id="42" w:name="_Hlt16619475"/>
      <w:r>
        <w:rPr>
          <w:rFonts w:hint="eastAsia" w:ascii="宋体" w:hAnsi="Times New Roman" w:eastAsia="宋体" w:cs="宋体"/>
          <w:b/>
          <w:bCs/>
          <w:color w:val="000000"/>
          <w:sz w:val="24"/>
          <w:szCs w:val="20"/>
        </w:rPr>
        <w:t xml:space="preserve">1</w:t>
      </w:r>
      <w:bookmarkEnd w:id="38"/>
      <w:r>
        <w:rPr>
          <w:rFonts w:hint="eastAsia" w:ascii="宋体" w:hAnsi="Times New Roman" w:eastAsia="宋体" w:cs="宋体"/>
          <w:b/>
          <w:bCs/>
          <w:color w:val="000000"/>
          <w:sz w:val="24"/>
          <w:szCs w:val="20"/>
        </w:rPr>
        <w:t xml:space="preserve">、招标方式</w:t>
      </w:r>
      <w:bookmarkEnd w:id="39"/>
      <w:r/>
      <w:bookmarkEnd w:id="40"/>
      <w:r/>
      <w:bookmarkEnd w:id="41"/>
      <w:r/>
      <w:r/>
    </w:p>
    <w:p>
      <w:pPr>
        <w:ind w:firstLine="482"/>
        <w:jc w:val="left"/>
        <w:spacing w:line="560" w:lineRule="exact"/>
        <w:widowControl/>
        <w:rPr>
          <w:rFonts w:ascii="宋体" w:hAnsi="Times New Roman" w:eastAsia="Arial" w:cs="宋体"/>
          <w:color w:val="000000"/>
          <w:sz w:val="24"/>
          <w:szCs w:val="20"/>
        </w:rPr>
      </w:pPr>
      <w:r>
        <w:rPr>
          <w:rFonts w:hint="eastAsia" w:ascii="宋体" w:hAnsi="Times New Roman" w:eastAsia="Arial" w:cs="宋体"/>
          <w:color w:val="000000"/>
          <w:sz w:val="24"/>
          <w:szCs w:val="20"/>
        </w:rPr>
        <w:t xml:space="preserve">1.1本次招标采取公开招标方式，本招标文件仅适用于招标公告中所述项目。</w:t>
      </w:r>
      <w:r/>
    </w:p>
    <w:p>
      <w:pPr>
        <w:ind w:firstLine="480"/>
        <w:jc w:val="left"/>
        <w:spacing w:line="560" w:lineRule="exact"/>
        <w:widowControl/>
        <w:rPr>
          <w:rFonts w:ascii="宋体" w:hAnsi="Times New Roman" w:eastAsia="宋体" w:cs="宋体"/>
          <w:b/>
          <w:bCs/>
          <w:color w:val="000000"/>
          <w:sz w:val="24"/>
          <w:szCs w:val="20"/>
        </w:rPr>
      </w:pPr>
      <w:r/>
      <w:bookmarkStart w:id="43" w:name="_Toc20823277"/>
      <w:r/>
      <w:bookmarkStart w:id="44" w:name="_Toc513029205"/>
      <w:r/>
      <w:bookmarkStart w:id="45" w:name="_Toc16938521"/>
      <w:r>
        <w:rPr>
          <w:rFonts w:hint="eastAsia" w:ascii="宋体" w:hAnsi="Times New Roman" w:eastAsia="宋体" w:cs="宋体"/>
          <w:b/>
          <w:bCs/>
          <w:color w:val="000000"/>
          <w:sz w:val="24"/>
          <w:szCs w:val="20"/>
        </w:rPr>
        <w:t xml:space="preserve">2、合格的投标人</w:t>
      </w:r>
      <w:bookmarkEnd w:id="43"/>
      <w:r/>
      <w:bookmarkEnd w:id="44"/>
      <w:r/>
      <w:bookmarkEnd w:id="45"/>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2.1满足招标公告中供应商的资格要求的规定。</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2.2满足本文件实质性要求和条件的规定。</w:t>
      </w:r>
      <w:r/>
    </w:p>
    <w:p>
      <w:pPr>
        <w:ind w:firstLine="480"/>
        <w:jc w:val="left"/>
        <w:spacing w:line="560" w:lineRule="exact"/>
        <w:widowControl/>
        <w:rPr>
          <w:rFonts w:ascii="宋体" w:hAnsi="Times New Roman" w:eastAsia="宋体" w:cs="宋体"/>
          <w:b/>
          <w:bCs/>
          <w:color w:val="000000"/>
          <w:sz w:val="24"/>
          <w:szCs w:val="20"/>
        </w:rPr>
      </w:pPr>
      <w:r/>
      <w:bookmarkStart w:id="46" w:name="_Toc20823278"/>
      <w:r/>
      <w:bookmarkStart w:id="47" w:name="_Toc16938522"/>
      <w:r/>
      <w:bookmarkStart w:id="48" w:name="_Toc513029206"/>
      <w:r/>
      <w:bookmarkStart w:id="49" w:name="_Toc462564067"/>
      <w:r/>
      <w:bookmarkStart w:id="50" w:name="_Toc513029207"/>
      <w:r/>
      <w:bookmarkStart w:id="51" w:name="_Toc16938523"/>
      <w:r/>
      <w:bookmarkStart w:id="52" w:name="_Toc20823279"/>
      <w:r>
        <w:rPr>
          <w:rFonts w:hint="eastAsia" w:ascii="宋体" w:hAnsi="Times New Roman" w:eastAsia="宋体" w:cs="宋体"/>
          <w:b/>
          <w:bCs/>
          <w:color w:val="000000"/>
          <w:sz w:val="24"/>
          <w:szCs w:val="20"/>
        </w:rPr>
        <w:t xml:space="preserve">3、适用法律</w:t>
      </w:r>
      <w:bookmarkEnd w:id="46"/>
      <w:r/>
      <w:bookmarkEnd w:id="47"/>
      <w:r/>
      <w:bookmarkEnd w:id="48"/>
      <w:r>
        <w:rPr>
          <w:rFonts w:hint="eastAsia" w:ascii="宋体" w:hAnsi="Times New Roman" w:eastAsia="宋体" w:cs="宋体"/>
          <w:b/>
          <w:bCs/>
          <w:color w:val="000000"/>
          <w:sz w:val="24"/>
          <w:szCs w:val="20"/>
        </w:rPr>
        <w:t xml:space="preserve">和标准</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3.1本次招标及由此产生的合同受中华人民共和国有关的法律法规制约和保护。</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 在本项目政府采购活动过程中，如果所执行的标准有更新的，按照最新标准执行。</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4、投标费用</w:t>
      </w:r>
      <w:bookmarkEnd w:id="49"/>
      <w:r/>
      <w:bookmarkEnd w:id="50"/>
      <w:r/>
      <w:bookmarkEnd w:id="51"/>
      <w:r/>
      <w:bookmarkEnd w:id="52"/>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4.1投标人应自行承担所有与参加投标有关的费用，无论投标过程中的做法和结果如何，盐城市政府采购中心（以下简称采购中心）在任何情况下均无义务和责任承担这些费用。</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4.2本次招标采购中心和采购人不收取标书工本费与中标服务费。</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5、招标文件的约束力</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ind w:firstLine="480"/>
        <w:jc w:val="left"/>
        <w:spacing w:line="560" w:lineRule="exact"/>
        <w:widowControl/>
        <w:rPr>
          <w:rFonts w:ascii="宋体" w:hAnsi="Times New Roman" w:eastAsia="Arial" w:cs="宋体"/>
          <w:b/>
          <w:bCs/>
          <w:color w:val="000000"/>
          <w:sz w:val="24"/>
          <w:szCs w:val="20"/>
          <w:lang w:val="zh-CN"/>
        </w:rPr>
      </w:pPr>
      <w:r/>
      <w:bookmarkStart w:id="53" w:name="_Toc513029209"/>
      <w:r/>
      <w:bookmarkStart w:id="54" w:name="_Toc120614215"/>
      <w:r/>
      <w:bookmarkStart w:id="55" w:name="_Toc20823281"/>
      <w:r/>
      <w:bookmarkStart w:id="56" w:name="_Toc16938525"/>
      <w:r>
        <w:rPr>
          <w:rFonts w:hint="eastAsia" w:ascii="宋体" w:hAnsi="Times New Roman" w:eastAsia="Arial" w:cs="宋体"/>
          <w:b/>
          <w:bCs/>
          <w:color w:val="000000"/>
          <w:sz w:val="24"/>
          <w:szCs w:val="20"/>
          <w:lang w:val="zh-CN"/>
        </w:rPr>
        <w:t xml:space="preserve">二、招标文件</w:t>
      </w:r>
      <w:bookmarkEnd w:id="53"/>
      <w:r/>
      <w:bookmarkEnd w:id="54"/>
      <w:r/>
      <w:bookmarkEnd w:id="55"/>
      <w:r/>
      <w:bookmarkEnd w:id="56"/>
      <w:r/>
      <w:r/>
    </w:p>
    <w:p>
      <w:pPr>
        <w:ind w:firstLine="480"/>
        <w:jc w:val="left"/>
        <w:spacing w:line="560" w:lineRule="exact"/>
        <w:widowControl/>
        <w:rPr>
          <w:rFonts w:ascii="宋体" w:hAnsi="Times New Roman" w:eastAsia="宋体" w:cs="宋体"/>
          <w:b/>
          <w:bCs/>
          <w:color w:val="000000"/>
          <w:sz w:val="24"/>
          <w:szCs w:val="20"/>
        </w:rPr>
      </w:pPr>
      <w:r/>
      <w:bookmarkStart w:id="57" w:name="_Toc513029210"/>
      <w:r/>
      <w:bookmarkStart w:id="58" w:name="_Toc20823282"/>
      <w:r/>
      <w:bookmarkStart w:id="59" w:name="_Toc16938526"/>
      <w:r>
        <w:rPr>
          <w:rFonts w:hint="eastAsia" w:ascii="宋体" w:hAnsi="Times New Roman" w:eastAsia="宋体" w:cs="宋体"/>
          <w:b/>
          <w:bCs/>
          <w:color w:val="000000"/>
          <w:sz w:val="24"/>
          <w:szCs w:val="20"/>
        </w:rPr>
        <w:t xml:space="preserve">6、招标文件构成</w:t>
      </w:r>
      <w:bookmarkEnd w:id="57"/>
      <w:r/>
      <w:bookmarkEnd w:id="58"/>
      <w:r/>
      <w:bookmarkEnd w:id="59"/>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755"/>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（1）招标公告</w:t>
      </w:r>
      <w:r/>
    </w:p>
    <w:p>
      <w:pPr>
        <w:pStyle w:val="755"/>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（2）投标人须知</w:t>
      </w:r>
      <w:r/>
    </w:p>
    <w:p>
      <w:pPr>
        <w:pStyle w:val="755"/>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（3）合同文本</w:t>
      </w:r>
      <w:r/>
    </w:p>
    <w:p>
      <w:pPr>
        <w:pStyle w:val="755"/>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（4）采购需求</w:t>
      </w:r>
      <w:r/>
    </w:p>
    <w:p>
      <w:pPr>
        <w:pStyle w:val="755"/>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（5）评标方法与评标标准</w:t>
      </w:r>
      <w:r/>
    </w:p>
    <w:p>
      <w:pPr>
        <w:pStyle w:val="755"/>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（6）投标文件格式</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请仔细检查招标文件是否齐全，如有缺漏请立即与采购中心联系解决。</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widowControl/>
        <w:rPr>
          <w:rFonts w:ascii="宋体" w:hAnsi="Times New Roman" w:eastAsia="宋体" w:cs="宋体"/>
          <w:b/>
          <w:bCs/>
          <w:color w:val="000000"/>
          <w:sz w:val="24"/>
          <w:szCs w:val="20"/>
        </w:rPr>
      </w:pPr>
      <w:r/>
      <w:bookmarkStart w:id="60" w:name="_Toc513029211"/>
      <w:r/>
      <w:bookmarkStart w:id="61" w:name="_Toc462564070"/>
      <w:r/>
      <w:bookmarkStart w:id="62" w:name="_Toc20823283"/>
      <w:r/>
      <w:bookmarkStart w:id="63" w:name="_Toc16938527"/>
      <w:r>
        <w:rPr>
          <w:rFonts w:hint="eastAsia" w:ascii="宋体" w:hAnsi="Times New Roman" w:eastAsia="宋体" w:cs="宋体"/>
          <w:b/>
          <w:bCs/>
          <w:color w:val="000000"/>
          <w:sz w:val="24"/>
          <w:szCs w:val="20"/>
        </w:rPr>
        <w:t xml:space="preserve">7、招标文件的澄清</w:t>
      </w:r>
      <w:bookmarkEnd w:id="60"/>
      <w:r/>
      <w:bookmarkEnd w:id="61"/>
      <w:r/>
      <w:bookmarkEnd w:id="62"/>
      <w:r/>
      <w:bookmarkEnd w:id="63"/>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ind w:firstLine="480"/>
        <w:jc w:val="left"/>
        <w:spacing w:line="560" w:lineRule="exact"/>
        <w:widowControl/>
        <w:rPr>
          <w:rFonts w:ascii="宋体" w:hAnsi="Times New Roman" w:eastAsia="宋体" w:cs="宋体"/>
          <w:b/>
          <w:bCs/>
          <w:color w:val="000000"/>
          <w:sz w:val="24"/>
          <w:szCs w:val="20"/>
        </w:rPr>
      </w:pPr>
      <w:r/>
      <w:bookmarkStart w:id="64" w:name="_Toc20823284"/>
      <w:r/>
      <w:bookmarkStart w:id="65" w:name="_Toc16938528"/>
      <w:r/>
      <w:bookmarkStart w:id="66" w:name="_Toc462564071"/>
      <w:r/>
      <w:bookmarkStart w:id="67" w:name="_Toc513029212"/>
      <w:r>
        <w:rPr>
          <w:rFonts w:hint="eastAsia" w:ascii="宋体" w:hAnsi="Times New Roman" w:eastAsia="宋体" w:cs="宋体"/>
          <w:b/>
          <w:bCs/>
          <w:color w:val="000000"/>
          <w:sz w:val="24"/>
          <w:szCs w:val="20"/>
        </w:rPr>
        <w:t xml:space="preserve">8、招标文件的修改</w:t>
      </w:r>
      <w:bookmarkEnd w:id="64"/>
      <w:r/>
      <w:bookmarkEnd w:id="65"/>
      <w:r/>
      <w:bookmarkEnd w:id="66"/>
      <w:r/>
      <w:bookmarkEnd w:id="67"/>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8.1在投标截止时间前，采购中心可以对招标文件进行修改。</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8.2采购中心有权按照法定的要求推迟投标截止日期和开标日期。</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ind w:firstLine="480"/>
        <w:jc w:val="left"/>
        <w:spacing w:line="560" w:lineRule="exact"/>
        <w:widowControl/>
        <w:rPr>
          <w:rFonts w:ascii="宋体" w:hAnsi="Times New Roman" w:eastAsia="Arial" w:cs="宋体"/>
          <w:b/>
          <w:bCs/>
          <w:color w:val="000000"/>
          <w:sz w:val="24"/>
          <w:szCs w:val="20"/>
          <w:lang w:val="zh-CN"/>
        </w:rPr>
      </w:pPr>
      <w:r/>
      <w:bookmarkStart w:id="68" w:name="_Toc513029213"/>
      <w:r/>
      <w:bookmarkStart w:id="69" w:name="_Toc20823285"/>
      <w:r/>
      <w:bookmarkStart w:id="70" w:name="_Toc462564072"/>
      <w:r/>
      <w:bookmarkStart w:id="71" w:name="_Toc16938529"/>
      <w:r/>
      <w:bookmarkStart w:id="72" w:name="_Toc120614216"/>
      <w:r>
        <w:rPr>
          <w:rFonts w:hint="eastAsia" w:ascii="宋体" w:hAnsi="Times New Roman" w:eastAsia="Arial" w:cs="宋体"/>
          <w:b/>
          <w:bCs/>
          <w:color w:val="000000"/>
          <w:sz w:val="24"/>
          <w:szCs w:val="20"/>
          <w:lang w:val="zh-CN"/>
        </w:rPr>
        <w:t xml:space="preserve">三、投标文件的编制</w:t>
      </w:r>
      <w:bookmarkEnd w:id="68"/>
      <w:r/>
      <w:bookmarkEnd w:id="69"/>
      <w:r/>
      <w:bookmarkEnd w:id="70"/>
      <w:r/>
      <w:bookmarkEnd w:id="71"/>
      <w:r/>
      <w:bookmarkEnd w:id="72"/>
      <w:r/>
      <w:r/>
    </w:p>
    <w:p>
      <w:pPr>
        <w:ind w:firstLine="480"/>
        <w:jc w:val="left"/>
        <w:spacing w:line="560" w:lineRule="exact"/>
        <w:widowControl/>
        <w:rPr>
          <w:rFonts w:ascii="宋体" w:hAnsi="Times New Roman" w:eastAsia="宋体" w:cs="宋体"/>
          <w:b/>
          <w:bCs/>
          <w:color w:val="000000"/>
          <w:sz w:val="24"/>
          <w:szCs w:val="20"/>
        </w:rPr>
      </w:pPr>
      <w:r/>
      <w:bookmarkStart w:id="73" w:name="_Toc513029214"/>
      <w:r/>
      <w:bookmarkStart w:id="74" w:name="_Toc20823286"/>
      <w:r/>
      <w:bookmarkStart w:id="75" w:name="_Toc16938530"/>
      <w:r/>
      <w:bookmarkStart w:id="76" w:name="_Toc462564073"/>
      <w:r>
        <w:rPr>
          <w:rFonts w:hint="eastAsia" w:ascii="宋体" w:hAnsi="Times New Roman" w:eastAsia="宋体" w:cs="宋体"/>
          <w:b/>
          <w:bCs/>
          <w:color w:val="000000"/>
          <w:sz w:val="24"/>
          <w:szCs w:val="20"/>
        </w:rPr>
        <w:t xml:space="preserve">9、投标文件的语言及度量衡单位</w:t>
      </w:r>
      <w:bookmarkEnd w:id="73"/>
      <w:r/>
      <w:bookmarkEnd w:id="74"/>
      <w:r/>
      <w:bookmarkEnd w:id="75"/>
      <w:r/>
      <w:bookmarkEnd w:id="76"/>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ind w:firstLine="480"/>
        <w:jc w:val="left"/>
        <w:spacing w:line="560" w:lineRule="exact"/>
        <w:widowControl/>
        <w:rPr>
          <w:rFonts w:ascii="宋体" w:hAnsi="Times New Roman" w:eastAsia="宋体" w:cs="宋体"/>
          <w:b/>
          <w:bCs/>
          <w:color w:val="000000"/>
          <w:sz w:val="24"/>
          <w:szCs w:val="20"/>
        </w:rPr>
      </w:pPr>
      <w:r/>
      <w:bookmarkStart w:id="77" w:name="_Toc20823287"/>
      <w:r/>
      <w:bookmarkStart w:id="78" w:name="_Toc513029215"/>
      <w:r/>
      <w:bookmarkStart w:id="79" w:name="_Toc16938531"/>
      <w:r/>
      <w:bookmarkStart w:id="80" w:name="_Toc462564074"/>
      <w:r>
        <w:rPr>
          <w:rFonts w:hint="eastAsia" w:ascii="宋体" w:hAnsi="Times New Roman" w:eastAsia="宋体" w:cs="宋体"/>
          <w:b/>
          <w:bCs/>
          <w:color w:val="000000"/>
          <w:sz w:val="24"/>
          <w:szCs w:val="20"/>
        </w:rPr>
        <w:t xml:space="preserve">10、投标文件构成</w:t>
      </w:r>
      <w:bookmarkEnd w:id="77"/>
      <w:r/>
      <w:bookmarkEnd w:id="78"/>
      <w:r/>
      <w:bookmarkEnd w:id="79"/>
      <w:r/>
      <w:bookmarkEnd w:id="80"/>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000000"/>
        </w:rPr>
        <w:t xml:space="preserve">发布的招标文件不一致，请以</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000000"/>
        </w:rPr>
        <w:t xml:space="preserve">发布的招标文件为准。</w:t>
      </w:r>
      <w:r/>
    </w:p>
    <w:p>
      <w:pPr>
        <w:ind w:firstLine="480"/>
        <w:jc w:val="left"/>
        <w:spacing w:line="560" w:lineRule="exact"/>
        <w:widowControl/>
        <w:rPr>
          <w:rFonts w:ascii="宋体" w:hAnsi="Times New Roman" w:eastAsia="宋体" w:cs="宋体"/>
          <w:b/>
          <w:bCs/>
          <w:color w:val="000000"/>
          <w:sz w:val="24"/>
          <w:szCs w:val="20"/>
        </w:rPr>
      </w:pPr>
      <w:r/>
      <w:bookmarkStart w:id="81" w:name="_Toc513029216"/>
      <w:r/>
      <w:bookmarkStart w:id="82" w:name="_Toc14577354"/>
      <w:r/>
      <w:bookmarkStart w:id="83" w:name="_Toc513029219"/>
      <w:r/>
      <w:bookmarkStart w:id="84" w:name="_Toc49090507"/>
      <w:r/>
      <w:bookmarkStart w:id="85" w:name="_Toc49090509"/>
      <w:r/>
      <w:bookmarkStart w:id="86" w:name="_Toc14577357"/>
      <w:r/>
      <w:bookmarkStart w:id="87" w:name="_Hlt26954838"/>
      <w:r/>
      <w:bookmarkStart w:id="88" w:name="_Hlt26668975"/>
      <w:r/>
      <w:bookmarkStart w:id="89" w:name="_Hlt26670360"/>
      <w:r>
        <w:rPr>
          <w:rFonts w:hint="eastAsia" w:ascii="宋体" w:hAnsi="Times New Roman" w:eastAsia="宋体" w:cs="宋体"/>
          <w:b/>
          <w:bCs/>
          <w:color w:val="000000"/>
          <w:sz w:val="24"/>
          <w:szCs w:val="20"/>
        </w:rPr>
        <w:t xml:space="preserve">11、证明投标人及投标标的符合招标文件规定的文件</w:t>
      </w:r>
      <w:bookmarkEnd w:id="81"/>
      <w:r/>
      <w:bookmarkEnd w:id="82"/>
      <w:r/>
      <w:bookmarkEnd w:id="83"/>
      <w:r/>
      <w:bookmarkEnd w:id="84"/>
      <w:r/>
      <w:bookmarkEnd w:id="85"/>
      <w:r/>
      <w:bookmarkEnd w:id="86"/>
      <w:r/>
      <w:bookmarkStart w:id="90" w:name="_Toc49090508"/>
      <w:r/>
      <w:bookmarkStart w:id="91" w:name="_Toc14577355"/>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color w:val="000000"/>
          <w:sz w:val="24"/>
        </w:rPr>
        <w:t xml:space="preserve">11.1投标人应按照法律、法规、规章和规范性文件以及招标文件要求提交证明文件，证明其及投标标的符合招标文件规定。</w:t>
      </w:r>
      <w:bookmarkEnd w:id="90"/>
      <w:r/>
      <w:bookmarkEnd w:id="91"/>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12、投标分项报价</w:t>
      </w:r>
      <w:bookmarkStart w:id="92" w:name="_Hlt26670373"/>
      <w:r>
        <w:rPr>
          <w:rFonts w:hint="eastAsia" w:ascii="宋体" w:hAnsi="Times New Roman" w:eastAsia="宋体" w:cs="宋体"/>
          <w:b/>
          <w:bCs/>
          <w:color w:val="000000"/>
          <w:sz w:val="24"/>
          <w:szCs w:val="20"/>
        </w:rPr>
        <w:t xml:space="preserve">表</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12.1投</w:t>
      </w:r>
      <w:bookmarkStart w:id="93" w:name="_Hlt26954840"/>
      <w:r>
        <w:rPr>
          <w:rFonts w:hint="eastAsia" w:ascii="宋体" w:hAnsi="宋体" w:eastAsia="宋体" w:cs="宋体"/>
          <w:color w:val="000000"/>
        </w:rPr>
        <w:t xml:space="preserve">标人应按照招标文件规定格式填报投标分项报价表</w:t>
      </w:r>
      <w:bookmarkStart w:id="94" w:name="_Hlt26670399"/>
      <w:r>
        <w:rPr>
          <w:rFonts w:hint="eastAsia" w:ascii="宋体" w:hAnsi="宋体" w:eastAsia="宋体" w:cs="宋体"/>
          <w:color w:val="000000"/>
        </w:rPr>
        <w:t xml:space="preserve">。</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ind w:firstLine="480"/>
        <w:jc w:val="left"/>
        <w:spacing w:line="560" w:lineRule="exact"/>
        <w:widowControl/>
        <w:rPr>
          <w:rFonts w:ascii="宋体" w:hAnsi="Times New Roman" w:eastAsia="宋体" w:cs="宋体"/>
          <w:b/>
          <w:bCs/>
          <w:color w:val="000000"/>
          <w:sz w:val="24"/>
          <w:szCs w:val="20"/>
        </w:rPr>
      </w:pPr>
      <w:r/>
      <w:bookmarkStart w:id="95" w:name="_Hlt26954842"/>
      <w:r/>
      <w:bookmarkStart w:id="96" w:name="_Hlt26954848"/>
      <w:r/>
      <w:bookmarkStart w:id="97" w:name="_Hlt26670486"/>
      <w:r/>
      <w:bookmarkStart w:id="98" w:name="_Hlt26670425"/>
      <w:r/>
      <w:bookmarkStart w:id="99" w:name="_Hlt26668983"/>
      <w:r/>
      <w:bookmarkStart w:id="100" w:name="_Hlt26670482"/>
      <w:r/>
      <w:bookmarkStart w:id="101" w:name="_Hlt26670403"/>
      <w:r/>
      <w:bookmarkStart w:id="102" w:name="_Hlt26954846"/>
      <w:r/>
      <w:bookmarkStart w:id="103" w:name="_Hlt26954731"/>
      <w:r/>
      <w:bookmarkStart w:id="104" w:name="_Hlt26954844"/>
      <w:r>
        <w:rPr>
          <w:rFonts w:hint="eastAsia" w:ascii="宋体" w:hAnsi="Times New Roman" w:eastAsia="宋体" w:cs="宋体"/>
          <w:b/>
          <w:bCs/>
          <w:color w:val="000000"/>
          <w:sz w:val="24"/>
          <w:szCs w:val="20"/>
        </w:rPr>
        <w:t xml:space="preserve">13、技术要求响应及偏离表、商务要求响应及偏离表</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755"/>
        <w:ind w:firstLine="480"/>
        <w:jc w:val="both"/>
        <w:spacing w:beforeAutospacing="0" w:afterAutospacing="0" w:line="560" w:lineRule="exact"/>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ind w:firstLine="480"/>
        <w:jc w:val="left"/>
        <w:spacing w:line="560" w:lineRule="exact"/>
        <w:widowControl/>
        <w:rPr>
          <w:rFonts w:ascii="宋体" w:hAnsi="Times New Roman" w:eastAsia="宋体" w:cs="宋体"/>
          <w:b/>
          <w:bCs/>
          <w:color w:val="000000"/>
          <w:sz w:val="24"/>
          <w:szCs w:val="20"/>
        </w:rPr>
      </w:pPr>
      <w:r/>
      <w:bookmarkStart w:id="105" w:name="_Toc14577359"/>
      <w:r/>
      <w:bookmarkStart w:id="106" w:name="_Toc49090510"/>
      <w:r>
        <w:rPr>
          <w:rFonts w:hint="eastAsia" w:ascii="宋体" w:hAnsi="Times New Roman" w:eastAsia="宋体" w:cs="宋体"/>
          <w:b/>
          <w:bCs/>
          <w:color w:val="000000"/>
          <w:sz w:val="24"/>
          <w:szCs w:val="20"/>
        </w:rPr>
        <w:t xml:space="preserve">14、投标函和开标一览表</w:t>
      </w:r>
      <w:bookmarkEnd w:id="105"/>
      <w:r/>
      <w:bookmarkEnd w:id="106"/>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ind w:firstLine="480"/>
        <w:jc w:val="left"/>
        <w:spacing w:line="560" w:lineRule="exact"/>
        <w:widowControl/>
        <w:rPr>
          <w:rFonts w:ascii="宋体" w:hAnsi="Times New Roman" w:eastAsia="宋体" w:cs="宋体"/>
          <w:b/>
          <w:bCs/>
          <w:color w:val="000000"/>
          <w:sz w:val="24"/>
          <w:szCs w:val="20"/>
        </w:rPr>
      </w:pPr>
      <w:r/>
      <w:bookmarkStart w:id="107" w:name="_Toc14577360"/>
      <w:r/>
      <w:bookmarkStart w:id="108" w:name="_Toc49090511"/>
      <w:r/>
      <w:bookmarkStart w:id="109" w:name="_Hlt26954734"/>
      <w:r/>
      <w:bookmarkStart w:id="110" w:name="_Hlt26954850"/>
      <w:r/>
      <w:bookmarkStart w:id="111" w:name="_Hlt26670489"/>
      <w:r>
        <w:rPr>
          <w:rFonts w:hint="eastAsia" w:ascii="宋体" w:hAnsi="Times New Roman" w:eastAsia="宋体" w:cs="宋体"/>
          <w:b/>
          <w:bCs/>
          <w:color w:val="000000"/>
          <w:sz w:val="24"/>
          <w:szCs w:val="20"/>
        </w:rPr>
        <w:t xml:space="preserve">15、投标有效期</w:t>
      </w:r>
      <w:bookmarkEnd w:id="107"/>
      <w:r/>
      <w:bookmarkEnd w:id="108"/>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16、投标有效期的延长</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widowControl/>
        <w:rPr>
          <w:rFonts w:ascii="宋体" w:hAnsi="Times New Roman" w:eastAsia="Arial" w:cs="宋体"/>
          <w:b/>
          <w:bCs/>
          <w:color w:val="000000"/>
          <w:sz w:val="24"/>
          <w:szCs w:val="20"/>
          <w:lang w:val="zh-CN"/>
        </w:rPr>
      </w:pPr>
      <w:r/>
      <w:bookmarkStart w:id="112" w:name="_Toc20823296"/>
      <w:r/>
      <w:bookmarkStart w:id="113" w:name="_Toc513029224"/>
      <w:r/>
      <w:bookmarkStart w:id="114" w:name="_Toc16938540"/>
      <w:r/>
      <w:bookmarkStart w:id="115" w:name="_Toc120614217"/>
      <w:r/>
      <w:bookmarkStart w:id="116" w:name="_Hlt26954852"/>
      <w:r/>
      <w:bookmarkStart w:id="117" w:name="_Hlt26954739"/>
      <w:r>
        <w:rPr>
          <w:rFonts w:hint="eastAsia" w:ascii="宋体" w:hAnsi="Times New Roman" w:eastAsia="Arial" w:cs="宋体"/>
          <w:b/>
          <w:bCs/>
          <w:color w:val="000000"/>
          <w:sz w:val="24"/>
          <w:szCs w:val="20"/>
          <w:lang w:val="zh-CN"/>
        </w:rPr>
        <w:t xml:space="preserve">四、投标文件的递交</w:t>
      </w:r>
      <w:bookmarkEnd w:id="112"/>
      <w:r/>
      <w:bookmarkEnd w:id="113"/>
      <w:r/>
      <w:bookmarkEnd w:id="114"/>
      <w:r/>
      <w:bookmarkEnd w:id="115"/>
      <w:r/>
      <w:r/>
    </w:p>
    <w:p>
      <w:pPr>
        <w:ind w:firstLine="480"/>
        <w:jc w:val="left"/>
        <w:spacing w:line="560" w:lineRule="exact"/>
        <w:widowControl/>
        <w:rPr>
          <w:rFonts w:ascii="宋体" w:hAnsi="Times New Roman" w:eastAsia="宋体" w:cs="宋体"/>
          <w:b/>
          <w:bCs/>
          <w:color w:val="000000"/>
          <w:sz w:val="24"/>
          <w:szCs w:val="20"/>
        </w:rPr>
      </w:pPr>
      <w:r/>
      <w:bookmarkStart w:id="118" w:name="_Toc462564084"/>
      <w:r/>
      <w:bookmarkStart w:id="119" w:name="_Toc20823297"/>
      <w:r/>
      <w:bookmarkStart w:id="120" w:name="_Toc16938541"/>
      <w:r/>
      <w:bookmarkStart w:id="121" w:name="_Toc513029225"/>
      <w:r>
        <w:rPr>
          <w:rFonts w:hint="eastAsia" w:ascii="宋体" w:hAnsi="Times New Roman" w:eastAsia="宋体" w:cs="宋体"/>
          <w:b/>
          <w:bCs/>
          <w:color w:val="000000"/>
          <w:sz w:val="24"/>
          <w:szCs w:val="20"/>
        </w:rPr>
        <w:t xml:space="preserve">17、投标文件</w:t>
      </w:r>
      <w:bookmarkEnd w:id="118"/>
      <w:r/>
      <w:bookmarkEnd w:id="119"/>
      <w:r/>
      <w:bookmarkEnd w:id="120"/>
      <w:r/>
      <w:bookmarkEnd w:id="121"/>
      <w:r>
        <w:rPr>
          <w:rFonts w:hint="eastAsia" w:ascii="宋体" w:hAnsi="Times New Roman" w:eastAsia="宋体" w:cs="宋体"/>
          <w:b/>
          <w:bCs/>
          <w:color w:val="000000"/>
          <w:sz w:val="24"/>
          <w:szCs w:val="20"/>
        </w:rPr>
        <w:t xml:space="preserve">的递交</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17.1 电子投标文件的递交</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2" w:name="_Toc20823298"/>
      <w:r/>
      <w:bookmarkEnd w:id="122"/>
      <w:r/>
      <w:bookmarkStart w:id="123" w:name="_Toc16938542"/>
      <w:r/>
      <w:bookmarkEnd w:id="123"/>
      <w:r/>
      <w:bookmarkStart w:id="124" w:name="_Toc513029226"/>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18、投标截止时间</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投标人应充分考虑到网络环境、网络带宽等风险因素，如因投标人自身原因造成的电子投标文件上传不成功的按照本招标文件第二章第26.1.2条 规定做无效投标处理。</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widowControl/>
        <w:rPr>
          <w:rFonts w:ascii="宋体" w:hAnsi="Times New Roman" w:eastAsia="宋体" w:cs="宋体"/>
          <w:b/>
          <w:bCs/>
          <w:color w:val="000000"/>
          <w:sz w:val="24"/>
          <w:szCs w:val="20"/>
        </w:rPr>
      </w:pPr>
      <w:r/>
      <w:bookmarkStart w:id="125" w:name="_Toc16938543"/>
      <w:r/>
      <w:bookmarkStart w:id="126" w:name="_Toc20823299"/>
      <w:r/>
      <w:bookmarkStart w:id="127" w:name="_Toc513029227"/>
      <w:r>
        <w:rPr>
          <w:rFonts w:hint="eastAsia" w:ascii="宋体" w:hAnsi="Times New Roman" w:eastAsia="宋体" w:cs="宋体"/>
          <w:b/>
          <w:bCs/>
          <w:color w:val="000000"/>
          <w:sz w:val="24"/>
          <w:szCs w:val="20"/>
        </w:rPr>
        <w:t xml:space="preserve">19、投标文件</w:t>
      </w:r>
      <w:bookmarkEnd w:id="125"/>
      <w:r/>
      <w:bookmarkEnd w:id="126"/>
      <w:r/>
      <w:bookmarkEnd w:id="127"/>
      <w:r>
        <w:rPr>
          <w:rFonts w:hint="eastAsia" w:ascii="宋体" w:hAnsi="Times New Roman" w:eastAsia="宋体" w:cs="宋体"/>
          <w:b/>
          <w:bCs/>
          <w:color w:val="000000"/>
          <w:sz w:val="24"/>
          <w:szCs w:val="20"/>
        </w:rPr>
        <w:t xml:space="preserve">的拒收</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19.1采购中心拒绝接收在其规定的投标截止时间后上传的任何投标文件。</w:t>
      </w:r>
      <w:r/>
    </w:p>
    <w:p>
      <w:pPr>
        <w:ind w:firstLine="480"/>
        <w:jc w:val="left"/>
        <w:spacing w:line="560" w:lineRule="exact"/>
        <w:widowControl/>
        <w:rPr>
          <w:rFonts w:ascii="宋体" w:hAnsi="Times New Roman" w:eastAsia="宋体" w:cs="宋体"/>
          <w:b/>
          <w:bCs/>
          <w:color w:val="000000"/>
          <w:sz w:val="24"/>
          <w:szCs w:val="20"/>
        </w:rPr>
      </w:pPr>
      <w:r/>
      <w:bookmarkStart w:id="128" w:name="_Toc16938544"/>
      <w:r/>
      <w:bookmarkStart w:id="129" w:name="_Toc20823300"/>
      <w:r/>
      <w:bookmarkStart w:id="130" w:name="_Toc513029228"/>
      <w:r>
        <w:rPr>
          <w:rFonts w:hint="eastAsia" w:ascii="宋体" w:hAnsi="Times New Roman" w:eastAsia="宋体" w:cs="宋体"/>
          <w:b/>
          <w:bCs/>
          <w:color w:val="000000"/>
          <w:sz w:val="24"/>
          <w:szCs w:val="20"/>
        </w:rPr>
        <w:t xml:space="preserve">20、投标文件的撤回和修改</w:t>
      </w:r>
      <w:bookmarkEnd w:id="128"/>
      <w:r/>
      <w:bookmarkEnd w:id="129"/>
      <w:r/>
      <w:bookmarkEnd w:id="130"/>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20.1投标文件的撤回</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20.1.1电子投标文件的撤回</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20.1.2投标人撤回电子投标文件，则认为其不再参与本项目投标活动。</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20.2 投标文件的修改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20.2.1投标人可在投标截止时间前，对其电子投标文件进行修改，具体操作方法见《操作手册》。</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20.2.2在投标截止时间之后，投标人不得对其电子投标文件作任何修改。</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20.3在投标截止时间至招标文件中规定的投标有效期满之间的这段时间内，投标人不得撤回其投标。</w:t>
      </w:r>
      <w:r/>
    </w:p>
    <w:p>
      <w:pPr>
        <w:ind w:firstLine="480"/>
        <w:jc w:val="left"/>
        <w:spacing w:line="560" w:lineRule="exact"/>
        <w:widowControl/>
        <w:rPr>
          <w:rFonts w:ascii="宋体" w:hAnsi="Times New Roman" w:eastAsia="Arial" w:cs="宋体"/>
          <w:b/>
          <w:bCs/>
          <w:color w:val="000000"/>
          <w:sz w:val="24"/>
          <w:szCs w:val="20"/>
          <w:lang w:val="zh-CN"/>
        </w:rPr>
      </w:pPr>
      <w:r/>
      <w:bookmarkStart w:id="131" w:name="_Toc513029229"/>
      <w:r/>
      <w:bookmarkStart w:id="132" w:name="_Toc20823301"/>
      <w:r/>
      <w:bookmarkStart w:id="133" w:name="_Toc120614218"/>
      <w:r/>
      <w:bookmarkStart w:id="134" w:name="_Toc16938545"/>
      <w:r>
        <w:rPr>
          <w:rFonts w:hint="eastAsia" w:ascii="宋体" w:hAnsi="Times New Roman" w:eastAsia="Arial" w:cs="宋体"/>
          <w:b/>
          <w:bCs/>
          <w:color w:val="000000"/>
          <w:sz w:val="24"/>
          <w:szCs w:val="20"/>
          <w:lang w:val="zh-CN"/>
        </w:rPr>
        <w:t xml:space="preserve">五、开标与评标</w:t>
      </w:r>
      <w:bookmarkEnd w:id="131"/>
      <w:r/>
      <w:bookmarkEnd w:id="132"/>
      <w:r/>
      <w:bookmarkEnd w:id="133"/>
      <w:r/>
      <w:bookmarkEnd w:id="134"/>
      <w:r/>
      <w:r/>
    </w:p>
    <w:p>
      <w:pPr>
        <w:pStyle w:val="755"/>
        <w:ind w:firstLine="480"/>
        <w:jc w:val="both"/>
        <w:spacing w:beforeAutospacing="0" w:afterAutospacing="0" w:line="560" w:lineRule="exact"/>
        <w:rPr>
          <w:rFonts w:hint="eastAsia" w:ascii="宋体" w:hAnsi="宋体" w:eastAsia="宋体" w:cs="宋体"/>
          <w:b/>
          <w:bCs/>
          <w:color w:val="000000"/>
        </w:rPr>
      </w:pPr>
      <w:r/>
      <w:bookmarkStart w:id="135" w:name="_Toc513029230"/>
      <w:r/>
      <w:bookmarkStart w:id="136" w:name="_Toc20823302"/>
      <w:r/>
      <w:bookmarkStart w:id="137" w:name="_Toc16938546"/>
      <w:r>
        <w:rPr>
          <w:rFonts w:hint="eastAsia" w:ascii="宋体" w:hAnsi="宋体" w:eastAsia="宋体" w:cs="宋体"/>
          <w:b/>
          <w:bCs/>
          <w:color w:val="000000"/>
        </w:rPr>
        <w:t xml:space="preserve">21、开标</w:t>
      </w:r>
      <w:bookmarkEnd w:id="135"/>
      <w:r/>
      <w:bookmarkEnd w:id="136"/>
      <w:r/>
      <w:bookmarkEnd w:id="137"/>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21.1采购中心将在招标公告中规定的时间和地点组织公开开标。投标人应当按照《操作手册》规定，参加开标活动和在苏采云系统规定的时间内对投标文件进行解密。</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21.2开标仪式由采购中心组织。苏采云系统将自动对项目进行开标，并宣布各投标人名称和投标价格。</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21.4投标人如果对开标过程和开标记录有疑义，应当根据《操作手册》规定提出，如苏采云系统中《开标记录表》宣布后5分钟内未提出的，视同认可开标结果。</w:t>
      </w:r>
      <w:r/>
    </w:p>
    <w:p>
      <w:pPr>
        <w:pStyle w:val="755"/>
        <w:ind w:firstLine="480"/>
        <w:jc w:val="both"/>
        <w:spacing w:beforeAutospacing="0" w:afterAutospacing="0" w:line="560" w:lineRule="exact"/>
        <w:rPr>
          <w:rFonts w:hint="eastAsia" w:ascii="宋体" w:hAnsi="宋体" w:eastAsia="宋体" w:cs="宋体"/>
          <w:b/>
          <w:bCs/>
          <w:color w:val="000000"/>
        </w:rPr>
      </w:pPr>
      <w:r/>
      <w:bookmarkStart w:id="138" w:name="_Toc20823303"/>
      <w:r/>
      <w:bookmarkStart w:id="139" w:name="_Toc513029231"/>
      <w:r/>
      <w:bookmarkStart w:id="140" w:name="_Toc16938547"/>
      <w:r>
        <w:rPr>
          <w:rFonts w:hint="eastAsia" w:ascii="宋体" w:hAnsi="宋体" w:eastAsia="宋体" w:cs="宋体"/>
          <w:b/>
          <w:bCs/>
          <w:color w:val="000000"/>
        </w:rPr>
        <w:t xml:space="preserve">22、评标委员会</w:t>
      </w:r>
      <w:bookmarkEnd w:id="138"/>
      <w:r/>
      <w:bookmarkEnd w:id="139"/>
      <w:r/>
      <w:bookmarkEnd w:id="140"/>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22.1开标后，采购中心将立即组织评标委员会（以下简称评委会）进行评标。</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22.3评委会独立工作，负责评审所有投标文件并确定中标候选人。</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23、评标过程的保密与公正</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23.3采购中心和评标委员会不向未中标的投标人解释未中标原因，也不公布评标过程中的相关细节。</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23.4采用综合评分法的项目，未中标的投标人可于中标结果公告期限届满之日起通过苏采云系统查看自己的评审得分及排序情况。</w:t>
      </w:r>
      <w:r/>
    </w:p>
    <w:p>
      <w:pPr>
        <w:pStyle w:val="755"/>
        <w:ind w:firstLine="480"/>
        <w:jc w:val="both"/>
        <w:spacing w:beforeAutospacing="0" w:afterAutospacing="0" w:line="560" w:lineRule="exact"/>
        <w:rPr>
          <w:rFonts w:hint="eastAsia" w:ascii="宋体" w:hAnsi="宋体" w:eastAsia="宋体" w:cs="宋体"/>
          <w:b/>
          <w:bCs/>
          <w:color w:val="000000"/>
        </w:rPr>
      </w:pPr>
      <w:r/>
      <w:bookmarkStart w:id="141" w:name="_Toc20823304"/>
      <w:r/>
      <w:bookmarkStart w:id="142" w:name="_Toc16938548"/>
      <w:r/>
      <w:bookmarkStart w:id="143" w:name="_Toc513029232"/>
      <w:r>
        <w:rPr>
          <w:rFonts w:hint="eastAsia" w:ascii="宋体" w:hAnsi="宋体" w:eastAsia="宋体" w:cs="宋体"/>
          <w:b/>
          <w:bCs/>
          <w:color w:val="000000"/>
        </w:rPr>
        <w:t xml:space="preserve">24、投标文件的澄清</w:t>
      </w:r>
      <w:bookmarkEnd w:id="141"/>
      <w:r/>
      <w:bookmarkEnd w:id="142"/>
      <w:r/>
      <w:bookmarkEnd w:id="143"/>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评标委员会并非对每个投标人都做澄清要求。</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ind w:firstLine="480"/>
        <w:jc w:val="left"/>
        <w:spacing w:line="560" w:lineRule="exact"/>
        <w:widowControl/>
        <w:rPr>
          <w:rFonts w:ascii="宋体" w:hAnsi="Times New Roman" w:eastAsia="宋体" w:cs="宋体"/>
          <w:b/>
          <w:bCs/>
          <w:color w:val="000000"/>
          <w:sz w:val="24"/>
          <w:szCs w:val="20"/>
        </w:rPr>
      </w:pPr>
      <w:r/>
      <w:bookmarkStart w:id="144" w:name="_Toc16938549"/>
      <w:r/>
      <w:bookmarkStart w:id="145" w:name="_Toc513029233"/>
      <w:r/>
      <w:bookmarkStart w:id="146" w:name="_Toc20823305"/>
      <w:r>
        <w:rPr>
          <w:rFonts w:hint="eastAsia" w:ascii="宋体" w:hAnsi="Times New Roman" w:eastAsia="宋体" w:cs="宋体"/>
          <w:b/>
          <w:bCs/>
          <w:color w:val="000000"/>
          <w:sz w:val="24"/>
          <w:szCs w:val="20"/>
        </w:rPr>
        <w:t xml:space="preserve">25、对投标文件的初审</w:t>
      </w:r>
      <w:bookmarkEnd w:id="144"/>
      <w:r/>
      <w:bookmarkEnd w:id="145"/>
      <w:r/>
      <w:bookmarkEnd w:id="146"/>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（2）大写金额和小写金额不一致的，以大写金额为准。</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55"/>
        <w:ind w:firstLine="480"/>
        <w:jc w:val="both"/>
        <w:spacing w:beforeAutospacing="0" w:afterAutospacing="0" w:line="560" w:lineRule="exact"/>
        <w:rPr>
          <w:rFonts w:hint="eastAsia" w:ascii="宋体" w:hAnsi="宋体" w:eastAsia="宋体" w:cs="宋体"/>
          <w:color w:val="000000"/>
        </w:rPr>
      </w:pPr>
      <w:r/>
      <w:bookmarkStart w:id="147" w:name="_Toc513029234"/>
      <w:r/>
      <w:bookmarkStart w:id="148" w:name="_Toc20823306"/>
      <w:r/>
      <w:bookmarkStart w:id="149" w:name="_Toc16938550"/>
      <w:r>
        <w:rPr>
          <w:rFonts w:hint="eastAsia" w:ascii="宋体" w:hAnsi="宋体" w:eastAsia="宋体" w:cs="宋体"/>
          <w:color w:val="000000"/>
        </w:rPr>
        <w:t xml:space="preserve">25.6投标人在开、评标全过程中应保持通信畅通，及时登录苏采云系统查阅、答复相关信息，并安排专人与采购中心及评标委员会联系。</w:t>
      </w:r>
      <w:bookmarkEnd w:id="147"/>
      <w:r/>
      <w:bookmarkEnd w:id="148"/>
      <w:r/>
      <w:bookmarkEnd w:id="149"/>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26、无效投标条款和废标条款</w:t>
      </w:r>
      <w:r/>
    </w:p>
    <w:p>
      <w:pPr>
        <w:pStyle w:val="755"/>
        <w:ind w:left="479"/>
        <w:jc w:val="both"/>
        <w:spacing w:beforeAutospacing="0" w:afterAutospacing="0" w:line="560" w:lineRule="exact"/>
        <w:rPr>
          <w:rFonts w:hint="eastAsia" w:ascii="宋体" w:hAnsi="宋体" w:eastAsia="宋体" w:cs="宋体"/>
        </w:rPr>
      </w:pPr>
      <w:r/>
      <w:bookmarkStart w:id="150" w:name="_Toc20823307"/>
      <w:r/>
      <w:bookmarkStart w:id="151" w:name="_Toc16938551"/>
      <w:r/>
      <w:bookmarkStart w:id="152" w:name="_Toc513029235"/>
      <w:r>
        <w:rPr>
          <w:rFonts w:hint="eastAsia" w:ascii="宋体" w:hAnsi="宋体" w:eastAsia="宋体" w:cs="宋体"/>
        </w:rPr>
        <w:t xml:space="preserve">26.1无效投标条款</w:t>
      </w:r>
      <w:bookmarkEnd w:id="150"/>
      <w:r/>
      <w:bookmarkEnd w:id="151"/>
      <w:r/>
      <w:bookmarkEnd w:id="152"/>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26.1.6未通过符合性审查的。</w:t>
      </w:r>
      <w:r/>
    </w:p>
    <w:p>
      <w:pPr>
        <w:pStyle w:val="755"/>
        <w:ind w:firstLine="36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（一）评审过程中出现下列情形之一的，评标委员会应当启动异常低价投标审查程序：</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1.投标（响应）报价低于全部通过符合性审查供应商投标（响应）报价平均值50%的，即投标（响应）报价&lt;全部通过符合性审查供应商投标（响应）报价平均值×50%；</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2.投标（响应）报价低于通过符合性审查的次低报价供应商投标（响应）报价50%的，即投标（响应）报价&lt;通过符合性审查的次低报价供应商投标（响应）报价×50%；</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3.投标（响应）报价低于采购项目最高限价45%的，即投标（响应）报价&lt;采购项目最高限价×45%；</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4.评审委员会基于专业判断，认为供应商报价过低，有可能影响产品质量或者不能诚信履约的其他情形。</w:t>
      </w:r>
      <w:r/>
    </w:p>
    <w:p>
      <w:pPr>
        <w:pStyle w:val="755"/>
        <w:ind w:firstLine="480"/>
        <w:jc w:val="both"/>
        <w:spacing w:beforeAutospacing="0" w:afterAutospacing="0" w:line="560" w:lineRule="exact"/>
        <w:rPr>
          <w:rFonts w:hint="eastAsia" w:ascii="宋体" w:hAnsi="宋体" w:eastAsia="宋体" w:cs="宋体"/>
          <w:b/>
          <w:bCs/>
          <w:color w:val="000000"/>
        </w:rPr>
      </w:pPr>
      <w:r/>
      <w:bookmarkStart w:id="198" w:name="_GoBack"/>
      <w:r/>
      <w:bookmarkEnd w:id="198"/>
      <w:r>
        <w:rPr>
          <w:rFonts w:hint="eastAsia" w:ascii="宋体" w:hAnsi="宋体" w:eastAsia="宋体" w:cs="宋体"/>
          <w:b/>
          <w:bCs/>
          <w:color w:val="000000"/>
        </w:rPr>
        <w:t xml:space="preserve">相关法律法规对供应商报价有规定的，从其规定。</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55"/>
        <w:ind w:firstLine="480"/>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26.2废标条款</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755"/>
        <w:ind w:left="479"/>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widowControl/>
        <w:rPr>
          <w:rFonts w:ascii="宋体" w:hAnsi="Times New Roman" w:eastAsia="Arial" w:cs="宋体"/>
          <w:b/>
          <w:bCs/>
          <w:color w:val="000000"/>
          <w:sz w:val="24"/>
          <w:szCs w:val="20"/>
          <w:lang w:val="zh-CN"/>
        </w:rPr>
      </w:pPr>
      <w:r/>
      <w:bookmarkStart w:id="153" w:name="_Toc120614219"/>
      <w:r>
        <w:rPr>
          <w:rFonts w:hint="eastAsia" w:ascii="宋体" w:hAnsi="Times New Roman" w:eastAsia="Arial" w:cs="宋体"/>
          <w:b/>
          <w:bCs/>
          <w:color w:val="000000"/>
          <w:sz w:val="24"/>
          <w:szCs w:val="20"/>
          <w:lang w:val="zh-CN"/>
        </w:rPr>
        <w:t xml:space="preserve">六、定标</w:t>
      </w:r>
      <w:bookmarkEnd w:id="153"/>
      <w:r/>
      <w:r/>
    </w:p>
    <w:p>
      <w:pPr>
        <w:ind w:firstLine="480"/>
        <w:jc w:val="left"/>
        <w:spacing w:line="560" w:lineRule="exact"/>
        <w:widowControl/>
        <w:rPr>
          <w:rFonts w:ascii="宋体" w:hAnsi="Times New Roman" w:eastAsia="宋体" w:cs="宋体"/>
          <w:b/>
          <w:bCs/>
          <w:color w:val="000000"/>
          <w:sz w:val="24"/>
          <w:szCs w:val="20"/>
        </w:rPr>
      </w:pPr>
      <w:r/>
      <w:bookmarkStart w:id="154" w:name="_Toc20823310"/>
      <w:r/>
      <w:bookmarkStart w:id="155" w:name="_Toc16938554"/>
      <w:r/>
      <w:bookmarkStart w:id="156" w:name="_Toc513029238"/>
      <w:r>
        <w:rPr>
          <w:rFonts w:hint="eastAsia" w:ascii="宋体" w:hAnsi="Times New Roman" w:eastAsia="宋体" w:cs="宋体"/>
          <w:b/>
          <w:bCs/>
          <w:color w:val="000000"/>
          <w:sz w:val="24"/>
          <w:szCs w:val="20"/>
        </w:rPr>
        <w:t xml:space="preserve">27、</w:t>
      </w:r>
      <w:bookmarkEnd w:id="154"/>
      <w:r>
        <w:rPr>
          <w:rFonts w:hint="eastAsia" w:ascii="宋体" w:hAnsi="Times New Roman" w:eastAsia="宋体" w:cs="宋体"/>
          <w:b/>
          <w:bCs/>
          <w:color w:val="000000"/>
          <w:sz w:val="24"/>
          <w:szCs w:val="20"/>
        </w:rPr>
        <w:t xml:space="preserve">确定</w:t>
      </w:r>
      <w:bookmarkEnd w:id="155"/>
      <w:r/>
      <w:bookmarkEnd w:id="156"/>
      <w:r>
        <w:rPr>
          <w:rFonts w:hint="eastAsia" w:ascii="宋体" w:hAnsi="Times New Roman" w:eastAsia="宋体" w:cs="宋体"/>
          <w:b/>
          <w:bCs/>
          <w:color w:val="000000"/>
          <w:sz w:val="24"/>
          <w:szCs w:val="20"/>
        </w:rPr>
        <w:t xml:space="preserve">中标单位</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27.3采购中心将在“中国政府采购网”、“江苏政府采购网”、“盐城市政府采购网”发布中标公告，公告期限为1个工作日。</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27.4.2向采购人、采购中心行贿或者提供其他不正当利益的。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755"/>
        <w:ind w:firstLine="480"/>
        <w:jc w:val="both"/>
        <w:spacing w:beforeAutospacing="0" w:afterAutospacing="0" w:line="560" w:lineRule="exact"/>
        <w:rPr>
          <w:rFonts w:hint="eastAsia" w:ascii="宋体" w:hAnsi="宋体" w:eastAsia="宋体" w:cs="宋体"/>
        </w:rPr>
      </w:pPr>
      <w:r/>
      <w:bookmarkStart w:id="157" w:name="_Toc200451960"/>
      <w:r>
        <w:rPr>
          <w:rFonts w:hint="eastAsia" w:ascii="宋体" w:hAnsi="宋体" w:eastAsia="宋体" w:cs="宋体"/>
          <w:color w:val="000000"/>
        </w:rPr>
        <w:t xml:space="preserve">27.5 有下列情形之一的，视为投标人串通投标，投标无效：</w:t>
      </w:r>
      <w:bookmarkEnd w:id="157"/>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28、质疑处理</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28.2.2对采购过程提出质疑的，为各采购程序环节结束之日；</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28.2.3对中标或者成交结果提出质疑的，为中标或者成交结果公告期限届满之日。</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55"/>
        <w:ind w:firstLine="482"/>
        <w:jc w:val="both"/>
        <w:spacing w:beforeAutospacing="0" w:afterAutospacing="0" w:line="560" w:lineRule="exact"/>
        <w:rPr>
          <w:rFonts w:hint="eastAsia" w:ascii="宋体" w:hAnsi="宋体" w:eastAsia="宋体" w:cs="宋体"/>
          <w:b/>
          <w:bCs/>
          <w:color w:val="000000"/>
        </w:rPr>
      </w:pPr>
      <w:r>
        <w:rPr>
          <w:rFonts w:hint="eastAsia" w:ascii="宋体" w:hAnsi="宋体" w:eastAsia="宋体" w:cs="宋体"/>
          <w:b/>
          <w:bCs/>
          <w:color w:val="000000"/>
        </w:rPr>
        <w:t xml:space="preserve">28.4</w:t>
      </w:r>
      <w:r>
        <w:rPr>
          <w:rFonts w:hint="eastAsia" w:ascii="宋体" w:hAnsi="宋体" w:eastAsia="宋体" w:cs="宋体"/>
          <w:b/>
          <w:bCs/>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b/>
          <w:bCs/>
          <w:color w:val="000000"/>
        </w:rPr>
        <w:t xml:space="preserve">供应商对除上述事项以外其他事项的询问、质疑请向采购中心提出，由采购中心负责答复。</w:t>
      </w:r>
      <w:r/>
    </w:p>
    <w:p>
      <w:pPr>
        <w:pStyle w:val="755"/>
        <w:ind w:firstLine="482"/>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w:t>
      </w:r>
      <w:r>
        <w:rPr>
          <w:rFonts w:hint="eastAsia" w:ascii="宋体" w:hAnsi="宋体" w:eastAsia="宋体" w:cs="宋体"/>
          <w:color w:val="000000"/>
          <w:lang w:val="en-US" w:eastAsia="zh-CN"/>
        </w:rPr>
        <w:t xml:space="preserve">室</w:t>
      </w:r>
      <w:r>
        <w:rPr>
          <w:rFonts w:hint="eastAsia" w:ascii="宋体" w:hAnsi="宋体" w:eastAsia="宋体" w:cs="宋体"/>
          <w:color w:val="000000"/>
        </w:rPr>
        <w:t xml:space="preserve">，联系电话：0515-86665052。</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755"/>
        <w:ind w:firstLine="468"/>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29、中标通知书</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29.2中标通知书将是合同的一个组成部分。对采购人和中标人均具有法律</w:t>
      </w:r>
      <w:r>
        <w:rPr>
          <w:rFonts w:hint="eastAsia" w:ascii="宋体" w:hAnsi="宋体" w:eastAsia="宋体" w:cs="宋体"/>
          <w:color w:val="000000"/>
          <w:sz w:val="24"/>
        </w:rPr>
        <w:t xml:space="preserve">效力。中标通知书发出后，采购人改变中标结果的，或者中标人放弃中标项目的，应当依法承担法律责任。</w:t>
      </w:r>
      <w:r/>
    </w:p>
    <w:p>
      <w:pPr>
        <w:ind w:firstLine="480"/>
        <w:jc w:val="left"/>
        <w:spacing w:line="560" w:lineRule="exact"/>
        <w:widowControl/>
        <w:rPr>
          <w:rFonts w:ascii="宋体" w:hAnsi="Times New Roman" w:eastAsia="Arial" w:cs="宋体"/>
          <w:b/>
          <w:bCs/>
          <w:color w:val="000000"/>
          <w:sz w:val="24"/>
          <w:szCs w:val="20"/>
          <w:lang w:val="zh-CN"/>
        </w:rPr>
      </w:pPr>
      <w:r/>
      <w:bookmarkStart w:id="158" w:name="_Toc120614220"/>
      <w:r/>
      <w:bookmarkStart w:id="159" w:name="_Toc513029236"/>
      <w:r/>
      <w:bookmarkStart w:id="160" w:name="_Toc20823308"/>
      <w:r/>
      <w:bookmarkStart w:id="161" w:name="_Toc16938552"/>
      <w:r>
        <w:rPr>
          <w:rFonts w:hint="eastAsia" w:ascii="宋体" w:hAnsi="Times New Roman" w:eastAsia="Arial" w:cs="宋体"/>
          <w:b/>
          <w:bCs/>
          <w:color w:val="000000"/>
          <w:sz w:val="24"/>
          <w:szCs w:val="20"/>
          <w:lang w:val="zh-CN"/>
        </w:rPr>
        <w:t xml:space="preserve">七、授予合同</w:t>
      </w:r>
      <w:bookmarkEnd w:id="158"/>
      <w:r/>
      <w:bookmarkEnd w:id="159"/>
      <w:r/>
      <w:bookmarkEnd w:id="160"/>
      <w:r/>
      <w:bookmarkEnd w:id="161"/>
      <w:r/>
      <w:r/>
    </w:p>
    <w:p>
      <w:pPr>
        <w:ind w:firstLine="480"/>
        <w:jc w:val="left"/>
        <w:spacing w:line="560" w:lineRule="exact"/>
        <w:widowControl/>
        <w:rPr>
          <w:rFonts w:ascii="宋体" w:hAnsi="Times New Roman" w:eastAsia="宋体" w:cs="宋体"/>
          <w:b/>
          <w:bCs/>
          <w:color w:val="000000"/>
          <w:sz w:val="24"/>
          <w:szCs w:val="20"/>
        </w:rPr>
      </w:pPr>
      <w:r/>
      <w:bookmarkStart w:id="162" w:name="_Toc16938553"/>
      <w:r/>
      <w:bookmarkStart w:id="163" w:name="_Toc20823309"/>
      <w:r/>
      <w:bookmarkStart w:id="164" w:name="_Toc513029237"/>
      <w:r>
        <w:rPr>
          <w:rFonts w:hint="eastAsia" w:ascii="宋体" w:hAnsi="Times New Roman" w:eastAsia="宋体" w:cs="宋体"/>
          <w:b/>
          <w:bCs/>
          <w:color w:val="000000"/>
          <w:sz w:val="24"/>
          <w:szCs w:val="20"/>
        </w:rPr>
        <w:t xml:space="preserve">30、签订合同</w:t>
      </w:r>
      <w:bookmarkEnd w:id="162"/>
      <w:r/>
      <w:bookmarkEnd w:id="163"/>
      <w:r/>
      <w:bookmarkEnd w:id="164"/>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color w:val="000000"/>
          <w:sz w:val="24"/>
        </w:rPr>
        <w:t xml:space="preserve">30.l中标人应当在中标通知书发出之日起三十日内，按照招标文件确定的事项与采购人签订政府采购合同。</w:t>
      </w:r>
      <w:r/>
    </w:p>
    <w:p>
      <w:pPr>
        <w:pStyle w:val="755"/>
        <w:ind w:firstLine="60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755"/>
        <w:ind w:firstLine="60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31、服务（包含与服务相关的货物）的追加</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32、政府采购政策功能落实</w:t>
      </w:r>
      <w:r/>
    </w:p>
    <w:p>
      <w:pPr>
        <w:pStyle w:val="755"/>
        <w:ind w:firstLine="600"/>
        <w:jc w:val="both"/>
        <w:keepLines/>
        <w:keepNext/>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32.3.6.1安置的残疾人占本单位在职职工人数的比例不低于25%（含25%），并且安置的残疾人人数不少于10人（含10人）；</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32.5绿色包装</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56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755"/>
        <w:ind w:firstLine="480"/>
        <w:jc w:val="both"/>
        <w:spacing w:beforeAutospacing="0" w:afterAutospacing="0" w:line="560" w:lineRule="exact"/>
        <w:rPr>
          <w:rFonts w:hint="eastAsia" w:ascii="宋体" w:hAnsi="宋体" w:eastAsia="宋体" w:cs="宋体"/>
        </w:rPr>
      </w:pPr>
      <w:r>
        <w:rPr>
          <w:rFonts w:hint="eastAsia" w:ascii="宋体" w:hAnsi="宋体" w:eastAsia="宋体" w:cs="宋体"/>
          <w:color w:val="00000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w:t>
      </w:r>
      <w:r>
        <w:rPr>
          <w:rFonts w:hint="eastAsia" w:ascii="宋体" w:hAnsi="宋体" w:eastAsia="宋体" w:cs="宋体"/>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32.8实施本国产品标准及相关政策</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60" w:lineRule="exact"/>
        <w:rPr>
          <w:rFonts w:hint="eastAsia" w:ascii="宋体" w:hAnsi="宋体" w:eastAsia="宋体" w:cs="宋体"/>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56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highlight w:val="cyan"/>
        </w:rPr>
      </w:pPr>
      <w:r>
        <w:rPr>
          <w:rFonts w:hint="eastAsia" w:ascii="宋体" w:hAnsi="宋体" w:eastAsia="Arial" w:cs="宋体"/>
          <w:sz w:val="24"/>
          <w:szCs w:val="20"/>
        </w:rPr>
        <w:t xml:space="preserve">履约保证金金额为合同金额的</w:t>
      </w:r>
      <w:r>
        <w:rPr>
          <w:rFonts w:hint="eastAsia" w:ascii="宋体" w:hAnsi="宋体" w:cs="宋体"/>
          <w:sz w:val="24"/>
          <w:szCs w:val="20"/>
        </w:rPr>
        <w:t xml:space="preserve">5</w:t>
      </w:r>
      <w:r>
        <w:rPr>
          <w:rFonts w:hint="eastAsia" w:ascii="宋体" w:hAnsi="宋体" w:eastAsia="Arial" w:cs="宋体"/>
          <w:sz w:val="24"/>
          <w:szCs w:val="20"/>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jc w:val="left"/>
        <w:spacing w:line="560" w:lineRule="exact"/>
        <w:widowControl/>
        <w:rPr>
          <w:rFonts w:ascii="宋体" w:hAnsi="Times New Roman" w:eastAsia="宋体" w:cs="宋体"/>
          <w:b/>
          <w:bCs/>
          <w:color w:val="000000"/>
          <w:sz w:val="24"/>
          <w:szCs w:val="20"/>
        </w:rPr>
      </w:pPr>
      <w:r>
        <w:rPr>
          <w:rFonts w:hint="eastAsia" w:ascii="宋体" w:hAnsi="Times New Roman" w:eastAsia="宋体" w:cs="宋体"/>
          <w:b/>
          <w:bCs/>
          <w:color w:val="000000"/>
          <w:sz w:val="24"/>
          <w:szCs w:val="20"/>
        </w:rPr>
        <w:t xml:space="preserve">33.预付款制度</w:t>
      </w:r>
      <w:r/>
    </w:p>
    <w:p>
      <w:pPr>
        <w:pStyle w:val="755"/>
        <w:ind w:firstLine="480"/>
        <w:jc w:val="left"/>
        <w:spacing w:beforeAutospacing="0" w:afterAutospacing="0" w:line="560" w:lineRule="exact"/>
        <w:rPr>
          <w:rFonts w:hint="eastAsia" w:ascii="黑体" w:hAnsi="宋体" w:eastAsia="黑体" w:cs="黑体"/>
          <w:b/>
          <w:color w:val="000000"/>
          <w:sz w:val="44"/>
          <w:szCs w:val="44"/>
        </w:rPr>
      </w:pPr>
      <w:r>
        <w:rPr>
          <w:rFonts w:hint="eastAsia" w:ascii="宋体" w:hAnsi="宋体" w:eastAsia="宋体" w:cs="宋体"/>
          <w:color w:val="000000"/>
        </w:rPr>
        <w:t xml:space="preserve">本项目落实预付款制度，预付款比例为30%</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755"/>
        <w:ind w:firstLine="2209"/>
        <w:jc w:val="left"/>
        <w:keepLines/>
        <w:keepNext/>
        <w:spacing w:before="260" w:beforeAutospacing="0" w:after="260" w:afterAutospacing="0" w:line="56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pStyle w:val="755"/>
        <w:jc w:val="both"/>
        <w:keepLines/>
        <w:keepNext/>
        <w:spacing w:before="260" w:beforeAutospacing="0" w:after="260" w:afterAutospacing="0" w:line="56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pStyle w:val="755"/>
        <w:jc w:val="both"/>
        <w:keepLines/>
        <w:keepNext/>
        <w:spacing w:before="260" w:beforeAutospacing="0" w:after="260" w:afterAutospacing="0" w:line="56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spacing w:line="56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br w:type="page" w:clear="all"/>
      </w:r>
      <w:r/>
    </w:p>
    <w:p>
      <w:pPr>
        <w:pStyle w:val="755"/>
        <w:jc w:val="center"/>
        <w:keepLines/>
        <w:keepNext/>
        <w:spacing w:before="260" w:beforeAutospacing="0" w:after="260" w:afterAutospacing="0" w:line="560" w:lineRule="exact"/>
        <w:rPr>
          <w:rFonts w:hint="eastAsia" w:ascii="黑体" w:hAnsi="宋体" w:eastAsia="黑体" w:cs="黑体"/>
          <w:bCs/>
          <w:color w:val="000000"/>
          <w:sz w:val="44"/>
          <w:szCs w:val="44"/>
        </w:rPr>
      </w:pPr>
      <w:r>
        <w:rPr>
          <w:rFonts w:hint="eastAsia" w:ascii="黑体" w:hAnsi="宋体" w:eastAsia="黑体" w:cs="黑体"/>
          <w:bCs/>
          <w:color w:val="000000"/>
          <w:sz w:val="44"/>
          <w:szCs w:val="44"/>
        </w:rPr>
        <w:t xml:space="preserve">第三章 合同文本</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项目名称：盐城市第四人民医院智慧处方点评系统项目</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项目编号：JSZC-320900-JZCG-G2026-0054</w:t>
      </w:r>
      <w:r/>
    </w:p>
    <w:p>
      <w:pPr>
        <w:ind w:firstLine="480"/>
        <w:spacing w:line="560" w:lineRule="exact"/>
        <w:rPr>
          <w:rFonts w:hint="default" w:ascii="宋体" w:hAnsi="宋体" w:eastAsia="宋体" w:cs="Times New Roman"/>
          <w:color w:val="000000"/>
          <w:sz w:val="24"/>
          <w:u w:val="single"/>
          <w:lang w:val="en-US" w:eastAsia="zh-CN"/>
        </w:rPr>
      </w:pPr>
      <w:r>
        <w:rPr>
          <w:rFonts w:hint="eastAsia" w:ascii="宋体" w:hAnsi="宋体" w:eastAsia="宋体" w:cs="Times New Roman"/>
          <w:color w:val="000000"/>
          <w:sz w:val="24"/>
        </w:rPr>
        <w:t xml:space="preserve">甲方：（买方）_________</w:t>
      </w:r>
      <w:r>
        <w:rPr>
          <w:rFonts w:hint="eastAsia" w:ascii="宋体" w:hAnsi="宋体" w:eastAsia="宋体" w:cs="Times New Roman"/>
          <w:color w:val="000000"/>
          <w:sz w:val="24"/>
          <w:u w:val="single"/>
          <w:lang w:val="en-US" w:eastAsia="zh-CN"/>
        </w:rPr>
        <w:t xml:space="preserve">            </w:t>
      </w:r>
      <w:r/>
    </w:p>
    <w:p>
      <w:pPr>
        <w:ind w:firstLine="480"/>
        <w:spacing w:line="560" w:lineRule="exact"/>
        <w:rPr>
          <w:rFonts w:hint="default" w:ascii="宋体" w:hAnsi="宋体" w:eastAsia="宋体" w:cs="Times New Roman"/>
          <w:color w:val="000000"/>
          <w:sz w:val="24"/>
          <w:u w:val="single"/>
          <w:lang w:val="en-US" w:eastAsia="zh-CN"/>
        </w:rPr>
      </w:pPr>
      <w:r>
        <w:rPr>
          <w:rFonts w:hint="eastAsia" w:ascii="宋体" w:hAnsi="宋体" w:eastAsia="宋体" w:cs="Times New Roman"/>
          <w:color w:val="000000"/>
          <w:sz w:val="24"/>
        </w:rPr>
        <w:t xml:space="preserve">乙方：（卖方）</w:t>
      </w:r>
      <w:r>
        <w:rPr>
          <w:rFonts w:hint="eastAsia" w:ascii="宋体" w:hAnsi="宋体" w:eastAsia="宋体" w:cs="Times New Roman"/>
          <w:color w:val="000000"/>
          <w:sz w:val="24"/>
          <w:u w:val="single"/>
          <w:lang w:val="en-US" w:eastAsia="zh-CN"/>
        </w:rPr>
        <w:t xml:space="preserve">                     </w:t>
      </w:r>
      <w:r/>
    </w:p>
    <w:p>
      <w:pPr>
        <w:ind w:firstLine="480"/>
        <w:spacing w:line="5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甲、乙双方根据盐城市政府采购中心</w:t>
      </w:r>
      <w:r>
        <w:rPr>
          <w:rFonts w:hint="eastAsia" w:ascii="宋体" w:hAnsi="宋体" w:eastAsia="宋体" w:cs="Times New Roman"/>
          <w:color w:val="000000"/>
          <w:sz w:val="24"/>
          <w:u w:val="single"/>
        </w:rPr>
        <w:t xml:space="preserve">盐城市第四人民医院智慧处方点评系统项目</w:t>
      </w:r>
      <w:r>
        <w:rPr>
          <w:rFonts w:hint="eastAsia" w:ascii="宋体" w:hAnsi="宋体" w:eastAsia="宋体" w:cs="Times New Roman"/>
          <w:color w:val="000000"/>
          <w:sz w:val="24"/>
        </w:rPr>
        <w:t xml:space="preserve">公开招标的结果，签署本合同。</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一、采购标的</w:t>
      </w:r>
      <w:r/>
    </w:p>
    <w:p>
      <w:pPr>
        <w:ind w:firstLine="480"/>
        <w:spacing w:line="560" w:lineRule="exact"/>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1.1 产品/服务内容：</w:t>
      </w:r>
      <w:r>
        <w:rPr>
          <w:rFonts w:hint="eastAsia" w:ascii="宋体" w:hAnsi="宋体" w:eastAsia="宋体" w:cs="Times New Roman"/>
          <w:color w:val="000000"/>
          <w:sz w:val="24"/>
          <w:u w:val="single"/>
        </w:rPr>
        <w:t xml:space="preserve">盐城市第四人民医院智慧处方点评系统项目</w:t>
      </w:r>
      <w:r>
        <w:rPr>
          <w:rFonts w:hint="eastAsia" w:ascii="宋体" w:hAnsi="宋体" w:eastAsia="宋体" w:cs="Times New Roman"/>
          <w:color w:val="000000"/>
          <w:sz w:val="24"/>
        </w:rPr>
        <w:t xml:space="preserve">。</w:t>
      </w:r>
      <w:r/>
    </w:p>
    <w:p>
      <w:pPr>
        <w:ind w:firstLine="480"/>
        <w:spacing w:line="560" w:lineRule="exact"/>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1.2 服务期限：</w:t>
      </w:r>
      <w:r>
        <w:rPr>
          <w:rFonts w:hint="eastAsia" w:ascii="宋体" w:hAnsi="宋体" w:eastAsia="宋体" w:cs="Times New Roman"/>
          <w:color w:val="000000"/>
          <w:sz w:val="24"/>
          <w:u w:val="single"/>
        </w:rPr>
        <w:t xml:space="preserve">  二年    </w:t>
      </w:r>
      <w:r>
        <w:rPr>
          <w:rFonts w:hint="eastAsia" w:ascii="宋体" w:hAnsi="宋体" w:eastAsia="宋体" w:cs="Times New Roman"/>
          <w:color w:val="000000"/>
          <w:sz w:val="24"/>
        </w:rPr>
        <w:t xml:space="preserve">。</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二、合同金额</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2.1 本合同金额为（大写）：____________圆整（￥__________元）人民币。</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三、技术资料</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3.1乙方应按招标文件规定的时间向甲方提供有关技术资料。</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四、知识产权</w:t>
      </w:r>
      <w:r/>
    </w:p>
    <w:p>
      <w:pPr>
        <w:ind w:firstLine="480"/>
        <w:spacing w:line="560" w:lineRule="exact"/>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2"/>
        <w:spacing w:line="560" w:lineRule="exact"/>
        <w:rPr>
          <w:rFonts w:hint="eastAsia" w:ascii="宋体" w:hAnsi="宋体" w:eastAsia="宋体" w:cs="Times New Roman"/>
          <w:color w:val="000000"/>
          <w:sz w:val="24"/>
          <w:u w:val="single"/>
        </w:rPr>
      </w:pPr>
      <w:r>
        <w:rPr>
          <w:rFonts w:hint="eastAsia" w:ascii="宋体" w:hAnsi="宋体" w:eastAsia="宋体" w:cs="Times New Roman"/>
          <w:b/>
          <w:color w:val="000000"/>
          <w:sz w:val="24"/>
        </w:rPr>
        <w:t xml:space="preserve">五、产权担保</w:t>
      </w:r>
      <w:r/>
    </w:p>
    <w:p>
      <w:pPr>
        <w:ind w:firstLine="480"/>
        <w:spacing w:line="560" w:lineRule="exact"/>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乙方保证所交付标的的所有权完全属于乙方且无任何抵押、查封等产权瑕疵。</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六、履约保证金</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本项目免收履约保证金。</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七、转包或分包</w:t>
      </w:r>
      <w:r/>
    </w:p>
    <w:p>
      <w:pPr>
        <w:ind w:firstLine="480"/>
        <w:spacing w:line="560" w:lineRule="exact"/>
        <w:rPr>
          <w:rFonts w:hint="eastAsia" w:ascii="宋体" w:hAnsi="宋体" w:eastAsia="仿宋_GB2312" w:cs="Times New Roman"/>
          <w:color w:val="000000"/>
          <w:sz w:val="24"/>
        </w:rPr>
      </w:pPr>
      <w:r>
        <w:rPr>
          <w:rFonts w:ascii="宋体" w:hAnsi="宋体" w:eastAsia="宋体" w:cs="Times New Roman"/>
          <w:color w:val="000000"/>
          <w:sz w:val="24"/>
        </w:rPr>
        <w:t xml:space="preserve">7.1</w:t>
      </w:r>
      <w:r>
        <w:rPr>
          <w:rFonts w:hint="eastAsia" w:ascii="宋体" w:hAnsi="宋体" w:eastAsia="宋体" w:cs="Times New Roman"/>
          <w:color w:val="000000"/>
          <w:sz w:val="24"/>
        </w:rPr>
        <w:t xml:space="preserve">本合同范围内产品或服务，应由乙方直接供应，不得转让他人供应；</w:t>
      </w:r>
      <w:r/>
    </w:p>
    <w:p>
      <w:pPr>
        <w:ind w:firstLine="480"/>
        <w:spacing w:line="560" w:lineRule="exact"/>
        <w:rPr>
          <w:rFonts w:hint="eastAsia" w:ascii="宋体" w:hAnsi="宋体" w:eastAsia="仿宋_GB2312" w:cs="Times New Roman"/>
          <w:color w:val="000000"/>
          <w:sz w:val="24"/>
        </w:rPr>
      </w:pPr>
      <w:r>
        <w:rPr>
          <w:rFonts w:ascii="宋体" w:hAnsi="宋体" w:eastAsia="宋体" w:cs="Times New Roman"/>
          <w:color w:val="000000"/>
          <w:sz w:val="24"/>
        </w:rPr>
        <w:t xml:space="preserve">7.2 </w:t>
      </w:r>
      <w:r>
        <w:rPr>
          <w:rFonts w:hint="eastAsia" w:ascii="宋体" w:hAnsi="宋体" w:eastAsia="宋体" w:cs="Times New Roman"/>
          <w:color w:val="000000"/>
          <w:sz w:val="24"/>
        </w:rPr>
        <w:t xml:space="preserve">除非得到甲方的书面同意，乙方不得部分分包给他人供应。</w:t>
      </w:r>
      <w:r/>
    </w:p>
    <w:p>
      <w:pPr>
        <w:ind w:firstLine="480"/>
        <w:spacing w:line="560" w:lineRule="exact"/>
        <w:rPr>
          <w:rFonts w:hint="eastAsia" w:ascii="宋体" w:hAnsi="宋体" w:eastAsia="宋体" w:cs="Times New Roman"/>
          <w:b/>
          <w:color w:val="000000"/>
          <w:sz w:val="24"/>
        </w:rPr>
      </w:pPr>
      <w:r>
        <w:rPr>
          <w:rFonts w:ascii="宋体" w:hAnsi="宋体" w:eastAsia="宋体" w:cs="Times New Roman"/>
          <w:color w:val="000000"/>
          <w:sz w:val="24"/>
        </w:rPr>
        <w:t xml:space="preserve">7.3</w:t>
      </w:r>
      <w:r>
        <w:rPr>
          <w:rFonts w:hint="eastAsia" w:ascii="宋体" w:hAnsi="宋体" w:eastAsia="宋体" w:cs="Times New Roman"/>
          <w:color w:val="000000"/>
          <w:sz w:val="24"/>
        </w:rPr>
        <w:t xml:space="preserve">如有转让和未经甲方同意的分包行为，甲方有权给予终止合同。 </w:t>
      </w:r>
      <w:r/>
    </w:p>
    <w:p>
      <w:pPr>
        <w:ind w:firstLine="482"/>
        <w:spacing w:line="560" w:lineRule="exact"/>
        <w:rPr>
          <w:rFonts w:ascii="Times New Roman" w:hAnsi="Times New Roman" w:eastAsia="宋体" w:cs="Times New Roman"/>
          <w:b/>
          <w:color w:val="000000"/>
          <w:sz w:val="24"/>
        </w:rPr>
      </w:pPr>
      <w:r>
        <w:rPr>
          <w:rFonts w:hint="eastAsia" w:ascii="Times New Roman" w:hAnsi="宋体" w:eastAsia="宋体" w:cs="Times New Roman"/>
          <w:b/>
          <w:color w:val="000000"/>
          <w:sz w:val="24"/>
        </w:rPr>
        <w:t xml:space="preserve">八、合同款支付</w:t>
      </w:r>
      <w:r/>
    </w:p>
    <w:p>
      <w:pPr>
        <w:ind w:firstLine="482"/>
        <w:jc w:val="left"/>
        <w:spacing w:line="560" w:lineRule="exact"/>
        <w:widowControl/>
        <w:rPr>
          <w:rFonts w:hint="eastAsia" w:ascii="宋体" w:hAnsi="宋体" w:eastAsia="宋体" w:cs="宋体"/>
          <w:sz w:val="24"/>
          <w:szCs w:val="20"/>
          <w:highlight w:val="none"/>
        </w:rPr>
      </w:pPr>
      <w:r>
        <w:rPr>
          <w:rFonts w:hint="eastAsia" w:ascii="宋体" w:hAnsi="宋体" w:eastAsia="宋体" w:cs="宋体"/>
          <w:b/>
          <w:bCs/>
          <w:sz w:val="24"/>
          <w:szCs w:val="20"/>
          <w:highlight w:val="none"/>
        </w:rPr>
        <w:t xml:space="preserve">8.1.1 预付款支付时间：</w:t>
      </w:r>
      <w:r>
        <w:rPr>
          <w:rFonts w:hint="eastAsia" w:ascii="宋体" w:hAnsi="宋体" w:eastAsia="宋体" w:cs="宋体"/>
          <w:sz w:val="24"/>
          <w:szCs w:val="20"/>
          <w:highlight w:val="none"/>
        </w:rPr>
        <w:t xml:space="preserve">合同签订后，采购人收到预付款发票后10个工作日内，预付款支付比例：合同金额的30%。</w:t>
      </w:r>
      <w:r/>
    </w:p>
    <w:p>
      <w:pPr>
        <w:ind w:firstLine="482"/>
        <w:jc w:val="left"/>
        <w:spacing w:line="560" w:lineRule="exact"/>
        <w:widowControl/>
        <w:rPr>
          <w:rFonts w:hint="eastAsia" w:ascii="宋体" w:hAnsi="宋体" w:eastAsia="宋体" w:cs="宋体"/>
          <w:sz w:val="24"/>
          <w:szCs w:val="20"/>
          <w:highlight w:val="yellow"/>
        </w:rPr>
      </w:pPr>
      <w:r>
        <w:rPr>
          <w:rFonts w:hint="eastAsia" w:ascii="宋体" w:hAnsi="宋体" w:eastAsia="宋体" w:cs="宋体"/>
          <w:b/>
          <w:bCs/>
          <w:sz w:val="24"/>
          <w:szCs w:val="20"/>
          <w:highlight w:val="none"/>
        </w:rPr>
        <w:t xml:space="preserve">8.1.2 尾款支付时间：</w:t>
      </w:r>
      <w:r>
        <w:rPr>
          <w:rFonts w:hint="eastAsia" w:ascii="Times New Roman" w:hAnsi="宋体" w:eastAsia="宋体" w:cs="Times New Roman"/>
          <w:color w:val="000000"/>
          <w:sz w:val="24"/>
          <w:highlight w:val="none"/>
        </w:rPr>
        <w:t xml:space="preserve">项目全部建设内容完成，终验合格后付清。（以上付款均无息）。甲方收到乙方发票10个工作日内</w:t>
      </w:r>
      <w:r>
        <w:rPr>
          <w:rFonts w:hint="eastAsia" w:ascii="Times New Roman" w:hAnsi="宋体" w:eastAsia="宋体" w:cs="Times New Roman"/>
          <w:color w:val="000000"/>
          <w:sz w:val="24"/>
        </w:rPr>
        <w:t xml:space="preserve">支付款项。</w:t>
      </w:r>
      <w:r/>
    </w:p>
    <w:p>
      <w:pPr>
        <w:ind w:firstLine="480"/>
        <w:spacing w:line="560" w:lineRule="exact"/>
        <w:rPr>
          <w:rFonts w:hint="eastAsia" w:ascii="Times New Roman" w:hAnsi="宋体" w:eastAsia="宋体" w:cs="Times New Roman"/>
          <w:color w:val="000000"/>
          <w:sz w:val="24"/>
        </w:rPr>
      </w:pPr>
      <w:r>
        <w:rPr>
          <w:rFonts w:hint="eastAsia" w:ascii="宋体" w:hAnsi="宋体" w:eastAsia="宋体" w:cs="Times New Roman"/>
          <w:bCs/>
          <w:color w:val="000000"/>
          <w:sz w:val="24"/>
        </w:rPr>
        <w:t xml:space="preserve">8.2</w:t>
      </w:r>
      <w:r>
        <w:rPr>
          <w:rFonts w:hint="eastAsia" w:ascii="Times New Roman" w:hAnsi="宋体" w:eastAsia="宋体" w:cs="Times New Roman"/>
          <w:color w:val="000000"/>
          <w:sz w:val="24"/>
        </w:rPr>
        <w:t xml:space="preserve">当采购数量与实际使用数量不一致时，乙方根据实际使用量提供</w:t>
      </w:r>
      <w:r>
        <w:rPr>
          <w:rFonts w:hint="eastAsia" w:ascii="宋体" w:hAnsi="宋体" w:eastAsia="宋体" w:cs="Times New Roman"/>
          <w:color w:val="000000"/>
          <w:sz w:val="24"/>
        </w:rPr>
        <w:t xml:space="preserve">产品和服务</w:t>
      </w:r>
      <w:r>
        <w:rPr>
          <w:rFonts w:hint="eastAsia" w:ascii="Times New Roman" w:hAnsi="宋体" w:eastAsia="宋体" w:cs="Times New Roman"/>
          <w:color w:val="000000"/>
          <w:sz w:val="24"/>
        </w:rPr>
        <w:t xml:space="preserve">，合同的最终结算金额按实际使用量乘以成交单价进行计算。</w:t>
      </w:r>
      <w:r/>
    </w:p>
    <w:p>
      <w:pPr>
        <w:ind w:firstLine="480"/>
        <w:spacing w:line="56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8.3如需向与财政部门签署融资合作协议的银行办理授信申请的， 需在协作银行开立结算户作为回款专用户，作为该笔合同唯一的收款账户，供货结束货款结算时，财政部门将政府采购款项直接支付到该账户。</w:t>
      </w:r>
      <w:r/>
    </w:p>
    <w:p>
      <w:pPr>
        <w:ind w:firstLine="482"/>
        <w:spacing w:line="560" w:lineRule="exact"/>
        <w:rPr>
          <w:rFonts w:ascii="Times New Roman" w:hAnsi="Times New Roman" w:eastAsia="宋体" w:cs="Times New Roman"/>
          <w:b/>
          <w:color w:val="000000"/>
          <w:sz w:val="24"/>
        </w:rPr>
      </w:pPr>
      <w:r>
        <w:rPr>
          <w:rFonts w:hint="eastAsia" w:ascii="Times New Roman" w:hAnsi="宋体" w:eastAsia="宋体" w:cs="Times New Roman"/>
          <w:b/>
          <w:color w:val="000000"/>
          <w:sz w:val="24"/>
        </w:rPr>
        <w:t xml:space="preserve">九</w:t>
      </w:r>
      <w:r>
        <w:rPr>
          <w:rFonts w:hint="eastAsia" w:ascii="Times New Roman" w:hAnsi="Times New Roman" w:eastAsia="宋体" w:cs="Times New Roman"/>
          <w:b/>
          <w:color w:val="000000"/>
          <w:sz w:val="24"/>
        </w:rPr>
        <w:t xml:space="preserve">、</w:t>
      </w:r>
      <w:r>
        <w:rPr>
          <w:rFonts w:ascii="Times New Roman" w:hAnsi="宋体" w:eastAsia="宋体" w:cs="Times New Roman"/>
          <w:b/>
          <w:color w:val="000000"/>
          <w:sz w:val="24"/>
        </w:rPr>
        <w:t xml:space="preserve">税费</w:t>
      </w:r>
      <w:r/>
    </w:p>
    <w:p>
      <w:pPr>
        <w:ind w:firstLine="480"/>
        <w:spacing w:line="560" w:lineRule="exact"/>
        <w:rPr>
          <w:rFonts w:hint="eastAsia" w:ascii="Times New Roman" w:hAnsi="宋体" w:eastAsia="宋体" w:cs="Times New Roman"/>
          <w:color w:val="000000"/>
          <w:sz w:val="24"/>
        </w:rPr>
      </w:pPr>
      <w:r>
        <w:rPr>
          <w:rFonts w:hint="eastAsia" w:ascii="宋体" w:hAnsi="宋体" w:eastAsia="宋体" w:cs="Times New Roman"/>
          <w:color w:val="000000"/>
          <w:sz w:val="24"/>
        </w:rPr>
        <w:t xml:space="preserve">9.1本合同执行中相关的一切税费均由乙方负担。</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十、验收</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10.1甲方依法组织履约验收工作。</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10.3对于实际使用人和甲方分离的项目，甲方邀请实际使用人参与验收。</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10.4如有必要，甲方邀请参加本项目的其他供应商或第三方专业机构及专家参与验收，相关意见将作为验收书的参考资料。</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十一、违约责任</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11.1进场交接。乙方应在收到中标通知书后10个工作日内，主动与原运维服务供应商完成全面工作交接，确保运维服务的连续性和稳定性。因中标供应商未按时或未有效完成交接导致系统运行异常、业务中断或数据损失等后果，由中标供应商承担相应责任。</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11.2期满交接。乙方三年服务期满后，应于服务期届满之日起 10个工作日内，主动与新中标服务供应商全面完成工作交接，确保运维服务平稳过渡。乙方须配合甲方完成交接验收，确保移交资料完整、系统状态正常。因乙方交接不及时、不完整或配合不到位导致系统运行异常、业务中断或数据损失等后果，由乙方承担相应责任。</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11.2甲方无正当理由拒收的，甲方向乙方偿付拒收货款总值的百分之五违约金。</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11.3 甲方无故逾期验收和办理合同款支付手续的，甲方应按逾期付款总额每日万分之五向乙方支付违约金。</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11.4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11.5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十二、不可抗力事件处理</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12.1在合同有效期内，任何一方因不可抗力事件导致不能履行合同，则合同履行期延长，其延长期与不可抗力影响期相同。</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12.2不可抗力事件发生后，应立即通知对方，并寄送有关权威机构出具的证明。</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12.3不可抗力事件延续120天以上，双方应通过友好协商，确定是否继续履行合同。</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十三、诉讼</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13.1双方在执行合同中所发生的一切争议，应通过协商解决。如协商不成，可向合同签订地法院起诉，合同签订地在此约定为盐城市。</w:t>
      </w:r>
      <w:r/>
    </w:p>
    <w:p>
      <w:pPr>
        <w:ind w:firstLine="482"/>
        <w:spacing w:line="56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十四、合同生效及其它</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14.1合同经双方法定代表人或授权委托代表人签字并加盖单位公章。</w:t>
      </w:r>
      <w:r/>
    </w:p>
    <w:p>
      <w:pPr>
        <w:ind w:firstLine="480"/>
        <w:spacing w:line="560" w:lineRule="exact"/>
        <w:tabs>
          <w:tab w:val="left" w:pos="662"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14.2本合同未尽事宜，遵照《中华人民共和国民法典》有关条文执行。</w:t>
      </w:r>
      <w:r/>
    </w:p>
    <w:p>
      <w:pPr>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14.3本合同正本一式陆份，具有同等法律效力，甲方执肆份，乙方执贰份。</w:t>
      </w:r>
      <w:r/>
    </w:p>
    <w:p>
      <w:pPr>
        <w:pStyle w:val="755"/>
        <w:ind w:firstLine="480"/>
        <w:jc w:val="both"/>
        <w:spacing w:before="120" w:beforeAutospacing="0" w:after="120" w:afterAutospacing="0" w:line="500" w:lineRule="exact"/>
      </w:pPr>
      <w:r/>
      <w:bookmarkStart w:id="165" w:name="_Toc479757211"/>
      <w:r/>
      <w:bookmarkStart w:id="166" w:name="_Toc462564139"/>
      <w:r/>
      <w:bookmarkStart w:id="167" w:name="_Hlt16619350"/>
      <w:r/>
      <w:bookmarkStart w:id="168" w:name="_Toc20823346"/>
      <w:r/>
      <w:bookmarkStart w:id="169" w:name="_Toc16938590"/>
      <w:r/>
      <w:bookmarkStart w:id="170" w:name="_Toc120614244"/>
      <w:r/>
      <w:bookmarkStart w:id="171" w:name="_Hlt16619369"/>
      <w:r>
        <w:rPr>
          <w:rFonts w:hint="eastAsia" w:ascii="宋体" w:hAnsi="宋体" w:eastAsia="宋体" w:cs="宋体"/>
          <w:color w:val="000000"/>
        </w:rPr>
        <w:t xml:space="preserve">甲方：                              乙方： </w:t>
      </w:r>
      <w:r/>
    </w:p>
    <w:p>
      <w:pPr>
        <w:pStyle w:val="755"/>
        <w:jc w:val="both"/>
        <w:spacing w:before="120" w:beforeAutospacing="0" w:after="120" w:afterAutospacing="0" w:line="500" w:lineRule="exact"/>
      </w:pPr>
      <w:r>
        <w:rPr>
          <w:rFonts w:hint="eastAsia" w:ascii="宋体" w:hAnsi="宋体" w:eastAsia="宋体" w:cs="宋体"/>
          <w:color w:val="000000"/>
        </w:rPr>
        <w:t xml:space="preserve">    地址：                              地址： </w:t>
      </w:r>
      <w:r/>
    </w:p>
    <w:p>
      <w:pPr>
        <w:pStyle w:val="755"/>
        <w:jc w:val="both"/>
        <w:spacing w:before="120" w:beforeAutospacing="0" w:after="120" w:afterAutospacing="0" w:line="500" w:lineRule="exact"/>
      </w:pPr>
      <w:r>
        <w:rPr>
          <w:rFonts w:hint="eastAsia" w:ascii="宋体" w:hAnsi="宋体" w:eastAsia="宋体" w:cs="宋体"/>
          <w:color w:val="000000"/>
        </w:rPr>
        <w:t xml:space="preserve">    法定代表人或授权代表：              法定代表人或授权代表：</w:t>
      </w:r>
      <w:r/>
    </w:p>
    <w:p>
      <w:pPr>
        <w:pStyle w:val="755"/>
        <w:ind w:firstLine="480"/>
        <w:jc w:val="both"/>
        <w:spacing w:before="120" w:beforeAutospacing="0" w:after="120" w:afterAutospacing="0" w:line="500" w:lineRule="exact"/>
      </w:pPr>
      <w:r>
        <w:rPr>
          <w:rFonts w:hint="eastAsia" w:ascii="宋体" w:hAnsi="宋体" w:eastAsia="宋体" w:cs="宋体"/>
          <w:color w:val="000000"/>
        </w:rPr>
        <w:t xml:space="preserve">联系电话：                          联系电话：          </w:t>
      </w:r>
      <w:r/>
    </w:p>
    <w:p>
      <w:pPr>
        <w:ind w:firstLine="480"/>
        <w:jc w:val="center"/>
        <w:spacing w:line="560" w:lineRule="exact"/>
        <w:rPr>
          <w:rFonts w:ascii="Times New Roman" w:hAnsi="Times New Roman" w:eastAsia="方正黑体_GBK" w:cs="方正黑体_GBK"/>
          <w:sz w:val="28"/>
          <w:szCs w:val="28"/>
        </w:rPr>
      </w:pPr>
      <w:r>
        <w:rPr>
          <w:rFonts w:hint="eastAsia" w:ascii="宋体" w:hAnsi="宋体" w:eastAsia="宋体" w:cs="宋体"/>
          <w:color w:val="000000"/>
          <w:sz w:val="24"/>
        </w:rPr>
        <w:t xml:space="preserve">                               签订日期：   年     月   日</w:t>
      </w:r>
      <w:r>
        <w:rPr>
          <w:rFonts w:hint="eastAsia" w:ascii="黑体" w:hAnsi="宋体" w:eastAsia="黑体" w:cs="黑体"/>
          <w:color w:val="000000"/>
          <w:sz w:val="24"/>
        </w:rPr>
        <w:br w:type="page" w:clear="all"/>
      </w:r>
      <w:r>
        <w:rPr>
          <w:rFonts w:hint="eastAsia" w:ascii="黑体" w:hAnsi="宋体" w:eastAsia="黑体" w:cs="黑体"/>
          <w:color w:val="000000"/>
          <w:sz w:val="44"/>
          <w:szCs w:val="44"/>
        </w:rPr>
        <w:t xml:space="preserve"> 第</w:t>
      </w:r>
      <w:bookmarkEnd w:id="165"/>
      <w:r>
        <w:rPr>
          <w:rFonts w:hint="eastAsia" w:ascii="黑体" w:hAnsi="宋体" w:eastAsia="黑体" w:cs="黑体"/>
          <w:color w:val="000000"/>
          <w:sz w:val="44"/>
          <w:szCs w:val="44"/>
        </w:rPr>
        <w:t xml:space="preserve">四章 采购需求</w:t>
      </w:r>
      <w:bookmarkEnd w:id="166"/>
      <w:r/>
      <w:bookmarkEnd w:id="167"/>
      <w:r/>
      <w:bookmarkEnd w:id="168"/>
      <w:r/>
      <w:bookmarkEnd w:id="169"/>
      <w:r/>
      <w:bookmarkEnd w:id="170"/>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bookmarkStart w:id="172" w:name="_Toc120614281"/>
      <w:r>
        <w:rPr>
          <w:rFonts w:hint="eastAsia" w:ascii="宋体" w:hAnsi="宋体" w:eastAsia="宋体" w:cs="宋体"/>
          <w:b/>
          <w:bCs/>
          <w:color w:val="auto"/>
          <w:sz w:val="24"/>
          <w:szCs w:val="20"/>
          <w:highlight w:val="none"/>
          <w:lang w:val="en-US" w:eastAsia="zh-CN"/>
        </w:rPr>
        <w:t xml:space="preserve">项目属性：服务类项目</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一、项目概述</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拟采购我院处方点评系统的开发、部署、运维及相关技术服务，并包含一套用于系统宣传推广的配套网站。系统面向门急诊与住院处方（医嘱）的回顾性点评，采用规则校验与人工智能辅助相结合的方式，在药师主导下提升点评质量与效率。</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本项目除日常点评业务外，还包含一个用于评价人工智能点评准确性的"点评质量验证与一致性评价专用模块"，该模块要求详见第四章，为本项目的关键交付内容之一。</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二、建设与服务目标</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以药师为点评决策主体。人工智能仅提供辅助意见与依据，系统不得自动作出放行／拦截的最终决定；人工智能结论与多模型合议结论不得作为处方合规性的最终判定依据，最终点评结论一律由药师确认并署名。</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规则校验与人工智能辅助相结合，对处方（医嘱）进行风险识别与分级，支持药师靶向复核。</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面向处方（医嘱）的回顾性点评，支持批量点评、风险分级与统计分析。</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具备对人工智能点评准确性进行内部验证与一致性评价的完整能力，验证过程与日常点评业务在数据与流程上相互独立。</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全流程可追溯、可审计，点评数据归我院所有。</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说明：本项目为回顾性处方点评（点评），不涉及发药前的前置处方审核（审方）。</w:t>
      </w:r>
      <w:r/>
    </w:p>
    <w:p>
      <w:pPr>
        <w:ind w:firstLine="482"/>
        <w:jc w:val="left"/>
        <w:spacing w:line="44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三、功能需求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投标人应至少实现以下功能模块，并在投标文件中逐条说明实现方式与操作界面。</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（一）数据接入与集成</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与我院 HIS、LIS、EMR 等系统通过标准化接口对接，获取处方／医嘱、诊断、检验检查、患者基本信息及用药史等。与我院各信息系统对接所产生的全部接口费用（含原厂接口开通、协议开放、联调配合等费用）由投标人承担，我院不再另行支付。</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支持药品字典、诊断字典等基础数据映射与维护；支持历史处方数据批量导入。</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支持同一次就诊多张处方的关联展示，辅助识别分解处方等情形。</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支持按年月自动建立点评批次，批次命名规则可配置，重名自动加序号。</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支持数据导入进度实时可视化：按处方、就诊、诊断、检验、检查等阶段分别显示已处理数量与耗时，导入完成后耗时冻结显示。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单张容错：单张处方导入失败不得中断整批导入；失败明细可查询、可定向重新拉取。</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 中药、成药类"一张医嘱包含多个药品"的情形，须正确拆分为多条药品明细，不得合并计数导致统计失真。</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 处方时间须精确到分钟并保持时区一致，不得仅保留日期；所有基于时间窗的计算均以处方业务时间为锚。</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 支持用药史回溯窗口（如 60 天），跨批次自动去重。</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 同步既往检验结果、检查报告、诊断与就诊史，并在点评工作台内联展示。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 提供数据一致性核验工具：可按日与源系统逐日对账处方条数，并支持字段级抽样比对，输出可导出的比对报告。</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 数据导入须具备幂等性：同一时间窗重复导入不得产生重复处方记录。</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（二）规则审核引擎</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覆盖剂量、用法用量、给药途径、配伍、相互作用、重复用药、特殊人群（老年／儿童／肝肾功能等）、适应证、超说明书用药等审核维度。</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规则可配置、可启停、可维护；命中规则可显示判定依据与出处。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支持精神药品（含第一类、第二类精神药品专项点评任务）、麻醉药品、抗菌药物等专项规则。</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规则出处档（判定依据来源）独立维护：每条规则可挂接说明书、指南、药事会决议等出处。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支持维护经我院药事管理与药物治疗学委员会批准的超说明书用药白名单，命中白名单的用药在点评结论中单独标注。</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（三）人工智能辅助点评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集成不少于三个相互独立（异源）的大模型对同一处方并行分析。三家须为不同厂商、不同基座，不得为同一厂商的不同型号；优先支持国产化模型。</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输出点评结论（如适宜／不适宜等）、判定情形分类及依据说明，并展示各模型响应情况。</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支持对单张处方重新发起人工智能分析。</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模型可替换、可扩充，新增或更换厂商仅需在管理界面完成配置，不得修改代码。</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模型版本锁定：型号须可配置到带日期的具体快照版本，不得仅使用会随厂商更新而漂移的通用别名。</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实际返回型号留痕：每次调用须记录厂商响应中返回的实际模型编号，与请求型号分列两个字段独立存储，以便发现厂商静默更换版本。</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 推理（思考）模式须可按厂商独立开关，配置项集中于一处维护；开启推理模式时须自动校验输出长度上限是否足够，不足则拒绝保存；对未登记支持情况的模型选择开／关时须明确报错，不得静默降级。</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 提示词与参数版本指纹：系统须对系统提示词、调用参数与各模型型号生成不可逆摘要作为版本指纹；指纹相同时可跳过重复调用，指纹变化即视为不同版本，历史结果不受影响。</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 多轮次结果并存：同一批处方可运行多轮人工智能分析，各轮以轮次标签独立存储，后一轮不得覆盖前一轮；界面须支持按轮次查看历史结果，不得仅显示最新一轮。</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 超时、重试、退避策略与并发上限须按厂商独立可配置；支持按厂商定向补跑失败样本。</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 缺家如实告知：当实际参与合议的模型少于全员时，界面须醒目提示参与家数并列出未参与厂商及原因，不得静默按剩余家数直接出具结论。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 运行完整性自检：提供功能核验某一轮次的样本条数完整性、各厂商齐备性与版本指纹一致性，并输出自检报告。</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 调用日志留痕：每次调用记录耗时、token 用量、推理过程摘要、原始返回报文，支持查询与导出。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 等待过程可感知：长耗时分析须显示分厂商进度，并设置批次总超时；超时后须给出明确结论或失败提示，不得无限等待。</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（四）多模型合议</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对多模型结果进行一致性与分歧识别，输出分歧程度量化指标与风险／争议分级标签。分歧程度须为可比较的量化指标（而非仅"一致／不一致"二值），并可用于排序、分组、筛选、统计与导出。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形成合议结论，标注一致情形与分歧情形，供药师参考。</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合议结果须给出形态标签，至少覆盖：一致且无问题、一致且有问题、轻度分歧、重度分歧、仅单模型可用、全部失败。</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人工智能与合议结论仅供药师参考。系统不得依据分歧程度或任何自动化指标，自行作出处方放行、拦截或最终合规性判定。</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（五）药师点评工作台</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药师可对规则与人工智能结果进行采纳、驳回、补注，最终点评结论由药师确认。</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支持按风险／争议等级排序，优先复核高风险处方（靶向复核）；支持批量处理。</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展示处方详情、病历摘要、就诊与用药历史等辅助信息。</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处方上下文（处方明细、病历摘要、既往检验、既往检查、用药史）在所有工作台中版式一致，由统一组件提供，不得各页各样。</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采纳留痕到厂商级：药师采纳或驳回时，须记录采纳了哪一家模型的意见或合议结论，以及采纳时间。</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支持上一张／下一张快捷键、暂存与批量提交；支持常用语库维护与调用。</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 支持初评、复评两级流程，复评人资格由职称阈值控制。</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（六）处方点评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支持门诊与住院处方（医嘱）的批量、回顾性点评。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支持按月度批次、专项、随机抽样等方式组织点评任务，并跟踪完成进度。</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生成点评结论、不合理处方明细与统计报表。</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（七）留痕与审计</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对每条点评意见、人工操作、所用模型及版本全程留痕，可追溯、可导出，满足审计要求。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人工智能侧留痕须包含：请求型号、实际返回型号、版本指纹、轮次标签、耗时、token 用量、失败原因。</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人工侧留痕须包含：判定提交时间戳（精确到秒）、修改历史、操作人。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系统须支持核验某条人工判定是否先于该处方的任何人工智能结论产生，并可导出核验结果。</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（八）统计报表与质控指标</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支持合理用药情况、不合理类型分布、科室／批次维度等统计与可视化报表。</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提供 AI 看板：以可视化方式集中呈现人工智能点评与多模型合议的关键指标（如点评量、风险／争议分布、分歧情况、模型一致性等）。</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AI 看板须支持按点评批次、专项等维度筛选，不得仅支持按自然月全院聚合。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所有报表支持结构化导出（CSV／Excel），中文表头，编码兼容，导出文件可直接以 Excel 打开且不出现乱码。</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（九）知识库与规则维护</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支持药品字典、规则库及判定依据来源的维护与更新，维护操作留痕。</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（十）权限角色与系统配置</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多角色、细粒度权限配置；各项业务操作均可通过 Web 界面完成，不依赖后台直接操作。</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日常职称四级体系：药师、主管药师、副主任药师、主任药师，权限按职称阈值单调递增派生；细粒度能力（可点评、可复评、可派工、可维护规则、可签字确认规则出处、可管理账号等）由职称派生，不逐人配置。</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研究与验证角色独立于日常职称体系：项目负责人、仲裁人、验证评审药师、临床顾问等角色单独授权，两套角色体系互不继承。</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运维文档模块：仅超级管理员可见；无导航入口；正文仅存数据库。</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支持模型接入配置、参数配置与运行日志查看。</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安全配置要求：支持登录失败次数限制与账号锁定；生产环境不得开启调试模式；支持一人一密，不得长期使用统一初始密码。</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（十一）界面与用户体验</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界面简洁、美观、专业，视觉风格统一，符合医疗信息系统的可读性与易用性要求。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交互友好、操作路径清晰，关键信息（风险分级、合议结论等）层次分明、一目了然。</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支持响应式布局，适配常见分辨率；图表与看板呈现清晰美观。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面向药师的业务界面不得出现技术术语（如指纹、哈希、轮次标签、并发、超时等），须以业务语言表达；字段提示语需给出填写示例。</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关键动作须有明确反馈；被系统跳过或忽略的操作须说明原因，不得点击后仅刷新页面而无任何提示。</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四、点评质量验证与一致性评价专用模块</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模块用于评价本系统人工智能点评结论的准确性，以我院药师团队独立盲法点评形成的共识判定作为参照标准。模块须与日常点评业务在数据与流程上完全独立。本章各项为强制要求，其中标注"关键验收项"须在终验时现场演示或现场运行通过。</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4.1 样本池管理</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支持按时间窗、科室／诊室、药品类别、专项主题等条件建立抽样池；支持按月分层均匀抽样；支持设定目标样本量。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支持维护排除标准（如特定诊室、代配药等），排除记录可追溯、可导出。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支持主分析池与敏感性分析子池并存，两者可分别统计。</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抽样过程须可复现：相同参数与随机种子须产出完全相同的样本集合。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样本池支持冻结；冻结后不可增删，冻结时间与操作人留痕。</w:t>
      </w:r>
      <w:r/>
    </w:p>
    <w:p>
      <w:pPr>
        <w:ind w:firstLine="482"/>
        <w:jc w:val="left"/>
        <w:spacing w:line="44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4.2 多人独立盲法点评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支持 4 名及以上评审药师对同一批全部样本各自独立点评，即 N 人 × M 张 = N×M 份独立判定。不得采用多人分摊、每人只看一部分的模式——分摊模式无法计算评审者间一致性指标。</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独立点评期间，任一评审药师不得看到：其他评审药师的结论、仲裁结论、临床顾问意见，以及本系统的人工智能结论与多模型合议结论。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评审药师匿名编码由系统统一分配（如 A／B／C／D），项目级唯一映射；真实姓名与编码的对应关系仅授权人员可见，导出数据中只出现匿名编码。</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处方呈现顺序须按评审者做确定性打乱，以避免顺序效应；同一评审者重复进入时顺序保持稳定。</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判定分类体系支持与日常点评不同的一套 schema（如：合理／不合理／边缘灰区／信息不足），两套 schema 并存且可按预设规则相互映射。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支持点评耗时监控与阶段性进度统计。</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4.3 共识判定（参照标准）形成</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支持以下四类情形形成共识判定，全过程留痕：</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全体一致：直接归档，并按可配置的固定比例（如 10%）随机抽取样本进入仲裁，用于控制部分验证偏倚；</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多数一致（如3:1）: 按多数派归档，并按可配置的固定比例（如 10%）抽样进入仲裁人盲法质控复核；</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平票（如2:2）：进入仲裁人完整仲裁；</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其他情形：按预设规则处理，规则可配置且变更留痕。</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问题类型编码由仲裁环节统一形成，评审药师不填写细类编码，以避免细类差异干扰主指标计算。</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4.4 二轨盲审（临床医师专家）</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支持临床医师专家对指定比例样本进行独立盲审。该角色工作台不得渲染仲裁结论、问题编码、最终备注、各评审药师结论及任何人工智能结果。</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4.5 交叉盲隔离（强制）</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进入验证样本池的处方，不得同时派发给同一人在日常点评线上处理；反之亦然。系统须在派工环节自动互斥并阻断，阻断记录留痕。</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验证模块产生的评审结论不得回流至日常点评工作台展示。</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4.6 架构隔离（强制）</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抽样、派工、共识判定形成这三处逻辑，不得读取任何人工智能结论、多模型合议结论或分歧程度指标。</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分歧程度指标可用于日常点评线的排序与展示，但不得用于验证模块的样本选取或人员分配。</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4.7 指标计算与导出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支持计算并导出：阴性预测值（NPV）、阳性预测值（PPV）、灵敏度、特异度、准确率、评审者间一致性系数（Cohen’s κ／Fleiss κ）等指标，均须给出 95% 置信区间。</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2.多分类结论到二元结论的映射，全系统只能有一处定义，不得在不同模块各写一份。</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支持单模型与多模型合议的对照输出：每家模型单独一列、合议单独一列，与参照标准逐张比对。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支持同一批样本多轮次之间的一致率输出，作为结论稳定性指标，与准确性指标分开报告。</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支持按分歧程度分层的准确性统计。</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支持逐张明细导出与汇总指标导出两种粒度，中文表头，可直接导入常用统计软件。</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4.8 数据冻结与留痕</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支持在指定时点冻结数据集，冻结后新增数据不进入分析；冻结时点与操作人留痕。</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全流程留痕须支持核验人工判定时间早于人工智能结论产生时间。</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须记录全过程使用的模型型号、版本指纹与提示词版本，支持在质控与成果材料中如实陈述版本控制情况。</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4.9 数据权属与保密</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本模块产生的全部数据、参照标准与统计结果，其所有权与使用权归我院独有。投标人不得留存、复制、外带，不得用于其他项目或对外展示。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投标人及其人员不得以任何形式对外发表基于本模块数据的论文、报告、案例或宣传材料。</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合同终止或期满时，投标人须销毁其持有的全部相关数据副本，并出具书面销毁确认函。</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4.10 交付时序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本模块须在我院验证工作试点启动前完成开发并通过我院验证性测试，不得与日常点评模块合并延后交付。</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五、技术方案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投标人应在功能需求、专用模块要求的基础上,深化形成总体设计方案,并按本章 5.1 至 5.8 分节编写,与投标文件目录一一对应。各节内容将作为评标委员会技术指标评分的评审对象。</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除 5.5、5.6 各要求附界面样张或原型图 1 张外,本章其余各节以方案内容评审为准,不要求另行提供截图、产品彩页等佐证材料。</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5.1 项目实施方案(总体方案设计要求)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投标人应在服务需求内容上深化总体设计方案,方案至少包含以下内容: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 需求分析:对本院处方点评业务现状、门急诊与住院处方(医嘱)回顾性点评的业务流程、药师岗位分工与职称层级、点评质量验证的业务诉求进行分析,并说明本方案如何对应第三章、第四章各项要求。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 组织架构及实施步骤:项目组织架构、各岗位职责分工与汇报关系;从需求调研、原型设计、开发、接口联调、试运行、培训、终验的完整实施步骤及各步骤的输入输出。</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 项目实施计划及时间进度安排:与本采购需求对应的进度计划,细化至周,明确各阶段起止时间、人员投入、我院需配合事项及交付物清单。</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 风险识别与应对措施:识别本项目在数据对接、模型服务可用性、进度、人员、数据安全等方面的主要风险,逐项给出发生条件、影响程度与具体应对措施。</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5.2 技术方案与系统架构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投标人应提供系统总体技术方案,方案至少包含以下内容: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 总体架构与技术栈:系统分层架构、各模块划分及相互关系,所采用的开发语言、框架、数据库、中间件及容器化封装方案。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 点评引擎与院内系统的解耦方案:点评引擎与我院 HIS、LIS、EMR 等系统的接口边界、数据流向、解耦方式,以及院内系统变更时的适配方式。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 人工智能模型可替换、可扩充机制:模型接入的抽象方式,新增或更换模型厂商时的操作路径,并说明如何做到仅通过管理界面配置即可完成、不修改代码。</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 日常点评线与验证模块的隔离设计:两条业务线在数据存储、业务逻辑与人员派工上的隔离方式,以及第四章 4.5、4.6 所要求隔离的技术实现路径。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⑤ 安全设计:数据脱敏、权限控制、操作审计、凭据管理、生产环境配置等方面的设计措施。</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5.3 数据接入与集成方案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投标人应针对功能需求(一)全部 12 项要求提供数据接入与集成方案,方案至少包含以下内容: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 对接方式与接口费用承担:与我院各信息系统的对接方式、所需接口与数据范围、联调计划,并明确全部接口费用由投标人承担的落实方式。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 导入进度可视化与单张容错机制:分阶段进度展示方式,单张处方导入失败时的隔离、记录、查询与定向重拉机制,以及失败数量如实汇总的保障方式。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 一张医嘱含多个药品的拆分处理:中药、成药类医嘱拆分为多条药品明细的处理逻辑及对统计口径的影响说明。</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 与源系统的逐日对账与字段级比对方法:对账工具的实现方式、比对字段范围、抽样比例与比对报告输出格式。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⑤ 导入幂等性保障:同一时间窗重复导入不产生重复数据的判重依据与实现方式。</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5.4 人工智能辅助点评方案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投标人应针对功能需求(三)全部 14 项要求提供人工智能辅助点评方案,方案至少包含以下内容: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 三家异源模型的选型与并行调用机制:拟接入的模型类别与选型依据(须为不同厂商、不同基座)、并行调用方式、并发与超时控制。</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 模型版本锁定与厂商实际返回型号留痕:型号配置到带日期快照版本的实现方式,请求型号与实际返回型号分列存储的字段设计及用途说明。</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 推理模式按厂商独立开关:配置项的组织方式、输出长度上限的自动校验逻辑,以及对未登记模型选择开关时的报错处理。</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 提示词与调用参数的版本指纹机制:指纹的生成范围、变更判定方式,以及指纹相同时跳过重复调用、指纹变化时不影响历史结果的实现方式。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⑤ 多轮次结果并存不覆盖:轮次标签的组织方式、界面按轮次查看的实现方式。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⑥ 缺家如实告知与运行完整性自检:参与家数不足时的界面提示与原因展示方式;轮次条数完整性、厂商齐备性、版本指纹一致性的自检逻辑与报告输出。</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5.5 多模型合议方案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投标人应针对功能需求(四)全部 4 项要求提供多模型合议方案,方案至少包含以下内容: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 分歧程度量化指标的产生与使用方式:指标的产生环节、取值形式,以及在排序、分组、筛选、统计、导出中的使用方式。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 六类形态标签的判定逻辑:一致且无问题、一致且有问题、轻度分歧、重度分歧、仅单模型可用、全部失败等形态的判定条件与展示方式。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 系统不自动作出最终判定的技术保障措施:说明系统在何处、以何种方式确保不依据分歧程度或任何自动化指标作出放行、拦截或最终合规性判定,最终结论由药师确认并署名。</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④本节须附多模型合议结果展示界面样张或原型图 1 张,应能体现各模型结论、合议结论与分歧程度的层次关系。</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5.6 点评质量验证与一致性评价专用模块方案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投标人应针对功能需求（四） 4.1 至 4.10 全部要求提供专用模块方案,方案至少包含以下内容: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 抽样可复现机制:抽样参数与随机种子的组织方式,以及相同参数产出相同样本集合的保障方式。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 多人全量独立点评的实现:支持 4 名及以上评审药师对同一批全部样本各自独立点评的任务组织方式,以及独立期屏蔽范围(他人结论、仲裁结论、临床顾问意见、人工智能与合议结论)的实现方式。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 匿名编码与呈现顺序去顺序化:匿名编码的分配与唯一映射方式、真实姓名的可见范围;按评审者做确定性打乱且重复进入顺序稳定的实现方式。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 共识判定四类路径及抽检比例可配置:全体一致、多数一致、平票及其他情形的处理流程,抽检比例的配置方式与全过程留痕方式。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⑤ 交叉盲隔离与架构隔离的实现方式:验证样本与日常派工自动互斥的实现;抽样、派工、共识判定形成三处逻辑不读取人工智能结果的实现路径,以及自动化断言测试的用例设计说明(测试对象、断言条件、失败判定方式、现场运行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⑥ 指标计算与结构化导出:NPV、PPV、灵敏度、特异度、准确率、一致性系数及 95% 置信区间的计算方式;混淆矩阵极性唯一定义的实现;逐张明细与汇总指标两种粒度的导出格式；本节须附共识判定或仲裁工作台界面样张或原型图 1 张。</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5.7 权限角色与安全配置方案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投标人应针对功能需求(十)全部 6 项要求提供权限角色与安全配置方案,方案至少包含以下内容: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 职称四级派生权限体系:药师、主管药师、副主任药师、主任药师四级职称与细粒度能力的派生关系及单调递增的实现方式。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 研究与验证角色独立授权机制:项目负责人、仲裁人、验证评审药师、临床顾问等角色的授权方式,以及与日常职称体系互不继承的实现方式。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 运维文档模块的访问控制:仅超级管理员可见、无导航入口、非授权访问返回 404 的实现方式。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 登录失败锁定与一人一密:失败次数阈值、锁定与解锁流程、初始密码强制修改机制。</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⑤ 生产环境配置与凭据管理:生产环境关闭调试模式的保障方式,以及避免在代码仓库、配置文件、备份文件、日志中留存明文凭据的具体措施。</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5.8 培训与知识转移方案</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投标人应提供培训与知识转移方案,方案至少包含以下内容: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 培训对象与分组:按药师、管理人员、系统管理员等分组,明确各组培训重点。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 培训轮次与课时安排:培训轮次、每轮课时、时间安排及与实施里程碑的衔接。</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 培训材料清单:药师操作手册、管理员手册、接口与部署文档等材料的清单与形式。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 知识转移交付物与验收方式:知识转移的内容范围、交付物清单、验收标准与确认方式。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⑤ 接管维护可行性说明:系统由我院或我院委托的第三方接管维护的可行性,包括环境依赖、构建方式、常见故障处置路径。</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六、技术要求</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6.1 体系架构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采用 B/S 架构，技术栈主流、文档完备、便于维护；点评引擎与具体信息系统解耦，通过标准接口对接。</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模块化设计，人工智能模型可替换、可扩充，不绑定单一模型供应商。</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6.2 部署架构</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支持容器化封装部署，实现环境一致、快速部署与版本回滚。</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容器编排与弹性伸缩：投标人须承诺具备相应技术能力，具体实施按我院后续环境要求配合完成，不作为本期交付验收项。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私有化部署于我院内部或我院指定的服务器环境，不依赖公有云；支持院内网络访问及必要的访问审计。</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6.3 国产化建设</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投标人须承诺具备主流国产操作系统、数据库、中间件及国产 CPU 架构的适配能力，并在我院正式提出适配需求后 30 个工作日内完成适配。本期不作为交付验收项，适配所需工作纳入质保与免费运维期服务范围。</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6.4 接口与集成</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提供标准化、文档完备的接口，支持与我院 HIS、LIS、PACS 等院内系统的数据对接与点评结果回传。</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与我院各信息系统对接所产生的全部接口费用，由投标人承担。投标人应在投标报价中充分考虑该项成本，中标后不得以接口费用为由要求追加费用或延期。</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6.5 兼容性</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兼容主流浏览器（如 Chrome、Edge 等）及主流国产浏览器。</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6.6 可靠性与数据备份</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支持数据定期备份与恢复；关键服务异常可监控、可恢复；备份与恢复须提供可操作的演练方案，并在终验时演示一次完整恢复。</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6.7 日志与监控</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提供系统运行日志、接口调用日志与操作日志，支持运行状态监控与日志检索导出。</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七、数据与信息安全要求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处方及诊疗数据须进行脱敏处理后用于点评与分析。</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数据存储于我院内部或我院指定的环境，数据不出境；数据所有权归我院所有。</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符合网络安全等级保护及个人信息保护相关法律法规要求。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等级保护级别按二级要求建设。后期我院如参加网络安全等级保护测评，投标人须根据测评结果配合完成相应整改；配合整改工作纳入质保与免费运维期服务范围，不另行计费。</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生产环境不得开启调试模式；不得在代码仓库、配置文件、备份文件、日志中留存明文凭据。</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数据库备份文件视同原始诊疗数据管理，不得以任何形式外带、上传网盘或通过邮件传递。</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 提供完整的操作与数据访问日志，支持审计与可追溯。</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八、知识产权与交付要求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本项目开发形成的软件著作权及相关知识产权归我院所有（具体以采购合同约定为准）。</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投标人不得主张本项目形成的任何技术方案的专利权、著作权或其他知识产权；未经我院书面同意，不得就本项目涉及的技术方案单独或联合申请专利，不得将本项目技术方案用于其他项目投标或产品化。</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交付完整源代码、数据库结构、接口文档、部署文档及运维手册。</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交付物须包含完整的构建脚本与依赖清单，保证我院可在自有环境下从源代码独立构建出可运行系统。</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提供知识转移与培训，确保系统可由我院或我院委托的第三方接管维护。</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不得设置任何形式的技术锁定；合同终止或退出时，应完整移交系统、数据与文档，并配合过渡。</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九、服务要求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实施服务：负责系统部署、接口联调、数据迁移与上线。</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培训：为药师及管理人员提供操作培训，培训不少于 2 轮，并提供培训材料。</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运维响应（分级）：</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（1）严重：系统不可用、核心功能中断，4小时内响应/24小时内解决；</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（2）一般：部分功能异常、不影响核心使用，8小时内响应/3个工作日内解决；</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（3）咨询：使用咨询与优化建议，12小时内响应。</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十、付款方式</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预付款支付时间：合同签订后，采购人收到预付款发票后10个工作日内，预付款支付比例：合同金额的30%。</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尾款支付时间：项目全部建设内容完成，终验合格后付清。（以上付款均无息）。甲方收到乙方发票10个工作日内支付款项。</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十一、履约与验收标准</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功能验收：对照第三章、第四章功能需求逐项核验。关键功能（规则校验、人工智能辅助、多模型合议、药师工作台、处方点评、留痕审计、第四章专用模块）须现场演示通过。</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性能验收：满足第五章技术要求中约定的性能指标。</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安全验收：数据脱敏、数据不出境、留痕审计等符合第六章要求，并通过我院信息安全审查。</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交付验收：源代码、数据库结构、接口与部署文档、运维手册齐全；完成知识转移与知识产权移交。</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源代码可重现构建验收：由我院或我院委托的第三方，在我院环境下，仅依据投标人提交的源代码、构建脚本与依赖清单，完整构建出可运行系统并跑通核心业务流程。构建失败、依赖缺失或需中标人另行提供未交付文件的，视为验收不通过。</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 数据恢复演练：现场演示一次完整的备份恢复过程。</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上述任一项未通过的，中标人须在我院指定期限内整改并重新提交验收；累计三次验收不通过的，我院有权解除合同。</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十二、配套宣传推广网站</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投标人须制作一套用于本系统宣传与推广的配套网站，独立于院内临床系统部署。</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域名和云服务器：提供并完成备案域名、云服务器及相应带宽，首年域名与云服务器费用由投标人承担。</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 内容：系统／项目介绍、功能与成果展示等宣传性内容，最终内容以我院书面确认为准。</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界面：设计美观大方、风格统一，支持 PC 与移动端响应式自适应。</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安全合规：网站为对外公开站点，不得包含任何患者信息、处方数据等敏感或涉密信息；遵守相关法律法规与备案要求。</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维护：首年内免费提供网站内容更新与运行维护；期满后域名与服务器的续费移交我院。</w:t>
      </w:r>
      <w:r/>
    </w:p>
    <w:p>
      <w:pPr>
        <w:ind w:firstLine="482"/>
        <w:jc w:val="left"/>
        <w:spacing w:line="560" w:lineRule="exact"/>
        <w:widowControl/>
        <w:rPr>
          <w:rFonts w:hint="eastAsia"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lang w:val="en-US" w:eastAsia="zh-CN"/>
        </w:rPr>
        <w:t xml:space="preserve">十三</w:t>
      </w:r>
      <w:r>
        <w:rPr>
          <w:rFonts w:hint="eastAsia" w:ascii="宋体" w:hAnsi="宋体" w:eastAsia="宋体" w:cs="宋体"/>
          <w:b/>
          <w:bCs/>
          <w:color w:val="auto"/>
          <w:sz w:val="24"/>
          <w:szCs w:val="20"/>
          <w:highlight w:val="none"/>
        </w:rPr>
        <w:t xml:space="preserve">、</w:t>
      </w:r>
      <w:r>
        <w:rPr>
          <w:rFonts w:hint="eastAsia" w:ascii="宋体" w:hAnsi="宋体" w:eastAsia="Arial" w:cs="宋体"/>
          <w:b/>
          <w:bCs/>
          <w:color w:val="auto"/>
          <w:sz w:val="24"/>
          <w:szCs w:val="20"/>
          <w:highlight w:val="none"/>
        </w:rPr>
        <w:t xml:space="preserve">业绩</w:t>
      </w:r>
      <w:r/>
    </w:p>
    <w:p>
      <w:pPr>
        <w:numPr>
          <w:ilvl w:val="0"/>
          <w:numId w:val="0"/>
        </w:numPr>
        <w:ind w:firstLine="480"/>
        <w:jc w:val="left"/>
        <w:spacing w:line="560" w:lineRule="exact"/>
        <w:widowControl/>
      </w:pPr>
      <w:r>
        <w:rPr>
          <w:rFonts w:hint="eastAsia" w:ascii="宋体" w:hAnsi="宋体" w:eastAsia="Arial" w:cs="宋体"/>
          <w:color w:val="auto"/>
          <w:sz w:val="24"/>
          <w:szCs w:val="20"/>
          <w:highlight w:val="none"/>
        </w:rPr>
        <w:t xml:space="preserve">为了确保项目的顺利实施，投标人需具有类似项目的相关承接经验，投标人自202</w:t>
      </w:r>
      <w:r>
        <w:rPr>
          <w:rFonts w:hint="eastAsia" w:ascii="宋体" w:hAnsi="宋体" w:eastAsia="宋体" w:cs="宋体"/>
          <w:color w:val="auto"/>
          <w:sz w:val="24"/>
          <w:szCs w:val="20"/>
          <w:highlight w:val="none"/>
          <w:lang w:val="en-US" w:eastAsia="zh-CN"/>
        </w:rPr>
        <w:t xml:space="preserve">3</w:t>
      </w:r>
      <w:r>
        <w:rPr>
          <w:rFonts w:hint="eastAsia" w:ascii="宋体" w:hAnsi="宋体" w:eastAsia="Arial" w:cs="宋体"/>
          <w:color w:val="auto"/>
          <w:sz w:val="24"/>
          <w:szCs w:val="20"/>
          <w:highlight w:val="none"/>
        </w:rPr>
        <w:t xml:space="preserve">年1月1日以来（以合同签订日期为准），承担过</w:t>
      </w:r>
      <w:r>
        <w:rPr>
          <w:rFonts w:hint="eastAsia" w:ascii="宋体" w:hAnsi="宋体" w:eastAsia="宋体" w:cs="宋体"/>
          <w:color w:val="auto"/>
          <w:sz w:val="24"/>
          <w:szCs w:val="20"/>
          <w:highlight w:val="none"/>
          <w:lang w:val="en-US" w:eastAsia="zh-CN"/>
        </w:rPr>
        <w:t xml:space="preserve">信息化</w:t>
      </w:r>
      <w:r>
        <w:rPr>
          <w:rFonts w:hint="eastAsia" w:ascii="宋体" w:hAnsi="宋体" w:eastAsia="宋体" w:cs="宋体"/>
          <w:color w:val="auto"/>
          <w:sz w:val="24"/>
          <w:szCs w:val="24"/>
          <w:highlight w:val="none"/>
          <w:lang w:val="en-US" w:eastAsia="zh-CN"/>
        </w:rPr>
        <w:t xml:space="preserve">项目建设</w:t>
      </w:r>
      <w:r>
        <w:rPr>
          <w:rFonts w:hint="eastAsia" w:ascii="宋体" w:hAnsi="宋体" w:eastAsia="Arial" w:cs="宋体"/>
          <w:b w:val="0"/>
          <w:bCs/>
          <w:color w:val="auto"/>
          <w:sz w:val="24"/>
          <w:szCs w:val="20"/>
          <w:highlight w:val="none"/>
        </w:rPr>
        <w:t xml:space="preserve">的</w:t>
      </w:r>
      <w:r>
        <w:rPr>
          <w:rFonts w:hint="eastAsia" w:ascii="宋体" w:hAnsi="宋体" w:eastAsia="Arial" w:cs="宋体"/>
          <w:b/>
          <w:bCs w:val="0"/>
          <w:color w:val="auto"/>
          <w:sz w:val="24"/>
          <w:szCs w:val="20"/>
          <w:highlight w:val="none"/>
        </w:rPr>
        <w:t xml:space="preserve">优先</w:t>
      </w:r>
      <w:r>
        <w:rPr>
          <w:rFonts w:hint="eastAsia" w:ascii="宋体" w:hAnsi="宋体" w:eastAsia="Arial" w:cs="宋体"/>
          <w:b w:val="0"/>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十四、采购标的对应的中小企业划分标准所属行业一览表</w:t>
      </w:r>
      <w:r/>
    </w:p>
    <w:tbl>
      <w:tblPr>
        <w:tblStyle w:val="732"/>
        <w:tblW w:w="888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3927"/>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3805" w:type="dxa"/>
            <w:vAlign w:val="center"/>
            <w:textDirection w:val="lrTb"/>
            <w:noWrap w:val="false"/>
          </w:tcPr>
          <w:p>
            <w:pPr>
              <w:jc w:val="center"/>
              <w:keepLines w:val="0"/>
              <w:keepNext w:val="0"/>
              <w:pageBreakBefore w:val="0"/>
              <w:spacing w:before="100" w:after="100" w:line="560" w:lineRule="exact"/>
              <w:widowControl w:val="off"/>
              <w:rPr>
                <w:rFonts w:hint="eastAsia" w:ascii="宋体" w:hAnsi="宋体" w:eastAsia="宋体" w:cs="宋体"/>
                <w:sz w:val="24"/>
              </w:rPr>
            </w:pPr>
            <w:r>
              <w:rPr>
                <w:rFonts w:hint="eastAsia" w:ascii="宋体" w:hAnsi="宋体" w:eastAsia="宋体" w:cs="宋体"/>
                <w:sz w:val="24"/>
              </w:rPr>
              <w:t xml:space="preserve">采购标的</w:t>
            </w:r>
            <w:r/>
          </w:p>
        </w:tc>
        <w:tc>
          <w:tcPr>
            <w:tcW w:w="3927" w:type="dxa"/>
            <w:vAlign w:val="center"/>
            <w:textDirection w:val="lrTb"/>
            <w:noWrap w:val="false"/>
          </w:tcPr>
          <w:p>
            <w:pPr>
              <w:jc w:val="center"/>
              <w:spacing w:before="100" w:after="100" w:line="360" w:lineRule="auto"/>
              <w:rPr>
                <w:rFonts w:hint="eastAsia" w:ascii="宋体" w:hAnsi="宋体" w:eastAsia="宋体" w:cs="宋体"/>
                <w:sz w:val="24"/>
              </w:rPr>
            </w:pPr>
            <w:r>
              <w:rPr>
                <w:rFonts w:hint="eastAsia" w:ascii="宋体" w:hAnsi="宋体" w:eastAsia="宋体" w:cs="宋体"/>
                <w:sz w:val="24"/>
              </w:rPr>
              <w:t xml:space="preserve">对应中小企业划分标准所属行业</w:t>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ascii="宋体" w:hAnsi="宋体" w:eastAsia="宋体" w:cs="宋体"/>
                <w:sz w:val="24"/>
              </w:rPr>
            </w:pPr>
            <w:r>
              <w:rPr>
                <w:rFonts w:hint="eastAsia" w:ascii="宋体" w:hAnsi="宋体" w:eastAsia="宋体" w:cs="宋体"/>
                <w:sz w:val="24"/>
              </w:rPr>
              <w:t xml:space="preserve">1</w:t>
            </w:r>
            <w:r/>
          </w:p>
        </w:tc>
        <w:tc>
          <w:tcPr>
            <w:tcW w:w="380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rPr>
            </w:pPr>
            <w:r>
              <w:rPr>
                <w:rFonts w:hint="eastAsia" w:ascii="宋体" w:hAnsi="宋体" w:eastAsia="宋体" w:cs="宋体"/>
                <w:color w:val="000000"/>
                <w:sz w:val="24"/>
                <w:szCs w:val="20"/>
              </w:rPr>
              <w:t xml:space="preserve">盐城市第四人民医院智慧处方点评系统项目</w:t>
            </w:r>
            <w:r/>
          </w:p>
        </w:tc>
        <w:tc>
          <w:tcPr>
            <w:tcW w:w="3927" w:type="dxa"/>
            <w:vAlign w:val="center"/>
            <w:textDirection w:val="lrTb"/>
            <w:noWrap w:val="false"/>
          </w:tcPr>
          <w:p>
            <w:pPr>
              <w:jc w:val="center"/>
              <w:spacing w:before="100" w:after="100" w:line="360" w:lineRule="auto"/>
              <w:rPr>
                <w:rFonts w:hint="eastAsia" w:ascii="宋体" w:hAnsi="宋体" w:eastAsia="宋体" w:cs="宋体"/>
                <w:sz w:val="24"/>
              </w:rPr>
            </w:pPr>
            <w:r>
              <w:rPr>
                <w:rFonts w:hint="eastAsia" w:ascii="宋体" w:hAnsi="宋体" w:eastAsia="宋体" w:cs="宋体"/>
                <w:sz w:val="24"/>
              </w:rPr>
              <w:t xml:space="preserve">软件和信息技术服务业</w:t>
            </w:r>
            <w:r/>
          </w:p>
        </w:tc>
      </w:tr>
    </w:tbl>
    <w:p>
      <w:pPr>
        <w:pStyle w:val="755"/>
        <w:jc w:val="both"/>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55"/>
        <w:jc w:val="both"/>
        <w:keepNext/>
        <w:spacing w:beforeAutospacing="0" w:afterAutospacing="0" w:line="560" w:lineRule="exact"/>
        <w:tabs>
          <w:tab w:val="left" w:pos="1188" w:leader="none"/>
        </w:tabs>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55"/>
        <w:ind w:firstLine="1760"/>
        <w:jc w:val="both"/>
        <w:keepNext/>
        <w:spacing w:beforeAutospacing="0" w:afterAutospacing="0" w:line="560" w:lineRule="exact"/>
        <w:tabs>
          <w:tab w:val="left" w:pos="1188" w:leader="none"/>
        </w:tabs>
      </w:pPr>
      <w:r>
        <w:rPr>
          <w:rFonts w:hint="eastAsia" w:ascii="黑体" w:hAnsi="宋体" w:eastAsia="黑体" w:cs="黑体"/>
          <w:color w:val="000000"/>
          <w:sz w:val="44"/>
          <w:szCs w:val="44"/>
        </w:rPr>
        <w:t xml:space="preserve">第五章 </w:t>
      </w:r>
      <w:r>
        <w:rPr>
          <w:rFonts w:hint="eastAsia" w:ascii="黑体" w:hAnsi="宋体" w:eastAsia="黑体" w:cs="黑体"/>
          <w:bCs/>
          <w:color w:val="000000"/>
          <w:sz w:val="44"/>
          <w:szCs w:val="44"/>
        </w:rPr>
        <w:t xml:space="preserve">评标方法与评标标准</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一、定标原则</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本项目采用</w:t>
      </w:r>
      <w:r>
        <w:rPr>
          <w:rFonts w:hint="eastAsia" w:ascii="宋体" w:hAnsi="宋体" w:eastAsia="宋体" w:cs="宋体"/>
          <w:color w:val="auto"/>
          <w:sz w:val="24"/>
          <w:szCs w:val="20"/>
          <w:highlight w:val="none"/>
          <w:u w:val="single"/>
          <w:lang w:val="en-US" w:eastAsia="zh-CN"/>
        </w:rPr>
        <w:t xml:space="preserve">综合评分</w:t>
      </w:r>
      <w:r>
        <w:rPr>
          <w:rFonts w:hint="eastAsia" w:ascii="宋体" w:hAnsi="宋体" w:eastAsia="宋体" w:cs="宋体"/>
          <w:color w:val="auto"/>
          <w:sz w:val="24"/>
          <w:szCs w:val="20"/>
          <w:highlight w:val="none"/>
          <w:lang w:val="en-US" w:eastAsia="zh-CN"/>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政府采购政策功能落实</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1、小微型企业</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（1）本项目专门面向中小企业采购，不再对小型和微型企业服务给予价格扣除。</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（2）供应商需按照采购文件的要求提供相应的《中小企业声明函》。</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（3）企业标准请参照《关于印发中小企业划型标准规定的通知》（工信部联企业[2011]300号）文件规定自行填写。</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2、残疾人福利单位</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（1）本项目对残疾人福利性单位视同小型、微型企业。</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（2）残疾人福利单位标准请参照《关于促进残疾人就业政府采购政策的通知》（财库〔2017〕141号），需提供《残疾人福利性单位声明函》。</w:t>
      </w:r>
      <w:r/>
    </w:p>
    <w:p>
      <w:pPr>
        <w:ind w:firstLine="482"/>
        <w:jc w:val="left"/>
        <w:spacing w:line="556"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3、监狱和戒毒企业</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（1）本项目对监狱和戒毒企业（简称监狱企业）视同小型、微型企业。</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（2）监狱企业参加政府采购活动时，需提供由省级以上监狱管理局、戒毒管理局(含新疆生产建设兵团)出具的属于监狱企业的证明文件。</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（3）监狱企业标准请参照《关于政府采购支持监狱企业发展有关问题的通知》（财库[2014]68号）。</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4、残疾人福利单位、监狱企业属于小型、微型企业的，不重复享受政策。</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en-US" w:eastAsia="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en-US" w:eastAsia="zh-CN"/>
        </w:rPr>
        <w:t xml:space="preserve">。其他条件相同情况下，应当优先采购节能产品、环境标志产品。</w:t>
      </w:r>
      <w:r/>
    </w:p>
    <w:p>
      <w:pPr>
        <w:ind w:firstLine="482"/>
        <w:jc w:val="left"/>
        <w:keepLines w:val="0"/>
        <w:keepNext w:val="0"/>
        <w:pageBreakBefore w:val="0"/>
        <w:spacing w:line="560" w:lineRule="exact"/>
        <w:widowControl/>
        <w:rPr>
          <w:rFonts w:hint="eastAsia" w:ascii="宋体" w:hAnsi="Times New Roman" w:eastAsia="宋体" w:cs="Arial"/>
          <w:b/>
          <w:bCs/>
          <w:color w:val="000000"/>
          <w:sz w:val="24"/>
          <w:szCs w:val="21"/>
        </w:rPr>
      </w:pPr>
      <w:r>
        <w:rPr>
          <w:rFonts w:hint="eastAsia" w:ascii="宋体" w:hAnsi="Times New Roman" w:eastAsia="宋体" w:cs="Arial"/>
          <w:b/>
          <w:bCs/>
          <w:color w:val="000000"/>
          <w:sz w:val="24"/>
          <w:szCs w:val="21"/>
        </w:rPr>
        <w:t xml:space="preserve">二、评标方法与评标标准</w:t>
      </w:r>
      <w:r/>
    </w:p>
    <w:p>
      <w:pPr>
        <w:ind w:firstLine="482"/>
        <w:jc w:val="left"/>
        <w:keepLines w:val="0"/>
        <w:keepNext w:val="0"/>
        <w:pageBreakBefore w:val="0"/>
        <w:spacing w:line="560" w:lineRule="exact"/>
        <w:widowControl/>
        <w:rPr>
          <w:rFonts w:hint="default" w:ascii="宋体" w:hAnsi="Times New Roman" w:eastAsia="宋体" w:cs="Arial"/>
          <w:b/>
          <w:bCs/>
          <w:color w:val="000000"/>
          <w:sz w:val="24"/>
          <w:szCs w:val="21"/>
          <w:lang w:val="en-US" w:eastAsia="zh-CN"/>
        </w:rPr>
      </w:pPr>
      <w:r>
        <w:rPr>
          <w:rFonts w:hint="eastAsia" w:ascii="宋体" w:hAnsi="Times New Roman" w:eastAsia="宋体" w:cs="Arial"/>
          <w:b/>
          <w:bCs/>
          <w:color w:val="000000"/>
          <w:sz w:val="24"/>
          <w:szCs w:val="21"/>
          <w:lang w:val="en-US" w:eastAsia="zh-CN"/>
        </w:rPr>
        <w:t xml:space="preserve">本项目总分值为100分。</w:t>
      </w:r>
      <w:r/>
    </w:p>
    <w:tbl>
      <w:tblPr>
        <w:tblStyle w:val="732"/>
        <w:tblpPr w:horzAnchor="page" w:tblpX="1619" w:vertAnchor="text" w:tblpY="291" w:leftFromText="180" w:topFromText="0" w:rightFromText="180" w:bottomFromText="0"/>
        <w:tblW w:w="87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05"/>
        <w:gridCol w:w="1461"/>
        <w:gridCol w:w="6176"/>
      </w:tblGrid>
      <w:tr>
        <w:trPr>
          <w:trHeight w:val="629"/>
        </w:trPr>
        <w:tc>
          <w:tcPr>
            <w:tcMar>
              <w:left w:w="15" w:type="dxa"/>
              <w:top w:w="15" w:type="dxa"/>
              <w:right w:w="15" w:type="dxa"/>
            </w:tcMar>
            <w:tcW w:w="1105" w:type="dxa"/>
            <w:vAlign w:val="center"/>
            <w:textDirection w:val="lrTb"/>
            <w:noWrap w:val="false"/>
          </w:tcPr>
          <w:p>
            <w:pPr>
              <w:jc w:val="center"/>
              <w:keepLines w:val="0"/>
              <w:keepNext w:val="0"/>
              <w:pageBreakBefore w:val="0"/>
              <w:spacing w:line="560" w:lineRule="exact"/>
              <w:widowControl/>
              <w:rPr>
                <w:rFonts w:ascii="宋体" w:hAnsi="宋体" w:cs="宋体"/>
                <w:sz w:val="24"/>
                <w:lang w:bidi="ar"/>
              </w:rPr>
            </w:pPr>
            <w:r>
              <w:rPr>
                <w:rFonts w:hint="eastAsia" w:ascii="宋体" w:hAnsi="宋体" w:cs="宋体"/>
                <w:sz w:val="24"/>
                <w:lang w:bidi="ar"/>
              </w:rPr>
              <w:t xml:space="preserve">评分项目</w:t>
            </w:r>
            <w:r/>
          </w:p>
        </w:tc>
        <w:tc>
          <w:tcPr>
            <w:tcMar>
              <w:left w:w="15" w:type="dxa"/>
              <w:top w:w="15" w:type="dxa"/>
              <w:right w:w="15" w:type="dxa"/>
            </w:tcMar>
            <w:tcW w:w="1461" w:type="dxa"/>
            <w:vAlign w:val="center"/>
            <w:textDirection w:val="lrTb"/>
            <w:noWrap w:val="false"/>
          </w:tcPr>
          <w:p>
            <w:pPr>
              <w:jc w:val="center"/>
              <w:keepLines w:val="0"/>
              <w:keepNext w:val="0"/>
              <w:pageBreakBefore w:val="0"/>
              <w:spacing w:line="560" w:lineRule="exact"/>
              <w:widowControl/>
              <w:rPr>
                <w:rFonts w:ascii="宋体" w:hAnsi="宋体" w:cs="宋体"/>
                <w:sz w:val="24"/>
                <w:lang w:bidi="ar"/>
              </w:rPr>
            </w:pPr>
            <w:r>
              <w:rPr>
                <w:rFonts w:hint="eastAsia" w:ascii="宋体" w:hAnsi="宋体" w:cs="宋体"/>
                <w:sz w:val="24"/>
                <w:lang w:bidi="ar"/>
              </w:rPr>
              <w:t xml:space="preserve">评分标准</w:t>
            </w:r>
            <w:r/>
          </w:p>
        </w:tc>
        <w:tc>
          <w:tcPr>
            <w:tcW w:w="6176" w:type="dxa"/>
            <w:vAlign w:val="center"/>
            <w:textDirection w:val="lrTb"/>
            <w:noWrap w:val="false"/>
          </w:tcPr>
          <w:p>
            <w:pPr>
              <w:jc w:val="center"/>
              <w:keepLines w:val="0"/>
              <w:keepNext w:val="0"/>
              <w:pageBreakBefore w:val="0"/>
              <w:spacing w:line="560" w:lineRule="exact"/>
              <w:widowControl/>
              <w:rPr>
                <w:rFonts w:ascii="宋体" w:hAnsi="宋体" w:cs="宋体"/>
                <w:sz w:val="24"/>
                <w:lang w:bidi="ar"/>
              </w:rPr>
            </w:pPr>
            <w:r>
              <w:rPr>
                <w:rFonts w:hint="eastAsia" w:ascii="宋体" w:hAnsi="宋体" w:cs="宋体"/>
                <w:sz w:val="24"/>
                <w:lang w:bidi="ar"/>
              </w:rPr>
              <w:t xml:space="preserve">评分细则</w:t>
            </w:r>
            <w:r/>
          </w:p>
        </w:tc>
      </w:tr>
      <w:tr>
        <w:trPr/>
        <w:tc>
          <w:tcPr>
            <w:tcMar>
              <w:left w:w="15" w:type="dxa"/>
              <w:top w:w="15" w:type="dxa"/>
              <w:right w:w="15" w:type="dxa"/>
            </w:tcMar>
            <w:tcW w:w="1105" w:type="dxa"/>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投标报价</w:t>
            </w:r>
            <w:r/>
          </w:p>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(10分)</w:t>
            </w:r>
            <w:r/>
          </w:p>
        </w:tc>
        <w:tc>
          <w:tcPr>
            <w:tcMar>
              <w:left w:w="15" w:type="dxa"/>
              <w:top w:w="15" w:type="dxa"/>
              <w:right w:w="15" w:type="dxa"/>
            </w:tcMar>
            <w:tcW w:w="1461" w:type="dxa"/>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投标报价</w:t>
            </w:r>
            <w:r/>
          </w:p>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（10分）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满足招标文件要求且投标报价最低的投标报价为评标基准价,其价格分为满分。其他投标人的价格分统一按照下列公式计算:投标报价得分 =(评标基准价 / 投标报价)× 10(四舍五入后保留小数点后两位)。</w:t>
            </w:r>
            <w:r/>
          </w:p>
        </w:tc>
      </w:tr>
      <w:tr>
        <w:trPr>
          <w:trHeight w:val="1182"/>
        </w:trPr>
        <w:tc>
          <w:tcPr>
            <w:tcMar>
              <w:left w:w="15" w:type="dxa"/>
              <w:top w:w="15" w:type="dxa"/>
              <w:right w:w="15" w:type="dxa"/>
            </w:tcMar>
            <w:tcW w:w="1105" w:type="dxa"/>
            <w:vAlign w:val="center"/>
            <w:vMerge w:val="restart"/>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技术指标</w:t>
            </w:r>
            <w:r/>
          </w:p>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（80分）</w:t>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rPr>
            </w:pPr>
            <w:r/>
            <w:bookmarkStart w:id="173" w:name="OLE_LINK61"/>
            <w:r/>
            <w:bookmarkStart w:id="174" w:name="OLE_LINK62"/>
            <w:r>
              <w:rPr>
                <w:rFonts w:hint="eastAsia" w:ascii="宋体" w:hAnsi="宋体" w:eastAsia="宋体" w:cs="宋体"/>
                <w:sz w:val="24"/>
                <w:szCs w:val="24"/>
              </w:rPr>
              <w:t xml:space="preserve">项目实施</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方案</w:t>
            </w:r>
            <w:r/>
          </w:p>
          <w:p>
            <w:pPr>
              <w:ind w:firstLine="240"/>
              <w:jc w:val="both"/>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bookmarkEnd w:id="173"/>
            <w:r/>
            <w:bookmarkEnd w:id="174"/>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投标人根据本项目采购需求第五章 5.1"项目实施方案(总体方案设计要求)",提供科学合理的项目实施方案,设计目标明确,结构层次划分清晰合理准确,方案至少包含:①需求分析 ②组织架构及实施步骤 ③项目实施计划及时间进度安排 ④风险识别与应对措施。方案优于要求的得8分，符合要求得7分，不符合要求或未提供的不得分。</w:t>
            </w:r>
            <w:r/>
          </w:p>
          <w:p>
            <w:pPr>
              <w:ind w:firstLine="482"/>
              <w:jc w:val="left"/>
              <w:spacing w:line="556"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917"/>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技术方案与系统架构</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投标人根据本项目采购需求第五章 5.2"技术方案与系统架构",提供科学合理的技术方案,设计目标明确,结构层次划分清晰合理准确,方案至少包含:①总体架构与技术栈 ②点评引擎与院内系统的解耦方案 ③人工智能模型可替换、可扩充机制 ④日常点评线与验证模块的隔离设计 ⑤安全设计。方案优于要求的得10分，符合要求得9分，不符合要求或未提供的不得分。</w:t>
            </w:r>
            <w:r/>
          </w:p>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996"/>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数据接入与集成方案</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投标人根据本项目采购需求第五章 5.3"数据接入与集成方案",提供科学合理的数据接入与集成方案,方案至少包含:①对接方式与接口费用承担 ②导入进度可视化与单张容错机制 ③一张医嘱含多个药品的拆分处理 ④与源系统的逐日对账与字段级比对方法 ⑤导入幂等性保障。方案优于要求的得10分，符合要求得9分，不符合要求或未提供的不得分。</w:t>
            </w:r>
            <w:r/>
          </w:p>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505"/>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人工智能辅助点评方案</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投标人根据本项目采购需求第五章 5.4"人工智能辅助点评方案",提供科学合理的人工智能辅助点评方案,方案至少包含:①三家异源模型的选型与并行调用机制 ②模型版本锁定与厂商实际返回型号留痕 ③推理模式按厂商独立开关 ④提示词与调用参数的版本指纹机制 ⑤多轮次结果并存不覆盖 ⑥缺家如实告知与运行完整性自检。方案优于要求的得12分，符合要求得11分，不符合要求或未提供的不得分。</w:t>
            </w:r>
            <w:r/>
          </w:p>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637"/>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多模型合议方案</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投标人根据本项目采购需求第五章 5.5"多模型合议方案",提供科学合理的多模型合议方案,方案至少包含:①分歧程度量化指标的产生与使用方式 ②六类形态标签的判定逻辑 ③系统不自动作出最终判定的技术保障措施④方案需附多模型合议结果展示界面样张或原型图 1 张。方案优于要求的得8分，符合要求得7分，不符合要求或未提供的不得分。</w:t>
            </w:r>
            <w:r/>
          </w:p>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505"/>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点评质量验证与一致性评价专用模块方案</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投标人根据本项目采购需求第五章 5.6"点评质量验证与一致性评价专用模块方案",提供科学合理的专用模块方案,方案至少包含:①抽样可复现机制 ②多人全量独立点评的实现 ③匿名编码与呈现顺序去顺序化 ④共识判定四类路径及抽检比例可配置 ⑤交叉盲隔离与架构隔离的实现方式及自动化断言测试用例设计 ⑥指标计算与结构化导出,并附共识判定或仲裁工作台界面样张或原型图 1 张。方案优于要求的得12分，符合要求得11分，不符合要求或未提供的不得分。</w:t>
            </w:r>
            <w:r/>
          </w:p>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020"/>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权限角色与安全配置方案</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投标人根据本项目采购需求第五章 5.7"权限角色与安全配置方案",提供科学合理的权限角色与安全配置方案,方案至少包含:①职称四级派生权限体系 ②研究与验证角色独立授权机制 ③运维文档模块的访问控制 ④登录失败锁定与一人一密 ⑤生产环境配置与凭据管理。方案优于要求的得10分，符合要求得9分，不符合要求或未提供的不得分。</w:t>
            </w:r>
            <w:r/>
          </w:p>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901"/>
        </w:trPr>
        <w:tc>
          <w:tcPr>
            <w:tcMar>
              <w:left w:w="15" w:type="dxa"/>
              <w:top w:w="15" w:type="dxa"/>
              <w:right w:w="15" w:type="dxa"/>
            </w:tcMar>
            <w:tcW w:w="1105" w:type="dxa"/>
            <w:vAlign w:val="center"/>
            <w:vMerge w:val="continue"/>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培训与知识转移方案</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投标人根据本项目采购需求第五章 5.8"培训与知识转移方案",提供科学合理的培训与知识转移方案,方案至少包含:①培训对象与分组 ②培训轮次与课时安排 ③培训材料清单 ④知识转移交付物与验收方式 ⑤接管维护可行性说明。方案优于要求的得10分，符合要求得9分，不符合要求或未提供的不得分。</w:t>
            </w:r>
            <w:r/>
          </w:p>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1625"/>
        </w:trPr>
        <w:tc>
          <w:tcPr>
            <w:tcMar>
              <w:left w:w="15" w:type="dxa"/>
              <w:top w:w="15" w:type="dxa"/>
              <w:right w:w="15" w:type="dxa"/>
            </w:tcMar>
            <w:tcW w:w="1105" w:type="dxa"/>
            <w:vAlign w:val="center"/>
            <w:textDirection w:val="lrTb"/>
            <w:noWrap w:val="false"/>
          </w:tcPr>
          <w:p>
            <w:pPr>
              <w:jc w:val="center"/>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rPr>
              <w:t xml:space="preserve">商务与履约保障（10分）</w:t>
            </w:r>
            <w:r/>
          </w:p>
        </w:tc>
        <w:tc>
          <w:tcPr>
            <w:tcMar>
              <w:left w:w="15" w:type="dxa"/>
              <w:top w:w="15" w:type="dxa"/>
              <w:right w:w="15" w:type="dxa"/>
            </w:tcMar>
            <w:tcW w:w="1461"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类似</w:t>
            </w:r>
            <w:r>
              <w:rPr>
                <w:rFonts w:hint="eastAsia" w:ascii="宋体" w:hAnsi="宋体" w:eastAsia="宋体" w:cs="宋体"/>
                <w:sz w:val="24"/>
                <w:szCs w:val="24"/>
                <w:lang w:val="en-US" w:eastAsia="zh-CN"/>
              </w:rPr>
              <w:t xml:space="preserve">业绩</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6176" w:type="dxa"/>
            <w:vAlign w:val="center"/>
            <w:textDirection w:val="lrTb"/>
            <w:noWrap w:val="false"/>
          </w:tcPr>
          <w:p>
            <w:pPr>
              <w:ind w:firstLine="482"/>
              <w:jc w:val="left"/>
              <w:spacing w:line="556"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自2023年1月1日以来(以合同签订日为准)已完成的信息化项目的实施业绩；每提供 1个得5分,最多计2个,共10分。</w:t>
            </w:r>
            <w:r/>
          </w:p>
          <w:p>
            <w:pPr>
              <w:ind w:firstLine="482"/>
              <w:jc w:val="left"/>
              <w:spacing w:line="556" w:lineRule="exact"/>
              <w:widowControl/>
              <w:rPr>
                <w:rFonts w:hint="eastAsia"/>
                <w:lang w:val="en-US" w:eastAsia="zh-CN"/>
              </w:rPr>
            </w:pPr>
            <w:r>
              <w:rPr>
                <w:rFonts w:hint="eastAsia" w:ascii="宋体" w:hAnsi="宋体" w:eastAsia="宋体" w:cs="宋体"/>
                <w:color w:val="auto"/>
                <w:sz w:val="24"/>
                <w:szCs w:val="24"/>
                <w:highlight w:val="none"/>
                <w:lang w:val="en-US" w:eastAsia="zh-CN"/>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r>
    </w:tbl>
    <w:p>
      <w:pPr>
        <w:spacing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55"/>
        <w:jc w:val="center"/>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55"/>
        <w:jc w:val="center"/>
        <w:keepNext/>
        <w:spacing w:beforeAutospacing="0" w:afterAutospacing="0" w:line="5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55"/>
        <w:jc w:val="center"/>
        <w:keepNext/>
        <w:spacing w:beforeAutospacing="0" w:afterAutospacing="0" w:line="560" w:lineRule="exact"/>
      </w:pPr>
      <w:r>
        <w:rPr>
          <w:rFonts w:hint="eastAsia" w:ascii="黑体" w:hAnsi="宋体" w:eastAsia="黑体" w:cs="黑体"/>
          <w:color w:val="000000"/>
          <w:sz w:val="44"/>
          <w:szCs w:val="44"/>
        </w:rPr>
        <w:t xml:space="preserve">第六章  投标文件格式 </w:t>
      </w:r>
      <w:r/>
    </w:p>
    <w:p>
      <w:pPr>
        <w:pStyle w:val="755"/>
        <w:jc w:val="center"/>
        <w:spacing w:beforeAutospacing="0" w:afterAutospacing="0" w:line="560" w:lineRule="exact"/>
        <w:rPr>
          <w:rFonts w:hint="eastAsia" w:ascii="宋体" w:hAnsi="宋体" w:eastAsia="宋体" w:cs="宋体"/>
          <w:b/>
          <w:color w:val="000000"/>
          <w:sz w:val="72"/>
          <w:szCs w:val="72"/>
        </w:rPr>
      </w:pPr>
      <w:r/>
      <w:bookmarkStart w:id="175" w:name="_Hlt26671244"/>
      <w:r/>
      <w:bookmarkEnd w:id="175"/>
      <w:r/>
      <w:bookmarkStart w:id="176" w:name="_Toc26554094"/>
      <w:r/>
      <w:bookmarkEnd w:id="176"/>
      <w:r/>
      <w:bookmarkStart w:id="177" w:name="_Hlt26955039"/>
      <w:r/>
      <w:bookmarkEnd w:id="177"/>
      <w:r/>
      <w:bookmarkStart w:id="178" w:name="_Toc49090576"/>
      <w:r/>
      <w:bookmarkStart w:id="179" w:name="_Toc120614282"/>
      <w:r/>
      <w:r/>
    </w:p>
    <w:p>
      <w:pPr>
        <w:pStyle w:val="755"/>
        <w:jc w:val="both"/>
        <w:spacing w:beforeAutospacing="0" w:afterAutospacing="0" w:line="560" w:lineRule="exact"/>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55"/>
        <w:jc w:val="center"/>
        <w:spacing w:beforeAutospacing="0" w:afterAutospacing="0" w:line="560" w:lineRule="exact"/>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55"/>
        <w:jc w:val="center"/>
        <w:spacing w:beforeAutospacing="0" w:afterAutospacing="0"/>
      </w:pPr>
      <w:r>
        <w:rPr>
          <w:rFonts w:hint="eastAsia" w:ascii="宋体" w:hAnsi="宋体" w:eastAsia="宋体" w:cs="宋体"/>
          <w:b/>
          <w:color w:val="000000"/>
          <w:sz w:val="72"/>
          <w:szCs w:val="72"/>
        </w:rPr>
        <w:t xml:space="preserve">投  标  文  件</w:t>
      </w:r>
      <w:r/>
    </w:p>
    <w:p>
      <w:pPr>
        <w:pStyle w:val="755"/>
        <w:jc w:val="center"/>
        <w:spacing w:beforeAutospacing="0" w:afterAutospacing="0" w:line="560" w:lineRule="exact"/>
      </w:pPr>
      <w:r>
        <w:t xml:space="preserve"> </w:t>
      </w:r>
      <w:r/>
    </w:p>
    <w:p>
      <w:pPr>
        <w:pStyle w:val="755"/>
        <w:jc w:val="center"/>
        <w:spacing w:beforeAutospacing="0" w:afterAutospacing="0" w:line="560" w:lineRule="exact"/>
      </w:pPr>
      <w:r>
        <w:t xml:space="preserve"> </w:t>
      </w:r>
      <w:r/>
    </w:p>
    <w:p>
      <w:pPr>
        <w:pStyle w:val="755"/>
        <w:jc w:val="center"/>
        <w:spacing w:beforeAutospacing="0" w:afterAutospacing="0" w:line="560" w:lineRule="exact"/>
      </w:pPr>
      <w:r>
        <w:t xml:space="preserve"> </w:t>
      </w:r>
      <w:r/>
    </w:p>
    <w:p>
      <w:pPr>
        <w:pStyle w:val="755"/>
        <w:jc w:val="center"/>
        <w:spacing w:beforeAutospacing="0" w:afterAutospacing="0" w:line="560" w:lineRule="exact"/>
      </w:pPr>
      <w:r>
        <w:t xml:space="preserve"> </w:t>
      </w:r>
      <w:r/>
    </w:p>
    <w:p>
      <w:pPr>
        <w:pStyle w:val="755"/>
        <w:jc w:val="center"/>
        <w:spacing w:beforeAutospacing="0" w:afterAutospacing="0" w:line="360" w:lineRule="auto"/>
      </w:pPr>
      <w:r>
        <w:t xml:space="preserve"> </w:t>
      </w:r>
      <w:r/>
    </w:p>
    <w:p>
      <w:pPr>
        <w:pStyle w:val="755"/>
        <w:ind w:firstLine="361"/>
        <w:jc w:val="both"/>
        <w:spacing w:beforeAutospacing="0" w:afterAutospacing="0"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2"/>
          <w:szCs w:val="32"/>
          <w:u w:val="single"/>
        </w:rPr>
        <w:t xml:space="preserve">盐城市第四人民医院智慧处方点评系统项目</w:t>
      </w:r>
      <w:r/>
    </w:p>
    <w:p>
      <w:pPr>
        <w:pStyle w:val="755"/>
        <w:ind w:firstLine="361"/>
        <w:jc w:val="both"/>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755"/>
        <w:ind w:left="359"/>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rPr>
        <w:t xml:space="preserve">日     期：</w:t>
      </w:r>
      <w:r>
        <w:rPr>
          <w:rFonts w:hint="eastAsia" w:ascii="宋体" w:hAnsi="宋体" w:eastAsia="宋体" w:cs="宋体"/>
          <w:b/>
          <w:color w:val="000000"/>
          <w:sz w:val="36"/>
          <w:szCs w:val="36"/>
          <w:u w:val="single"/>
        </w:rPr>
        <w:t xml:space="preserve">                                  </w:t>
      </w:r>
      <w:r/>
    </w:p>
    <w:p>
      <w:pPr>
        <w:pStyle w:val="755"/>
        <w:jc w:val="center"/>
        <w:spacing w:beforeAutospacing="0" w:afterAutospacing="0" w:line="360" w:lineRule="auto"/>
      </w:pPr>
      <w:r>
        <w:t xml:space="preserve"> </w:t>
      </w:r>
      <w:r/>
    </w:p>
    <w:p>
      <w:pPr>
        <w:pStyle w:val="755"/>
        <w:jc w:val="both"/>
        <w:spacing w:beforeAutospacing="0" w:afterAutospacing="0" w:line="560" w:lineRule="exact"/>
      </w:pPr>
      <w:r>
        <w:t xml:space="preserve"> </w:t>
      </w:r>
      <w:r/>
    </w:p>
    <w:p>
      <w:pPr>
        <w:pStyle w:val="755"/>
        <w:jc w:val="center"/>
        <w:spacing w:beforeAutospacing="0" w:afterAutospacing="0"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55"/>
        <w:jc w:val="center"/>
        <w:spacing w:beforeAutospacing="0" w:afterAutospacing="0"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55"/>
        <w:jc w:val="center"/>
        <w:spacing w:beforeAutospacing="0" w:afterAutospacing="0"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55"/>
        <w:jc w:val="both"/>
        <w:spacing w:beforeAutospacing="0" w:afterAutospacing="0"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spacing w:line="560" w:lineRule="exac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55"/>
        <w:jc w:val="center"/>
        <w:spacing w:beforeAutospacing="0" w:afterAutospacing="0" w:line="560" w:lineRule="exact"/>
      </w:pPr>
      <w:r>
        <w:rPr>
          <w:rFonts w:hint="eastAsia" w:ascii="宋体" w:hAnsi="宋体" w:eastAsia="宋体" w:cs="宋体"/>
          <w:b/>
          <w:color w:val="000000"/>
          <w:sz w:val="32"/>
          <w:szCs w:val="32"/>
        </w:rPr>
        <w:t xml:space="preserve">投标文件目录</w:t>
      </w:r>
      <w:r/>
    </w:p>
    <w:p>
      <w:pPr>
        <w:pStyle w:val="755"/>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spacing w:line="560" w:lineRule="exac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w:t>
      </w: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上一</w:t>
      </w:r>
      <w:r>
        <w:rPr>
          <w:rFonts w:hint="eastAsia" w:ascii="宋体" w:hAnsi="宋体" w:eastAsia="宋体" w:cs="宋体"/>
          <w:sz w:val="24"/>
          <w:szCs w:val="20"/>
        </w:rPr>
        <w:t xml:space="preserve">年度的财务状况报告（至少提供资产负债表、利润表、现金流量表，投标人成立不满一年无需提供）</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三、具备履行合同所必需的设备和专业技术能力的书面声明</w:t>
      </w:r>
      <w:r/>
    </w:p>
    <w:p>
      <w:pPr>
        <w:ind w:firstLine="482"/>
        <w:jc w:val="left"/>
        <w:spacing w:line="556" w:lineRule="exact"/>
        <w:widowControl/>
        <w:rPr>
          <w:rFonts w:hint="eastAsia" w:ascii="宋体" w:hAnsi="宋体" w:eastAsia="宋体" w:cs="宋体"/>
          <w:sz w:val="24"/>
          <w:szCs w:val="20"/>
        </w:rPr>
      </w:pPr>
      <w:r>
        <w:rPr>
          <w:rFonts w:hint="eastAsia" w:ascii="宋体" w:hAnsi="宋体" w:eastAsia="宋体" w:cs="宋体"/>
          <w:sz w:val="24"/>
          <w:szCs w:val="2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2"/>
        <w:jc w:val="left"/>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十五、技术方案、服务承诺、培训承诺等</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55"/>
        <w:jc w:val="center"/>
        <w:spacing w:beforeAutospacing="0" w:afterAutospacing="0" w:line="560" w:lineRule="exact"/>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755"/>
        <w:jc w:val="center"/>
        <w:spacing w:beforeAutospacing="0" w:afterAutospacing="0" w:line="560" w:lineRule="exact"/>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755"/>
        <w:jc w:val="center"/>
        <w:spacing w:beforeAutospacing="0" w:afterAutospacing="0" w:line="560" w:lineRule="exact"/>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755"/>
        <w:jc w:val="center"/>
        <w:spacing w:beforeAutospacing="0" w:afterAutospacing="0" w:line="560" w:lineRule="exact"/>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55"/>
        <w:ind w:firstLine="480"/>
        <w:jc w:val="both"/>
        <w:spacing w:beforeAutospacing="0" w:afterAutospacing="0" w:line="560" w:lineRule="exact"/>
      </w:pPr>
      <w:r>
        <w:t xml:space="preserve"> </w:t>
      </w:r>
      <w:r/>
    </w:p>
    <w:p>
      <w:r>
        <w:br w:type="page" w:clear="all"/>
      </w:r>
      <w:r/>
    </w:p>
    <w:p>
      <w:pPr>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二、</w:t>
      </w:r>
      <w:r>
        <w:rPr>
          <w:rFonts w:hint="eastAsia" w:ascii="黑体" w:hAnsi="黑体" w:eastAsia="黑体" w:cs="黑体"/>
          <w:i/>
          <w:sz w:val="32"/>
          <w:szCs w:val="32"/>
          <w:highlight w:val="none"/>
          <w:u w:val="single"/>
          <w:lang w:val="en-US" w:eastAsia="zh-CN"/>
        </w:rPr>
        <w:t xml:space="preserve">上一</w:t>
      </w:r>
      <w:r>
        <w:rPr>
          <w:rFonts w:hint="eastAsia" w:ascii="黑体" w:hAnsi="黑体" w:eastAsia="黑体" w:cs="黑体"/>
          <w:i/>
          <w:sz w:val="32"/>
          <w:szCs w:val="32"/>
          <w:highlight w:val="none"/>
          <w:u w:val="single"/>
        </w:rPr>
        <w:t xml:space="preserve">年度的财务状况报告</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755"/>
        <w:ind w:firstLine="480"/>
        <w:jc w:val="both"/>
        <w:spacing w:beforeAutospacing="0" w:afterAutospacing="0" w:line="560" w:lineRule="exact"/>
      </w:pPr>
      <w:r/>
      <w:r/>
    </w:p>
    <w:p>
      <w:pPr>
        <w:pStyle w:val="755"/>
        <w:jc w:val="both"/>
        <w:spacing w:beforeAutospacing="0" w:afterAutospacing="0" w:line="560" w:lineRule="exact"/>
      </w:pPr>
      <w:r>
        <w:t xml:space="preserve"> </w:t>
      </w:r>
      <w:r/>
    </w:p>
    <w:p>
      <w:pPr>
        <w:pStyle w:val="755"/>
        <w:jc w:val="both"/>
        <w:spacing w:beforeAutospacing="0" w:afterAutospacing="0" w:line="560" w:lineRule="exact"/>
      </w:pPr>
      <w: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755"/>
        <w:jc w:val="center"/>
        <w:spacing w:beforeAutospacing="0" w:afterAutospacing="0" w:line="560" w:lineRule="exact"/>
      </w:pPr>
      <w:r>
        <w:rPr>
          <w:rFonts w:hint="eastAsia" w:ascii="黑体" w:hAnsi="宋体" w:eastAsia="黑体" w:cs="黑体"/>
          <w:i/>
          <w:color w:val="000000"/>
          <w:sz w:val="32"/>
          <w:szCs w:val="32"/>
          <w:u w:val="single"/>
        </w:rPr>
        <w:t xml:space="preserve">三、具备履行合同所必需的设备和专业技术能力的书面声明</w:t>
      </w:r>
      <w:r/>
    </w:p>
    <w:p>
      <w:pPr>
        <w:pStyle w:val="755"/>
        <w:ind w:firstLine="492"/>
        <w:jc w:val="both"/>
        <w:spacing w:beforeAutospacing="0" w:afterAutospacing="0" w:line="560" w:lineRule="exac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55"/>
        <w:ind w:firstLine="492"/>
        <w:jc w:val="both"/>
        <w:spacing w:beforeAutospacing="0" w:afterAutospacing="0" w:line="560" w:lineRule="exac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755"/>
        <w:jc w:val="center"/>
        <w:spacing w:beforeAutospacing="0" w:afterAutospacing="0" w:line="560" w:lineRule="exact"/>
      </w:pPr>
      <w:r>
        <w:rPr>
          <w:rFonts w:hint="eastAsia" w:ascii="黑体" w:hAnsi="宋体" w:eastAsia="黑体" w:cs="黑体"/>
          <w:i/>
          <w:color w:val="000000"/>
          <w:sz w:val="32"/>
          <w:szCs w:val="32"/>
          <w:u w:val="single"/>
        </w:rPr>
        <w:t xml:space="preserve">四、依法缴纳税收和社会保障资金的相关材料</w:t>
      </w:r>
      <w:r/>
    </w:p>
    <w:p>
      <w:pPr>
        <w:pStyle w:val="755"/>
        <w:ind w:firstLine="480"/>
        <w:jc w:val="both"/>
        <w:spacing w:beforeAutospacing="0" w:afterAutospacing="0" w:line="560" w:lineRule="exact"/>
      </w:pPr>
      <w:r/>
      <w:bookmarkStart w:id="180"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0"/>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755"/>
        <w:jc w:val="center"/>
        <w:spacing w:beforeAutospacing="0" w:afterAutospacing="0" w:line="560" w:lineRule="exact"/>
      </w:pPr>
      <w:r>
        <w:rPr>
          <w:rFonts w:hint="eastAsia" w:ascii="黑体" w:hAnsi="宋体" w:eastAsia="黑体" w:cs="黑体"/>
          <w:i/>
          <w:color w:val="000000"/>
          <w:sz w:val="32"/>
          <w:szCs w:val="32"/>
          <w:u w:val="single"/>
        </w:rPr>
        <w:t xml:space="preserve">五、参加政府采购活动前3年内在经营活动中没有重大违法记录的书面声明</w:t>
      </w:r>
      <w:r/>
    </w:p>
    <w:p>
      <w:pPr>
        <w:pStyle w:val="755"/>
        <w:jc w:val="both"/>
        <w:spacing w:beforeAutospacing="0" w:afterAutospacing="0" w:line="560" w:lineRule="exac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lang w:val="en-US" w:eastAsia="zh-CN"/>
        </w:rPr>
        <w:t xml:space="preserve">  </w:t>
      </w:r>
      <w:r>
        <w:rPr>
          <w:rFonts w:hint="eastAsia" w:ascii="宋体" w:hAnsi="宋体" w:eastAsia="宋体" w:cs="宋体"/>
          <w:b/>
          <w:color w:val="000000"/>
          <w:sz w:val="44"/>
          <w:szCs w:val="44"/>
        </w:rPr>
        <w:t xml:space="preserve">        声  明</w:t>
      </w:r>
      <w:r/>
    </w:p>
    <w:p>
      <w:pPr>
        <w:pStyle w:val="755"/>
        <w:jc w:val="both"/>
        <w:spacing w:beforeAutospacing="0" w:afterAutospacing="0" w:line="56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55"/>
        <w:jc w:val="both"/>
        <w:spacing w:beforeAutospacing="0" w:afterAutospacing="0" w:line="560" w:lineRule="exact"/>
      </w:pPr>
      <w: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ind w:left="0" w:right="0" w:firstLine="0"/>
        <w:jc w:val="center"/>
        <w:spacing w:before="240" w:after="240" w:line="276" w:lineRule="auto"/>
        <w:rPr>
          <w:rFonts w:ascii="SimHei" w:hAnsi="SimHei" w:eastAsia="SimHei" w:cs="SimHei"/>
          <w:bCs/>
          <w:i/>
          <w:color w:val="000000"/>
          <w:sz w:val="32"/>
          <w:szCs w:val="32"/>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rPr>
          <w:rFonts w:ascii="SimHei" w:hAnsi="SimHei" w:eastAsia="SimHei" w:cs="SimHei"/>
          <w:bCs/>
          <w:i/>
          <w:color w:val="000000"/>
          <w:sz w:val="32"/>
          <w:szCs w:val="32"/>
          <w:u w:val="single"/>
        </w:rPr>
      </w:r>
      <w:r/>
    </w:p>
    <w:p>
      <w:pPr>
        <w:ind w:left="0" w:right="0" w:firstLine="0"/>
        <w:jc w:val="center"/>
        <w:spacing w:before="240" w:after="240" w:line="276" w:lineRule="auto"/>
        <w:rPr>
          <w:rFonts w:ascii="SimHei" w:hAnsi="SimHei" w:eastAsia="SimHei" w:cs="SimHei"/>
          <w:bCs/>
          <w:i/>
          <w:color w:val="000000"/>
          <w:sz w:val="32"/>
          <w:szCs w:val="32"/>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rPr>
          <w:rFonts w:ascii="SimSun" w:hAnsi="SimSun" w:eastAsia="SimSun" w:cs="SimSun"/>
          <w:color w:val="000000"/>
          <w:sz w:val="24"/>
          <w:szCs w:val="32"/>
        </w:rPr>
        <w:t xml:space="preserve">如果本项目申请人的特定资格要求中要求提供的，必须提供。</w:t>
      </w:r>
      <w:r>
        <w:rPr>
          <w:rFonts w:ascii="SimHei" w:hAnsi="SimHei" w:eastAsia="SimHei" w:cs="SimHei"/>
          <w:bCs/>
          <w:i/>
          <w:color w:val="000000"/>
          <w:sz w:val="32"/>
          <w:szCs w:val="32"/>
          <w:u w:val="single"/>
        </w:rPr>
      </w:r>
      <w:r/>
    </w:p>
    <w:p>
      <w:pPr>
        <w:ind w:left="0" w:right="0" w:firstLine="0"/>
        <w:jc w:val="center"/>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ind w:left="0" w:right="0" w:firstLine="0"/>
        <w:jc w:val="center"/>
        <w:spacing w:before="240" w:after="240" w:line="85" w:lineRule="atLeast"/>
        <w:rPr>
          <w:rFonts w:hint="eastAsia" w:ascii="黑体" w:hAnsi="宋体" w:eastAsia="黑体" w:cs="黑体"/>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hint="eastAsia" w:ascii="黑体" w:hAnsi="宋体" w:eastAsia="黑体" w:cs="黑体"/>
          <w:i/>
          <w:color w:val="000000"/>
          <w:sz w:val="32"/>
          <w:szCs w:val="32"/>
          <w:u w:val="single"/>
        </w:rPr>
        <w:t xml:space="preserve">七、法人授权书</w:t>
      </w:r>
      <w:r/>
    </w:p>
    <w:p>
      <w:pPr>
        <w:pStyle w:val="755"/>
        <w:ind w:firstLine="480"/>
        <w:jc w:val="both"/>
        <w:spacing w:beforeAutospacing="0" w:afterAutospacing="0" w:line="560" w:lineRule="exact"/>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JSZC-320900-JZCG-2026-0054</w:t>
      </w:r>
      <w:r>
        <w:rPr>
          <w:rFonts w:ascii="Times New Roman" w:hAnsi="Times New Roman"/>
          <w:color w:val="000000"/>
        </w:rPr>
        <w:t xml:space="preserve">号</w:t>
      </w:r>
      <w:r>
        <w:rPr>
          <w:rFonts w:hint="eastAsia" w:ascii="Times New Roman" w:hAnsi="Times New Roman"/>
          <w:color w:val="000000"/>
          <w:u w:val="single"/>
        </w:rPr>
        <w:t xml:space="preserve">盐城市</w:t>
      </w:r>
      <w:r>
        <w:rPr>
          <w:rFonts w:hint="eastAsia" w:ascii="Times New Roman" w:hAnsi="Times New Roman"/>
          <w:color w:val="000000"/>
          <w:u w:val="single"/>
          <w:lang w:val="en-US" w:eastAsia="zh-CN"/>
        </w:rPr>
        <w:t xml:space="preserve">第四人民医院智慧处方点评系统项目</w:t>
      </w:r>
      <w:r>
        <w:rPr>
          <w:rFonts w:ascii="Times New Roman" w:hAnsi="Times New Roman"/>
          <w:color w:val="000000"/>
        </w:rPr>
        <w:t xml:space="preserve">采购活动的合法代理人，以本单位名义全权处理一切与该项目采购有关的事务。</w:t>
      </w:r>
      <w:r/>
    </w:p>
    <w:p>
      <w:pPr>
        <w:pStyle w:val="755"/>
        <w:ind w:firstLine="480"/>
        <w:jc w:val="both"/>
        <w:spacing w:beforeAutospacing="0" w:afterAutospacing="0" w:line="560" w:lineRule="exact"/>
        <w:tabs>
          <w:tab w:val="left" w:pos="360" w:leader="none"/>
        </w:tabs>
      </w:pPr>
      <w:r>
        <w:rPr>
          <w:rFonts w:ascii="Times New Roman" w:hAnsi="Times New Roman"/>
          <w:color w:val="000000"/>
        </w:rPr>
        <w:t xml:space="preserve">本授权书于______年____月____日起生效，特此声明。</w:t>
      </w:r>
      <w:r/>
    </w:p>
    <w:p>
      <w:pPr>
        <w:pStyle w:val="755"/>
        <w:jc w:val="both"/>
        <w:spacing w:beforeAutospacing="0" w:afterAutospacing="0" w:line="560" w:lineRule="exact"/>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rPr>
          <w:rFonts w:hint="eastAsia" w:ascii="Times New Roman" w:hAnsi="Times New Roman" w:eastAsia="宋体"/>
          <w:color w:val="000000"/>
          <w:u w:val="single"/>
        </w:rPr>
        <w:t xml:space="preserve">    </w:t>
      </w:r>
      <w:r>
        <w:rPr>
          <w:rFonts w:ascii="Times New Roman" w:hAnsi="Times New Roman"/>
          <w:color w:val="000000"/>
          <w:u w:val="single"/>
        </w:rPr>
        <w:t xml:space="preserve">      </w:t>
      </w:r>
      <w:r/>
    </w:p>
    <w:p>
      <w:pPr>
        <w:pStyle w:val="755"/>
        <w:jc w:val="both"/>
        <w:spacing w:beforeAutospacing="0" w:afterAutospacing="0" w:line="560" w:lineRule="exact"/>
        <w:tabs>
          <w:tab w:val="left" w:pos="360" w:leader="none"/>
        </w:tabs>
      </w:pPr>
      <w:r>
        <w:rPr>
          <w:rFonts w:ascii="Times New Roman" w:hAnsi="Times New Roman"/>
          <w:color w:val="000000"/>
        </w:rPr>
        <w:t xml:space="preserve">          被授权人联系电话：</w:t>
      </w:r>
      <w:r>
        <w:rPr>
          <w:rFonts w:ascii="Times New Roman" w:hAnsi="Times New Roman"/>
          <w:color w:val="000000"/>
          <w:u w:val="single"/>
        </w:rPr>
        <w:t xml:space="preserve">（手机）                          </w:t>
      </w:r>
      <w:r/>
    </w:p>
    <w:p>
      <w:pPr>
        <w:pStyle w:val="755"/>
        <w:ind w:firstLine="720"/>
        <w:jc w:val="both"/>
        <w:spacing w:beforeAutospacing="0" w:afterAutospacing="0" w:line="560" w:lineRule="exact"/>
        <w:tabs>
          <w:tab w:val="left" w:pos="360" w:leader="none"/>
        </w:tabs>
        <w:rPr>
          <w:rFonts w:eastAsia="宋体"/>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ascii="Times New Roman" w:hAnsi="Times New Roman" w:eastAsia="宋体"/>
          <w:color w:val="000000"/>
          <w:u w:val="single"/>
        </w:rPr>
        <w:t xml:space="preserve">     </w:t>
      </w:r>
      <w:r/>
    </w:p>
    <w:p>
      <w:pPr>
        <w:pStyle w:val="755"/>
        <w:ind w:firstLine="480"/>
        <w:jc w:val="both"/>
        <w:spacing w:beforeAutospacing="0" w:afterAutospacing="0" w:line="560" w:lineRule="exact"/>
        <w:tabs>
          <w:tab w:val="left" w:pos="360" w:leader="none"/>
        </w:tabs>
        <w:rPr>
          <w:rFonts w:eastAsia="宋体"/>
        </w:rPr>
      </w:pPr>
      <w:r>
        <w:rPr>
          <w:rFonts w:ascii="Times New Roman" w:hAnsi="Times New Roman"/>
          <w:color w:val="000000"/>
        </w:rPr>
        <w:t xml:space="preserve">    单位地址：</w:t>
      </w:r>
      <w:r>
        <w:rPr>
          <w:rFonts w:ascii="Times New Roman" w:hAnsi="Times New Roman"/>
          <w:color w:val="000000"/>
          <w:u w:val="single"/>
        </w:rPr>
        <w:t xml:space="preserve">                                         </w:t>
      </w:r>
      <w:r>
        <w:rPr>
          <w:rFonts w:hint="eastAsia" w:ascii="Times New Roman" w:hAnsi="Times New Roman" w:eastAsia="宋体"/>
          <w:color w:val="000000"/>
          <w:u w:val="single"/>
        </w:rPr>
        <w:t xml:space="preserve">        </w:t>
      </w:r>
      <w:r/>
    </w:p>
    <w:p>
      <w:pPr>
        <w:pStyle w:val="755"/>
        <w:ind w:firstLine="480"/>
        <w:jc w:val="both"/>
        <w:spacing w:beforeAutospacing="0" w:afterAutospacing="0" w:line="560" w:lineRule="exact"/>
        <w:tabs>
          <w:tab w:val="left" w:pos="360" w:leader="none"/>
        </w:tabs>
      </w:pPr>
      <w:r>
        <w:rPr>
          <w:rFonts w:ascii="Times New Roman" w:hAnsi="Times New Roman"/>
          <w:color w:val="000000"/>
        </w:rPr>
        <w:t xml:space="preserve">    日期：</w:t>
      </w:r>
      <w:bookmarkStart w:id="181" w:name="_格式3__银行出具的资信证明"/>
      <w:r/>
      <w:bookmarkStart w:id="182" w:name="_Hlt26955070"/>
      <w:r/>
      <w:bookmarkStart w:id="183" w:name="_Hlt26671380"/>
      <w:r>
        <w:rPr>
          <w:rFonts w:ascii="Times New Roman" w:hAnsi="Times New Roman"/>
          <w:color w:val="000000"/>
          <w:u w:val="single"/>
        </w:rPr>
        <w:t xml:space="preserve">                   </w:t>
      </w:r>
      <w:r>
        <w:rPr>
          <w:rFonts w:hint="eastAsia" w:ascii="Times New Roman" w:hAnsi="Times New Roman" w:eastAsia="宋体"/>
          <w:color w:val="000000"/>
          <w:u w:val="single"/>
        </w:rPr>
        <w:t xml:space="preserve">         </w:t>
      </w:r>
      <w:r>
        <w:rPr>
          <w:rFonts w:ascii="Times New Roman" w:hAnsi="Times New Roman"/>
          <w:color w:val="000000"/>
          <w:u w:val="single"/>
        </w:rPr>
        <w:t xml:space="preserve">                   </w:t>
      </w:r>
      <w:r>
        <w:rPr>
          <w:rFonts w:hint="eastAsia" w:ascii="Times New Roman" w:hAnsi="Times New Roman" w:eastAsia="宋体"/>
          <w:color w:val="000000"/>
          <w:u w:val="single"/>
        </w:rPr>
        <w:t xml:space="preserve">   </w:t>
      </w:r>
      <w:r>
        <w:rPr>
          <w:rFonts w:ascii="Times New Roman" w:hAnsi="Times New Roman"/>
          <w:color w:val="000000"/>
          <w:u w:val="single"/>
        </w:rPr>
        <w:t xml:space="preserve">   </w:t>
      </w:r>
      <w:r>
        <w:rPr>
          <w:rFonts w:hint="eastAsia" w:eastAsia="宋体"/>
        </w:rPr>
        <w:t xml:space="preserve">   </w:t>
      </w:r>
      <w:r>
        <w:t xml:space="preserve"> </w:t>
      </w:r>
      <w:r/>
    </w:p>
    <w:p>
      <w:pPr>
        <w:pStyle w:val="755"/>
        <w:jc w:val="both"/>
        <w:spacing w:beforeAutospacing="0" w:afterAutospacing="0" w:line="560" w:lineRule="exact"/>
      </w:pPr>
      <w:r>
        <w:t xml:space="preserve"> </w:t>
      </w:r>
      <w:r/>
    </w:p>
    <w:p>
      <w:pPr>
        <w:pStyle w:val="755"/>
        <w:jc w:val="both"/>
        <w:spacing w:beforeAutospacing="0" w:afterAutospacing="0" w:line="560" w:lineRule="exact"/>
      </w:pPr>
      <w:r>
        <w:t xml:space="preserve"> </w:t>
      </w:r>
      <w:r/>
    </w:p>
    <w:p>
      <w:pPr>
        <w:pStyle w:val="755"/>
        <w:jc w:val="both"/>
        <w:spacing w:beforeAutospacing="0" w:afterAutospacing="0" w:line="560" w:lineRule="exact"/>
      </w:pPr>
      <w:r>
        <w:t xml:space="preserve"> </w:t>
      </w:r>
      <w:r/>
    </w:p>
    <w:p>
      <w:pPr>
        <w:ind w:firstLine="480"/>
        <w:jc w:val="center"/>
        <w:spacing w:line="360" w:lineRule="auto"/>
        <w:rPr>
          <w:rFonts w:hint="eastAsia" w:ascii="黑体" w:hAnsi="Times New Roman" w:eastAsia="黑体" w:cs="黑体"/>
          <w:i/>
          <w:color w:val="000000"/>
          <w:sz w:val="32"/>
          <w:szCs w:val="32"/>
          <w:highlight w:val="none"/>
          <w:u w:val="single"/>
          <w:lang w:val="en-US" w:eastAsia="zh-CN" w:bidi="ar-SA"/>
        </w:rPr>
      </w:pPr>
      <w:r>
        <w:rPr>
          <w:rFonts w:hint="eastAsia" w:ascii="宋体" w:hAnsi="宋体" w:eastAsia="宋体" w:cs="宋体"/>
          <w:b/>
          <w:color w:val="000000"/>
        </w:rPr>
        <w:br w:type="page" w:clear="all"/>
      </w:r>
      <w:r>
        <w:rPr>
          <w:rFonts w:hint="eastAsia" w:ascii="黑体" w:hAnsi="Times New Roman" w:eastAsia="黑体" w:cs="黑体"/>
          <w:i/>
          <w:color w:val="000000"/>
          <w:sz w:val="32"/>
          <w:szCs w:val="32"/>
          <w:highlight w:val="none"/>
          <w:u w:val="single"/>
          <w:lang w:val="en-US" w:eastAsia="zh-CN" w:bidi="ar-SA"/>
        </w:rPr>
        <w:t xml:space="preserve">八、投标函</w:t>
      </w:r>
      <w:r/>
    </w:p>
    <w:p>
      <w:pPr>
        <w:pStyle w:val="755"/>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致：盐城市政府采购中心</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JSZC-320900-JZCG-G2026-0054</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55"/>
        <w:ind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755"/>
        <w:ind w:left="420"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地        址：</w:t>
      </w:r>
      <w:r/>
    </w:p>
    <w:p>
      <w:pPr>
        <w:pStyle w:val="755"/>
        <w:ind w:left="420"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邮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编：</w:t>
      </w:r>
      <w:r/>
    </w:p>
    <w:p>
      <w:pPr>
        <w:pStyle w:val="755"/>
        <w:ind w:left="420"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电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话：</w:t>
      </w:r>
      <w:r/>
    </w:p>
    <w:p>
      <w:pPr>
        <w:pStyle w:val="755"/>
        <w:ind w:left="420"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传        真：</w:t>
      </w:r>
      <w:r/>
    </w:p>
    <w:p>
      <w:pPr>
        <w:pStyle w:val="755"/>
        <w:ind w:left="420"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投标人开户行：</w:t>
      </w:r>
      <w:r/>
    </w:p>
    <w:p>
      <w:pPr>
        <w:pStyle w:val="755"/>
        <w:ind w:left="420" w:firstLine="480"/>
        <w:keepLines w:val="0"/>
        <w:keepNext w:val="0"/>
        <w:pageBreakBefore w:val="0"/>
        <w:spacing w:beforeAutospacing="0" w:afterAutospacing="0" w:line="540" w:lineRule="exact"/>
        <w:widowControl w:val="off"/>
        <w:rPr>
          <w:highlight w:val="none"/>
        </w:rPr>
      </w:pPr>
      <w:r>
        <w:rPr>
          <w:rFonts w:hint="eastAsia" w:ascii="宋体" w:hAnsi="宋体" w:eastAsia="宋体" w:cs="宋体"/>
          <w:color w:val="000000"/>
          <w:highlight w:val="none"/>
        </w:rPr>
        <w:t xml:space="preserve">账        号： </w:t>
      </w:r>
      <w:r/>
    </w:p>
    <w:p>
      <w:pPr>
        <w:pStyle w:val="755"/>
        <w:ind w:left="420" w:firstLine="480"/>
        <w:keepLines w:val="0"/>
        <w:keepNext w:val="0"/>
        <w:pageBreakBefore w:val="0"/>
        <w:spacing w:beforeAutospacing="0" w:afterAutospacing="0" w:line="540" w:lineRule="exact"/>
        <w:widowControl w:val="off"/>
        <w:rPr>
          <w:rFonts w:hint="eastAsia" w:ascii="黑体" w:hAnsi="宋体" w:eastAsia="黑体" w:cs="黑体"/>
          <w:b/>
          <w:color w:val="auto"/>
          <w:sz w:val="32"/>
          <w:szCs w:val="32"/>
          <w:highlight w:val="none"/>
        </w:rPr>
      </w:pPr>
      <w:r>
        <w:rPr>
          <w:rFonts w:hint="eastAsia" w:ascii="宋体" w:hAnsi="宋体" w:eastAsia="宋体" w:cs="宋体"/>
          <w:color w:val="000000"/>
          <w:highlight w:val="none"/>
        </w:rPr>
        <w:t xml:space="preserve">日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期：________年____月____日</w:t>
      </w:r>
      <w:r/>
    </w:p>
    <w:p>
      <w:pPr>
        <w:pStyle w:val="755"/>
        <w:jc w:val="center"/>
        <w:pageBreakBefore w:val="0"/>
        <w:spacing w:beforeAutospacing="0" w:afterAutospacing="0" w:line="560" w:lineRule="exact"/>
        <w:rPr>
          <w:rFonts w:hint="eastAsia" w:ascii="黑体" w:hAnsi="Times New Roman" w:eastAsia="黑体" w:cs="黑体"/>
          <w:i/>
          <w:color w:val="000000"/>
          <w:sz w:val="32"/>
          <w:szCs w:val="32"/>
          <w:highlight w:val="none"/>
          <w:u w:val="single"/>
          <w:lang w:eastAsia="zh-CN" w:bidi="ar-SA"/>
        </w:rPr>
      </w:pPr>
      <w:r>
        <w:rPr>
          <w:rFonts w:hint="eastAsia" w:ascii="黑体" w:hAnsi="Times New Roman" w:eastAsia="黑体" w:cs="黑体"/>
          <w:i/>
          <w:color w:val="000000"/>
          <w:sz w:val="32"/>
          <w:szCs w:val="32"/>
          <w:highlight w:val="none"/>
          <w:u w:val="single"/>
          <w:lang w:val="en-US" w:eastAsia="zh-CN" w:bidi="ar-SA"/>
        </w:rPr>
        <w:t xml:space="preserve">九</w:t>
      </w:r>
      <w:r>
        <w:rPr>
          <w:rFonts w:hint="eastAsia" w:ascii="黑体" w:hAnsi="Times New Roman" w:eastAsia="黑体" w:cs="黑体"/>
          <w:i/>
          <w:color w:val="000000"/>
          <w:sz w:val="32"/>
          <w:szCs w:val="32"/>
          <w:highlight w:val="none"/>
          <w:u w:val="single"/>
          <w:lang w:eastAsia="zh-CN" w:bidi="ar-SA"/>
        </w:rPr>
        <w:t xml:space="preserve">、</w:t>
      </w:r>
      <w:r>
        <w:rPr>
          <w:rFonts w:hint="eastAsia" w:ascii="黑体" w:hAnsi="Times New Roman" w:eastAsia="黑体" w:cs="黑体"/>
          <w:i/>
          <w:color w:val="000000"/>
          <w:sz w:val="32"/>
          <w:szCs w:val="32"/>
          <w:highlight w:val="none"/>
          <w:u w:val="single"/>
          <w:lang w:val="en-US" w:eastAsia="zh-CN" w:bidi="ar-SA"/>
        </w:rPr>
        <w:t xml:space="preserve">中小</w:t>
      </w:r>
      <w:r>
        <w:rPr>
          <w:rFonts w:hint="eastAsia" w:ascii="黑体" w:hAnsi="Times New Roman" w:eastAsia="黑体" w:cs="黑体"/>
          <w:i/>
          <w:color w:val="000000"/>
          <w:sz w:val="32"/>
          <w:szCs w:val="32"/>
          <w:highlight w:val="none"/>
          <w:u w:val="single"/>
          <w:lang w:eastAsia="zh-CN" w:bidi="ar-SA"/>
        </w:rPr>
        <w:t xml:space="preserve">企业声明函（服务）</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号）的规定，本公司（联合体）参加盐城市政府采购中心组织的</w:t>
      </w:r>
      <w:r>
        <w:rPr>
          <w:rFonts w:hint="eastAsia" w:ascii="宋体" w:hAnsi="宋体" w:eastAsia="宋体" w:cs="宋体"/>
          <w:i w:val="0"/>
          <w:iCs w:val="0"/>
          <w:color w:val="auto"/>
          <w:sz w:val="24"/>
          <w:szCs w:val="24"/>
          <w:highlight w:val="none"/>
          <w:u w:val="single"/>
          <w:lang w:val="en-US" w:eastAsia="zh-CN"/>
        </w:rPr>
        <w:t xml:space="preserve">盐城市第四人民医院</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JSZC-320900-JZCG-G2026-0054</w:t>
      </w:r>
      <w:r>
        <w:rPr>
          <w:rFonts w:hint="eastAsia" w:ascii="宋体" w:hAnsi="宋体" w:eastAsia="宋体" w:cs="宋体"/>
          <w:color w:val="auto"/>
          <w:sz w:val="24"/>
          <w:highlight w:val="none"/>
          <w:u w:val="none"/>
          <w:lang w:val="en-US" w:eastAsia="zh-CN"/>
        </w:rPr>
        <w:t xml:space="preserve">的</w:t>
      </w:r>
      <w:r>
        <w:rPr>
          <w:rFonts w:hint="eastAsia" w:ascii="宋体" w:hAnsi="宋体" w:eastAsia="宋体" w:cs="宋体"/>
          <w:color w:val="000000"/>
          <w:sz w:val="24"/>
          <w:szCs w:val="20"/>
          <w:highlight w:val="none"/>
          <w:u w:val="single"/>
          <w:lang w:val="en-US" w:eastAsia="zh-CN"/>
        </w:rPr>
        <w:t xml:space="preserve">盐城市第四人民医院智慧处方点评系统项目</w:t>
      </w:r>
      <w:r>
        <w:rPr>
          <w:rFonts w:hint="eastAsia" w:ascii="宋体" w:hAnsi="宋体" w:eastAsia="宋体" w:cs="宋体"/>
          <w:color w:val="000000"/>
          <w:sz w:val="24"/>
          <w:szCs w:val="20"/>
          <w:highlight w:val="none"/>
          <w:lang w:val="en-US" w:eastAsia="zh-CN"/>
        </w:rPr>
        <w:t xml:space="preserve">的</w:t>
      </w:r>
      <w:r>
        <w:rPr>
          <w:rFonts w:hint="eastAsia" w:ascii="宋体" w:hAnsi="宋体" w:eastAsia="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2"/>
        </w:numPr>
        <w:ind w:firstLine="480"/>
        <w:jc w:val="both"/>
        <w:pageBreakBefore w:val="0"/>
        <w:spacing w:line="56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2"/>
        </w:numPr>
        <w:ind w:left="0" w:firstLine="480"/>
        <w:jc w:val="both"/>
        <w:pageBreakBefore w:val="0"/>
        <w:spacing w:line="56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pageBreakBefore w:val="0"/>
        <w:spacing w:line="56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56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56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55"/>
        <w:ind w:right="720"/>
        <w:jc w:val="both"/>
        <w:pageBreakBefore w:val="0"/>
        <w:spacing w:beforeAutospacing="0" w:afterAutospacing="0" w:line="560" w:lineRule="exact"/>
        <w:rPr>
          <w:color w:val="auto"/>
          <w:highlight w:val="none"/>
        </w:rPr>
      </w:pPr>
      <w:r>
        <w:rPr>
          <w:color w:val="auto"/>
          <w:highlight w:val="none"/>
        </w:rPr>
        <w:t xml:space="preserve"> </w:t>
      </w:r>
      <w:r/>
    </w:p>
    <w:p>
      <w:pPr>
        <w:pStyle w:val="755"/>
        <w:ind w:right="180" w:firstLine="360"/>
        <w:jc w:val="right"/>
        <w:pageBreakBefore w:val="0"/>
        <w:spacing w:beforeAutospacing="0" w:afterAutospacing="0" w:line="560" w:lineRule="exact"/>
        <w:rPr>
          <w:color w:val="auto"/>
          <w:highlight w:val="none"/>
        </w:rPr>
      </w:pPr>
      <w:r>
        <w:rPr>
          <w:rFonts w:hint="eastAsia" w:ascii="宋体" w:hAnsi="宋体" w:eastAsia="宋体" w:cs="宋体"/>
          <w:color w:val="auto"/>
          <w:highlight w:val="none"/>
        </w:rPr>
        <w:t xml:space="preserve">企业名称（加盖CA电子公章）：</w:t>
      </w:r>
      <w:r/>
    </w:p>
    <w:p>
      <w:pPr>
        <w:pStyle w:val="755"/>
        <w:ind w:right="480" w:firstLine="5400"/>
        <w:jc w:val="both"/>
        <w:pageBreakBefore w:val="0"/>
        <w:spacing w:beforeAutospacing="0" w:afterAutospacing="0" w:line="560" w:lineRule="exact"/>
        <w:rPr>
          <w:color w:val="auto"/>
          <w:highlight w:val="none"/>
        </w:rPr>
      </w:pPr>
      <w:r>
        <w:rPr>
          <w:rFonts w:hint="eastAsia" w:ascii="宋体" w:hAnsi="宋体" w:eastAsia="宋体" w:cs="宋体"/>
          <w:color w:val="auto"/>
          <w:highlight w:val="none"/>
        </w:rPr>
        <w:t xml:space="preserve">日  期：</w:t>
      </w:r>
      <w:r/>
    </w:p>
    <w:p>
      <w:pPr>
        <w:pStyle w:val="755"/>
        <w:ind w:firstLine="480"/>
        <w:jc w:val="both"/>
        <w:pageBreakBefore w:val="0"/>
        <w:spacing w:beforeAutospacing="0" w:afterAutospacing="0" w:line="56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55"/>
        <w:ind w:firstLine="480"/>
        <w:jc w:val="both"/>
        <w:pageBreakBefore w:val="0"/>
        <w:spacing w:beforeAutospacing="0" w:afterAutospacing="0" w:line="560" w:lineRule="exac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55"/>
        <w:jc w:val="center"/>
        <w:pageBreakBefore w:val="0"/>
        <w:spacing w:beforeAutospacing="0" w:afterAutospacing="0" w:line="560" w:lineRule="exact"/>
        <w:rPr>
          <w:highlight w:val="none"/>
        </w:rPr>
      </w:pPr>
      <w:r>
        <w:rPr>
          <w:rFonts w:hint="eastAsia" w:ascii="黑体" w:hAnsi="宋体" w:eastAsia="黑体" w:cs="黑体"/>
          <w:b/>
          <w:color w:val="auto"/>
          <w:sz w:val="32"/>
          <w:szCs w:val="32"/>
          <w:highlight w:val="none"/>
        </w:rPr>
        <w:br w:type="page" w:clear="all"/>
      </w:r>
      <w:r>
        <w:rPr>
          <w:rFonts w:hint="eastAsia" w:ascii="黑体" w:hAnsi="Times New Roman" w:eastAsia="黑体" w:cs="黑体"/>
          <w:i/>
          <w:color w:val="000000"/>
          <w:sz w:val="32"/>
          <w:szCs w:val="32"/>
          <w:highlight w:val="none"/>
          <w:u w:val="single"/>
          <w:lang w:val="en-US" w:eastAsia="zh-CN" w:bidi="ar-SA"/>
        </w:rPr>
        <w:t xml:space="preserve">十</w:t>
      </w:r>
      <w:r>
        <w:rPr>
          <w:rFonts w:hint="eastAsia" w:ascii="黑体" w:hAnsi="Times New Roman" w:eastAsia="黑体" w:cs="黑体"/>
          <w:i/>
          <w:color w:val="000000"/>
          <w:sz w:val="32"/>
          <w:szCs w:val="32"/>
          <w:highlight w:val="none"/>
          <w:u w:val="single"/>
          <w:lang w:eastAsia="zh-CN" w:bidi="ar-SA"/>
        </w:rPr>
        <w:t xml:space="preserve">、残疾人福利性单位声明函</w:t>
      </w:r>
      <w:r/>
    </w:p>
    <w:p>
      <w:pPr>
        <w:pStyle w:val="755"/>
        <w:ind w:firstLine="480"/>
        <w:jc w:val="both"/>
        <w:pageBreakBefore w:val="0"/>
        <w:spacing w:beforeAutospacing="0" w:afterAutospacing="0" w:line="560" w:lineRule="exact"/>
        <w:rPr>
          <w:highlight w:val="yellow"/>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eastAsia="宋体" w:cs="宋体"/>
          <w:color w:val="000000"/>
          <w:highlight w:val="none"/>
          <w:u w:val="single"/>
          <w:lang w:val="en-US" w:eastAsia="zh-CN"/>
        </w:rPr>
        <w:t xml:space="preserve">盐城市第四人民医院</w:t>
      </w:r>
      <w:r>
        <w:rPr>
          <w:rFonts w:hint="eastAsia" w:ascii="宋体" w:hAnsi="宋体" w:eastAsia="宋体" w:cs="宋体"/>
          <w:color w:val="000000"/>
          <w:highlight w:val="none"/>
        </w:rPr>
        <w:t xml:space="preserve">单位的采购文件编号为</w:t>
      </w:r>
      <w:r>
        <w:rPr>
          <w:rFonts w:hint="eastAsia" w:ascii="宋体" w:hAnsi="宋体" w:eastAsia="宋体" w:cs="宋体"/>
          <w:color w:val="auto"/>
          <w:sz w:val="24"/>
          <w:highlight w:val="none"/>
          <w:u w:val="single"/>
        </w:rPr>
        <w:t xml:space="preserve">JSZC-320900-JZCG-G2026-0054</w:t>
      </w:r>
      <w:r>
        <w:rPr>
          <w:rFonts w:hint="eastAsia" w:ascii="宋体" w:hAnsi="宋体" w:eastAsia="宋体" w:cs="宋体"/>
          <w:color w:val="000000"/>
          <w:highlight w:val="none"/>
        </w:rPr>
        <w:t xml:space="preserve">的</w:t>
      </w:r>
      <w:r>
        <w:rPr>
          <w:rFonts w:hint="eastAsia" w:ascii="宋体" w:hAnsi="宋体" w:eastAsia="宋体" w:cs="宋体"/>
          <w:color w:val="000000"/>
          <w:sz w:val="24"/>
          <w:szCs w:val="20"/>
          <w:highlight w:val="none"/>
          <w:u w:val="single"/>
          <w:lang w:val="en-US" w:eastAsia="zh-CN"/>
        </w:rPr>
        <w:t xml:space="preserve">盐城市第四人民医院智慧处方点评系统项目</w:t>
      </w:r>
      <w:r>
        <w:rPr>
          <w:rFonts w:hint="eastAsia" w:ascii="宋体" w:hAnsi="宋体" w:eastAsia="宋体" w:cs="宋体"/>
          <w:color w:val="000000"/>
          <w:highlight w:val="none"/>
        </w:rPr>
        <w:t xml:space="preserve">采购活动由本单位提供服务。</w:t>
      </w:r>
      <w:r/>
    </w:p>
    <w:p>
      <w:pPr>
        <w:pStyle w:val="755"/>
        <w:ind w:firstLine="480"/>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55"/>
        <w:ind w:firstLine="480"/>
        <w:jc w:val="both"/>
        <w:pageBreakBefore w:val="0"/>
        <w:spacing w:beforeAutospacing="0" w:afterAutospacing="0" w:line="560" w:lineRule="exact"/>
        <w:rPr>
          <w:highlight w:val="none"/>
        </w:rPr>
      </w:pPr>
      <w:r>
        <w:rPr>
          <w:highlight w:val="none"/>
        </w:rPr>
        <w:t xml:space="preserve"> </w:t>
      </w:r>
      <w:r/>
    </w:p>
    <w:p>
      <w:pPr>
        <w:pStyle w:val="755"/>
        <w:ind w:firstLine="480"/>
        <w:jc w:val="both"/>
        <w:pageBreakBefore w:val="0"/>
        <w:spacing w:beforeAutospacing="0" w:afterAutospacing="0" w:line="560" w:lineRule="exac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755"/>
        <w:ind w:firstLine="480"/>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755"/>
        <w:ind w:firstLine="624"/>
        <w:jc w:val="both"/>
        <w:pageBreakBefore w:val="0"/>
        <w:spacing w:beforeAutospacing="0" w:afterAutospacing="0" w:line="560" w:lineRule="exact"/>
        <w:rPr>
          <w:highlight w:val="none"/>
        </w:rPr>
      </w:pPr>
      <w:r>
        <w:rPr>
          <w:highlight w:val="none"/>
        </w:rPr>
        <w:t xml:space="preserve"> </w:t>
      </w:r>
      <w:r/>
    </w:p>
    <w:p>
      <w:pPr>
        <w:pStyle w:val="755"/>
        <w:ind w:right="1560" w:firstLine="624"/>
        <w:jc w:val="center"/>
        <w:pageBreakBefore w:val="0"/>
        <w:spacing w:beforeAutospacing="0" w:afterAutospacing="0" w:line="560" w:lineRule="exac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55"/>
        <w:ind w:right="1560" w:firstLine="480"/>
        <w:jc w:val="center"/>
        <w:pageBreakBefore w:val="0"/>
        <w:spacing w:beforeAutospacing="0" w:afterAutospacing="0" w:line="560" w:lineRule="exact"/>
        <w:tabs>
          <w:tab w:val="left" w:pos="4864" w:leader="none"/>
        </w:tabs>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  期：</w:t>
      </w:r>
      <w:r/>
    </w:p>
    <w:p>
      <w:pPr>
        <w:pStyle w:val="755"/>
        <w:jc w:val="center"/>
        <w:pageBreakBefore w:val="0"/>
        <w:spacing w:beforeAutospacing="0" w:afterAutospacing="0" w:line="560" w:lineRule="exact"/>
        <w:rPr>
          <w:highlight w:val="none"/>
        </w:rPr>
      </w:pPr>
      <w:r>
        <w:rPr>
          <w:highlight w:val="none"/>
        </w:rPr>
        <w:t xml:space="preserve"> </w:t>
      </w:r>
      <w:r/>
    </w:p>
    <w:p>
      <w:pPr>
        <w:pStyle w:val="755"/>
        <w:jc w:val="center"/>
        <w:pageBreakBefore w:val="0"/>
        <w:spacing w:beforeAutospacing="0" w:afterAutospacing="0" w:line="560" w:lineRule="exact"/>
        <w:rPr>
          <w:highlight w:val="none"/>
        </w:rPr>
      </w:pPr>
      <w:r>
        <w:rPr>
          <w:highlight w:val="none"/>
        </w:rPr>
        <w:t xml:space="preserve"> </w:t>
      </w:r>
      <w:r/>
    </w:p>
    <w:p>
      <w:pPr>
        <w:pStyle w:val="755"/>
        <w:jc w:val="center"/>
        <w:pageBreakBefore w:val="0"/>
        <w:spacing w:beforeAutospacing="0" w:afterAutospacing="0" w:line="560" w:lineRule="exact"/>
        <w:rPr>
          <w:highlight w:val="none"/>
        </w:rPr>
      </w:pPr>
      <w:r>
        <w:rPr>
          <w:highlight w:val="none"/>
        </w:rPr>
        <w:t xml:space="preserve"> </w:t>
      </w:r>
      <w:r/>
    </w:p>
    <w:p>
      <w:pPr>
        <w:pStyle w:val="755"/>
        <w:jc w:val="center"/>
        <w:pageBreakBefore w:val="0"/>
        <w:spacing w:beforeAutospacing="0" w:afterAutospacing="0" w:line="560" w:lineRule="exact"/>
        <w:rPr>
          <w:highlight w:val="none"/>
        </w:rPr>
      </w:pPr>
      <w:r>
        <w:rPr>
          <w:highlight w:val="none"/>
        </w:rPr>
        <w:t xml:space="preserve"> </w:t>
      </w:r>
      <w:r/>
    </w:p>
    <w:p>
      <w:pPr>
        <w:pStyle w:val="755"/>
        <w:jc w:val="center"/>
        <w:pageBreakBefore w:val="0"/>
        <w:spacing w:beforeAutospacing="0" w:afterAutospacing="0" w:line="560" w:lineRule="exact"/>
        <w:rPr>
          <w:highlight w:val="none"/>
        </w:rPr>
      </w:pPr>
      <w:r>
        <w:rPr>
          <w:highlight w:val="none"/>
        </w:rPr>
        <w:t xml:space="preserve"> </w:t>
      </w:r>
      <w:r/>
    </w:p>
    <w:p>
      <w:pPr>
        <w:pStyle w:val="755"/>
        <w:jc w:val="center"/>
        <w:pageBreakBefore w:val="0"/>
        <w:spacing w:beforeAutospacing="0" w:afterAutospacing="0" w:line="560" w:lineRule="exact"/>
        <w:rPr>
          <w:highlight w:val="none"/>
        </w:rPr>
      </w:pPr>
      <w:r>
        <w:rPr>
          <w:highlight w:val="none"/>
        </w:rPr>
        <w:t xml:space="preserve"> </w:t>
      </w:r>
      <w:r/>
    </w:p>
    <w:p>
      <w:pPr>
        <w:pStyle w:val="755"/>
        <w:jc w:val="center"/>
        <w:pageBreakBefore w:val="0"/>
        <w:spacing w:beforeAutospacing="0" w:afterAutospacing="0" w:line="560" w:lineRule="exact"/>
        <w:rPr>
          <w:highlight w:val="none"/>
        </w:rPr>
      </w:pPr>
      <w:r>
        <w:rPr>
          <w:highlight w:val="none"/>
        </w:rPr>
        <w:t xml:space="preserve"> </w:t>
      </w:r>
      <w:r/>
    </w:p>
    <w:p>
      <w:pPr>
        <w:pStyle w:val="755"/>
        <w:jc w:val="center"/>
        <w:pageBreakBefore w:val="0"/>
        <w:spacing w:beforeAutospacing="0" w:afterAutospacing="0" w:line="560" w:lineRule="exact"/>
        <w:rPr>
          <w:highlight w:val="none"/>
        </w:rPr>
      </w:pPr>
      <w:r>
        <w:rPr>
          <w:highlight w:val="none"/>
        </w:rPr>
        <w:t xml:space="preserve"> </w:t>
      </w:r>
      <w:r/>
    </w:p>
    <w:p>
      <w:pPr>
        <w:spacing w:line="560" w:lineRule="exac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55"/>
        <w:jc w:val="center"/>
        <w:spacing w:beforeAutospacing="0" w:afterAutospacing="0" w:line="560" w:lineRule="exact"/>
        <w:rPr>
          <w:rFonts w:ascii="黑体" w:hAnsi="Times New Roman" w:eastAsia="黑体" w:cs="黑体"/>
          <w:i/>
          <w:color w:val="000000"/>
          <w:sz w:val="32"/>
          <w:szCs w:val="32"/>
          <w:u w:val="single"/>
        </w:rPr>
      </w:pPr>
      <w:r>
        <w:rPr>
          <w:rFonts w:hint="eastAsia" w:ascii="黑体" w:hAnsi="Times New Roman" w:eastAsia="黑体" w:cs="黑体"/>
          <w:i/>
          <w:color w:val="000000"/>
          <w:sz w:val="32"/>
          <w:szCs w:val="32"/>
          <w:u w:val="single"/>
        </w:rPr>
        <w:t xml:space="preserve">十一、投标分项报价表</w:t>
      </w:r>
      <w:r/>
    </w:p>
    <w:tbl>
      <w:tblPr>
        <w:tblStyle w:val="732"/>
        <w:tblW w:w="88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56"/>
        <w:gridCol w:w="1260"/>
        <w:gridCol w:w="1247"/>
        <w:gridCol w:w="909"/>
        <w:gridCol w:w="1169"/>
        <w:gridCol w:w="1555"/>
        <w:gridCol w:w="1721"/>
      </w:tblGrid>
      <w:tr>
        <w:trPr>
          <w:tblCellSpacing w:w="0" w:type="dxa"/>
          <w:trHeight w:val="588"/>
        </w:trPr>
        <w:tc>
          <w:tcPr>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6</w:t>
            </w:r>
            <w:r/>
          </w:p>
        </w:tc>
      </w:tr>
      <w:tr>
        <w:trPr>
          <w:tblCellSpacing w:w="0" w:type="dxa"/>
          <w:trHeight w:val="1155"/>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560" w:lineRule="exact"/>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分项</w:t>
            </w:r>
            <w:r/>
          </w:p>
          <w:p>
            <w:pPr>
              <w:pStyle w:val="755"/>
              <w:jc w:val="center"/>
              <w:spacing w:beforeAutospacing="0" w:afterAutospacing="0" w:line="560" w:lineRule="exac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分项</w:t>
            </w:r>
            <w:r/>
          </w:p>
          <w:p>
            <w:pPr>
              <w:pStyle w:val="755"/>
              <w:jc w:val="center"/>
              <w:spacing w:beforeAutospacing="0" w:afterAutospacing="0" w:line="560" w:lineRule="exact"/>
            </w:pPr>
            <w:r>
              <w:rPr>
                <w:rFonts w:hint="eastAsia" w:ascii="宋体" w:hAnsi="宋体" w:eastAsia="宋体" w:cs="宋体"/>
                <w:color w:val="000000"/>
              </w:rPr>
              <w:t xml:space="preserve">总价</w:t>
            </w:r>
            <w:r/>
          </w:p>
        </w:tc>
      </w:tr>
      <w:tr>
        <w:trPr>
          <w:tblCellSpacing w:w="0" w:type="dxa"/>
          <w:trHeight w:val="68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55"/>
              <w:jc w:val="center"/>
              <w:spacing w:beforeAutospacing="0" w:afterAutospacing="0" w:line="560" w:lineRule="exact"/>
            </w:pPr>
            <w:r>
              <w:t xml:space="preserve"> </w:t>
            </w:r>
            <w:r/>
          </w:p>
        </w:tc>
      </w:tr>
      <w:tr>
        <w:trPr>
          <w:tblCellSpacing w:w="0" w:type="dxa"/>
          <w:trHeight w:val="68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55"/>
              <w:jc w:val="center"/>
              <w:spacing w:beforeAutospacing="0" w:afterAutospacing="0" w:line="560" w:lineRule="exact"/>
            </w:pPr>
            <w:r>
              <w:t xml:space="preserve"> </w:t>
            </w:r>
            <w:r/>
          </w:p>
        </w:tc>
      </w:tr>
      <w:tr>
        <w:trPr>
          <w:tblCellSpacing w:w="0" w:type="dxa"/>
          <w:trHeight w:val="68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55"/>
              <w:jc w:val="center"/>
              <w:spacing w:beforeAutospacing="0" w:afterAutospacing="0" w:line="560" w:lineRule="exact"/>
            </w:pPr>
            <w:r>
              <w:t xml:space="preserve"> </w:t>
            </w:r>
            <w:r/>
          </w:p>
        </w:tc>
      </w:tr>
      <w:tr>
        <w:trPr>
          <w:tblCellSpacing w:w="0" w:type="dxa"/>
          <w:trHeight w:val="68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55"/>
              <w:jc w:val="center"/>
              <w:spacing w:beforeAutospacing="0" w:afterAutospacing="0" w:line="560" w:lineRule="exact"/>
            </w:pPr>
            <w:r>
              <w:t xml:space="preserve"> </w:t>
            </w:r>
            <w:r/>
          </w:p>
        </w:tc>
      </w:tr>
      <w:tr>
        <w:trPr>
          <w:tblCellSpacing w:w="0" w:type="dxa"/>
          <w:trHeight w:val="588"/>
        </w:trPr>
        <w:tc>
          <w:tcPr>
            <w:gridSpan w:val="6"/>
            <w:tcBorders>
              <w:top w:val="single" w:color="000000" w:sz="4" w:space="0"/>
              <w:left w:val="single" w:color="000000" w:sz="4" w:space="0"/>
              <w:bottom w:val="single" w:color="000000" w:sz="4" w:space="0"/>
              <w:right w:val="single" w:color="000000" w:sz="4" w:space="0"/>
            </w:tcBorders>
            <w:tcW w:w="7096"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55"/>
              <w:jc w:val="both"/>
              <w:spacing w:beforeAutospacing="0" w:afterAutospacing="0" w:line="560" w:lineRule="exact"/>
            </w:pPr>
            <w:r>
              <w:t xml:space="preserve"> </w:t>
            </w:r>
            <w:r/>
          </w:p>
        </w:tc>
      </w:tr>
    </w:tbl>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pStyle w:val="755"/>
        <w:jc w:val="center"/>
        <w:spacing w:beforeAutospacing="0" w:afterAutospacing="0" w:line="560" w:lineRule="exact"/>
      </w:pPr>
      <w:r/>
      <w:r/>
    </w:p>
    <w:p>
      <w:pPr>
        <w:spacing w:line="560" w:lineRule="exact"/>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55"/>
        <w:jc w:val="center"/>
        <w:spacing w:beforeAutospacing="0" w:afterAutospacing="0" w:line="560" w:lineRule="exact"/>
        <w:rPr>
          <w:rFonts w:ascii="黑体" w:hAnsi="Times New Roman" w:eastAsia="黑体" w:cs="黑体"/>
          <w:i/>
          <w:color w:val="000000"/>
          <w:sz w:val="32"/>
          <w:szCs w:val="32"/>
          <w:highlight w:val="yellow"/>
          <w:u w:val="single"/>
        </w:rPr>
      </w:pPr>
      <w:r>
        <w:rPr>
          <w:rFonts w:hint="eastAsia" w:ascii="黑体" w:hAnsi="Times New Roman" w:eastAsia="黑体" w:cs="黑体"/>
          <w:i/>
          <w:color w:val="000000"/>
          <w:sz w:val="32"/>
          <w:szCs w:val="32"/>
          <w:u w:val="single"/>
        </w:rPr>
        <w:t xml:space="preserve">十二、技术要求响应及偏离表</w:t>
      </w:r>
      <w:r/>
    </w:p>
    <w:tbl>
      <w:tblPr>
        <w:tblStyle w:val="732"/>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06"/>
        <w:gridCol w:w="2858"/>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证明</w:t>
            </w:r>
            <w:r/>
          </w:p>
          <w:p>
            <w:pPr>
              <w:pStyle w:val="755"/>
              <w:jc w:val="center"/>
              <w:spacing w:beforeAutospacing="0" w:afterAutospacing="0" w:line="560" w:lineRule="exact"/>
            </w:pPr>
            <w:r>
              <w:rPr>
                <w:rFonts w:hint="eastAsia" w:ascii="宋体" w:hAnsi="宋体" w:eastAsia="宋体" w:cs="宋体"/>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line="560" w:lineRule="exact"/>
            </w:pPr>
            <w:r>
              <w:t xml:space="preserve"> </w:t>
            </w:r>
            <w:r/>
          </w:p>
        </w:tc>
      </w:tr>
    </w:tbl>
    <w:p>
      <w:pPr>
        <w:pStyle w:val="755"/>
        <w:jc w:val="both"/>
        <w:spacing w:beforeAutospacing="0" w:afterAutospacing="0" w:line="560" w:lineRule="exact"/>
      </w:pPr>
      <w:r>
        <w:rPr>
          <w:rFonts w:hint="eastAsia" w:ascii="宋体" w:hAnsi="宋体" w:eastAsia="宋体" w:cs="宋体"/>
          <w:color w:val="000000"/>
        </w:rPr>
        <w:t xml:space="preserve">注：行数不够，可自行添加。</w:t>
      </w:r>
      <w:r/>
    </w:p>
    <w:p>
      <w:pPr>
        <w:pStyle w:val="755"/>
        <w:jc w:val="center"/>
        <w:spacing w:beforeAutospacing="0" w:afterAutospacing="0" w:line="560" w:lineRule="exact"/>
      </w:pPr>
      <w:r>
        <w:t xml:space="preserve"> </w:t>
      </w:r>
      <w:r/>
    </w:p>
    <w:p>
      <w:pPr>
        <w:pStyle w:val="755"/>
        <w:jc w:val="center"/>
        <w:spacing w:beforeAutospacing="0" w:afterAutospacing="0" w:line="560" w:lineRule="exact"/>
      </w:pPr>
      <w:r>
        <w:t xml:space="preserve"> </w:t>
      </w:r>
      <w:r/>
    </w:p>
    <w:p>
      <w:pPr>
        <w:pStyle w:val="755"/>
        <w:jc w:val="center"/>
        <w:spacing w:beforeAutospacing="0" w:afterAutospacing="0" w:line="560" w:lineRule="exact"/>
      </w:pPr>
      <w:r>
        <w:t xml:space="preserve"> </w:t>
      </w:r>
      <w:r/>
    </w:p>
    <w:p>
      <w:pPr>
        <w:pStyle w:val="755"/>
        <w:jc w:val="center"/>
        <w:spacing w:beforeAutospacing="0" w:afterAutospacing="0" w:line="560" w:lineRule="exact"/>
      </w:pPr>
      <w:r>
        <w:t xml:space="preserve"> </w:t>
      </w:r>
      <w:r/>
    </w:p>
    <w:p>
      <w:pPr>
        <w:pStyle w:val="755"/>
        <w:jc w:val="both"/>
        <w:spacing w:beforeAutospacing="0" w:afterAutospacing="0" w:line="560" w:lineRule="exact"/>
      </w:pPr>
      <w:r>
        <w:t xml:space="preserve"> </w:t>
      </w:r>
      <w:r/>
    </w:p>
    <w:p>
      <w:pPr>
        <w:pStyle w:val="755"/>
        <w:jc w:val="both"/>
        <w:spacing w:beforeAutospacing="0" w:afterAutospacing="0" w:line="560" w:lineRule="exact"/>
      </w:pPr>
      <w:r>
        <w:t xml:space="preserve"> </w:t>
      </w:r>
      <w:r/>
    </w:p>
    <w:p>
      <w:pPr>
        <w:pStyle w:val="755"/>
        <w:jc w:val="both"/>
        <w:spacing w:beforeAutospacing="0" w:afterAutospacing="0" w:line="560" w:lineRule="exact"/>
      </w:pPr>
      <w:r>
        <w:t xml:space="preserve"> </w:t>
      </w:r>
      <w:r/>
    </w:p>
    <w:p>
      <w:pPr>
        <w:pStyle w:val="755"/>
        <w:jc w:val="both"/>
        <w:spacing w:beforeAutospacing="0" w:afterAutospacing="0" w:line="560" w:lineRule="exact"/>
      </w:pPr>
      <w:r>
        <w:t xml:space="preserve"> </w:t>
      </w:r>
      <w:r/>
    </w:p>
    <w:p>
      <w:pPr>
        <w:pStyle w:val="755"/>
        <w:jc w:val="both"/>
        <w:spacing w:beforeAutospacing="0" w:afterAutospacing="0" w:line="560" w:lineRule="exact"/>
      </w:pPr>
      <w:r/>
      <w:r/>
    </w:p>
    <w:p>
      <w:pPr>
        <w:pStyle w:val="755"/>
        <w:jc w:val="both"/>
        <w:spacing w:beforeAutospacing="0" w:afterAutospacing="0" w:line="560" w:lineRule="exact"/>
      </w:pPr>
      <w:r/>
      <w:r/>
    </w:p>
    <w:p>
      <w:pPr>
        <w:pStyle w:val="755"/>
        <w:jc w:val="both"/>
        <w:spacing w:beforeAutospacing="0" w:afterAutospacing="0" w:line="560" w:lineRule="exact"/>
      </w:pPr>
      <w:r/>
      <w:r/>
    </w:p>
    <w:p>
      <w:pPr>
        <w:pStyle w:val="755"/>
        <w:jc w:val="center"/>
        <w:spacing w:beforeAutospacing="0" w:afterAutospacing="0" w:line="560" w:lineRule="exact"/>
        <w:rPr>
          <w:rFonts w:ascii="黑体" w:hAnsi="Times New Roman" w:eastAsia="黑体" w:cs="黑体"/>
          <w:i/>
          <w:color w:val="000000"/>
          <w:sz w:val="32"/>
          <w:szCs w:val="32"/>
          <w:u w:val="single"/>
        </w:rPr>
      </w:pPr>
      <w:r/>
      <w:bookmarkStart w:id="184" w:name="_Hlt26955054"/>
      <w:r>
        <w:rPr>
          <w:rFonts w:hint="eastAsia" w:ascii="黑体" w:hAnsi="Times New Roman" w:eastAsia="黑体" w:cs="黑体"/>
          <w:i/>
          <w:color w:val="000000"/>
          <w:sz w:val="32"/>
          <w:szCs w:val="32"/>
          <w:u w:val="single"/>
        </w:rPr>
        <w:t xml:space="preserve">十三、商务要求响应及偏离表</w:t>
      </w:r>
      <w:r/>
    </w:p>
    <w:tbl>
      <w:tblPr>
        <w:tblStyle w:val="732"/>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272"/>
        <w:gridCol w:w="2405"/>
        <w:gridCol w:w="148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bookmarkStart w:id="185" w:name="_Hlt26955056"/>
            <w:r/>
            <w:bookmarkStart w:id="186" w:name="_Hlt26671372"/>
            <w:r/>
            <w:bookmarkStart w:id="187" w:name="_Hlt26782999"/>
            <w:r/>
            <w:bookmarkStart w:id="188" w:name="_Hlt26609391"/>
            <w:r/>
            <w:bookmarkStart w:id="189" w:name="_Hlt26580838"/>
            <w:r/>
            <w:bookmarkStart w:id="190" w:name="_Hlt24879081"/>
            <w:r/>
            <w:bookmarkStart w:id="191" w:name="_Hlt26671343"/>
            <w:r/>
            <w:bookmarkStart w:id="192" w:name="_Hlt26955064"/>
            <w:r>
              <w:rPr>
                <w:rFonts w:hint="eastAsia" w:ascii="宋体" w:hAnsi="宋体" w:eastAsia="宋体" w:cs="宋体"/>
                <w:color w:val="000000"/>
              </w:rPr>
              <w:t xml:space="preserve">序号</w:t>
            </w:r>
            <w:bookmarkEnd w:id="185"/>
            <w:r/>
            <w:bookmarkEnd w:id="186"/>
            <w:r/>
            <w:bookmarkEnd w:id="187"/>
            <w:r/>
            <w:bookmarkEnd w:id="188"/>
            <w:r/>
            <w:bookmarkEnd w:id="189"/>
            <w:r/>
            <w:bookmarkEnd w:id="190"/>
            <w:r/>
            <w:bookmarkEnd w:id="191"/>
            <w:r/>
            <w:bookmarkEnd w:id="192"/>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rPr>
                <w:rFonts w:hint="eastAsia" w:ascii="宋体" w:hAnsi="宋体" w:eastAsia="宋体" w:cs="宋体"/>
                <w:color w:val="000000"/>
              </w:rPr>
              <w:t xml:space="preserve">证明</w:t>
            </w:r>
            <w:r/>
          </w:p>
          <w:p>
            <w:pPr>
              <w:pStyle w:val="755"/>
              <w:jc w:val="center"/>
              <w:spacing w:beforeAutospacing="0" w:afterAutospacing="0" w:line="560" w:lineRule="exact"/>
            </w:pPr>
            <w:r>
              <w:rPr>
                <w:rFonts w:hint="eastAsia" w:ascii="宋体" w:hAnsi="宋体" w:eastAsia="宋体" w:cs="宋体"/>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755"/>
              <w:jc w:val="center"/>
              <w:spacing w:beforeAutospacing="0" w:afterAutospacing="0" w:line="560" w:lineRule="exact"/>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line="560" w:lineRule="exact"/>
            </w:pPr>
            <w:r>
              <w:t xml:space="preserve"> </w:t>
            </w:r>
            <w:r/>
          </w:p>
        </w:tc>
      </w:tr>
    </w:tbl>
    <w:p>
      <w:pPr>
        <w:pStyle w:val="755"/>
        <w:jc w:val="both"/>
        <w:spacing w:beforeAutospacing="0" w:afterAutospacing="0" w:line="560" w:lineRule="exact"/>
      </w:pPr>
      <w:r>
        <w:rPr>
          <w:rFonts w:hint="eastAsia" w:ascii="宋体" w:hAnsi="宋体" w:eastAsia="宋体" w:cs="宋体"/>
          <w:color w:val="000000"/>
        </w:rPr>
        <w:t xml:space="preserve">注：行数不够，可自行添加。</w:t>
      </w:r>
      <w:r/>
    </w:p>
    <w:p>
      <w:pPr>
        <w:pStyle w:val="755"/>
        <w:jc w:val="both"/>
        <w:spacing w:beforeAutospacing="0" w:afterAutospacing="0" w:line="560" w:lineRule="exact"/>
      </w:pPr>
      <w:r>
        <w:t xml:space="preserve"> </w:t>
      </w:r>
      <w:r/>
    </w:p>
    <w:p>
      <w:pPr>
        <w:pStyle w:val="755"/>
        <w:jc w:val="both"/>
        <w:spacing w:beforeAutospacing="0" w:afterAutospacing="0" w:line="560" w:lineRule="exact"/>
      </w:pPr>
      <w:r>
        <w:t xml:space="preserve"> </w:t>
      </w:r>
      <w:r/>
    </w:p>
    <w:p>
      <w:pPr>
        <w:pStyle w:val="755"/>
        <w:jc w:val="center"/>
        <w:spacing w:beforeAutospacing="0" w:afterAutospacing="0" w:line="560" w:lineRule="exact"/>
      </w:pPr>
      <w:r/>
      <w:bookmarkStart w:id="193" w:name="_Toc462564146"/>
      <w:r/>
      <w:bookmarkStart w:id="194" w:name="_Hlt26609389"/>
      <w:r/>
      <w:bookmarkStart w:id="195" w:name="_Hlt26955066"/>
      <w:r/>
      <w:bookmarkStart w:id="196" w:name="_Hlt26671374"/>
      <w:r/>
      <w:bookmarkStart w:id="197" w:name="_格式2__法定代表人授权书"/>
      <w:r>
        <w:t xml:space="preserve"> </w:t>
      </w:r>
      <w:r/>
    </w:p>
    <w:p>
      <w:pPr>
        <w:pStyle w:val="755"/>
        <w:jc w:val="both"/>
        <w:spacing w:beforeAutospacing="0" w:afterAutospacing="0" w:line="560" w:lineRule="exact"/>
      </w:pPr>
      <w:r>
        <w:t xml:space="preserve"> </w:t>
      </w:r>
      <w:r/>
    </w:p>
    <w:p>
      <w:pPr>
        <w:pStyle w:val="755"/>
        <w:jc w:val="both"/>
        <w:spacing w:beforeAutospacing="0" w:afterAutospacing="0" w:line="560" w:lineRule="exact"/>
      </w:pPr>
      <w:r>
        <w:t xml:space="preserve"> </w:t>
      </w:r>
      <w:r/>
    </w:p>
    <w:p>
      <w:pPr>
        <w:pStyle w:val="755"/>
        <w:jc w:val="both"/>
        <w:spacing w:beforeAutospacing="0" w:afterAutospacing="0" w:line="560" w:lineRule="exact"/>
      </w:pPr>
      <w:r/>
      <w:r/>
    </w:p>
    <w:p>
      <w:pPr>
        <w:pStyle w:val="755"/>
        <w:jc w:val="both"/>
        <w:spacing w:beforeAutospacing="0" w:afterAutospacing="0" w:line="560" w:lineRule="exact"/>
      </w:pPr>
      <w:r/>
      <w:r/>
    </w:p>
    <w:p>
      <w:pPr>
        <w:pStyle w:val="755"/>
        <w:jc w:val="both"/>
        <w:spacing w:beforeAutospacing="0" w:afterAutospacing="0" w:line="560" w:lineRule="exact"/>
      </w:pPr>
      <w:r/>
      <w:r/>
    </w:p>
    <w:p>
      <w:pPr>
        <w:pStyle w:val="755"/>
        <w:jc w:val="both"/>
        <w:spacing w:beforeAutospacing="0" w:afterAutospacing="0" w:line="560" w:lineRule="exact"/>
      </w:pPr>
      <w:r/>
      <w:r/>
    </w:p>
    <w:p>
      <w:pPr>
        <w:pStyle w:val="755"/>
        <w:jc w:val="both"/>
        <w:spacing w:beforeAutospacing="0" w:afterAutospacing="0" w:line="560" w:lineRule="exact"/>
      </w:pPr>
      <w:r/>
      <w:r/>
    </w:p>
    <w:p>
      <w:pPr>
        <w:pStyle w:val="755"/>
        <w:jc w:val="both"/>
        <w:spacing w:beforeAutospacing="0" w:afterAutospacing="0" w:line="560" w:lineRule="exact"/>
      </w:pPr>
      <w:r/>
      <w:r/>
    </w:p>
    <w:p>
      <w:pPr>
        <w:pStyle w:val="755"/>
        <w:jc w:val="center"/>
        <w:spacing w:beforeAutospacing="0" w:afterAutospacing="0" w:line="560" w:lineRule="exact"/>
        <w:rPr>
          <w:rFonts w:ascii="黑体" w:hAnsi="Times New Roman" w:eastAsia="黑体" w:cs="黑体"/>
          <w:i/>
          <w:color w:val="000000"/>
          <w:sz w:val="32"/>
          <w:szCs w:val="32"/>
          <w:u w:val="single"/>
        </w:rPr>
      </w:pPr>
      <w:r>
        <w:rPr>
          <w:rFonts w:hint="eastAsia" w:ascii="黑体" w:hAnsi="Times New Roman" w:eastAsia="黑体" w:cs="黑体"/>
          <w:i/>
          <w:color w:val="000000"/>
          <w:sz w:val="32"/>
          <w:szCs w:val="32"/>
          <w:u w:val="single"/>
        </w:rPr>
        <w:t xml:space="preserve">十四、开标一览表</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rPr>
        <w:t xml:space="preserve">JSZC-320900-JZCG-G2026-0054</w:t>
      </w:r>
      <w:r>
        <w:rPr>
          <w:rFonts w:hint="eastAsia" w:ascii="宋体" w:hAnsi="宋体" w:eastAsia="宋体" w:cs="宋体"/>
          <w:color w:val="000000"/>
          <w:sz w:val="24"/>
        </w:rPr>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货币单位：人民币元</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2583"/>
        <w:gridCol w:w="3274"/>
      </w:tblGrid>
      <w:tr>
        <w:trPr>
          <w:trHeight w:val="1003"/>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2"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83"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74"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总价（小写）</w:t>
            </w:r>
            <w:r/>
          </w:p>
        </w:tc>
      </w:tr>
      <w:tr>
        <w:trPr>
          <w:trHeight w:val="1003"/>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2" w:type="dxa"/>
            <w:vAlign w:val="center"/>
            <w:textDirection w:val="lrTb"/>
            <w:noWrap w:val="false"/>
          </w:tcPr>
          <w:p>
            <w:pPr>
              <w:jc w:val="center"/>
              <w:spacing w:line="560" w:lineRule="exact"/>
              <w:widowControl/>
              <w:rPr>
                <w:rFonts w:hint="eastAsia" w:ascii="宋体" w:hAnsi="宋体" w:eastAsia="宋体" w:cs="宋体"/>
              </w:rPr>
            </w:pPr>
            <w:r>
              <w:rPr>
                <w:rFonts w:hint="eastAsia" w:ascii="宋体" w:hAnsi="宋体" w:eastAsia="宋体" w:cs="宋体"/>
                <w:color w:val="000000"/>
                <w:sz w:val="24"/>
                <w:szCs w:val="20"/>
              </w:rPr>
              <w:t xml:space="preserve">盐城市第四人民医院智慧处方点评系统项目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83"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74"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元</w:t>
            </w:r>
            <w:r/>
          </w:p>
        </w:tc>
      </w:tr>
      <w:tr>
        <w:trPr>
          <w:trHeight w:val="1021"/>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2"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857" w:type="dxa"/>
            <w:vAlign w:val="center"/>
            <w:textDirection w:val="lrTb"/>
            <w:noWrap w:val="false"/>
          </w:tcPr>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金额大写</w:t>
            </w:r>
            <w:r/>
          </w:p>
        </w:tc>
      </w:tr>
    </w:tbl>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jc w:val="right"/>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投标人公章： （电子签章）</w:t>
      </w:r>
      <w:r/>
    </w:p>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 年 月 日</w:t>
      </w:r>
      <w:r/>
    </w:p>
    <w:p>
      <w:pPr>
        <w:pStyle w:val="755"/>
        <w:ind w:firstLine="480"/>
        <w:jc w:val="both"/>
        <w:spacing w:beforeAutospacing="0" w:afterAutospacing="0" w:line="560" w:lineRule="exact"/>
      </w:pPr>
      <w:r/>
      <w:r/>
    </w:p>
    <w:p>
      <w:pPr>
        <w:pStyle w:val="755"/>
        <w:ind w:firstLine="480"/>
        <w:jc w:val="both"/>
        <w:spacing w:beforeAutospacing="0" w:afterAutospacing="0" w:line="560" w:lineRule="exact"/>
      </w:pPr>
      <w:r>
        <w:t xml:space="preserve"> </w:t>
      </w:r>
      <w:r/>
    </w:p>
    <w:p>
      <w:pPr>
        <w:pStyle w:val="755"/>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r>
      <w:r/>
    </w:p>
    <w:p>
      <w:pPr>
        <w:jc w:val="center"/>
        <w:spacing w:before="50" w:after="50" w:line="560" w:lineRule="exact"/>
        <w:widowControl/>
      </w:p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55"/>
        <w:jc w:val="center"/>
        <w:spacing w:beforeAutospacing="0" w:afterAutospacing="0" w:line="560" w:lineRule="exact"/>
        <w:rPr>
          <w:rFonts w:ascii="黑体" w:hAnsi="Times New Roman" w:eastAsia="黑体" w:cs="黑体"/>
          <w:i/>
          <w:color w:val="000000"/>
          <w:sz w:val="32"/>
          <w:szCs w:val="32"/>
          <w:u w:val="single"/>
        </w:rPr>
      </w:pPr>
      <w:r>
        <w:rPr>
          <w:rFonts w:hint="eastAsia" w:ascii="黑体" w:hAnsi="Times New Roman" w:eastAsia="黑体" w:cs="黑体"/>
          <w:i/>
          <w:color w:val="000000"/>
          <w:sz w:val="32"/>
          <w:szCs w:val="32"/>
          <w:u w:val="single"/>
        </w:rPr>
        <w:t xml:space="preserve">十五、技术方案、服务承诺、培训承诺等</w:t>
      </w:r>
      <w:r/>
    </w:p>
    <w:p>
      <w:pPr>
        <w:pStyle w:val="755"/>
        <w:jc w:val="both"/>
        <w:spacing w:beforeAutospacing="0" w:afterAutospacing="0" w:line="560" w:lineRule="exact"/>
        <w:tabs>
          <w:tab w:val="left" w:pos="2160" w:leader="none"/>
        </w:tabs>
      </w:p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56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55"/>
        <w:jc w:val="center"/>
        <w:spacing w:beforeAutospacing="0" w:afterAutospacing="0" w:line="560" w:lineRule="exact"/>
        <w:rPr>
          <w:rFonts w:hint="eastAsia" w:ascii="宋体" w:hAnsi="宋体" w:eastAsia="宋体" w:cs="宋体"/>
          <w:sz w:val="24"/>
        </w:rPr>
      </w:pPr>
      <w:r>
        <w:rPr>
          <w:rFonts w:hint="eastAsia" w:ascii="黑体" w:hAnsi="Times New Roman" w:eastAsia="黑体" w:cs="黑体"/>
          <w:i/>
          <w:color w:val="000000"/>
          <w:sz w:val="32"/>
          <w:szCs w:val="32"/>
          <w:u w:val="single"/>
        </w:rPr>
        <w:t xml:space="preserve">十六、盐城市政府采购事前信用承诺书</w:t>
      </w:r>
      <w:r>
        <w:rPr>
          <w:rFonts w:hint="eastAsia" w:ascii="宋体" w:hAnsi="宋体" w:eastAsia="宋体" w:cs="宋体"/>
          <w:color w:val="000000"/>
          <w:sz w:val="32"/>
          <w:szCs w:val="32"/>
        </w:rPr>
        <w:t xml:space="preserve"> </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520" w:lineRule="exac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520" w:lineRule="exact"/>
        <w:widowControl/>
      </w:pPr>
      <w:r>
        <w:rPr>
          <w:rFonts w:hint="eastAsia" w:ascii="宋体" w:hAnsi="宋体" w:eastAsia="宋体" w:cs="宋体"/>
          <w:color w:val="000000"/>
          <w:sz w:val="24"/>
        </w:rPr>
        <w:t xml:space="preserve">                      年月日</w:t>
      </w:r>
      <w:bookmarkEnd w:id="25"/>
      <w:r/>
      <w:bookmarkEnd w:id="42"/>
      <w:r/>
      <w:bookmarkEnd w:id="87"/>
      <w:r/>
      <w:bookmarkEnd w:id="88"/>
      <w:r/>
      <w:bookmarkEnd w:id="89"/>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9"/>
      <w:r/>
      <w:bookmarkEnd w:id="110"/>
      <w:r/>
      <w:bookmarkEnd w:id="111"/>
      <w:r/>
      <w:bookmarkEnd w:id="116"/>
      <w:r/>
      <w:bookmarkEnd w:id="117"/>
      <w:r/>
      <w:bookmarkEnd w:id="124"/>
      <w:r/>
      <w:bookmarkEnd w:id="171"/>
      <w:r/>
      <w:bookmarkEnd w:id="172"/>
      <w:r/>
      <w:bookmarkEnd w:id="178"/>
      <w:r/>
      <w:bookmarkEnd w:id="179"/>
      <w:r/>
      <w:bookmarkEnd w:id="181"/>
      <w:r/>
      <w:bookmarkEnd w:id="182"/>
      <w:r/>
      <w:bookmarkEnd w:id="183"/>
      <w:r/>
      <w:bookmarkEnd w:id="184"/>
      <w:r/>
      <w:bookmarkEnd w:id="193"/>
      <w:r/>
      <w:bookmarkEnd w:id="194"/>
      <w:r/>
      <w:bookmarkEnd w:id="195"/>
      <w:r/>
      <w:bookmarkEnd w:id="196"/>
      <w:r/>
      <w:bookmarkEnd w:id="197"/>
      <w:r/>
      <w:r/>
    </w:p>
    <w:p>
      <w:pPr>
        <w:pStyle w:val="755"/>
        <w:jc w:val="center"/>
        <w:spacing w:beforeAutospacing="0" w:afterAutospacing="0" w:line="560" w:lineRule="exact"/>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755"/>
        <w:jc w:val="center"/>
        <w:spacing w:beforeAutospacing="0" w:afterAutospacing="0" w:line="560" w:lineRule="exac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755"/>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55"/>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5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rPr>
          <w:rFonts w:hint="eastAsia" w:ascii="宋体" w:hAnsi="宋体" w:eastAsia="宋体" w:cs="宋体"/>
          <w:b/>
          <w:color w:val="000000"/>
        </w:rPr>
      </w:pPr>
      <w:r>
        <w:rPr>
          <w:rFonts w:hint="eastAsia" w:ascii="宋体" w:hAnsi="宋体" w:eastAsia="宋体" w:cs="宋体"/>
          <w:b/>
          <w:color w:val="000000"/>
        </w:rPr>
        <w:br w:type="page" w:clear="all"/>
      </w:r>
      <w:r/>
    </w:p>
    <w:p>
      <w:pPr>
        <w:pStyle w:val="755"/>
        <w:jc w:val="both"/>
        <w:spacing w:beforeAutospacing="0" w:afterAutospacing="0" w:line="560" w:lineRule="exact"/>
        <w:rPr>
          <w:rFonts w:hint="eastAsia" w:ascii="宋体" w:hAnsi="宋体" w:eastAsia="宋体" w:cs="宋体"/>
        </w:rPr>
      </w:pPr>
      <w:r>
        <w:rPr>
          <w:rFonts w:hint="eastAsia" w:ascii="宋体" w:hAnsi="宋体" w:eastAsia="宋体" w:cs="宋体"/>
          <w:b/>
          <w:color w:val="000000"/>
        </w:rPr>
        <w:t xml:space="preserve">质疑函制作说明：</w:t>
      </w:r>
      <w:r/>
    </w:p>
    <w:p>
      <w:pPr>
        <w:pStyle w:val="755"/>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55"/>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5"/>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55"/>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55"/>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55"/>
        <w:ind w:firstLine="480"/>
        <w:spacing w:beforeAutospacing="0" w:afterAutospacing="0" w:line="560" w:lineRule="exac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55"/>
        <w:ind w:firstLine="420"/>
        <w:jc w:val="both"/>
        <w:spacing w:beforeAutospacing="0" w:afterAutospacing="0" w:line="560" w:lineRule="exact"/>
        <w:rPr>
          <w:rFonts w:hint="eastAsia" w:ascii="宋体" w:hAnsi="宋体" w:eastAsia="宋体" w:cs="宋体"/>
        </w:rPr>
      </w:pPr>
      <w:r>
        <w:rPr>
          <w:rFonts w:hint="eastAsia" w:ascii="宋体" w:hAnsi="宋体" w:eastAsia="宋体" w:cs="宋体"/>
        </w:rPr>
        <w:t xml:space="preserve"> </w:t>
      </w:r>
      <w:r/>
    </w:p>
    <w:p>
      <w:pPr>
        <w:spacing w:line="560" w:lineRule="exact"/>
      </w:pPr>
      <w:r/>
      <w:r/>
    </w:p>
    <w:sectPr>
      <w:headerReference w:type="default" r:id="rId9"/>
      <w:footerReference w:type="default" r:id="rId10"/>
      <w:footnotePr/>
      <w:endnotePr/>
      <w:type w:val="nextPage"/>
      <w:pgSz w:w="11906" w:h="16838" w:orient="portrait"/>
      <w:pgMar w:top="1417" w:right="1633" w:bottom="1417"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方正黑体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仿宋">
    <w:panose1 w:val="02010609060101010101"/>
  </w:font>
  <w:font w:name="等线">
    <w:panose1 w:val="02010600030101010101"/>
  </w:font>
  <w:font w:name="Arial">
    <w:panose1 w:val="020B0604020202020204"/>
  </w:font>
  <w:font w:name="隶书">
    <w:panose1 w:val="02010509060101010101"/>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2714216</wp:posOffset>
              </wp:positionH>
              <wp:positionV relativeFrom="paragraph">
                <wp:posOffset>8659</wp:posOffset>
              </wp:positionV>
              <wp:extent cx="128988" cy="139526"/>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2898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3.7pt;mso-position-horizontal:absolute;mso-position-vertical-relative:text;margin-top:0.7pt;mso-position-vertical:absolute;width:10.2pt;height:11.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JSZC-320900-JZCG-G2026-0054</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ascii="Wingdings" w:hAnsi="Wingdings" w:eastAsia="Wingdings" w:cs="Wingdings"/>
      </w:rPr>
    </w:lvl>
    <w:lvl w:ilvl="3">
      <w:start w:val="1"/>
      <w:numFmt w:val="bullet"/>
      <w:isLgl w:val="false"/>
      <w:suff w:val="tab"/>
      <w:lvlText w:val="·"/>
      <w:lvlJc w:val="left"/>
      <w:pPr>
        <w:ind w:left="2880" w:hanging="360"/>
        <w:tabs>
          <w:tab w:val="left" w:pos="0" w:leader="none"/>
        </w:tabs>
      </w:pPr>
      <w:rPr>
        <w:rFonts w:ascii="Symbol" w:hAnsi="Symbol" w:eastAsia="Symbol" w:cs="Symbol"/>
      </w:rPr>
    </w:lvl>
    <w:lvl w:ilvl="4">
      <w:start w:val="1"/>
      <w:numFmt w:val="bullet"/>
      <w:isLgl w:val="false"/>
      <w:suff w:val="tab"/>
      <w:lvlText w:val="o"/>
      <w:lvlJc w:val="left"/>
      <w:pPr>
        <w:ind w:left="3600" w:hanging="360"/>
        <w:tabs>
          <w:tab w:val="left" w:pos="0" w:leader="none"/>
        </w:tabs>
      </w:pPr>
      <w:rPr>
        <w:rFonts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ascii="Wingdings" w:hAnsi="Wingdings" w:eastAsia="Wingdings" w:cs="Wingdings"/>
      </w:rPr>
    </w:lvl>
    <w:lvl w:ilvl="6">
      <w:start w:val="1"/>
      <w:numFmt w:val="bullet"/>
      <w:isLgl w:val="false"/>
      <w:suff w:val="tab"/>
      <w:lvlText w:val="·"/>
      <w:lvlJc w:val="left"/>
      <w:pPr>
        <w:ind w:left="5040" w:hanging="360"/>
        <w:tabs>
          <w:tab w:val="left" w:pos="0" w:leader="none"/>
        </w:tabs>
      </w:pPr>
      <w:rPr>
        <w:rFonts w:ascii="Symbol" w:hAnsi="Symbol" w:eastAsia="Symbol" w:cs="Symbol"/>
      </w:rPr>
    </w:lvl>
    <w:lvl w:ilvl="7">
      <w:start w:val="1"/>
      <w:numFmt w:val="bullet"/>
      <w:isLgl w:val="false"/>
      <w:suff w:val="tab"/>
      <w:lvlText w:val="o"/>
      <w:lvlJc w:val="left"/>
      <w:pPr>
        <w:ind w:left="5760" w:hanging="360"/>
        <w:tabs>
          <w:tab w:val="left" w:pos="0" w:leader="none"/>
        </w:tabs>
      </w:pPr>
      <w:rPr>
        <w:rFonts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731"/>
    <w:link w:val="722"/>
    <w:uiPriority w:val="9"/>
    <w:rPr>
      <w:rFonts w:ascii="Arial" w:hAnsi="Arial" w:eastAsia="Arial" w:cs="Arial"/>
      <w:sz w:val="40"/>
      <w:szCs w:val="40"/>
    </w:rPr>
  </w:style>
  <w:style w:type="character" w:styleId="688">
    <w:name w:val="Heading 3 Char"/>
    <w:basedOn w:val="731"/>
    <w:link w:val="724"/>
    <w:uiPriority w:val="9"/>
    <w:rPr>
      <w:rFonts w:ascii="Arial" w:hAnsi="Arial" w:eastAsia="Arial" w:cs="Arial"/>
      <w:sz w:val="30"/>
      <w:szCs w:val="30"/>
    </w:rPr>
  </w:style>
  <w:style w:type="character" w:styleId="689">
    <w:name w:val="Heading 4 Char"/>
    <w:basedOn w:val="731"/>
    <w:link w:val="725"/>
    <w:uiPriority w:val="9"/>
    <w:rPr>
      <w:rFonts w:ascii="Arial" w:hAnsi="Arial" w:eastAsia="Arial" w:cs="Arial"/>
      <w:b/>
      <w:bCs/>
      <w:sz w:val="26"/>
      <w:szCs w:val="26"/>
    </w:rPr>
  </w:style>
  <w:style w:type="character" w:styleId="690">
    <w:name w:val="Heading 5 Char"/>
    <w:basedOn w:val="731"/>
    <w:link w:val="726"/>
    <w:uiPriority w:val="9"/>
    <w:rPr>
      <w:rFonts w:ascii="Arial" w:hAnsi="Arial" w:eastAsia="Arial" w:cs="Arial"/>
      <w:b/>
      <w:bCs/>
      <w:sz w:val="24"/>
      <w:szCs w:val="24"/>
    </w:rPr>
  </w:style>
  <w:style w:type="character" w:styleId="691">
    <w:name w:val="Heading 6 Char"/>
    <w:basedOn w:val="731"/>
    <w:link w:val="727"/>
    <w:uiPriority w:val="9"/>
    <w:rPr>
      <w:rFonts w:ascii="Arial" w:hAnsi="Arial" w:eastAsia="Arial" w:cs="Arial"/>
      <w:b/>
      <w:bCs/>
      <w:sz w:val="22"/>
      <w:szCs w:val="22"/>
    </w:rPr>
  </w:style>
  <w:style w:type="character" w:styleId="692">
    <w:name w:val="Heading 7 Char"/>
    <w:basedOn w:val="731"/>
    <w:link w:val="728"/>
    <w:uiPriority w:val="9"/>
    <w:rPr>
      <w:rFonts w:ascii="Arial" w:hAnsi="Arial" w:eastAsia="Arial" w:cs="Arial"/>
      <w:b/>
      <w:bCs/>
      <w:i/>
      <w:iCs/>
      <w:sz w:val="22"/>
      <w:szCs w:val="22"/>
    </w:rPr>
  </w:style>
  <w:style w:type="character" w:styleId="693">
    <w:name w:val="Heading 8 Char"/>
    <w:basedOn w:val="731"/>
    <w:link w:val="729"/>
    <w:uiPriority w:val="9"/>
    <w:rPr>
      <w:rFonts w:ascii="Arial" w:hAnsi="Arial" w:eastAsia="Arial" w:cs="Arial"/>
      <w:i/>
      <w:iCs/>
      <w:sz w:val="22"/>
      <w:szCs w:val="22"/>
    </w:rPr>
  </w:style>
  <w:style w:type="character" w:styleId="694">
    <w:name w:val="Heading 9 Char"/>
    <w:basedOn w:val="731"/>
    <w:link w:val="730"/>
    <w:uiPriority w:val="9"/>
    <w:rPr>
      <w:rFonts w:ascii="Arial" w:hAnsi="Arial" w:eastAsia="Arial" w:cs="Arial"/>
      <w:i/>
      <w:iCs/>
      <w:sz w:val="21"/>
      <w:szCs w:val="21"/>
    </w:rPr>
  </w:style>
  <w:style w:type="character" w:styleId="695">
    <w:name w:val="Title Char"/>
    <w:basedOn w:val="731"/>
    <w:link w:val="756"/>
    <w:uiPriority w:val="10"/>
    <w:rPr>
      <w:sz w:val="48"/>
      <w:szCs w:val="48"/>
    </w:rPr>
  </w:style>
  <w:style w:type="character" w:styleId="696">
    <w:name w:val="Subtitle Char"/>
    <w:basedOn w:val="731"/>
    <w:link w:val="749"/>
    <w:uiPriority w:val="11"/>
    <w:rPr>
      <w:sz w:val="24"/>
      <w:szCs w:val="24"/>
    </w:rPr>
  </w:style>
  <w:style w:type="character" w:styleId="697">
    <w:name w:val="Quote Char"/>
    <w:link w:val="775"/>
    <w:uiPriority w:val="29"/>
    <w:rPr>
      <w:i/>
    </w:rPr>
  </w:style>
  <w:style w:type="character" w:styleId="698">
    <w:name w:val="Intense Quote Char"/>
    <w:link w:val="777"/>
    <w:uiPriority w:val="30"/>
    <w:rPr>
      <w:i/>
    </w:rPr>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50"/>
    <w:uiPriority w:val="99"/>
    <w:rPr>
      <w:sz w:val="18"/>
    </w:rPr>
  </w:style>
  <w:style w:type="character" w:styleId="719">
    <w:name w:val="Endnote Text Char"/>
    <w:link w:val="743"/>
    <w:uiPriority w:val="99"/>
    <w:rPr>
      <w:sz w:val="20"/>
    </w:rPr>
  </w:style>
  <w:style w:type="paragraph" w:styleId="720">
    <w:name w:val="TOC Heading"/>
    <w:uiPriority w:val="39"/>
    <w:unhideWhenUsed/>
  </w:style>
  <w:style w:type="paragraph" w:styleId="721" w:default="1">
    <w:name w:val="Normal"/>
    <w:next w:val="73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2">
    <w:name w:val="Heading 1"/>
    <w:basedOn w:val="721"/>
    <w:next w:val="721"/>
    <w:link w:val="763"/>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724">
    <w:name w:val="Heading 3"/>
    <w:basedOn w:val="721"/>
    <w:next w:val="721"/>
    <w:link w:val="765"/>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6"/>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67"/>
    <w:uiPriority w:val="9"/>
    <w:unhideWhenUsed/>
    <w:qFormat/>
    <w:pPr>
      <w:keepLines/>
      <w:keepNext/>
      <w:spacing w:before="320" w:after="200"/>
      <w:outlineLvl w:val="4"/>
    </w:pPr>
    <w:rPr>
      <w:rFonts w:ascii="Arial" w:hAnsi="Arial" w:eastAsia="Arial" w:cs="Arial"/>
      <w:b/>
      <w:bCs/>
      <w:sz w:val="24"/>
    </w:rPr>
  </w:style>
  <w:style w:type="paragraph" w:styleId="727">
    <w:name w:val="Heading 6"/>
    <w:basedOn w:val="721"/>
    <w:next w:val="721"/>
    <w:link w:val="768"/>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70"/>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71"/>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unhideWhenUsed/>
  </w:style>
  <w:style w:type="table" w:styleId="732" w:default="1">
    <w:name w:val="Normal Table"/>
    <w:uiPriority w:val="99"/>
    <w:semiHidden/>
    <w:unhideWhenUsed/>
    <w:tblPr>
      <w:tblCellMar>
        <w:left w:w="108" w:type="dxa"/>
        <w:top w:w="0" w:type="dxa"/>
        <w:right w:w="108" w:type="dxa"/>
        <w:bottom w:w="0" w:type="dxa"/>
      </w:tblCellMar>
    </w:tblPr>
  </w:style>
  <w:style w:type="paragraph" w:styleId="733">
    <w:name w:val="Block Text"/>
    <w:basedOn w:val="721"/>
    <w:uiPriority w:val="0"/>
    <w:qFormat/>
    <w:pPr>
      <w:ind w:left="1440" w:right="1440"/>
      <w:spacing w:after="120"/>
      <w:tabs>
        <w:tab w:val="left" w:pos="9000" w:leader="none"/>
      </w:tabs>
    </w:pPr>
  </w:style>
  <w:style w:type="paragraph" w:styleId="734">
    <w:name w:val="toc 7"/>
    <w:basedOn w:val="721"/>
    <w:next w:val="721"/>
    <w:uiPriority w:val="39"/>
    <w:unhideWhenUsed/>
    <w:qFormat/>
    <w:pPr>
      <w:ind w:left="1701"/>
      <w:spacing w:after="57"/>
    </w:pPr>
  </w:style>
  <w:style w:type="paragraph" w:styleId="735">
    <w:name w:val="Caption"/>
    <w:basedOn w:val="721"/>
    <w:next w:val="72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6">
    <w:name w:val="annotation text"/>
    <w:basedOn w:val="721"/>
    <w:uiPriority w:val="0"/>
    <w:qFormat/>
    <w:pPr>
      <w:jc w:val="left"/>
    </w:pPr>
  </w:style>
  <w:style w:type="paragraph" w:styleId="737">
    <w:name w:val="Body Text"/>
    <w:basedOn w:val="721"/>
    <w:uiPriority w:val="0"/>
    <w:semiHidden/>
    <w:qFormat/>
    <w:rPr>
      <w:rFonts w:ascii="仿宋" w:hAnsi="仿宋" w:eastAsia="仿宋" w:cs="仿宋"/>
      <w:sz w:val="31"/>
      <w:szCs w:val="31"/>
      <w:lang w:eastAsia="en-US"/>
    </w:rPr>
  </w:style>
  <w:style w:type="paragraph" w:styleId="738">
    <w:name w:val="Body Text Indent"/>
    <w:basedOn w:val="721"/>
    <w:uiPriority w:val="0"/>
    <w:qFormat/>
    <w:pPr>
      <w:ind w:firstLine="645"/>
    </w:pPr>
    <w:rPr>
      <w:rFonts w:ascii="楷体_GB2312" w:eastAsia="楷体_GB2312"/>
      <w:sz w:val="32"/>
      <w:szCs w:val="32"/>
    </w:rPr>
  </w:style>
  <w:style w:type="paragraph" w:styleId="739">
    <w:name w:val="toc 5"/>
    <w:basedOn w:val="721"/>
    <w:next w:val="721"/>
    <w:uiPriority w:val="39"/>
    <w:unhideWhenUsed/>
    <w:qFormat/>
    <w:pPr>
      <w:ind w:left="1134"/>
      <w:spacing w:after="57"/>
    </w:pPr>
  </w:style>
  <w:style w:type="paragraph" w:styleId="740">
    <w:name w:val="toc 3"/>
    <w:basedOn w:val="721"/>
    <w:next w:val="721"/>
    <w:uiPriority w:val="39"/>
    <w:unhideWhenUsed/>
    <w:qFormat/>
    <w:pPr>
      <w:ind w:left="567"/>
      <w:spacing w:after="57"/>
    </w:pPr>
  </w:style>
  <w:style w:type="paragraph" w:styleId="741">
    <w:name w:val="Plain Text"/>
    <w:basedOn w:val="721"/>
    <w:uiPriority w:val="0"/>
    <w:qFormat/>
    <w:rPr>
      <w:rFonts w:hint="eastAsia" w:ascii="宋体" w:hAnsi="Courier New"/>
      <w:szCs w:val="20"/>
    </w:rPr>
  </w:style>
  <w:style w:type="paragraph" w:styleId="742">
    <w:name w:val="toc 8"/>
    <w:basedOn w:val="721"/>
    <w:next w:val="721"/>
    <w:uiPriority w:val="39"/>
    <w:unhideWhenUsed/>
    <w:qFormat/>
    <w:pPr>
      <w:ind w:left="1984"/>
      <w:spacing w:after="57"/>
    </w:pPr>
  </w:style>
  <w:style w:type="paragraph" w:styleId="743">
    <w:name w:val="endnote text"/>
    <w:basedOn w:val="721"/>
    <w:link w:val="908"/>
    <w:uiPriority w:val="99"/>
    <w:semiHidden/>
    <w:unhideWhenUsed/>
    <w:qFormat/>
    <w:rPr>
      <w:sz w:val="20"/>
    </w:rPr>
  </w:style>
  <w:style w:type="paragraph" w:styleId="744">
    <w:name w:val="Footer"/>
    <w:basedOn w:val="721"/>
    <w:link w:val="912"/>
    <w:uiPriority w:val="0"/>
    <w:qFormat/>
    <w:pPr>
      <w:jc w:val="left"/>
      <w:tabs>
        <w:tab w:val="center" w:pos="4153" w:leader="none"/>
        <w:tab w:val="right" w:pos="8306" w:leader="none"/>
      </w:tabs>
    </w:pPr>
    <w:rPr>
      <w:sz w:val="18"/>
      <w:szCs w:val="18"/>
    </w:rPr>
  </w:style>
  <w:style w:type="paragraph" w:styleId="745">
    <w:name w:val="envelope return"/>
    <w:basedOn w:val="721"/>
    <w:uiPriority w:val="0"/>
    <w:qFormat/>
    <w:rPr>
      <w:rFonts w:ascii="Arial" w:hAnsi="Arial"/>
    </w:rPr>
  </w:style>
  <w:style w:type="paragraph" w:styleId="746">
    <w:name w:val="Header"/>
    <w:basedOn w:val="721"/>
    <w:link w:val="911"/>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21"/>
    <w:next w:val="721"/>
    <w:uiPriority w:val="39"/>
    <w:unhideWhenUsed/>
    <w:qFormat/>
    <w:pPr>
      <w:spacing w:after="57"/>
    </w:pPr>
  </w:style>
  <w:style w:type="paragraph" w:styleId="748">
    <w:name w:val="toc 4"/>
    <w:basedOn w:val="721"/>
    <w:next w:val="721"/>
    <w:uiPriority w:val="39"/>
    <w:unhideWhenUsed/>
    <w:qFormat/>
    <w:pPr>
      <w:ind w:left="850"/>
      <w:spacing w:after="57"/>
    </w:pPr>
  </w:style>
  <w:style w:type="paragraph" w:styleId="749">
    <w:name w:val="Subtitle"/>
    <w:basedOn w:val="721"/>
    <w:next w:val="721"/>
    <w:link w:val="774"/>
    <w:uiPriority w:val="11"/>
    <w:qFormat/>
    <w:pPr>
      <w:spacing w:before="200" w:after="200"/>
    </w:pPr>
    <w:rPr>
      <w:sz w:val="24"/>
    </w:rPr>
  </w:style>
  <w:style w:type="paragraph" w:styleId="750">
    <w:name w:val="footnote text"/>
    <w:basedOn w:val="721"/>
    <w:link w:val="907"/>
    <w:uiPriority w:val="99"/>
    <w:semiHidden/>
    <w:unhideWhenUsed/>
    <w:qFormat/>
    <w:pPr>
      <w:spacing w:after="40"/>
    </w:pPr>
    <w:rPr>
      <w:sz w:val="18"/>
    </w:rPr>
  </w:style>
  <w:style w:type="paragraph" w:styleId="751">
    <w:name w:val="toc 6"/>
    <w:basedOn w:val="721"/>
    <w:next w:val="721"/>
    <w:uiPriority w:val="39"/>
    <w:unhideWhenUsed/>
    <w:qFormat/>
    <w:pPr>
      <w:ind w:left="1417"/>
      <w:spacing w:after="57"/>
    </w:pPr>
  </w:style>
  <w:style w:type="paragraph" w:styleId="752">
    <w:name w:val="table of figures"/>
    <w:basedOn w:val="721"/>
    <w:next w:val="721"/>
    <w:uiPriority w:val="99"/>
    <w:unhideWhenUsed/>
    <w:qFormat/>
  </w:style>
  <w:style w:type="paragraph" w:styleId="753">
    <w:name w:val="toc 2"/>
    <w:basedOn w:val="721"/>
    <w:next w:val="721"/>
    <w:uiPriority w:val="39"/>
    <w:qFormat/>
    <w:pPr>
      <w:ind w:left="210"/>
      <w:jc w:val="left"/>
    </w:pPr>
    <w:rPr>
      <w:smallCaps/>
    </w:rPr>
  </w:style>
  <w:style w:type="paragraph" w:styleId="754">
    <w:name w:val="toc 9"/>
    <w:basedOn w:val="721"/>
    <w:next w:val="721"/>
    <w:uiPriority w:val="39"/>
    <w:unhideWhenUsed/>
    <w:qFormat/>
    <w:pPr>
      <w:ind w:left="2268"/>
      <w:spacing w:after="57"/>
    </w:pPr>
  </w:style>
  <w:style w:type="paragraph" w:styleId="755">
    <w:name w:val="Normal (Web)"/>
    <w:basedOn w:val="721"/>
    <w:uiPriority w:val="0"/>
    <w:qFormat/>
    <w:pPr>
      <w:jc w:val="left"/>
      <w:spacing w:beforeAutospacing="1" w:afterAutospacing="1"/>
    </w:pPr>
    <w:rPr>
      <w:rFonts w:cs="Times New Roman"/>
      <w:sz w:val="24"/>
    </w:rPr>
  </w:style>
  <w:style w:type="paragraph" w:styleId="756">
    <w:name w:val="Title"/>
    <w:basedOn w:val="721"/>
    <w:next w:val="721"/>
    <w:link w:val="773"/>
    <w:uiPriority w:val="10"/>
    <w:qFormat/>
    <w:pPr>
      <w:contextualSpacing/>
      <w:spacing w:before="300" w:after="200"/>
    </w:pPr>
    <w:rPr>
      <w:sz w:val="48"/>
      <w:szCs w:val="48"/>
    </w:rPr>
  </w:style>
  <w:style w:type="paragraph" w:styleId="757">
    <w:name w:val="Body Text First Indent 2"/>
    <w:basedOn w:val="738"/>
    <w:uiPriority w:val="0"/>
    <w:qFormat/>
    <w:pPr>
      <w:ind w:firstLine="420"/>
      <w:spacing w:line="360" w:lineRule="auto"/>
    </w:pPr>
    <w:rPr>
      <w:rFonts w:ascii="宋体" w:hAnsi="宋体" w:eastAsia="宋体"/>
      <w:sz w:val="21"/>
      <w:szCs w:val="20"/>
    </w:rPr>
  </w:style>
  <w:style w:type="table" w:styleId="758">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endnote reference"/>
    <w:basedOn w:val="731"/>
    <w:uiPriority w:val="99"/>
    <w:semiHidden/>
    <w:unhideWhenUsed/>
    <w:qFormat/>
    <w:rPr>
      <w:vertAlign w:val="superscript"/>
    </w:rPr>
  </w:style>
  <w:style w:type="character" w:styleId="760">
    <w:name w:val="Emphasis"/>
    <w:uiPriority w:val="0"/>
    <w:qFormat/>
    <w:rPr>
      <w:i/>
    </w:rPr>
  </w:style>
  <w:style w:type="character" w:styleId="761">
    <w:name w:val="Hyperlink"/>
    <w:uiPriority w:val="99"/>
    <w:unhideWhenUsed/>
    <w:qFormat/>
    <w:rPr>
      <w:color w:val="0563c1" w:themeColor="hyperlink"/>
      <w:u w:val="single"/>
      <w14:textFill>
        <w14:solidFill>
          <w14:schemeClr w14:val="hlink"/>
        </w14:solidFill>
      </w14:textFill>
    </w:rPr>
  </w:style>
  <w:style w:type="character" w:styleId="762">
    <w:name w:val="footnote reference"/>
    <w:basedOn w:val="731"/>
    <w:uiPriority w:val="99"/>
    <w:unhideWhenUsed/>
    <w:qFormat/>
    <w:rPr>
      <w:vertAlign w:val="superscript"/>
    </w:rPr>
  </w:style>
  <w:style w:type="character" w:styleId="763" w:customStyle="1">
    <w:name w:val="标题 1 字符"/>
    <w:basedOn w:val="731"/>
    <w:link w:val="722"/>
    <w:uiPriority w:val="9"/>
    <w:qFormat/>
    <w:rPr>
      <w:rFonts w:ascii="Arial" w:hAnsi="Arial" w:eastAsia="Arial" w:cs="Arial"/>
      <w:sz w:val="40"/>
      <w:szCs w:val="40"/>
    </w:rPr>
  </w:style>
  <w:style w:type="character" w:styleId="764" w:customStyle="1">
    <w:name w:val="Heading 2 Char"/>
    <w:basedOn w:val="731"/>
    <w:uiPriority w:val="9"/>
    <w:qFormat/>
    <w:rPr>
      <w:rFonts w:ascii="Arial" w:hAnsi="Arial" w:eastAsia="Arial" w:cs="Arial"/>
      <w:sz w:val="34"/>
    </w:rPr>
  </w:style>
  <w:style w:type="character" w:styleId="765" w:customStyle="1">
    <w:name w:val="标题 3 字符"/>
    <w:basedOn w:val="731"/>
    <w:link w:val="724"/>
    <w:uiPriority w:val="9"/>
    <w:qFormat/>
    <w:rPr>
      <w:rFonts w:ascii="Arial" w:hAnsi="Arial" w:eastAsia="Arial" w:cs="Arial"/>
      <w:sz w:val="30"/>
      <w:szCs w:val="30"/>
    </w:rPr>
  </w:style>
  <w:style w:type="character" w:styleId="766" w:customStyle="1">
    <w:name w:val="标题 4 字符"/>
    <w:basedOn w:val="731"/>
    <w:link w:val="725"/>
    <w:uiPriority w:val="9"/>
    <w:qFormat/>
    <w:rPr>
      <w:rFonts w:ascii="Arial" w:hAnsi="Arial" w:eastAsia="Arial" w:cs="Arial"/>
      <w:b/>
      <w:bCs/>
      <w:sz w:val="26"/>
      <w:szCs w:val="26"/>
    </w:rPr>
  </w:style>
  <w:style w:type="character" w:styleId="767" w:customStyle="1">
    <w:name w:val="标题 5 字符"/>
    <w:basedOn w:val="731"/>
    <w:link w:val="726"/>
    <w:uiPriority w:val="9"/>
    <w:qFormat/>
    <w:rPr>
      <w:rFonts w:ascii="Arial" w:hAnsi="Arial" w:eastAsia="Arial" w:cs="Arial"/>
      <w:b/>
      <w:bCs/>
      <w:sz w:val="24"/>
      <w:szCs w:val="24"/>
    </w:rPr>
  </w:style>
  <w:style w:type="character" w:styleId="768" w:customStyle="1">
    <w:name w:val="标题 6 字符"/>
    <w:basedOn w:val="731"/>
    <w:link w:val="727"/>
    <w:uiPriority w:val="9"/>
    <w:qFormat/>
    <w:rPr>
      <w:rFonts w:ascii="Arial" w:hAnsi="Arial" w:eastAsia="Arial" w:cs="Arial"/>
      <w:b/>
      <w:bCs/>
      <w:sz w:val="22"/>
      <w:szCs w:val="22"/>
    </w:rPr>
  </w:style>
  <w:style w:type="character" w:styleId="769" w:customStyle="1">
    <w:name w:val="标题 7 字符"/>
    <w:basedOn w:val="731"/>
    <w:link w:val="728"/>
    <w:uiPriority w:val="9"/>
    <w:qFormat/>
    <w:rPr>
      <w:rFonts w:ascii="Arial" w:hAnsi="Arial" w:eastAsia="Arial" w:cs="Arial"/>
      <w:b/>
      <w:bCs/>
      <w:i/>
      <w:iCs/>
      <w:sz w:val="22"/>
      <w:szCs w:val="22"/>
    </w:rPr>
  </w:style>
  <w:style w:type="character" w:styleId="770" w:customStyle="1">
    <w:name w:val="标题 8 字符"/>
    <w:basedOn w:val="731"/>
    <w:link w:val="729"/>
    <w:uiPriority w:val="9"/>
    <w:qFormat/>
    <w:rPr>
      <w:rFonts w:ascii="Arial" w:hAnsi="Arial" w:eastAsia="Arial" w:cs="Arial"/>
      <w:i/>
      <w:iCs/>
      <w:sz w:val="22"/>
      <w:szCs w:val="22"/>
    </w:rPr>
  </w:style>
  <w:style w:type="character" w:styleId="771" w:customStyle="1">
    <w:name w:val="标题 9 字符"/>
    <w:basedOn w:val="731"/>
    <w:link w:val="730"/>
    <w:uiPriority w:val="9"/>
    <w:qFormat/>
    <w:rPr>
      <w:rFonts w:ascii="Arial" w:hAnsi="Arial" w:eastAsia="Arial" w:cs="Arial"/>
      <w:i/>
      <w:iCs/>
      <w:sz w:val="21"/>
      <w:szCs w:val="21"/>
    </w:rPr>
  </w:style>
  <w:style w:type="paragraph" w:styleId="772">
    <w:name w:val="No Spacing"/>
    <w:uiPriority w:val="1"/>
    <w:qFormat/>
    <w:rPr>
      <w:rFonts w:ascii="Times New Roman" w:hAnsi="Times New Roman" w:eastAsia="宋体" w:cs="Times New Roman"/>
      <w:lang w:val="en-US" w:eastAsia="zh-CN" w:bidi="ar-SA"/>
    </w:rPr>
  </w:style>
  <w:style w:type="character" w:styleId="773" w:customStyle="1">
    <w:name w:val="标题 字符"/>
    <w:basedOn w:val="731"/>
    <w:link w:val="756"/>
    <w:uiPriority w:val="10"/>
    <w:qFormat/>
    <w:rPr>
      <w:sz w:val="48"/>
      <w:szCs w:val="48"/>
    </w:rPr>
  </w:style>
  <w:style w:type="character" w:styleId="774" w:customStyle="1">
    <w:name w:val="副标题 字符"/>
    <w:basedOn w:val="731"/>
    <w:link w:val="749"/>
    <w:uiPriority w:val="11"/>
    <w:qFormat/>
    <w:rPr>
      <w:sz w:val="24"/>
      <w:szCs w:val="24"/>
    </w:rPr>
  </w:style>
  <w:style w:type="paragraph" w:styleId="775">
    <w:name w:val="Quote"/>
    <w:basedOn w:val="721"/>
    <w:next w:val="721"/>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721"/>
    <w:next w:val="721"/>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basedOn w:val="731"/>
    <w:uiPriority w:val="99"/>
    <w:qFormat/>
  </w:style>
  <w:style w:type="character" w:styleId="780" w:customStyle="1">
    <w:name w:val="Footer Char"/>
    <w:basedOn w:val="731"/>
    <w:uiPriority w:val="99"/>
    <w:qFormat/>
  </w:style>
  <w:style w:type="character" w:styleId="781" w:customStyle="1">
    <w:name w:val="Caption Char"/>
    <w:uiPriority w:val="99"/>
    <w:qFormat/>
  </w:style>
  <w:style w:type="table" w:styleId="782"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3"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1"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2"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3"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4" w:customStyle="1">
    <w:name w:val="Grid Table 4 - Accent 5"/>
    <w:basedOn w:val="7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5"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6"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8"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9"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0"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1"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2"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3"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7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7"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7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6"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7"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8"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9" w:customStyle="1">
    <w:name w:val="List Table 2 - Accent 5"/>
    <w:basedOn w:val="7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0"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1"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8"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1"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2"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3" w:customStyle="1">
    <w:name w:val="List Table 4 - Accent 5"/>
    <w:basedOn w:val="7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4"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5"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7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7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4"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5"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6"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7" w:customStyle="1">
    <w:name w:val="List Table 6 Colorful - Accent 5"/>
    <w:basedOn w:val="7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8"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9"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Bordered &amp; Lined - Accent 5"/>
    <w:basedOn w:val="7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2"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3"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4"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5" w:customStyle="1">
    <w:name w:val="Bordered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6"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7" w:customStyle="1">
    <w:name w:val="脚注文本 字符"/>
    <w:link w:val="750"/>
    <w:uiPriority w:val="99"/>
    <w:qFormat/>
    <w:rPr>
      <w:sz w:val="18"/>
    </w:rPr>
  </w:style>
  <w:style w:type="character" w:styleId="908" w:customStyle="1">
    <w:name w:val="尾注文本 字符"/>
    <w:link w:val="743"/>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paragraph" w:styleId="910" w:customStyle="1">
    <w:name w:val="Default"/>
    <w:basedOn w:val="721"/>
    <w:uiPriority w:val="0"/>
    <w:semiHidden/>
    <w:qFormat/>
    <w:pPr>
      <w:jc w:val="left"/>
    </w:pPr>
    <w:rPr>
      <w:rFonts w:ascii="宋体" w:hAnsi="Calibri" w:cs="宋体"/>
      <w:color w:val="000000"/>
      <w:sz w:val="24"/>
    </w:rPr>
  </w:style>
  <w:style w:type="character" w:styleId="911" w:customStyle="1">
    <w:name w:val="页眉 字符"/>
    <w:basedOn w:val="731"/>
    <w:link w:val="746"/>
    <w:uiPriority w:val="0"/>
    <w:qFormat/>
    <w:rPr>
      <w:rFonts w:asciiTheme="minorHAnsi" w:hAnsiTheme="minorHAnsi" w:eastAsiaTheme="minorEastAsia" w:cstheme="minorBidi"/>
      <w:sz w:val="18"/>
      <w:szCs w:val="18"/>
    </w:rPr>
  </w:style>
  <w:style w:type="character" w:styleId="912" w:customStyle="1">
    <w:name w:val="页脚 字符"/>
    <w:basedOn w:val="731"/>
    <w:link w:val="744"/>
    <w:uiPriority w:val="0"/>
    <w:qFormat/>
    <w:rPr>
      <w:rFonts w:asciiTheme="minorHAnsi" w:hAnsiTheme="minorHAnsi" w:eastAsiaTheme="minorEastAsia" w:cstheme="minorBidi"/>
      <w:sz w:val="18"/>
      <w:szCs w:val="18"/>
    </w:rPr>
  </w:style>
  <w:style w:type="paragraph" w:styleId="913" w:customStyle="1">
    <w:name w:val="普通正文"/>
    <w:basedOn w:val="721"/>
    <w:uiPriority w:val="0"/>
    <w:qFormat/>
    <w:pPr>
      <w:ind w:firstLine="480"/>
      <w:jc w:val="left"/>
      <w:spacing w:before="120" w:after="120" w:line="360" w:lineRule="auto"/>
    </w:pPr>
    <w:rPr>
      <w:rFonts w:ascii="Arial" w:hAnsi="Arial" w:eastAsia="等线" w:cs="Arial"/>
      <w:sz w:val="24"/>
    </w:rPr>
  </w:style>
  <w:style w:type="paragraph" w:styleId="914" w:customStyle="1">
    <w:name w:val="正文首行缩进 21"/>
    <w:basedOn w:val="915"/>
    <w:uiPriority w:val="0"/>
    <w:qFormat/>
    <w:pPr>
      <w:ind w:firstLine="420"/>
    </w:pPr>
  </w:style>
  <w:style w:type="paragraph" w:styleId="915" w:customStyle="1">
    <w:name w:val="正文文本缩进1"/>
    <w:basedOn w:val="721"/>
    <w:uiPriority w:val="0"/>
    <w:qFormat/>
    <w:pPr>
      <w:ind w:left="420"/>
      <w:spacing w:after="120"/>
    </w:pPr>
  </w:style>
  <w:style w:type="paragraph" w:styleId="916">
    <w:name w:val="List Paragraph"/>
    <w:basedOn w:val="721"/>
    <w:uiPriority w:val="99"/>
    <w:qFormat/>
    <w:pPr>
      <w:ind w:firstLine="420"/>
    </w:pPr>
  </w:style>
  <w:style w:type="paragraph" w:styleId="917" w:customStyle="1">
    <w:name w:val="页眉12"/>
    <w:uiPriority w:val="0"/>
    <w:qFormat/>
    <w:pPr>
      <w:ind w:firstLine="420"/>
      <w:jc w:val="center"/>
      <w:spacing w:line="360" w:lineRule="auto"/>
      <w:widowControl w:val="off"/>
      <w:tabs>
        <w:tab w:val="center" w:pos="4153" w:leader="none"/>
        <w:tab w:val="right" w:pos="8306" w:leader="none"/>
      </w:tabs>
      <w:pBdr>
        <w:bottom w:val="single" w:color="000000" w:sz="6" w:space="1"/>
      </w:pBdr>
    </w:pPr>
    <w:rPr>
      <w:rFonts w:ascii="宋体" w:hAnsi="Times New Roman" w:eastAsia="宋体" w:cs="宋体"/>
      <w:color w:val="000000"/>
      <w:sz w:val="18"/>
      <w:szCs w:val="18"/>
      <w:lang w:val="en-US" w:eastAsia="zh-CN" w:bidi="ar-SA"/>
    </w:rPr>
  </w:style>
  <w:style w:type="paragraph" w:styleId="918" w:customStyle="1">
    <w:name w:val="页眉11"/>
    <w:uiPriority w:val="0"/>
    <w:qFormat/>
    <w:pPr>
      <w:ind w:firstLine="420"/>
      <w:jc w:val="center"/>
      <w:spacing w:line="360" w:lineRule="auto"/>
      <w:widowControl w:val="off"/>
      <w:tabs>
        <w:tab w:val="center" w:pos="4153" w:leader="none"/>
        <w:tab w:val="right" w:pos="8306" w:leader="none"/>
      </w:tabs>
      <w:pBdr>
        <w:bottom w:val="single" w:color="000000" w:sz="6" w:space="1"/>
      </w:pBdr>
    </w:pPr>
    <w:rPr>
      <w:rFonts w:ascii="宋体" w:hAnsi="Times New Roman" w:eastAsia="宋体" w:cs="宋体"/>
      <w:color w:val="000000"/>
      <w:sz w:val="18"/>
      <w:szCs w:val="18"/>
      <w:lang w:val="en-US" w:eastAsia="zh-CN" w:bidi="ar-SA"/>
    </w:rPr>
  </w:style>
  <w:style w:type="paragraph" w:styleId="919" w:customStyle="1">
    <w:name w:val="页脚111"/>
    <w:uiPriority w:val="0"/>
    <w:qFormat/>
    <w:pPr>
      <w:ind w:firstLine="420"/>
      <w:spacing w:line="360" w:lineRule="auto"/>
      <w:widowControl w:val="off"/>
      <w:tabs>
        <w:tab w:val="center" w:pos="7143" w:leader="none"/>
        <w:tab w:val="right" w:pos="14287" w:leader="none"/>
      </w:tabs>
    </w:pPr>
    <w:rPr>
      <w:rFonts w:ascii="宋体" w:hAnsi="Times New Roman" w:eastAsia="宋体" w:cs="宋体"/>
      <w:color w:val="000000"/>
      <w:sz w:val="22"/>
      <w:szCs w:val="21"/>
      <w:lang w:val="en-US" w:eastAsia="zh-CN" w:bidi="ar-SA"/>
    </w:rPr>
  </w:style>
  <w:style w:type="paragraph" w:styleId="920" w:customStyle="1">
    <w:name w:val="Footer1"/>
    <w:uiPriority w:val="0"/>
    <w:qFormat/>
    <w:pPr>
      <w:ind w:firstLine="420"/>
      <w:spacing w:line="360" w:lineRule="auto"/>
      <w:widowControl w:val="off"/>
      <w:tabs>
        <w:tab w:val="center" w:pos="4153" w:leader="none"/>
        <w:tab w:val="right" w:pos="8306" w:leader="none"/>
      </w:tabs>
    </w:pPr>
    <w:rPr>
      <w:rFonts w:ascii="宋体" w:hAnsi="Times New Roman" w:eastAsia="宋体" w:cs="宋体"/>
      <w:color w:val="000000"/>
      <w:sz w:val="18"/>
      <w:szCs w:val="18"/>
      <w:lang w:val="en-US" w:eastAsia="zh-CN" w:bidi="ar-SA"/>
    </w:rPr>
  </w:style>
  <w:style w:type="paragraph" w:styleId="921" w:customStyle="1">
    <w:name w:val="页脚11"/>
    <w:uiPriority w:val="0"/>
    <w:qFormat/>
    <w:pPr>
      <w:ind w:firstLine="420"/>
      <w:spacing w:line="360" w:lineRule="auto"/>
      <w:widowControl w:val="off"/>
      <w:tabs>
        <w:tab w:val="center" w:pos="4153" w:leader="none"/>
        <w:tab w:val="right" w:pos="8306" w:leader="none"/>
      </w:tabs>
    </w:pPr>
    <w:rPr>
      <w:rFonts w:ascii="宋体" w:hAnsi="Times New Roman" w:eastAsia="宋体" w:cs="宋体"/>
      <w:color w:val="000000"/>
      <w:sz w:val="18"/>
      <w:lang w:val="en-US" w:eastAsia="zh-CN" w:bidi="ar-SA"/>
    </w:rPr>
  </w:style>
  <w:style w:type="character" w:styleId="922" w:customStyle="1">
    <w:name w:val="页码11"/>
    <w:uiPriority w:val="0"/>
    <w:qFormat/>
    <w:rPr>
      <w:rFonts w:asciiTheme="minorHAnsi" w:hAnsiTheme="minorHAnsi" w:eastAsiaTheme="minorEastAsia" w:cstheme="minorBidi"/>
      <w:sz w:val="21"/>
      <w:szCs w:val="24"/>
      <w:lang w:val="en-US" w:eastAsia="zh-CN" w:bidi="ar-SA"/>
    </w:r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303</cp:revision>
  <dcterms:created xsi:type="dcterms:W3CDTF">2014-10-29T12:08:00Z</dcterms:created>
  <dcterms:modified xsi:type="dcterms:W3CDTF">2026-08-28T01:04:37Z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068F4BC5E612459DBC4D3D9539F53903_13</vt:lpwstr>
  </property>
  <property fmtid="{D5CDD505-2E9C-101B-9397-08002B2CF9AE}" pid="4" name="KSOTemplateDocerSaveRecord">
    <vt:lpwstr>eyJoZGlkIjoiODZkZDhiMGRhNjI0MjMyZGNiZjBmZTUwZmY4Yjk1MjEiLCJ1c2VySWQiOiIxNjcxNDc2OTEwIn0=</vt:lpwstr>
  </property>
</Properties>
</file>