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hint="eastAsia" w:eastAsia="黑体"/>
          <w:b/>
          <w:bCs/>
          <w:color w:val="000000"/>
          <w:sz w:val="84"/>
          <w:highlight w:val="none"/>
        </w:rPr>
      </w:pPr>
      <w:r>
        <w:rPr>
          <w:rFonts w:hint="eastAsia" w:eastAsia="黑体"/>
          <w:b/>
          <w:bCs/>
          <w:color w:val="000000"/>
          <w:sz w:val="84"/>
          <w:highlight w:val="none"/>
        </w:rPr>
      </w:r>
      <w:r/>
    </w:p>
    <w:p>
      <w:pPr>
        <w:pStyle w:val="1034"/>
        <w:ind w:firstLine="0"/>
        <w:jc w:val="center"/>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 xml:space="preserve">招　标　文　件</w:t>
      </w:r>
      <w:r>
        <w:rPr>
          <w:rFonts w:hint="eastAsia" w:ascii="方正小标宋_GBK" w:hAnsi="方正小标宋_GBK" w:eastAsia="方正小标宋_GBK" w:cs="方正小标宋_GBK"/>
          <w:color w:val="000000"/>
          <w:sz w:val="44"/>
          <w:szCs w:val="44"/>
          <w:highlight w:val="none"/>
        </w:rPr>
      </w:r>
      <w:r/>
    </w:p>
    <w:p>
      <w:pPr>
        <w:pStyle w:val="1034"/>
        <w:ind w:firstLine="1961"/>
        <w:spacing w:line="400" w:lineRule="exact"/>
        <w:rPr>
          <w:rFonts w:hint="eastAsia"/>
          <w:b/>
          <w:bCs/>
          <w:color w:val="000000"/>
          <w:sz w:val="28"/>
          <w:szCs w:val="28"/>
          <w:highlight w:val="none"/>
        </w:rPr>
      </w:pPr>
      <w:r>
        <w:rPr>
          <w:rFonts w:hint="eastAsia"/>
          <w:b/>
          <w:bCs/>
          <w:color w:val="000000"/>
          <w:sz w:val="28"/>
          <w:szCs w:val="28"/>
          <w:highlight w:val="none"/>
        </w:rPr>
      </w:r>
      <w:r/>
    </w:p>
    <w:p>
      <w:pPr>
        <w:pStyle w:val="947"/>
        <w:jc w:val="left"/>
        <w:spacing w:before="120" w:after="120" w:line="40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项目名称：江苏卫生健康云统一服务中心（中医药智慧服务管理系统功能扩展升级）</w:t>
      </w:r>
      <w:r>
        <w:rPr>
          <w:rFonts w:hint="eastAsia" w:ascii="方正黑体_GBK" w:hAnsi="方正黑体_GBK" w:eastAsia="方正黑体_GBK" w:cs="方正黑体_GBK"/>
          <w:color w:val="000000"/>
          <w:sz w:val="32"/>
          <w:szCs w:val="32"/>
          <w:highlight w:val="none"/>
        </w:rPr>
      </w:r>
      <w:r/>
    </w:p>
    <w:p>
      <w:pPr>
        <w:pStyle w:val="947"/>
        <w:jc w:val="left"/>
        <w:spacing w:before="120" w:after="120" w:line="400" w:lineRule="exact"/>
        <w:rPr>
          <w:rFonts w:hint="eastAsia"/>
          <w:b/>
          <w:color w:val="000000"/>
          <w:sz w:val="28"/>
          <w:szCs w:val="28"/>
          <w:highlight w:val="none"/>
        </w:rPr>
      </w:pPr>
      <w:r>
        <w:rPr>
          <w:rFonts w:hint="eastAsia" w:ascii="方正黑体_GBK" w:hAnsi="方正黑体_GBK" w:eastAsia="方正黑体_GBK" w:cs="方正黑体_GBK"/>
          <w:color w:val="000000"/>
          <w:sz w:val="32"/>
          <w:szCs w:val="32"/>
          <w:highlight w:val="none"/>
        </w:rPr>
        <w:t xml:space="preserve">采购编号：</w:t>
      </w:r>
      <w:r>
        <w:rPr>
          <w:rFonts w:eastAsia="方正黑体_GBK" w:cs="Times New Roman"/>
          <w:color w:val="000000"/>
          <w:sz w:val="32"/>
          <w:szCs w:val="32"/>
          <w:highlight w:val="none"/>
        </w:rPr>
        <w:t xml:space="preserve">JSZC-320000-SCZX-G2026-0313</w:t>
      </w:r>
      <w:r>
        <w:rPr>
          <w:rFonts w:eastAsia="方正黑体_GBK" w:cs="Times New Roman"/>
          <w:color w:val="000000"/>
          <w:sz w:val="28"/>
          <w:szCs w:val="28"/>
          <w:highlight w:val="none"/>
        </w:rPr>
        <w:t xml:space="preserve">    </w:t>
      </w:r>
      <w:r>
        <w:rPr>
          <w:rFonts w:hint="eastAsia"/>
          <w:color w:val="000000"/>
          <w:sz w:val="28"/>
          <w:szCs w:val="28"/>
          <w:highlight w:val="none"/>
        </w:rPr>
        <w:t xml:space="preserve">  </w:t>
      </w:r>
      <w:r>
        <w:rPr>
          <w:rFonts w:hint="eastAsia"/>
          <w:b/>
          <w:color w:val="000000"/>
          <w:sz w:val="28"/>
          <w:szCs w:val="28"/>
          <w:highlight w:val="none"/>
        </w:rPr>
        <w:t xml:space="preserve">   </w:t>
      </w:r>
      <w:r>
        <w:rPr>
          <w:color w:val="000000"/>
          <w:sz w:val="28"/>
          <w:szCs w:val="28"/>
          <w:highlight w:val="none"/>
        </w:rPr>
        <w:t xml:space="preserve">  </w:t>
      </w:r>
      <w:r>
        <w:rPr>
          <w:b/>
          <w:color w:val="000000"/>
          <w:sz w:val="28"/>
          <w:szCs w:val="28"/>
          <w:highlight w:val="none"/>
        </w:rPr>
        <w:t xml:space="preserve"> </w:t>
      </w:r>
      <w:r>
        <w:rPr>
          <w:rFonts w:hint="eastAsia"/>
          <w:b/>
          <w:color w:val="000000"/>
          <w:sz w:val="28"/>
          <w:szCs w:val="28"/>
          <w:highlight w:val="none"/>
        </w:rPr>
      </w:r>
      <w:r/>
    </w:p>
    <w:p>
      <w:pPr>
        <w:pStyle w:val="947"/>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47"/>
        <w:jc w:val="center"/>
        <w:rPr>
          <w:rFonts w:hint="eastAsia"/>
          <w:b/>
          <w:color w:val="000000"/>
          <w:sz w:val="28"/>
          <w:szCs w:val="28"/>
          <w:highlight w:val="none"/>
        </w:rPr>
      </w:pPr>
      <w:r>
        <w:rPr>
          <w:rFonts w:hint="eastAsia"/>
          <w:b/>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47"/>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2026年8月</w:t>
      </w:r>
      <w:r>
        <w:rPr>
          <w:rFonts w:hint="eastAsia" w:ascii="方正黑体_GBK" w:hAnsi="方正黑体_GBK" w:eastAsia="方正黑体_GBK" w:cs="方正黑体_GBK"/>
          <w:color w:val="000000"/>
          <w:sz w:val="28"/>
          <w:szCs w:val="28"/>
          <w:highlight w:val="none"/>
        </w:rPr>
      </w:r>
      <w:r/>
    </w:p>
    <w:p>
      <w:pPr>
        <w:pStyle w:val="1034"/>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034"/>
        <w:ind w:firstLine="0"/>
        <w:jc w:val="center"/>
        <w:rPr>
          <w:rFonts w:hint="eastAsia"/>
          <w:color w:val="000000"/>
          <w:highlight w:val="none"/>
        </w:rPr>
      </w:pPr>
      <w:r>
        <w:rPr>
          <w:rFonts w:hint="eastAsia"/>
          <w:color w:val="000000"/>
          <w:highlight w:val="none"/>
        </w:rPr>
      </w:r>
      <w:r/>
    </w:p>
    <w:p>
      <w:pPr>
        <w:pStyle w:val="947"/>
        <w:jc w:val="center"/>
        <w:spacing w:line="400" w:lineRule="exact"/>
        <w:rPr>
          <w:rFonts w:hint="eastAsia" w:ascii="方正黑体_GBK" w:hAnsi="方正黑体_GBK" w:eastAsia="方正黑体_GBK" w:cs="方正黑体_GBK"/>
          <w:b/>
          <w:color w:val="000000"/>
          <w:sz w:val="32"/>
          <w:szCs w:val="32"/>
          <w:highlight w:val="none"/>
        </w:rPr>
        <w:outlineLvl w:val="0"/>
      </w:pPr>
      <w:r>
        <w:rPr>
          <w:color w:val="000000"/>
          <w:highlight w:val="none"/>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
          <w:color w:val="000000"/>
          <w:sz w:val="32"/>
          <w:szCs w:val="32"/>
          <w:highlight w:val="none"/>
        </w:rPr>
      </w:r>
      <w:r/>
    </w:p>
    <w:p>
      <w:pPr>
        <w:pStyle w:val="947"/>
        <w:jc w:val="center"/>
        <w:spacing w:line="400" w:lineRule="exact"/>
        <w:rPr>
          <w:rFonts w:hint="eastAsia" w:ascii="黑体" w:hAnsi="Arial" w:eastAsia="黑体"/>
          <w:b/>
          <w:color w:val="000000"/>
          <w:sz w:val="28"/>
          <w:szCs w:val="28"/>
          <w:highlight w:val="none"/>
        </w:rPr>
        <w:outlineLvl w:val="0"/>
      </w:pPr>
      <w:r>
        <w:rPr>
          <w:rFonts w:hint="eastAsia" w:ascii="方正黑体_GBK" w:hAnsi="方正黑体_GBK" w:eastAsia="方正黑体_GBK" w:cs="方正黑体_GBK"/>
          <w:bCs/>
          <w:color w:val="000000"/>
          <w:sz w:val="32"/>
          <w:szCs w:val="32"/>
          <w:highlight w:val="none"/>
        </w:rPr>
        <w:t xml:space="preserve">总  目  录</w:t>
      </w:r>
      <w:r>
        <w:rPr>
          <w:rFonts w:hint="eastAsia" w:ascii="黑体" w:hAnsi="Arial" w:eastAsia="黑体"/>
          <w:b/>
          <w:color w:val="000000"/>
          <w:sz w:val="28"/>
          <w:szCs w:val="28"/>
          <w:highlight w:val="none"/>
        </w:rPr>
      </w:r>
      <w:r/>
    </w:p>
    <w:p>
      <w:pPr>
        <w:pStyle w:val="947"/>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47"/>
        <w:jc w:val="center"/>
        <w:spacing w:line="360" w:lineRule="auto"/>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第一章 投标邀请</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3</w:t>
      </w:r>
      <w:r>
        <w:rPr>
          <w:rFonts w:hint="eastAsia" w:ascii="方正黑体_GBK" w:hAnsi="方正黑体_GBK" w:eastAsia="方正黑体_GBK" w:cs="方正黑体_GBK"/>
          <w:color w:val="000000"/>
          <w:sz w:val="28"/>
          <w:szCs w:val="28"/>
          <w:highlight w:val="none"/>
          <w:lang w:val="en-US" w:eastAsia="zh-CN"/>
        </w:rPr>
      </w:r>
      <w:r/>
    </w:p>
    <w:p>
      <w:pPr>
        <w:pStyle w:val="947"/>
        <w:jc w:val="center"/>
        <w:spacing w:line="360" w:lineRule="auto"/>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6</w:t>
      </w:r>
      <w:r>
        <w:rPr>
          <w:rFonts w:hint="eastAsia" w:ascii="方正黑体_GBK" w:hAnsi="方正黑体_GBK" w:eastAsia="方正黑体_GBK" w:cs="方正黑体_GBK"/>
          <w:color w:val="000000"/>
          <w:sz w:val="28"/>
          <w:szCs w:val="28"/>
          <w:highlight w:val="none"/>
          <w:lang w:val="en-US" w:eastAsia="zh-CN"/>
        </w:rPr>
      </w:r>
      <w:r/>
    </w:p>
    <w:p>
      <w:pPr>
        <w:pStyle w:val="947"/>
        <w:jc w:val="center"/>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第三章 合同文本</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18</w:t>
      </w:r>
      <w:r>
        <w:rPr>
          <w:rFonts w:ascii="方正黑体_GBK" w:hAnsi="方正黑体_GBK" w:eastAsia="方正黑体_GBK" w:cs="方正黑体_GBK"/>
          <w:color w:val="000000"/>
          <w:sz w:val="28"/>
          <w:szCs w:val="28"/>
          <w:highlight w:val="none"/>
          <w:lang w:val="en-US" w:eastAsia="zh-CN"/>
        </w:rPr>
      </w:r>
      <w:r/>
    </w:p>
    <w:p>
      <w:pPr>
        <w:pStyle w:val="947"/>
        <w:jc w:val="center"/>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第四章 采购需求</w:t>
      </w:r>
      <w:r>
        <w:rPr>
          <w:rFonts w:hint="eastAsia" w:ascii="方正黑体_GBK" w:hAnsi="方正黑体_GBK" w:eastAsia="方正黑体_GBK" w:cs="方正黑体_GBK"/>
          <w:color w:val="000000"/>
          <w:sz w:val="28"/>
          <w:szCs w:val="28"/>
          <w:highlight w:val="none"/>
          <w:lang w:val="en-US" w:eastAsia="zh-CN"/>
        </w:rPr>
        <w:t xml:space="preserve"> </w:t>
      </w:r>
      <w:r>
        <w:rPr>
          <w:rFonts w:hint="eastAsia" w:ascii="方正黑体_GBK" w:hAnsi="方正黑体_GBK" w:eastAsia="方正黑体_GBK" w:cs="方正黑体_GBK"/>
          <w:color w:val="000000"/>
          <w:sz w:val="28"/>
          <w:szCs w:val="28"/>
          <w:highlight w:val="none"/>
        </w:rPr>
        <w:t xml:space="preserve">……………………………………</w:t>
      </w:r>
      <w:r>
        <w:rPr>
          <w:rFonts w:hint="eastAsia" w:ascii="方正黑体_GBK" w:hAnsi="方正黑体_GBK" w:eastAsia="方正黑体_GBK" w:cs="方正黑体_GBK"/>
          <w:color w:val="000000"/>
          <w:sz w:val="28"/>
          <w:szCs w:val="28"/>
          <w:highlight w:val="none"/>
          <w:lang w:val="en-US" w:eastAsia="zh-CN"/>
        </w:rPr>
        <w:t xml:space="preserve">25</w:t>
      </w:r>
      <w:r>
        <w:rPr>
          <w:rFonts w:ascii="方正黑体_GBK" w:hAnsi="方正黑体_GBK" w:eastAsia="方正黑体_GBK" w:cs="方正黑体_GBK"/>
          <w:color w:val="000000"/>
          <w:sz w:val="28"/>
          <w:szCs w:val="28"/>
          <w:highlight w:val="none"/>
          <w:lang w:val="en-US" w:eastAsia="zh-CN"/>
        </w:rPr>
      </w:r>
      <w:r/>
    </w:p>
    <w:p>
      <w:pPr>
        <w:pStyle w:val="947"/>
        <w:jc w:val="center"/>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lang w:val="en-US" w:eastAsia="zh-CN"/>
        </w:rPr>
        <w:t xml:space="preserve">141</w:t>
      </w:r>
      <w:r>
        <w:rPr>
          <w:rFonts w:ascii="方正黑体_GBK" w:hAnsi="方正黑体_GBK" w:eastAsia="方正黑体_GBK" w:cs="方正黑体_GBK"/>
          <w:color w:val="000000"/>
          <w:sz w:val="28"/>
          <w:szCs w:val="28"/>
          <w:highlight w:val="none"/>
          <w:lang w:val="en-US" w:eastAsia="zh-CN"/>
        </w:rPr>
      </w:r>
      <w:r/>
    </w:p>
    <w:p>
      <w:pPr>
        <w:pStyle w:val="947"/>
        <w:jc w:val="center"/>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第六章 投标文件格式………………………………</w:t>
      </w:r>
      <w:r>
        <w:rPr>
          <w:rFonts w:hint="eastAsia" w:ascii="方正黑体_GBK" w:hAnsi="方正黑体_GBK" w:eastAsia="方正黑体_GBK" w:cs="方正黑体_GBK"/>
          <w:color w:val="000000"/>
          <w:sz w:val="28"/>
          <w:szCs w:val="28"/>
          <w:highlight w:val="none"/>
          <w:lang w:val="en-US" w:eastAsia="zh-CN"/>
        </w:rPr>
        <w:t xml:space="preserve">148</w:t>
      </w:r>
      <w:r>
        <w:rPr>
          <w:rFonts w:ascii="方正黑体_GBK" w:hAnsi="方正黑体_GBK" w:eastAsia="方正黑体_GBK" w:cs="方正黑体_GBK"/>
          <w:color w:val="000000"/>
          <w:sz w:val="28"/>
          <w:szCs w:val="28"/>
          <w:highlight w:val="none"/>
          <w:lang w:val="en-US" w:eastAsia="zh-CN"/>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shd w:val="nil" w:color="auto"/>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47"/>
        <w:jc w:val="center"/>
        <w:keepNext/>
        <w:spacing w:line="48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卫生健康信息中心（江苏省中医药信息中心）的委托，江苏省政府采购中心就江苏卫生健康云统一服务中心（中医药智慧服务管理系统功能扩展升级）（JSZC-320000-SCZX-G2026-0313）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江苏卫生健康云统一服务中心（中医药智慧服务管理系统功能扩展升级）</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s="Times New Roman"/>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s="Times New Roman"/>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s="Times New Roman"/>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s="Times New Roman"/>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s="Times New Roman"/>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ascii="宋体" w:hAnsi="宋体"/>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s="Times New Roman"/>
          <w:color w:val="000000"/>
          <w:sz w:val="28"/>
          <w:szCs w:val="28"/>
          <w:highlight w:val="none"/>
        </w:rPr>
        <w:t xml:space="preserve">：JSZC-320000-SCZX-G2026-0313  </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s="Times New Roman"/>
          <w:color w:val="000000"/>
          <w:sz w:val="28"/>
          <w:szCs w:val="28"/>
          <w:highlight w:val="none"/>
        </w:rPr>
        <w:t xml:space="preserve">江苏卫生健康云统一服务中心（中医药智慧服务管理系统功能扩展升级）</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9"/>
        <w:gridCol w:w="7501"/>
      </w:tblGrid>
      <w:tr>
        <w:trPr/>
        <w:tc>
          <w:tcPr>
            <w:tcW w:w="1649"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7501"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预算金额（人民币：万元）</w:t>
            </w:r>
            <w:r>
              <w:rPr>
                <w:rFonts w:ascii="方正仿宋_GBK" w:hAnsi="方正仿宋_GBK" w:eastAsia="方正仿宋_GBK" w:cs="方正仿宋_GBK"/>
                <w:color w:val="000000"/>
                <w:sz w:val="28"/>
                <w:szCs w:val="28"/>
                <w:highlight w:val="none"/>
              </w:rPr>
            </w:r>
            <w:r/>
          </w:p>
        </w:tc>
      </w:tr>
      <w:tr>
        <w:trPr/>
        <w:tc>
          <w:tcPr>
            <w:tcW w:w="1649"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7501"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eastAsia="方正仿宋_GBK" w:cs="Times New Roman"/>
                <w:color w:val="000000"/>
                <w:sz w:val="28"/>
                <w:szCs w:val="28"/>
                <w:highlight w:val="none"/>
              </w:rPr>
              <w:t xml:space="preserve">290</w:t>
            </w:r>
            <w:r>
              <w:rPr>
                <w:rFonts w:ascii="方正仿宋_GBK" w:hAnsi="方正仿宋_GBK" w:eastAsia="方正仿宋_GBK" w:cs="方正仿宋_GBK"/>
                <w:color w:val="000000"/>
                <w:sz w:val="28"/>
                <w:szCs w:val="28"/>
                <w:highlight w:val="none"/>
              </w:rPr>
            </w:r>
            <w:r/>
          </w:p>
        </w:tc>
      </w:tr>
    </w:tbl>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7430"/>
      </w:tblGrid>
      <w:tr>
        <w:trPr/>
        <w:tc>
          <w:tcPr>
            <w:tcW w:w="1690"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7430"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最高限价（人民币：万元）</w:t>
            </w:r>
            <w:r>
              <w:rPr>
                <w:rFonts w:ascii="方正仿宋_GBK" w:hAnsi="方正仿宋_GBK" w:eastAsia="方正仿宋_GBK" w:cs="方正仿宋_GBK"/>
                <w:color w:val="000000"/>
                <w:sz w:val="28"/>
                <w:szCs w:val="28"/>
                <w:highlight w:val="none"/>
              </w:rPr>
            </w:r>
            <w:r/>
          </w:p>
        </w:tc>
      </w:tr>
      <w:tr>
        <w:trPr/>
        <w:tc>
          <w:tcPr>
            <w:tcW w:w="1690"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7430"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eastAsia="方正仿宋_GBK" w:cs="Times New Roman"/>
                <w:color w:val="000000"/>
                <w:sz w:val="28"/>
                <w:szCs w:val="28"/>
                <w:highlight w:val="none"/>
              </w:rPr>
              <w:t xml:space="preserve">290</w:t>
            </w:r>
            <w:r>
              <w:rPr>
                <w:rFonts w:ascii="方正仿宋_GBK" w:hAnsi="方正仿宋_GBK" w:eastAsia="方正仿宋_GBK" w:cs="方正仿宋_GBK"/>
                <w:color w:val="000000"/>
                <w:sz w:val="28"/>
                <w:szCs w:val="28"/>
                <w:highlight w:val="none"/>
              </w:rPr>
            </w:r>
            <w:r/>
          </w:p>
        </w:tc>
      </w:tr>
    </w:tbl>
    <w:p>
      <w:pPr>
        <w:pStyle w:val="947"/>
        <w:ind w:firstLine="560"/>
        <w:spacing w:line="480" w:lineRule="exact"/>
        <w:rPr>
          <w:rFonts w:hint="eastAsia" w:ascii="方正仿宋_GBK" w:hAnsi="方正仿宋_GBK" w:eastAsia="方正仿宋_GBK" w:cs="方正仿宋_GBK"/>
          <w:color w:val="000000"/>
          <w:sz w:val="28"/>
          <w:szCs w:val="28"/>
          <w:highlight w:val="none"/>
          <w:u w:val="single"/>
        </w:rPr>
      </w:pPr>
      <w:r/>
      <w:bookmarkStart w:id="12" w:name="_Toc28359080"/>
      <w:r/>
      <w:bookmarkStart w:id="13" w:name="_Toc28359003"/>
      <w:r/>
      <w:bookmarkStart w:id="14" w:name="_Toc35393622"/>
      <w:r/>
      <w:bookmarkStart w:id="15" w:name="_Toc38985264"/>
      <w:r/>
      <w:bookmarkStart w:id="16" w:name="_Toc35393791"/>
      <w:r>
        <w:rPr>
          <w:rFonts w:hint="eastAsia" w:ascii="方正仿宋_GBK" w:hAnsi="方正仿宋_GBK" w:eastAsia="方正仿宋_GBK" w:cs="方正仿宋_GBK"/>
          <w:color w:val="000000"/>
          <w:sz w:val="28"/>
          <w:szCs w:val="28"/>
          <w:highlight w:val="none"/>
        </w:rPr>
        <w:t xml:space="preserve">5.采购需求（简介）：</w:t>
      </w:r>
      <w:r>
        <w:rPr>
          <w:rFonts w:hint="eastAsia" w:eastAsia="方正仿宋_GBK" w:cs="Times New Roman"/>
          <w:color w:val="000000"/>
          <w:sz w:val="28"/>
          <w:szCs w:val="28"/>
          <w:highlight w:val="none"/>
        </w:rPr>
        <w:t xml:space="preserve">本项目主要建设内容包括确有专长与师承考核考试系统功能扩展、中医等级医院与中医重点专科验收系统功能扩展、质控中心管理服务功能扩展、绩效考核功能扩展、中医资金绩效综合监测、国产化适配改造。</w:t>
      </w: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47"/>
        <w:ind w:firstLine="560"/>
        <w:spacing w:line="48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s="Times New Roman"/>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楷体_GBK" w:hAnsi="方正楷体_GBK" w:eastAsia="方正楷体_GBK" w:cs="方正楷体_GBK"/>
          <w:color w:val="000000"/>
          <w:sz w:val="28"/>
          <w:szCs w:val="28"/>
          <w:highlight w:val="none"/>
        </w:rPr>
      </w:pPr>
      <w:r/>
      <w:bookmarkStart w:id="17" w:name="_Toc28359004"/>
      <w:r/>
      <w:bookmarkStart w:id="18" w:name="_Toc38985265"/>
      <w:r/>
      <w:bookmarkStart w:id="19" w:name="_Toc28359081"/>
      <w:r/>
      <w:bookmarkStart w:id="20" w:name="_Toc35393792"/>
      <w:r/>
      <w:bookmarkStart w:id="21" w:name="_Toc35393623"/>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rPr>
          <w:rFonts w:hint="eastAsia" w:ascii="方正仿宋_GBK" w:hAnsi="方正仿宋_GBK" w:eastAsia="方正仿宋_GBK" w:cs="方正仿宋_GBK"/>
          <w:color w:val="000000"/>
          <w:sz w:val="28"/>
          <w:szCs w:val="28"/>
          <w:highlight w:val="none"/>
        </w:rPr>
      </w:r>
      <w:r/>
    </w:p>
    <w:tbl>
      <w:tblPr>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2968"/>
        <w:gridCol w:w="4483"/>
      </w:tblGrid>
      <w:tr>
        <w:trPr/>
        <w:tc>
          <w:tcPr>
            <w:tcW w:w="1819"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2968"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是否接受联合体投标（是/否）</w:t>
            </w:r>
            <w:r>
              <w:rPr>
                <w:rFonts w:ascii="方正仿宋_GBK" w:hAnsi="方正仿宋_GBK" w:eastAsia="方正仿宋_GBK" w:cs="方正仿宋_GBK"/>
                <w:color w:val="000000"/>
                <w:sz w:val="28"/>
                <w:szCs w:val="28"/>
                <w:highlight w:val="none"/>
              </w:rPr>
            </w:r>
            <w:r/>
          </w:p>
        </w:tc>
        <w:tc>
          <w:tcPr>
            <w:tcW w:w="4483"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该采购包中联合体成员数量上限</w:t>
            </w:r>
            <w:r>
              <w:rPr>
                <w:rFonts w:ascii="方正仿宋_GBK" w:hAnsi="方正仿宋_GBK" w:eastAsia="方正仿宋_GBK" w:cs="方正仿宋_GBK"/>
                <w:color w:val="000000"/>
                <w:sz w:val="28"/>
                <w:szCs w:val="28"/>
                <w:highlight w:val="none"/>
              </w:rPr>
            </w:r>
            <w:r/>
          </w:p>
        </w:tc>
      </w:tr>
      <w:tr>
        <w:trPr/>
        <w:tc>
          <w:tcPr>
            <w:tcW w:w="1819"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否</w:t>
            </w:r>
            <w:r>
              <w:rPr>
                <w:rFonts w:ascii="方正仿宋_GBK" w:hAnsi="方正仿宋_GBK" w:eastAsia="方正仿宋_GBK" w:cs="方正仿宋_GBK"/>
                <w:color w:val="000000"/>
                <w:sz w:val="28"/>
                <w:szCs w:val="28"/>
                <w:highlight w:val="none"/>
              </w:rPr>
            </w:r>
            <w:r/>
          </w:p>
        </w:tc>
        <w:tc>
          <w:tcPr>
            <w:tcW w:w="4483"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r>
    </w:tbl>
    <w:p>
      <w:pPr>
        <w:pStyle w:val="947"/>
        <w:ind w:firstLine="560"/>
        <w:spacing w:line="48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9"/>
        <w:gridCol w:w="7451"/>
      </w:tblGrid>
      <w:tr>
        <w:trPr/>
        <w:tc>
          <w:tcPr>
            <w:tcW w:w="1789"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7451"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特定资格要求</w:t>
            </w:r>
            <w:r>
              <w:rPr>
                <w:rFonts w:ascii="方正仿宋_GBK" w:hAnsi="方正仿宋_GBK" w:eastAsia="方正仿宋_GBK" w:cs="方正仿宋_GBK"/>
                <w:color w:val="000000"/>
                <w:sz w:val="28"/>
                <w:szCs w:val="28"/>
                <w:highlight w:val="none"/>
              </w:rPr>
            </w:r>
            <w:r/>
          </w:p>
        </w:tc>
      </w:tr>
      <w:tr>
        <w:trPr/>
        <w:tc>
          <w:tcPr>
            <w:tcW w:w="1789"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7451" w:type="dxa"/>
            <w:vAlign w:val="top"/>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无</w:t>
            </w:r>
            <w:r>
              <w:rPr>
                <w:rFonts w:ascii="方正仿宋_GBK" w:hAnsi="方正仿宋_GBK" w:eastAsia="方正仿宋_GBK" w:cs="方正仿宋_GBK"/>
                <w:color w:val="000000"/>
                <w:sz w:val="28"/>
                <w:szCs w:val="28"/>
                <w:highlight w:val="none"/>
              </w:rPr>
            </w:r>
            <w:r/>
          </w:p>
        </w:tc>
      </w:tr>
    </w:tbl>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07"/>
      <w:r/>
      <w:bookmarkStart w:id="23" w:name="_Toc35393625"/>
      <w:r/>
      <w:bookmarkStart w:id="24" w:name="_Toc35393794"/>
      <w:r/>
      <w:bookmarkStart w:id="25" w:name="_Toc38985267"/>
      <w:r/>
      <w:bookmarkStart w:id="26" w:name="_Toc28359084"/>
      <w:r/>
      <w:bookmarkStart w:id="27" w:name="_Toc28359082"/>
      <w:r/>
      <w:bookmarkStart w:id="28" w:name="_Toc28359005"/>
      <w:r/>
      <w:bookmarkStart w:id="29" w:name="_Toc38985266"/>
      <w:r/>
      <w:bookmarkStart w:id="30" w:name="_Toc35393793"/>
      <w:r/>
      <w:bookmarkStart w:id="31" w:name="_Toc35393624"/>
      <w:r>
        <w:rPr>
          <w:rFonts w:hint="eastAsia" w:ascii="方正黑体_GBK" w:hAnsi="方正黑体_GBK" w:eastAsia="方正黑体_GBK" w:cs="方正黑体_GBK"/>
          <w:color w:val="000000"/>
          <w:sz w:val="28"/>
          <w:szCs w:val="28"/>
          <w:highlight w:val="none"/>
        </w:rPr>
        <w:t xml:space="preserve">四、提交投标文件</w:t>
      </w:r>
      <w:bookmarkEnd w:id="27"/>
      <w:r/>
      <w:bookmarkEnd w:id="28"/>
      <w:r>
        <w:rPr>
          <w:rFonts w:hint="eastAsia" w:ascii="方正黑体_GBK" w:hAnsi="方正黑体_GBK" w:eastAsia="方正黑体_GBK" w:cs="方正黑体_GBK"/>
          <w:color w:val="000000"/>
          <w:sz w:val="28"/>
          <w:szCs w:val="28"/>
          <w:highlight w:val="none"/>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s="Times New Roman"/>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s="Times New Roman"/>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s="Times New Roman"/>
          <w:color w:val="000000"/>
          <w:sz w:val="28"/>
          <w:szCs w:val="28"/>
          <w:highlight w:val="none"/>
        </w:rPr>
        <w:t xml:space="preserve">26</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s="Times New Roman"/>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s="Times New Roman"/>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rPr>
          <w:rFonts w:ascii="宋体" w:hAnsi="宋体"/>
          <w:bCs/>
          <w:color w:val="000000"/>
          <w:sz w:val="28"/>
          <w:szCs w:val="28"/>
          <w:highlight w:val="none"/>
          <w:u w:val="singl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35393796"/>
      <w:r/>
      <w:bookmarkStart w:id="36" w:name="_Toc28359085"/>
      <w:r/>
      <w:bookmarkStart w:id="37" w:name="_Toc38985269"/>
      <w:r/>
      <w:bookmarkStart w:id="38" w:name="_Toc28359008"/>
      <w:r/>
      <w:bookmarkStart w:id="39" w:name="_Toc35393627"/>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947"/>
        <w:jc w:val="left"/>
        <w:spacing w:line="48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47"/>
        <w:ind w:firstLine="560"/>
        <w:jc w:val="left"/>
        <w:spacing w:line="480" w:lineRule="exact"/>
        <w:rPr>
          <w:rFonts w:hint="eastAsia" w:ascii="方正仿宋_GBK" w:hAnsi="方正仿宋_GBK" w:eastAsia="方正仿宋_GBK" w:cs="方正仿宋_GBK"/>
          <w:color w:val="000000"/>
          <w:sz w:val="28"/>
          <w:szCs w:val="28"/>
          <w:highlight w:val="none"/>
        </w:rPr>
      </w:pPr>
      <w:r/>
      <w:bookmarkStart w:id="40" w:name="_Toc28359009"/>
      <w:r/>
      <w:bookmarkStart w:id="41" w:name="_Toc28359086"/>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江苏省卫生健康信息中心（江苏省中医药信息中心）</w:t>
      </w:r>
      <w:r>
        <w:rPr>
          <w:rFonts w:hint="eastAsia" w:ascii="方正仿宋_GBK" w:hAnsi="方正仿宋_GBK" w:eastAsia="方正仿宋_GBK" w:cs="方正仿宋_GBK"/>
          <w:color w:val="000000"/>
          <w:sz w:val="28"/>
          <w:szCs w:val="28"/>
          <w:highlight w:val="none"/>
        </w:rPr>
      </w:r>
      <w:r/>
    </w:p>
    <w:p>
      <w:pPr>
        <w:pStyle w:val="947"/>
        <w:ind w:firstLine="560"/>
        <w:jc w:val="left"/>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南京市中央路42号</w:t>
      </w:r>
      <w:r>
        <w:rPr>
          <w:rFonts w:hint="eastAsia" w:ascii="方正仿宋_GBK" w:hAnsi="方正仿宋_GBK" w:eastAsia="方正仿宋_GBK" w:cs="方正仿宋_GBK"/>
          <w:color w:val="000000"/>
          <w:sz w:val="28"/>
          <w:szCs w:val="28"/>
          <w:highlight w:val="none"/>
        </w:rPr>
      </w:r>
      <w:r/>
    </w:p>
    <w:p>
      <w:pPr>
        <w:pStyle w:val="947"/>
        <w:ind w:firstLine="560"/>
        <w:jc w:val="left"/>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陆老师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47"/>
        <w:ind w:firstLine="560"/>
        <w:jc w:val="left"/>
        <w:spacing w:line="48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025-83620921 </w:t>
      </w:r>
      <w:r>
        <w:rPr>
          <w:rFonts w:hint="eastAsia" w:ascii="方正仿宋_GBK" w:hAnsi="方正仿宋_GBK" w:eastAsia="方正仿宋_GBK" w:cs="方正仿宋_GBK"/>
          <w:color w:val="000000"/>
          <w:sz w:val="28"/>
          <w:szCs w:val="28"/>
          <w:highlight w:val="none"/>
          <w:u w:val="single"/>
        </w:rPr>
      </w:r>
      <w:r/>
    </w:p>
    <w:p>
      <w:pPr>
        <w:pStyle w:val="947"/>
        <w:ind w:firstLine="560"/>
        <w:jc w:val="left"/>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47"/>
        <w:ind w:firstLine="560"/>
        <w:jc w:val="left"/>
        <w:keepNext/>
        <w:spacing w:line="480" w:lineRule="exact"/>
        <w:rPr>
          <w:rFonts w:hint="eastAsia" w:ascii="方正仿宋_GBK" w:hAnsi="方正仿宋_GBK" w:eastAsia="方正仿宋_GBK" w:cs="方正仿宋_GBK"/>
          <w:color w:val="000000"/>
          <w:sz w:val="28"/>
          <w:szCs w:val="28"/>
          <w:highlight w:val="none"/>
        </w:rPr>
        <w:outlineLvl w:val="0"/>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南京市汉中门大街145号省政务服务中心二期3楼南区</w:t>
      </w:r>
      <w:r>
        <w:rPr>
          <w:rFonts w:hint="eastAsia" w:ascii="方正仿宋_GBK" w:hAnsi="方正仿宋_GBK" w:eastAsia="方正仿宋_GBK" w:cs="方正仿宋_GBK"/>
          <w:color w:val="000000"/>
          <w:sz w:val="28"/>
          <w:szCs w:val="28"/>
          <w:highlight w:val="none"/>
        </w:rPr>
      </w:r>
      <w:r/>
    </w:p>
    <w:p>
      <w:pPr>
        <w:pStyle w:val="947"/>
        <w:ind w:firstLine="560"/>
        <w:jc w:val="left"/>
        <w:keepNext/>
        <w:spacing w:line="48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s="Times New Roman"/>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rPr>
          <w:rFonts w:hint="eastAsia" w:ascii="方正仿宋_GBK" w:hAnsi="方正仿宋_GBK" w:eastAsia="方正仿宋_GBK" w:cs="方正仿宋_GBK"/>
          <w:bCs/>
          <w:color w:val="000000"/>
          <w:sz w:val="28"/>
          <w:szCs w:val="28"/>
          <w:highlight w:val="none"/>
        </w:rPr>
      </w:r>
      <w:r/>
    </w:p>
    <w:p>
      <w:pPr>
        <w:pStyle w:val="947"/>
        <w:jc w:val="center"/>
        <w:spacing w:line="480" w:lineRule="exact"/>
        <w:rPr>
          <w:rFonts w:hint="eastAsia" w:ascii="宋体" w:hAnsi="宋体"/>
          <w:color w:val="000000"/>
          <w:sz w:val="28"/>
          <w:szCs w:val="28"/>
          <w:highlight w:val="none"/>
        </w:rPr>
      </w:pPr>
      <w:r/>
      <w:bookmarkStart w:id="44" w:name="_Toc120614211"/>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Pr>
          <w:rFonts w:hint="eastAsia" w:ascii="宋体" w:hAnsi="宋体"/>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1.招标方式</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2.合格的投标人</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3.适用法律和标准</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4.投标费用</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5.招标文件的约束力</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6.招标文件构成</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7.招标文件的修改</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49" w:name="_Toc16938529"/>
      <w:r/>
      <w:bookmarkStart w:id="50" w:name="_Toc120614216"/>
      <w:r/>
      <w:bookmarkStart w:id="51" w:name="_Toc20823285"/>
      <w:r/>
      <w:bookmarkStart w:id="52" w:name="_Toc462564072"/>
      <w:r/>
      <w:bookmarkStart w:id="53" w:name="_Toc513029213"/>
      <w:r>
        <w:rPr>
          <w:rFonts w:hint="eastAsia" w:ascii="方正黑体_GBK" w:hAnsi="方正黑体_GBK" w:eastAsia="方正黑体_GBK" w:cs="方正黑体_GBK"/>
          <w:color w:val="000000"/>
          <w:sz w:val="28"/>
          <w:szCs w:val="28"/>
          <w:highlight w:val="none"/>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Cs w:val="0"/>
          <w:color w:val="000000"/>
          <w:highlight w:val="none"/>
        </w:rPr>
      </w:pPr>
      <w:r/>
      <w:bookmarkStart w:id="54" w:name="_Toc20823286"/>
      <w:r/>
      <w:bookmarkStart w:id="55" w:name="_Toc462564073"/>
      <w:r/>
      <w:bookmarkStart w:id="56" w:name="_Toc16938530"/>
      <w:r/>
      <w:bookmarkStart w:id="57" w:name="_Toc513029214"/>
      <w:r>
        <w:rPr>
          <w:rFonts w:hint="eastAsia" w:ascii="方正仿宋_GBK" w:hAnsi="方正仿宋_GBK" w:eastAsia="方正仿宋_GBK" w:cs="方正仿宋_GBK"/>
          <w:b w:val="0"/>
          <w:bCs w:val="0"/>
          <w:color w:val="000000"/>
          <w:highlight w:val="none"/>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rPr>
          <w:rFonts w:hint="eastAsia" w:ascii="方正仿宋_GBK" w:hAnsi="方正仿宋_GBK" w:eastAsia="方正仿宋_GBK" w:cs="方正仿宋_GBK"/>
          <w:color w:val="000000"/>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highlight w:val="none"/>
        </w:rPr>
        <w:t xml:space="preserve">简体中文</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rPr>
          <w:rFonts w:hint="eastAsia" w:ascii="方正仿宋_GBK" w:hAnsi="方正仿宋_GBK" w:eastAsia="方正仿宋_GBK" w:cs="方正仿宋_GBK"/>
          <w:color w:val="000000"/>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58" w:name="_Toc462564074"/>
      <w:r/>
      <w:bookmarkStart w:id="59" w:name="_Toc513029215"/>
      <w:r/>
      <w:bookmarkStart w:id="60" w:name="_Toc16938531"/>
      <w:r/>
      <w:bookmarkStart w:id="61" w:name="_Toc20823287"/>
      <w:r>
        <w:rPr>
          <w:rFonts w:hint="eastAsia" w:ascii="方正仿宋_GBK" w:hAnsi="方正仿宋_GBK" w:eastAsia="方正仿宋_GBK" w:cs="方正仿宋_GBK"/>
          <w:b w:val="0"/>
          <w:bCs w:val="0"/>
          <w:color w:val="000000"/>
          <w:highlight w:val="none"/>
        </w:rPr>
        <w:t xml:space="preserve">9.投标文件构成</w:t>
      </w:r>
      <w:bookmarkEnd w:id="58"/>
      <w:r/>
      <w:bookmarkEnd w:id="59"/>
      <w:r/>
      <w:bookmarkEnd w:id="60"/>
      <w:r/>
      <w:bookmarkEnd w:id="61"/>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rPr>
          <w:rFonts w:hint="eastAsia" w:ascii="方正仿宋_GBK" w:hAnsi="方正仿宋_GBK" w:eastAsia="方正仿宋_GBK" w:cs="方正仿宋_GBK"/>
          <w:color w:val="000000"/>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62" w:name="_Hlt26670360"/>
      <w:r/>
      <w:bookmarkEnd w:id="62"/>
      <w:r/>
      <w:bookmarkStart w:id="63" w:name="_Hlt26668975"/>
      <w:r/>
      <w:bookmarkEnd w:id="63"/>
      <w:r/>
      <w:bookmarkStart w:id="64" w:name="_Hlt26954838"/>
      <w:r/>
      <w:bookmarkEnd w:id="64"/>
      <w:r/>
      <w:bookmarkStart w:id="65" w:name="_Toc49090509"/>
      <w:r/>
      <w:bookmarkStart w:id="66" w:name="_Toc513029219"/>
      <w:r/>
      <w:bookmarkStart w:id="67" w:name="_Toc14577357"/>
      <w:r/>
      <w:bookmarkStart w:id="68" w:name="_Toc14577354"/>
      <w:r/>
      <w:bookmarkStart w:id="69" w:name="_Toc513029216"/>
      <w:r/>
      <w:bookmarkStart w:id="70" w:name="_Toc49090507"/>
      <w:r>
        <w:rPr>
          <w:rFonts w:hint="eastAsia" w:ascii="方正仿宋_GBK" w:hAnsi="方正仿宋_GBK" w:eastAsia="方正仿宋_GBK" w:cs="方正仿宋_GBK"/>
          <w:b w:val="0"/>
          <w:bCs w:val="0"/>
          <w:color w:val="000000"/>
          <w:highlight w:val="none"/>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color w:val="000000"/>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color w:val="000000"/>
          <w:highlight w:val="none"/>
        </w:rPr>
        <w:t xml:space="preserve">表</w:t>
      </w:r>
      <w:bookmarkEnd w:id="72"/>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rPr>
          <w:rFonts w:hint="eastAsia" w:ascii="方正仿宋_GBK" w:hAnsi="方正仿宋_GBK" w:eastAsia="方正仿宋_GBK" w:cs="方正仿宋_GBK"/>
          <w:color w:val="000000"/>
          <w:sz w:val="28"/>
          <w:szCs w:val="28"/>
          <w:highlight w:val="none"/>
        </w:rPr>
        <w:t xml:space="preserve"> 投</w:t>
      </w:r>
      <w:bookmarkStart w:id="74" w:name="_Hlt26954840"/>
      <w:r/>
      <w:bookmarkEnd w:id="74"/>
      <w:r>
        <w:rPr>
          <w:rFonts w:hint="eastAsia" w:ascii="方正仿宋_GBK" w:hAnsi="方正仿宋_GBK" w:eastAsia="方正仿宋_GBK" w:cs="方正仿宋_GBK"/>
          <w:color w:val="000000"/>
          <w:sz w:val="28"/>
          <w:szCs w:val="28"/>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11.2</w:t>
      </w:r>
      <w:r>
        <w:rPr>
          <w:rFonts w:hint="eastAsia" w:ascii="方正仿宋_GBK" w:hAnsi="方正仿宋_GBK" w:eastAsia="方正仿宋_GBK" w:cs="方正仿宋_GBK"/>
          <w:bCs/>
          <w:color w:val="000000"/>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highlight w:val="none"/>
        </w:rPr>
        <w:t xml:space="preserve">招标文件中另有规定的按规定执行。</w:t>
      </w:r>
      <w:r>
        <w:rPr>
          <w:rFonts w:hint="eastAsia" w:ascii="方正仿宋_GBK" w:hAnsi="方正仿宋_GBK" w:eastAsia="方正仿宋_GBK" w:cs="方正仿宋_GBK"/>
          <w:bCs/>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76" w:name="_Hlt26954846"/>
      <w:r/>
      <w:bookmarkEnd w:id="76"/>
      <w:r/>
      <w:bookmarkStart w:id="77" w:name="_Hlt26954844"/>
      <w:r/>
      <w:bookmarkEnd w:id="77"/>
      <w:r/>
      <w:bookmarkStart w:id="78" w:name="_Hlt26954731"/>
      <w:r/>
      <w:bookmarkEnd w:id="78"/>
      <w:r/>
      <w:bookmarkStart w:id="79" w:name="_Hlt26670403"/>
      <w:r/>
      <w:bookmarkEnd w:id="79"/>
      <w:r/>
      <w:bookmarkStart w:id="80" w:name="_Hlt26670486"/>
      <w:r/>
      <w:bookmarkEnd w:id="80"/>
      <w:r/>
      <w:bookmarkStart w:id="81" w:name="_Hlt26670425"/>
      <w:r/>
      <w:bookmarkEnd w:id="81"/>
      <w:r/>
      <w:bookmarkStart w:id="82" w:name="_Hlt26670482"/>
      <w:r/>
      <w:bookmarkEnd w:id="82"/>
      <w:r/>
      <w:bookmarkStart w:id="83" w:name="_Hlt26954848"/>
      <w:r/>
      <w:bookmarkEnd w:id="83"/>
      <w:r/>
      <w:bookmarkStart w:id="84" w:name="_Hlt26668983"/>
      <w:r/>
      <w:bookmarkEnd w:id="84"/>
      <w:r/>
      <w:bookmarkStart w:id="85" w:name="_Hlt26954842"/>
      <w:r/>
      <w:bookmarkEnd w:id="85"/>
      <w:r>
        <w:rPr>
          <w:rFonts w:hint="eastAsia" w:ascii="方正仿宋_GBK" w:hAnsi="方正仿宋_GBK" w:eastAsia="方正仿宋_GBK" w:cs="方正仿宋_GBK"/>
          <w:b w:val="0"/>
          <w:bCs w:val="0"/>
          <w:color w:val="000000"/>
          <w:highlight w:val="none"/>
        </w:rPr>
        <w:t xml:space="preserve">12.技术要求响应及偏离表、商务要求响应及偏离表</w:t>
      </w:r>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w:t>
      </w:r>
      <w:r>
        <w:rPr>
          <w:rFonts w:hint="eastAsia" w:ascii="方正仿宋_GBK" w:hAnsi="方正仿宋_GBK" w:eastAsia="方正仿宋_GBK" w:cs="方正仿宋_GBK"/>
          <w:color w:val="000000"/>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color w:val="000000"/>
          <w:sz w:val="28"/>
          <w:szCs w:val="28"/>
          <w:highlight w:val="none"/>
          <w:lang w:val="zh-CN"/>
        </w:rPr>
      </w:r>
      <w:r/>
    </w:p>
    <w:p>
      <w:pPr>
        <w:pStyle w:val="947"/>
        <w:ind w:firstLine="560"/>
        <w:spacing w:line="480" w:lineRule="exact"/>
        <w:rPr>
          <w:rFonts w:hint="eastAsia" w:ascii="方正仿宋_GBK" w:hAnsi="方正仿宋_GBK" w:eastAsia="方正仿宋_GBK" w:cs="方正仿宋_GBK"/>
          <w:color w:val="000000"/>
          <w:sz w:val="28"/>
          <w:szCs w:val="28"/>
          <w:highlight w:val="none"/>
          <w:lang w:val="zh-CN"/>
        </w:rPr>
      </w:pPr>
      <w:r/>
      <w:bookmarkStart w:id="86" w:name="_Toc14577359"/>
      <w:r/>
      <w:bookmarkStart w:id="87" w:name="_Toc49090510"/>
      <w:r>
        <w:rPr>
          <w:rFonts w:hint="eastAsia" w:ascii="方正仿宋_GBK" w:hAnsi="方正仿宋_GBK" w:eastAsia="方正仿宋_GBK" w:cs="方正仿宋_GBK"/>
          <w:color w:val="000000"/>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color w:val="000000"/>
          <w:sz w:val="28"/>
          <w:szCs w:val="28"/>
          <w:highlight w:val="none"/>
          <w:lang w:val="zh-CN"/>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13.投标函和开标一览表</w:t>
      </w:r>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rPr>
          <w:rFonts w:hint="eastAsia" w:ascii="方正仿宋_GBK" w:hAnsi="方正仿宋_GBK" w:eastAsia="方正仿宋_GBK" w:cs="方正仿宋_GBK"/>
          <w:color w:val="000000"/>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rPr>
          <w:rFonts w:hint="eastAsia" w:ascii="方正仿宋_GBK" w:hAnsi="方正仿宋_GBK" w:eastAsia="方正仿宋_GBK" w:cs="方正仿宋_GBK"/>
          <w:color w:val="000000"/>
          <w:sz w:val="28"/>
          <w:szCs w:val="28"/>
          <w:highlight w:val="none"/>
        </w:rPr>
        <w:t xml:space="preserve"> 对于采用货币报价的项目，</w:t>
      </w:r>
      <w:r>
        <w:rPr>
          <w:rFonts w:hint="eastAsia" w:ascii="方正仿宋_GBK" w:hAnsi="方正仿宋_GBK" w:eastAsia="方正仿宋_GBK" w:cs="方正仿宋_GBK"/>
          <w:bCs/>
          <w:color w:val="000000"/>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highlight w:val="none"/>
        </w:rPr>
        <w:t xml:space="preserve">不作为无效投标处理</w:t>
      </w:r>
      <w:r>
        <w:rPr>
          <w:rFonts w:hint="eastAsia" w:ascii="方正仿宋_GBK" w:hAnsi="方正仿宋_GBK" w:eastAsia="方正仿宋_GBK" w:cs="方正仿宋_GBK"/>
          <w:bCs/>
          <w:color w:val="000000"/>
          <w:sz w:val="28"/>
          <w:szCs w:val="28"/>
          <w:highlight w:val="none"/>
        </w:rPr>
        <w:t xml:space="preserve">，但评标时按开标一览表中价格为准</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color w:val="000000"/>
          <w:highlight w:val="none"/>
        </w:rPr>
        <w:t xml:space="preserve">14.投标有效期</w:t>
      </w:r>
      <w:bookmarkEnd w:id="91"/>
      <w:r/>
      <w:bookmarkEnd w:id="92"/>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w:t>
      </w:r>
      <w:r>
        <w:rPr>
          <w:rFonts w:hint="eastAsia" w:ascii="方正仿宋_GBK" w:hAnsi="方正仿宋_GBK" w:eastAsia="方正仿宋_GBK" w:cs="方正仿宋_GBK"/>
          <w:bCs/>
          <w:color w:val="000000"/>
          <w:sz w:val="28"/>
          <w:szCs w:val="28"/>
          <w:highlight w:val="none"/>
        </w:rPr>
        <w:t xml:space="preserve"> 投标有效期为采购中心规定的开标之日后</w:t>
      </w:r>
      <w:r>
        <w:rPr>
          <w:rFonts w:hint="eastAsia" w:ascii="方正仿宋_GBK" w:hAnsi="方正仿宋_GBK" w:eastAsia="方正仿宋_GBK" w:cs="方正仿宋_GBK"/>
          <w:b/>
          <w:color w:val="000000"/>
          <w:sz w:val="28"/>
          <w:szCs w:val="28"/>
          <w:highlight w:val="none"/>
          <w:u w:val="single"/>
        </w:rPr>
        <w:t xml:space="preserve">六十（60）天</w:t>
      </w:r>
      <w:r>
        <w:rPr>
          <w:rFonts w:hint="eastAsia" w:ascii="方正仿宋_GBK" w:hAnsi="方正仿宋_GBK" w:eastAsia="方正仿宋_GBK" w:cs="方正仿宋_GBK"/>
          <w:bCs/>
          <w:color w:val="000000"/>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rPr>
          <w:rFonts w:hint="eastAsia" w:ascii="方正仿宋_GBK" w:hAnsi="方正仿宋_GBK" w:eastAsia="方正仿宋_GBK" w:cs="方正仿宋_GBK"/>
          <w:b w:val="0"/>
          <w:bCs w:val="0"/>
          <w:color w:val="000000"/>
          <w:highlight w:val="none"/>
        </w:rPr>
        <w:t xml:space="preserve">15.投标有效期的延长</w:t>
      </w:r>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w:t>
      </w:r>
      <w:r>
        <w:rPr>
          <w:rFonts w:hint="eastAsia" w:ascii="方正仿宋_GBK" w:hAnsi="方正仿宋_GBK" w:eastAsia="方正仿宋_GBK" w:cs="方正仿宋_GBK"/>
          <w:bCs/>
          <w:color w:val="000000"/>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93" w:name="_Hlt26954852"/>
      <w:r/>
      <w:bookmarkEnd w:id="93"/>
      <w:r/>
      <w:bookmarkStart w:id="94" w:name="_Hlt26954739"/>
      <w:r/>
      <w:bookmarkEnd w:id="94"/>
      <w:r/>
      <w:bookmarkStart w:id="95" w:name="_Toc513029224"/>
      <w:r/>
      <w:bookmarkStart w:id="96" w:name="_Toc120614217"/>
      <w:r/>
      <w:bookmarkStart w:id="97" w:name="_Toc20823296"/>
      <w:r/>
      <w:bookmarkStart w:id="98" w:name="_Toc16938540"/>
      <w:r>
        <w:rPr>
          <w:rFonts w:hint="eastAsia" w:ascii="方正黑体_GBK" w:hAnsi="方正黑体_GBK" w:eastAsia="方正黑体_GBK" w:cs="方正黑体_GBK"/>
          <w:color w:val="000000"/>
          <w:sz w:val="28"/>
          <w:szCs w:val="28"/>
          <w:highlight w:val="none"/>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99" w:name="_Toc462564084"/>
      <w:r/>
      <w:bookmarkStart w:id="100" w:name="_Toc513029225"/>
      <w:r/>
      <w:bookmarkStart w:id="101" w:name="_Toc20823297"/>
      <w:r/>
      <w:bookmarkStart w:id="102" w:name="_Toc16938541"/>
      <w:r>
        <w:rPr>
          <w:rFonts w:hint="eastAsia" w:ascii="方正仿宋_GBK" w:hAnsi="方正仿宋_GBK" w:eastAsia="方正仿宋_GBK" w:cs="方正仿宋_GBK"/>
          <w:b w:val="0"/>
          <w:bCs w:val="0"/>
          <w:color w:val="000000"/>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color w:val="000000"/>
          <w:highlight w:val="none"/>
        </w:rPr>
        <w:t xml:space="preserve">的递交</w:t>
      </w:r>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w:t>
      </w:r>
      <w:r>
        <w:rPr>
          <w:rFonts w:hint="eastAsia" w:ascii="方正仿宋_GBK" w:hAnsi="方正仿宋_GBK" w:eastAsia="方正仿宋_GBK" w:cs="方正仿宋_GBK"/>
          <w:bCs/>
          <w:color w:val="000000"/>
          <w:sz w:val="28"/>
          <w:szCs w:val="28"/>
          <w:highlight w:val="none"/>
        </w:rPr>
        <w:t xml:space="preserve"> 电子投标文件的递交</w:t>
      </w:r>
      <w:r>
        <w:rPr>
          <w:rFonts w:hint="eastAsia" w:ascii="方正仿宋_GBK" w:hAnsi="方正仿宋_GBK" w:eastAsia="方正仿宋_GBK" w:cs="方正仿宋_GBK"/>
          <w:bCs/>
          <w:color w:val="000000"/>
          <w:sz w:val="28"/>
          <w:szCs w:val="28"/>
          <w:highlight w:val="none"/>
        </w:rPr>
      </w:r>
      <w:r/>
    </w:p>
    <w:p>
      <w:pPr>
        <w:pStyle w:val="1059"/>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17.投标截止</w:t>
      </w:r>
      <w:bookmarkEnd w:id="103"/>
      <w:r/>
      <w:bookmarkEnd w:id="104"/>
      <w:r/>
      <w:bookmarkEnd w:id="105"/>
      <w:r>
        <w:rPr>
          <w:rFonts w:hint="eastAsia" w:ascii="方正仿宋_GBK" w:hAnsi="方正仿宋_GBK" w:eastAsia="方正仿宋_GBK" w:cs="方正仿宋_GBK"/>
          <w:bCs/>
          <w:color w:val="000000"/>
          <w:sz w:val="28"/>
          <w:szCs w:val="28"/>
          <w:highlight w:val="none"/>
        </w:rPr>
        <w:t xml:space="preserve">时间</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w:t>
      </w:r>
      <w:r>
        <w:rPr>
          <w:rFonts w:hint="eastAsia" w:ascii="方正仿宋_GBK" w:hAnsi="方正仿宋_GBK" w:eastAsia="方正仿宋_GBK" w:cs="方正仿宋_GBK"/>
          <w:bCs/>
          <w:color w:val="000000"/>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w:t>
      </w:r>
      <w:r>
        <w:rPr>
          <w:rFonts w:hint="eastAsia" w:ascii="方正仿宋_GBK" w:hAnsi="方正仿宋_GBK" w:eastAsia="方正仿宋_GBK" w:cs="方正仿宋_GBK"/>
          <w:bCs/>
          <w:color w:val="000000"/>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color w:val="000000"/>
          <w:highlight w:val="none"/>
        </w:rPr>
        <w:t xml:space="preserve">18.投标文件</w:t>
      </w:r>
      <w:bookmarkEnd w:id="106"/>
      <w:r/>
      <w:bookmarkEnd w:id="107"/>
      <w:r/>
      <w:bookmarkEnd w:id="108"/>
      <w:r>
        <w:rPr>
          <w:rFonts w:hint="eastAsia" w:ascii="方正仿宋_GBK" w:hAnsi="方正仿宋_GBK" w:eastAsia="方正仿宋_GBK" w:cs="方正仿宋_GBK"/>
          <w:b w:val="0"/>
          <w:bCs w:val="0"/>
          <w:color w:val="000000"/>
          <w:highlight w:val="none"/>
        </w:rPr>
        <w:t xml:space="preserve">的拒收</w:t>
      </w:r>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w:t>
      </w:r>
      <w:r>
        <w:rPr>
          <w:rFonts w:hint="eastAsia" w:ascii="方正仿宋_GBK" w:hAnsi="方正仿宋_GBK" w:eastAsia="方正仿宋_GBK" w:cs="方正仿宋_GBK"/>
          <w:bCs/>
          <w:color w:val="000000"/>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color w:val="000000"/>
          <w:sz w:val="28"/>
          <w:szCs w:val="28"/>
          <w:highlight w:val="none"/>
        </w:rPr>
      </w:r>
      <w:r/>
    </w:p>
    <w:p>
      <w:pPr>
        <w:pStyle w:val="951"/>
        <w:ind w:firstLine="560"/>
        <w:spacing w:before="0" w:after="0" w:line="480" w:lineRule="exact"/>
        <w:rPr>
          <w:rFonts w:hint="eastAsia" w:ascii="方正仿宋_GBK" w:hAnsi="方正仿宋_GBK" w:eastAsia="方正仿宋_GBK" w:cs="方正仿宋_GBK"/>
          <w:b w:val="0"/>
          <w:bCs w:val="0"/>
          <w:color w:val="000000"/>
          <w:highlight w:val="none"/>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color w:val="000000"/>
          <w:highlight w:val="none"/>
        </w:rPr>
        <w:t xml:space="preserve">19.投标文件的撤回和修改</w:t>
      </w:r>
      <w:bookmarkEnd w:id="109"/>
      <w:r/>
      <w:bookmarkEnd w:id="110"/>
      <w:r/>
      <w:bookmarkEnd w:id="111"/>
      <w:r>
        <w:rPr>
          <w:rFonts w:hint="eastAsia" w:ascii="方正仿宋_GBK" w:hAnsi="方正仿宋_GBK" w:eastAsia="方正仿宋_GBK" w:cs="方正仿宋_GBK"/>
          <w:b w:val="0"/>
          <w:bCs w:val="0"/>
          <w:color w:val="000000"/>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投标文件的撤回</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19.1.1 电子投标文件的撤回</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投标文件的修改</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19.2.2</w:t>
      </w:r>
      <w:r>
        <w:rPr>
          <w:rFonts w:hint="eastAsia" w:ascii="方正仿宋_GBK" w:hAnsi="方正仿宋_GBK" w:eastAsia="方正仿宋_GBK" w:cs="方正仿宋_GBK"/>
          <w:bCs/>
          <w:color w:val="000000"/>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color w:val="000000"/>
          <w:sz w:val="28"/>
          <w:szCs w:val="28"/>
          <w:highlight w:val="none"/>
        </w:rPr>
      </w:r>
      <w:r/>
    </w:p>
    <w:p>
      <w:pPr>
        <w:pStyle w:val="947"/>
        <w:ind w:firstLine="560"/>
        <w:spacing w:line="48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w:t>
      </w:r>
      <w:r>
        <w:rPr>
          <w:rFonts w:hint="eastAsia" w:ascii="方正仿宋_GBK" w:hAnsi="方正仿宋_GBK" w:eastAsia="方正仿宋_GBK" w:cs="方正仿宋_GBK"/>
          <w:bCs/>
          <w:color w:val="000000"/>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112" w:name="_Toc16938545"/>
      <w:r/>
      <w:bookmarkStart w:id="113" w:name="_Toc20823301"/>
      <w:r/>
      <w:bookmarkStart w:id="114" w:name="_Toc120614218"/>
      <w:r/>
      <w:bookmarkStart w:id="115" w:name="_Toc513029229"/>
      <w:r>
        <w:rPr>
          <w:rFonts w:hint="eastAsia" w:ascii="方正黑体_GBK" w:hAnsi="方正黑体_GBK" w:eastAsia="方正黑体_GBK" w:cs="方正黑体_GBK"/>
          <w:color w:val="000000"/>
          <w:sz w:val="28"/>
          <w:szCs w:val="28"/>
          <w:highlight w:val="none"/>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16" w:name="_Toc20823302"/>
      <w:r/>
      <w:bookmarkStart w:id="117" w:name="_Toc513029230"/>
      <w:r/>
      <w:bookmarkStart w:id="118" w:name="_Toc16938546"/>
      <w:r>
        <w:rPr>
          <w:rFonts w:hint="eastAsia" w:ascii="方正仿宋_GBK" w:hAnsi="方正仿宋_GBK" w:eastAsia="方正仿宋_GBK" w:cs="方正仿宋_GBK"/>
          <w:color w:val="000000"/>
          <w:sz w:val="28"/>
          <w:szCs w:val="28"/>
          <w:highlight w:val="none"/>
        </w:rPr>
        <w:t xml:space="preserve">20.开标</w:t>
      </w:r>
      <w:bookmarkEnd w:id="116"/>
      <w:r/>
      <w:bookmarkEnd w:id="117"/>
      <w:r/>
      <w:bookmarkEnd w:id="118"/>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19" w:name="_Toc20823303"/>
      <w:r/>
      <w:bookmarkStart w:id="120" w:name="_Toc16938547"/>
      <w:r/>
      <w:bookmarkStart w:id="121" w:name="_Toc513029231"/>
      <w:r>
        <w:rPr>
          <w:rFonts w:hint="eastAsia" w:ascii="方正仿宋_GBK" w:hAnsi="方正仿宋_GBK" w:eastAsia="方正仿宋_GBK" w:cs="方正仿宋_GBK"/>
          <w:color w:val="000000"/>
          <w:sz w:val="28"/>
          <w:szCs w:val="28"/>
          <w:highlight w:val="none"/>
        </w:rPr>
        <w:t xml:space="preserve">21.评标委员会</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开标后，采购中心将立即组织评标委员会进行评标。</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21.3评标委员会独立工作，负责评审所有投标文件并确定中标候选人。</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22.评标过程的保密与公正</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End w:id="119"/>
      <w:r/>
      <w:bookmarkEnd w:id="120"/>
      <w:r/>
      <w:bookmarkEnd w:id="121"/>
      <w:r>
        <w:rPr>
          <w:rFonts w:hint="eastAsia" w:ascii="方正仿宋_GBK" w:hAnsi="方正仿宋_GBK" w:eastAsia="方正仿宋_GBK" w:cs="方正仿宋_GBK"/>
          <w:color w:val="000000"/>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22" w:name="_Toc20823304"/>
      <w:r/>
      <w:bookmarkStart w:id="123" w:name="_Toc513029232"/>
      <w:r/>
      <w:bookmarkStart w:id="124" w:name="_Toc16938548"/>
      <w:r>
        <w:rPr>
          <w:rFonts w:hint="eastAsia" w:ascii="方正仿宋_GBK" w:hAnsi="方正仿宋_GBK" w:eastAsia="方正仿宋_GBK" w:cs="方正仿宋_GBK"/>
          <w:color w:val="000000"/>
          <w:sz w:val="28"/>
          <w:szCs w:val="28"/>
          <w:highlight w:val="none"/>
        </w:rPr>
        <w:t xml:space="preserve">23.投标文件的澄清</w:t>
      </w:r>
      <w:bookmarkEnd w:id="122"/>
      <w:r/>
      <w:bookmarkEnd w:id="123"/>
      <w:r/>
      <w:bookmarkEnd w:id="124"/>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评标委员会并非对每个投标人都做澄清要求。</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25" w:name="_Toc16938549"/>
      <w:r/>
      <w:bookmarkStart w:id="126" w:name="_Toc20823305"/>
      <w:r/>
      <w:bookmarkStart w:id="127" w:name="_Toc513029233"/>
      <w:r>
        <w:rPr>
          <w:rFonts w:hint="eastAsia" w:ascii="方正仿宋_GBK" w:hAnsi="方正仿宋_GBK" w:eastAsia="方正仿宋_GBK" w:cs="方正仿宋_GBK"/>
          <w:color w:val="000000"/>
          <w:sz w:val="28"/>
          <w:szCs w:val="28"/>
          <w:highlight w:val="none"/>
        </w:rPr>
        <w:t xml:space="preserve">24.对投标文件的初审</w:t>
      </w:r>
      <w:bookmarkEnd w:id="125"/>
      <w:r/>
      <w:bookmarkEnd w:id="126"/>
      <w:r/>
      <w:bookmarkEnd w:id="127"/>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24.1投标文件初审分为资格审查和符合性审查。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采购人在进行资格性审查的同时，将在“信用中国”网站（</w:t>
      </w:r>
      <w:r>
        <w:rPr>
          <w:rFonts w:hint="eastAsia" w:eastAsia="方正仿宋_GBK" w:cs="Times New Roman"/>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（2）大写金额和小写金额不一致的，以大写金额为准。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同时出现两种以上错误的，按照前款规定的顺序修正。</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28" w:name="_Toc16938550"/>
      <w:r/>
      <w:bookmarkStart w:id="129" w:name="_Toc20823306"/>
      <w:r/>
      <w:bookmarkStart w:id="130" w:name="_Toc513029234"/>
      <w:r>
        <w:rPr>
          <w:rFonts w:hint="eastAsia" w:ascii="方正仿宋_GBK" w:hAnsi="方正仿宋_GBK" w:eastAsia="方正仿宋_GBK" w:cs="方正仿宋_GBK"/>
          <w:color w:val="000000"/>
          <w:sz w:val="28"/>
          <w:szCs w:val="28"/>
          <w:highlight w:val="none"/>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 异常低价投标审查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24.7.1 评标过程中出现下列情形之一的，评标委员会应当启动异常低价投标审查程序：</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（3）投标报价低于采购项目最高限价65%的，即投标报价&lt;采购项目最高限价×65%；</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w:t>
      </w:r>
      <w:bookmarkEnd w:id="128"/>
      <w:r/>
      <w:bookmarkEnd w:id="129"/>
      <w:r/>
      <w:bookmarkEnd w:id="130"/>
      <w:r>
        <w:rPr>
          <w:rFonts w:hint="eastAsia" w:ascii="方正仿宋_GBK" w:hAnsi="方正仿宋_GBK" w:eastAsia="方正仿宋_GBK" w:cs="方正仿宋_GBK"/>
          <w:color w:val="000000"/>
          <w:sz w:val="28"/>
          <w:szCs w:val="28"/>
          <w:highlight w:val="none"/>
        </w:rPr>
        <w:t xml:space="preserve">.无效投标条款和废标条款</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31" w:name="_Toc513029235"/>
      <w:r/>
      <w:bookmarkStart w:id="132" w:name="_Toc20823307"/>
      <w:r/>
      <w:bookmarkStart w:id="133" w:name="_Toc16938551"/>
      <w:r>
        <w:rPr>
          <w:rFonts w:hint="eastAsia" w:ascii="方正仿宋_GBK" w:hAnsi="方正仿宋_GBK" w:eastAsia="方正仿宋_GBK" w:cs="方正仿宋_GBK"/>
          <w:color w:val="000000"/>
          <w:sz w:val="28"/>
          <w:szCs w:val="28"/>
          <w:highlight w:val="none"/>
        </w:rPr>
        <w:t xml:space="preserve">25.1无效投标条款</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 投标人在苏采云系统规定的时间内未成功解密电子投标文件的。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25.1.2 投标人未按照招标文件要求上传电子投标文件的。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25.1.3 投标人同一采购包提交两个（含两个）以上不同的投标报价的。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25.1.4投标人不具备招标文件中规定资格要求的。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25.1.5投标人的报价超过了采购预算或最高限价的。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25.1.6未通过符合性审查的。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25.1.7不符合招标文件中规定的实质性要求的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bCs/>
          <w:i/>
          <w:color w:val="000000"/>
          <w:sz w:val="28"/>
          <w:szCs w:val="28"/>
          <w:highlight w:val="none"/>
          <w:u w:val="singl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25.1.8 投标人被 “信用中国”网站（</w:t>
      </w:r>
      <w:r>
        <w:rPr>
          <w:rFonts w:hint="eastAsia" w:eastAsia="方正仿宋_GBK" w:cs="Times New Roman"/>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25.1.9 投标文件含有采购人不能接受的附加条件的。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25.1.11 投标文件未按照招标文件要求加盖CA电子公章的。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25.1.12 投标人所提供的服务不符合招标文件中所列国家强制性标准的。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25.1.13其他法律、法规及本招标文件规定的属无效投标的情形。</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25.2废标条款</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25.2.1符合专业条件的供应商或者对招标文件作实质响应的供应商不足三家的。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25.2.2出现影响采购公正的违法、违规行为的。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25.2.3因重大变故，采购任务取消的。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25.2.4评标委员会认定招标文件存在歧义、重大缺陷导致评审工作无法进行。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25.2.5 因苏采云系统故障原因造成开标不成功的。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25.3 投标截止时间结束后参加投标的供应商不足三家的处理：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134" w:name="_Toc120614219"/>
      <w:r>
        <w:rPr>
          <w:rFonts w:hint="eastAsia" w:ascii="方正黑体_GBK" w:hAnsi="方正黑体_GBK" w:eastAsia="方正黑体_GBK" w:cs="方正黑体_GBK"/>
          <w:color w:val="000000"/>
          <w:sz w:val="28"/>
          <w:szCs w:val="28"/>
          <w:highlight w:val="none"/>
        </w:rPr>
        <w:t xml:space="preserve">六、</w:t>
      </w:r>
      <w:bookmarkEnd w:id="131"/>
      <w:r/>
      <w:bookmarkEnd w:id="132"/>
      <w:r/>
      <w:bookmarkEnd w:id="133"/>
      <w:r>
        <w:rPr>
          <w:rFonts w:hint="eastAsia" w:ascii="方正黑体_GBK" w:hAnsi="方正黑体_GBK" w:eastAsia="方正黑体_GBK" w:cs="方正黑体_GBK"/>
          <w:color w:val="000000"/>
          <w:sz w:val="28"/>
          <w:szCs w:val="28"/>
          <w:highlight w:val="none"/>
        </w:rPr>
        <w:t xml:space="preserve">定标</w:t>
      </w:r>
      <w:bookmarkEnd w:id="134"/>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35" w:name="_Toc513029238"/>
      <w:r/>
      <w:bookmarkStart w:id="136" w:name="_Toc16938554"/>
      <w:r/>
      <w:bookmarkStart w:id="137" w:name="_Toc20823310"/>
      <w:r>
        <w:rPr>
          <w:rFonts w:hint="eastAsia" w:ascii="方正仿宋_GBK" w:hAnsi="方正仿宋_GBK" w:eastAsia="方正仿宋_GBK" w:cs="方正仿宋_GBK"/>
          <w:color w:val="000000"/>
          <w:sz w:val="28"/>
          <w:szCs w:val="28"/>
          <w:highlight w:val="none"/>
        </w:rPr>
        <w:t xml:space="preserve">26</w:t>
      </w:r>
      <w:bookmarkEnd w:id="135"/>
      <w:r>
        <w:rPr>
          <w:rFonts w:hint="eastAsia" w:ascii="方正仿宋_GBK" w:hAnsi="方正仿宋_GBK" w:eastAsia="方正仿宋_GBK" w:cs="方正仿宋_GBK"/>
          <w:color w:val="000000"/>
          <w:sz w:val="28"/>
          <w:szCs w:val="28"/>
          <w:highlight w:val="none"/>
        </w:rPr>
        <w:t xml:space="preserve">.确定</w:t>
      </w:r>
      <w:bookmarkEnd w:id="136"/>
      <w:r/>
      <w:bookmarkEnd w:id="137"/>
      <w:r>
        <w:rPr>
          <w:rFonts w:hint="eastAsia" w:ascii="方正仿宋_GBK" w:hAnsi="方正仿宋_GBK" w:eastAsia="方正仿宋_GBK" w:cs="方正仿宋_GBK"/>
          <w:color w:val="000000"/>
          <w:sz w:val="28"/>
          <w:szCs w:val="28"/>
          <w:highlight w:val="none"/>
        </w:rPr>
        <w:t xml:space="preserve">中标单位</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26.1中标候选人的选取原则和数量见招标文件第五章规定。 </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26.2采购人应根据评标委员会推荐的中标候选人确定中标供应商。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26.3 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26.4.1提供虚假材料谋取中标的。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26.4.3属于本文件规定的无效条件，但在评标过程中又未被评标委员会发现的。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26.4.4与采购人或者其他供应商恶意串通的。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26.4.5采取不正当手段诋毁、排挤其他供应商的。</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Start w:id="138" w:name="_Toc200451960"/>
      <w:r>
        <w:rPr>
          <w:rFonts w:hint="eastAsia" w:ascii="方正仿宋_GBK" w:hAnsi="方正仿宋_GBK" w:eastAsia="方正仿宋_GBK" w:cs="方正仿宋_GBK"/>
          <w:color w:val="000000"/>
          <w:sz w:val="28"/>
          <w:szCs w:val="28"/>
          <w:highlight w:val="none"/>
        </w:rPr>
        <w:t xml:space="preserve">26.5有下列情形之一的，视为投标人串通投标，投标无效：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27.质疑处理</w:t>
      </w:r>
      <w:bookmarkEnd w:id="138"/>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27.2.2对采购过程提出质疑的，为各采购程序环节结束之日；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以下情形的质疑不予受理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 超出政府采购法定期限的质疑。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28.中标通知书</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47"/>
        <w:jc w:val="left"/>
        <w:keepNext/>
        <w:spacing w:line="480" w:lineRule="exact"/>
        <w:rPr>
          <w:rFonts w:hint="eastAsia" w:ascii="方正黑体_GBK" w:hAnsi="方正黑体_GBK" w:eastAsia="方正黑体_GBK" w:cs="方正黑体_GBK"/>
          <w:color w:val="000000"/>
          <w:sz w:val="28"/>
          <w:szCs w:val="28"/>
          <w:highlight w:val="none"/>
        </w:rPr>
        <w:outlineLvl w:val="0"/>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28"/>
          <w:szCs w:val="28"/>
          <w:highlight w:val="none"/>
        </w:rPr>
        <w:t xml:space="preserve">七、授予合同</w:t>
      </w:r>
      <w:bookmarkEnd w:id="139"/>
      <w:r>
        <w:rPr>
          <w:rFonts w:hint="eastAsia" w:ascii="方正黑体_GBK" w:hAnsi="方正黑体_GBK" w:eastAsia="方正黑体_GBK" w:cs="方正黑体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color w:val="000000"/>
          <w:sz w:val="28"/>
          <w:szCs w:val="28"/>
          <w:highlight w:val="none"/>
        </w:rPr>
        <w:t xml:space="preserve">29.签订合同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30.服务（包含与服务相关的货物）的追加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bookmarkEnd w:id="143"/>
      <w:r/>
      <w:bookmarkEnd w:id="144"/>
      <w:r/>
      <w:bookmarkEnd w:id="145"/>
      <w:r/>
      <w:bookmarkStart w:id="146" w:name="_Toc479757207"/>
      <w:r/>
      <w:bookmarkStart w:id="147" w:name="_Toc20823314"/>
      <w:r/>
      <w:bookmarkStart w:id="148" w:name="_Toc513029242"/>
      <w:r/>
      <w:bookmarkStart w:id="149" w:name="_Toc120614221"/>
      <w:r/>
      <w:bookmarkStart w:id="150" w:name="_Toc16938558"/>
      <w:r>
        <w:rPr>
          <w:rFonts w:hint="eastAsia" w:ascii="方正仿宋_GBK" w:hAnsi="方正仿宋_GBK" w:eastAsia="方正仿宋_GBK" w:cs="方正仿宋_GBK"/>
          <w:color w:val="000000"/>
          <w:sz w:val="28"/>
          <w:szCs w:val="28"/>
          <w:highlight w:val="none"/>
        </w:rPr>
        <w:t xml:space="preserve">31.政府采购履约资金扶持政策</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right="839"/>
        <w:jc w:val="center"/>
        <w:spacing w:line="40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rPr>
          <w:rFonts w:hint="eastAsia" w:ascii="方正黑体_GBK" w:hAnsi="方正黑体_GBK" w:eastAsia="方正黑体_GBK" w:cs="方正黑体_GBK"/>
          <w:color w:val="000000"/>
          <w:sz w:val="32"/>
          <w:szCs w:val="32"/>
          <w:highlight w:val="none"/>
        </w:rPr>
      </w:r>
      <w:r/>
    </w:p>
    <w:p>
      <w:pPr>
        <w:pStyle w:val="947"/>
        <w:ind w:firstLine="560"/>
        <w:spacing w:line="400" w:lineRule="exact"/>
        <w:rPr>
          <w:rFonts w:hint="eastAsia" w:ascii="方正仿宋_GBK" w:hAnsi="方正仿宋_GBK" w:eastAsia="方正仿宋_GBK" w:cs="方正仿宋_GBK"/>
          <w:bCs/>
          <w:color w:val="000000"/>
          <w:sz w:val="28"/>
          <w:szCs w:val="28"/>
          <w:highlight w:val="none"/>
        </w:rPr>
      </w:pPr>
      <w:r/>
      <w:bookmarkStart w:id="151" w:name="_Toc16938559"/>
      <w:r/>
      <w:bookmarkStart w:id="152" w:name="_Toc513029243"/>
      <w:r/>
      <w:bookmarkStart w:id="153" w:name="_Toc20823315"/>
      <w:r>
        <w:rPr>
          <w:rFonts w:hint="eastAsia" w:ascii="方正仿宋_GBK" w:hAnsi="方正仿宋_GBK" w:eastAsia="方正仿宋_GBK" w:cs="方正仿宋_GBK"/>
          <w:bCs/>
          <w:color w:val="000000"/>
          <w:sz w:val="28"/>
          <w:szCs w:val="28"/>
          <w:highlight w:val="none"/>
        </w:rPr>
      </w:r>
      <w:r/>
    </w:p>
    <w:p>
      <w:pPr>
        <w:pStyle w:val="978"/>
        <w:jc w:val="center"/>
        <w:spacing w:line="40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r>
      <w:r/>
    </w:p>
    <w:p>
      <w:pPr>
        <w:pStyle w:val="978"/>
        <w:jc w:val="center"/>
        <w:spacing w:line="460" w:lineRule="exact"/>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江苏省政府采购合同（服务）（合同编号）</w:t>
      </w:r>
      <w:r>
        <w:rPr>
          <w:rFonts w:hint="eastAsia" w:ascii="方正黑体_GBK" w:hAnsi="方正黑体_GBK" w:eastAsia="方正黑体_GBK" w:cs="方正黑体_GBK"/>
          <w:color w:val="000000"/>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s="Times New Roman"/>
          <w:color w:val="000000"/>
          <w:sz w:val="28"/>
          <w:szCs w:val="28"/>
          <w:highlight w:val="none"/>
        </w:rPr>
        <w:t xml:space="preserve">江苏卫生健康云统一服务中心（中医药智慧服务管理系统功能扩展升级）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s="Times New Roman"/>
          <w:color w:val="000000"/>
          <w:sz w:val="28"/>
          <w:szCs w:val="28"/>
          <w:highlight w:val="none"/>
        </w:rPr>
        <w:t xml:space="preserve">JSZC-320000-SCZX-G2026-0313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甲方：（买方/采购人）</w:t>
      </w:r>
      <w:r>
        <w:rPr>
          <w:rFonts w:hint="eastAsia" w:ascii="方正仿宋_GBK" w:hAnsi="方正仿宋_GBK" w:eastAsia="方正仿宋_GBK" w:cs="方正仿宋_GBK"/>
          <w:color w:val="000000"/>
          <w:sz w:val="28"/>
          <w:szCs w:val="28"/>
          <w:highlight w:val="none"/>
          <w:u w:val="single"/>
        </w:rPr>
        <w:t xml:space="preserve">江苏省卫生健康信息中心（江苏省中医药信息中心）</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乙方：（卖方/中标供应商）_________</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甲、乙双方根据江苏省政府采购中心</w:t>
      </w:r>
      <w:r>
        <w:rPr>
          <w:rFonts w:hint="eastAsia" w:ascii="方正仿宋_GBK" w:hAnsi="方正仿宋_GBK" w:eastAsia="方正仿宋_GBK" w:cs="方正仿宋_GBK"/>
          <w:color w:val="000000"/>
          <w:sz w:val="28"/>
          <w:szCs w:val="28"/>
          <w:highlight w:val="none"/>
          <w:u w:val="single"/>
        </w:rPr>
        <w:t xml:space="preserve">江苏卫生健康云统一服务中心（中医药智慧服务管理系统功能扩展升级）</w:t>
      </w:r>
      <w:r>
        <w:rPr>
          <w:rFonts w:hint="eastAsia" w:ascii="方正仿宋_GBK" w:hAnsi="方正仿宋_GBK" w:eastAsia="方正仿宋_GBK" w:cs="方正仿宋_GBK"/>
          <w:color w:val="000000"/>
          <w:sz w:val="28"/>
          <w:szCs w:val="28"/>
          <w:highlight w:val="none"/>
        </w:rPr>
        <w:t xml:space="preserve">项目公开招标的结果，签署本合同。</w:t>
      </w:r>
      <w:r>
        <w:rPr>
          <w:rFonts w:hint="eastAsia" w:ascii="方正仿宋_GBK" w:hAnsi="方正仿宋_GBK" w:eastAsia="方正仿宋_GBK" w:cs="方正仿宋_GBK"/>
          <w:b/>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一、合同内容</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标的名称：江苏卫生健康云统一服务中心（中医药智慧服务管理系统功能扩展升级）</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1.2标的质量：按招标文件和投标文件中的各项技术指标和技术参数要求。</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标的数量（规模）：一套</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履行时间（期限）：合同签订后6个月完成系统开发上线，终验合格后提供1年免费质保与运维服务。</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履行地点：江苏省卫生健康委员会</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 履行方式：乙方负责系统的开发、部署实施、调试、培训及验收交付，并按合同约定提供后续的质保与运维服务，全过程接受甲方及甲方委托监理单位、第三方评测机构监督检查。</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二、合同金额</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本合同金额为（大写）：人民币________圆（________元）</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三、技术资料</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四、知识产权</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4.2本项目所产生的知识产权归甲方所有。乙方就本项目开发的软件，应向甲方提供全部源代码、安装程序和文档。甲方有权委托第三方使用本系统资料（含源代码、安装程序、项目文档等）进行二次开发。</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4.3乙方应保证在项目建设过程中的任何时候，只要甲方提出提交本项目的各种项目文档、安装程序，乙方都要在5个工作日之内提交。</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4.4乙方不享有本项目开发成果的知识产权、使用权，不得以任何方式向第三方披露、转让本项目的技术成果、关键技术、数据信息、文档资料等。</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4.5乙方应协助甲方申请软件著作权或专利。</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五、产权担保</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乙方保证所交付的服务（包含与服务相关的货物）的所有权完全属于乙方且无任何抵押、查封等产权瑕疵，否则，甲方有权单方解除本合同。</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六、履约保证金</w:t>
      </w:r>
      <w:r>
        <w:rPr>
          <w:rFonts w:hint="eastAsia" w:ascii="方正黑体_GBK" w:hAnsi="方正黑体_GBK" w:eastAsia="方正黑体_GBK" w:cs="方正黑体_GBK"/>
          <w:bCs/>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乙方交纳人民币_________元（或保函（保险）等非现金形式）作为本合同的履约保证金。（不得超过合同金额的10%）</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6.2合同履行结束后，甲方应及时退还交纳的履约保证金。</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6.2.1履约保证金退还方式：根据缴纳方式原路退回。</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6.2.2履约保证金退还时间：项目验收合格后10个工作日内。</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6.2.3履约保证金退还条件：项目验收合格。</w:t>
      </w:r>
      <w:r>
        <w:rPr>
          <w:rFonts w:hint="eastAsia" w:ascii="方正仿宋_GBK" w:hAnsi="方正仿宋_GBK" w:eastAsia="方正仿宋_GBK" w:cs="方正仿宋_GBK"/>
          <w:color w:val="000000"/>
          <w:sz w:val="28"/>
          <w:szCs w:val="28"/>
          <w:highlight w:val="none"/>
        </w:rPr>
      </w:r>
      <w:r/>
    </w:p>
    <w:p>
      <w:pPr>
        <w:pStyle w:val="947"/>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6.2.4履约保证金不予退还的情形：乙方存在本合同约定的违约情形。</w:t>
      </w:r>
      <w:r>
        <w:rPr>
          <w:rFonts w:hint="eastAsia" w:ascii="方正仿宋_GBK" w:hAnsi="方正仿宋_GBK" w:eastAsia="方正仿宋_GBK" w:cs="方正仿宋_GBK"/>
          <w:bCs/>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七、合同转包或分包</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7.1乙方不得将合同标的转包给他人履行。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7.2乙方如有转包或未经甲方同意的分包行为，甲方有权解除合同，并要求乙方承担违约责任。</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八、合同款项支付</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8.1合同款项的支付方式及进度安排</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8.1.1 预付款支付时间：合同签订后办理支付手续，甲方在收到发票后10个工作日内向乙方支付，预付款支付比例：</w:t>
      </w:r>
      <w:r>
        <w:rPr>
          <w:rFonts w:hint="eastAsia" w:ascii="方正仿宋_GBK" w:hAnsi="方正仿宋_GBK" w:eastAsia="方正仿宋_GBK" w:cs="方正仿宋_GBK"/>
          <w:color w:val="000000"/>
          <w:sz w:val="28"/>
          <w:szCs w:val="28"/>
          <w:highlight w:val="none"/>
          <w:u w:val="single"/>
        </w:rPr>
        <w:t xml:space="preserve">合同金额的40%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8.1.2 终验款支付时间：产品终验合格后办理支付手续，甲方在收到发票后10个工作日内向乙方支付，终验款支付比例：</w:t>
      </w:r>
      <w:r>
        <w:rPr>
          <w:rFonts w:hint="eastAsia" w:ascii="方正仿宋_GBK" w:hAnsi="方正仿宋_GBK" w:eastAsia="方正仿宋_GBK" w:cs="方正仿宋_GBK"/>
          <w:color w:val="000000"/>
          <w:sz w:val="28"/>
          <w:szCs w:val="28"/>
          <w:highlight w:val="none"/>
          <w:u w:val="single"/>
        </w:rPr>
        <w:t xml:space="preserve">合同金额的60%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8.1.4甲方在支付各期款项前，乙方应先行向甲方开具等额合格有效的增值税发票，否则，甲方有权迟延支付相应款项且不承担违约责任，乙方仍应继续履行本合同约定的全部义务。</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九、税费</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9.1本合同执行中相关的一切税费均由乙方负担。</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十、项目验收</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甲方依法组织履约验收工作。</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十一、售后服务与承诺</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质保期从验收合格之日起算，乙方提供1年免费质保与运维服务。</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11.2 乙方须保证系统运行的日常监控，及时发现和排除故障，保证一线技术支持人员7×24小时的售后服务。</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11.3 在免费质保期内，乙方须及时响应甲方，当故障发生后2小时内实现在线响应及远程故障排除；如无法排除故障，乙方须24小时内赶到甲方指定的现场并及时调查故障原因并修复，直至满足最终验收指标和性能的要求。</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11.4 在免费质保期内，乙方免费向甲方提供必要软件升级服务，相关知识库更新周期至少半年一次。</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11.5 在免费质保期结束前，乙方须进行一次全面检查，任何缺陷必须由乙方负责调试完善，在完善之后，乙方应将缺陷原因、完善内容、完成及恢复正常的时间和日期等报告给甲方。</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11.6质保期内乙方未按约定履行质保或运维义务的，甲方有权自行或委托第三方代为履行，产生的全部费用由乙方承担，甲方有权直接从尚未支付的合同款项中扣除相应费用，不足部分有权向乙方追偿。</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十二、违约责任</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甲方无正当理由拒绝接受乙方提供服务的，甲方向乙方支付拒绝接受服务合同价款总值千分之一的违约金，违约金总额累计不超过合同总金额的5%（百分之五）。</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甲方无故逾期验收和办理合同款项支付手续的，每逾期一日，甲方应按逾期付款总额的万分之一向乙方支付违约金，违约金总额累计不超过合同总金额的5%（百分之五）。</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12.4 乙方所提供服务的标准不符合合同规定及招标文件规定标准的，甲方有权拒绝接受服务，并可单方面解除合同。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12.5 乙方未按本合同及投标文件的规定提供售后服务与承诺的，甲方有权拒绝支付剩余款项，并要求乙方支付合同总金额  %的违约金，因此造成甲方损失的，乙方应承担赔偿责任。</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12.6 因乙方违约导致甲方解除合同的，乙方应当退还已收所有款项，并向甲方支付合同总金额  %的违约金，违约金不足以补偿甲方损失的，乙方应继续承担赔偿责任。</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12.7 若甲方因乙方违约遭受的损失超出本合同约定的违约金，甲方有权要求将违约金上调至与其所受损失金额相等。甲方所受损失包括但不限于因乙方违约导致甲方重新更换供应商多支出的费用、甲方对第三方支付的赔偿费用/违约金/替代履行的费用、甲方对乙方违约采取补救措施支出的费用、甲方承担的诉讼费用及支出的律师费以及因此而支付的其他合理费用。</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十三、保密条款</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乙方必须严格遵守甲方的相关保密制度，做好资料及数据的保密和保护工作，确保各种数据档案文件，不得丢失、泄密、损坏。</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乙方工作人员不得在查询和资料整理工作场所使用与工作无关的任何电器设备，不得以任何形式将各种资料和数据带出指定工作现场，不得以任何形式进行泄漏、传播或将有关资料数据用于本合同目的之外；不得查看及讨论资料内容。</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违反上述义务的，乙方须向甲方支付合同总金额10%（百分之十）标准的违约金并承担相关法律责任。违约金不足以弥补对方损失的，应当另行赔偿。</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13.4 所有乙方项目参与人员须与甲方签署保密协议。</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13.5 不论本合同因何种原因变更、解除或终止均不影响本保密条款的效力。</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十四、网络安全条款</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乙方的项目管理技术团队要相对独立，团队人员为正式员工，并有专门网络安全负责人。</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系统产生的数据、系统运行数据等数据资产归甲方所有，乙方在收集、使用、存储、处理相关数据时严格遵守相关法律法规及甲方各项规章制度，按照《数据安全法》、《个人信息保护法》等法律法规及相关政策规定的要求，加强个人信息保护。</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14.3 乙方应建立健全网络和数据安全保护机制，加强网络安全漏洞筛查和隐患排查，发现的网络安全漏洞和其他风险隐患，应及时向甲方报告，未经甲方同意，不得公开或向第三方提供。</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14.4 乙方发生业务转型、合并重组、投资并购等重大事项，或者管理技术团队人员发生重大变化，应提前30个工作日向甲方告知，甲方有权选择继续履行或提前终止本合同。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14.5 乙方建设运维的系统，如注册用户超过100万人或涉及人民群众出行、教育、求职、医疗、缴费等重要业务，每年须向甲方提交网络安全报告，报告至少包括网络安全管理、数据安全管理、系统安全检查报告、管理技术团队变化等情况。</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14.6 乙方应积极配合甲方完成网信、公安、审计、保密、密码管理等部门开展网络安全监察、测评、审计等监督管理工作，如实、完整提供外包网络安全管理相关情况，不得拒绝、隐匿、瞒报。</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14.7 乙方如违反网络安全、保密相关条款或甲方的其他网络安全规定，甲方有权根据本单位制定的《信息安全违规处罚办法》作出相应处理。</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十五、不可抗力事件处理</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 在合同有效期内，任何一方因不可抗力事件导致不能履行合同，则合同履行期可延长，其延长期与不可抗力影响期相同。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不可抗力事件发生后，应立即通知对方，并寄送有关权威机构出具的证明。</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不可抗力事件延续120天以上，双方应通过友好协商，确定是否继续履行合同。</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十六、解决争议的方法</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16.1双方在签订、履行合同中所发生的一切争议，应通过友好协商解决。如协商不成，可向甲方实际所在地法院起诉。诉讼期间，除争议事项外，本合同应继续履行。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rPr>
          <w:rFonts w:hint="eastAsia" w:ascii="方正仿宋_GBK" w:hAnsi="方正仿宋_GBK" w:eastAsia="方正仿宋_GBK" w:cs="方正仿宋_GBK"/>
          <w:color w:val="000000"/>
          <w:sz w:val="28"/>
          <w:szCs w:val="28"/>
          <w:highlight w:val="none"/>
        </w:rPr>
      </w:r>
      <w:r/>
    </w:p>
    <w:p>
      <w:pPr>
        <w:pStyle w:val="985"/>
        <w:spacing w:line="46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十七、合同生效及其它</w:t>
      </w:r>
      <w:r>
        <w:rPr>
          <w:rFonts w:hint="eastAsia" w:ascii="方正黑体_GBK" w:hAnsi="方正黑体_GBK" w:eastAsia="方正黑体_GBK" w:cs="方正黑体_GBK"/>
          <w:bCs/>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合同经双方法定代表人或授权委托代表人签字并加盖单位公章（或合同专用章）后生效。</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本合同自签订之日起生效，有效期至服务期限届满且双方全部权利义务履行完毕之日止。</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17.3 本合同未尽事宜，遵照中华人民共和国现行法律法规有关条文执行。</w:t>
      </w:r>
      <w:r>
        <w:rPr>
          <w:rFonts w:hint="eastAsia" w:ascii="方正仿宋_GBK" w:hAnsi="方正仿宋_GBK" w:eastAsia="方正仿宋_GBK" w:cs="方正仿宋_GBK"/>
          <w:color w:val="000000"/>
          <w:sz w:val="28"/>
          <w:szCs w:val="28"/>
          <w:highlight w:val="none"/>
        </w:rPr>
      </w:r>
      <w:r/>
    </w:p>
    <w:p>
      <w:pPr>
        <w:pStyle w:val="985"/>
        <w:ind w:firstLine="560"/>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17.4 本合同正本一式贰份，具有同等法律效力，甲方、乙方各执壹份。</w:t>
      </w:r>
      <w:r>
        <w:rPr>
          <w:rFonts w:hint="eastAsia" w:ascii="方正仿宋_GBK" w:hAnsi="方正仿宋_GBK" w:eastAsia="方正仿宋_GBK" w:cs="方正仿宋_GBK"/>
          <w:color w:val="000000"/>
          <w:sz w:val="28"/>
          <w:szCs w:val="28"/>
          <w:highlight w:val="none"/>
        </w:rPr>
      </w:r>
      <w:r/>
    </w:p>
    <w:p>
      <w:pPr>
        <w:pStyle w:val="985"/>
        <w:spacing w:before="120" w:after="120" w:line="46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85"/>
        <w:ind w:firstLine="560"/>
        <w:spacing w:before="120" w:after="120"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                        乙方： </w:t>
      </w:r>
      <w:r>
        <w:rPr>
          <w:rFonts w:hint="eastAsia" w:ascii="方正仿宋_GBK" w:hAnsi="方正仿宋_GBK" w:eastAsia="方正仿宋_GBK" w:cs="方正仿宋_GBK"/>
          <w:color w:val="000000"/>
          <w:sz w:val="28"/>
          <w:szCs w:val="28"/>
          <w:highlight w:val="none"/>
        </w:rPr>
      </w:r>
      <w:r/>
    </w:p>
    <w:p>
      <w:pPr>
        <w:pStyle w:val="985"/>
        <w:ind w:firstLine="560"/>
        <w:spacing w:before="120" w:after="120"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地址： </w:t>
      </w:r>
      <w:r>
        <w:rPr>
          <w:rFonts w:hint="eastAsia" w:ascii="方正仿宋_GBK" w:hAnsi="方正仿宋_GBK" w:eastAsia="方正仿宋_GBK" w:cs="方正仿宋_GBK"/>
          <w:color w:val="000000"/>
          <w:sz w:val="28"/>
          <w:szCs w:val="28"/>
          <w:highlight w:val="none"/>
        </w:rPr>
      </w:r>
      <w:r/>
    </w:p>
    <w:p>
      <w:pPr>
        <w:pStyle w:val="985"/>
        <w:ind w:firstLine="560"/>
        <w:spacing w:before="120" w:after="120"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法定代表人或授权代表：        法定代表人或授权代表：</w:t>
      </w:r>
      <w:r>
        <w:rPr>
          <w:rFonts w:hint="eastAsia" w:ascii="方正仿宋_GBK" w:hAnsi="方正仿宋_GBK" w:eastAsia="方正仿宋_GBK" w:cs="方正仿宋_GBK"/>
          <w:color w:val="000000"/>
          <w:sz w:val="28"/>
          <w:szCs w:val="28"/>
          <w:highlight w:val="none"/>
        </w:rPr>
      </w:r>
      <w:r/>
    </w:p>
    <w:p>
      <w:pPr>
        <w:pStyle w:val="985"/>
        <w:ind w:firstLine="560"/>
        <w:spacing w:before="120" w:after="120" w:line="46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                    联系电话：    </w:t>
      </w:r>
      <w:r>
        <w:rPr>
          <w:rFonts w:hint="eastAsia" w:hAnsi="宋体"/>
          <w:color w:val="000000"/>
          <w:sz w:val="28"/>
          <w:szCs w:val="28"/>
          <w:highlight w:val="none"/>
        </w:rPr>
        <w:t xml:space="preserve">      </w:t>
      </w:r>
      <w:r>
        <w:rPr>
          <w:rFonts w:hint="eastAsia"/>
          <w:color w:val="000000"/>
          <w:sz w:val="28"/>
          <w:szCs w:val="28"/>
          <w:highlight w:val="none"/>
        </w:rPr>
        <w:t xml:space="preserve">                                      </w:t>
      </w:r>
      <w:r>
        <w:rPr>
          <w:color w:val="000000"/>
          <w:sz w:val="28"/>
          <w:szCs w:val="28"/>
          <w:highlight w:val="none"/>
        </w:rPr>
      </w:r>
      <w:r/>
    </w:p>
    <w:p>
      <w:pPr>
        <w:pStyle w:val="985"/>
        <w:jc w:val="right"/>
        <w:spacing w:before="120" w:after="120" w:line="460" w:lineRule="exact"/>
        <w:rPr>
          <w:color w:val="000000"/>
          <w:sz w:val="28"/>
          <w:szCs w:val="28"/>
          <w:highlight w:val="none"/>
        </w:rPr>
      </w:pPr>
      <w:r>
        <w:rPr>
          <w:rFonts w:hint="eastAsia"/>
          <w:color w:val="000000"/>
          <w:sz w:val="28"/>
          <w:szCs w:val="28"/>
          <w:highlight w:val="none"/>
        </w:rPr>
        <w:t xml:space="preserve"> </w:t>
      </w:r>
      <w:r>
        <w:rPr>
          <w:color w:val="000000"/>
          <w:sz w:val="28"/>
          <w:szCs w:val="28"/>
          <w:highlight w:val="none"/>
        </w:rPr>
      </w:r>
      <w:r/>
    </w:p>
    <w:p>
      <w:pPr>
        <w:pStyle w:val="985"/>
        <w:jc w:val="center"/>
        <w:spacing w:before="120" w:after="120" w:line="46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签订日期：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79757211"/>
      <w:r/>
      <w:bookmarkStart w:id="160" w:name="_Toc462564139"/>
      <w:r>
        <w:rPr>
          <w:rFonts w:ascii="黑体" w:eastAsia="黑体"/>
          <w:bCs/>
          <w:color w:val="000000"/>
          <w:sz w:val="28"/>
          <w:szCs w:val="28"/>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5"/>
      <w:r>
        <w:rPr>
          <w:rFonts w:hint="eastAsia" w:ascii="方正黑体_GBK" w:hAnsi="方正黑体_GBK" w:eastAsia="方正黑体_GBK" w:cs="方正黑体_GBK"/>
          <w:color w:val="000000"/>
          <w:sz w:val="32"/>
          <w:szCs w:val="32"/>
          <w:highlight w:val="none"/>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highlight w:val="none"/>
        </w:rPr>
      </w:r>
      <w:r/>
    </w:p>
    <w:p>
      <w:pPr>
        <w:pStyle w:val="985"/>
        <w:spacing w:before="120" w:after="120" w:line="440" w:lineRule="exact"/>
        <w:rPr>
          <w:rFonts w:hint="eastAsia" w:ascii="方正黑体_GBK" w:hAnsi="方正黑体_GBK" w:eastAsia="方正黑体_GBK" w:cs="方正黑体_GBK"/>
          <w:bCs/>
          <w:color w:val="000000"/>
          <w:sz w:val="28"/>
          <w:szCs w:val="28"/>
          <w:highlight w:val="none"/>
        </w:rPr>
      </w:pPr>
      <w:r/>
      <w:bookmarkStart w:id="161" w:name="_Toc26554093"/>
      <w:r/>
      <w:bookmarkStart w:id="162" w:name="_Toc49090575"/>
      <w:r>
        <w:rPr>
          <w:rFonts w:hint="eastAsia" w:ascii="方正黑体_GBK" w:hAnsi="方正黑体_GBK" w:eastAsia="方正黑体_GBK" w:cs="方正黑体_GBK"/>
          <w:bCs/>
          <w:color w:val="000000"/>
          <w:sz w:val="28"/>
          <w:szCs w:val="28"/>
          <w:highlight w:val="none"/>
        </w:rPr>
        <w:t xml:space="preserve">一、采购标的清单</w:t>
      </w:r>
      <w:r>
        <w:rPr>
          <w:rFonts w:hint="eastAsia" w:ascii="方正黑体_GBK" w:hAnsi="方正黑体_GBK" w:eastAsia="方正黑体_GBK" w:cs="方正黑体_GBK"/>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930"/>
        <w:gridCol w:w="3785"/>
        <w:gridCol w:w="3061"/>
      </w:tblGrid>
      <w:tr>
        <w:trPr>
          <w:cantSplit/>
          <w:trHeight w:val="701"/>
        </w:trPr>
        <w:tc>
          <w:tcPr>
            <w:tcW w:w="1416"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930"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序号</w:t>
            </w:r>
            <w:r>
              <w:rPr>
                <w:rFonts w:ascii="方正仿宋_GBK" w:hAnsi="方正仿宋_GBK" w:eastAsia="方正仿宋_GBK" w:cs="方正仿宋_GBK"/>
                <w:color w:val="000000"/>
                <w:sz w:val="28"/>
                <w:szCs w:val="28"/>
                <w:highlight w:val="none"/>
              </w:rPr>
            </w:r>
            <w:r/>
          </w:p>
        </w:tc>
        <w:tc>
          <w:tcPr>
            <w:tcW w:w="3785"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采购标的</w:t>
            </w:r>
            <w:r>
              <w:rPr>
                <w:rFonts w:ascii="方正仿宋_GBK" w:hAnsi="方正仿宋_GBK" w:eastAsia="方正仿宋_GBK" w:cs="方正仿宋_GBK"/>
                <w:color w:val="000000"/>
                <w:sz w:val="28"/>
                <w:szCs w:val="28"/>
                <w:highlight w:val="none"/>
              </w:rPr>
            </w:r>
            <w:r/>
          </w:p>
        </w:tc>
        <w:tc>
          <w:tcPr>
            <w:tcW w:w="3061"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对应中小企业划分标准所属行业</w:t>
            </w:r>
            <w:r>
              <w:rPr>
                <w:rFonts w:ascii="方正仿宋_GBK" w:hAnsi="方正仿宋_GBK" w:eastAsia="方正仿宋_GBK" w:cs="方正仿宋_GBK"/>
                <w:color w:val="000000"/>
                <w:sz w:val="28"/>
                <w:szCs w:val="28"/>
                <w:highlight w:val="none"/>
              </w:rPr>
            </w:r>
            <w:r/>
          </w:p>
        </w:tc>
      </w:tr>
      <w:tr>
        <w:trPr>
          <w:cantSplit/>
          <w:trHeight w:val="291"/>
        </w:trPr>
        <w:tc>
          <w:tcPr>
            <w:tcW w:w="1416"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930" w:type="dxa"/>
            <w:vAlign w:val="center"/>
            <w:textDirection w:val="lrTb"/>
            <w:noWrap w:val="false"/>
          </w:tcPr>
          <w:p>
            <w:pPr>
              <w:pStyle w:val="947"/>
              <w:jc w:val="center"/>
              <w:spacing w:line="44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3785" w:type="dxa"/>
            <w:vAlign w:val="center"/>
            <w:textDirection w:val="lrTb"/>
            <w:noWrap w:val="false"/>
          </w:tcPr>
          <w:p>
            <w:pPr>
              <w:pStyle w:val="947"/>
              <w:jc w:val="center"/>
              <w:spacing w:line="440" w:lineRule="exact"/>
              <w:tabs>
                <w:tab w:val="left" w:pos="2020" w:leader="none"/>
              </w:tabs>
              <w:rPr>
                <w:rFonts w:ascii="方正仿宋_GBK" w:hAnsi="方正仿宋_GBK" w:eastAsia="方正仿宋_GBK" w:cs="方正仿宋_GBK"/>
                <w:color w:val="000000"/>
                <w:sz w:val="28"/>
                <w:szCs w:val="28"/>
                <w:highlight w:val="none"/>
              </w:rPr>
            </w:pPr>
            <w:r>
              <w:rPr>
                <w:rFonts w:eastAsia="方正仿宋_GBK" w:cs="Times New Roman"/>
                <w:color w:val="000000"/>
                <w:sz w:val="28"/>
                <w:szCs w:val="28"/>
                <w:highlight w:val="none"/>
              </w:rPr>
              <w:t xml:space="preserve">江苏卫生健康云统一服务中心（中医药智慧服务管理系统功能扩展升级）</w:t>
            </w:r>
            <w:r>
              <w:rPr>
                <w:rFonts w:ascii="方正仿宋_GBK" w:hAnsi="方正仿宋_GBK" w:eastAsia="方正仿宋_GBK" w:cs="方正仿宋_GBK"/>
                <w:color w:val="000000"/>
                <w:sz w:val="28"/>
                <w:szCs w:val="28"/>
                <w:highlight w:val="none"/>
              </w:rPr>
            </w:r>
            <w:r/>
          </w:p>
        </w:tc>
        <w:tc>
          <w:tcPr>
            <w:tcW w:w="3061" w:type="dxa"/>
            <w:vAlign w:val="center"/>
            <w:textDirection w:val="lrTb"/>
            <w:noWrap w:val="false"/>
          </w:tcPr>
          <w:p>
            <w:pPr>
              <w:pStyle w:val="947"/>
              <w:jc w:val="center"/>
              <w:spacing w:line="440" w:lineRule="exact"/>
              <w:tabs>
                <w:tab w:val="left" w:pos="2020" w:leader="none"/>
              </w:tabs>
              <w:rPr>
                <w:rFonts w:eastAsia="方正仿宋_GBK" w:cs="Times New Roman"/>
                <w:color w:val="000000"/>
                <w:sz w:val="28"/>
                <w:szCs w:val="28"/>
                <w:highlight w:val="none"/>
              </w:rPr>
            </w:pPr>
            <w:r>
              <w:rPr>
                <w:rFonts w:eastAsia="方正仿宋_GBK" w:cs="Times New Roman"/>
                <w:color w:val="000000"/>
                <w:sz w:val="28"/>
                <w:szCs w:val="28"/>
                <w:highlight w:val="none"/>
              </w:rPr>
              <w:t xml:space="preserve">软件和信息技术服务业</w:t>
            </w:r>
            <w:r>
              <w:rPr>
                <w:rFonts w:eastAsia="方正仿宋_GBK" w:cs="Times New Roman"/>
                <w:color w:val="000000"/>
                <w:sz w:val="28"/>
                <w:szCs w:val="28"/>
                <w:highlight w:val="none"/>
              </w:rPr>
            </w:r>
            <w:r/>
          </w:p>
        </w:tc>
      </w:tr>
    </w:tbl>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85"/>
        <w:spacing w:before="120" w:after="120"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二、政府采购中实施本国产品标准及相关政策</w:t>
      </w:r>
      <w:r>
        <w:rPr>
          <w:rFonts w:hint="eastAsia" w:ascii="方正黑体_GBK" w:hAnsi="方正黑体_GBK" w:eastAsia="方正黑体_GBK" w:cs="方正黑体_GBK"/>
          <w:bCs/>
          <w:color w:val="000000"/>
          <w:sz w:val="28"/>
          <w:szCs w:val="28"/>
          <w:highlight w:val="none"/>
        </w:rPr>
      </w:r>
      <w:r/>
    </w:p>
    <w:p>
      <w:pPr>
        <w:pStyle w:val="947"/>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color w:val="000000"/>
          <w:sz w:val="28"/>
          <w:szCs w:val="28"/>
          <w:highlight w:val="none"/>
        </w:rPr>
      </w:r>
      <w:r/>
    </w:p>
    <w:p>
      <w:pPr>
        <w:pStyle w:val="947"/>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color w:val="000000"/>
          <w:sz w:val="28"/>
          <w:szCs w:val="28"/>
          <w:highlight w:val="none"/>
        </w:rPr>
      </w:r>
      <w:r/>
    </w:p>
    <w:p>
      <w:pPr>
        <w:pStyle w:val="947"/>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color w:val="000000"/>
          <w:sz w:val="28"/>
          <w:szCs w:val="28"/>
          <w:highlight w:val="none"/>
        </w:rPr>
      </w:r>
      <w:r/>
    </w:p>
    <w:p>
      <w:pPr>
        <w:pStyle w:val="947"/>
        <w:ind w:firstLine="562"/>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本项目无需提供《关于符合本国产品标准的声明函》。</w:t>
      </w:r>
      <w:r>
        <w:rPr>
          <w:rFonts w:hint="eastAsia" w:ascii="方正仿宋_GBK" w:hAnsi="方正仿宋_GBK" w:eastAsia="方正仿宋_GBK" w:cs="方正仿宋_GBK"/>
          <w:color w:val="000000"/>
          <w:sz w:val="28"/>
          <w:szCs w:val="28"/>
          <w:highlight w:val="none"/>
        </w:rPr>
      </w:r>
      <w:r/>
    </w:p>
    <w:p>
      <w:pPr>
        <w:pStyle w:val="985"/>
        <w:spacing w:before="120" w:after="120"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三、技术要求</w:t>
      </w:r>
      <w:r>
        <w:rPr>
          <w:rFonts w:hint="eastAsia" w:ascii="方正黑体_GBK" w:hAnsi="方正黑体_GBK" w:eastAsia="方正黑体_GBK" w:cs="方正黑体_GBK"/>
          <w:bCs/>
          <w:color w:val="000000"/>
          <w:sz w:val="28"/>
          <w:szCs w:val="28"/>
          <w:highlight w:val="none"/>
        </w:rPr>
      </w:r>
      <w:r/>
    </w:p>
    <w:p>
      <w:pPr>
        <w:pStyle w:val="947"/>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黑体_GBK" w:hAnsi="方正黑体_GBK" w:eastAsia="方正黑体_GBK" w:cs="方正黑体_GBK"/>
          <w:bCs/>
          <w:color w:val="000000"/>
          <w:sz w:val="28"/>
          <w:szCs w:val="28"/>
          <w:highlight w:val="none"/>
        </w:rPr>
        <w:t xml:space="preserve">（一）项目背景</w:t>
      </w:r>
      <w:r>
        <w:rPr>
          <w:rFonts w:hint="eastAsia" w:ascii="方正黑体_GBK" w:hAnsi="方正黑体_GBK" w:eastAsia="方正黑体_GBK" w:cs="方正黑体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充分盘活现有平台数据资源、整合各类业务应用、补齐功能短板、丰富分析维度、统一全省中医药数字化管理标准、筑牢安全底座，本次项目依托成熟的现有建设基础，开展多模块功能扩展、业务优化与国产化适配升级，持续完善人才考核、评审验收、质控管理、绩效监管等核心业务能力，为全省中医药治理能力现代化与行业高质量发展提供强有力的数字化、智能化、安全化支撑。</w:t>
      </w:r>
      <w:r>
        <w:rPr>
          <w:rFonts w:hint="eastAsia" w:ascii="方正仿宋_GBK" w:hAnsi="方正仿宋_GBK" w:eastAsia="方正仿宋_GBK" w:cs="方正仿宋_GBK"/>
          <w:color w:val="000000"/>
          <w:sz w:val="28"/>
          <w:szCs w:val="28"/>
          <w:highlight w:val="none"/>
        </w:rPr>
      </w:r>
      <w:r/>
    </w:p>
    <w:p>
      <w:pPr>
        <w:pStyle w:val="947"/>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黑体_GBK" w:hAnsi="方正黑体_GBK" w:eastAsia="方正黑体_GBK" w:cs="方正黑体_GBK"/>
          <w:bCs/>
          <w:color w:val="000000"/>
          <w:sz w:val="28"/>
          <w:szCs w:val="28"/>
          <w:highlight w:val="none"/>
        </w:rPr>
        <w:t xml:space="preserve">（二）建设目标</w:t>
      </w:r>
      <w:r>
        <w:rPr>
          <w:rFonts w:hint="eastAsia" w:ascii="方正黑体_GBK" w:hAnsi="方正黑体_GBK" w:eastAsia="方正黑体_GBK" w:cs="方正黑体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以数字化、标准化、智能化为核心，构建覆盖中医药人才考核、医院与专科评审、专业质控</w:t>
      </w:r>
      <w:r>
        <w:rPr>
          <w:rFonts w:hint="eastAsia" w:ascii="方正仿宋_GBK" w:hAnsi="方正仿宋_GBK" w:eastAsia="方正仿宋_GBK" w:cs="方正仿宋_GBK"/>
          <w:color w:val="000000"/>
          <w:sz w:val="28"/>
          <w:szCs w:val="28"/>
          <w:highlight w:val="none"/>
        </w:rPr>
        <w:t xml:space="preserve">、公立医院绩效、中医资金绩效综合监测全场景的一体化智慧监管体系，并筑牢中医药监管数据安全自主可控底座，实现确有专长与师承考核考试全流程数字化管理、中医医院及重点专科评审验收高效化与规范化、十大中医专科质控精细化与数据化、公立中医医院绩效考核精准化与动态化、中医资金绩效综合监测数字化及国产化适配改造（数据中台及业务数据库），全面提升中医药行业监管效率、服务水平与决策能力，保障考核、评审、质控工作公平公正公开，促进中医药医疗服务标准化、同质化发展，为江苏省中医药事业高质量发展提供坚实信息化支撑与人才、管理保障。</w:t>
      </w:r>
      <w:r>
        <w:rPr>
          <w:rFonts w:hint="eastAsia" w:ascii="方正仿宋_GBK" w:hAnsi="方正仿宋_GBK" w:eastAsia="方正仿宋_GBK" w:cs="方正仿宋_GBK"/>
          <w:color w:val="000000"/>
          <w:sz w:val="28"/>
          <w:szCs w:val="28"/>
          <w:highlight w:val="none"/>
        </w:rPr>
      </w:r>
      <w:r/>
    </w:p>
    <w:p>
      <w:pPr>
        <w:pStyle w:val="947"/>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黑体_GBK" w:hAnsi="方正黑体_GBK" w:eastAsia="方正黑体_GBK" w:cs="方正黑体_GBK"/>
          <w:bCs/>
          <w:color w:val="000000"/>
          <w:sz w:val="28"/>
          <w:szCs w:val="28"/>
          <w:highlight w:val="none"/>
        </w:rPr>
        <w:t xml:space="preserve">（三）建设内容</w:t>
      </w:r>
      <w:r>
        <w:rPr>
          <w:rFonts w:hint="eastAsia" w:ascii="方正黑体_GBK" w:hAnsi="方正黑体_GBK" w:eastAsia="方正黑体_GBK" w:cs="方正黑体_GBK"/>
          <w:bCs/>
          <w:color w:val="000000"/>
          <w:sz w:val="28"/>
          <w:szCs w:val="28"/>
          <w:highlight w:val="none"/>
        </w:rPr>
      </w:r>
      <w:r/>
    </w:p>
    <w:p>
      <w:pPr>
        <w:pStyle w:val="947"/>
        <w:ind w:firstLine="560"/>
        <w:spacing w:line="440" w:lineRule="exact"/>
        <w:rPr>
          <w:rFonts w:ascii="宋体" w:hAnsi="宋体" w:cs="宋体"/>
          <w:bCs/>
          <w:color w:val="000000"/>
          <w:sz w:val="24"/>
          <w:szCs w:val="24"/>
          <w:highlight w:val="none"/>
        </w:rPr>
      </w:pPr>
      <w:r>
        <w:rPr>
          <w:rFonts w:hint="eastAsia" w:ascii="方正仿宋_GBK" w:hAnsi="方正仿宋_GBK" w:eastAsia="方正仿宋_GBK" w:cs="方正仿宋_GBK"/>
          <w:color w:val="000000"/>
          <w:sz w:val="28"/>
          <w:szCs w:val="28"/>
          <w:highlight w:val="none"/>
        </w:rPr>
        <w:t xml:space="preserve">项目主要建设内容包括：</w:t>
      </w: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r>
      <w:r/>
    </w:p>
    <w:tbl>
      <w:tblPr>
        <w:tblpPr w:horzAnchor="page" w:tblpX="1454" w:vertAnchor="text" w:tblpY="43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1800"/>
        <w:gridCol w:w="5640"/>
      </w:tblGrid>
      <w:tr>
        <w:trPr>
          <w:trHeight w:val="744"/>
        </w:trPr>
        <w:tc>
          <w:tcPr>
            <w:tcW w:w="1519" w:type="dxa"/>
            <w:vAlign w:val="center"/>
            <w:textDirection w:val="lrTb"/>
            <w:noWrap w:val="false"/>
          </w:tcPr>
          <w:p>
            <w:pPr>
              <w:pStyle w:val="947"/>
              <w:jc w:val="center"/>
              <w:widowControl/>
              <w:rPr>
                <w:rFonts w:ascii="宋体" w:hAnsi="宋体" w:cs="宋体"/>
                <w:b/>
                <w:bCs/>
                <w:color w:val="000000"/>
                <w:highlight w:val="none"/>
              </w:rPr>
              <w:framePr w:vAnchor="text" w:hAnchor="page" w:x="1454" w:y="432"/>
            </w:pPr>
            <w:r>
              <w:rPr>
                <w:rFonts w:ascii="宋体" w:hAnsi="宋体" w:cs="宋体"/>
                <w:b/>
                <w:bCs/>
                <w:color w:val="000000"/>
                <w:highlight w:val="none"/>
              </w:rPr>
              <w:t xml:space="preserve">一级模块名称</w:t>
            </w:r>
            <w:r>
              <w:rPr>
                <w:rFonts w:ascii="宋体" w:hAnsi="宋体" w:cs="宋体"/>
                <w:b/>
                <w:bCs/>
                <w:color w:val="000000"/>
                <w:highlight w:val="none"/>
              </w:rPr>
            </w:r>
            <w:r/>
          </w:p>
        </w:tc>
        <w:tc>
          <w:tcPr>
            <w:tcW w:w="1800" w:type="dxa"/>
            <w:vAlign w:val="center"/>
            <w:textDirection w:val="lrTb"/>
            <w:noWrap w:val="false"/>
          </w:tcPr>
          <w:p>
            <w:pPr>
              <w:pStyle w:val="947"/>
              <w:jc w:val="center"/>
              <w:widowControl/>
              <w:rPr>
                <w:rFonts w:ascii="宋体" w:hAnsi="宋体" w:cs="宋体"/>
                <w:b/>
                <w:bCs/>
                <w:color w:val="000000"/>
                <w:highlight w:val="none"/>
              </w:rPr>
              <w:framePr w:vAnchor="text" w:hAnchor="page" w:x="1454" w:y="432"/>
            </w:pPr>
            <w:r>
              <w:rPr>
                <w:rFonts w:ascii="宋体" w:hAnsi="宋体" w:cs="宋体"/>
                <w:b/>
                <w:bCs/>
                <w:color w:val="000000"/>
                <w:highlight w:val="none"/>
              </w:rPr>
              <w:t xml:space="preserve">二级模块名称</w:t>
            </w:r>
            <w:r>
              <w:rPr>
                <w:rFonts w:ascii="宋体" w:hAnsi="宋体" w:cs="宋体"/>
                <w:b/>
                <w:bCs/>
                <w:color w:val="000000"/>
                <w:highlight w:val="none"/>
              </w:rPr>
            </w:r>
            <w:r/>
          </w:p>
        </w:tc>
        <w:tc>
          <w:tcPr>
            <w:tcW w:w="5640" w:type="dxa"/>
            <w:vAlign w:val="center"/>
            <w:textDirection w:val="lrTb"/>
            <w:noWrap w:val="false"/>
          </w:tcPr>
          <w:p>
            <w:pPr>
              <w:pStyle w:val="947"/>
              <w:jc w:val="center"/>
              <w:widowControl/>
              <w:rPr>
                <w:rFonts w:ascii="宋体" w:hAnsi="宋体" w:cs="宋体"/>
                <w:b/>
                <w:bCs/>
                <w:color w:val="000000"/>
                <w:highlight w:val="none"/>
              </w:rPr>
              <w:framePr w:vAnchor="text" w:hAnchor="page" w:x="1454" w:y="432"/>
            </w:pPr>
            <w:r>
              <w:rPr>
                <w:rFonts w:ascii="宋体" w:hAnsi="宋体" w:cs="宋体"/>
                <w:b/>
                <w:bCs/>
                <w:color w:val="000000"/>
                <w:highlight w:val="none"/>
              </w:rPr>
              <w:t xml:space="preserve">功能描述</w:t>
            </w:r>
            <w:r>
              <w:rPr>
                <w:rFonts w:ascii="宋体" w:hAnsi="宋体" w:cs="宋体"/>
                <w:b/>
                <w:bCs/>
                <w:color w:val="000000"/>
                <w:highlight w:val="none"/>
              </w:rPr>
            </w:r>
            <w:r/>
          </w:p>
        </w:tc>
      </w:tr>
      <w:tr>
        <w:trPr>
          <w:trHeight w:val="576"/>
        </w:trPr>
        <w:tc>
          <w:tcPr>
            <w:tcW w:w="1519" w:type="dxa"/>
            <w:vAlign w:val="center"/>
            <w:vMerge w:val="restart"/>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s="宋体"/>
                <w:color w:val="000000"/>
                <w:highlight w:val="none"/>
              </w:rPr>
              <w:t xml:space="preserve">中医药服务智慧管理系统功能扩展与国产化适配</w:t>
            </w: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olor w:val="000000"/>
                <w:highlight w:val="none"/>
                <w:lang w:bidi="ar"/>
              </w:rPr>
              <w:t xml:space="preserve">确有专长与师承考核考试系统功能扩展</w:t>
            </w:r>
            <w:r>
              <w:rPr>
                <w:rFonts w:ascii="宋体" w:hAnsi="宋体" w:cs="宋体"/>
                <w:color w:val="000000"/>
                <w:highlight w:val="none"/>
              </w:rPr>
            </w:r>
            <w:r/>
          </w:p>
        </w:tc>
        <w:tc>
          <w:tcPr>
            <w:tcW w:w="5640" w:type="dxa"/>
            <w:vAlign w:val="center"/>
            <w:textDirection w:val="lrTb"/>
            <w:noWrap w:val="false"/>
          </w:tcPr>
          <w:p>
            <w:pPr>
              <w:pStyle w:val="947"/>
              <w:widowControl/>
              <w:rPr>
                <w:rFonts w:ascii="宋体" w:hAnsi="宋体" w:cs="宋体"/>
                <w:color w:val="000000"/>
                <w:highlight w:val="none"/>
              </w:rPr>
              <w:framePr w:vAnchor="text" w:hAnchor="page" w:x="1454" w:y="432"/>
            </w:pPr>
            <w:r>
              <w:rPr>
                <w:rFonts w:ascii="宋体" w:hAnsi="宋体"/>
                <w:color w:val="000000"/>
                <w:highlight w:val="none"/>
                <w:lang w:bidi="ar"/>
              </w:rPr>
              <w:t xml:space="preserve">在原有系统基础上新增师承合同备案管理，并整合报名入口、优化填报审核流程；新增考务管理和现场考试服务以及考官PAD评分，实现考务考试完全数字化。</w:t>
            </w:r>
            <w:r>
              <w:rPr>
                <w:rFonts w:ascii="宋体" w:hAnsi="宋体" w:cs="宋体"/>
                <w:color w:val="000000"/>
                <w:highlight w:val="none"/>
              </w:rPr>
            </w:r>
            <w:r/>
          </w:p>
        </w:tc>
      </w:tr>
      <w:tr>
        <w:trPr>
          <w:trHeight w:val="90"/>
        </w:trPr>
        <w:tc>
          <w:tcPr>
            <w:tcW w:w="1519" w:type="dxa"/>
            <w:vAlign w:val="center"/>
            <w:vMerge w:val="continue"/>
            <w:textDirection w:val="lrTb"/>
            <w:noWrap w:val="false"/>
          </w:tcPr>
          <w:p>
            <w:pPr>
              <w:pStyle w:val="947"/>
              <w:jc w:val="left"/>
              <w:widowControl/>
              <w:rPr>
                <w:rFonts w:ascii="宋体" w:hAnsi="宋体" w:cs="宋体"/>
                <w:color w:val="000000"/>
                <w:highlight w:val="none"/>
              </w:rPr>
              <w:framePr w:vAnchor="text" w:hAnchor="page" w:x="1454" w:y="432"/>
            </w:pP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olor w:val="000000"/>
                <w:highlight w:val="none"/>
                <w:lang w:bidi="ar"/>
              </w:rPr>
              <w:t xml:space="preserve">中医等级医院与中医重点专科验收系统功能扩展</w:t>
            </w:r>
            <w:r>
              <w:rPr>
                <w:rFonts w:ascii="宋体" w:hAnsi="宋体" w:cs="宋体"/>
                <w:color w:val="000000"/>
                <w:highlight w:val="none"/>
              </w:rPr>
            </w:r>
            <w:r/>
          </w:p>
        </w:tc>
        <w:tc>
          <w:tcPr>
            <w:tcW w:w="5640" w:type="dxa"/>
            <w:vAlign w:val="center"/>
            <w:textDirection w:val="lrTb"/>
            <w:noWrap w:val="false"/>
          </w:tcPr>
          <w:p>
            <w:pPr>
              <w:pStyle w:val="947"/>
              <w:widowControl/>
              <w:rPr>
                <w:rFonts w:ascii="宋体" w:hAnsi="宋体" w:cs="宋体"/>
                <w:color w:val="000000"/>
                <w:highlight w:val="none"/>
              </w:rPr>
              <w:framePr w:vAnchor="text" w:hAnchor="page" w:x="1454" w:y="432"/>
            </w:pPr>
            <w:r>
              <w:rPr>
                <w:rFonts w:ascii="宋体" w:hAnsi="宋体"/>
                <w:color w:val="000000"/>
                <w:highlight w:val="none"/>
                <w:lang w:bidi="ar"/>
              </w:rPr>
              <w:t xml:space="preserve">对中医相关评审系统进行升级，主要包括评审验收标准管理、评审验收流程管理、评审分析与监管服务、数据优化与协同服务等。</w:t>
            </w:r>
            <w:r>
              <w:rPr>
                <w:rFonts w:ascii="宋体" w:hAnsi="宋体" w:cs="宋体"/>
                <w:color w:val="000000"/>
                <w:highlight w:val="none"/>
              </w:rPr>
            </w:r>
            <w:r/>
          </w:p>
        </w:tc>
      </w:tr>
      <w:tr>
        <w:trPr>
          <w:trHeight w:val="288"/>
        </w:trPr>
        <w:tc>
          <w:tcPr>
            <w:tcW w:w="1519" w:type="dxa"/>
            <w:vAlign w:val="center"/>
            <w:vMerge w:val="continue"/>
            <w:textDirection w:val="lrTb"/>
            <w:noWrap w:val="false"/>
          </w:tcPr>
          <w:p>
            <w:pPr>
              <w:pStyle w:val="947"/>
              <w:jc w:val="left"/>
              <w:widowControl/>
              <w:rPr>
                <w:rFonts w:ascii="宋体" w:hAnsi="宋体" w:cs="宋体"/>
                <w:color w:val="000000"/>
                <w:highlight w:val="none"/>
              </w:rPr>
              <w:framePr w:vAnchor="text" w:hAnchor="page" w:x="1454" w:y="432"/>
            </w:pP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olor w:val="000000"/>
                <w:highlight w:val="none"/>
                <w:lang w:bidi="ar"/>
              </w:rPr>
              <w:t xml:space="preserve">质控中心管理服务功能扩展</w:t>
            </w:r>
            <w:r>
              <w:rPr>
                <w:rFonts w:ascii="宋体" w:hAnsi="宋体" w:cs="宋体"/>
                <w:color w:val="000000"/>
                <w:highlight w:val="none"/>
              </w:rPr>
            </w:r>
            <w:r/>
          </w:p>
        </w:tc>
        <w:tc>
          <w:tcPr>
            <w:tcW w:w="5640" w:type="dxa"/>
            <w:vAlign w:val="center"/>
            <w:textDirection w:val="lrTb"/>
            <w:noWrap w:val="false"/>
          </w:tcPr>
          <w:p>
            <w:pPr>
              <w:pStyle w:val="947"/>
              <w:widowControl/>
              <w:rPr>
                <w:rFonts w:ascii="宋体" w:hAnsi="宋体" w:cs="宋体"/>
                <w:color w:val="000000"/>
                <w:highlight w:val="none"/>
              </w:rPr>
              <w:framePr w:vAnchor="text" w:hAnchor="page" w:x="1454" w:y="432"/>
            </w:pPr>
            <w:r>
              <w:rPr>
                <w:rFonts w:ascii="宋体" w:hAnsi="宋体"/>
                <w:color w:val="000000"/>
                <w:highlight w:val="none"/>
                <w:lang w:bidi="ar"/>
              </w:rPr>
              <w:t xml:space="preserve">对中医专业质控中心进行管理服务升级，主要包括省中医肾病专业质控中心、省中医老年专业质控中心、省中医妇科专业质控中心、省中医儿科专业质控中心、省中医急诊专业质控中心、省中医心病专业质控中心、省中医内分泌专业质控中心、省中医肿瘤专业质控中心、省中医脑病专业质控中心、省基层中医药专业质控中心10个新增专业质控中心建设。</w:t>
            </w:r>
            <w:r>
              <w:rPr>
                <w:rFonts w:ascii="宋体" w:hAnsi="宋体" w:cs="宋体"/>
                <w:color w:val="000000"/>
                <w:highlight w:val="none"/>
              </w:rPr>
            </w:r>
            <w:r/>
          </w:p>
        </w:tc>
      </w:tr>
      <w:tr>
        <w:trPr>
          <w:trHeight w:val="540"/>
        </w:trPr>
        <w:tc>
          <w:tcPr>
            <w:tcW w:w="1519" w:type="dxa"/>
            <w:vAlign w:val="center"/>
            <w:vMerge w:val="continue"/>
            <w:textDirection w:val="lrTb"/>
            <w:noWrap w:val="false"/>
          </w:tcPr>
          <w:p>
            <w:pPr>
              <w:pStyle w:val="947"/>
              <w:jc w:val="left"/>
              <w:widowControl/>
              <w:rPr>
                <w:rFonts w:ascii="宋体" w:hAnsi="宋体" w:cs="宋体"/>
                <w:color w:val="000000"/>
                <w:highlight w:val="none"/>
              </w:rPr>
              <w:framePr w:vAnchor="text" w:hAnchor="page" w:x="1454" w:y="432"/>
            </w:pP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olor w:val="000000"/>
                <w:highlight w:val="none"/>
                <w:lang w:bidi="ar"/>
              </w:rPr>
              <w:t xml:space="preserve">绩效考核功能扩展</w:t>
            </w:r>
            <w:r>
              <w:rPr>
                <w:rFonts w:ascii="宋体" w:hAnsi="宋体" w:cs="宋体"/>
                <w:color w:val="000000"/>
                <w:highlight w:val="none"/>
              </w:rPr>
            </w:r>
            <w:r/>
          </w:p>
        </w:tc>
        <w:tc>
          <w:tcPr>
            <w:tcW w:w="5640" w:type="dxa"/>
            <w:vAlign w:val="center"/>
            <w:textDirection w:val="lrTb"/>
            <w:noWrap w:val="false"/>
          </w:tcPr>
          <w:p>
            <w:pPr>
              <w:pStyle w:val="947"/>
              <w:widowControl/>
              <w:rPr>
                <w:rFonts w:ascii="宋体" w:hAnsi="宋体" w:cs="宋体"/>
                <w:color w:val="000000"/>
                <w:highlight w:val="none"/>
              </w:rPr>
              <w:framePr w:vAnchor="text" w:hAnchor="page" w:x="1454" w:y="432"/>
            </w:pPr>
            <w:r>
              <w:rPr>
                <w:rFonts w:ascii="宋体" w:hAnsi="宋体"/>
                <w:color w:val="000000"/>
                <w:highlight w:val="none"/>
                <w:lang w:bidi="ar"/>
              </w:rPr>
              <w:t xml:space="preserve">对绩效考核系统进行升级改造，主要包括更新指标目录管理、新增指标采集口径管理、更新考核任务管理、新增平行系统数据接入、新增数据查询导出、更新采集任务配置、数据分析报告优化、更新综合查询等。</w:t>
            </w:r>
            <w:r>
              <w:rPr>
                <w:rFonts w:ascii="宋体" w:hAnsi="宋体" w:cs="宋体"/>
                <w:color w:val="000000"/>
                <w:highlight w:val="none"/>
              </w:rPr>
            </w:r>
            <w:r/>
          </w:p>
        </w:tc>
      </w:tr>
      <w:tr>
        <w:trPr>
          <w:trHeight w:val="540"/>
        </w:trPr>
        <w:tc>
          <w:tcPr>
            <w:tcW w:w="1519" w:type="dxa"/>
            <w:vAlign w:val="center"/>
            <w:vMerge w:val="continue"/>
            <w:textDirection w:val="lrTb"/>
            <w:noWrap w:val="false"/>
          </w:tcPr>
          <w:p>
            <w:pPr>
              <w:pStyle w:val="947"/>
              <w:jc w:val="left"/>
              <w:widowControl/>
              <w:rPr>
                <w:rFonts w:ascii="宋体" w:hAnsi="宋体" w:cs="宋体"/>
                <w:color w:val="000000"/>
                <w:highlight w:val="none"/>
              </w:rPr>
              <w:framePr w:vAnchor="text" w:hAnchor="page" w:x="1454" w:y="432"/>
            </w:pP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olor w:val="000000"/>
                <w:highlight w:val="none"/>
                <w:lang w:bidi="ar"/>
              </w:rPr>
              <w:framePr w:vAnchor="text" w:hAnchor="page" w:x="1454" w:y="432"/>
            </w:pPr>
            <w:r>
              <w:rPr>
                <w:rFonts w:ascii="宋体" w:hAnsi="宋体"/>
                <w:color w:val="000000"/>
                <w:highlight w:val="none"/>
                <w:lang w:bidi="ar"/>
              </w:rPr>
              <w:t xml:space="preserve">中医资金绩效综合监测</w:t>
            </w:r>
            <w:r>
              <w:rPr>
                <w:rFonts w:ascii="宋体" w:hAnsi="宋体"/>
                <w:color w:val="000000"/>
                <w:highlight w:val="none"/>
                <w:lang w:bidi="ar"/>
              </w:rPr>
            </w:r>
            <w:r/>
          </w:p>
        </w:tc>
        <w:tc>
          <w:tcPr>
            <w:tcW w:w="5640" w:type="dxa"/>
            <w:vAlign w:val="center"/>
            <w:textDirection w:val="lrTb"/>
            <w:noWrap w:val="false"/>
          </w:tcPr>
          <w:p>
            <w:pPr>
              <w:pStyle w:val="947"/>
              <w:widowControl/>
              <w:rPr>
                <w:rFonts w:ascii="宋体" w:hAnsi="宋体"/>
                <w:color w:val="000000"/>
                <w:highlight w:val="none"/>
                <w:lang w:bidi="ar"/>
              </w:rPr>
              <w:framePr w:vAnchor="text" w:hAnchor="page" w:x="1454" w:y="432"/>
            </w:pPr>
            <w:r>
              <w:rPr>
                <w:rFonts w:ascii="宋体" w:hAnsi="宋体"/>
                <w:color w:val="000000"/>
                <w:highlight w:val="none"/>
                <w:lang w:bidi="ar"/>
              </w:rPr>
              <w:t xml:space="preserve">围绕中医药专项资金的“分配—执行—监控—评价—整改</w:t>
            </w:r>
            <w:r>
              <w:rPr>
                <w:rFonts w:ascii="宋体" w:hAnsi="宋体"/>
                <w:color w:val="000000"/>
                <w:highlight w:val="none"/>
                <w:lang w:bidi="ar"/>
              </w:rPr>
              <w:t xml:space="preserve">”</w:t>
            </w:r>
            <w:r>
              <w:rPr>
                <w:rFonts w:ascii="宋体" w:hAnsi="宋体"/>
                <w:color w:val="000000"/>
                <w:highlight w:val="none"/>
                <w:lang w:bidi="ar"/>
              </w:rPr>
              <w:t xml:space="preserve">全链条闭环管理需求，构建覆盖省、市、县三级卫健主管部门及实施单位的统一绩效综合监测模块。模块涵盖基础管理、中医综合绩效监测、中医医疗服务价格调查以及数据查询报表四大功能板块。</w:t>
            </w:r>
            <w:r>
              <w:rPr>
                <w:rFonts w:ascii="宋体" w:hAnsi="宋体"/>
                <w:color w:val="000000"/>
                <w:highlight w:val="none"/>
                <w:lang w:bidi="ar"/>
              </w:rPr>
            </w:r>
            <w:r/>
          </w:p>
        </w:tc>
      </w:tr>
      <w:tr>
        <w:trPr>
          <w:trHeight w:val="540"/>
        </w:trPr>
        <w:tc>
          <w:tcPr>
            <w:tcW w:w="1519" w:type="dxa"/>
            <w:vAlign w:val="center"/>
            <w:vMerge w:val="continue"/>
            <w:textDirection w:val="lrTb"/>
            <w:noWrap w:val="false"/>
          </w:tcPr>
          <w:p>
            <w:pPr>
              <w:pStyle w:val="947"/>
              <w:jc w:val="left"/>
              <w:widowControl/>
              <w:rPr>
                <w:rFonts w:ascii="宋体" w:hAnsi="宋体" w:cs="宋体"/>
                <w:color w:val="000000"/>
                <w:highlight w:val="none"/>
              </w:rPr>
              <w:framePr w:vAnchor="text" w:hAnchor="page" w:x="1454" w:y="432"/>
            </w:pPr>
            <w:r>
              <w:rPr>
                <w:rFonts w:ascii="宋体" w:hAnsi="宋体" w:cs="宋体"/>
                <w:color w:val="000000"/>
                <w:highlight w:val="none"/>
              </w:rPr>
            </w:r>
            <w:r/>
          </w:p>
        </w:tc>
        <w:tc>
          <w:tcPr>
            <w:tcW w:w="1800" w:type="dxa"/>
            <w:vAlign w:val="center"/>
            <w:textDirection w:val="lrTb"/>
            <w:noWrap w:val="false"/>
          </w:tcPr>
          <w:p>
            <w:pPr>
              <w:pStyle w:val="947"/>
              <w:jc w:val="center"/>
              <w:widowControl/>
              <w:rPr>
                <w:rFonts w:ascii="宋体" w:hAnsi="宋体" w:cs="宋体"/>
                <w:color w:val="000000"/>
                <w:highlight w:val="none"/>
              </w:rPr>
              <w:framePr w:vAnchor="text" w:hAnchor="page" w:x="1454" w:y="432"/>
            </w:pPr>
            <w:r>
              <w:rPr>
                <w:rFonts w:ascii="宋体" w:hAnsi="宋体"/>
                <w:color w:val="000000"/>
                <w:highlight w:val="none"/>
                <w:lang w:bidi="ar"/>
              </w:rPr>
              <w:t xml:space="preserve">国产化适配改造</w:t>
            </w:r>
            <w:r>
              <w:rPr>
                <w:rFonts w:ascii="宋体" w:hAnsi="宋体" w:cs="宋体"/>
                <w:color w:val="000000"/>
                <w:highlight w:val="none"/>
              </w:rPr>
            </w:r>
            <w:r/>
          </w:p>
        </w:tc>
        <w:tc>
          <w:tcPr>
            <w:tcW w:w="5640" w:type="dxa"/>
            <w:vAlign w:val="center"/>
            <w:textDirection w:val="lrTb"/>
            <w:noWrap w:val="false"/>
          </w:tcPr>
          <w:p>
            <w:pPr>
              <w:pStyle w:val="947"/>
              <w:rPr>
                <w:rFonts w:ascii="宋体" w:hAnsi="宋体"/>
                <w:color w:val="000000"/>
                <w:highlight w:val="none"/>
                <w:lang w:bidi="ar"/>
              </w:rPr>
              <w:framePr w:vAnchor="text" w:hAnchor="page" w:x="1454" w:y="432"/>
            </w:pPr>
            <w:r>
              <w:rPr>
                <w:rFonts w:ascii="宋体" w:hAnsi="宋体"/>
                <w:color w:val="000000"/>
                <w:highlight w:val="none"/>
                <w:lang w:bidi="ar"/>
              </w:rPr>
              <w:t xml:space="preserve">对政务云数据中台（资源规划与数据管理）（简称新中台）开展适配改造工作，包括中医住院病案首页质控、中医等级医院评审、中医重点专科评审、中医专业质控中心、绩效考核服务、中医优势病种监测、中医医疗服务综合监管子系统，以支撑我省中医药服务智慧管理系统在国产化新数据中台基础上持续稳定运行。</w:t>
            </w:r>
            <w:r>
              <w:rPr>
                <w:rFonts w:ascii="宋体" w:hAnsi="宋体"/>
                <w:color w:val="000000"/>
                <w:highlight w:val="none"/>
                <w:lang w:bidi="ar"/>
              </w:rPr>
            </w:r>
            <w:r/>
          </w:p>
          <w:p>
            <w:pPr>
              <w:pStyle w:val="947"/>
              <w:widowControl/>
              <w:rPr>
                <w:rFonts w:ascii="宋体" w:hAnsi="宋体" w:cs="宋体"/>
                <w:color w:val="000000"/>
                <w:highlight w:val="none"/>
              </w:rPr>
              <w:framePr w:vAnchor="text" w:hAnchor="page" w:x="1454" w:y="432"/>
            </w:pPr>
            <w:r>
              <w:rPr>
                <w:rFonts w:ascii="宋体" w:hAnsi="宋体"/>
                <w:color w:val="000000"/>
                <w:highlight w:val="none"/>
                <w:lang w:bidi="ar"/>
              </w:rPr>
              <w:t xml:space="preserve">针对确有专长考试系统、中医等级医院与中医重点专科验收系统、中医质控中心系统及绩效考核系统实施底层业务数据库国产化升级适配，实现核心业务数据存储、运算、调度、备份国产化替代。</w:t>
            </w:r>
            <w:r>
              <w:rPr>
                <w:rFonts w:ascii="宋体" w:hAnsi="宋体" w:cs="宋体"/>
                <w:color w:val="000000"/>
                <w:highlight w:val="none"/>
              </w:rPr>
            </w:r>
            <w:r/>
          </w:p>
        </w:tc>
      </w:tr>
    </w:tbl>
    <w:p>
      <w:pPr>
        <w:pStyle w:val="947"/>
        <w:ind w:firstLine="482"/>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涉及到原系统的扩展，原系统无条件开放</w:t>
      </w:r>
      <w:r>
        <w:rPr>
          <w:rFonts w:hint="eastAsia" w:ascii="方正仿宋_GBK" w:hAnsi="方正仿宋_GBK" w:eastAsia="方正仿宋_GBK" w:cs="方正仿宋_GBK"/>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947"/>
        <w:ind w:firstLine="482"/>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黑体_GBK" w:hAnsi="方正黑体_GBK" w:eastAsia="方正黑体_GBK" w:cs="方正黑体_GBK"/>
          <w:bCs/>
          <w:color w:val="000000"/>
          <w:sz w:val="28"/>
          <w:szCs w:val="28"/>
          <w:highlight w:val="none"/>
        </w:rPr>
        <w:t xml:space="preserve">（四）技术功能要求</w:t>
      </w:r>
      <w:r>
        <w:rPr>
          <w:rFonts w:hint="eastAsia" w:ascii="方正黑体_GBK" w:hAnsi="方正黑体_GBK" w:eastAsia="方正黑体_GBK" w:cs="方正黑体_GBK"/>
          <w:bCs/>
          <w:color w:val="000000"/>
          <w:sz w:val="28"/>
          <w:szCs w:val="28"/>
          <w:highlight w:val="none"/>
        </w:rPr>
      </w:r>
      <w:r/>
    </w:p>
    <w:p>
      <w:pPr>
        <w:pStyle w:val="947"/>
        <w:numPr>
          <w:ilvl w:val="0"/>
          <w:numId w:val="4"/>
        </w:numPr>
        <w:ind w:left="0"/>
        <w:keepLines/>
        <w:keepNext/>
        <w:spacing w:line="440" w:lineRule="exact"/>
        <w:rPr>
          <w:rFonts w:ascii="宋体" w:hAnsi="宋体" w:cs="仿宋"/>
          <w:b/>
          <w:vanish/>
          <w:color w:val="000000"/>
          <w:sz w:val="24"/>
          <w:szCs w:val="24"/>
          <w:highlight w:val="none"/>
        </w:rPr>
        <w:outlineLvl w:val="1"/>
      </w:pPr>
      <w:r>
        <w:rPr>
          <w:rFonts w:ascii="宋体" w:hAnsi="宋体" w:cs="仿宋"/>
          <w:b/>
          <w:vanish/>
          <w:color w:val="000000"/>
          <w:sz w:val="24"/>
          <w:szCs w:val="24"/>
          <w:highlight w:val="none"/>
        </w:rPr>
      </w:r>
      <w:r/>
    </w:p>
    <w:p>
      <w:pPr>
        <w:pStyle w:val="947"/>
        <w:numPr>
          <w:ilvl w:val="0"/>
          <w:numId w:val="4"/>
        </w:numPr>
        <w:ind w:left="0"/>
        <w:keepLines/>
        <w:keepNext/>
        <w:spacing w:line="440" w:lineRule="exact"/>
        <w:rPr>
          <w:rFonts w:ascii="宋体" w:hAnsi="宋体" w:cs="仿宋"/>
          <w:b/>
          <w:vanish/>
          <w:color w:val="000000"/>
          <w:sz w:val="24"/>
          <w:szCs w:val="24"/>
          <w:highlight w:val="none"/>
        </w:rPr>
        <w:outlineLvl w:val="1"/>
      </w:pPr>
      <w:r>
        <w:rPr>
          <w:rFonts w:ascii="宋体" w:hAnsi="宋体" w:cs="仿宋"/>
          <w:b/>
          <w:vanish/>
          <w:color w:val="000000"/>
          <w:sz w:val="24"/>
          <w:szCs w:val="24"/>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4.1确有专长与师承考核考试系统功能扩展</w:t>
      </w:r>
      <w:r>
        <w:rPr>
          <w:rFonts w:hint="eastAsia" w:ascii="方正仿宋_GBK" w:hAnsi="方正仿宋_GBK" w:eastAsia="方正仿宋_GBK" w:cs="方正仿宋_GBK"/>
          <w:b/>
          <w:color w:val="000000"/>
          <w:sz w:val="28"/>
          <w:szCs w:val="28"/>
          <w:highlight w:val="none"/>
        </w:rPr>
      </w:r>
      <w:r/>
    </w:p>
    <w:p>
      <w:pPr>
        <w:pStyle w:val="947"/>
        <w:numPr>
          <w:ilvl w:val="5"/>
          <w:numId w:val="5"/>
        </w:numPr>
        <w:ind w:firstLine="562"/>
        <w:keepLines/>
        <w:keepNext/>
        <w:spacing w:line="440" w:lineRule="exact"/>
        <w:rPr>
          <w:rFonts w:hint="eastAsia" w:ascii="方正仿宋_GBK" w:hAnsi="方正仿宋_GBK" w:eastAsia="方正仿宋_GBK" w:cs="方正仿宋_GBK"/>
          <w:b/>
          <w:bCs/>
          <w:color w:val="000000"/>
          <w:sz w:val="28"/>
          <w:szCs w:val="28"/>
          <w:highlight w:val="none"/>
        </w:rPr>
        <w:outlineLvl w:val="5"/>
      </w:pPr>
      <w:r>
        <w:rPr>
          <w:rFonts w:hint="eastAsia" w:ascii="方正仿宋_GBK" w:hAnsi="方正仿宋_GBK" w:eastAsia="方正仿宋_GBK" w:cs="方正仿宋_GBK"/>
          <w:b/>
          <w:bCs/>
          <w:color w:val="000000"/>
          <w:sz w:val="28"/>
          <w:szCs w:val="28"/>
          <w:highlight w:val="none"/>
        </w:rPr>
        <w:t xml:space="preserve">4.1.1师承合同备案管理</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备案合同管理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系统需要提供完整的“跟师合同”备案功能，主要包括：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（1）合同上传与备案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（2）合同状态管理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师承人员指导老师管理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系统需要记录管理师承人员、指导老师的详细信息，包括：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（1）师承人员个人信息管理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（2）老师个人信息管理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（3）师承过程管理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（4）与民科系统对接，证书验证功能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跟师笔记上传与审核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师承人员定期（每季度/半年）需上传跟师笔记，系统应具备以下功能：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（1）笔记上传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（2）笔记审核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与报名系统联动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为了提高信息的准确性与一致性，系统需与报名系统进行联动，包括身份证号码信息同步及师承相关资料显示。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申请更换指导老师、跟师地点功能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在特殊情况下，师承人员可以申请更换指导老师或跟师地点，系统需要支持以下功能：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（1）更换申请功能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（2）更换记录管理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 其他功能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为增强系统的功能性与便利性，以下功能需予以补充：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（1）系统应支持按年度、地区、考生类别、技术方向等维度自动生成统计报表，并支持图形化展示及导出。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（2）通知与提醒功能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（3）文档管理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（4）系统安全与权限管理</w:t>
      </w:r>
      <w:r>
        <w:rPr>
          <w:rFonts w:hint="eastAsia" w:ascii="方正仿宋_GBK" w:hAnsi="方正仿宋_GBK" w:eastAsia="方正仿宋_GBK" w:cs="方正仿宋_GBK"/>
          <w:color w:val="000000"/>
          <w:sz w:val="28"/>
          <w:szCs w:val="28"/>
          <w:highlight w:val="none"/>
        </w:rPr>
      </w:r>
      <w:r/>
    </w:p>
    <w:p>
      <w:pPr>
        <w:pStyle w:val="947"/>
        <w:numPr>
          <w:ilvl w:val="5"/>
          <w:numId w:val="5"/>
        </w:numPr>
        <w:ind w:firstLine="562"/>
        <w:keepLines/>
        <w:keepNext/>
        <w:spacing w:line="440" w:lineRule="exact"/>
        <w:rPr>
          <w:rFonts w:hint="eastAsia" w:ascii="方正仿宋_GBK" w:hAnsi="方正仿宋_GBK" w:eastAsia="方正仿宋_GBK" w:cs="方正仿宋_GBK"/>
          <w:b/>
          <w:bCs/>
          <w:color w:val="000000"/>
          <w:sz w:val="28"/>
          <w:szCs w:val="28"/>
          <w:highlight w:val="none"/>
        </w:rPr>
        <w:outlineLvl w:val="5"/>
      </w:pPr>
      <w:r>
        <w:rPr>
          <w:rFonts w:hint="eastAsia" w:ascii="方正仿宋_GBK" w:hAnsi="方正仿宋_GBK" w:eastAsia="方正仿宋_GBK" w:cs="方正仿宋_GBK"/>
          <w:b/>
          <w:bCs/>
          <w:color w:val="000000"/>
          <w:sz w:val="28"/>
          <w:szCs w:val="28"/>
          <w:highlight w:val="none"/>
        </w:rPr>
        <w:t xml:space="preserve">4.1.2报名管理</w:t>
      </w:r>
      <w:r>
        <w:rPr>
          <w:rFonts w:hint="eastAsia" w:ascii="方正仿宋_GBK" w:hAnsi="方正仿宋_GBK" w:eastAsia="方正仿宋_GBK" w:cs="方正仿宋_GBK"/>
          <w:b/>
          <w:bCs/>
          <w:color w:val="000000"/>
          <w:sz w:val="28"/>
          <w:szCs w:val="28"/>
          <w:highlight w:val="none"/>
        </w:rPr>
      </w:r>
      <w:r/>
    </w:p>
    <w:p>
      <w:pPr>
        <w:pStyle w:val="947"/>
        <w:numPr>
          <w:ilvl w:val="0"/>
          <w:numId w:val="6"/>
        </w:num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统一报名入口</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将师承报名系统重构、确有专长考试系统报名整合到同一入口，不同学员以类型区分。不同类型学员报名流程按照业务管理要求可以略有不同。历史数据迁移整合到同一数据库中。</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出师考试资格需与师承合同备案管理模块关联。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提升报名流程清晰度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（1）将报名流程改为可视化步骤条，减少跳步与漏填。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（2）将报名记录、审核状态、准考证打印、成绩查询集中至“个人中心—我的报名”，形成清晰的进度总览。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增强信息填报的智能校验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（1）增加身份证与出生年月一致性校验、实践年限自动计算、师承关系起止时间合理性校验等逻辑规则。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（2）对复杂材料提供示例说明与字段旁提示，降低因理解偏差导致的退回率。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（3）提供附件批量上传、自动压缩、失败重试功能；对身份证、学历证明等关键材料附示例。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（4）增加自动保存草稿与撤回后保留数据功能，避免多表单反复填写。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统一实名认证体验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将微信绑定、手机号绑定、身份证验证整合为一次性实名认证流程，减少重复验证步骤。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准考证打印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与考务管理模块对接，在报名信息审核通过后考生可自行下载打印准考证。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 建设内容发布门户</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通过门户网站提供最新政策指引、报名指南、易错点、材料清单、各类文档表格等内容的图文展示，提高考生自助率。</w:t>
      </w:r>
      <w:r>
        <w:rPr>
          <w:rFonts w:hint="eastAsia" w:ascii="方正仿宋_GBK" w:hAnsi="方正仿宋_GBK" w:eastAsia="方正仿宋_GBK" w:cs="方正仿宋_GBK"/>
          <w:color w:val="000000"/>
          <w:sz w:val="28"/>
          <w:szCs w:val="28"/>
          <w:highlight w:val="none"/>
        </w:rPr>
      </w:r>
      <w:r/>
    </w:p>
    <w:p>
      <w:pPr>
        <w:pStyle w:val="947"/>
        <w:numPr>
          <w:ilvl w:val="5"/>
          <w:numId w:val="5"/>
        </w:numPr>
        <w:ind w:firstLine="562"/>
        <w:keepLines/>
        <w:keepNext/>
        <w:spacing w:line="440" w:lineRule="exact"/>
        <w:rPr>
          <w:rFonts w:hint="eastAsia" w:ascii="方正仿宋_GBK" w:hAnsi="方正仿宋_GBK" w:eastAsia="方正仿宋_GBK" w:cs="方正仿宋_GBK"/>
          <w:b/>
          <w:bCs/>
          <w:color w:val="000000"/>
          <w:sz w:val="28"/>
          <w:szCs w:val="28"/>
          <w:highlight w:val="none"/>
        </w:rPr>
        <w:outlineLvl w:val="5"/>
      </w:pPr>
      <w:r>
        <w:rPr>
          <w:rFonts w:hint="eastAsia" w:ascii="方正仿宋_GBK" w:hAnsi="方正仿宋_GBK" w:eastAsia="方正仿宋_GBK" w:cs="方正仿宋_GBK"/>
          <w:b/>
          <w:bCs/>
          <w:color w:val="000000"/>
          <w:sz w:val="28"/>
          <w:szCs w:val="28"/>
          <w:highlight w:val="none"/>
        </w:rPr>
        <w:t xml:space="preserve">4.1.3考务管理</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报名计划管理升级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（1）支持按地市或区县配置报名限额与预警值（省级后台可设置是否使用）。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（2）提供实时统计监控，实时呈现当前报名人数、审核进度、退回情况。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审核流程与权限优化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（1）建设统一审核工作台，由权限自动过滤显示待审核对象，在同一页面完成审核。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（2）提供材料缺失、实践年限不足、证据链不完整等规则化自动提示，提高审核效率。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（3）审核轨迹全流程记录，包括批量审核记录和原因填写。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各级账号权限管理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进一步优化系统权限设置和数据可视范围，合理划分省、市、县各级和行政管理、考务、考官、阅卷等各类工作人员账号权限，确保业务流转过程中数据状态清晰、可追溯，便于各级及时掌握工作进展，加强过程管理和质量控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考务编排系统</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系统应支持自动校验考官与考生存在同单位、同指导关系、同地区回避等冲突规则。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（1）出师考核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1）支持管理全省各地市的基础信息，包括地市名称、地址、考务联系人等。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2）支持管理地市下的具体考场资源信息。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3）系统需支持批量导入考生信息，自动或手动完成考场和场次编排。导入前执行格式校验。管理员可对单个或多个考生进行手动/自动设置考场、考室、场次。人工调整后系统实时校验。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4）系统可对单个或多个考生进行手动/自动设置考组考官，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5）所有人工操作需记录日志，便于追溯。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6）编排工作完成后，系统需导出两种数据：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①可打印的各种表格，出师考核技能考核包括考生考核时间、考生签到表、考官签到表。理论考核包括考生考室、签到表等。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②考核系统所需导入的所有信息数据。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（2）确有专长考核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1）支持管理全省各地市的基础信息。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2）支持管理地市下的具体考场资源信息。支持批量导入考场资源数据。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3）系统需支持批量导入考生信息，自动或手动完成考场和场次编排。导入前执行格式校验。管理员可对单个或多个考生进行手动/自动设置考场、考室、场次（考核时间）。人工调整后系统实时校验。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4）系统可根据考生所报技术方法或疾病方向对考生信息进行分类归档，并可依据考生专长，从考官库中自动或手动筛选匹配符合专业要求的考官。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5）系统支持为匹配完成的考官与考生设置考室和批次，应支持在自动编排的基础上进一步进行人工调整。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6）所有人工调整行为需记录日志，便于追溯。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7）编排工作完成后，系统需导出两种数据：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①可打印的各种表格，包括考生与考官的考核时间、考室安排、考生签到表、考官签到表等。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②考核系统所需导入的所有信息数据。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现场辨识中药申报要求≥50种，能够批量导出考生报考中药，及所有中药频次，系统应支持依据全体考生申报中药频次进行统计分析，并可按频次自动生成建议考核中药目录，管理员可人工调整。（保证每个考生至少5种可考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9）新增“中医药法实施后跟师临床实践的”考生类别，提供报考路径（类似师承）。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准考证、成绩与证书打印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（1）准考证：支持省级后台能够准考证批量生成、按地市导出。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（2）成绩管理：整合成绩导入、成绩发布、成绩复核记录等内容。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（3）新增合格证书打印功能（师承考试）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 批量导出功能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为便于数据统计与跨系统衔接，新增批量导出功能。</w:t>
      </w:r>
      <w:r>
        <w:rPr>
          <w:rFonts w:hint="eastAsia" w:ascii="方正仿宋_GBK" w:hAnsi="方正仿宋_GBK" w:eastAsia="方正仿宋_GBK" w:cs="方正仿宋_GBK"/>
          <w:color w:val="000000"/>
          <w:sz w:val="28"/>
          <w:szCs w:val="28"/>
          <w:highlight w:val="none"/>
        </w:rPr>
      </w:r>
      <w:r/>
    </w:p>
    <w:p>
      <w:pPr>
        <w:pStyle w:val="947"/>
        <w:numPr>
          <w:ilvl w:val="5"/>
          <w:numId w:val="5"/>
        </w:numPr>
        <w:ind w:firstLine="562"/>
        <w:keepLines/>
        <w:keepNext/>
        <w:spacing w:line="440" w:lineRule="exact"/>
        <w:rPr>
          <w:rFonts w:hint="eastAsia" w:ascii="方正仿宋_GBK" w:hAnsi="方正仿宋_GBK" w:eastAsia="方正仿宋_GBK" w:cs="方正仿宋_GBK"/>
          <w:b/>
          <w:bCs/>
          <w:color w:val="000000"/>
          <w:sz w:val="28"/>
          <w:szCs w:val="28"/>
          <w:highlight w:val="none"/>
        </w:rPr>
        <w:outlineLvl w:val="5"/>
      </w:pPr>
      <w:r>
        <w:rPr>
          <w:rFonts w:hint="eastAsia" w:ascii="方正仿宋_GBK" w:hAnsi="方正仿宋_GBK" w:eastAsia="方正仿宋_GBK" w:cs="方正仿宋_GBK"/>
          <w:b/>
          <w:bCs/>
          <w:color w:val="000000"/>
          <w:sz w:val="28"/>
          <w:szCs w:val="28"/>
          <w:highlight w:val="none"/>
        </w:rPr>
        <w:t xml:space="preserve">4.1.4考试管理</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确有专长考试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（1）优化登录流程，提升操作便捷性。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（2）完善评分管理，增强任务掌控。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（3）改进中药考核协同效率。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（4）增加评分辅助功能，提升透明度。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考场管理员可记录考生缺考/弃考状态，考官和管理员可查看。成绩可按照合格票数进行统计、排序，可按考室进行统计合格票数。管理员可导出成绩以及合格票数统计表进行编辑、打印。考试过程与结果数据可由考试模块同步到考务管理模块，支持统计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出师考试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拟将纸笔考试全面升级为计算机考试，实现命题、考务组织、作答、阅卷、成绩发布与统计分析的数字化和标准化。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ascii="宋体" w:hAnsi="宋体"/>
          <w:color w:val="000000"/>
          <w:sz w:val="24"/>
          <w:szCs w:val="24"/>
          <w:highlight w:val="none"/>
        </w:rPr>
      </w:pPr>
      <w:r>
        <w:rPr>
          <w:rFonts w:hint="eastAsia" w:ascii="方正仿宋_GBK" w:hAnsi="方正仿宋_GBK" w:eastAsia="方正仿宋_GBK" w:cs="方正仿宋_GBK"/>
          <w:color w:val="000000"/>
          <w:sz w:val="28"/>
          <w:szCs w:val="28"/>
          <w:highlight w:val="none"/>
        </w:rPr>
        <w:t xml:space="preserve">系统应具备基本的防作弊、统计分析、数据安全保护等功能。</w:t>
      </w:r>
      <w:r>
        <w:rPr>
          <w:rFonts w:ascii="宋体" w:hAnsi="宋体"/>
          <w:color w:val="000000"/>
          <w:sz w:val="24"/>
          <w:szCs w:val="24"/>
          <w:highlight w:val="none"/>
        </w:rPr>
      </w:r>
      <w:r/>
    </w:p>
    <w:p>
      <w:pPr>
        <w:pStyle w:val="947"/>
        <w:numPr>
          <w:ilvl w:val="5"/>
          <w:numId w:val="5"/>
        </w:numPr>
        <w:ind w:firstLine="562"/>
        <w:keepLines/>
        <w:keepNext/>
        <w:spacing w:line="440" w:lineRule="exact"/>
        <w:rPr>
          <w:rFonts w:hint="eastAsia" w:ascii="方正仿宋_GBK" w:hAnsi="方正仿宋_GBK" w:eastAsia="方正仿宋_GBK" w:cs="方正仿宋_GBK"/>
          <w:b/>
          <w:bCs/>
          <w:color w:val="000000"/>
          <w:sz w:val="28"/>
          <w:szCs w:val="28"/>
          <w:highlight w:val="none"/>
        </w:rPr>
        <w:outlineLvl w:val="5"/>
      </w:pPr>
      <w:r>
        <w:rPr>
          <w:rFonts w:hint="eastAsia" w:ascii="方正仿宋_GBK" w:hAnsi="方正仿宋_GBK" w:eastAsia="方正仿宋_GBK" w:cs="方正仿宋_GBK"/>
          <w:b/>
          <w:bCs/>
          <w:color w:val="000000"/>
          <w:sz w:val="28"/>
          <w:szCs w:val="28"/>
          <w:highlight w:val="none"/>
        </w:rPr>
        <w:t xml:space="preserve">4.1.5其他要求</w:t>
      </w:r>
      <w:r>
        <w:rPr>
          <w:rFonts w:hint="eastAsia" w:ascii="方正仿宋_GBK" w:hAnsi="方正仿宋_GBK" w:eastAsia="方正仿宋_GBK" w:cs="方正仿宋_GBK"/>
          <w:b/>
          <w:bCs/>
          <w:color w:val="000000"/>
          <w:sz w:val="28"/>
          <w:szCs w:val="28"/>
          <w:highlight w:val="none"/>
        </w:rPr>
      </w:r>
      <w:r/>
    </w:p>
    <w:p>
      <w:pPr>
        <w:pStyle w:val="947"/>
        <w:numPr>
          <w:ilvl w:val="0"/>
          <w:numId w:val="7"/>
        </w:numPr>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性能要求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系统需支持全省2000名以上考生同时考试，自动保存不得明显影响答题体验。若出现断电、系统故障或终端宕机，答题需可恢复到最近保存状态。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系统普通页面平均响应时间不超过3秒；</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大批量数据导入、导出、编排等操作，在5000条数据量下原则上不超过60秒；</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考试过程中自动保存响应时间不超过2秒。</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安全要求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（1）数据库备份与容灾机制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1）自动备份策略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每日增量备份、每周全量备份、支持“一键恢复到指定日期”、异地备份。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2）系统级日志审计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全量记录审核、退回、删除、导出、变更等敏感操作、记录操作人、IP、时间、原值、变更内容、支持按条件搜索与导出、对关键操作设置二次确认。审核、成绩、编排等关键业务日志应具备防篡改能力。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3）系统监控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监控 CPU、内存、数据库连接数、访问压力；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设置阈值报警（短信或邮件）；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4）数据恢复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系统发生故障后，核心业务应能够在30分钟内恢复运行；数据恢复点目标（RPO）不超过20分钟。</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（2）数据权限控制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支持基于角色（RBAC）与数据范围相结合的权限控制机制。省、市、县各级和行政管理、考务、考官、阅卷等各类工作人员合理规划账号权限，安全线分配数据可见范围，不可越权访问。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（3）出师考试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出师理论考试应可兼容两种形式，一是部署于省医考中心专用服务器，考试时将该服务器部署在考场同一局域网内，全程与互联网隔离；二是购买机考服务，服务供应商需提供试卷导入功能，在考试前一天，由具有保密资质的工作人员自行录入试题，且试卷数据存储、传输过程全程加密。系统需提供全链路留痕。数据备份不少于三份，需含异地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其他要求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（1）接口对接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预留接口用于学信网和民科等第三方系统对接。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（2）历史数据管理与质量提升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建立统一的考生唯一ID，用于跨年度统一识别。历史数据迁移需提供迁移规则说明、异常数据清单、对账结果，为未来的数据统计、政策分析提供可持续的数据基础。</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（3）实现系统参数化管理，包括但不限于报名时间、审核时间、打印开放时间、成绩开放时间、考场容量、合格规则等系统业务规则及时间节点应支持后台参数化配置。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（4）附件归档管理，系统应支持大容量附件存储与归档管理，并支持附件分类、压缩、生命周期管理。</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63" w:name="OLE_LINK3"/>
      <w:r>
        <w:rPr>
          <w:rFonts w:hint="eastAsia" w:ascii="方正仿宋_GBK" w:hAnsi="方正仿宋_GBK" w:eastAsia="方正仿宋_GBK" w:cs="方正仿宋_GBK"/>
          <w:b/>
          <w:color w:val="000000"/>
          <w:sz w:val="28"/>
          <w:szCs w:val="28"/>
          <w:highlight w:val="none"/>
        </w:rPr>
        <w:t xml:space="preserve">4.2中医等级医院与中医重点专科验收系统</w:t>
      </w:r>
      <w:bookmarkEnd w:id="163"/>
      <w:r>
        <w:rPr>
          <w:rFonts w:hint="eastAsia" w:ascii="方正仿宋_GBK" w:hAnsi="方正仿宋_GBK" w:eastAsia="方正仿宋_GBK" w:cs="方正仿宋_GBK"/>
          <w:b/>
          <w:color w:val="000000"/>
          <w:sz w:val="28"/>
          <w:szCs w:val="28"/>
          <w:highlight w:val="none"/>
        </w:rPr>
        <w:t xml:space="preserve">功能扩展</w:t>
      </w:r>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4.2.1中医等级医院评审系统功能扩展</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评审标准管理体系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（1）医院等级评审指标体系深度适配与升级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为全面对接国家医疗行业监管政策变革，系统需对原有评审指标体系进行全方位重构与升级。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策对标与框架重构：对标国家三级医院评审标准与国考要求，重构指标为“前置条件”“医疗服务能力与质量安全监测数据”“现场检查”三大板块，支持章节、条款、要点多级管理。新增DRG/DIP、智慧医院建设、突发公共卫生事件应急处置等指标维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2）接口架构升级与数据贯通：提供标准API接口，对接省级全民健康信息平台、省级医疗质量控制中心平台、绩效考核平台、综合监管平台，支持自动抓取数据。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（2）标准化评审展示页面升级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为实现评审标准的规范化、可视化呈现，系统需建设评审标准展示中心。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1）多维度分类展示：支持按评审板块、业务领域、指标性质三维分类展示。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2）详细内容呈现：在每个条款层级下，展示标准要求、评分细则、佐证材料规范、政策依据原文链接等。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3）个性化视图定制：支持院长、科主任、联络员三类个性化视图定制。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（3）多维度精准定位与筛选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为进一步提升标准查找的精准度，在标准展示页面中需提供多维度筛选功能。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1）筛选条件配置：支持按板块、业务领域、指标性质、适用医院类型等组合筛选。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2）动态结果展示：支持自动匹配并展示同时符合所有所选条件的评审标准内容。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3）收藏与笔记功能：具备条款收藏与笔记功能。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（4）智能化关键词检索引擎</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为满足用户个性化、精准化的标准检索需求，系统需在标准展示页面顶部设置醒目的智能关键词搜索框。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1）结构化结果呈现：检索完成后，系统将所有符合条件的标准内容以结构化列表形式呈现。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2）高级排序与过滤：列表支持按匹配度、所属板块、指标重要性、更新时间等维度排序，用户可根据需求自主调整排序方式。支持二次筛选。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（5）全流程标准更新追溯机制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为保障评审验收标准的可追溯性与权威性，系统需提供标准更新自动记录与管理机制。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1）全要素信息留存：自动记录标准新增/修改/删除，保留修改前后对比、时间、依据、操作人。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2）专用日志模块：所有更新记录统一存储于系统专用日志模块，日志信息实行权限管理。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3）多维查询与追溯：日志支持按更新时间范围、涉及专科/领域、更新类型、发布机构等维度进行查询。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（6）多渠道标准更新通知推送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为确保所有相关用户及时知晓标准更新信息，保障评审工作严格依据最新标准开展，系统需构建消息推送机制。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1）自动触发推送：当标准完成更新并通过内部审核流程后，系统自动向所有关联用户推送标准更新通知。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2）多样化推送渠道：支持站内消息、邮件、短信/微信多渠道推送更新通知。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评审流程管理体系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（1）评审板块与流程深度优化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重构评审流程，将其调整为“医院自评→行政部门审批→正式评审”三大阶段，并将正式评审阶段细分为“前置条件审核→数据抓取核验→现场检查”三个子阶段，通过系统实现全流程自动化校验与控制。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1）前置条件刚性审核：基于内置前置条件审核规则引擎，医院提交自评报告后，系统基于内置前置条件审核规则引擎自动校验前置条件，提醒并向医院反馈不通过项及依据，医院修改后重新提交。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2）数据自动抓取与核验：前置条件审核通过后，系统自动进入数据抓取核验阶段。系统根据预设规则，从对接的各业务系统中自动抓取评审周期内的监测数据，生成数据核验报告，达标后方可进入现场检查。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3）现场检查智能引导：数据核验通过后，系统自动生成现场检查任务清单，引导专家组高效开展现场评审工作。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（2）历史评审数据智能关联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为提升资格预审工作的效率与准确性，系统需建立与原等级评审结果数据库、绩效考核数据库的自动关联与数据同步机制。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1）标准化数据接口：构建标准化数据接口。</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2）精准匹配与提取：对接原等级评审结果数据库、绩效考核数据库，自动提取历史等级、得分、扣分明细、整改情况等。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3）数据对比分析：自动生成历次评审变化对比图。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（3）资格条件灵活预设与智能筛选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系统需支持主管部门在后台灵活配置资格预审条件参数，以适配不同批次、不同类型评审工作的需求。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1）多维度条件配置：预设的资格条件涵盖多个核心维度，如历史成绩要求、时间间隔要求、基本规模要求、合规性要求、整改完成要求。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2）自动化筛选判断：系统依据预设条件，自动筛选判断。</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（4）资格不符精准提示与引导</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对于经系统初步筛查后不符合资格预审条件的机构，系统在其申请页面需实时显示明确、详细、友好的提示信息。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1）标准化提示格式：提示信息采用标准化的表述格式。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2）整改引导建议：提供针对性的整改引导建议。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3）申诉通道：提供在线申诉通道。</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（5）自动化申请信息格式检查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医疗机构提交验收申请后，系统需自动启动申请信息格式检查流程，对申请信息的规范性与完整性进行初步自动化审核。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1）完整性校验：自动校验必填项，校验不通过的明确标注具体缺失项位置，并弹出提示框告知用户补充完善，阻止提交。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2）格式规范性校验：提供材料格式、文件大小、文件命名及材料数量检查。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3）检查结果反馈：生成格式检查报告，未通过需整改重报。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（6）主管部门在线审核与协同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通过格式检查的申请信息，需自动流转至主管部门的审核工作台，实现审核流程的线上化、闭环化管理。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1）待办任务列表：审核工作台展示待办列表，支持多维度筛选。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2）详情查看与核验：支持完整展示医院填写的所有申请信息、上传的全部证明材料、历史评审数据对比、格式检查报告等。工作人员可细致核验每一项内容的真实性、合规性与完整性。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3）在线批注与沟通：支持工作人员针对申请信息中的具体内容添加批注意见、疑问或修改建议。支持短信通知相关人员。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4）审核结论与流转：支持通过 / 退回 / 不通过审核结论下达，结果将自动反馈给申请医院，并更新申请状态。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（7）审核结果多渠道即时反馈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主管部门完成审核后，支持即时反馈审核结果。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1）反馈渠道一致：反馈方式与标准更新通知推送渠道保持一致。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2）详细反馈内容：反馈内容详细具体，明确告知审核结果（审核通过/退回修改/审核不通过）。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3）反馈记录存档：所有审核意见、反馈内容、操作时间、操作人员均自动记录存档。</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（8）评审专家智能推荐与匹配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为保障评审工作的专业性、公正性与高效性，系统在专家分配环节需支持专家智能推荐功能。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1）多维度匹配：支持按专业领域、地域回避、任务均衡、经验信誉、时间可用性匹配专家。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2）智能评分与排序：系统根据上述因素计算每位候选专家的匹配度评分，生成按匹配度从高到低排序的专家推荐列表。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3）推荐列表展示：列表中包含专家基本信息、专业领域标签、评审经历、近期任务量、匹配度评分等详细内容，供省中管局/卫健委工作人员参考选择。</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（9）专家分配灵活调整与任务下达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省中管局/卫健委工作人员可根据实际评审工作需求，对系统推荐的专家人选进行灵活、便捷的人工调整。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1）多样化调整方式：支持直接选用、删除替换、手动添加、批量操作。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2）任务自动下达：确定最终的专家分配方案（包括组长、副组长、组员）后，系统自动启动评审任务下达流程。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3）详细任务通知：系统向每位分配到评审任务的专家发送详细的评审任务通知（站内信+短信）。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专家灵活分组推荐：系统支持自定义“专家能力指标库”，涵盖中医专科细分方向、管理领域及综合技能等多维标签体系。在专家匹配环节，系统依据被评审医院的特色需求，从指标库中灵活勾选所需的专业方向，智能筛选并组合具备相应标签的专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（10）专家任务确认、反馈与更换机制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专家登录系统后，在个人工作台的任务列表中清晰看到分配给自己的评审任务。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1）任务详情查看：支持专家在线查看任务详情。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2）在线确认接收：专家需在规定时间内完成任务确认操作。确认接收后，系统正式开放该专家的评审操作权限。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3）任务更换申请：若专家因特殊情况无法参与评审，可在系统中提交任务更换申请。</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4）申请材料提交：支持申请页面填写具体的更换原因说明，并支持上传相关证明材料。提交后进入主管部门审核流程。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（11）专家任务重新分配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省中管局/卫健委收到专家的任务更换申请并审核通过后，系统自动触发专家任务重新分配流程。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1）自动触发重配：系统立即释放原专家的任务名额，重新启动智能推荐流程。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2）匹配新专家：查询新的合适专家人选，优先考虑备选专家库中匹配度高且有空闲的专家。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3）通知与确认：向新推荐的专家发送任务通知，并跟进其确认状态。同时通知原专家任务已解除。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4）流程保障：需确保评审工作不因个别专家变动而延误。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（12）线上数据评审实施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专家登录系统，需提供专属的线上数据评审页面，支持专家登陆后开展基于数据的远程评审工作。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1）数据全景展示：系统需按照评审验收标准的分类体系，将申请医院的各项自动抓取数据、医院上传的佐证材料、历史数据进行结构化、可视化展示。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2）便捷评分操作：需支持滑块 / 下拉 / 输入评分，支持批量评分。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3）附件上传与批注：支持专家上传附件补充说明。支持在数据展示页面直接进行在线批注。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4）保存校验与防遗漏：需增设智能保存校验功能，自动校验核心指标是否完成评分，未评禁止提交。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5）交互逻辑优化：优化复杂板块的交互逻辑，需支持专家先进行初步评分或备注，最后统一提交。校验功能支持后置至最终提交或保存时触发。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6）专家智能看板：构建个性化专家工作驾驶舱，根据角色动态呈现差异化内容。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7）动态关联评分汇总表：建立评审记录与汇总数据的实时联动机制，实现“一处修改，全局更新”。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（13）现场评审数字化支持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针对需要开展现场评审的项目，系统需为专家提供功能完善的现场评审专属模块，支持评审过程的数字化、规范化记录。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1）标准化记录模板：系统内置追踪方法学路径记录、现场检查清单、人员访谈记录、资料调阅记录、问题与亮点记录等标准化的现场评审记录模板。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多媒体采集：支持专家将照片、录制短视频（需符合隐私保护规定）作为评审证据上传。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t xml:space="preserve">实时数据同步：支持专家点击提交按钮，将现场评审数据实时加密同步至系统后台。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t xml:space="preserve">数据自动合并：同步后的现场评审数据将与之前的线上数据评审数据进行自动合并、去重、关联，形成完整、统一的评审数据档案。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（14）智能化验收报告生成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评审环节全部完成后，系统需基于专家的评分结果、评审意见、现场记录及相关申报数据，自动生成标准化、结构化的验收报告。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1）报告内容全面：需含医院基本信息、评审概况、总体评价、分项得分详情、核心指标分析、专家评审意见汇总、存在问题清单、改进建议、附件。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2）格式规范统一：报告格式严格遵循官方文档要求，排版美观，结构清晰。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3）多格式导出：支持一键导出为PDF或Word格式文件。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4）评审专家手册生成：同步生成《评审专家手册》，提供评审汇总页面，覆盖分值展示、核心指标统计、转设评审支持、导出功能。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（15）验收结果综合评定与闭环管理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省中管局/卫健委登录系统后，可查看所有申请医院的完整验收报告及过程数据。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1）预设评定规则：系统支持预设的验收结果评定规则引擎，规则可配置，如总分门槛、核心指标否决、问题整改要求等。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2）自动化辅助评定：系统根据评定规则，自动计算初步评定结果。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3）最终结果确定：主管部门结合系统建议、专家意见、实际情况，确定最终的验收结果。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4）结果执行与标识：通过医院自动标注等级与有效期，生成授予文件；未通过 / 整改医院生成通知与整改清单。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5）整改跟踪：支持整改跟踪与复核。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3.评审分析与监管服务体系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（1）多维度数据统计分析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为满足主管部门对等级评审工作的全面监管、宏观分析与科学决策需求，系统需提供多维度数据统计分析功能。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1）核心统计维度：系统需预设时间、地区、医院类别、评审类型等核心统计维度，并可自由组合。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2）基础数据统计：基于上述维度，系统可实现多种基础数据的自动统计与汇总。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3）决策支持：统计数据为主管部门掌握全省评审工作整体进展、评估政策实施效果、识别薄弱环节、制定区域性帮扶政策、优化资源配置提供有力的量化数据支撑。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（2）验收结果深度统计与分析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系统需针对验收通过率开展专项统计分析，精准反映不同地区、不同类别医院在评审工作中的整体表现与差距。</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1）通过率计算：按地区、医院类别、时间周期等维度计算验收通过率数据，即验收通过的医院数量除以参与验收医院总数（或符合资格基数）。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2）结构化列表展示：结果以结构化列表形式存储与展示。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3）排序与对比：列表支持按通过率从高到低或从低到高排序，支持按绝对数量排序。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4）薄弱点识别：通过通过率统计，支持主管部门快速识别验收工作的薄弱地区（通过率低）、薄弱医院类别（如某些专科医院通过率偏低）。</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（3）核心指标达标对比分析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为深入分析同类型中医医院在建设质量上的差异，系统需预设各等级医院评审的核心指标体系。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1）核心指标库：核心指标需涵盖医疗质量与安全、服务能力、运营效率、可持续发展等关键维度。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2）自动提取与比对：系统需支持自动提取同类型各参评医院的核心指标实际数据，支持将这些数据与预设的标准达标值进行逐一比对分析。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达标对比表生成：支持生成核心指标达标对比表。需涵盖同类型医院名单、各项核心指标的实际数值、达标状态（达标/未达标/超标）、与标准值/标杆值的绝对差距与相对差距（百分比）、在同类型医院中的排名（可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4）汇总统计：需支持对达标情况进行汇总统计，计算同类型医院核心指标的整体达标率、单个指标的达标医院占比、平均达标水平等数据。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5）优势短板定位：支持主管部门直观掌握同类型医院在核心建设指标上的差异，精准定位各医院的优势领域与短板弱项。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（4）核心指标趋势分析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系统需支持以时间为核心轴，对各中医医院及全省整体的核心指标数据开展长期跟踪与趋势分析。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1）历史数据整合：需自动整合各医院在不同年度的核心指标数据。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2）专业分析方法：需运用专业的统计分析方法，对数据进行整理与深度分析。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3）预警与预判：需对指标持续下滑、增长停滞等异常情况进行辅助预警与研判。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（5）可视化图表生成与灵活导出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为提升统计分析结果的可视化效果、可读性与实用性，系统需将所有统计分析数据转化为直观易懂、美观专业的可视化图表。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1）丰富图表类型：系统需支持柱状图/条形图、折线图、雷达图、地图（热力图）、散点图等多种主流图表类型，适配不同的分析展示需求。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2）自定义图表生成：需支持用户在系统界面自主选择统计维度、需要展示的指标、图表类型、时间范围、筛选条件等，实时生成对应的可视化图表。需支持图表标题、图例、坐标轴标签的自定义。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3）导出与打印功能：系统需提供完善的图表导出与打印功能。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4）信息完整性：导出的图表需自动保留原始数据标识、图例说明、单位、数据来源、生成时间等关键信息。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（6）新标准下智能化评审数据统计分析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鉴于新评审标准下更多条款采用数据自动抓取、智能化计算等评审方式，系统需在现有统计分析板块基础上新增对应的深度数据统计与分析功能，最大化利用智能化评审产生的海量数据。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1）数据抓取覆盖率分析：需统计各医院、各地区数据自动接口的接入率、数据抓取的完整性、及时性。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2）自动评分分布分析：需支持分析由系统自动计算评分的条款（主要是第二部分数据指标）的得分分布情况、高分/低分条款聚集领域。</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3）人机评分一致性分析：需支持对比分析系统自动评分结果与专家现场复核评分结果的一致性程度。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4）异常数据预警统计：统计系统自动识别并标记的异常数据（如逻辑矛盾、超常波动、离群值）的数量、类型、分布，反映数据质量状况。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5）智能化评审效能评估：需支持分析智能化评审在提升评审效率、减少人为误差、增强客观性方面的实际效果。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（7）评审周期智能提醒与进度反馈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依据等级医院评审4年一周期、动态管理等规定，系统需在评委会及省中医药管理局/卫健委端，建立智能化的评审周期管理与提醒机制。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1）周期自动计算：系统需支持根据每家医院上次评审通过时间，自动计算其下一次应接受评审的时间窗口。</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2）分级提醒触发：需支持按年度、半年度、季度自动触发不同级别的评审进度反馈与提醒：</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3）进度仪表盘：需为管理部门提供全省评审周期进度总览仪表盘，清晰展示各医院所处阶段、距离下次评审的时间倒计时、整体工作进度百分比等。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4）保障按时推进：需提供自动化、分级化的提醒机制，有效保障全省等级评审工作按时推进。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（8）年度“回头看”持续改进机制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需提供专门的年度“回头看”功能页面，强化评审结果的持续运用与医院质量的持续改进。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1）覆盖内容：需覆盖前置条件保持情况、核心数据指标年度变化、上年度评审指出问题的整改落实情况等重点内容。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2）年度维度查阅：需支持按年度维度查阅与复盘。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3）数据自动对比：系统需支持自动调取医院在“回头看”年度的日常监测数据，与评审时的数据进行对比，分析指标变化趋势。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4）整改追踪：需重点展示医院对上一年度（或上一轮）评审中指出问题的整改措施、整改成效佐证材料、主管部门复核意见。对整改不力或问题反弹的需进行标记。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5）结果运用：系统需支持生成“回头看”分析报告。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数据优化与协同服务体系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（1）系统化数据清洗与整合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为保障系统内数据的一致性、准确性、完整性与可用性，系统需建立完善、高效的数据清洗与整合机制，对自动采集及手动录入的数据进行系统化处理。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1）核心清洗工作：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纠错处理：需支持运用预设的数据校验规则库，自动识别并标记存在错误的数据。对于可自动修正的错误，系统需在记录日志后尝试修正；对于无法自动修正的，需支持标记并进入人工核查流程。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补全处理：需支持对缺失的关键数据字段进行自动标记，并通过系统消息、邮件等方式提醒相关单位或责任人补充完善。对于确实无法补充的数据，需在系统中标注缺失原因。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2）集中加载与整合：需支持将经过清洗后的高质量数据，按照系统设计的标准化数据表结构，批量加载到系统核心数据库中。</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（2）严格的手动数据录入校验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针对无法通过自动采集获取的数据，系统需提供友好、便捷的手动录入界面，并配套严格的数据校验规则，并即时反馈错误。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（3）指标固化表分类精细化优化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需根据等级评审的不同验收类型和医院业务开展的实际情况，对系统内的指标固化表进行细致的分类与优化。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1）按评审类型分类：需针对不同评审类型的特点，设计差异化的指标固化方案。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2）按业务特点分类：系统需支持为不同类别医院配置略有差异的指标固化表，突出其特色指标。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3）细化固化规则：需重新梳理并细化各指标的固化规则，明确每个指标的采集频率、数据来源、统计口径及存储结构。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4）灵活性与扩展性：需确保指标固化方案既符合各类医院的业务特色与评审核心需求，又具备良好的灵活性与扩展性。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（4）指标计算口径统一与动态更新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需支持深入分析并解决系统中可能存在的“多业务同指标不同计算口径”的历史遗留问题。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1）统一计算逻辑：需对每一个指标，在系统中以详细的、结构化的文档形式明确其唯一的、标准的计算逻辑。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2）口径变更管理机制：需建立指标计算口径变更的管理流程。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3）保障一致可比：需通过统一口径与动态更新机制，保证系统内所有数据在不同时间、不同场景下的一致性和可比性。</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4.2.2中医重点专科验收系统功能扩展</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评审标准管理体系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（1）中医专科特色指标体系深度适配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系统需对原有专科评审指标体系进行深度适配与升级，以构建多维、精准、特色的指标体系。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1）兼顾国标与省情：指标体系需严格对标国家中医重点专科建设标准，同时结合江苏省中医药发展实际情况与政策导向。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2）核心指标阈值明确：需为每个专科的核心指标设定明确的达标阈值作为评审的关键依据。阈值设定需基于行业标准、历史数据及发展目标，动态调整。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（2）全流程专科标准更新追溯机制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为保障中医重点专科验收标准的可追溯性与权威性，系统需内置完善的标准更新自动记录与管理机制，还需特别关注中医特色标准的演变。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1）信息留存：当专科评审标准发生变动时，系统后台需自动触发更新信息记录程序，需涵盖更新核心内容、精确时间节点、官方依据与原因。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2）专用日志模块：所有更新记录需统一存储于系统专用日志模块，实行权限管理。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3）多维查询与追溯：日志需支持按更新时间范围、涉及专科类别、更新类型、发布机构、是否涉及中医特色等多维度查询。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（3）多渠道专科标准更新通知推送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为确保所有相关用户及时知晓标准更新信息，保障验收工作严格依据最新标准开展，系统需构建多渠道、全方位的消息推送机制。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1）自动触发推送：当专科标准完成更新并通过审核后，系统需自动向所有关联用户推送通知。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2）多样化推送渠道：需支持站内消息推送、定向推送。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评审验收流程管理体系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（1）资格预审与历史数据智能联动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为提升中医重点专科资格预审工作的效率与准确性，系统需建立与原江苏省中医重点专科评审结果数据库的自动关联与数据同步机制。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1）标准化数据接口：需采用标准化接口对接。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2）精准匹配与提取：对原评审结果数据库，通过科室核心信息匹配并自动提取科室历史成绩、等级、评分、时间、效期、意见、问题清单、整改完成情况等。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3）数据对比与参考：需支持历史数据与本次申报数据自动对比，生成“历次评审变化分析”。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（2）资格条件灵活预设与智能筛选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系统需支持主管部门在后台灵活配置中医重点专科资格预审条件参数，需适配不同批次、不同类型评审需求。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1）多维度条件配置：预设的资格条件需涵盖历史成绩、时间间隔要求、基本条件、中医特色、整改完成要求及无重大事故等多个核心维度：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2）自动化筛选判断：系统需支持自动化筛选与逻辑判断，快速确定科室否具备申请资格。</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t xml:space="preserve">资格不符精准提示与引导</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对于经系统初步筛查后不符合资格预审条件的科室，系统需支持在其申请页面实时显示提示信息。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1）标准化提示格式：提示信息需清晰列明不符合的具体资格条件条款、当前实际值、标准要求的阈值、不通过的原因分析。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2）申诉通道：需提供在线申诉通道，允许科室提交补充说明材料，由主管部门人工复核。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（4）规范化专科验收申请填写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针对通过资格预审的科室，系统需开放专门的中医重点专科验收申请填写入口，引导科室规范、完整地提交申请信息。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1）结构化专科表单：页面需设置清晰的必填项和选填项，涵盖科室基本信息：、验收申请理由、建设情况综述。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2）实时保存：需支持实时自动保存，分阶段填写，预览确认。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3）中医特色强调：表单设计中需特别突出中医特色内涵建设、特色技术应用、名老中医传承等内容的填写要求与引导。</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（5）多元化证明材料上传与管理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为保障验收申请的真实性与完整性，系统需在申请页面设置专门的证明材料上传区域，还需特别关注中医特色佐证材料。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1）分类上传：需支持按评审条款或材料类型分类上传。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2）中医特色材料专区：需可设置“中医特色佐证材料”专区，鼓励上传名老中医工作室建设材料、特色制剂批文、中医技术方案、患者感谢信等。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3）批量上传与管理：需支持批量上传，大小限制，命名规范，在线预览、下载、删除、重新上传。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（6）自动化申请信息格式检查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科室提交验收申请后，系统需立即自动启动申请信息格式检查流程。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1）完整性校验：需校验所有必填项是否填写。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2）格式规范性校验：需检查材料格式、大小、命名、数量是否符合要求。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3）中医特色材料检查：需检查是否按要求上传了体现中医特色的关键佐证材料。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4）检查结果反馈：需生成详细检查报告，未通过需修改后重新提交。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（7）主管部门在线审核与协同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通过格式检查的申请信息，需自动流转至主管部门的审核工作台。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1）待办列表与筛选：需支持查看待审核申请，支持按专科、地区、申请类型等筛选。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2）详情查看与核验：需支持完整查看申请信息、证明材料（含视频在线播放）、历史数据对比。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3）在线批注与沟通：需支持在线批注功能。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4）审核结论：支持做出“审核通过”“退回修改”“审核不通过”等结论，自动反馈。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（8）审核结果多渠道即时反馈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主管部门完成审核后，系统需立即通过站内信、短信等多渠道向申请科室反馈审核结果。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（9）中医专科专家智能推荐与匹配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为保障中医重点专科评审的专业性、公正性与高效性，系统在专家分配环节需支持针对中医专科的专家智能推荐功能。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1）多维度匹配算法：需综合考量中医专业领域、地域回避原则、任务负载均衡、学术影响力信息。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（10）专家分配灵活调整与任务下达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需支持对推荐专家进行灵活调整，确定后系统需自动向专家发送详细的评审任务通知。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（11）线上数据评审实施（专科版）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需提供中医专科专属的线上评审页面，涵盖专科数据全景展示、便捷评分操作、附件上传、提交校验与防遗漏、交互优化、实时同步模块内容。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（12）现场评审数字化支持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针对需要现场评审的专科，提供现场评审专属模块，涵盖专科化记录模板、医特色技术现场考核、中医病案抽查、患者访谈、环境与文化氛围模块。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（13）智能化专科验收报告生成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评审完成后，系统需自动生成标准化的《中医重点专科验收报告》，要求报告内容全面、格式规范统一、多格式导出。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（14）验收结果综合评定与闭环管理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需支持省中管局基于报告开展综合评定，提供预设评定规则、自动化辅助评定、最终结果确定、结果执行与标识功能支撑。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评审分析与监管服务体系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（1）多维度专科数据统计分析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为满足主管部门对中医重点专科评审工作的全面监管与分析需求，系统需提供多维度数据统计功能。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1）核心统计维度：需覆盖时间维度、地区维度、专科类别维度、医院级别维度。</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2）基础数据统计：需支持统计各地区、各专科、各级别医院在特定时间段内的验收申请数量、参与评审科室数量、验收通过数量、未通过数量、暂缓通过数量、通过率等。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3）中医特色专项统计：需支持单独统计各专科中医特色指标的平均达标率、特色技术开展普及率等。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4）决策支持：需为主管部门掌握全省中医专科建设整体进展、识别薄弱地区与薄弱专科、制定区域性/专科性扶持政策提供数据支撑。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（2）专科验收通过率统计与分析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系统需专门针对中医重点专科验收通过率开展专项统计分析，涵盖通过率计算、结构化列表展示、排序与对比、薄弱点识别。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（3）专科核心指标达标对比分析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为深入分析同类型中医专科的建设质量差异，系统需支持预设各中医专科类别的核心指标体系。需涵盖专科核心指标库、自动提取与比对同类型专科指标、达标对比表生成、汇总统计、优势短板定位模块。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（4）专科核心指标长期趋势分析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系统需支持以时间为核心轴，对各中医专科的核心指标数据开展长期跟踪与趋势分析，涵盖历史数据整合、专业分析方法、年度变化趋势图、交互式探索、预警与预判模块。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（5）可视化图表生成与灵活导出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需支持将所有中医专科统计分析数据转化为直观易懂的可视化图表，提供丰富图表类型、自定义图表生成、导出与打印功能。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（6）评审周期智能提醒与进度反馈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需依据中医重点专科建设周期规定，建立智能化提醒机制，提供周期自动计算、分级提醒触发、进度仪表盘功能，保障全省中医重点专科评审工作有序推进。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（7）年度“回头看”持续改进机制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需提供中医重点专科年度“回头看”功能页面。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1）覆盖内容：需覆盖前置条件保持、核心数据年度变化、上年度评审指出问题的整改落实情况。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2）年度维度查阅：需支持按年度查阅复盘。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3）数据自动对比：需支持对比日常监测数据与评审数据，分析中医特色指标变化。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4）整改追踪：需重点追踪中医特色相关问题的整改成效。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5）结果运用：需支持“回头看”结果运用，推动中医专科持续加强内涵建设。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数据优化与协同服务体系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（1）自动化专科数据采集与汇聚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实现中医专科评审数据的自动化汇聚，减少人工录入，系统需开发与省全民健康信息平台、省公立医院绩效考核平台等系统的标准化适配接口。需应用标准化协议，支持灵活采集周期配置，支持广泛数据范围的采集及初步格式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（2）系统化专科数据清洗与整合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需支持建立完善的中医专科数据清洗与整合机制。</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1）核心清洗工作：需包括去重、纠错、补全。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2）数据转换与标准化：需支持类型转换、编码标准化、单位统一。</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3）集中加载与整合：需支持加载到核心数据库，统一管理。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（3）手动数据录入校验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针对无法自动采集的中医特色数据，需提供手动录入界面与严格校验。</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（4）专科指标固化表分类精细化优化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需支持根据中医专科能力验收类型（初次验收、定期复审）和各专科业务特点，对指标固化表进行细致分类与优化。包括按验收类型分类、按专科特点分类，需细化固化规则并具备灵活性与扩展性。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（5）专科指标计算口径统一与动态更新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需支持深入分析并统一中医专科多业务同指标不同计算口径的问题，紧密参考评审标准与国考要求，包括统一计算逻辑、建立口径变更管理机制、保障一致可比。</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4.2.3中医急诊专科评审管理</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（1）急诊评审标准管理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特色标准展示：需支持构建分层目录式标准展示页面，清晰呈现中医急诊专科评审核心标准内容，需特别突出中医在急症处理中的特色与优势指标。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精准定位筛选：需支持设置中医急诊专科专属筛选入口，支持按急诊特色验收维度快速筛选，直接定位中医急诊专科对应维度的评审标准。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关键词检索：需提供关键词搜索功能，支持检索中医急诊专属指标与技术，快速匹配并展示相关标准及所属维度信息。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标准动态管理：需自动记录中医急诊专科标准的更新内容、时间及原因，支持管理员修改标准并对变动部分标记，同步推送更新通知。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（2）急诊评审流程管理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急诊专属申请管理：需提供中医急诊专科申报专属填写页面，引导科室规范填写申请内容。需支持上传证明材料。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审核与评审协同：系统需自动校验申请信息完整性及材料格式，通过后流转至主管部门审核；审核结果通过多渠道反馈，支持主管部门批注意见。支持智能推荐中医急诊领域专家完成任务分配与确认；支持线上数据评审+现场评审模式，自动汇总评审意见生成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结果闭环管理：需支持对通过验收的科室标注专属标识并生成称号授予文件；未通过的科室，支持整改意见反馈。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（3）评审分析与监管服务（急诊专项）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维度统计分析：需支持按时间、地区维度统计中医急诊专科评审数据。需聚焦急诊专科核心指标开展达标情况对比及年度趋势分析。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可视化展示与应用：需支持将急诊专科评审数据、通过率、核心指标对比及趋势分析结果，以可视化图表呈现，支持图表导出与打印。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（4）数据优化与协同服务（急诊专项）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多源数据协同：需搭建与专科能力监测信息、急诊信息等数据源的适配接口，自动采集中医急诊专科相关数据。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数据质量管控：需对采集数据进行清洗整合，需提供手动录入与批量导入功能，并配套急诊专科数据录入模板与严格校验规则。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指标体系优化：需结合中医急诊专科验收类型，优化指标固化表分类，聚焦急诊特色指标固化；需参考国考及急诊质控要求，统一急诊专科指标计算口径，明确计算逻辑并同步更新历史数据。</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4.2.4中医处方监管系统</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1.监管规则知识库管理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（1）基础规则库初始化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需严格依据国家及江苏省相关政策要求，初始化核心监管规则，每类规则需明确判定逻辑、量化指标、适用范围及例外情形。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（2）规则自定义配置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1）配置入口：需为省质控中心管理员、医政处监管人员开放专属配置权限，提供可视化规则配置界面。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2）配置要素：需支持自定义规则名称、规则类型、适用范围、判定条件、量化阈值、例外情形、数据依赖字段。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3）规则生效：新增/修改规则后，需支持立即生效或设定生效时间；支持对规则进行“启用/停用”状态切换，停用规则不参与筛查但保留历史记录。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（3）规则版本管理与沉淀</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1）版本记录：系统需支持规则版本记录，并保留所有历史版本，支持版本回溯查询。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2）规则沉淀：所有初始化规则、自定义新增/修改规则需统一纳入江苏省中医药监管规则知识库。</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3）规则推荐：系统需定期向管理员推荐高频使用、效果显著的规则。</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2.处方智能筛查模块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（1）定期自动筛查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1）筛查周期：需支持按固定筛查周期自动筛查及手动触发即时筛查。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2）筛查范围：默认覆盖全省所有中医院的中药处方表与西药处方表，同时支持按区域、机构、时间区间灵活筛选筛查范围。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3）规则应用：筛查时自动加载知识库中所有“启用”状态的规则对相应处方进行逐条遍历校验，筛出异常处方。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（2）筛查任务管理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1）任务监控：系统需展示当前筛查任务进度、处理处方数量、异常处方检出数量，支持暂停、重启筛查任务。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2）任务日志：需提供任务日志记录功能。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3）增量筛查：需支持增量数据筛查。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（3）异常处方标记与分类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1）标记规则：每一张异常处方需支持按触发的规则类型进行分类标记。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2）数据关联：异常处方需与处方相关信息进行关联存储，为后续下钻分析与点评提供完整数据支撑。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（4）专家点评待办列表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需支持将筛查出的问题处方标记为“待点评”状态，并生成专家点评待办任务清单，推送至省卫健委指定专家账号，明确点评时限。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多级下钻与汇总分析模块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（1）区域维度分析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1）核心指标：需支持不同区域维度的核心指标展示。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2）可视化展示：需支持采用柱状图对比各区域异常处方占比，折线图展示区域异常处方趋势变化。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3）下钻功能：需支持区域下钻至该区域所属的机构维度分析页面。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（2）机构维度分析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1）核心指标：需支持按机构维度展示各中医院的核心指标。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2）对比分析：需机构相关指标排序，提供机构异常处方趋势图。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3）下钻功能：需支持由机构下钻至科室维度分析页面。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（3）科室维度分析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1）核心指标：需支持按机构内各临床科室展示核心指标。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2）横向对比：需支持同一机构内不同科室的异常处方占比对比，以及不同机构同类型科室的异常处方水平对标。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3）下钻功能：需支持由科室下钻至该科室所属的个人维度分析页面。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（4）个人维度分析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1）核心指标：需支持按医师维度展示核心指标。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2）明细关联：需支持将医师异常处方总数与异常处方列表及处方明细关联展示。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（5）多维度汇总与可视化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1）筛选条件：需支持按时间周期、异常类型、处方类型、患者年龄段等多条件组合筛选分析数据。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2）图表类型：需提供多种展示形式，支持图表自定义配置。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3）数据导出：需支持将各维度分析结果、汇总表格导出为 Excel、PDF 格式，支持批量导出与单条明细导出。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处方明细查询与专家点评模块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（1）精准处方查询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1）查询权限：仅授予指定人员，并需通过身份认证与操作日志绑定。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2）查询条件：需支持多条件组合查询，支持模糊查询。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3）明细展示：查询结果需支持展示脱敏后的处方完整信息。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（2）专家在线点评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1）点评模板：系统需提供标准化点评模板。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2）点评操作：需支持专家对单张处方点评，或对同一类型、同一问题的多张处方进行批量点评。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3）点评结果分级：需提供专家点评结论分级标识，分为 “一般问题”“较重问题”“严重问题” 三类。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4）点评追溯：系统需记录每一张处方的所有点评记录，保留点评人、修改时间、修改内容。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（3）点评结果管理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1）点评状态：需支持处方点评状态划分，支持按状态筛选处方。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2）点评统计：系统需自动统计专家点评工作量，生成专家点评工作报表。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3）点评审核：对于重大争议处方，需支持提交至省卫健委医政处进行复核，复核结果为最终点评结论。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（4）医院反馈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1）点评结果推送：点评完成后，系统需立即向医院反馈点评结果。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2）医院异议申诉：需支持医院异议申诉操作。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3）异议复核及规则优化：需支持对医院申诉进行复核，根据复核取消或保持异常标记，完善规则例外情形库，反馈复核意见。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（5）监督条线接口联动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需提供与江苏省卫生监督系统的标准化数据接口，将需联动卫生健康监督条线介入处理的处方核心信息实时推送至监督条线系统，进行下一步的联动处理。</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64" w:name="_Toc4607"/>
      <w:r>
        <w:rPr>
          <w:rFonts w:hint="eastAsia" w:ascii="方正仿宋_GBK" w:hAnsi="方正仿宋_GBK" w:eastAsia="方正仿宋_GBK" w:cs="方正仿宋_GBK"/>
          <w:b/>
          <w:color w:val="000000"/>
          <w:sz w:val="28"/>
          <w:szCs w:val="28"/>
          <w:highlight w:val="none"/>
        </w:rPr>
        <w:t xml:space="preserve">4.3质控中心管理服务功能扩展</w:t>
      </w:r>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4.3.1省中医肾病专业质控中心</w:t>
      </w:r>
      <w:bookmarkEnd w:id="164"/>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65" w:name="_Hlk129607314"/>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需依托全民健康信息平台，通过读取分布式文件管理系统中的标准化文件，实现中医肾病相关数据的自动化汇聚。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系统需对接江苏省全民健康信息平台，覆盖中医肾病诊疗全流程的关键数据节点，主要包括：患者病案首页；病程记录；医嘱记录；检验检查记录；门诊挂号信息；门诊诊疗信息；处方信息；费用信息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需建立标准化的中医肾病专科数据治理体系，对采集的多源异构数据进行清洗、转换与标准化处理，需涵盖标准化质控、主题分析质控、单机构数据分析、质控反馈治理内容。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肾病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肾病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题性的数据挖掘与报表生成，为行政决策提供即时数据支撑。需覆盖热淋患者中医临床路径入径率、慢肾风患者中医临床路径入径率、高价饮片统计（使用量排名前列的高价饮片品种、金额占比及处方医师分布）、消费指数分析（分析不同地区、不同级别医院的中医肾病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肾病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66" w:name="OLE_LINK8"/>
      <w:r/>
      <w:bookmarkStart w:id="167" w:name="_Hlk195087320"/>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肾病专业整体情况开发质控画像，对全省中医肾病专业按照质控中心和科室两个维度进行全方位分析，使管理者能够及时了解省内中医肾病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67"/>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质控中心画像的作用在于对全省中医肾病专业进行全方位多维度的分析，需包含质控概况、基本信息、医疗运营、指标排名等方面。质控画像指标相关内容需定期更新。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66"/>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针对具体全省质控对象进行画像，机构科室画像设计思路和质控画像一致，体现具体机构中医肾病专业的发展水平和业务能力。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68" w:name="OLE_LINK18"/>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w:t>
      </w:r>
      <w:bookmarkStart w:id="169" w:name="OLE_LINK13"/>
      <w:r>
        <w:rPr>
          <w:rFonts w:hint="eastAsia" w:ascii="方正仿宋_GBK" w:hAnsi="方正仿宋_GBK" w:eastAsia="方正仿宋_GBK" w:cs="方正仿宋_GBK"/>
          <w:color w:val="000000"/>
          <w:sz w:val="28"/>
          <w:szCs w:val="28"/>
          <w:highlight w:val="none"/>
        </w:rPr>
        <w:t xml:space="preserve">中医肾病专业</w:t>
      </w:r>
      <w:bookmarkEnd w:id="169"/>
      <w:r>
        <w:rPr>
          <w:rFonts w:hint="eastAsia" w:ascii="方正仿宋_GBK" w:hAnsi="方正仿宋_GBK" w:eastAsia="方正仿宋_GBK" w:cs="方正仿宋_GBK"/>
          <w:color w:val="000000"/>
          <w:sz w:val="28"/>
          <w:szCs w:val="28"/>
          <w:highlight w:val="none"/>
        </w:rPr>
        <w:t xml:space="preserve">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68"/>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肾病专业质控指标共计11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除了列表汇总外，系统还需支持趋势图展示相关中医肾病专业质控指标的发展情况，同时可以选择多个指标，进行对比展示。查询结果系统支持导出功能。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需支持对各机构进行统一评分，各机构的中医肾病专业根据评分结果进行排名。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65"/>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需聚焦江苏省中医药专业质控工作痛点，针对全省54家中医相关医疗机构的10项核心质控指标，以季度为单位构建全流程、自动化的指标偏差质控体系。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 / 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需内置标准的中医肾病质控报告模板，支持对模板结构与内容进行动态调整。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4.3.2省中医老年专业质控中心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需依托全民健康信息平台，通过读取分布式文件管理系统中的标准化文件，实现中医老年病相关数据的自动化汇聚。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系统需对接江苏省全民健康信息平台，覆盖中医老年病诊疗全流程的关键数据节点，主要包括：患者病案首页；病程记录；医嘱记录；检验检查记录；门诊挂号信息；门诊诊疗信息；处方信息；费用信息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需建立标准化的中医老年病专科数据治理体系，对采集的多源异构数据进行清洗、转换与标准化处理，需涵盖标准化质控、主题分析质控、单机构数据分析、质控反馈治理内容。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老年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老年病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题性的数据挖掘与报表生成，为行政决策提供即时数据支撑。需覆盖自制剂监管分析（针对医疗机构自制制剂的使用情况进行专项统计）、住院患者中医老年优势病种覆盖率、抗菌药物治疗前病原学送检率、住院患者多重用药占比、高价饮片统计（使用量排名前列的高价饮片品种、金额占比及处方医师分布）、消费指数分析（分析不同地区、不同级别医院的老年病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老年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老年专业整体情况开发质控画像，对全省中医老年专业按照质控中心和科室两个维度进行全方位分析，使管理者能够及时了解省内中医老年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质控中心画像的作用在于对全省中医老年专业进行全方位多维度的分析，需包含质控概况、基本信息、医疗运营、指标排名等方面。质控画像指标相关内容需定期更新。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针对具体全省质控对象进行画像，机构科室画像设计思路和质控画像一致，体现具体机构中医老年专业的发展水平和业务能力。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70" w:name="OLE_LINK26"/>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需展示中医老年专业质控中心的建设情况和发展特色，以及该质控中心成员介绍，同时支持快速查询质控中心成员信息。中心建设情况和成员信息可由管理员及时进行更新维护。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70"/>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老年专业质控指标共计12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需支持对各机构进行统一评分，各机构的中医老年专业根据评分结果进行排名。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需聚焦江苏省中医药专业质控工作痛点，针对全省54家中医相关医疗机构的11项核心质控指标，以季度为单位构建全流程、自动化的指标偏差质控体系。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需支持机构维度偏差指标统计，并支持按“偏差指标总数”“高偏差指标数”对各家机构进行排序。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需内置标准的中医老年病质控报告模板，支持对模板结构与内容进行动态调整。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4.3.3省中医妇科专业质控中心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需依托全民健康信息平台，通过读取分布式文件管理系统中的标准化文件，实现中医妇科相关数据的自动化汇聚。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系统需对接江苏省全民健康信息平台，覆盖中医妇科诊疗全流程的关键数据节点，主要包括：患者病案首页；病程记录；医嘱记录；检验检查记录；门诊挂号信息；门诊诊疗信息；处方信息；费用信息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需建立标准化的中医妇科专科数据治理体系，对采集的多源异构数据进行清洗、转换与标准化处理，需涵盖标准化质控、主题分析质控、单机构数据分析、质控反馈治理内容。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妇科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妇科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w:t>
      </w:r>
      <w:r>
        <w:rPr>
          <w:rFonts w:hint="eastAsia" w:ascii="方正仿宋_GBK" w:hAnsi="方正仿宋_GBK" w:eastAsia="方正仿宋_GBK" w:cs="方正仿宋_GBK"/>
          <w:color w:val="000000"/>
          <w:sz w:val="28"/>
          <w:szCs w:val="28"/>
          <w:highlight w:val="none"/>
        </w:rPr>
        <w:t xml:space="preserve">定制化的数据统计分析服务，支持临时性、专题性的数据挖掘与报表生成，为行政决策提供即时数据支撑。需覆盖自制剂监管分析（针对医疗机构自制制剂的使用情况进行专项统计）、手术患者平均住院日、宫腔镜（子宫内膜息肉）中医临床路径完成率、子宫肌瘤患者术前诊断的准确率、腹腔镜子宫肌瘤剔除术无瘤技术比例、高价饮片统计（使用量排名前列的高价饮片品种、金额占比及处方医师分布）、消费指数分析（分析不同地区、不同级别医院的中医妇科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妇科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妇科专业整体情况开发质控画像，对全省中医妇科专业按照质控中心和科室两个维度进行全方位分析，使管理者能够及时了解省内中医妇科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质控中心画像的作用在于对全省中医妇科专业进行全方位多维度的分析，需包含质控概况、基本信息、医疗运营、指标排名、手术能力等方面。质控画像指标相关内容需定期更新。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针对具体全省质控对象进行画像，机构科室画像设计思路和质控画像一致，体现具体机构中医妇科专业的发展水平和业务能力。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机构科室画像同样需包含质控概况、基本信息、医疗运营、指标排名、手术能力等方面。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机构科室画像同质控画像需一样定期更新。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71" w:name="OLE_LINK30"/>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需展示中医妇科专业质控中心的建设情况和发展特色，以及该质控中心成员介绍，同时支持快速查询质控中心成员信息。中心建设情况和成员信息可由管理员及时进行更新维护。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71"/>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开始进行质控指标填报，中医妇科质控指标共计12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需支持对各机构进行统一评分，各机构的中医妇科专业根据评分结果进行排名。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需聚焦江苏省中医药专业质控工作痛点，针对全省54家中医相关医疗机构的12项核心质控指标，以季度为单位构建全流程、自动化的指标偏差质控体系。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需内置标准的中医妇科质控报告模板，支持对模板结构与内容进行动态调整。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4.3.4省中医儿科专业质控中心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w:t>
      </w:r>
      <w:bookmarkStart w:id="172" w:name="OLE_LINK25"/>
      <w:r>
        <w:rPr>
          <w:rFonts w:hint="eastAsia" w:ascii="方正仿宋_GBK" w:hAnsi="方正仿宋_GBK" w:eastAsia="方正仿宋_GBK" w:cs="方正仿宋_GBK"/>
          <w:color w:val="000000"/>
          <w:sz w:val="28"/>
          <w:szCs w:val="28"/>
          <w:highlight w:val="none"/>
        </w:rPr>
        <w:t xml:space="preserve">儿科</w:t>
      </w:r>
      <w:bookmarkEnd w:id="172"/>
      <w:r>
        <w:rPr>
          <w:rFonts w:hint="eastAsia" w:ascii="方正仿宋_GBK" w:hAnsi="方正仿宋_GBK" w:eastAsia="方正仿宋_GBK" w:cs="方正仿宋_GBK"/>
          <w:color w:val="000000"/>
          <w:sz w:val="28"/>
          <w:szCs w:val="28"/>
          <w:highlight w:val="none"/>
        </w:rPr>
        <w:t xml:space="preserve">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系统需对接江苏省全民健康信息平台，覆盖中医儿科诊疗全流程的关键数据节点，主要包括：患者病案首页；病程记录；医嘱记录；检验检查记录；门诊挂号信息；门诊诊疗信息；处方信息；费用信息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需建立标准化的中医儿科专科数据治理体系，对采集的多源异构数据进行清洗、转换与标准化处理，需涵盖标准化质控、主题分析质控、单机构数据分析、质控反馈治理内容。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儿科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儿科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w:t>
      </w:r>
      <w:r>
        <w:rPr>
          <w:rFonts w:hint="eastAsia" w:ascii="方正仿宋_GBK" w:hAnsi="方正仿宋_GBK" w:eastAsia="方正仿宋_GBK" w:cs="方正仿宋_GBK"/>
          <w:color w:val="000000"/>
          <w:sz w:val="28"/>
          <w:szCs w:val="28"/>
          <w:highlight w:val="none"/>
        </w:rPr>
        <w:t xml:space="preserve">管局医政处管理需求，提供灵活、定制化的数据统计分析服务，支持临时性、专题性的数据挖掘与报表生成，为行政决策提供即时数据支撑。需覆盖自制剂监管分析（针对医疗机构自制制剂的使用情况进行专项统计）、肺炎喘嗽住院患者中药饮片使用率、肺炎喘嗽住院患者临床路径入径率、肺炎喘嗽住院患者临床路径完成率、高价饮片统计（使用量排名前列的高价饮片品种、金额占比及处方医师分布）、消费指数分析（分析不同地区、不同级别医院的中医儿科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儿科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儿科专业整体情况开发质控画像，对全省中医儿科专业按照质控中心和科室两个维度进行全方位分析，使管理者能够及时了解省内中医儿科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质控中心画像的作用在于对全省中医儿科专业进行全方位多维度的分析，需包含质控概况、基本信息、医疗运营、指标排名等方面。质控画像指标相关内容需定期更新。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针对具体全省质控对象进行画像，机构科室画像设计思路和质控画像一致，体现具体机构中医儿科专业的发展水平和业务能力。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73" w:name="OLE_LINK33"/>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需展示中医儿科专业质控中心的建设情况和发展特色，以及该质控中心成员介绍，同时支持快速查询质控中心成员信息。中心建设情况和成员信息可由管理员及时进行更新维护。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End w:id="173"/>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儿科质控指标共计11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需支持对各机构进行统一评分，各机构的中医儿科专业根据评分结果进行排名。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需聚焦江苏省中医药专业质控工作痛点，针对全省中医相关医疗机构的10项核心质控指标，以季度为单位构建全流程、自动化的指标偏差质控体系。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需内置标准的中医儿科质控报告模板，支持对模板结构与内容进行动态调整。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4.3.5省中医</w:t>
      </w:r>
      <w:bookmarkStart w:id="174" w:name="OLE_LINK1"/>
      <w:r>
        <w:rPr>
          <w:rFonts w:hint="eastAsia" w:ascii="方正仿宋_GBK" w:hAnsi="方正仿宋_GBK" w:eastAsia="方正仿宋_GBK" w:cs="方正仿宋_GBK"/>
          <w:b/>
          <w:color w:val="000000"/>
          <w:sz w:val="28"/>
          <w:szCs w:val="28"/>
          <w:highlight w:val="none"/>
        </w:rPr>
        <w:t xml:space="preserve">急诊</w:t>
      </w:r>
      <w:bookmarkEnd w:id="174"/>
      <w:r>
        <w:rPr>
          <w:rFonts w:hint="eastAsia" w:ascii="方正仿宋_GBK" w:hAnsi="方正仿宋_GBK" w:eastAsia="方正仿宋_GBK" w:cs="方正仿宋_GBK"/>
          <w:b/>
          <w:color w:val="000000"/>
          <w:sz w:val="28"/>
          <w:szCs w:val="28"/>
          <w:highlight w:val="none"/>
        </w:rPr>
        <w:t xml:space="preserve">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需依托全民健康信息平台，通过读取分布式文件管理系统中的标准化文件，实现中医急诊相关数据的自动化汇聚。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系统需对接江苏省全民健康信息平台，覆盖中医急诊诊疗全流程的关键数据节点，主要包括：患者病案首页；病程记录；医嘱记录；检验检查记录；门诊挂号信息；门诊诊疗信息；处方信息；费用信息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需建立标准化的中医急诊专科数据治理体系，对采集的多源异构数据进行清洗、转换与标准化处理，需涵盖标准化质控、主题分析质控、单机构数据分析、质控反馈治理内容。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急诊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急诊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题性的数据挖掘与报表生成，为行政决策提供即时数据支撑。需覆盖自制剂监管分析（针对医疗机构自制制剂的使用情况进行专项统计）、同期急诊诊断为脓毒性休克的患者总人数、急诊中毒患者死亡人数、同期急性中毒患者总人数、高价饮片统计（使用量排名前列的高价饮片品种、金额占比及处方医师分布）、消费指数分析（分析不同地区、不同级别医院的中医急诊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急诊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急诊专业整体情况开发质控画像，对全省中医急诊专业按照质控中心和科室两个维度进行全方位分析，使管理者能够及时了解省内中医急诊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质控中心画像的作用在于对全省中医急诊专业进行全方位多维度的分析，需包含质控概况、基本信息、医疗运营、指标排名等方面。质控画像指标相关内容需定期更新。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针对具体全省质控对象进行画像，机构科室画像设计思路和质控画像一致，体现具体机构中医急诊专业的发展水平和业务能力。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需展示中医急诊专业质控中心的建设情况和发展特色，以及该质控中心成员介绍，同时支持快速查询质控中心成员信息。中心建设情况和成员信息可由管理员及时进行更新维护。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急诊质控指标共计11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需支持对各机构进行统一评分，各机构的中医急诊专业根据评分结果进行排名。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需聚焦江苏省中医药专业质控工作痛点，针对全省54家中医相关医疗机构的5项核心质控指标，以季度为单位构建全流程、自动化的指标偏差质控体系。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需内置标准的中医急诊质控报告模板，支持对模板结构与内容进行动态调整。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4.3.6省中医心病专业质控中心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需依托全民健康信息平台，通过读取分布式文件管理系统中的标准化文件，实现中医心病相关数据的自动化汇聚。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系统需对接江苏省全民健康信息平台，覆盖中医心病诊疗全流程的关键数据节点，主要包括：患者病案首页；病程记录；医嘱记录；检验检查记录；门诊挂号信息；门诊诊疗信息；处方信息；费用信息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需建立标准化的中医心病专科数据治理体系，对采集的多源异构数据进行清洗、转换与标准化处理，需涵盖标准化质控、主题分析质控、单机构数据分析、质控反馈治理内容。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心病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心病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w:t>
      </w:r>
      <w:r>
        <w:rPr>
          <w:rFonts w:hint="eastAsia" w:ascii="方正仿宋_GBK" w:hAnsi="方正仿宋_GBK" w:eastAsia="方正仿宋_GBK" w:cs="方正仿宋_GBK"/>
          <w:color w:val="000000"/>
          <w:sz w:val="28"/>
          <w:szCs w:val="28"/>
          <w:highlight w:val="none"/>
        </w:rPr>
        <w:t xml:space="preserve">题性的数据挖掘与报表生成，为行政决策提供即时数据支撑。需覆盖自制剂监管分析（针对医疗机构自制制剂的使用情况进行专项统计）、介入手术围术期使用中药的患者例数、同期出院的介入手术患者人数、住院期间通过超声心动图评价 LVEF 的急性 STEMI 患者数、冠脉介入手术术前双重抗血小板患者例数、高价饮片统计（使用量排名前列的高价饮片品种、金额占比及处方医师分布）、消费指数分析（分析不同地区、不同级别医院的中医心病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心病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心病专业整体情况开发质控画像，对全省中医心病专业按照质控中心和科室两个维度进行全方位分析，使管理者能够及时了解省内中医心病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质控中心画像的作用在于对全省中医心病专业进行全方位多维度的分析，需包含质控概况、基本信息、医疗运营、指标排名等方面。质控画像指标相关内容需定期更新。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针对具体全省质控对象进行画像，机构科室画像设计思路和质控画像一致，体现具体机构中医心病专业的发展水平和业务能力。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需展示中医心病专业质控中心的建设情况和发展特色，以及该质控中心成员介绍，同时支持快速查询质控中心成员信息。中心建设情况和成员信息可由管理员及时进行更新维护。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心病专业质控指标共计12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除了列表汇总外，系统还需支持趋势图展示相关中医心病专业质控指标的发展情况，同时可以选择多个指标，进行对比展示。查询结果系统支持导出功能。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需支持对各机构进行统一评分，各机构的中医心病专业根据评分结果进行排名。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需聚焦江苏省中医药专业质控工作痛点，针对全省54家中医相关医疗机构的10项核心质控指标，以季度为单位构建全流程、自动化的指标偏差质控体系。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 / 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需内置标准的中医心病质控报告模板，支持对模板结构与内容进行动态调整。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4.3.7省中医内分泌专业质控中心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需依托全民健康信息平台，通过读取分布式文件管理系统中的标准化文件，实现中医内分泌相关数据的自动化汇聚。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系统需对接江苏省全民健康信息平台，覆盖中医内分泌诊疗全流程的关键数据节点，主要包括：患者病案首页；病程记录；医嘱记录；检验检查记录；门诊挂号信息；门诊诊疗信息；处方信息；费用信息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需建立标准化的中医内分泌专科数据治理体系，对采集的多源异构数据进行清洗、转换与标准化处理，需涵盖标准化质控、主题分析质控、单机构数据分析、质控反馈治理内容。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内分泌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内分泌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响应中管局医政处管理需求，提供灵活、定制化的数据统计分析服务，支持临时性、专题性的数据挖掘与报表生成，为行政</w:t>
      </w:r>
      <w:r>
        <w:rPr>
          <w:rFonts w:hint="eastAsia" w:ascii="方正仿宋_GBK" w:hAnsi="方正仿宋_GBK" w:eastAsia="方正仿宋_GBK" w:cs="方正仿宋_GBK"/>
          <w:color w:val="000000"/>
          <w:sz w:val="28"/>
          <w:szCs w:val="28"/>
          <w:highlight w:val="none"/>
        </w:rPr>
        <w:t xml:space="preserve">决策提供即时数据支撑。需覆盖自制剂监管分析（针对医疗机构自制制剂的使用情况进行专项统计）、T2DM患者胰岛功能评估检查完成率、T2DM患者眼底照相检查完成率、T2DM患者糖尿病肾病相关检查完成率、T2DM患者糖尿病周围神经病变（DSPN）筛查完成率、T2DM患者DXA骨密度检查完成率、高价饮片统计（使用量排名前列的高价饮片品种、金额占比及处方医师分布）、消费指数分析（分析不同地区、不同级别医院的中医内分泌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内分泌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内分泌专业整体情况开发质控画像，对全省中医内分泌专业按照质控中心和科室两个维度进行全方位分析，使管理者能够及时了解省内中医内分泌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质控中心画像的作用在于对全省中医内分泌专业进行全方位多维度的分析，需包含质控概况、基本信息、医疗运营、指标排名等方面。质控画像指标相关内容需定期更新。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针对具体全省质控对象进行画像，机构科室画像设计思路和质控画像一致，体现具体机构中医内分泌专业的发展水平和业务能力。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需展示中医内分泌专业质控中心的建设情况和发展特色，以及该质控中心成员介绍，同时支持快速查询质控中心成员信息。中心建设情况和成员信息可由管理员及时进行更新维护。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内分泌专业质控指标共计11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除了列表汇总外，系统还需支持趋势图展示相关中医内分泌专业质控指标的发展情况，同时可以选择多个指标，进行对比展示。查询结果系统支持导出功能。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需支持对各机构进行统一评分，各机构的中医内分泌专业根据评分结果进行排名。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需聚焦江苏省中医药专业质控工作痛点，针对全省54家中医相关医疗机构的10项核心质控指标，以季度为单位构建全流程、自动化的指标偏差质控体系。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 / 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需内置标准的中医内分泌质控报告模板，支持对模板结构与内容进行动态调整。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4.3.8省中医肿瘤专业质控中心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需依托全民健康信息平台，通过读取分布式文件管理系统中的标准化文件，实现中医肿瘤相关数据的自动化汇聚。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系统需对接江苏省全民健康信息平台，覆盖中医肿瘤诊疗全流程的关键数据节点，主要包括：患者病案首页；病程记录；医嘱记录；检验检查记录；门诊挂号信息；门诊诊疗信息；处方信息；费用信息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需建立标准化的中医肿瘤专科数据治理体系，对采集的多源异构数据进行清洗、转换与标准化处理，需涵盖标准化质控、主题分析质控、单机构数据分析、质控反馈治理内容。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肿瘤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肿瘤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务，支持临时性、专题性的数据挖掘与报表生成，为行政决策提供即时数据支撑。需覆盖自制剂监管分析（针对医疗机构自制制剂的使用情况进行专项统计）、肺癌中医临床路径入径率、肺癌中医临床路径完成率、高价饮片统计（使用量排名前列的高价饮片品种、金额占比及处方医师分布）、消费指数分析（分析不同地区、不同级别医院的中医肿瘤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肿瘤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肿瘤专业整体情况开发质控画像，对全省中医肿瘤专业按照质控中心和科室两个维度进行全方位分析，使管理者能够及时了解省内中医肿瘤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质控中心画像的作用在于对全省中医肿瘤专业进行全方位多维度的分析，需包含质控概况、基本信息、医疗运营、指标排名等方面。质控画像指标相关内容需定期更新。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针对具体全省质控对象进行画像，机构科室画像设计思路和质控画像一致，体现具体机构中医肿瘤专业的发展水平和业务能力。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机构科室画像同样需包含质控概况、基本信息、医疗运营、指标排名、手术能力等方面。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需展示中医肿瘤专业质控中心的建设情况和发展特色，以及该质控中心成员介绍，同时支持快速查询质控中心成员信息。中心建设情况和成员信息可由管理员及时进行更新维护。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肿瘤专业质控指标共计15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除了列表汇总外，系统还需支持趋势图展示相关中医肿瘤专业质控指标的发展情况，同时可以选择多个指标，进行对比展示。查询结果系统支持导出功能。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需支持对各机构进行统一评分，各机构的中医肿瘤专业根据评分结果进行排名。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需聚焦江苏省中医药专业质控工作痛点，针对全省54家中医相关医疗机构的11项核心质控指标，以季度为单位构建全流程、自动化的指标偏差质控体系。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 / 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需内置标准的中医肿瘤质控报告模板，支持对模板结构与内容进行动态调整。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4.3.9省中医脑病专业质控中心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1.数据采集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需依托全民健康信息平台，通过读取分布式文件管理系统中的标准化文件，实现中医脑病相关数据的自动化汇聚。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（1）采集范围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系统需对接江苏省全民健康信息平台，覆盖中医脑病诊疗全流程的关键数据节点，主要包括：患者病案首页；病程记录；医嘱记录；检验检查记录；门诊挂号信息；门诊诊疗信息；处方信息；费用信息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（2）采集方式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采用分布式文件读取技术，支持定时轮询与实时触发两种模式。系统需自动解析指定格式文件，对数据进行初步校验，确保文件格式正确、内容完整后入库，对于解析失败的文件自动生成错误日志并通知相关人员处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2.数据治理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需建立标准化的中医脑病专科数据治理体系，对采集的多源异构数据进行清洗、转换与标准化处理，需涵盖标准化质控、主题分析质控、单机构数据分析、质控反馈治理内容。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使中医脑病专业质控中心质控结果尽量客观公正，部分质控指标数据和质控画像数据来源于省数据中台，因此需要定期对相关数据进行管理和维护，持续提升数据质量。数据管理工作需包括指标及计算口径维护（根据业务发展需要及时维护）、指标配置（根据确定的指标计算口径，在数据库进行指标配置）、开发指标数据获取接口、结果核对（和医疗机构修改偏差较大的指标进行核对，并对更新上传后的数据进行再次核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4.指标计算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灵活、智能的指标计算引擎，根据中医脑病质控指标体系，对治理后的数据进行定时自动化计算，并针对数据变动情况实施递进式重算策略，确保指标结果的时效性与准确性。需支持定时计算任务（按照预设周期遵循已配置的指标公式与口径调用底层数据模型生成计算结果）、递进式重算机制（需覆盖数据遗漏、重传及补传处理）、计算日志与追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响应中管局医政处管理需求，提供灵活、定制化的数据统计分析服</w:t>
      </w:r>
      <w:r>
        <w:rPr>
          <w:rFonts w:hint="eastAsia" w:ascii="方正仿宋_GBK" w:hAnsi="方正仿宋_GBK" w:eastAsia="方正仿宋_GBK" w:cs="方正仿宋_GBK"/>
          <w:color w:val="000000"/>
          <w:sz w:val="28"/>
          <w:szCs w:val="28"/>
          <w:highlight w:val="none"/>
        </w:rPr>
        <w:t xml:space="preserve">务，支持临时性、专题性的数据挖掘与报表生成，为行政决策提供即时数据支撑。需覆盖自制剂监管分析（针对医疗机构自制制剂的使用情况进行专项统计）、眩晕（后循环缺血）椎动脉（通过椎动脉超声）或后循环血流动力学（通过经颅多普勒）评估率、眩晕（后循环缺血）早期（入院48h）CT/MRI 影像评估率、高价饮片统计（使用量排名前列的高价饮片品种、金额占比及处方医师分布）、消费指数分析（分析不同地区、不同级别医院的中医脑病服务利用程度与费用负担水平）、临时定制服务（支持按需快速配置分析模型，生成定制化统计报表与可视化图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6.数据看板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中医脑病专业质控中心整体数据查看面板，能助力用户了解本专业概况，涵盖基本业务信息，可对质控指标做趋势分析，同时依据不同权限设置实现差异化数据查看。需覆盖基本业务信息（展示本专业基本业务开展情况）、质控指标趋势（展示近六个质控周期的趋势情况），需支持查询权限设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7.质控画像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数据中台采集的医院数据，参考国考相关指标，对中医脑病专业整体情况开发质控画像，对全省中医脑病专业按照质控中心和科室两个维度进行全方位分析，使管理者能够及时了解省内中医脑病专业的业务开展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（1）质控中心画像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质控中心画像的作用在于对全省中医脑病专业进行全方位多维度的分析，需包含质控概况、基本信息、医疗运营、指标排名等方面。质控画像指标相关内容需定期更新。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（2）机构科室画像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针对具体全省质控对象进行画像，机构科室画像设计思路和质控画像一致，体现具体机构中医脑病专业的发展水平和业务能力。</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机构科室画像同样需包含质控概况、基本信息、医疗运营、指标排名等方面。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机构科室画像同质控画像一样需定期更新。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8.中心简介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需展示中医脑病专业质控中心的建设情况和发展特色，以及该质控中心成员介绍，同时支持快速查询质控中心成员信息。中心建设情况和成员信息可由管理员及时进行更新维护。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9.资讯通知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需支持质控中心主任或秘书发布相关通知、质控任务、质控报告、培训通知等一系列内部信息，供该质控中心成员查阅。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10.培训学习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需支持中心秘书在中心培训或专题培训之后将培训相关材料进行发布共享，供中心成员查看和下载。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11.指标上报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（1）上报审核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系统定期自动生成填报任务，由质控对象根据要求进行填报。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任务生成后，由质控对象填报科室基本信息和指标内容，填报内容中基本信息可以自动复制上一月度信息且可编辑。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本信息填报保存后，进行质控指标填报，中医脑病专业质控指标共计13个，分为接口获取和人工录入两部分。如填报人员发现自动获取数据与实际不符，可修改相关数值，系统需记录系统获取数值和修改后数值，便于审核人员查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（2）流程审核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科室填报完成后，提交审核，需支持按审核流程流转，审核不通过则退回至科室填报环节。支持逐条审核及批量审核，支持审核流程追踪。支持按权限查看质控记录。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12.指标分析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（1）指标汇总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系统支持对各项指标进行排序展示，同时可以按照季度、年度进行汇总展示。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除了列表汇总外，系统还需支持趋势图展示相关中医脑病专业质控指标的发展情况，同时可以选择多个指标，进行对比展示。查询结果系统支持导出功能。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（2）季度分析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季度汇总表为各机构填报通过复核后，按照机构进行每季度质控结果展示，系统需支持对质控结果进行排序，并展示各指标的全省中位值、平均值、最高值、最低值。支持按权限查看所辖机构的汇总情况。查询结果系统支持导出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（3）采集数据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支持将从接口获取的指标计算结果进行汇总展示。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（4）机构分析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需支持图形化展示各项质控指标各机构之间的对比情况，以及各机构环比和同比情况。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（5）质控评分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需支持对各机构进行统一评分，各机构的中医脑病专业根据评分结果进行排名。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（6）修改汇总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需支持接口获取数据修改情况的汇总统计。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13.指标偏差质控</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需聚焦江苏省中医药专业质控工作痛点，针对全省54家中医相关医疗机构的5项核心质控指标，以季度为单位构建全流程、自动化的指标偏差质控体系。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（1）偏差率自动计算模块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1）分子/分母偏差率精准核算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偏差率计算公式需采用行业标准偏差率计算逻辑，确保结果科学性；支持单指标分子/分母偏差率精准核算，支持季度自动触发或手动触发两种计算模式，对计算结果进行存储。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2）计算规则灵活配置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需支持规则自定义及指标扩展。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3）异常值自动标记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需支持极端偏差标记及数据异常标记。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（2）多维度偏差分析模块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1）单指标季度偏差分析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需支持指标维度的季度偏差分析，支持同一指标不同季度的对比分析及同一季度不同指标的偏差率分布对比。</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2）全省平均偏差率统计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需支持按季度维度，分别计算各项指标的全省覆盖机构分子平均偏差率、分母平均偏差率，并以列表形式展示各指标的全省分子 / 分母平均偏差率，支持按偏差率高低排序。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3）机构偏差指标统计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需支持机构维度偏差指标统计，并支持按 “偏差指标总数”“高偏差指标数” 对各家机构进行排序。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4）高风险偏差筛查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需支持高偏差指标筛查及高偏差机构筛查。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（3）可视化分析与报表模块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1）偏差率占比分析可视化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需支持指标偏差占比、机构偏差占比、分子 / 分母偏差占比可视化分析。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2）趋势分析可视化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需支持指标偏差趋势、机构偏差趋势、整体偏差趋势可视化分析。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3）机构排名可视化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需支持综合排名、指标排名可视化分析。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4）多维度报表生成与导出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需支持基础报表，含《季度指标偏差率汇总表》《机构偏差指标统计报表》《高偏差指标与机构筛查报表》；支持定制报表；所有报表需支持 Excel、PDF 格式导出，且支持单报表导出与多报表批量导出。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1）用户与权限管理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需支持按角色划分，分配差异化权限，支持按区域、机构、指标维度细化权限。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2）数据安全与备份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需支持敏感信息数据加密及隐私保护，支持定期备份。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3）操作日志记录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需对操作日志内容进行记录并保存。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4）系统参数配置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需支持对系统参数进行周期配置及阈值配置。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14.质控报告</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（1）报告模板管理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需内置标准的中医脑病质控报告模板，支持对模板结构与内容进行动态调整。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（2）统计数据自动填充</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系统需支持自动抓取统计数据一键填充至报告对应位置。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（3）多维度结果呈现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需包含全省整体数据，并支持按区域、按机构等级、按具体指标维度进行切片展示。对于异常指标，需自动关联前文提到的“指标偏差质控”分析结果，提供深度的归因分析。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（4）报告审核与发布</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报告定稿后，可生成PDF格式文件，向全省机构发布或供省级管理部门下载存档。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4.3.10省基层中医药专业质控中心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汇总概览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需为省级、市级用户提供全省、全市基层中医药服务整体情况的可视化展示。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（1）核心指标图表展示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结合地图、列表、柱状图、饼图、折线图等方式可视化集中展示下述核心指标情况：门诊患者中药处方比例；门诊患者中药饮片使用率；门诊患者使用中医非药物疗法比例；门诊点评中药处方占比；门诊理法方药使用一致的患者占比；门诊患者中医诊断中医主证辨证准确率；门诊针灸操作过程中不良事件发生率；门诊患者中针灸类操作技术行业规范使用比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（2）数据钻取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图表需支持点击下钻，点击后可进一步了解对应图表的详情内容。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需支持将所有图表及对应原始数据导出为 Excel、PDF 格式。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档案查询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需为省、市两级用户提供所辖区域基层质控机构档案的查询与查看功能。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（1）查询条件设置：需包含基础筛选、精准检索、模糊检索。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（2）档案内容展示：需包含基础信息、机构标准、科室设置、服务覆盖内容。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（3）权限控制：省级用户可查看全省所有机构档案，市级用户查看本市所有机构档案，区级用户查看本区所有机构档案；档案仅支持查看，不支持修改。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（4）历史版本追溯：支持查看机构档案的历史更新记录。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3.信息直报</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（1）任务管理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由省级用户创建填报任务，区级用户接收并下发至所辖各基层机构，需明确填报范围、填报周期与截止时间。省级用户登陆后可创建任务、选择填报范围配置填报模板并进行任务发布。任务管理需支持省级用户查看所有已创建任务的状态，对未下发的任务进行编辑、删除，对已下发的任务进行暂停、延长截止时间操作；需支持区级用户接收任务后，查看任务详情，确认无误后进行任务下发。</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（2）直报查询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需为省、市两级用户提供填报数据的查询功能，各级用户根据负责区域进行对应范围内查询，可查看填报进度及填报内容。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（3）机构填报子模块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需为基层机构提供便捷的填报入口，实现数据的快速录入、规则校验与提交，减少重复填报工作量。填报单需面向乡镇卫生院 / 社区卫生服务中心进行分类适配，满足差异化管理需求。需进行填报操作便捷性设计，包括自动逻辑校验填报内容、支持保存与草稿、支持提交确认等。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（4）待办任务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需实现填报数据的多级审核流转，支持填报用户按填报科室、医务负责人、医院负责人逐级审核所辖机构填报数据，反馈审核意见，记录审核日志，支持待办提醒。</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4.字典与规则管理模块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为系统管理员提供标准化字典维护与填报规则配置功能，确保填报数据的统一性与规范性。新增或修改的规则支持立即生效或设定生效时间；生效后，所有未提交的填报表单自动应用新规则，已提交的表单不影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5.数据统计与报表模块</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支持按需生成相关标准化统计报表，满足各级质控管理部门的数据汇总、汇报与分析需求，为前述核心指标图表展示提供数据支持。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数据统计范围涵盖：门诊患者中药处方比例；门诊患者中药饮片使用率；门诊患者使用中医非药物疗法比例；门诊点评中药处方占比；门诊理法方药使用一致的患者占比；门诊患者中医诊断中医主证辨证准确率；门诊针灸操作过程中不良事件发生率；门诊患者中针灸类操作技术行业规范使用比例；门诊腰痛患者中医非药物疗法使用比例；门诊颈椎病患者中医非药物疗法使用比例；中医科门诊优势病种人次数占比；中医科护士接受中医适宜技术培训比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（2）报表生成与导出：需支持自动生成、自定义生成、批量导出。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6.权限管理设计</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系统需明确划分 5 类核心角色，分别为省级管理员、市级管理员机构填报员、机构审核员，并按角色明确权限明细，各角色权限严格分离，确保数据安全与操作规范。</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4.4绩效考核功能扩展</w:t>
      </w:r>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4.4.1指标目录管理功能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支持考核指标字典化管理，可关联佐证材料与统计指标，按指标体系分类，可在考核任务中复用。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具备完整指标体系信息属性集，含体系名称、目录版本、制定年份、所属机构、所属专题、附件、公开状态、分类状态、备注等字段。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支持主题指标分类，可按业务主题归类，提升检索与配置效率。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支持多维度组合查询，可按体系版本、名称、所属机构等精准检索。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具备指标目录调整与删除安全管控：已被任务使用的指标体系/目录不可修改；已配置目录的体系不可修改；删除需二次确认，已被任务使用的体系禁止删除。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 支持指标体系沿用，仅继承体系信息，指标目录可自定义配置。</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4.4.2指标采集口径管理功能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 PDF 格式指标口径文件单，自动校验格式、兼容大文件，支持断点续传，上传后自动归档并生成唯一标识。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支持 PDF 文件在线预览，提供分页、缩放、关键词定位功能，无需下载。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支持分级权限删除，删除需身份校验与二次确认，可选回收站暂存（7-30 天可配置），操作日志永久留痕可审计。</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4.4.3考核任务管理功能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支持按考核指标自由组合生成任务，可灵活选择考核机构，支持月度、季度、半年度、年度考核频率。</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机构范围配置：支持单/多机构批量移入移出、多维度查询。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指标结构配置：支持选用考核体系指标集、从指标库自定义选指标，支持指标及指标集批量导出（含名称、属性、采集口径）。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任务属性含年份、频率、备注等字段。</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4.4.4平行系统数据接入功能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 Excel 模板下载导入、API、ETL 三种数据接入方式，数据按版本管理，考核任务绑定唯一版本。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符合省全民健康信息平台对接规范，支持指标数据自动获取与展示。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平行系统授权：支持多条件查询、新增、启用 / 停用、编辑，生成唯一授权码用于身份验证。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接口管理：支持查询、新增、手动执行、编辑、启用 / 停用、机构对照、指标对照、执行日志查看，可配置同步 / 异步、调度频率、超时时间等。</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4.4.5数据查询导出功能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支持指标导向配置，含监测比较、逐步降低、逐步提高，可扩展维护，支持搜索、新增、编辑、保存、删除。</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支持指标导向预警，按差值自动红绿标识（向好为绿、偏离为红），支持按年份、监测内容、数据期查询，可查看机构数值、导出预警分析表。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可查询指标采集数据与填报数据差异，用于分析报告。</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4.4.6采集任务配置功能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支持数据全流程质控，填报时实时校验，异常数据自动提示，质控规则可灵活配置调整。</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校验规则管理：支持新增、编辑、启用 / 停用、删除，可配置规则名称、类型、关联指标、表达式、错误提示。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4.4.7数据分析报告优化</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可生成月度、半年度、年度分析报告，优化内容结构，增加图形化展示。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支持按管理要求快速新增指标、生成分析模板。</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可灵活选用填报数据或采集数据生成报告</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4.4.8综合查询功能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提供数据填报与考核结果简要图表分析，集成一市一案、一院一案，生成地区与医院画像。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地区 / 机构画像：指标标签化，图表直观展示。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多维度数据查询：支持按任务、考核分类、指标类型、机构名称等查询，可查看医疗机构指标历年变化，支持多家机构对比（上级主管部门权限）。</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4.4.9月度排名反馈功能</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支持基层医院专属排名列，自动筛选基层医院，支持升序 / 降序切换。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优化中药处方比例、中药饮片使用率等排名规则，支持并列排名。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支持配置不参与排名机构清单，该类机构排名列统一显示 “/”，不纳入排名基数。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支持自定义指标排名列，可勾选展示指标，个性化查看。</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75" w:name="_Toc26723"/>
      <w:r>
        <w:rPr>
          <w:rFonts w:hint="eastAsia" w:ascii="方正仿宋_GBK" w:hAnsi="方正仿宋_GBK" w:eastAsia="方正仿宋_GBK" w:cs="方正仿宋_GBK"/>
          <w:b/>
          <w:color w:val="000000"/>
          <w:sz w:val="28"/>
          <w:szCs w:val="28"/>
          <w:highlight w:val="none"/>
        </w:rPr>
        <w:t xml:space="preserve">4.5中医资金绩效综合监测</w:t>
      </w:r>
      <w:bookmarkEnd w:id="175"/>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76" w:name="_Toc2643"/>
      <w:r/>
      <w:bookmarkStart w:id="177" w:name="_Toc7150"/>
      <w:r>
        <w:rPr>
          <w:rFonts w:hint="eastAsia" w:ascii="方正仿宋_GBK" w:hAnsi="方正仿宋_GBK" w:eastAsia="方正仿宋_GBK" w:cs="方正仿宋_GBK"/>
          <w:b/>
          <w:color w:val="000000"/>
          <w:sz w:val="28"/>
          <w:szCs w:val="28"/>
          <w:highlight w:val="none"/>
        </w:rPr>
        <w:t xml:space="preserve">4.5.1基础管理功能</w:t>
      </w:r>
      <w:bookmarkEnd w:id="176"/>
      <w:r/>
      <w:bookmarkEnd w:id="177"/>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w:t>
      </w:r>
      <w:bookmarkStart w:id="178" w:name="_Toc14502"/>
      <w:r>
        <w:rPr>
          <w:rFonts w:hint="eastAsia" w:ascii="方正仿宋_GBK" w:hAnsi="方正仿宋_GBK" w:eastAsia="方正仿宋_GBK" w:cs="方正仿宋_GBK"/>
          <w:color w:val="000000"/>
          <w:sz w:val="28"/>
          <w:szCs w:val="28"/>
          <w:highlight w:val="none"/>
        </w:rPr>
        <w:t xml:space="preserve">实施单位管理</w:t>
      </w:r>
      <w:bookmarkEnd w:id="178"/>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需支持全省医疗卫生机构及其他相关机构基本信息维护、导入导出、组合查询和结果下载。机构信息作为资金分配、任务下达、绩效监控和汇总分析的基础数据。</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79" w:name="_Toc13288"/>
      <w:r>
        <w:rPr>
          <w:rFonts w:hint="eastAsia" w:ascii="方正仿宋_GBK" w:hAnsi="方正仿宋_GBK" w:eastAsia="方正仿宋_GBK" w:cs="方正仿宋_GBK"/>
          <w:color w:val="000000"/>
          <w:sz w:val="28"/>
          <w:szCs w:val="28"/>
          <w:highlight w:val="none"/>
        </w:rPr>
        <w:t xml:space="preserve">2. 项目管理</w:t>
      </w:r>
      <w:bookmarkEnd w:id="179"/>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需支持年度项目库维护、项目启用停用、项目基础信息管理、项目与资金类别关联、项目与实施单位关联。仅年度启用项目可进入资金分配和绩效管理流程。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bookmarkStart w:id="180" w:name="_Toc10129"/>
      <w:r>
        <w:rPr>
          <w:rFonts w:hint="eastAsia" w:ascii="方正仿宋_GBK" w:hAnsi="方正仿宋_GBK" w:eastAsia="方正仿宋_GBK" w:cs="方正仿宋_GBK"/>
          <w:color w:val="000000"/>
          <w:sz w:val="28"/>
          <w:szCs w:val="28"/>
          <w:highlight w:val="none"/>
        </w:rPr>
        <w:t xml:space="preserve">3. 角色管理</w:t>
      </w:r>
      <w:bookmarkEnd w:id="180"/>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需按照省级主管部门、地市级主管部门、实施单位等角色配置菜单权限、数据权限和流程权限，确保不同用户仅能访问授权范围内的功能和数据。</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1" w:name="_Toc5530"/>
      <w:r/>
      <w:bookmarkStart w:id="182" w:name="_Toc20278"/>
      <w:r>
        <w:rPr>
          <w:rFonts w:hint="eastAsia" w:ascii="方正仿宋_GBK" w:hAnsi="方正仿宋_GBK" w:eastAsia="方正仿宋_GBK" w:cs="方正仿宋_GBK"/>
          <w:b/>
          <w:color w:val="000000"/>
          <w:sz w:val="28"/>
          <w:szCs w:val="28"/>
          <w:highlight w:val="none"/>
        </w:rPr>
        <w:t xml:space="preserve">4.5.2中医综合绩效监测功能</w:t>
      </w:r>
      <w:bookmarkEnd w:id="181"/>
      <w:r/>
      <w:bookmarkEnd w:id="182"/>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3" w:name="_Toc30616"/>
      <w:r>
        <w:rPr>
          <w:rFonts w:hint="eastAsia" w:ascii="方正仿宋_GBK" w:hAnsi="方正仿宋_GBK" w:eastAsia="方正仿宋_GBK" w:cs="方正仿宋_GBK"/>
          <w:b/>
          <w:color w:val="000000"/>
          <w:sz w:val="28"/>
          <w:szCs w:val="28"/>
          <w:highlight w:val="none"/>
        </w:rPr>
        <w:t xml:space="preserve">4.5.2.1资金分配表</w:t>
      </w:r>
      <w:bookmarkEnd w:id="183"/>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中央、省级转移支付中医药事业发展专项资金分配表，省、地市级分开填报、分开管理，表样结构一致。核心字段需包括：地区/单位名称、资金总计、按项目法分配金额、按因素法分配金额。系统需支持按年度生成新表，并可根据政策变化调整表样字段。其中</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省级主管部门：依次填写“市县小计”、各市本级、“省级小计”及省属单位数据，完成资金由上至下的分配下达。省属单位名单可动态维护，不固定。</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地市级主管部门：接收省级下达的资金分配数据后，在辖区内对下辖县（市、区）进行二次分配填报，完成由下至上的数据反馈。</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支持项目法与因素法双轨分配：可按项目法分配金额，关联项目库对应具体评审立项的项目，按项目逐项填报分配金额。子项根据当年立项情况动态生成，不固定。可根据规定的因素指标进行测算分配。子项根据当年因素指标体系动态配置。两种分配方式的子项均支持灵活增减，系统自动校验“总计 = 项目法金额+因素法金额”。</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4" w:name="_Toc27377"/>
      <w:r>
        <w:rPr>
          <w:rFonts w:hint="eastAsia" w:ascii="方正仿宋_GBK" w:hAnsi="方正仿宋_GBK" w:eastAsia="方正仿宋_GBK" w:cs="方正仿宋_GBK"/>
          <w:b/>
          <w:color w:val="000000"/>
          <w:sz w:val="28"/>
          <w:szCs w:val="28"/>
          <w:highlight w:val="none"/>
        </w:rPr>
        <w:t xml:space="preserve">4.5.2.2绩效目标表</w:t>
      </w:r>
      <w:bookmarkEnd w:id="184"/>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中央对地方专项转移支付区域绩效目标表和江苏省中医药事业发展专项资金绩效目标表，用于支撑各级主管部门和实施单位制定与专项资金相匹配的绩效目标。绩效目标表可自动获取资金分配表中分配至本单位的资金信息，作为绩效目标编制依据，确保资金安排与绩效目标相互衔接。填报完成后，绩效目标可按管理层级下发至具体实施单位，支撑后续绩效监控和绩效评价工作。</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5" w:name="_Toc11285"/>
      <w:r>
        <w:rPr>
          <w:rFonts w:hint="eastAsia" w:ascii="方正仿宋_GBK" w:hAnsi="方正仿宋_GBK" w:eastAsia="方正仿宋_GBK" w:cs="方正仿宋_GBK"/>
          <w:b/>
          <w:color w:val="000000"/>
          <w:sz w:val="28"/>
          <w:szCs w:val="28"/>
          <w:highlight w:val="none"/>
        </w:rPr>
        <w:t xml:space="preserve">4.5.2.3绩效监控表</w:t>
      </w:r>
      <w:bookmarkEnd w:id="185"/>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省级项目预算绩效监控情况表和中央转移支付中医药项目预算绩效监控情况表，用于支撑实施单位定期开展项目预算绩效监控。绩效监控表可自动获取绩效目标表中已制定的绩效目标，作为监控填报和进展跟踪的依据。实施单位按照规定周期填报绩效目标完成情况、预算执行情况、存在问题及原因分析等内容，便于主管部门及时掌握项目执行进展和绩效目标实现情况。</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6" w:name="_Toc13583"/>
      <w:r>
        <w:rPr>
          <w:rFonts w:hint="eastAsia" w:ascii="方正仿宋_GBK" w:hAnsi="方正仿宋_GBK" w:eastAsia="方正仿宋_GBK" w:cs="方正仿宋_GBK"/>
          <w:b/>
          <w:color w:val="000000"/>
          <w:sz w:val="28"/>
          <w:szCs w:val="28"/>
          <w:highlight w:val="none"/>
        </w:rPr>
        <w:t xml:space="preserve">4.5.2.4绩效自评表</w:t>
      </w:r>
      <w:bookmarkEnd w:id="186"/>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省级中医药发展专项资金项目支出绩效自评价表、转移支付区域（项目）绩效目标自评表和省直中医单位整体绩效自评价表，用于支撑年度绩效目标结束后的绩效自评和审核工作。实施单位可依据年度绩效目标完成情况、预算执行情况和项目实施成效开展自我评价，填报绩效完成结果、偏差原因及相关说明。自评表提交后，主管部门可按管理层级进行审核，形成年度绩效评价依据。</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7" w:name="_Toc3374"/>
      <w:r/>
      <w:bookmarkStart w:id="188" w:name="_Toc6950"/>
      <w:r>
        <w:rPr>
          <w:rFonts w:hint="eastAsia" w:ascii="方正仿宋_GBK" w:hAnsi="方正仿宋_GBK" w:eastAsia="方正仿宋_GBK" w:cs="方正仿宋_GBK"/>
          <w:b/>
          <w:color w:val="000000"/>
          <w:sz w:val="28"/>
          <w:szCs w:val="28"/>
          <w:highlight w:val="none"/>
        </w:rPr>
        <w:t xml:space="preserve">4.5.3.2财务年报（其他）</w:t>
      </w:r>
      <w:bookmarkEnd w:id="187"/>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财务年报（其他）采集主要需统计资产负债、收入费用盈余、净资产变动等共计14个表单。</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4.5.2.5预算执行进度表</w:t>
      </w:r>
      <w:bookmarkEnd w:id="188"/>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系统需提供中医药专项资金预算执行情况统计表（省直）和中医药专项资金预算执行情况统计表（市、县），用于按周期反馈中央资金及省级资金预算下达和执行情况。</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89" w:name="_Toc29507"/>
      <w:r>
        <w:rPr>
          <w:rFonts w:hint="eastAsia" w:ascii="方正仿宋_GBK" w:hAnsi="方正仿宋_GBK" w:eastAsia="方正仿宋_GBK" w:cs="方正仿宋_GBK"/>
          <w:b/>
          <w:color w:val="000000"/>
          <w:sz w:val="28"/>
          <w:szCs w:val="28"/>
          <w:highlight w:val="none"/>
        </w:rPr>
        <w:t xml:space="preserve">4.5.2.6未完成绩效整改表</w:t>
      </w:r>
      <w:bookmarkEnd w:id="189"/>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该任务旨在落实绩效管理中的“问题整改”环节，针对绩效评价或监控中发现的资金执行滞后、绩效目标未达成等问题建立专项台账。需支持实施单位对未完成任务进行原因描述。</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0" w:name="_Toc25461"/>
      <w:r/>
      <w:bookmarkStart w:id="191" w:name="_Toc2123"/>
      <w:r>
        <w:rPr>
          <w:rFonts w:hint="eastAsia" w:ascii="方正仿宋_GBK" w:hAnsi="方正仿宋_GBK" w:eastAsia="方正仿宋_GBK" w:cs="方正仿宋_GBK"/>
          <w:b/>
          <w:color w:val="000000"/>
          <w:sz w:val="28"/>
          <w:szCs w:val="28"/>
          <w:highlight w:val="none"/>
        </w:rPr>
        <w:t xml:space="preserve">4.5.3中医医疗服务价格调查功能</w:t>
      </w:r>
      <w:bookmarkEnd w:id="190"/>
      <w:r/>
      <w:bookmarkEnd w:id="191"/>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2" w:name="_Toc8755"/>
      <w:r>
        <w:rPr>
          <w:rFonts w:hint="eastAsia" w:ascii="方正仿宋_GBK" w:hAnsi="方正仿宋_GBK" w:eastAsia="方正仿宋_GBK" w:cs="方正仿宋_GBK"/>
          <w:b/>
          <w:color w:val="000000"/>
          <w:sz w:val="28"/>
          <w:szCs w:val="28"/>
          <w:highlight w:val="none"/>
        </w:rPr>
        <w:t xml:space="preserve">4.5.3.1财务年报（医院）</w:t>
      </w:r>
      <w:bookmarkEnd w:id="192"/>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财务年报（医院）主要面向72家中医医院开放采集，统计预算</w:t>
      </w:r>
      <w:r>
        <w:rPr>
          <w:rFonts w:hint="eastAsia" w:ascii="方正仿宋_GBK" w:hAnsi="方正仿宋_GBK" w:eastAsia="方正仿宋_GBK" w:cs="方正仿宋_GBK"/>
          <w:color w:val="000000"/>
          <w:sz w:val="28"/>
          <w:szCs w:val="28"/>
          <w:highlight w:val="none"/>
        </w:rPr>
        <w:t xml:space="preserve">结余变动、收支结余、基本建设等情况，共计20个表单，如卫生健康机构预算收入支出表、卫生健康机构预算结转结余变动表、卫生健康机构财政拨款预算收入支出表、卫生健康机构预算支出明细表、卫生健康机构基本情况总表、卫生健康机构财会人员基本情况表、医院资产负债表、医院本期收入费用盈余表、医院收入费用盈余表、医院收入费用明细表、医院净资产变动表、医院现金流量表、医院各科室直接成本表、医院临床服务类科室全成本分析表、医院基本数字表、医院经济指标分析表、医院大型医用设备统计表、卫生健康机构本期预算结余与本期盈余差异调节表等。</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3" w:name="_Toc5901"/>
      <w:r>
        <w:rPr>
          <w:rFonts w:hint="eastAsia" w:ascii="方正仿宋_GBK" w:hAnsi="方正仿宋_GBK" w:eastAsia="方正仿宋_GBK" w:cs="方正仿宋_GBK"/>
          <w:b/>
          <w:color w:val="000000"/>
          <w:sz w:val="28"/>
          <w:szCs w:val="28"/>
          <w:highlight w:val="none"/>
        </w:rPr>
        <w:t xml:space="preserve">4.5.3.3年度财务相关指标调查</w:t>
      </w:r>
      <w:bookmarkEnd w:id="193"/>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年度财务相关指标调查主要基于财务年报数据，需包括资产负债表、收入费用表、医疗活动收入费用明细表、医疗活动费用明细表、基本数字及绩效考核表，各医院可从核算系统导出 Excel 后导入系统。</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4" w:name="_Toc6062"/>
      <w:r>
        <w:rPr>
          <w:rFonts w:hint="eastAsia" w:ascii="方正仿宋_GBK" w:hAnsi="方正仿宋_GBK" w:eastAsia="方正仿宋_GBK" w:cs="方正仿宋_GBK"/>
          <w:b/>
          <w:color w:val="000000"/>
          <w:sz w:val="28"/>
          <w:szCs w:val="28"/>
          <w:highlight w:val="none"/>
        </w:rPr>
        <w:t xml:space="preserve">4.5.3.4年度补充指标调查</w:t>
      </w:r>
      <w:bookmarkEnd w:id="194"/>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年度补充指标调查用于采集中医医疗服务价格测算、绩效分析和政策评估所需的补充指标，各医院按年度填报，系统自动汇总。</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5" w:name="_Toc32506"/>
      <w:r>
        <w:rPr>
          <w:rFonts w:hint="eastAsia" w:ascii="方正仿宋_GBK" w:hAnsi="方正仿宋_GBK" w:eastAsia="方正仿宋_GBK" w:cs="方正仿宋_GBK"/>
          <w:b/>
          <w:color w:val="000000"/>
          <w:sz w:val="28"/>
          <w:szCs w:val="28"/>
          <w:highlight w:val="none"/>
        </w:rPr>
        <w:t xml:space="preserve">4.5.3.5年度中医医疗服务项目调查</w:t>
      </w:r>
      <w:bookmarkEnd w:id="195"/>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年度中医医疗服务项目调查包括已开展中医医疗服务项目收费情况、建议尽快调整价格的中医医疗服务项目、建议新增的中医医疗服务项目等内容，各医院按填报说明进行填报。</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6" w:name="_Toc440"/>
      <w:r>
        <w:rPr>
          <w:rFonts w:hint="eastAsia" w:ascii="方正仿宋_GBK" w:hAnsi="方正仿宋_GBK" w:eastAsia="方正仿宋_GBK" w:cs="方正仿宋_GBK"/>
          <w:b/>
          <w:color w:val="000000"/>
          <w:sz w:val="28"/>
          <w:szCs w:val="28"/>
          <w:highlight w:val="none"/>
        </w:rPr>
        <w:t xml:space="preserve">4.5.3.6中医特色项目和特色技术调查</w:t>
      </w:r>
      <w:bookmarkEnd w:id="196"/>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中医特色项目和特色技术调查用于了解公立中医类医院在中医医疗服务方面拥有的特色技术和特色项目，支撑中医药技术传承发展和非药物治疗服务项目推广应用。</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7" w:name="_Toc32151"/>
      <w:r/>
      <w:bookmarkStart w:id="198" w:name="_Toc13065"/>
      <w:r>
        <w:rPr>
          <w:rFonts w:hint="eastAsia" w:ascii="方正仿宋_GBK" w:hAnsi="方正仿宋_GBK" w:eastAsia="方正仿宋_GBK" w:cs="方正仿宋_GBK"/>
          <w:b/>
          <w:color w:val="000000"/>
          <w:sz w:val="28"/>
          <w:szCs w:val="28"/>
          <w:highlight w:val="none"/>
        </w:rPr>
        <w:t xml:space="preserve">4.5.4数据查询报表</w:t>
      </w:r>
      <w:bookmarkEnd w:id="197"/>
      <w:r/>
      <w:bookmarkEnd w:id="198"/>
      <w:r>
        <w:rPr>
          <w:rFonts w:hint="eastAsia"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199" w:name="_Toc2089"/>
      <w:r>
        <w:rPr>
          <w:rFonts w:hint="eastAsia" w:ascii="方正仿宋_GBK" w:hAnsi="方正仿宋_GBK" w:eastAsia="方正仿宋_GBK" w:cs="方正仿宋_GBK"/>
          <w:b/>
          <w:color w:val="000000"/>
          <w:sz w:val="28"/>
          <w:szCs w:val="28"/>
          <w:highlight w:val="none"/>
        </w:rPr>
        <w:t xml:space="preserve">4.5.4.1绩效监控表</w:t>
      </w:r>
      <w:bookmarkEnd w:id="199"/>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2）所有查询报表需支持按报表期，行政区划、机构名称、指标等条件进行过滤筛选，支持模糊查询，支持下钻到市、县（区）级别。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3）数据查询需支持以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0" w:name="_Toc19583"/>
      <w:r>
        <w:rPr>
          <w:rFonts w:hint="eastAsia" w:ascii="方正仿宋_GBK" w:hAnsi="方正仿宋_GBK" w:eastAsia="方正仿宋_GBK" w:cs="方正仿宋_GBK"/>
          <w:b/>
          <w:color w:val="000000"/>
          <w:sz w:val="28"/>
          <w:szCs w:val="28"/>
          <w:highlight w:val="none"/>
        </w:rPr>
        <w:t xml:space="preserve">4.5.4.2预算执行情况表</w:t>
      </w:r>
      <w:bookmarkEnd w:id="200"/>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各机构报送信息一览表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送信息一览表查询主要是供省、市、县（区）卫健委查看辖区内各机构报送明细一览表，一览表将采集的所有指标汇集在一张表上，方便卫健委用户查看报送明细，为数据比对、留档和后续分析提供支撑。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1）主要包括各采集任务机构报送数据明细。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1" w:name="_Toc30601"/>
      <w:r>
        <w:rPr>
          <w:rFonts w:hint="eastAsia" w:ascii="方正仿宋_GBK" w:hAnsi="方正仿宋_GBK" w:eastAsia="方正仿宋_GBK" w:cs="方正仿宋_GBK"/>
          <w:b/>
          <w:color w:val="000000"/>
          <w:sz w:val="28"/>
          <w:szCs w:val="28"/>
          <w:highlight w:val="none"/>
        </w:rPr>
        <w:t xml:space="preserve">4.5.4.3绩效自评表</w:t>
      </w:r>
      <w:bookmarkEnd w:id="201"/>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2" w:name="_Toc1209"/>
      <w:r>
        <w:rPr>
          <w:rFonts w:hint="eastAsia" w:ascii="方正仿宋_GBK" w:hAnsi="方正仿宋_GBK" w:eastAsia="方正仿宋_GBK" w:cs="方正仿宋_GBK"/>
          <w:b/>
          <w:color w:val="000000"/>
          <w:sz w:val="28"/>
          <w:szCs w:val="28"/>
          <w:highlight w:val="none"/>
        </w:rPr>
        <w:t xml:space="preserve">4.5.4.4未完成绩效整改表</w:t>
      </w:r>
      <w:bookmarkEnd w:id="202"/>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3" w:name="_Toc3820"/>
      <w:r>
        <w:rPr>
          <w:rFonts w:hint="eastAsia" w:ascii="方正仿宋_GBK" w:hAnsi="方正仿宋_GBK" w:eastAsia="方正仿宋_GBK" w:cs="方正仿宋_GBK"/>
          <w:b/>
          <w:color w:val="000000"/>
          <w:sz w:val="28"/>
          <w:szCs w:val="28"/>
          <w:highlight w:val="none"/>
        </w:rPr>
        <w:t xml:space="preserve">4.5.4.5财务相关指标调查表</w:t>
      </w:r>
      <w:bookmarkEnd w:id="203"/>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各机构报送信息一览表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送信息一览表查询主要是供省、市、县（区）卫健委查看辖区内各机构报送明细一览表，一览表将采集的所有指标汇集在一张表上，方便卫健委用户查看报送明细，为数据比对、留档和后续分析提供支撑。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1）主要包括各采集任务机构报送数据明细。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4" w:name="_Toc1278"/>
      <w:r>
        <w:rPr>
          <w:rFonts w:hint="eastAsia" w:ascii="方正仿宋_GBK" w:hAnsi="方正仿宋_GBK" w:eastAsia="方正仿宋_GBK" w:cs="方正仿宋_GBK"/>
          <w:b/>
          <w:color w:val="000000"/>
          <w:sz w:val="28"/>
          <w:szCs w:val="28"/>
          <w:highlight w:val="none"/>
        </w:rPr>
        <w:t xml:space="preserve">4.5.4.6补充指标情况表</w:t>
      </w:r>
      <w:bookmarkEnd w:id="204"/>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各机构报送信息一览表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送信息一览表查询主要是供省、市、县（区）卫健委查看辖区内各机构报送明细一览表，一览表将采集的所有指标汇集在一张表上，方便卫健委用户查看报送明细，为数据比对、留档和后续分析提供支撑。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1）主要包括各采集任务机构报送数据明细。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5" w:name="_Toc9974"/>
      <w:r>
        <w:rPr>
          <w:rFonts w:hint="eastAsia" w:ascii="方正仿宋_GBK" w:hAnsi="方正仿宋_GBK" w:eastAsia="方正仿宋_GBK" w:cs="方正仿宋_GBK"/>
          <w:b/>
          <w:color w:val="000000"/>
          <w:sz w:val="28"/>
          <w:szCs w:val="28"/>
          <w:highlight w:val="none"/>
        </w:rPr>
        <w:t xml:space="preserve">4.5.4.7中医医疗服务项目调查表</w:t>
      </w:r>
      <w:bookmarkEnd w:id="205"/>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各机构报送信息一览表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送信息一览表查询主要是供省、市、县（区）卫健委查看辖区内各机构报送明细一览表，一览表将采集的所有指标汇集在一张表上，方便卫健委用户查看报送明细，为数据比对、留档和后续分析提供支撑。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1）主要包括各采集任务机构报送数据明细。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bookmarkStart w:id="206" w:name="_Toc11761"/>
      <w:r>
        <w:rPr>
          <w:rFonts w:hint="eastAsia" w:ascii="方正仿宋_GBK" w:hAnsi="方正仿宋_GBK" w:eastAsia="方正仿宋_GBK" w:cs="方正仿宋_GBK"/>
          <w:b/>
          <w:color w:val="000000"/>
          <w:sz w:val="28"/>
          <w:szCs w:val="28"/>
          <w:highlight w:val="none"/>
        </w:rPr>
        <w:t xml:space="preserve">4.5.4.8中医特色服务和特色项目调查表</w:t>
      </w:r>
      <w:bookmarkEnd w:id="206"/>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各地区报送情况查询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各地区报送情况查询主要是供省、市、县（区）卫健委查看辖区报送情况，便于省、市、县（区）卫健委掌握辖区机构报送进度，并开展催报、督报等工作。工作具体情况如下：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1）主要包括各采集任务各地区报送情况。</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各机构报送状态查询</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各机构报送状态查询主要是供省、市、县（区）卫健委查看辖区内各机构报送状态，便于各级卫健委查看辖区机构报送进度，并有针对性地对特定机构开展催报。具体情况如下：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1）主要包括各采集任务各机构报送状态。</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各机构报送信息一览表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送信息一览表查询主要是供省、市、县（区）卫健委查看辖区内各机构报送明细一览表，一览表将采集的所有指标汇集在一张表上，方便卫健委用户查看报送明细，为数据比对、留档和后续分析提供支撑。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1）主要包括各采集任务机构报送数据明细。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2）所有查询报表支持按报表期，行政区划、机构名称、指标等条件进行过滤筛选，支持模糊查询，支持下钻到市、县（区）级别。</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3）数据查询支持以 Excel、PDF 等格式导出。</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4.6国产化适配改造</w:t>
      </w:r>
      <w:r>
        <w:rPr>
          <w:rFonts w:ascii="方正仿宋_GBK" w:hAnsi="方正仿宋_GBK" w:eastAsia="方正仿宋_GBK" w:cs="方正仿宋_GBK"/>
          <w:b/>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4.6.1政务云数据中台适配改造</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需对政务云数据中台开展适配改造工作，以支撑我省中医药服务智慧管理系统在国产化新数据中台基础上持续稳定运行。</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4.6.1.1中医住院病案首页质控</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需开展中医住院病案首页质控子系统的新中台适配工作，包括：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原系统所有数据进行三大类分类梳理，并开展全面的数据一致性校验工作，包括360项质控规则相关数据迁移一致性、六级下钻一致性、结果的一致性。通过现状梳理与规则基线建立、数据梳理与清洗、数据一致性校验完成数据新中台迁移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需基于新中台的计算架构，对原系统360个质控规则项（完整性、综合性）进行适配开发，1:1 复刻中医病案首页质控指标计算逻辑，完成六级质控追踪数据查询接口适配，完成调用360项质控规则对病案进行全面评价的病案综合分析模型适配，完成功能联调适配及数据安全管控适配。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4.6.1.2中医等级医院评审</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需开展中医等级医院评审子系统的新中台适配工作，包括：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原系统所有数据进行数据梳理与清洗，并开展全面的数据一致性验证工作，涵盖70余项核心指标相关的300余项数据。通过现状梳理与规则基线建立、数据梳理与清洗、数据一致性校验完成数据新中台迁移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需基于新中台技术架构，完成系统与新中台的全面适配工作，包括70余项核心指标计算逻辑的适配开发，支撑等级医院评审相关6项内外部接口的适配与开发，完成功能联调适配及数据安全管控适配。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4.6.1.3中医重点专科评审</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需开展中医重点专科评审子系统的新中台适配工作，包括：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原系统所有数据进行数据梳理与清洗，涵盖申报书六大类信息加工计算逻辑，四套评审标准全部可计算指标，并开展包含历史相关数据的全面数据一致性验证工作。通过现状梳理与规则基线建立、数据梳理与清洗、数据一致性校验完成数据新中台迁移工作。</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技术架构，完成系统与新中台的全面适配工作，包括指标计算与对标逻辑中台适配重构，需覆盖申报书、疾病谱、评审指标、国家重点指标、评审赋分指标、疑难危重患者分析、急诊专业开展中医项目分析、中医诊疗八大类共165项指标；完成4项系统应用层接口与功能联调适配，所有填报及量化结果数据支撑申报书自动生成与数据回填，确保功能全部可用；完成数据安全管控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4.6.1.4中医专业质控中心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完成中医专业质控中心子系统新中台适配改造，主要围绕数据迁移和功能适配两大维度开展：通过开展专业+共享模块共 200余项质控指标的现状梳理、规则基线编制、全量数据分类梳理清洗与逐专业逐指标数据一致性校验；同时基于新中台技术架构，完成全部质控指标计算逻辑 1:1 复刻重构、专业级接口改造联调、质控分析与报表输出功能适配，并同步落实专业权限、操作日志审计等数据安全管控适配，全面承接原有业务能力。</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4.6.1.4.1共享指标计算逻辑中台适配重构</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 1:1 复刻中医不同质控中心共性质控指标计算逻辑，保证不同专业共享指标逻辑一致、结果同步。同时支持根据质控中心业务发展及国考口径更新，在新中台在线维护、更新指标公式与计算口径，实现指标规则可配置、可迭代。</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4.6.1.4.2中医骨伤质控中心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专科所有质控指标的计算规则、统计口径、数据来源及原有系统接口、存储与输出规范，建立标准化专业指标规则基线；全覆盖梳理迁移机构基础档案、专科诊疗、质控结果及跨专业共享等全量历史数据，依托新中台完成数据标准化、纠错补全、格式统一治理；迁移后逐指标、逐批次校验数据完整性与计算准确性，重点核对病案、手术、中医药诊疗等核心数据及关键质控指标结果一致性，针对偏差数据溯源整改、复核优化，持续保障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 1:1 复刻专科全部质控指标计算逻辑并纳入跨专业共享指标计算模型，支持后续业务及考核口径迭代更新；依托新中台接口能力建设专业级专属交互接口，实现指标数据自动获取、双向交互与前端数据正常展示，同步完成系统全功能联调适配，保障数据查询、趋势分析、报表自动生成导出等业务功能平稳运行，并通过实施专业权限管控与操作日志审计，筑牢骨伤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4.6.1.4.3中医针灸质控中心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针灸专科所有质控指标的计算规则、统计口径、数据来源及原有系统接口、存储与输出规范，建立标准化专业指标规则基线；全覆盖梳理迁移机构基础档案、针灸门诊、住院、病案、中医药非药物疗法、质控结果及跨专业共享等全量历史数据，依托新中台完成数据标准化、纠错补全、去重归一化治理；迁移后逐指标、逐批次校验数据完整性与计算准确性，重点核对中药处方比例、饮片使用率、非药物疗法应用占比等核心数据及关键质控指标结果一致性，针对偏差数据溯源整改、复核优化，持续保障针灸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针灸专科全部质控指标计算逻辑并纳入跨专业共享指标计算模型，支持后续业务及国考考核口径迭代更新；依托新中台接口能力建设针灸专业级专属查询、统计分析、报告生成接口，实现指标数据自动抓取、双向交互与前端指标数值、排名、统计数据正常展示，同步完成多维度数据查询、区域趋势分析、专业报表自动生成导出等全功能联调适配，保障专科质控业务平稳运行，并通过实施针灸专业权限管控与操作日志审计，筑牢针灸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4.6.1.4.4 中医脾胃质控中心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全面梳理脾胃专科所有质控指</w:t>
      </w:r>
      <w:r>
        <w:rPr>
          <w:rFonts w:hint="eastAsia" w:ascii="方正仿宋_GBK" w:hAnsi="方正仿宋_GBK" w:eastAsia="方正仿宋_GBK" w:cs="方正仿宋_GBK"/>
          <w:color w:val="000000"/>
          <w:sz w:val="28"/>
          <w:szCs w:val="28"/>
          <w:highlight w:val="none"/>
        </w:rPr>
        <w:t xml:space="preserve">标的计算规则、统计口径、数据来源及原有系统接口、存储与输出规范，建立标准化专业指标规则基线；全覆盖梳理迁移机构脾胃专业医疗机构基础档案、门诊住院病案、处方、中医药诊疗原始质控数据、脾胃专属指标历史计算结果及跨专业共享等全量历史数据，依托新中台完成数据标准化、纠错补全、格式统一治理；迁移后逐指标、逐批次校验数据完整性与计算准确性，重点核对中医药收入占比、中药处方比例、饮片使用率、非药物疗法应用比例、治疗有效率等核心数据及关键质控指标结果一致性，针对偏差数据溯源整改、复核优化，持续保障脾胃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脾胃专科全部质控指标计算逻辑并纳入跨专业共享指标计算模型，支持后续业务及国考考核口径迭代更新；依托新中台接口能力建设脾胃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脾胃专业权限管控与操作日志审计，筑牢脾胃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4.6.1.4.5中医肺病质控中心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肺病专科所有质控指标的计算规则、统计口径、数据来源及原有系统接口、存储与输出规范，建立标准化专业指标规则基线；全覆盖梳理迁移机构肺病专业医疗机构基础档案、门诊住院病案、中医药诊疗、处方原始数据、肺病专属指标历史结果、跨专业共享数据，依托新中台完成数据标准化、纠错补全、格式统一治理；迁移后逐指标、逐批次校验数据完整性与计算准确性，重点核对核心指标与原中台计算结果一致性，针对偏差数据溯源整改、复核优化，持续保障肺病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肺病专科全部质控指标计算逻辑并纳入跨专业共享指标计算模型，支持后续业务及国考考核口径迭代更新；依托新中台接口能力建设肺病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肺病专业权限管控与操作日志审计，筑牢肺病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4.6.1.4.6中医推拿质控中心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推拿专科所有质控指标的计算规则、统计口径、数据来源及原有系统接口、存储与输出规范，建立标准化专业指标规则基线；全覆盖梳理基础档案、门诊住院、病案、非药物疗法诊疗、处方等原始质控数据、专业指标历史结果、跨专业共享数据，依托新中台完成数据标准化、纠错补全、格式统一治理；迁移后逐指标、逐批次校验数据完整性与计算准确性，重点核对核心指标结果一致性，针对偏差数据溯源整改、复核优化，持续保障推拿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推拿专科全部质控指标计算逻辑并纳入跨专业共享指标计算模型，支持后续业务及国考考核口径迭代更新；依托新中台接口能力建设推拿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推拿专业权限管控与操作日志审计，筑牢推拿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4.6.1.4.7中医康复质控中心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康复专科所有质控指标的计算规则、统计口径、数据来源及原有系统接口、存储与输出规范，建立标准化专业指标规则基线；全覆盖梳理迁移机构基础档案、诊疗病案、中医药及非药物疗法等历史质控原始业务数据，康复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持续保障康复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康复专科全部质控指标计算逻辑并纳入跨专业共享指标计算模型，支持后续业务及国考考核口径迭代更新；依托新中台接口能力建设康复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康复专业权限管控与操作日志审计，筑牢康复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4.6.1.4.8中医肛肠质控中心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肛肠专科所有质控指标的计算规则、统计口径、数据来源及原有系统接口、存储与输出规范，建立标准化专业指标规则基线；全覆盖梳理迁移机构基础档案、门诊住院/病案/手术记录/处方/中医药诊疗等历史质控原始业务数据、肛肠专属质控指标历史计算结果数据，依托新中台完成数据标准化、纠错补全、格式统一治理；迁移后逐指标、逐批次校验数据完整性与计算准确性，重点核对核心指标结果一致性，针对偏差数据溯源整改、复核优化，持续保障肛肠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肛肠专科全部质控指标计算逻辑并纳入跨专业共享指标计算模型，支持后续业务及国考考核口径迭代更新；依托新中台接口能力建设肛肠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肛肠专业管控与操作日志审计，筑牢肛肠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4.6.1.4.9综合医院中医专业质控中心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综合医院中医专业所有质控指标的计算规则、统计口径、数据来源及原有系统接口、存储与输出规范，建立标准化专业指标规则基线；全覆盖梳理迁移综合医院中医专业基础档案、中医门诊住院病案/处方/中医药服务等历史质控原始业务数据、综合医院中医专业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持续保障综合医院中医专业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综合医院中医专业全部质控指标计算逻辑并纳入跨专业共享指标计算模型，支持后续业务及国考考核口径迭代更新；依托新中台接口能力建设综合医院中医专业级专属查询、统计分析、报告生成接口，实现指标数据自动抓取、双向交互与前端指标数值、对标值、排名、统计数据正常展示，同步完成多维度数据查询、区域趋势分析、预警统计、专业报表自动生成导出等全功能联调适配，保障专业质控业务平稳运行，并通过实施综合医院中医权限管控与操作日志审计，筑牢综合医院中医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4.6.1.4.10中医治未病质控中心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治未病专科所有质控指标的计算规则、统计口径、数据来源及原有系统接口、存储与输出规范，建立标准化专业指标规则基线；全覆盖梳理迁移机构基础档案、门诊住院/中医药养生/非药物疗法等历史质控原始业务数据、治未病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持续保障治未病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治未病专科全部质控指标计算逻辑并纳入跨专业共享指标计算模型，支持后续业务及国考考核口径迭代更新；依托新中台接口能力建设治未病专业级专属查询、统计分析、报告生成接口，实现指标数据自动抓取、双向交互与前端指标数值、对标值、排名、统计数据正常展示，同步完成多维度数据查询、区域趋势分析、专业报表自动生成导出等全功能联调适配，保障专科质控业务平稳运行，并通过实施治未病权限管控与操作日志审计，筑牢治未病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4.6.1.4.11中医药事质控中心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药事专业所有质控指标的计算规则、统计口径、数据来源及原有系统接口、存储与输出规范，建立标准化专业指标规则基线；全覆盖梳理迁移机构基础档案、门诊/住院//处方饮片/自制剂等历史质控原始业务数据、药事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持续保障药事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药事专业全部质控指标计算逻辑并纳入跨专业共享指标计算模型，支持后续业务及国考考核口径迭代更新；依托新中台接口能力建设药事专业级专属查询、统计分析、报告生成接口，实现指标数据自动抓取、双向交互与前端指标数值、对标值、排名、统计数据正常展示，同步完成多维度数据查询、区域趋势分析、专业报表自动生成导出等全功能联调适配，保障药事质控业务平稳运行，并通过实施药事专业权限管控与操作日志审计，筑牢中医药事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4.6.1.4.12中医药大数据质控中心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药大数据质控数据质量、数据上传、关联匹配、编码标准化等所有质控指标的计算规则、统计口径、数据来源及原有系统接口、同步规则与输出规范，建立标准化大数据质控规则基线；全覆盖梳理迁移全省机构数据上传记录、各类业务数据关联明细、数据质量考核历史结果等全量数据，依托新中台完成数据标准化、去重纠错、规则对齐治理；迁移后逐指标校验数据完整率、关联率、编码标准化、上传合格率等核心数据质量指标结果一致性，针对上传偏差数据溯源整改、复核优化，持续保障全省中医药大数据质控数据规范精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中医药大数据质控全部数据质量、数据上传、关联匹配、编码标准化等指标计算逻辑，支持后续大数据质控业务及考核口径迭代更新；依托新中台接口能力建设多类数据表专属数据质量查询接口，实现各类业务表数据质量报告自动生成、数据实时交互与前端统计展示，同步完成多维度数据质量统计、机构排名、异常预警、汇总报表自动导出等全功能联调适配，保障全省大数据质控监管业务平稳运行，并通过实施大数据质控业务权限管控与操作日志审计，筑牢中医药大数据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4.6.1.4.13中医护理质控中心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护理专业80余项基础变量、54项监测指标、13项结果分析指标的计算规则、统计口径、数据来源及原有系统接口、存储与输出规范，建立标准化护理专业指标规则基线；全覆盖梳理迁移全省各医疗机构护理基础档案、医院 - 四级科室层级架构数据等历史数据；全院、病区、ICU 三大模板护理人力资源、导管相关感染、跌倒损伤、APACHEⅡ 评分</w:t>
      </w:r>
      <w:r>
        <w:rPr>
          <w:rFonts w:hint="eastAsia" w:ascii="方正仿宋_GBK" w:hAnsi="方正仿宋_GBK" w:eastAsia="方正仿宋_GBK" w:cs="方正仿宋_GBK"/>
          <w:color w:val="000000"/>
          <w:sz w:val="28"/>
          <w:szCs w:val="28"/>
          <w:highlight w:val="none"/>
        </w:rPr>
        <w:t xml:space="preserve">等原始填报数据；54 项常规监测指标历史计算结果、13 项结果指标分析历史数据、季度报表明细数据、历年数据审核退回记录、国家平台历史上报明细及跨专业共享关联数据，依托新中台数据治理能力开展数据标准化、去重纠错、缺失补全、格式统一清洗；迁移后逐指标、逐批次、分全院 / 病区 / ICU 维度开展中医护理质控数据完整性与计算结果准确性校验，重点核核心监测指标以及基础变量与原中台计算结果、逻辑校验结果完全一致。同时对医疗机构季度填报偏差较大、逻辑不符的指标开展专项核对，溯源数据填报、上传存在的问题并完成整改复核。</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中医护理专业全部质控指标及阈值校验、逻辑强制规则，纳入跨专业共享指标计算模型，支持护理行业标准及国考口径迭代更新；依托新中台接口能力建设护理专业级专属查询、统计分析、报告生成接口，实现护理质控数据自动抓取、双向交互与前端指标数值、排名、统计数据正常展示，同步完成多维度数据查询、趋势分析、专业报表自动生成、导出等全功能联调适配，保障护理质控业务平稳运行，并通过实施护理专业权限管控与操作日志审计，筑牢中医护理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4.6.1.4.14中医肾病质控中心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全面梳理中医肾病专科所有质控指标的计算规则、统计口</w:t>
      </w:r>
      <w:r>
        <w:rPr>
          <w:rFonts w:hint="eastAsia" w:ascii="方正仿宋_GBK" w:hAnsi="方正仿宋_GBK" w:eastAsia="方正仿宋_GBK" w:cs="方正仿宋_GBK"/>
          <w:color w:val="000000"/>
          <w:sz w:val="28"/>
          <w:szCs w:val="28"/>
          <w:highlight w:val="none"/>
        </w:rPr>
        <w:t xml:space="preserve">径、数据来源及原有系统接口、存储与输出规范，建立标准化专业指标规则基线；全覆盖梳理肾病专业医疗机构基础档案、肾病科门诊、住院、透析、病案、中药处方、中医诊疗等历史质控原始业务数据、肾病专属质控指标历史计算结果数据，以及与其他专业共享的跨专业关联指标数据，依托新中台完成数据标准化、纠错补全、格式统一治理，重点针对肾病特色病种、透析诊疗、中医药专项诊疗数据开展精细化清洗；迁移后逐指标、逐批次校验数据完整性与计算准确性，重点核对核心指标结果一致性，针对偏差数据溯源整改、复核优化，持续保障肾病专科质控数据精准合规。</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肾病专科全部质控指标计算逻辑并纳入跨专业共享指标计算模型，支持后续专科业务及国考考核口径迭代更新、指标可配置迭代；依托新中台接口能力建设肾病专业级专属查询、统计分析、报告生成接口，实现指标数据自动抓取、双向交互与前端指标数值、对标值、机构排名、专科画像数据正常展示，同步完成多维度数据查询、年度季度趋势分析、专项质控统计、专业报表自动生成导出等全功能联调适配，保障肾病质控业务平稳运行，并通过实施肾病专业权限管控与操作日志审计，筑牢肾病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4.6.1.4.15中医老年质控中心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老年专科所有质控指标的计算规则、统计口径、数据来源及原有系统接口、存储与输出规范，建立标准化专业指标规则基线；全覆盖梳理迁移老老年专业医疗机构基础档案、老年科门诊、住院、中药处方、中医诊疗、等历史质控原始业务数据、老年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老年专科全部质控指标计算逻辑并纳入跨专业共享指标计算模型，支持后续专科业务及国考考核口径迭代更新、指标可配置迭代；依托新中台接口能力建设老年专业级专属查询、统计分析、报告生成接口，实现指标数据自动抓取、双向交互与前端指标数值、对标值、机构排名、专科画像数据正常展示，同步完成多维度数据查询、年度季度趋势分析、专业报表自动生成导出等全功能联调适配，保障老年质控业务平稳运行，并通过实施老年专业权限管控与操作日志审计，筑牢老年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4.6.1.4.16中医妇科质控中心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全面梳理中医妇科专科所有质控指标的计算规则、统计口径、数据来源</w:t>
      </w:r>
      <w:r>
        <w:rPr>
          <w:rFonts w:hint="eastAsia" w:ascii="方正仿宋_GBK" w:hAnsi="方正仿宋_GBK" w:eastAsia="方正仿宋_GBK" w:cs="方正仿宋_GBK"/>
          <w:color w:val="000000"/>
          <w:sz w:val="28"/>
          <w:szCs w:val="28"/>
          <w:highlight w:val="none"/>
        </w:rPr>
        <w:t xml:space="preserve">及原有系统接口、存储与输出规范，建立标准化专业指标规则基线；全覆盖梳理迁移妇科专业医疗机构基础档案、妇科门诊、住院、病案、中药处方、中医诊疗等历史质控原始业务数据、妇科专属质控指标历史计算结果数据，以及与其他专业共享的跨专业关联指标数据，依托新中台完成数据标准化、纠错补全、格式统一治理，重点针对妇科特色手术诊疗、子宫肌瘤专项诊疗、中医临床路径管理、中医药诊疗应用、手术质量安全等专项数据开展精细化清洗；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妇科专科全部质控指标计算逻辑并纳入跨专业共享指标计算模型，支持后续专科业务及国考考核口径迭代更新、指标可配置迭代；依托新中台接口能力建设妇科专业级专属查询、统计分析、报告生成接口，实现指标数据自动抓取、双向交互与前端指标数值、对标值、机构排名、专科画像数据正常展示，同步完成多维度数据查询、年度季度趋势分析、专业报表自动生成导出等全功能联调适配，保障妇科质控业务平稳运行，并通过实施妇科专业权限管控与操作日志审计，筑牢妇科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4.6.1.4.17中医儿科质控中心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儿科专科所有质控指标的计算规则、统计口径、数据来源及原有系统接口、存储与输出规范，建立标准化专业指标规则基线；全覆盖梳理迁移儿科专业医疗机构基础档案、儿科门诊、住院、病案等历史质控原始业务数据、儿科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儿科专科全部质控指标计算逻辑并纳入跨专业共享指标计算模型，支持后续专科业务及国考考核口径迭代更新、指标可配置迭代；依托新中台接口能力建设儿科专业级专属查询、统计分析、报告生成接口，实现指标数据自动抓取、双向交互与前端指标数值、对标值、机构排名、专科画像数据正常展示，同步完成多维度数据查询、年度季度趋势分析、专业报表自动生成导出等全功能联调适配，保障儿科质控业务平稳运行，并通过实施儿科专业权限管控与操作日志审计，筑牢儿科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4.6.1.4.18中医急诊质控中心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急诊专科所有质控指标的计算规则、统计口径、数据来源及原有系统接口、存储与输出规范，建立标准化专业指标规则基线；全覆盖梳理急诊专业医疗机构基础档案、急诊日常接诊等历史质控原始业务数据、急诊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急诊专科全部质控指标计算逻辑并纳入跨专业共享指标计算模型，支持后续专科业务及国考考核口径迭代更新、指标可配置迭代；依托新中台接口能力建设急诊专业级专属查询、统计分析、报告生成接口，实现指标数据自动抓取、双向交互与前端指标数值、对标值、机构排名、专科画像数据正常展示，同步完成多维度数据查询、年度季度趋势分析、急诊专项质控统计、专业报表自动生成导出等全功能联调适配，保障急诊质控业务平稳运行，并通过实施急诊专业权限管控与操作日志审计，筑牢急诊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4.6.1.4.19中医心病质控中心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心病专科所有质控指标的计算规则、统计口径、数据来源及原有系统接口、存储与输出规范，建立标准化专业指标规则基线；全覆盖梳理心病专业医疗机构基础档案、心病日常接诊等历史质控原始业务数据、心病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心病专科全部质控指标计算逻辑并纳入跨专业共享指标计算模型，支持后续专科业务及国考考核口径迭代更新、指标可配置迭代；依托新中台接口能力建设心病专业级专属查询、统计分析、报告生成接口，实现指标数据自动抓取、双向交互与前端指标数值、对标值、机构排名、专科画像数据正常展示，同步完成多维度数据查询、年度季度趋势分析、心病专项质控统计、专业报表自动生成导出等全功能联调适配，保障心病质控业务平稳运行，并通过实施心病专业权限管控与操作日志审计，筑牢心病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4.6.1.4.20中医内分泌质控中心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内分泌专科所有质控指标的计算规则、统计口径、数据来源及原有系统接口、存储与输出规范，建立标准化专业指标规则基线；全覆盖梳理内分泌专业医疗机构基础档案、内分泌日常接诊等历史质控原始业务数据、内分泌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内分泌专科全部质控指标计算逻辑并纳入跨专业共享指标计算模型，支持后续专科业务及国考考核口径迭代更新、指标可配置迭代；依托新中台接口能力建设内分泌专业级专属查询、统计分析、报告生成接口，实现指标数据自动抓取、双向交互与前端指标数值、对标值、机构排名、专科画像数据正常展示，同步完成多维度数据查询、年度季度趋势分析、内分泌专项质控统计、专业报表自动生成导出等全功能联调适配，保障内分泌质控业务平稳运行，并通过实施内分泌专业权限管控与操作日志审计，筑牢内分泌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4.6.1.4.21中医肿瘤质控中心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肿瘤专科所有质控指标的计算规则、统计口径、数据来源及原有系统接口、存储与输出规范，建立标准化专业指标规则基线；全覆盖梳理肿瘤专业医疗机构基础档案、肿瘤日常接诊等历史质控原始业务数据、肿瘤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肿瘤专科全部质控指标计算逻辑并纳入跨专业共享指标计算模型，支持后续专科业务及国考考核口径迭代更新、指标可配置迭代；依托新中台接口能力建设肿瘤专业级专属查询、统计分析、报告生成接口，实现指标数据自动抓取、双向交互与前端指标数值、对标值、机构排名、专科画像数据正常展示，同步完成多维度数据查询、年度季度趋势分析、肿瘤专项质控统计、专业报表自动生成导出等全功能联调适配，保障肿瘤质控业务平稳运行，并通过实施肿瘤专业权限管控与操作日志审计，筑牢肿瘤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4.6.1.4.22中医脑病质控中心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中医脑病专科所有质控指标的计算规则、统计口径、数据来源及原有系统接口、存储与输出规范，建立标准化专业指标规则基线；全覆盖梳理脑病专业医疗机构基础档案、脑病日常接诊等历史质控原始业务数据、脑病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脑病专科全部质控指标计算逻辑并纳入跨专业共享指标计算模型，支持后续专科业务及国考考核口径迭代更新、指标可配置迭代；依托新中台接口能力建设脑病专业级专属查询、统计分析、报告生成接口，实现指标数据自动抓取、双向交互与前端指标数值、对标值、机构排名、专科画像数据正常展示，同步完成多维度数据查询、年度季度趋势分析、脑病专项质控统计、专业报表自动生成导出等全功能联调适配，保障脑病质控业务平稳运行，并通过实施脑病专业权限管控与操作日志审计，筑牢脑病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4.6.1.4.23基层中医药质控中心</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全面梳理基层中医药所有质控指标的计算规则、统计口径、数据来源及原有系统接口、存储与输出规范，建立标准化专业指标规则基线；全覆盖梳理基层中医药医疗机构基础档案、日常接诊等历史质控原始业务数据、基层中医药专属质控指标历史计算结果数据，以及与其他专业共享的跨专业关联指标数据，依托新中台完成数据标准化、纠错补全、格式统一治理；迁移后逐指标、逐批次校验数据完整性与计算准确性，重点核对核心指标结果一致性，针对偏差数据溯源整改、复核优化。</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新中台1:1复刻基层中医药全部质控指标计算逻辑并纳入跨专业共享指标计算模型，支持后续基层中医药业务、指标可配置迭代；依托新中台接口能力建设基层中医药专属查询、统计分析、报告生成接口，实现指标数据自动抓取、双向交互与前端指标数值、对标值、机构排名、基层中医药画像数据正常展示，同步完成多维度数据查询、年度季度趋势分析、基层中医药专项质控统计、专业报表自动生成导出等全功能联调适配，保障基层中医药质控业务平稳运行，并通过实施基层中医药专业权限管控与操作日志审计，筑牢基层中医药质控数据安全合规防线。</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4.6.1.5绩效考核服务</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需开展绩效考核服务子系统的新中台适配工作，包括：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现状梳理与规则基线建立工作，梳理绩效指标计算、数据源接入、五大类接口及数据治理相关交互逻辑、接口规范、核心规则等，并形成完整的规则基线文档；需进行数据梳理与清洗，完成两大数据源与新中台的适配对接，并开展全面的数据完整性、一致性校验工作，确保历史数据可正常追溯、复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技术架构，完成月/季/年周期指标计算逻辑与接口功能适配重构，需覆盖44项绩效指标计算逻辑、两大数据源的数据融合逻辑、五大类接口开发适配及数据重算逻辑，完成功能联调适配及数据安全管控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4.6.1.6中医优势病种监测</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需开展中医优势病种监测子系统的新中台适配工作，包括：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现状梳理与规则基线建立工作，涵盖与原中台的交互、系统65项监测指标（5大维度）的计算、全省各级中医医疗机构数据接入及第三方系统数据共享以及数据治理、预警阈值设置等现状；需进行数据梳理与清洗，完成系统所有数据的适配对接，并开展全面的数据完整性、关联性、口径一致性校验，确保历史数据可正常追溯、复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需基于新中台技术架构，完成指标运算与核心功能适配重构，需覆盖5大维度65项监测指标及分析指标的运算逻辑，开展数据治理与校验逻辑、6大类数据共享接口、预警提醒逻辑、数据安全管控逻辑的开发适配。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4.6.1.7中医医疗服务综合监管</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需开展中医医疗服务综合监管子系统的新中台适配工作，包括：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数据迁移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开展现状梳理与规则基线建立工作，涵盖与原中台的交互、6大监管方向150余项核心指标的计算、全省各级中医医疗机构数据接入及第三方系统数据共享以及数据治理、预警阈值设置、五级穿透监管等现状；需进行数据梳理与清洗，完成系统所有数据的适配对接，并开展全面的数据完整性、关联性、口径一致性校验，确保历史数据可正常追溯、复用，与中医机构原始业务系统数据交叉核验无误。</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功能适配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基于新中台技术架构，完成指标运算与核心功能适配重构，需覆盖6大监管方向150余项核心指标及分析指标的运算逻辑，开展数据治理与校验逻辑、预警提醒逻辑适配、接口开放与数据共享适配、五级穿透监管与可视化支撑逻辑适配、数据安全管控逻辑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4.6.2国产化业务数据库适配改造</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需对确有专长与师承考核考试系统、中医等级医院与中医重点专科评审系统、中医质控中心系统及绩效考核系统实施底层业务数据库国产化升级适配。</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4.6.2.1确有专长与师承考核考试系统</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面向确有专长与师承考核考试两大系统开展业务数据库国产化适配改造工作，需完成：</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1.全量数据库结构迁移适配，确保国产化环境数据表结构合规可用；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2.业务运算逻辑复刻适配，保障所有业务计算结果与原环境完全一致，无数据偏差、无逻辑漏洞；</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3.大数据量索引优化与性能调优，提升系统报名查询、档案检索、数据导出的整体运行性能；</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4.数据备份与安全机制国产化改造，满足人才考核业务合规监管要求；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5.全功能联调与数据校验测试适配改造，确保改造后业务平稳运行、数据精准无误。</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4.6.2.2中医等级医院与中医重点专科评审系统</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面向等级医院评审、重点专科评审两大系统开展业务数据库国产化适配改造工作，需完成： </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1.双系统全量数据库迁移，确保国产化环境全量数据表迁移可用；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2.双系统数据库结构标准化适配，解决跨表、跨业务数据兼容问题；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3.复杂评审指标运算逻辑复刻适配，确保评审客观数据零偏差、评审等次精准、评分规则完全对标原有标准。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4.历史海量数据分库分表优化，改善传统架构大数据量卡顿、调度超时问题。</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5.指标体系动态适配与版本管理改造，支持评审标准动态更新、多版本并存、精准溯源比对。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6.容灾备份、接口适配与全场景测试，保障评审业务闭环稳定运行。</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4.6.2.3质控中心系统</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中医质控中心系统已覆盖全省十来个中医专业质控业务，具备数据填报、实时数据校验、批量指标运算、精准差异比对等业务特性，对数据库稳定性、实时性、准确性要求较高，本次改造需包括：</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1.质控全量数据库迁移，确保国产化环境全量数据表迁移可用；</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2.质控数据库结构适配，统一字段规范、数据精度、存储格式；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3.自动化质控指标计算逻辑重构，保障质控数据精准可靠；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4.数据质控与批量处理能力优化，提升数据治理效率与质量；</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5.备份机制搭建与业务全量测试，确保国产化环境下质控常态化工作平稳有序开展。</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4.6.2.4绩效考核系统</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绩效考核系统依托省级主题数据库实现月度常态化绩效监测，指标迭代快、统计维度多、可视化场景丰富，需进行以下适配改造。</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1.绩效数据库迁移适配，确保国产化环境全量数据表迁移可用结构适配。</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2.核心绩效运算逻辑适配改造，保障月度、季度、年度考核数据运算精准。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3.可视化与画像数据接口优化，适配前端可视化展示需求。</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4.安全备份与一致性校验测试，保障绩效考核业务稳定运行。</w:t>
      </w:r>
      <w:r>
        <w:rPr>
          <w:rFonts w:hint="eastAsia" w:ascii="方正仿宋_GBK" w:hAnsi="方正仿宋_GBK" w:eastAsia="方正仿宋_GBK" w:cs="方正仿宋_GBK"/>
          <w:color w:val="000000"/>
          <w:sz w:val="28"/>
          <w:szCs w:val="28"/>
          <w:highlight w:val="none"/>
        </w:rPr>
      </w:r>
      <w:r/>
    </w:p>
    <w:p>
      <w:pPr>
        <w:pStyle w:val="947"/>
        <w:ind w:firstLine="482"/>
        <w:keepLines/>
        <w:keepNext/>
        <w:spacing w:line="440" w:lineRule="exact"/>
        <w:rPr>
          <w:rFonts w:hint="eastAsia" w:ascii="方正黑体_GBK" w:hAnsi="方正黑体_GBK" w:eastAsia="方正黑体_GBK" w:cs="方正黑体_GBK"/>
          <w:bCs/>
          <w:color w:val="000000"/>
          <w:sz w:val="28"/>
          <w:szCs w:val="28"/>
          <w:highlight w:val="none"/>
        </w:rPr>
        <w:outlineLvl w:val="3"/>
      </w:pPr>
      <w:r>
        <w:rPr>
          <w:rFonts w:hint="eastAsia" w:ascii="方正黑体_GBK" w:hAnsi="方正黑体_GBK" w:eastAsia="方正黑体_GBK" w:cs="方正黑体_GBK"/>
          <w:bCs/>
          <w:color w:val="000000"/>
          <w:sz w:val="28"/>
          <w:szCs w:val="28"/>
          <w:highlight w:val="none"/>
        </w:rPr>
        <w:t xml:space="preserve">（五）技术方案要求</w:t>
      </w:r>
      <w:r>
        <w:rPr>
          <w:rFonts w:hint="eastAsia" w:ascii="方正黑体_GBK" w:hAnsi="方正黑体_GBK" w:eastAsia="方正黑体_GBK" w:cs="方正黑体_GBK"/>
          <w:bCs/>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5.1软件开发方案</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投标人应根据项目的采购技术需求提供详细的软件开发方案，包括总体架构设计、数据流设计、技术路线、功能设计方案等。</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t xml:space="preserve">总体架构设计：设计科学完整的项目总体建设架构，要求架构逻辑清晰、层级分明，符合政务云建设规范，并且架构需支持功能灵活迭代、模块按需扩展。</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t xml:space="preserve">数据流设计：依托国产化政务云数据中台架构，设计适配本项目业务场景的全流程、闭环式数据流转体系。</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t xml:space="preserve">技术路线：要求采用主流、成熟、适配国产化环境的技术体系，需同时兼顾技术前瞻性与落地实用性，适配政务云运行环境，建设路径清晰、实施步骤可落地。</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4</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功能设计方案：要求根据项目的采购技术功能需求提供详细的系统功能设计方案。</w:t>
      </w:r>
      <w:r>
        <w:rPr>
          <w:rFonts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5.2项目实施方案</w:t>
      </w:r>
      <w:r>
        <w:rPr>
          <w:rFonts w:hint="eastAsia" w:ascii="方正仿宋_GBK" w:hAnsi="方正仿宋_GBK" w:eastAsia="方正仿宋_GBK" w:cs="方正仿宋_GBK"/>
          <w:b/>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为确保项目可以顺利地开展，投标人应详细阐述项目实施方案，包括</w:t>
      </w:r>
      <w:r>
        <w:rPr>
          <w:rFonts w:hint="eastAsia" w:eastAsia="方正仿宋_GBK"/>
          <w:color w:val="000000"/>
          <w:sz w:val="28"/>
          <w:szCs w:val="28"/>
          <w:highlight w:val="none"/>
        </w:rPr>
        <w:t xml:space="preserve">实施专项方案、</w:t>
      </w:r>
      <w:r>
        <w:rPr>
          <w:rFonts w:hint="eastAsia" w:eastAsia="方正仿宋_GBK"/>
          <w:color w:val="000000"/>
          <w:sz w:val="28"/>
          <w:szCs w:val="28"/>
          <w:highlight w:val="none"/>
        </w:rPr>
        <w:t xml:space="preserve">实施</w:t>
      </w:r>
      <w:r>
        <w:rPr>
          <w:rFonts w:eastAsia="方正仿宋_GBK"/>
          <w:color w:val="000000"/>
          <w:sz w:val="28"/>
          <w:szCs w:val="28"/>
          <w:highlight w:val="none"/>
        </w:rPr>
        <w:t xml:space="preserve">进度、</w:t>
      </w:r>
      <w:r>
        <w:rPr>
          <w:rFonts w:hint="eastAsia" w:eastAsia="方正仿宋_GBK"/>
          <w:color w:val="000000"/>
          <w:sz w:val="28"/>
          <w:szCs w:val="28"/>
          <w:highlight w:val="none"/>
        </w:rPr>
        <w:t xml:space="preserve">项目</w:t>
      </w:r>
      <w:r>
        <w:rPr>
          <w:rFonts w:eastAsia="方正仿宋_GBK"/>
          <w:color w:val="000000"/>
          <w:sz w:val="28"/>
          <w:szCs w:val="28"/>
          <w:highlight w:val="none"/>
        </w:rPr>
        <w:t xml:space="preserve">管理、测试、试运行、验收等。</w:t>
      </w:r>
      <w:r>
        <w:rPr>
          <w:rFonts w:eastAsia="方正仿宋_GBK"/>
          <w:color w:val="000000"/>
          <w:sz w:val="28"/>
          <w:szCs w:val="28"/>
          <w:highlight w:val="none"/>
        </w:rPr>
      </w:r>
      <w:r/>
    </w:p>
    <w:p>
      <w:pPr>
        <w:pStyle w:val="947"/>
        <w:ind w:firstLine="560"/>
        <w:spacing w:line="500" w:lineRule="exact"/>
        <w:widowControl/>
        <w:rPr>
          <w:rFonts w:hint="eastAsia" w:ascii="方正仿宋_GBK" w:eastAsia="方正仿宋_GBK"/>
          <w:color w:val="000000"/>
          <w:sz w:val="28"/>
          <w:szCs w:val="28"/>
          <w:highlight w:val="none"/>
        </w:rPr>
      </w:pPr>
      <w:r>
        <w:rPr>
          <w:rFonts w:hint="eastAsia" w:ascii="方正仿宋_GBK" w:eastAsia="方正仿宋_GBK"/>
          <w:color w:val="000000"/>
          <w:sz w:val="28"/>
          <w:szCs w:val="28"/>
          <w:highlight w:val="none"/>
        </w:rPr>
        <w:t xml:space="preserve">（1）实施专项方案：需结合</w:t>
      </w:r>
      <w:r>
        <w:rPr>
          <w:rFonts w:hint="eastAsia" w:ascii="方正仿宋_GBK" w:hAnsi="___WRD_EMBED_SUB_1391" w:eastAsia="方正仿宋_GBK" w:cs="___WRD_EMBED_SUB_1391"/>
          <w:color w:val="000000"/>
          <w:sz w:val="28"/>
          <w:szCs w:val="28"/>
          <w:highlight w:val="none"/>
        </w:rPr>
        <w:t xml:space="preserve">现有中医药智慧服务管理系统已建成的数据结构、指标体系、接口协议及业务规则，提供存量资产复用、业务规则兼容、无感切换与平滑过</w:t>
      </w:r>
      <w:r>
        <w:rPr>
          <w:rFonts w:hint="eastAsia" w:ascii="宋体" w:hAnsi="宋体" w:eastAsia="宋体" w:cs="宋体"/>
          <w:color w:val="000000"/>
          <w:sz w:val="28"/>
          <w:szCs w:val="28"/>
          <w:highlight w:val="none"/>
        </w:rPr>
        <w:t xml:space="preserve">渡</w:t>
      </w:r>
      <w:r>
        <w:rPr>
          <w:rFonts w:hint="eastAsia" w:ascii="方正仿宋_GBK" w:hAnsi="___WRD_EMBED_SUB_1391" w:eastAsia="方正仿宋_GBK" w:cs="___WRD_EMBED_SUB_1391"/>
          <w:color w:val="000000"/>
          <w:sz w:val="28"/>
          <w:szCs w:val="28"/>
          <w:highlight w:val="none"/>
        </w:rPr>
        <w:t xml:space="preserve">专项方案。</w:t>
      </w:r>
      <w:r>
        <w:rPr>
          <w:rFonts w:hint="eastAsia" w:ascii="方正仿宋_GBK"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2</w:t>
      </w:r>
      <w:r>
        <w:rPr>
          <w:rFonts w:eastAsia="方正仿宋_GBK"/>
          <w:color w:val="000000"/>
          <w:sz w:val="28"/>
          <w:szCs w:val="28"/>
          <w:highlight w:val="none"/>
        </w:rPr>
        <w:t xml:space="preserve">）</w:t>
      </w:r>
      <w:r>
        <w:rPr>
          <w:rFonts w:hint="eastAsia" w:eastAsia="方正仿宋_GBK"/>
          <w:color w:val="000000"/>
          <w:sz w:val="28"/>
          <w:szCs w:val="28"/>
          <w:highlight w:val="none"/>
        </w:rPr>
        <w:t xml:space="preserve">实施</w:t>
      </w:r>
      <w:r>
        <w:rPr>
          <w:rFonts w:eastAsia="方正仿宋_GBK"/>
          <w:color w:val="000000"/>
          <w:sz w:val="28"/>
          <w:szCs w:val="28"/>
          <w:highlight w:val="none"/>
        </w:rPr>
        <w:t xml:space="preserve">进度</w:t>
      </w:r>
      <w:r>
        <w:rPr>
          <w:rFonts w:hint="eastAsia" w:eastAsia="方正仿宋_GBK"/>
          <w:color w:val="000000"/>
          <w:sz w:val="28"/>
          <w:szCs w:val="28"/>
          <w:highlight w:val="none"/>
        </w:rPr>
        <w:t xml:space="preserve">计划</w:t>
      </w:r>
      <w:r>
        <w:rPr>
          <w:rFonts w:eastAsia="方正仿宋_GBK"/>
          <w:color w:val="000000"/>
          <w:sz w:val="28"/>
          <w:szCs w:val="28"/>
          <w:highlight w:val="none"/>
        </w:rPr>
        <w:t xml:space="preserve">：需要结合本项目的实际情况，制定项目实施</w:t>
      </w:r>
      <w:r>
        <w:rPr>
          <w:rFonts w:hint="eastAsia" w:eastAsia="方正仿宋_GBK"/>
          <w:color w:val="000000"/>
          <w:sz w:val="28"/>
          <w:szCs w:val="28"/>
          <w:highlight w:val="none"/>
        </w:rPr>
        <w:t xml:space="preserve">进度</w:t>
      </w:r>
      <w:r>
        <w:rPr>
          <w:rFonts w:eastAsia="方正仿宋_GBK"/>
          <w:color w:val="000000"/>
          <w:sz w:val="28"/>
          <w:szCs w:val="28"/>
          <w:highlight w:val="none"/>
        </w:rPr>
        <w:t xml:space="preserve">计划，通过对每个环节的精准把控，确保项目可以平稳有序地推进。</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3</w:t>
      </w:r>
      <w:r>
        <w:rPr>
          <w:rFonts w:eastAsia="方正仿宋_GBK"/>
          <w:color w:val="000000"/>
          <w:sz w:val="28"/>
          <w:szCs w:val="28"/>
          <w:highlight w:val="none"/>
        </w:rPr>
        <w:t xml:space="preserve">）</w:t>
      </w:r>
      <w:r>
        <w:rPr>
          <w:rFonts w:hint="eastAsia" w:eastAsia="方正仿宋_GBK"/>
          <w:color w:val="000000"/>
          <w:sz w:val="28"/>
          <w:szCs w:val="28"/>
          <w:highlight w:val="none"/>
        </w:rPr>
        <w:t xml:space="preserve">项目</w:t>
      </w:r>
      <w:r>
        <w:rPr>
          <w:rFonts w:eastAsia="方正仿宋_GBK"/>
          <w:color w:val="000000"/>
          <w:sz w:val="28"/>
          <w:szCs w:val="28"/>
          <w:highlight w:val="none"/>
        </w:rPr>
        <w:t xml:space="preserve">管理：投标人需建立完善的项目管理制度，包括组织分工、职责说明、例会制度、信息安全规章制度等，保证项目有序、有节奏地进行，在规定的时间内完成各项工作。</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4</w:t>
      </w:r>
      <w:r>
        <w:rPr>
          <w:rFonts w:eastAsia="方正仿宋_GBK"/>
          <w:color w:val="000000"/>
          <w:sz w:val="28"/>
          <w:szCs w:val="28"/>
          <w:highlight w:val="none"/>
        </w:rPr>
        <w:t xml:space="preserve">）</w:t>
      </w:r>
      <w:r>
        <w:rPr>
          <w:rFonts w:eastAsia="方正仿宋_GBK"/>
          <w:color w:val="000000"/>
          <w:sz w:val="28"/>
          <w:szCs w:val="28"/>
          <w:highlight w:val="none"/>
        </w:rPr>
        <w:t xml:space="preserve">测试：为确保项目的软件质量，项目测试方案至关重要。投标人需详细阐述项目测试的具体要求，包括测试目标、测试方案、测试结果等。</w:t>
      </w:r>
      <w:r>
        <w:rPr>
          <w:rFonts w:eastAsia="方正仿宋_GBK"/>
          <w:color w:val="000000"/>
          <w:sz w:val="28"/>
          <w:szCs w:val="28"/>
          <w:highlight w:val="none"/>
        </w:rPr>
      </w:r>
      <w:r/>
    </w:p>
    <w:p>
      <w:pPr>
        <w:pStyle w:val="947"/>
        <w:ind w:firstLine="560"/>
        <w:spacing w:line="440" w:lineRule="exact"/>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5</w:t>
      </w:r>
      <w:r>
        <w:rPr>
          <w:rFonts w:eastAsia="方正仿宋_GBK"/>
          <w:color w:val="000000"/>
          <w:sz w:val="28"/>
          <w:szCs w:val="28"/>
          <w:highlight w:val="none"/>
        </w:rPr>
        <w:t xml:space="preserve">）</w:t>
      </w:r>
      <w:r>
        <w:rPr>
          <w:rFonts w:eastAsia="方正仿宋_GBK"/>
          <w:color w:val="000000"/>
          <w:sz w:val="28"/>
          <w:szCs w:val="28"/>
          <w:highlight w:val="none"/>
        </w:rPr>
        <w:t xml:space="preserve">试运行：本项目的试运行为期1个月。在试运行期间，投标人应制定完善的试运行方案，包括试运行目的、试运行准备、试运行结果输出等。</w:t>
      </w:r>
      <w:r>
        <w:rPr>
          <w:rFonts w:eastAsia="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5.3项目质量管理方案</w:t>
      </w:r>
      <w:r>
        <w:rPr>
          <w:rFonts w:hint="eastAsia" w:ascii="方正仿宋_GBK" w:hAnsi="方正仿宋_GBK" w:eastAsia="方正仿宋_GBK" w:cs="方正仿宋_GBK"/>
          <w:b/>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为确保项目的质量达到既定标准，投标人应详细阐述项目质量管理方案，包括质量标准、质量管理体系以及风险管理等。</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hint="eastAsia" w:eastAsia="方正仿宋_GBK"/>
          <w:color w:val="000000"/>
          <w:sz w:val="28"/>
          <w:szCs w:val="28"/>
          <w:highlight w:val="none"/>
        </w:rPr>
        <w:t xml:space="preserve">（</w:t>
      </w:r>
      <w:r>
        <w:rPr>
          <w:rFonts w:eastAsia="方正仿宋_GBK"/>
          <w:color w:val="000000"/>
          <w:sz w:val="28"/>
          <w:szCs w:val="28"/>
          <w:highlight w:val="none"/>
        </w:rPr>
        <w:t xml:space="preserve">1</w:t>
      </w:r>
      <w:r>
        <w:rPr>
          <w:rFonts w:hint="eastAsia" w:eastAsia="方正仿宋_GBK"/>
          <w:color w:val="000000"/>
          <w:sz w:val="28"/>
          <w:szCs w:val="28"/>
          <w:highlight w:val="none"/>
        </w:rPr>
        <w:t xml:space="preserve">）</w:t>
      </w:r>
      <w:r>
        <w:rPr>
          <w:rFonts w:eastAsia="方正仿宋_GBK"/>
          <w:color w:val="000000"/>
          <w:sz w:val="28"/>
          <w:szCs w:val="28"/>
          <w:highlight w:val="none"/>
        </w:rPr>
        <w:t xml:space="preserve">质量标准：项目需严格遵守国家及行业关于信息安全、软件开发等方面的相关法律法规、标准规范及最佳实践。</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hint="eastAsia" w:eastAsia="方正仿宋_GBK"/>
          <w:color w:val="000000"/>
          <w:sz w:val="28"/>
          <w:szCs w:val="28"/>
          <w:highlight w:val="none"/>
        </w:rPr>
        <w:t xml:space="preserve">（2）</w:t>
      </w:r>
      <w:r>
        <w:rPr>
          <w:rFonts w:eastAsia="方正仿宋_GBK"/>
          <w:color w:val="000000"/>
          <w:sz w:val="28"/>
          <w:szCs w:val="28"/>
          <w:highlight w:val="none"/>
        </w:rPr>
        <w:t xml:space="preserve">质量管理体系：投标人需建立完善的质量管理体系，包括质量保证目标、质量控制、质量保证和质量改进等环节，确保项目全生命周期的质量管理。</w:t>
      </w:r>
      <w:r>
        <w:rPr>
          <w:rFonts w:eastAsia="方正仿宋_GBK"/>
          <w:color w:val="000000"/>
          <w:sz w:val="28"/>
          <w:szCs w:val="28"/>
          <w:highlight w:val="none"/>
        </w:rPr>
      </w:r>
      <w:r/>
    </w:p>
    <w:p>
      <w:pPr>
        <w:pStyle w:val="947"/>
        <w:ind w:firstLine="560"/>
        <w:spacing w:line="500" w:lineRule="exact"/>
        <w:widowControl/>
        <w:rPr>
          <w:rFonts w:hint="eastAsia" w:eastAsia="方正仿宋_GBK" w:cs="Times New Roman"/>
          <w:color w:val="000000"/>
          <w:sz w:val="28"/>
          <w:szCs w:val="28"/>
          <w:highlight w:val="none"/>
        </w:rPr>
      </w:pPr>
      <w:r>
        <w:rPr>
          <w:rFonts w:hint="eastAsia" w:eastAsia="方正仿宋_GBK" w:cs="Times New Roman"/>
          <w:color w:val="000000"/>
          <w:sz w:val="28"/>
          <w:szCs w:val="28"/>
          <w:highlight w:val="none"/>
        </w:rPr>
        <w:t xml:space="preserve">（3）风险管理：需对项目可能面临的风险进行全面识别和评估，包括项目全过程中多个阶段可能会面临的潜在风险，准确地识别风险并制定风险预防措施，降低风险对项目的影响。</w:t>
      </w:r>
      <w:r>
        <w:rPr>
          <w:rFonts w:hint="eastAsia" w:eastAsia="方正仿宋_GBK" w:cs="Times New Roman"/>
          <w:color w:val="000000"/>
          <w:sz w:val="28"/>
          <w:szCs w:val="28"/>
          <w:highlight w:val="none"/>
        </w:rPr>
      </w:r>
      <w:r/>
    </w:p>
    <w:p>
      <w:pPr>
        <w:pStyle w:val="947"/>
        <w:ind w:firstLine="562"/>
        <w:spacing w:line="500" w:lineRule="exact"/>
        <w:widowControl/>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5.4</w:t>
      </w:r>
      <w:r>
        <w:rPr>
          <w:rFonts w:hint="eastAsia" w:ascii="方正仿宋_GBK" w:hAnsi="方正仿宋_GBK" w:eastAsia="方正仿宋_GBK" w:cs="方正仿宋_GBK"/>
          <w:b/>
          <w:color w:val="000000"/>
          <w:sz w:val="28"/>
          <w:szCs w:val="28"/>
          <w:highlight w:val="none"/>
        </w:rPr>
        <w:t xml:space="preserve">项目应急和安全服务方案</w:t>
      </w:r>
      <w:r>
        <w:rPr>
          <w:rFonts w:hint="eastAsia" w:ascii="方正仿宋_GBK" w:hAnsi="方正仿宋_GBK" w:eastAsia="方正仿宋_GBK" w:cs="方正仿宋_GBK"/>
          <w:b/>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结合本项目实际现场情况和安全服务需求，投标人应制定明确的应急管理方案和系统安全保障方案，确保快速解决安全问题，保障完全高效服务的目标。</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（1）应急管理方案：应急管理是一个系统工程，其核心要求包括：建立完善的责任体系和组织机构，提前制定预案并演练，对应急事件进行分类与分级，明确应急响应流程。</w:t>
      </w:r>
      <w:r>
        <w:rPr>
          <w:rFonts w:eastAsia="方正仿宋_GBK"/>
          <w:color w:val="000000"/>
          <w:sz w:val="28"/>
          <w:szCs w:val="28"/>
          <w:highlight w:val="none"/>
        </w:rPr>
      </w:r>
      <w:r/>
    </w:p>
    <w:p>
      <w:pPr>
        <w:pStyle w:val="947"/>
        <w:ind w:firstLine="560"/>
        <w:spacing w:line="500" w:lineRule="exact"/>
        <w:widowControl/>
        <w:rPr>
          <w:rFonts w:hint="eastAsia"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（2）系统安全保障方案：信息系统安全管理要求包括物理安全、网络安全、主机安全、应用安全、数据安全，投标人应建立相应的安全管理制度，确保安全措施的有效施行</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5.5项目培训方案</w:t>
      </w:r>
      <w:r>
        <w:rPr>
          <w:rFonts w:hint="eastAsia" w:ascii="方正仿宋_GBK" w:hAnsi="方正仿宋_GBK" w:eastAsia="方正仿宋_GBK" w:cs="方正仿宋_GBK"/>
          <w:b/>
          <w:color w:val="000000"/>
          <w:sz w:val="28"/>
          <w:szCs w:val="28"/>
          <w:highlight w:val="none"/>
        </w:rPr>
      </w:r>
      <w:r/>
    </w:p>
    <w:p>
      <w:pPr>
        <w:pStyle w:val="947"/>
        <w:ind w:firstLine="560"/>
        <w:spacing w:line="500" w:lineRule="exact"/>
        <w:widowControl/>
        <w:rPr>
          <w:rFonts w:eastAsia="方正仿宋_GBK" w:cs="Times New Roman"/>
          <w:color w:val="000000"/>
          <w:sz w:val="28"/>
          <w:szCs w:val="28"/>
          <w:highlight w:val="none"/>
        </w:rPr>
      </w:pPr>
      <w:r>
        <w:rPr>
          <w:rFonts w:hint="eastAsia" w:eastAsia="方正仿宋_GBK" w:cs="Times New Roman"/>
          <w:color w:val="000000"/>
          <w:sz w:val="28"/>
          <w:szCs w:val="28"/>
          <w:highlight w:val="none"/>
        </w:rPr>
        <w:t xml:space="preserve">（1）培训方案完整性：投标人需制定完善的培训方案，包括但不限于培训内容、培训计划、培训方法、培训课时等。</w:t>
      </w:r>
      <w:r>
        <w:rPr>
          <w:rFonts w:eastAsia="方正仿宋_GBK" w:cs="Times New Roman"/>
          <w:color w:val="000000"/>
          <w:sz w:val="28"/>
          <w:szCs w:val="28"/>
          <w:highlight w:val="none"/>
        </w:rPr>
      </w:r>
      <w:r/>
    </w:p>
    <w:p>
      <w:pPr>
        <w:pStyle w:val="947"/>
        <w:ind w:firstLine="560"/>
        <w:spacing w:line="500" w:lineRule="exact"/>
        <w:widowControl/>
        <w:rPr>
          <w:rFonts w:eastAsia="方正仿宋_GBK" w:cs="Times New Roman"/>
          <w:color w:val="000000"/>
          <w:sz w:val="28"/>
          <w:szCs w:val="28"/>
          <w:highlight w:val="none"/>
        </w:rPr>
      </w:pPr>
      <w:r>
        <w:rPr>
          <w:rFonts w:hint="eastAsia" w:eastAsia="方正仿宋_GBK" w:cs="Times New Roman"/>
          <w:color w:val="000000"/>
          <w:sz w:val="28"/>
          <w:szCs w:val="28"/>
          <w:highlight w:val="none"/>
        </w:rPr>
        <w:t xml:space="preserve">（2）培训对象针对性：对采购人不同培训对象提供针对性培训内容。</w:t>
      </w:r>
      <w:r>
        <w:rPr>
          <w:rFonts w:eastAsia="方正仿宋_GBK" w:cs="Times New Roman"/>
          <w:color w:val="000000"/>
          <w:sz w:val="28"/>
          <w:szCs w:val="28"/>
          <w:highlight w:val="none"/>
        </w:rPr>
      </w:r>
      <w:r/>
    </w:p>
    <w:p>
      <w:pPr>
        <w:pStyle w:val="947"/>
        <w:ind w:firstLine="560"/>
        <w:spacing w:line="500" w:lineRule="exact"/>
        <w:widowControl/>
        <w:rPr>
          <w:rFonts w:hint="eastAsia" w:eastAsia="方正仿宋_GBK" w:cs="Times New Roman"/>
          <w:color w:val="000000"/>
          <w:sz w:val="28"/>
          <w:szCs w:val="28"/>
          <w:highlight w:val="none"/>
        </w:rPr>
      </w:pPr>
      <w:r>
        <w:rPr>
          <w:rFonts w:hint="eastAsia" w:eastAsia="方正仿宋_GBK" w:cs="Times New Roman"/>
          <w:color w:val="000000"/>
          <w:sz w:val="28"/>
          <w:szCs w:val="28"/>
          <w:highlight w:val="none"/>
        </w:rPr>
        <w:t xml:space="preserve">（3）培训资料交付：投标人在采购人现场的培训，投标人必须无偿提供培训资料、讲稿的电子稿、培训用文字资料和讲义等相关用品，所有的资料必须是中文书写，同时允许采购人在单位内部使用。</w:t>
      </w:r>
      <w:r>
        <w:rPr>
          <w:rFonts w:hint="eastAsia" w:eastAsia="方正仿宋_GBK" w:cs="Times New Roman"/>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eastAsia="方正仿宋_GBK" w:cs="Times New Roman"/>
          <w:color w:val="000000"/>
          <w:sz w:val="28"/>
          <w:szCs w:val="28"/>
          <w:highlight w:val="none"/>
        </w:rPr>
        <w:t xml:space="preserve">（4）培训场次要求：培训场次不少于10次。</w:t>
      </w:r>
      <w:r>
        <w:rPr>
          <w:rFonts w:hint="eastAsia" w:ascii="方正仿宋_GBK" w:hAnsi="方正仿宋_GBK" w:eastAsia="方正仿宋_GBK" w:cs="方正仿宋_GBK"/>
          <w:color w:val="000000"/>
          <w:sz w:val="28"/>
          <w:szCs w:val="28"/>
          <w:highlight w:val="none"/>
        </w:rPr>
      </w:r>
      <w:r/>
    </w:p>
    <w:p>
      <w:pPr>
        <w:pStyle w:val="947"/>
        <w:ind w:firstLine="562"/>
        <w:keepNext/>
        <w:spacing w:line="440" w:lineRule="exact"/>
        <w:rPr>
          <w:rFonts w:hint="eastAsia" w:ascii="方正仿宋_GBK" w:hAnsi="方正仿宋_GBK" w:eastAsia="方正仿宋_GBK" w:cs="方正仿宋_GBK"/>
          <w:b/>
          <w:color w:val="000000"/>
          <w:sz w:val="28"/>
          <w:szCs w:val="28"/>
          <w:highlight w:val="none"/>
        </w:rPr>
        <w:outlineLvl w:val="4"/>
      </w:pPr>
      <w:r>
        <w:rPr>
          <w:rFonts w:hint="eastAsia" w:ascii="方正仿宋_GBK" w:hAnsi="方正仿宋_GBK" w:eastAsia="方正仿宋_GBK" w:cs="方正仿宋_GBK"/>
          <w:b/>
          <w:color w:val="000000"/>
          <w:sz w:val="28"/>
          <w:szCs w:val="28"/>
          <w:highlight w:val="none"/>
        </w:rPr>
        <w:t xml:space="preserve">5.6项目售后服务方案</w:t>
      </w:r>
      <w:r>
        <w:rPr>
          <w:rFonts w:hint="eastAsia" w:ascii="方正仿宋_GBK" w:hAnsi="方正仿宋_GBK" w:eastAsia="方正仿宋_GBK" w:cs="方正仿宋_GBK"/>
          <w:b/>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为了保障项目的长期稳定运行，提供高效、专业的售后服务至关重要。投标人需详细阐述项目售后管理方案的具体要求，包括维保期、维保期后的维保费用、售后要求、售后内容以及售后人员等。</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（1）维保期：报价中包含的自交货验收完毕之日起提供的维保期。</w:t>
      </w:r>
      <w:r>
        <w:rPr>
          <w:rFonts w:eastAsia="方正仿宋_GBK"/>
          <w:color w:val="000000"/>
          <w:sz w:val="28"/>
          <w:szCs w:val="28"/>
          <w:highlight w:val="none"/>
        </w:rPr>
      </w:r>
      <w:r/>
    </w:p>
    <w:p>
      <w:pPr>
        <w:pStyle w:val="947"/>
        <w:ind w:firstLine="560"/>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2</w:t>
      </w:r>
      <w:r>
        <w:rPr>
          <w:rFonts w:eastAsia="方正仿宋_GBK"/>
          <w:color w:val="000000"/>
          <w:sz w:val="28"/>
          <w:szCs w:val="28"/>
          <w:highlight w:val="none"/>
        </w:rPr>
        <w:t xml:space="preserve">）售后要求：投标供应商须承诺，7*24小时立即响应，</w:t>
      </w:r>
      <w:r>
        <w:rPr>
          <w:rFonts w:hint="eastAsia" w:eastAsia="方正仿宋_GBK"/>
          <w:color w:val="000000"/>
          <w:sz w:val="28"/>
          <w:szCs w:val="28"/>
          <w:highlight w:val="none"/>
        </w:rPr>
        <w:t xml:space="preserve">故障发生后</w:t>
      </w:r>
      <w:r>
        <w:rPr>
          <w:rFonts w:eastAsia="方正仿宋_GBK"/>
          <w:color w:val="000000"/>
          <w:sz w:val="28"/>
          <w:szCs w:val="28"/>
          <w:highlight w:val="none"/>
        </w:rPr>
        <w:t xml:space="preserve">2小时内到现场，</w:t>
      </w:r>
      <w:r>
        <w:rPr>
          <w:rFonts w:hint="eastAsia" w:eastAsia="方正仿宋_GBK"/>
          <w:color w:val="000000"/>
          <w:sz w:val="28"/>
          <w:szCs w:val="28"/>
          <w:highlight w:val="none"/>
        </w:rPr>
        <w:t xml:space="preserve">一般性故障4小时内修复，重大故障限时阶段性处置并出具专项报告</w:t>
      </w:r>
      <w:r>
        <w:rPr>
          <w:rFonts w:eastAsia="方正仿宋_GBK"/>
          <w:color w:val="000000"/>
          <w:sz w:val="28"/>
          <w:szCs w:val="28"/>
          <w:highlight w:val="none"/>
        </w:rPr>
        <w:t xml:space="preserve">，应由熟悉该系统且有能力进行维护的工程师负责提供系统维护。</w:t>
      </w:r>
      <w:r>
        <w:rPr>
          <w:rFonts w:eastAsia="方正仿宋_GBK"/>
          <w:color w:val="000000"/>
          <w:sz w:val="28"/>
          <w:szCs w:val="28"/>
          <w:highlight w:val="none"/>
        </w:rPr>
      </w:r>
      <w:r/>
    </w:p>
    <w:p>
      <w:pPr>
        <w:pStyle w:val="947"/>
        <w:ind w:firstLine="560"/>
        <w:spacing w:line="500" w:lineRule="exact"/>
        <w:widowControl/>
        <w:rPr>
          <w:rFonts w:hint="eastAsia" w:ascii="方正仿宋_GBK" w:hAnsi="方正仿宋_GBK" w:eastAsia="方正仿宋_GBK" w:cs="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3</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售后内容：投标供应商须承诺提供该产品的技术培训、技术支持和维修巡检服务，并在投标文件中提供相应书面方案。</w:t>
      </w:r>
      <w:r>
        <w:rPr>
          <w:rFonts w:hint="eastAsia" w:ascii="方正仿宋_GBK" w:hAnsi="方正仿宋_GBK" w:eastAsia="方正仿宋_GBK" w:cs="方正仿宋_GBK"/>
          <w:color w:val="000000"/>
          <w:sz w:val="28"/>
          <w:szCs w:val="28"/>
          <w:highlight w:val="none"/>
        </w:rPr>
      </w:r>
      <w:r/>
    </w:p>
    <w:p>
      <w:pPr>
        <w:pStyle w:val="985"/>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85"/>
        <w:spacing w:line="44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四、商务要求</w:t>
      </w:r>
      <w:r>
        <w:rPr>
          <w:rFonts w:hint="eastAsia" w:ascii="方正黑体_GBK" w:hAnsi="方正黑体_GBK" w:eastAsia="方正黑体_GBK" w:cs="方正黑体_GBK"/>
          <w:bCs/>
          <w:color w:val="000000"/>
          <w:sz w:val="28"/>
          <w:szCs w:val="28"/>
          <w:highlight w:val="none"/>
        </w:rPr>
      </w:r>
      <w:r/>
    </w:p>
    <w:p>
      <w:pPr>
        <w:pStyle w:val="947"/>
        <w:ind w:firstLine="562"/>
        <w:spacing w:line="440" w:lineRule="exact"/>
        <w:rPr>
          <w:color w:val="000000"/>
          <w:highlight w:val="none"/>
        </w:rPr>
      </w:pPr>
      <w:r>
        <w:rPr>
          <w:rFonts w:hint="eastAsia" w:ascii="方正仿宋_GBK" w:hAnsi="方正仿宋_GBK" w:eastAsia="方正仿宋_GBK" w:cs="方正仿宋_GBK"/>
          <w:b/>
          <w:bCs/>
          <w:color w:val="000000"/>
          <w:sz w:val="28"/>
          <w:szCs w:val="28"/>
          <w:highlight w:val="none"/>
        </w:rPr>
        <w:t xml:space="preserve">（一）交付地点：</w:t>
      </w:r>
      <w:r>
        <w:rPr>
          <w:rFonts w:hint="eastAsia" w:ascii="方正仿宋_GBK" w:hAnsi="方正仿宋_GBK" w:eastAsia="方正仿宋_GBK" w:cs="方正仿宋_GBK"/>
          <w:color w:val="000000"/>
          <w:sz w:val="28"/>
          <w:szCs w:val="28"/>
          <w:highlight w:val="none"/>
        </w:rPr>
        <w:t xml:space="preserve">南京市中央路42号江苏省卫生健康信息中心（江苏省中医药信息中心）。</w:t>
      </w:r>
      <w:r>
        <w:rPr>
          <w:color w:val="000000"/>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（二）报价要求</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的报价应包含为完成本招标文件提出的所有开发、实施、配套设备购置、购买版权、对接、集成、调试、软件质量整改优化、信息安全测评整改、培训、验收、一年维保等全部相关工作所有可能发生的费用，即投标总报价为“交钥匙”价。对在项目实施过程中可能发生的其他费用（如：人工成本增加、政策或业务调整等因素），采购人概不负责。本文件所要求内容应视为保证系统运行所需最低要求，如有遗漏，投标人应予补充。否则，将不予以付款。</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本项目所涉及的原系统对接、系统改造等全部相关费用，均已统一包含在本次投标总报价内，项目实施过程中采购人不另行支付任何新增、增补、隐性费用，所有相关费用风险及成本由中标人全额承担。</w:t>
      </w:r>
      <w:r>
        <w:rPr>
          <w:rFonts w:hint="eastAsia" w:ascii="方正仿宋_GBK" w:hAnsi="方正仿宋_GBK" w:eastAsia="方正仿宋_GBK" w:cs="方正仿宋_GBK"/>
          <w:i/>
          <w:iCs/>
          <w:color w:val="000000"/>
          <w:sz w:val="28"/>
          <w:szCs w:val="28"/>
          <w:highlight w:val="none"/>
          <w:u w:val="singl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2.本项目在建设期间，可能会产生与国家卫健委、各委办局、医疗机构的接口服务，供应商不得以此要求增加款项。维保期间，如新增需求涉及开发实施费用不超过合同额的5%，供应商不得要求增加款项。</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3.对本文件未列明，而投标人认为必需的费用也需列入投标总报价。在合同实施时，采购人将不予支付供应商没有列入的项目费用，并认为此项目的费用已包含在投标总报价中。</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（三）项目管理与实施要求</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1.投标人应具有健全的项目管理制度和流程，以及合格的项目实施人员，对系统建设进行全过程质量管理，确保项目实施的顺利。</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2.项目自合同签订之日起6个月内完成系统开发上线，通过终验后，供应商提供1年维保（相关费用含在本次报价中）。</w:t>
      </w:r>
      <w:r>
        <w:rPr>
          <w:rFonts w:hint="eastAsia" w:ascii="方正仿宋_GBK" w:hAnsi="方正仿宋_GBK" w:eastAsia="方正仿宋_GBK" w:cs="方正仿宋_GBK"/>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（四）项目人员要求</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1.项目经理：中标供应商需指派1名全职项目经理，全面负责本项目的管理、协调与交付工作。该人员须具备同类信息化建设项目的丰富管理经验。</w:t>
      </w:r>
      <w:r>
        <w:rPr>
          <w:rFonts w:hint="eastAsia" w:ascii="方正仿宋_GBK" w:hAnsi="方正仿宋_GBK" w:eastAsia="方正仿宋_GBK" w:cs="方正仿宋_GBK"/>
          <w:bCs/>
          <w:color w:val="000000"/>
          <w:sz w:val="28"/>
          <w:szCs w:val="28"/>
          <w:highlight w:val="none"/>
        </w:rPr>
        <w:t xml:space="preserve">具备信息系统项目管理师证书及信息安全保障人员认证证书</w:t>
      </w:r>
      <w:r>
        <w:rPr>
          <w:rFonts w:hint="eastAsia" w:ascii="方正仿宋_GBK" w:hAnsi="方正仿宋_GBK" w:eastAsia="方正仿宋_GBK" w:cs="方正仿宋_GBK"/>
          <w:bCs/>
          <w:color w:val="000000"/>
          <w:sz w:val="28"/>
          <w:szCs w:val="28"/>
          <w:highlight w:val="none"/>
        </w:rPr>
        <w:t xml:space="preserve">的优先考虑。</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驻场实施要求：项目建设期间，投标人安排1名项目经理及不少于5名实施工程师常驻采购人现场，全职负责系统的部署、配置、调试、用户培训、系统优化等全流程建设工作，保障项目按期完成、系统顺利上线。</w:t>
      </w:r>
      <w:r>
        <w:rPr>
          <w:rFonts w:hint="eastAsia" w:ascii="方正仿宋_GBK" w:hAnsi="方正仿宋_GBK" w:eastAsia="方正仿宋_GBK" w:cs="方正仿宋_GBK"/>
          <w:bCs/>
          <w:color w:val="000000"/>
          <w:sz w:val="28"/>
          <w:szCs w:val="28"/>
          <w:highlight w:val="none"/>
        </w:rPr>
        <w:t xml:space="preserve">项目维保期间，投标人应组建专属运维服务团队，配置1名专职项目经理统筹管理，配备不少于2名实施工程师按需提供现场技术服务、不少于2名工程师提供7×24小时远程技术支持。服务范围涵盖系统日常运行监测、故障排查修复、常态化运维保障、各类需求及时响应、系统迭代优化升级等，全方位保障系统长期稳定、安全、高效运转。</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3.项目团队人员要求：投标人为本项目配备至少5名项目实施工程师（不包含项目经理），工程师应具备丰富的同类系统实施经验。</w:t>
      </w:r>
      <w:r>
        <w:rPr>
          <w:rFonts w:hint="eastAsia" w:ascii="方正仿宋_GBK" w:hAnsi="方正仿宋_GBK" w:eastAsia="方正仿宋_GBK" w:cs="方正仿宋_GBK"/>
          <w:bCs/>
          <w:color w:val="000000"/>
          <w:sz w:val="28"/>
          <w:szCs w:val="28"/>
          <w:highlight w:val="none"/>
        </w:rPr>
        <w:t xml:space="preserve">具有</w:t>
      </w:r>
      <w:r>
        <w:rPr>
          <w:rFonts w:ascii="方正仿宋_GBK" w:hAnsi="方正仿宋_GBK" w:eastAsia="方正仿宋_GBK" w:cs="方正仿宋_GBK"/>
          <w:bCs/>
          <w:color w:val="000000"/>
          <w:sz w:val="28"/>
          <w:szCs w:val="28"/>
          <w:highlight w:val="none"/>
        </w:rPr>
        <w:t xml:space="preserve">系统规划与管理师证书</w:t>
      </w:r>
      <w:r>
        <w:rPr>
          <w:rFonts w:hint="eastAsia" w:ascii="方正仿宋_GBK" w:hAnsi="方正仿宋_GBK" w:eastAsia="方正仿宋_GBK" w:cs="方正仿宋_GBK"/>
          <w:bCs/>
          <w:color w:val="000000"/>
          <w:sz w:val="28"/>
          <w:szCs w:val="28"/>
          <w:highlight w:val="none"/>
        </w:rPr>
        <w:t xml:space="preserve">、DCMM数据管理师证书，系统架构设计师证书、数据库系统工程师证书、软件评测师证书的优先考虑。</w:t>
      </w:r>
      <w:r>
        <w:rPr>
          <w:rFonts w:hint="eastAsia" w:ascii="方正仿宋_GBK" w:hAnsi="方正仿宋_GBK" w:eastAsia="方正仿宋_GBK" w:cs="方正仿宋_GBK"/>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（五）公司实力</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1.相关业绩要求：</w:t>
      </w:r>
      <w:r>
        <w:rPr>
          <w:rFonts w:hint="eastAsia" w:ascii="方正仿宋_GBK" w:hAnsi="方正仿宋_GBK" w:eastAsia="方正仿宋_GBK" w:cs="方正仿宋_GBK"/>
          <w:bCs/>
          <w:color w:val="000000"/>
          <w:sz w:val="28"/>
          <w:szCs w:val="28"/>
          <w:highlight w:val="none"/>
        </w:rPr>
        <w:t xml:space="preserve">投标人近三年内承担过（2023年1月1日至今）</w:t>
      </w:r>
      <w:r>
        <w:rPr>
          <w:rFonts w:hint="eastAsia" w:ascii="方正仿宋_GBK" w:hAnsi="方正仿宋_GBK" w:eastAsia="方正仿宋_GBK" w:cs="方正仿宋_GBK"/>
          <w:bCs/>
          <w:color w:val="000000"/>
          <w:sz w:val="28"/>
          <w:szCs w:val="28"/>
          <w:highlight w:val="none"/>
        </w:rPr>
        <w:t xml:space="preserve">类似智慧管理或监测监管系统软件开发项目案例，及承担过</w:t>
      </w:r>
      <w:r>
        <w:rPr>
          <w:rFonts w:ascii="方正仿宋_GBK" w:hAnsi="方正仿宋_GBK" w:eastAsia="方正仿宋_GBK" w:cs="方正仿宋_GBK"/>
          <w:bCs/>
          <w:color w:val="000000"/>
          <w:sz w:val="28"/>
          <w:szCs w:val="28"/>
          <w:highlight w:val="none"/>
        </w:rPr>
        <w:t xml:space="preserve">国产软硬件架构信息化系统</w:t>
      </w:r>
      <w:r>
        <w:rPr>
          <w:rFonts w:hint="eastAsia" w:ascii="方正仿宋_GBK" w:hAnsi="方正仿宋_GBK" w:eastAsia="方正仿宋_GBK" w:cs="方正仿宋_GBK"/>
          <w:bCs/>
          <w:color w:val="000000"/>
          <w:sz w:val="28"/>
          <w:szCs w:val="28"/>
          <w:highlight w:val="none"/>
        </w:rPr>
        <w:t xml:space="preserve">改造类似案例的优先考虑。</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2.企业能力：投标人具有本项目中医药服务智慧管理系统相关软件著作权证书</w:t>
      </w:r>
      <w:r>
        <w:rPr>
          <w:rFonts w:hint="eastAsia" w:ascii="方正仿宋_GBK" w:hAnsi="方正仿宋_GBK" w:eastAsia="方正仿宋_GBK" w:cs="方正仿宋_GBK"/>
          <w:bCs/>
          <w:color w:val="000000"/>
          <w:sz w:val="28"/>
          <w:szCs w:val="28"/>
          <w:highlight w:val="none"/>
        </w:rPr>
        <w:t xml:space="preserve">优先考虑</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如“监测或监管类”“质控类”“机构考核评价类”“大数据绩效管理类”</w:t>
      </w:r>
      <w:r>
        <w:rPr>
          <w:rFonts w:hint="eastAsia" w:ascii="方正仿宋_GBK" w:hAnsi="方正仿宋_GBK" w:eastAsia="方正仿宋_GBK" w:cs="方正仿宋_GBK"/>
          <w:bCs/>
          <w:color w:val="000000"/>
          <w:sz w:val="28"/>
          <w:szCs w:val="28"/>
          <w:highlight w:val="none"/>
        </w:rPr>
        <w:t xml:space="preserve">等类似著作权登记证书。</w:t>
      </w:r>
      <w:r>
        <w:rPr>
          <w:rFonts w:hint="eastAsia" w:ascii="方正仿宋_GBK" w:hAnsi="方正仿宋_GBK" w:eastAsia="方正仿宋_GBK" w:cs="方正仿宋_GBK"/>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（六）付款方式</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1.合同款项原则上按以下方式支付：</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（1）合同签订后的15个工作日内办理支付申请手续，申请支付合同金额的40%作为预付款。</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（2）项目通过验收后办理支付申请手续，申请支付合同金额的60%。</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2.供应商必须按国家有关财税规定开具发票。</w:t>
      </w:r>
      <w:r>
        <w:rPr>
          <w:rFonts w:hint="eastAsia" w:ascii="方正仿宋_GBK" w:hAnsi="方正仿宋_GBK" w:eastAsia="方正仿宋_GBK" w:cs="方正仿宋_GBK"/>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（七）支持服务保证</w:t>
      </w:r>
      <w:r>
        <w:rPr>
          <w:rFonts w:hint="eastAsia" w:ascii="方正仿宋_GBK" w:hAnsi="方正仿宋_GBK" w:eastAsia="方正仿宋_GBK" w:cs="方正仿宋_GBK"/>
          <w:b/>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针对采购项目，供应商应承诺如下支持服务保证：</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1.提供支持服务以保证系统的平稳运行。</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2.与采购人共同合作，统一安排运维管理，保证系统（特别是应用模块）的有效运转。</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3.制定全面的工作计划，保证按照工作计划进行运维管理。</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4.在合同期内将系统的所有变动详细记录，并有反馈。</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5.保证版本的控制，对所有的应用系统配置、源程序代码、文档等进行有效管理。</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6.制定安全管理手册，保证系统的可靠性。</w:t>
      </w:r>
      <w:r>
        <w:rPr>
          <w:rFonts w:hint="eastAsia" w:ascii="方正仿宋_GBK" w:hAnsi="方正仿宋_GBK" w:eastAsia="方正仿宋_GBK" w:cs="方正仿宋_GBK"/>
          <w:bCs/>
          <w:color w:val="000000"/>
          <w:sz w:val="28"/>
          <w:szCs w:val="28"/>
          <w:highlight w:val="none"/>
        </w:rPr>
      </w:r>
      <w:r/>
    </w:p>
    <w:p>
      <w:pPr>
        <w:pStyle w:val="947"/>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7.对系统的任何改动都应该通知采购人。</w:t>
      </w:r>
      <w:r>
        <w:rPr>
          <w:rFonts w:hint="eastAsia" w:ascii="方正仿宋_GBK" w:hAnsi="方正仿宋_GBK" w:eastAsia="方正仿宋_GBK" w:cs="方正仿宋_GBK"/>
          <w:bCs/>
          <w:color w:val="000000"/>
          <w:sz w:val="28"/>
          <w:szCs w:val="28"/>
          <w:highlight w:val="none"/>
        </w:rPr>
      </w:r>
      <w:r/>
    </w:p>
    <w:p>
      <w:pPr>
        <w:pStyle w:val="947"/>
        <w:contextualSpacing/>
        <w:ind w:firstLine="480"/>
        <w:spacing w:after="87" w:line="440" w:lineRule="exact"/>
        <w:widowControl/>
        <w:rPr>
          <w:rFonts w:hint="eastAsia" w:ascii="方正仿宋_GBK" w:hAnsi="方正仿宋_GBK" w:eastAsia="方正仿宋_GBK" w:cs="方正仿宋_GBK"/>
          <w:color w:val="000000"/>
          <w:sz w:val="28"/>
          <w:szCs w:val="28"/>
          <w:highlight w:val="none"/>
          <w:lang w:bidi="en-US"/>
        </w:rPr>
      </w:pPr>
      <w:r>
        <w:rPr>
          <w:rFonts w:hint="eastAsia" w:ascii="方正仿宋_GBK" w:hAnsi="方正仿宋_GBK" w:eastAsia="方正仿宋_GBK" w:cs="方正仿宋_GBK"/>
          <w:i/>
          <w:iCs/>
          <w:color w:val="000000"/>
          <w:sz w:val="28"/>
          <w:szCs w:val="28"/>
          <w:highlight w:val="none"/>
          <w:u w:val="single"/>
        </w:rPr>
        <w:t xml:space="preserve">8.按采购人要求编制项目涉及的数据资源目录，并按要求开展数据归集。</w:t>
      </w:r>
      <w:r>
        <w:rPr>
          <w:rFonts w:hint="eastAsia" w:ascii="方正仿宋_GBK" w:hAnsi="方正仿宋_GBK" w:eastAsia="方正仿宋_GBK" w:cs="方正仿宋_GBK"/>
          <w:color w:val="000000"/>
          <w:sz w:val="28"/>
          <w:szCs w:val="28"/>
          <w:highlight w:val="none"/>
          <w:lang w:bidi="en-US"/>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（八）需求收集及开发</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1.供应商承担从采购人收集需求的工作，用户需求规格说明书由采购人确认。</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2.每个模块需要依据采购人指定的业务负责人，对供应商收集的需求进行确认。在不超出模块整体业务架构的前提下，以业务负责人确认的需求作为开发、上线和验收依据。</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3.供应商需要对用户需求做进一步的分析与处理，并将其转化成技术需求规格，报告给采购人。</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（九）国产化要求</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
          <w:iCs/>
          <w:color w:val="000000"/>
          <w:sz w:val="28"/>
          <w:szCs w:val="28"/>
          <w:highlight w:val="none"/>
          <w:u w:val="single"/>
        </w:rPr>
        <w:t xml:space="preserve">投标人需承诺提供的软件产品符合国产化要求并部署至省政务云国产自主安全可靠环境，可以适配国产化服务器、云平台、操作系统、数据库、中间件及安全产品，兼容国产化终端、操作系统、浏览器、外设等。</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（十）安全和可信要求</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1.在项目建设的整个阶段，对于网络安全要同步规划、同步建设、同步使用。</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2.系统要满足《网络安全法》《数据安全法》《个人信息保护法》和三级等保测评、商用密码评估等法律法规要求。</w:t>
      </w:r>
      <w:r>
        <w:rPr>
          <w:rFonts w:hint="eastAsia" w:ascii="方正仿宋_GBK" w:hAnsi="方正仿宋_GBK" w:eastAsia="方正仿宋_GBK" w:cs="方正仿宋_GBK"/>
          <w:i/>
          <w:iCs/>
          <w:color w:val="000000"/>
          <w:sz w:val="28"/>
          <w:szCs w:val="28"/>
          <w:highlight w:val="none"/>
          <w:u w:val="single"/>
        </w:rPr>
        <w:t xml:space="preserve">在项目建设和维保期内，供应商需要配合采购人开展等级保护测评、密码测评、数据安全评估、软件功能测试等工作，并对测评、测试发现的问题及时进行整改，满足安全要求。</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i/>
          <w:iCs/>
          <w:color w:val="000000"/>
          <w:sz w:val="28"/>
          <w:szCs w:val="28"/>
          <w:highlight w:val="none"/>
          <w:u w:val="single"/>
        </w:rPr>
        <w:t xml:space="preserve">供应商须遵守采购方制定的各项规章制度，并按照采购方网络与信息安全要求做好项目涉及的服务器及业务系统的网络与信息安全保障。</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4.供应商在系统开发过程中应当遵循保密性、完整性、可用性原则。对系统数据设计加密规范，确保信息安全。</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系统如有升级，新版本上线前需经有网络安全风评估资质的公司进行全面风险评估，风险评估中发现的高风险、中风险需及时整改后复测，系统无高中风险后可上线运行。中标方需提供风险评估报告将作为项目验收的必要条件。</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6.供应商应当根据项目建设内容成立相对独立的项目技术团队，团队成员应为供应商正式员工，团队成员如有变动要及时告知采购人，供应商应当明确本项目的网络安全责任人。</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7.供应商应建立健全网络和数据安全保护机制，加强网络安全漏洞筛查和隐患排查，发现的网络安全漏洞和其他风险隐患，应及时向采购人报告，未经采购人同意，不得公开或向第三方提供。</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8.供应商在维保期内每年须向采购人提交网络安全报告，报告至少包括网络安全管理、数据安全管理、系统安全检查报告、管理技术团队变化等情况。</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供应商在系统建设和维保期内应积极配合甲方完成网信、公安、审计、保密、密码管理等部门开展网络安全监察、测评、审计等监督管理工作，如实、完整提供外包网络安全管理相关情况，不得拒绝、隐匿、瞒报。</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10.系统建设和维保期内，如供应商发生业务转型、合并重组、投资并购等重大事项，或者管理技术团队人员发生重大变化，应提前30个工作日向甲方告知。</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（十一）文档资料管理</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1.文档是保证项目实施连贯性的重要保证，供应商需要提供完善的文档，并对项目进行过程中的文档进行有效的管理，接受采购人对项目各阶段评估分析和监督管理。</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2.整个项目的过程包括后期修改维护提供系统、完整的项目管理、设计和开发、操作说明等书面文档及其电子版。</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（十二）验收标准及方式</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1.产品交付前，供应商应对产品进行全面自检，符合采购人要求的交付条件后，由供应商发起验收申请，采购人评估后组织验收。</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2.采购人在交货前有权对供应商提供的产品、技术、服务提出异议，并采取相关措施确保质量合格。</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3.具体组织程序、验收标准和方法，按采购人规定程序执行，供应商配合。</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4.产品验收不合格，限期整改，直至达标；多次整改不达标，采购人有权拒收和解除采购合同，由此造成的损失，由中标供应商承担。</w:t>
      </w:r>
      <w:r>
        <w:rPr>
          <w:rFonts w:hint="eastAsia" w:ascii="方正仿宋_GBK" w:hAnsi="方正仿宋_GBK" w:eastAsia="方正仿宋_GBK" w:cs="方正仿宋_GBK"/>
          <w:color w:val="000000"/>
          <w:sz w:val="28"/>
          <w:szCs w:val="28"/>
          <w:highlight w:val="none"/>
        </w:rPr>
      </w:r>
      <w:r/>
    </w:p>
    <w:p>
      <w:pPr>
        <w:pStyle w:val="947"/>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5.采购人在产品使用过程中，发现产品性能指标未达到要求的，中标供应商按照采购人明确的整改期限（不超过1个月）整改，在规定期限内未整改完毕的，由此造成的损失，由中标供应商承担。</w:t>
      </w:r>
      <w:r>
        <w:rPr>
          <w:rFonts w:hint="eastAsia" w:ascii="方正仿宋_GBK" w:hAnsi="方正仿宋_GBK" w:eastAsia="方正仿宋_GBK" w:cs="方正仿宋_GBK"/>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（十三）知识产权要求</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本项目知识产权归采购人所有，投标供应商应保证使用方在使用该产品或其任何一部分时，不受第三方提出侵犯其专利权、商标权和工业设计权的起诉，采购人不承担任何连带责任和赔偿责任。</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1.中标供应商必须确保本项目所使用的开发平台及相关软硬件等产品均为合法获得，对因此而可能引发的相关法律责任，由供应商自行承担。</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2.中标供应商为本项目定制开发的软件产品的知识产权为采购人所有，供应商必须根据采购人要求提供全部相关文档和源代码；供应商须预留必要的二次开发接口，采购人有权在此基础上进行必要的二次开发和整合。</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3.中标供应商保证在项目建设过程中的任何时候，只要采购人提出提交本项目的各种项目文档，投标人都要在五个工作日之内提交。</w:t>
      </w:r>
      <w:r>
        <w:rPr>
          <w:rFonts w:hint="eastAsia" w:ascii="方正仿宋_GBK" w:hAnsi="方正仿宋_GBK" w:eastAsia="方正仿宋_GBK" w:cs="方正仿宋_GBK"/>
          <w:i/>
          <w:iCs/>
          <w:color w:val="000000"/>
          <w:sz w:val="28"/>
          <w:szCs w:val="28"/>
          <w:highlight w:val="none"/>
          <w:u w:val="single"/>
        </w:rPr>
      </w:r>
      <w:r/>
    </w:p>
    <w:p>
      <w:pPr>
        <w:pStyle w:val="947"/>
        <w:ind w:firstLine="480"/>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4.中标供应商为采购人提供的并且已被支付的全部产品的使用权均属采购人所有。</w:t>
      </w:r>
      <w:r>
        <w:rPr>
          <w:rFonts w:hint="eastAsia" w:ascii="方正仿宋_GBK" w:hAnsi="方正仿宋_GBK" w:eastAsia="方正仿宋_GBK" w:cs="方正仿宋_GBK"/>
          <w:i/>
          <w:iCs/>
          <w:color w:val="000000"/>
          <w:sz w:val="28"/>
          <w:szCs w:val="28"/>
          <w:highlight w:val="none"/>
          <w:u w:val="singl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（十四）保密要求</w:t>
      </w:r>
      <w:r>
        <w:rPr>
          <w:rFonts w:hint="eastAsia" w:ascii="方正仿宋_GBK" w:hAnsi="方正仿宋_GBK" w:eastAsia="方正仿宋_GBK" w:cs="方正仿宋_GBK"/>
          <w:b/>
          <w:bCs/>
          <w:color w:val="000000"/>
          <w:sz w:val="28"/>
          <w:szCs w:val="28"/>
          <w:highlight w:val="none"/>
        </w:rPr>
      </w:r>
      <w:r/>
    </w:p>
    <w:p>
      <w:pPr>
        <w:pStyle w:val="947"/>
        <w:ind w:firstLine="48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i/>
          <w:iCs/>
          <w:color w:val="000000"/>
          <w:sz w:val="28"/>
          <w:szCs w:val="28"/>
          <w:highlight w:val="none"/>
          <w:u w:val="single"/>
        </w:rPr>
        <w:t xml:space="preserve">投标人对本项目的所有技术文件以及采购人提供的内部资料、技术文档和信息予以保密。投标人遵守与采购人签订的保密协议，未经采购人书面许可，不得以任何形式向第三方透露本标书以及本项目的任何内容。一旦因投标人的原因造成泄密，应承担相应责任。</w:t>
      </w:r>
      <w:r>
        <w:rPr>
          <w:rFonts w:hint="eastAsia" w:ascii="方正仿宋_GBK" w:hAnsi="方正仿宋_GBK" w:eastAsia="方正仿宋_GBK" w:cs="方正仿宋_GBK"/>
          <w:b/>
          <w:bCs/>
          <w:color w:val="000000"/>
          <w:sz w:val="28"/>
          <w:szCs w:val="28"/>
          <w:highlight w:val="none"/>
        </w:rPr>
      </w:r>
      <w:r/>
    </w:p>
    <w:p>
      <w:pPr>
        <w:pStyle w:val="947"/>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85"/>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五、其他要求</w:t>
      </w:r>
      <w:r>
        <w:rPr>
          <w:rFonts w:hint="eastAsia" w:ascii="方正黑体_GBK" w:hAnsi="方正黑体_GBK" w:eastAsia="方正黑体_GBK" w:cs="方正黑体_GBK"/>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（一）项目属性：服务类项目。</w:t>
      </w:r>
      <w:r>
        <w:rPr>
          <w:rFonts w:hint="eastAsia" w:ascii="方正仿宋_GBK" w:hAnsi="方正仿宋_GBK" w:eastAsia="方正仿宋_GBK" w:cs="方正仿宋_GBK"/>
          <w:b/>
          <w:bCs/>
          <w:color w:val="000000"/>
          <w:sz w:val="28"/>
          <w:szCs w:val="28"/>
          <w:highlight w:val="none"/>
        </w:rPr>
      </w:r>
      <w:r/>
    </w:p>
    <w:p>
      <w:pPr>
        <w:pStyle w:val="947"/>
        <w:ind w:firstLine="562"/>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（二）演示要求</w:t>
      </w:r>
      <w:r>
        <w:rPr>
          <w:rFonts w:hint="eastAsia" w:ascii="方正仿宋_GBK" w:hAnsi="方正仿宋_GBK" w:eastAsia="方正仿宋_GBK" w:cs="方正仿宋_GBK"/>
          <w:b/>
          <w:bCs/>
          <w:color w:val="000000"/>
          <w:sz w:val="28"/>
          <w:szCs w:val="28"/>
          <w:highlight w:val="none"/>
        </w:rPr>
      </w:r>
      <w:r/>
    </w:p>
    <w:p>
      <w:pPr>
        <w:pStyle w:val="947"/>
        <w:ind w:firstLine="560"/>
        <w:spacing w:line="500" w:lineRule="exact"/>
        <w:rPr>
          <w:color w:val="000000"/>
          <w:sz w:val="28"/>
          <w:szCs w:val="28"/>
          <w:highlight w:val="none"/>
        </w:rPr>
      </w:pPr>
      <w:r>
        <w:rPr>
          <w:rFonts w:eastAsia="方正仿宋_GBK"/>
          <w:bCs/>
          <w:color w:val="000000"/>
          <w:sz w:val="28"/>
          <w:szCs w:val="28"/>
          <w:highlight w:val="none"/>
        </w:rPr>
        <w:t xml:space="preserve">1.投标人需按照招标文件规定的演示内容制作演示视频文件，视频文件的格式为</w:t>
      </w:r>
      <w:r>
        <w:rPr>
          <w:rFonts w:eastAsia="方正仿宋_GBK"/>
          <w:color w:val="000000"/>
          <w:sz w:val="28"/>
          <w:szCs w:val="28"/>
          <w:highlight w:val="none"/>
        </w:rPr>
        <w:t xml:space="preserve">X.mp4</w:t>
      </w:r>
      <w:r>
        <w:rPr>
          <w:rFonts w:eastAsia="方正仿宋_GBK"/>
          <w:bCs/>
          <w:color w:val="000000"/>
          <w:sz w:val="28"/>
          <w:szCs w:val="28"/>
          <w:highlight w:val="none"/>
        </w:rPr>
        <w:t xml:space="preserve">或</w:t>
      </w:r>
      <w:r>
        <w:rPr>
          <w:rFonts w:eastAsia="方正仿宋_GBK"/>
          <w:color w:val="000000"/>
          <w:sz w:val="28"/>
          <w:szCs w:val="28"/>
          <w:highlight w:val="none"/>
        </w:rPr>
        <w:t xml:space="preserve">X.avi</w:t>
      </w:r>
      <w:r>
        <w:rPr>
          <w:rFonts w:eastAsia="方正仿宋_GBK"/>
          <w:bCs/>
          <w:color w:val="000000"/>
          <w:sz w:val="28"/>
          <w:szCs w:val="28"/>
          <w:highlight w:val="none"/>
        </w:rPr>
        <w:t xml:space="preserve">，投标人须将视频文件分段压缩为</w:t>
      </w:r>
      <w:r>
        <w:rPr>
          <w:rFonts w:eastAsia="方正仿宋_GBK"/>
          <w:color w:val="000000"/>
          <w:sz w:val="28"/>
          <w:szCs w:val="28"/>
          <w:highlight w:val="none"/>
        </w:rPr>
        <w:t xml:space="preserve">X.zip</w:t>
      </w:r>
      <w:r>
        <w:rPr>
          <w:rFonts w:eastAsia="方正仿宋_GBK"/>
          <w:bCs/>
          <w:color w:val="000000"/>
          <w:sz w:val="28"/>
          <w:szCs w:val="28"/>
          <w:highlight w:val="none"/>
        </w:rPr>
        <w:t xml:space="preserve">文件上传（单个文件不得大于</w:t>
      </w:r>
      <w:r>
        <w:rPr>
          <w:rFonts w:eastAsia="方正仿宋_GBK"/>
          <w:color w:val="000000"/>
          <w:sz w:val="28"/>
          <w:szCs w:val="28"/>
          <w:highlight w:val="none"/>
        </w:rPr>
        <w:t xml:space="preserve">50M</w:t>
      </w:r>
      <w:r>
        <w:rPr>
          <w:rFonts w:eastAsia="方正仿宋_GBK"/>
          <w:bCs/>
          <w:color w:val="000000"/>
          <w:sz w:val="28"/>
          <w:szCs w:val="28"/>
          <w:highlight w:val="none"/>
        </w:rPr>
        <w:t xml:space="preserve">，所有文件总共不得大于</w:t>
      </w:r>
      <w:r>
        <w:rPr>
          <w:rFonts w:eastAsia="方正仿宋_GBK"/>
          <w:color w:val="000000"/>
          <w:sz w:val="28"/>
          <w:szCs w:val="28"/>
          <w:highlight w:val="none"/>
        </w:rPr>
        <w:t xml:space="preserve">300M）</w:t>
      </w:r>
      <w:r>
        <w:rPr>
          <w:rFonts w:eastAsia="方正仿宋_GBK"/>
          <w:bCs/>
          <w:color w:val="000000"/>
          <w:sz w:val="28"/>
          <w:szCs w:val="28"/>
          <w:highlight w:val="none"/>
        </w:rPr>
        <w:t xml:space="preserve">。文件上传方式见《操作手册》规定，上传的演示视频将作为投标文件的组成部分，视频时长总计不超过15分钟。</w:t>
      </w:r>
      <w:r>
        <w:rPr>
          <w:color w:val="000000"/>
          <w:sz w:val="28"/>
          <w:szCs w:val="28"/>
          <w:highlight w:val="none"/>
        </w:rPr>
      </w:r>
      <w:r/>
    </w:p>
    <w:p>
      <w:pPr>
        <w:pStyle w:val="947"/>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2.演示内容如下：</w:t>
      </w:r>
      <w:r>
        <w:rPr>
          <w:rFonts w:eastAsia="方正仿宋_GBK"/>
          <w:bCs/>
          <w:color w:val="000000"/>
          <w:sz w:val="28"/>
          <w:szCs w:val="28"/>
          <w:highlight w:val="none"/>
        </w:rPr>
      </w:r>
      <w:r/>
    </w:p>
    <w:p>
      <w:pPr>
        <w:pStyle w:val="947"/>
        <w:ind w:firstLine="560"/>
        <w:spacing w:line="500" w:lineRule="exact"/>
        <w:rPr>
          <w:rFonts w:hint="eastAsia" w:eastAsia="方正仿宋_GBK" w:cs="Times New Roman"/>
          <w:bCs/>
          <w:color w:val="000000"/>
          <w:sz w:val="28"/>
          <w:szCs w:val="28"/>
          <w:highlight w:val="none"/>
        </w:rPr>
      </w:pPr>
      <w:r>
        <w:rPr>
          <w:rFonts w:hint="eastAsia" w:eastAsia="方正仿宋_GBK" w:cs="Times New Roman"/>
          <w:bCs/>
          <w:color w:val="000000"/>
          <w:sz w:val="28"/>
          <w:szCs w:val="28"/>
          <w:highlight w:val="none"/>
        </w:rPr>
        <w:t xml:space="preserve">（1）资格不符精准提示与引导：演示重点专科评审系统内置前置条件审核，机构专科在申报时，系统根据申报前置规则，进行自动校验，是否符合申报条件，对不符合条件的专科，无法成功申报，并提示失败原因。</w:t>
      </w:r>
      <w:r>
        <w:rPr>
          <w:rFonts w:hint="eastAsia" w:eastAsia="方正仿宋_GBK" w:cs="Times New Roman"/>
          <w:bCs/>
          <w:color w:val="000000"/>
          <w:sz w:val="28"/>
          <w:szCs w:val="28"/>
          <w:highlight w:val="none"/>
        </w:rPr>
      </w:r>
      <w:r/>
    </w:p>
    <w:p>
      <w:pPr>
        <w:pStyle w:val="947"/>
        <w:ind w:firstLine="560"/>
        <w:spacing w:line="500" w:lineRule="exact"/>
        <w:rPr>
          <w:rFonts w:hint="eastAsia" w:eastAsia="方正仿宋_GBK" w:cs="Times New Roman"/>
          <w:bCs/>
          <w:color w:val="000000"/>
          <w:sz w:val="28"/>
          <w:szCs w:val="28"/>
          <w:highlight w:val="none"/>
        </w:rPr>
      </w:pPr>
      <w:r>
        <w:rPr>
          <w:rFonts w:hint="eastAsia" w:eastAsia="方正仿宋_GBK" w:cs="Times New Roman"/>
          <w:bCs/>
          <w:color w:val="000000"/>
          <w:sz w:val="28"/>
          <w:szCs w:val="28"/>
          <w:highlight w:val="none"/>
        </w:rPr>
        <w:t xml:space="preserve">（2）智能化验收报告生成：演示等级医院评审环节全部完成后，系统基于专家的评分结果、评审意见、现场记录及相关申报数据，自动生成标准化、结构化的验收报告。</w:t>
      </w:r>
      <w:r>
        <w:rPr>
          <w:rFonts w:hint="eastAsia" w:eastAsia="方正仿宋_GBK" w:cs="Times New Roman"/>
          <w:bCs/>
          <w:color w:val="000000"/>
          <w:sz w:val="28"/>
          <w:szCs w:val="28"/>
          <w:highlight w:val="none"/>
        </w:rPr>
      </w:r>
      <w:r/>
    </w:p>
    <w:p>
      <w:pPr>
        <w:pStyle w:val="947"/>
        <w:ind w:firstLine="560"/>
        <w:spacing w:line="500" w:lineRule="exact"/>
        <w:rPr>
          <w:rFonts w:hint="eastAsia" w:eastAsia="方正仿宋_GBK" w:cs="Times New Roman"/>
          <w:bCs/>
          <w:color w:val="000000"/>
          <w:sz w:val="28"/>
          <w:szCs w:val="28"/>
          <w:highlight w:val="none"/>
        </w:rPr>
      </w:pPr>
      <w:r>
        <w:rPr>
          <w:rFonts w:hint="eastAsia" w:eastAsia="方正仿宋_GBK" w:cs="Times New Roman"/>
          <w:bCs/>
          <w:color w:val="000000"/>
          <w:sz w:val="28"/>
          <w:szCs w:val="28"/>
          <w:highlight w:val="none"/>
        </w:rPr>
        <w:t xml:space="preserve">（3）急诊评审流程管理：演示系统可对急诊科进行专属重点专科申报和评审，机构申报过程中，提交时自动校验申请信息完整性及材料格式，通过后方可流转至主管部门审核。</w:t>
      </w:r>
      <w:r>
        <w:rPr>
          <w:rFonts w:hint="eastAsia" w:eastAsia="方正仿宋_GBK" w:cs="Times New Roman"/>
          <w:bCs/>
          <w:color w:val="000000"/>
          <w:sz w:val="28"/>
          <w:szCs w:val="28"/>
          <w:highlight w:val="none"/>
        </w:rPr>
      </w:r>
      <w:r/>
    </w:p>
    <w:p>
      <w:pPr>
        <w:pStyle w:val="947"/>
        <w:ind w:firstLine="560"/>
        <w:spacing w:line="500" w:lineRule="exact"/>
        <w:rPr>
          <w:rFonts w:hint="eastAsia" w:eastAsia="方正仿宋_GBK" w:cs="Times New Roman"/>
          <w:bCs/>
          <w:color w:val="000000"/>
          <w:sz w:val="28"/>
          <w:szCs w:val="28"/>
          <w:highlight w:val="none"/>
        </w:rPr>
      </w:pPr>
      <w:r>
        <w:rPr>
          <w:rFonts w:hint="eastAsia" w:eastAsia="方正仿宋_GBK" w:cs="Times New Roman"/>
          <w:bCs/>
          <w:color w:val="000000"/>
          <w:sz w:val="28"/>
          <w:szCs w:val="28"/>
          <w:highlight w:val="none"/>
        </w:rPr>
        <w:t xml:space="preserve">（4）质控中心管理服务功能扩展：演示中医妇科专业质控中心填报，可以查看机构填报结果，和质控中心季度统计结果，包括单指标的全省最高值、全省最低值、全省中位值、全省平均值。</w:t>
      </w:r>
      <w:r>
        <w:rPr>
          <w:rFonts w:hint="eastAsia" w:eastAsia="方正仿宋_GBK" w:cs="Times New Roman"/>
          <w:bCs/>
          <w:color w:val="000000"/>
          <w:sz w:val="28"/>
          <w:szCs w:val="28"/>
          <w:highlight w:val="none"/>
        </w:rPr>
      </w:r>
      <w:r/>
    </w:p>
    <w:p>
      <w:pPr>
        <w:pStyle w:val="947"/>
        <w:ind w:firstLine="560"/>
        <w:spacing w:line="500" w:lineRule="exact"/>
        <w:rPr>
          <w:rFonts w:hint="eastAsia" w:ascii="黑体" w:eastAsia="黑体"/>
          <w:bCs/>
          <w:color w:val="000000"/>
          <w:sz w:val="44"/>
          <w:highlight w:val="none"/>
        </w:rPr>
      </w:pPr>
      <w:r>
        <w:rPr>
          <w:rFonts w:hint="eastAsia" w:eastAsia="方正仿宋_GBK" w:cs="Times New Roman"/>
          <w:bCs/>
          <w:color w:val="000000"/>
          <w:sz w:val="28"/>
          <w:szCs w:val="28"/>
          <w:highlight w:val="none"/>
        </w:rPr>
        <w:t xml:space="preserve">（5）系统数据同源同规同数：演示一个指标，例如中药饮片使用率，在不同的业务系统中，包括等级医院评审、重点专科评审、质控中心管理等不同业务系统中，属于同一数据来源，同一计算方式，同一数据结果，且符合国家和省相关规定要求。</w:t>
      </w:r>
      <w:bookmarkStart w:id="207" w:name="_Toc120614281"/>
      <w:r>
        <w:rPr>
          <w:rFonts w:hint="eastAsia" w:ascii="黑体" w:eastAsia="黑体"/>
          <w:bCs/>
          <w:color w:val="000000"/>
          <w:sz w:val="44"/>
          <w:highlight w:val="none"/>
        </w:rPr>
      </w:r>
      <w:r/>
    </w:p>
    <w:p>
      <w:pPr>
        <w:pStyle w:val="947"/>
        <w:rPr>
          <w:rFonts w:hint="eastAsia" w:ascii="黑体" w:eastAsia="黑体"/>
          <w:bCs/>
          <w:color w:val="000000"/>
          <w:sz w:val="44"/>
          <w:highlight w:val="none"/>
        </w:rPr>
      </w:pPr>
      <w:r>
        <w:rPr>
          <w:rFonts w:hint="eastAsia" w:ascii="黑体" w:eastAsia="黑体"/>
          <w:bCs/>
          <w:color w:val="000000"/>
          <w:sz w:val="44"/>
          <w:highlight w:val="none"/>
        </w:rPr>
      </w:r>
      <w:r/>
    </w:p>
    <w:p>
      <w:pPr>
        <w:pStyle w:val="949"/>
        <w:spacing w:line="400" w:lineRule="exact"/>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br w:type="page" w:clear="all"/>
      </w:r>
      <w:r>
        <w:rPr>
          <w:rFonts w:hint="eastAsia" w:ascii="黑体" w:hAnsi="黑体" w:eastAsia="黑体"/>
          <w:b w:val="0"/>
          <w:bCs w:val="0"/>
          <w:color w:val="000000"/>
          <w:sz w:val="32"/>
          <w:szCs w:val="32"/>
          <w:highlight w:val="none"/>
        </w:rPr>
        <w:t xml:space="preserve">第五章  评标方法与评标标准</w:t>
      </w:r>
      <w:r>
        <w:rPr>
          <w:rFonts w:hint="eastAsia" w:ascii="黑体" w:hAnsi="黑体" w:eastAsia="黑体"/>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color w:val="000000"/>
          <w:sz w:val="28"/>
          <w:szCs w:val="28"/>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采购包号</w:t>
            </w:r>
            <w:r>
              <w:rPr>
                <w:rFonts w:ascii="方正仿宋_GBK" w:hAnsi="方正仿宋_GBK" w:eastAsia="方正仿宋_GBK" w:cs="方正仿宋_GBK"/>
                <w:color w:val="000000"/>
                <w:sz w:val="28"/>
                <w:szCs w:val="28"/>
                <w:highlight w:val="none"/>
              </w:rPr>
            </w:r>
            <w:r/>
          </w:p>
        </w:tc>
        <w:tc>
          <w:tcPr>
            <w:tcW w:w="2183"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选取中标候选人数量</w:t>
            </w:r>
            <w:r>
              <w:rPr>
                <w:rFonts w:ascii="方正仿宋_GBK" w:hAnsi="方正仿宋_GBK" w:eastAsia="方正仿宋_GBK" w:cs="方正仿宋_GBK"/>
                <w:color w:val="000000"/>
                <w:sz w:val="28"/>
                <w:szCs w:val="28"/>
                <w:highlight w:val="none"/>
              </w:rPr>
            </w:r>
            <w:r/>
          </w:p>
        </w:tc>
        <w:tc>
          <w:tcPr>
            <w:tcW w:w="5134"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选取中标候选人的原则</w:t>
            </w:r>
            <w:r>
              <w:rPr>
                <w:rFonts w:ascii="方正仿宋_GBK" w:hAnsi="方正仿宋_GBK" w:eastAsia="方正仿宋_GBK" w:cs="方正仿宋_GBK"/>
                <w:color w:val="000000"/>
                <w:sz w:val="28"/>
                <w:szCs w:val="28"/>
                <w:highlight w:val="none"/>
              </w:rPr>
            </w:r>
            <w:r/>
          </w:p>
        </w:tc>
      </w:tr>
      <w:tr>
        <w:trPr/>
        <w:tc>
          <w:tcPr>
            <w:tcW w:w="1608"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2183"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5134" w:type="dxa"/>
            <w:vAlign w:val="center"/>
            <w:textDirection w:val="lrTb"/>
            <w:noWrap w:val="false"/>
          </w:tcPr>
          <w:p>
            <w:pPr>
              <w:pStyle w:val="947"/>
              <w:jc w:val="center"/>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rPr>
                <w:rFonts w:ascii="方正仿宋_GBK" w:hAnsi="方正仿宋_GBK" w:eastAsia="方正仿宋_GBK" w:cs="方正仿宋_GBK"/>
                <w:color w:val="000000"/>
                <w:sz w:val="28"/>
                <w:szCs w:val="28"/>
                <w:highlight w:val="none"/>
              </w:rPr>
            </w:r>
            <w:r/>
          </w:p>
        </w:tc>
      </w:tr>
    </w:tbl>
    <w:p>
      <w:pPr>
        <w:pStyle w:val="1034"/>
        <w:ind w:firstLine="562"/>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1034"/>
        <w:ind w:firstLine="562"/>
        <w:jc w:val="both"/>
        <w:spacing w:before="0" w:after="0" w:line="48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rFonts w:hint="eastAsia" w:ascii="方正仿宋_GBK" w:hAnsi="方正仿宋_GBK" w:eastAsia="方正仿宋_GBK" w:cs="方正仿宋_GBK"/>
          <w:b/>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宋体" w:hAnsi="宋体"/>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1034"/>
        <w:ind w:firstLine="560"/>
        <w:jc w:val="both"/>
        <w:spacing w:before="0" w:after="0" w:line="48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8"/>
          <w:szCs w:val="28"/>
          <w:highlight w:val="none"/>
        </w:rPr>
      </w:r>
      <w:r/>
    </w:p>
    <w:p>
      <w:pPr>
        <w:pStyle w:val="1034"/>
        <w:ind w:firstLine="560"/>
        <w:jc w:val="both"/>
        <w:spacing w:before="0" w:after="0" w:line="48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highlight w:val="none"/>
          <w:u w:val="single"/>
        </w:rPr>
        <w:t xml:space="preserve">20%</w:t>
      </w:r>
      <w:r>
        <w:rPr>
          <w:rFonts w:hint="eastAsia" w:ascii="方正仿宋_GBK" w:hAnsi="方正仿宋_GBK" w:eastAsia="方正仿宋_GBK" w:cs="方正仿宋_GBK"/>
          <w:color w:val="000000"/>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1034"/>
        <w:ind w:firstLine="56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（一）投标报价（10分）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价格分采用低价优先法计算，即满足招标文件要求且报价最低的供应商报价为评标基准价，其价格分为满分10分，其他投标人的价格分统一按照以下公式计算：投标报价得分=（评标基准价/该投标人的投标报价）×10分。分值保留小数点后2位。</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（二）技术功能要求响应情况（</w:t>
      </w:r>
      <w:r>
        <w:rPr>
          <w:rFonts w:hint="eastAsia" w:ascii="方正仿宋_GBK" w:hAnsi="方正仿宋_GBK" w:eastAsia="方正仿宋_GBK" w:cs="方正仿宋_GBK"/>
          <w:color w:val="000000"/>
          <w:sz w:val="28"/>
          <w:szCs w:val="28"/>
          <w:highlight w:val="none"/>
        </w:rPr>
        <w:t xml:space="preserve">27</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2.1根据投标人对招标文件第四章采购需求</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三、技术要求</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中</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四</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技术功能要求”的响应情况进行评分</w:t>
      </w:r>
      <w:r>
        <w:rPr>
          <w:rFonts w:hint="eastAsia" w:ascii="方正仿宋_GBK" w:hAnsi="方正仿宋_GBK" w:eastAsia="方正仿宋_GBK" w:cs="方正仿宋_GBK"/>
          <w:color w:val="000000"/>
          <w:sz w:val="28"/>
          <w:szCs w:val="28"/>
          <w:highlight w:val="none"/>
        </w:rPr>
        <w:t xml:space="preserve">：五大块功能扩展建设内容（确有专长与师承考核考试系统功能扩展、中医等级医院与中医重点专科验收系统功能扩展、质控中心管理服务功能扩展、绩效考核功能扩展、中医资金绩效综合监测）对应32项下一级技术功能要求全部满足得16分，每项不满足扣0.5分；两大块国产化适配改造建设内容（</w:t>
      </w:r>
      <w:r>
        <w:rPr>
          <w:rFonts w:ascii="方正仿宋_GBK" w:hAnsi="方正仿宋_GBK" w:eastAsia="方正仿宋_GBK" w:cs="方正仿宋_GBK"/>
          <w:color w:val="000000"/>
          <w:sz w:val="28"/>
          <w:szCs w:val="28"/>
          <w:highlight w:val="none"/>
        </w:rPr>
        <w:t xml:space="preserve">政务云数据中台适配改造</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国产化业务数据库适配改造</w:t>
      </w:r>
      <w:r>
        <w:rPr>
          <w:rFonts w:hint="eastAsia" w:ascii="方正仿宋_GBK" w:hAnsi="方正仿宋_GBK" w:eastAsia="方正仿宋_GBK" w:cs="方正仿宋_GBK"/>
          <w:color w:val="000000"/>
          <w:sz w:val="28"/>
          <w:szCs w:val="28"/>
          <w:highlight w:val="none"/>
        </w:rPr>
        <w:t xml:space="preserve">）对应11项下一级适配改造要求全部满足得11分，每项不满足扣1分。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注：以上“技术功能要求”响应情况均须在投标文件《技术要求响应及偏离表》中表述清楚，如表述不清或未按要求提供相关证明材料的，则按不满足（负偏离）处理。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（三）技术方案（</w:t>
      </w:r>
      <w:r>
        <w:rPr>
          <w:rFonts w:hint="eastAsia" w:ascii="方正仿宋_GBK" w:hAnsi="方正仿宋_GBK" w:eastAsia="方正仿宋_GBK" w:cs="方正仿宋_GBK"/>
          <w:color w:val="000000"/>
          <w:sz w:val="28"/>
          <w:szCs w:val="28"/>
          <w:highlight w:val="none"/>
        </w:rPr>
        <w:t xml:space="preserve">26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软件开发方案（5分）。评委根据投标文件对招标文件第四章“采购需求”中“软件开发方案”要求的响应情况进行评审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（1）投标文件未符合“软件开发方案”中全部条款要求的，视为不符合招标文件，本项得0分。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（2）投标文件符合“软件开发方案”中全部条款要求的，视为符合招标文件，本项得3分。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软件开发方案”中“总体架构设计”、“数据流设计”、“功能设计方案”三项要求的响应内容全部优于招标文件要求的（投标文件对“软件开发方案”中除上述三项外其他要求响应内容符合招标文件要求），本项得5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 项目实施方案（</w:t>
      </w: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t xml:space="preserve">分）。评委根据投标文件对招标文件第四章“采购需求”中“项目实施方案”要求的响应情况进行评审：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（1）投标文件未符合“项目实施方案”中全部条款要求的，视为不符合招标文件，本项得0分。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（2）投标文件符合“项目实施方案”中全部条款要求的，视为符合招标文件，本项得</w:t>
      </w: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（3）经评委认定，投标文件对“项目实施方案”中</w:t>
      </w:r>
      <w:r>
        <w:rPr>
          <w:rFonts w:hint="eastAsia" w:ascii="方正仿宋_GBK" w:hAnsi="方正仿宋_GBK" w:eastAsia="方正仿宋_GBK" w:cs="方正仿宋_GBK"/>
          <w:color w:val="000000"/>
          <w:sz w:val="28"/>
          <w:szCs w:val="28"/>
          <w:highlight w:val="none"/>
        </w:rPr>
        <w:t xml:space="preserve">“实施专项方案、“项目进度计划”</w:t>
      </w:r>
      <w:r>
        <w:rPr>
          <w:rFonts w:hint="eastAsia" w:ascii="方正仿宋_GBK" w:hAnsi="方正仿宋_GBK" w:eastAsia="方正仿宋_GBK" w:cs="方正仿宋_GBK"/>
          <w:color w:val="000000"/>
          <w:sz w:val="28"/>
          <w:szCs w:val="28"/>
          <w:highlight w:val="none"/>
        </w:rPr>
        <w:t xml:space="preserve">两项要求的响应内容全部优于招标文件要求的（投标文件对“项目实施方案”中除</w:t>
      </w:r>
      <w:r>
        <w:rPr>
          <w:rFonts w:hint="eastAsia" w:ascii="方正仿宋_GBK" w:hAnsi="方正仿宋_GBK" w:eastAsia="方正仿宋_GBK" w:cs="方正仿宋_GBK"/>
          <w:color w:val="000000"/>
          <w:sz w:val="28"/>
          <w:szCs w:val="28"/>
          <w:highlight w:val="none"/>
        </w:rPr>
        <w:t xml:space="preserve">“实施专项方案”、“项目进度计划”</w:t>
      </w:r>
      <w:r>
        <w:rPr>
          <w:rFonts w:hint="eastAsia" w:ascii="方正仿宋_GBK" w:hAnsi="方正仿宋_GBK" w:eastAsia="方正仿宋_GBK" w:cs="方正仿宋_GBK"/>
          <w:color w:val="000000"/>
          <w:sz w:val="28"/>
          <w:szCs w:val="28"/>
          <w:highlight w:val="none"/>
        </w:rPr>
        <w:t xml:space="preserve">外其他要求响应内容符合招标文件要求），本项得</w:t>
      </w: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3.3项目质量管理方案（4分）。评委根据投标文件对招标文件第四章“采购需求”中“项目质量管理方案”要求的响应情况进行评审：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（1）投标文件未符合“项目质量管理方案”中全部条款要求的，视为不符合招标文件，本项得0分。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（2）投标文件符合“项目质量管理方案”中全部条款要求的，视为符合招标文件，本项得2分。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项目质量管理方案”中“质量管理体系”、“风险管理”两项要求的响应内容全部优于招标文件要求的（投标文件对“项目质量管理方案”中除“质量管理体系”、“风险管理”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3.4项目应急和安全服务方案（4分）。评委根据投标文件对招标文件第四章“采购需求”中“项目应急和安全服务方案”要求的响应情况进行评审：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（1）投标文件未符合“项目应急和安全服务方案”中全部条款要求的，视为不符合招标文件，本项得0分。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（2）投标文件符合“项目应急和安全服务方案”中全部条款要求的，视为符合招标文件，本项得2分。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项目应急和安全服务方案”中“系统安全保障方案”要求的响应内容全部优于招标文件要求的（投标文件对“项目应急和安全服务方案”中除“系统安全保障方案”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3.5项目培训方案（4分）。评委根据投标文件对招标文件第四章“采购需求”中“项目培训方案”要求的响应情况进行评审：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（1）投标文件未符合“项目培训方案”中全部条款要求的，视为不符合招标文件，本项得0分。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（2）投标文件符合“项目培训方案”中全部条款要求的，视为符合招标文件，本项得2分。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项目培训方案”中“培训方案完整性”、“培训对象针对性”两项要求的响应内容全部优于招标文件要求的（投标文件对“项目培训方案”中除“培训方案完整性”、“培训对象针对性”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3.6项目售后服务方案（4分）。评委根据投标文件对招标文件第四章“采购需求”中“项目售后方案”要求的响应情况进行评审：</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（1）投标文件未符合“项目售后方案”中全部条款要求的，视为不符合招标文件，本项得0分。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（2）投标文件符合“项目售后方案”中全部条款要求的，视为符合招标文件，本项得2分。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经评委认定，投标文件对“项目售后方案”中“售后要求”、“售后内容”两项要求的响应内容全部优于招标文件要求的（投标文件对“项目售后方案”中除“售后要求”、“售后内容”外其他要求响应内容符合招标文件要求），本项得4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（四）投标人综合实力（27分）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企业能力（3分）。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供应商具有自主研发能力，具备与本项目相关的自主知识产权的软件著作权登记证书，</w:t>
      </w:r>
      <w:r>
        <w:rPr>
          <w:rFonts w:hint="eastAsia" w:ascii="方正仿宋_GBK" w:hAnsi="方正仿宋_GBK" w:eastAsia="方正仿宋_GBK" w:cs="方正仿宋_GBK"/>
          <w:color w:val="000000"/>
          <w:sz w:val="28"/>
          <w:szCs w:val="28"/>
          <w:highlight w:val="none"/>
        </w:rPr>
        <w:t xml:space="preserve">如“监测或监管类” “质控类”“机构考核评价类”“ 大数据绩效管理类”</w:t>
      </w:r>
      <w:r>
        <w:rPr>
          <w:rFonts w:hint="eastAsia" w:ascii="方正仿宋_GBK" w:hAnsi="方正仿宋_GBK" w:eastAsia="方正仿宋_GBK" w:cs="方正仿宋_GBK"/>
          <w:color w:val="000000"/>
          <w:sz w:val="28"/>
          <w:szCs w:val="28"/>
          <w:highlight w:val="none"/>
        </w:rPr>
        <w:t xml:space="preserve">等类似著作权登记证书，</w:t>
      </w:r>
      <w:r>
        <w:rPr>
          <w:rFonts w:hint="eastAsia" w:ascii="方正仿宋_GBK" w:hAnsi="方正仿宋_GBK" w:eastAsia="方正仿宋_GBK" w:cs="方正仿宋_GBK"/>
          <w:color w:val="000000"/>
          <w:sz w:val="28"/>
          <w:szCs w:val="28"/>
          <w:highlight w:val="none"/>
        </w:rPr>
        <w:t xml:space="preserve">每提供一项得0.5分，最高得3分。</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证书扫描件或复印件并加盖投标人公章。如投标文件中提供的著作权名称表述与招标文件描述的关键字样不一致，而该投标文件中能提供相关材料证明投标人拥有著作权的软件具有相同或相似功能和效果，且评标委员会认可的，视同符合要求。</w:t>
      </w:r>
      <w:r>
        <w:rPr>
          <w:rFonts w:hint="eastAsia"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4.2团队实力</w:t>
      </w:r>
      <w:r>
        <w:rPr>
          <w:rFonts w:hint="eastAsia" w:ascii="方正仿宋_GBK" w:hAnsi="方正仿宋_GBK" w:eastAsia="方正仿宋_GBK" w:cs="方正仿宋_GBK"/>
          <w:color w:val="000000"/>
          <w:sz w:val="28"/>
          <w:szCs w:val="28"/>
          <w:highlight w:val="none"/>
        </w:rPr>
        <w:t xml:space="preserve">（14分）</w:t>
      </w:r>
      <w:r>
        <w:rPr>
          <w:rFonts w:hint="eastAsia" w:ascii="方正仿宋_GBK" w:hAnsi="方正仿宋_GBK" w:cs="方正仿宋_GBK"/>
          <w:color w:val="000000"/>
          <w:sz w:val="28"/>
          <w:szCs w:val="28"/>
          <w:highlight w:val="none"/>
        </w:rPr>
      </w:r>
      <w:r/>
    </w:p>
    <w:p>
      <w:pPr>
        <w:pStyle w:val="947"/>
        <w:ind w:firstLine="560"/>
        <w:spacing w:line="4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4.2.1</w:t>
      </w:r>
      <w:r>
        <w:rPr>
          <w:rFonts w:ascii="方正仿宋_GBK" w:hAnsi="方正仿宋_GBK" w:eastAsia="方正仿宋_GBK" w:cs="方正仿宋_GBK"/>
          <w:color w:val="000000"/>
          <w:sz w:val="28"/>
          <w:szCs w:val="28"/>
          <w:highlight w:val="none"/>
        </w:rPr>
        <w:t xml:space="preserve">供应商项目</w:t>
      </w:r>
      <w:r>
        <w:rPr>
          <w:rFonts w:hint="eastAsia" w:ascii="方正仿宋_GBK" w:hAnsi="方正仿宋_GBK" w:eastAsia="方正仿宋_GBK" w:cs="方正仿宋_GBK"/>
          <w:color w:val="000000"/>
          <w:sz w:val="28"/>
          <w:szCs w:val="28"/>
          <w:highlight w:val="none"/>
        </w:rPr>
        <w:t xml:space="preserve">经理</w:t>
      </w:r>
      <w:r>
        <w:rPr>
          <w:rFonts w:ascii="方正仿宋_GBK" w:hAnsi="方正仿宋_GBK" w:eastAsia="方正仿宋_GBK" w:cs="方正仿宋_GBK"/>
          <w:color w:val="000000"/>
          <w:sz w:val="28"/>
          <w:szCs w:val="28"/>
          <w:highlight w:val="none"/>
        </w:rPr>
        <w:t xml:space="preserve">具有</w:t>
      </w:r>
      <w:r>
        <w:rPr>
          <w:rFonts w:ascii="方正仿宋_GBK" w:hAnsi="方正仿宋_GBK" w:eastAsia="方正仿宋_GBK" w:cs="方正仿宋_GBK"/>
          <w:color w:val="000000"/>
          <w:sz w:val="28"/>
          <w:szCs w:val="28"/>
          <w:highlight w:val="none"/>
        </w:rPr>
        <w:t xml:space="preserve">信息系统项目管理师证书</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信息安全保障人员认证证书的，每有一个</w:t>
      </w:r>
      <w:r>
        <w:rPr>
          <w:rFonts w:hint="eastAsia" w:ascii="方正仿宋_GBK" w:hAnsi="方正仿宋_GBK" w:eastAsia="方正仿宋_GBK" w:cs="方正仿宋_GBK"/>
          <w:color w:val="000000"/>
          <w:sz w:val="28"/>
          <w:szCs w:val="28"/>
          <w:highlight w:val="none"/>
        </w:rPr>
        <w:t xml:space="preserve">证书</w:t>
      </w:r>
      <w:r>
        <w:rPr>
          <w:rFonts w:ascii="方正仿宋_GBK" w:hAnsi="方正仿宋_GBK" w:eastAsia="方正仿宋_GBK" w:cs="方正仿宋_GBK"/>
          <w:color w:val="000000"/>
          <w:sz w:val="28"/>
          <w:szCs w:val="28"/>
          <w:highlight w:val="none"/>
        </w:rPr>
        <w:t xml:space="preserve">得2分，最高得</w:t>
      </w:r>
      <w:r>
        <w:rPr>
          <w:rFonts w:hint="eastAsia"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t xml:space="preserve">需提供证书复印件或扫描件，以及投标人近3个月内任意1个月为</w:t>
      </w:r>
      <w:r>
        <w:rPr>
          <w:rFonts w:hint="eastAsia" w:ascii="方正仿宋_GBK" w:hAnsi="方正仿宋_GBK" w:eastAsia="方正仿宋_GBK" w:cs="方正仿宋_GBK"/>
          <w:color w:val="000000"/>
          <w:sz w:val="28"/>
          <w:szCs w:val="28"/>
          <w:highlight w:val="none"/>
        </w:rPr>
        <w:t xml:space="preserve">其</w:t>
      </w:r>
      <w:r>
        <w:rPr>
          <w:rFonts w:ascii="方正仿宋_GBK" w:hAnsi="方正仿宋_GBK" w:eastAsia="方正仿宋_GBK" w:cs="方正仿宋_GBK"/>
          <w:color w:val="000000"/>
          <w:sz w:val="28"/>
          <w:szCs w:val="28"/>
          <w:highlight w:val="none"/>
        </w:rPr>
        <w:t xml:space="preserve">缴纳社保的证明材料，上述材料加盖投标人公章。</w:t>
      </w:r>
      <w:r>
        <w:rPr>
          <w:rFonts w:ascii="方正仿宋_GBK" w:hAnsi="方正仿宋_GBK" w:eastAsia="方正仿宋_GBK" w:cs="方正仿宋_GBK"/>
          <w:color w:val="000000"/>
          <w:sz w:val="28"/>
          <w:szCs w:val="28"/>
          <w:highlight w:val="none"/>
        </w:rPr>
      </w:r>
      <w:r/>
    </w:p>
    <w:p>
      <w:pPr>
        <w:pStyle w:val="947"/>
        <w:ind w:firstLine="560"/>
        <w:spacing w:line="5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4.2.2</w:t>
      </w:r>
      <w:r>
        <w:rPr>
          <w:rFonts w:ascii="方正仿宋_GBK" w:hAnsi="方正仿宋_GBK" w:eastAsia="方正仿宋_GBK" w:cs="方正仿宋_GBK"/>
          <w:color w:val="000000"/>
          <w:sz w:val="28"/>
          <w:szCs w:val="28"/>
          <w:highlight w:val="none"/>
        </w:rPr>
        <w:t xml:space="preserve">供应商拟投入的项目组成员（除项目经理外）中具有</w:t>
      </w:r>
      <w:r>
        <w:rPr>
          <w:rFonts w:ascii="方正仿宋_GBK" w:hAnsi="方正仿宋_GBK" w:eastAsia="方正仿宋_GBK" w:cs="方正仿宋_GBK"/>
          <w:color w:val="000000"/>
          <w:sz w:val="28"/>
          <w:szCs w:val="28"/>
          <w:highlight w:val="none"/>
        </w:rPr>
        <w:t xml:space="preserve">系统规划与管理师证书</w:t>
      </w:r>
      <w:r>
        <w:rPr>
          <w:rFonts w:ascii="方正仿宋_GBK" w:hAnsi="方正仿宋_GBK" w:eastAsia="方正仿宋_GBK" w:cs="方正仿宋_GBK"/>
          <w:color w:val="000000"/>
          <w:sz w:val="28"/>
          <w:szCs w:val="28"/>
          <w:highlight w:val="none"/>
        </w:rPr>
        <w:t xml:space="preserve">、DCMM数据管理师证书</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t xml:space="preserve">系统架构设计师证书、数据库系统工程师证书、软件评测师证书，上述证书类别中每具有一个类别得</w:t>
      </w:r>
      <w:r>
        <w:rPr>
          <w:rFonts w:hint="eastAsia"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t xml:space="preserve">一人具备多个证书的，仅取一个类别的证书计算，最高得</w:t>
      </w:r>
      <w:r>
        <w:rPr>
          <w:rFonts w:hint="eastAsia" w:ascii="方正仿宋_GBK" w:hAnsi="方正仿宋_GBK" w:eastAsia="方正仿宋_GBK" w:cs="方正仿宋_GBK"/>
          <w:color w:val="000000"/>
          <w:sz w:val="28"/>
          <w:szCs w:val="28"/>
          <w:highlight w:val="none"/>
        </w:rPr>
        <w:t xml:space="preserve">10</w:t>
      </w:r>
      <w:r>
        <w:rPr>
          <w:rFonts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t xml:space="preserve">需提供证书复印件或扫描件，以及投标人近3个月内任意1个月为相关人员缴纳社保的证明材料，上述材料加盖投标人公章。</w:t>
      </w:r>
      <w:r>
        <w:rPr>
          <w:rFonts w:ascii="方正仿宋_GBK" w:hAnsi="方正仿宋_GBK" w:eastAsia="方正仿宋_GBK" w:cs="方正仿宋_GBK"/>
          <w:color w:val="000000"/>
          <w:sz w:val="28"/>
          <w:szCs w:val="28"/>
          <w:highlight w:val="none"/>
        </w:rPr>
      </w:r>
      <w:r/>
    </w:p>
    <w:p>
      <w:pPr>
        <w:pStyle w:val="947"/>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4.3类似业绩（</w:t>
      </w:r>
      <w:r>
        <w:rPr>
          <w:rFonts w:hint="eastAsia" w:ascii="方正仿宋_GBK" w:hAnsi="方正仿宋_GBK" w:eastAsia="方正仿宋_GBK" w:cs="方正仿宋_GBK"/>
          <w:color w:val="000000"/>
          <w:sz w:val="28"/>
          <w:szCs w:val="28"/>
          <w:highlight w:val="none"/>
        </w:rPr>
        <w:t xml:space="preserve">10</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47"/>
        <w:ind w:firstLine="56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4.3.1</w:t>
      </w:r>
      <w:r>
        <w:rPr>
          <w:rFonts w:ascii="方正仿宋_GBK" w:hAnsi="方正仿宋_GBK" w:eastAsia="方正仿宋_GBK" w:cs="方正仿宋_GBK"/>
          <w:color w:val="000000"/>
          <w:sz w:val="28"/>
          <w:szCs w:val="28"/>
          <w:highlight w:val="none"/>
        </w:rPr>
        <w:t xml:space="preserve">供应商具有2023年1月1日以来（以合同签订时间为准）承担过</w:t>
      </w:r>
      <w:r>
        <w:rPr>
          <w:rFonts w:ascii="方正仿宋_GBK" w:hAnsi="方正仿宋_GBK" w:eastAsia="方正仿宋_GBK" w:cs="方正仿宋_GBK"/>
          <w:color w:val="000000"/>
          <w:sz w:val="28"/>
          <w:szCs w:val="28"/>
          <w:highlight w:val="none"/>
        </w:rPr>
        <w:t xml:space="preserve">类似</w:t>
      </w:r>
      <w:r>
        <w:rPr>
          <w:rFonts w:hint="eastAsia" w:ascii="方正仿宋_GBK" w:hAnsi="方正仿宋_GBK" w:eastAsia="方正仿宋_GBK" w:cs="方正仿宋_GBK"/>
          <w:color w:val="000000"/>
          <w:sz w:val="28"/>
          <w:szCs w:val="28"/>
          <w:highlight w:val="none"/>
        </w:rPr>
        <w:t xml:space="preserve">智慧管理</w:t>
      </w:r>
      <w:r>
        <w:rPr>
          <w:rFonts w:hint="eastAsia" w:ascii="方正仿宋_GBK" w:hAnsi="方正仿宋_GBK" w:eastAsia="方正仿宋_GBK" w:cs="方正仿宋_GBK"/>
          <w:bCs/>
          <w:color w:val="000000"/>
          <w:sz w:val="28"/>
          <w:szCs w:val="28"/>
          <w:highlight w:val="none"/>
        </w:rPr>
        <w:t xml:space="preserve">或监测监管</w:t>
      </w:r>
      <w:r>
        <w:rPr>
          <w:rFonts w:ascii="方正仿宋_GBK" w:hAnsi="方正仿宋_GBK" w:eastAsia="方正仿宋_GBK" w:cs="方正仿宋_GBK"/>
          <w:color w:val="000000"/>
          <w:sz w:val="28"/>
          <w:szCs w:val="28"/>
          <w:highlight w:val="none"/>
        </w:rPr>
        <w:t xml:space="preserve">系统软件开发项目案例</w:t>
      </w:r>
      <w:r>
        <w:rPr>
          <w:rFonts w:ascii="方正仿宋_GBK" w:hAnsi="方正仿宋_GBK" w:eastAsia="方正仿宋_GBK" w:cs="方正仿宋_GBK"/>
          <w:color w:val="000000"/>
          <w:sz w:val="28"/>
          <w:szCs w:val="28"/>
          <w:highlight w:val="none"/>
        </w:rPr>
        <w:t xml:space="preserve">，每提供一个得</w:t>
      </w:r>
      <w:r>
        <w:rPr>
          <w:rFonts w:hint="eastAsia"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t xml:space="preserve">分，最多得6分，不提供不得分。</w:t>
      </w:r>
      <w:r>
        <w:rPr>
          <w:rFonts w:ascii="方正仿宋_GBK" w:hAnsi="方正仿宋_GBK" w:eastAsia="方正仿宋_GBK" w:cs="方正仿宋_GBK"/>
          <w:color w:val="000000"/>
          <w:sz w:val="28"/>
          <w:szCs w:val="28"/>
          <w:highlight w:val="none"/>
        </w:rPr>
      </w:r>
      <w:r/>
    </w:p>
    <w:p>
      <w:pPr>
        <w:pStyle w:val="947"/>
        <w:ind w:firstLine="560"/>
        <w:spacing w:line="48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4.3.2</w:t>
      </w:r>
      <w:r>
        <w:rPr>
          <w:rFonts w:ascii="方正仿宋_GBK" w:hAnsi="方正仿宋_GBK" w:eastAsia="方正仿宋_GBK" w:cs="方正仿宋_GBK"/>
          <w:color w:val="000000"/>
          <w:sz w:val="28"/>
          <w:szCs w:val="28"/>
          <w:highlight w:val="none"/>
        </w:rPr>
        <w:t xml:space="preserve">供应商具有2023年1月1日以来（以合同签订时间为准）承担</w:t>
      </w:r>
      <w:r>
        <w:rPr>
          <w:rFonts w:ascii="方正仿宋_GBK" w:hAnsi="方正仿宋_GBK" w:eastAsia="方正仿宋_GBK" w:cs="方正仿宋_GBK"/>
          <w:color w:val="000000"/>
          <w:sz w:val="28"/>
          <w:szCs w:val="28"/>
          <w:highlight w:val="none"/>
        </w:rPr>
        <w:t xml:space="preserve">过国产软硬件架构信息化系统改造类似案例</w:t>
      </w:r>
      <w:r>
        <w:rPr>
          <w:rFonts w:ascii="方正仿宋_GBK" w:hAnsi="方正仿宋_GBK" w:eastAsia="方正仿宋_GBK" w:cs="方正仿宋_GBK"/>
          <w:color w:val="000000"/>
          <w:sz w:val="28"/>
          <w:szCs w:val="28"/>
          <w:highlight w:val="none"/>
        </w:rPr>
        <w:t xml:space="preserve">，每提供一个得</w:t>
      </w:r>
      <w:r>
        <w:rPr>
          <w:rFonts w:hint="eastAsia"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t xml:space="preserve">分，最多得</w:t>
      </w:r>
      <w:r>
        <w:rPr>
          <w:rFonts w:hint="eastAsia"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t xml:space="preserve">分，不提供不得分。</w:t>
      </w:r>
      <w:r>
        <w:rPr>
          <w:rFonts w:ascii="方正仿宋_GBK" w:hAnsi="方正仿宋_GBK" w:eastAsia="方正仿宋_GBK" w:cs="方正仿宋_GBK"/>
          <w:color w:val="000000"/>
          <w:sz w:val="28"/>
          <w:szCs w:val="28"/>
          <w:highlight w:val="none"/>
        </w:rPr>
      </w:r>
      <w:r/>
    </w:p>
    <w:p>
      <w:pPr>
        <w:pStyle w:val="947"/>
        <w:ind w:firstLine="560"/>
        <w:spacing w:line="48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注：供应商需提供相关业绩的合同复印件，复印件中需体现合同的签约主体、项目名称及建设内容、合同签订日期等关键页信息，否则不得分。</w:t>
      </w:r>
      <w:r>
        <w:rPr>
          <w:rFonts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（五）系统演示（10分）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演示不完整或未演示不得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.1 资格不符精准提示与引导：演示重点专科评审系统内置前置条件审核，机构专科在申报时，系统根据申报前置规则，进行自动校验，是否符合申报条件，对不符合条件的专科，无法成功申报，并提示失败原因。该项最高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.2智能化验收报告生成：演示等级医院评审环节全部完成后，系统基于专家的评分结果、评审意见、现场记录及相关申报数据，自动生成标准化、结构化的验收报告。该项最高得2分。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.3急诊评审流程管理：演示系统可对急诊科进行专属重点专科申报和评审，机构申报过程中，提交时自动校验申请信息完整性及材料格式，通过后方可流转至主管部门审核。该项最高得2分。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.4质控中心管理服务功能扩展：演示中医妇科专业质控中心填报，可以查看机构填报结果，和质控中心季度统计结果，包括单指标的全省最高值、全省最低值、全省中位值、全省平均值。该项最高得2分。</w:t>
      </w:r>
      <w:r>
        <w:rPr>
          <w:rFonts w:hint="eastAsia" w:ascii="方正仿宋_GBK" w:hAnsi="方正仿宋_GBK" w:eastAsia="方正仿宋_GBK" w:cs="方正仿宋_GBK"/>
          <w:color w:val="000000"/>
          <w:sz w:val="28"/>
          <w:szCs w:val="28"/>
          <w:highlight w:val="none"/>
        </w:rPr>
      </w:r>
      <w:r/>
    </w:p>
    <w:p>
      <w:pPr>
        <w:pStyle w:val="947"/>
        <w:ind w:firstLine="560"/>
        <w:spacing w:line="5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5系统数据同源同规同数：演示一个指标，例如中药饮片使用率，在不同的业务系统中，包括等级医院评审、重点专科评审、质控中心管理等不同业务系统中，属于同一数据来源，同一计算方式，同一数据结果，且符合国家和省相关规定要求。该项最高得2分。</w:t>
      </w:r>
      <w:r>
        <w:rPr>
          <w:rFonts w:ascii="方正仿宋_GBK" w:hAnsi="方正仿宋_GBK" w:eastAsia="方正仿宋_GBK" w:cs="方正仿宋_GBK"/>
          <w:color w:val="000000"/>
          <w:sz w:val="28"/>
          <w:szCs w:val="28"/>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8"/>
        <w:rPr>
          <w:rFonts w:ascii="黑体" w:eastAsia="黑体"/>
          <w:bCs/>
          <w:color w:val="000000"/>
          <w:sz w:val="44"/>
          <w:highlight w:val="none"/>
        </w:rPr>
      </w:pPr>
      <w:r>
        <w:rPr>
          <w:rFonts w:ascii="黑体" w:eastAsia="黑体"/>
          <w:bCs/>
          <w:color w:val="000000"/>
          <w:sz w:val="44"/>
          <w:highlight w:val="none"/>
        </w:rPr>
      </w:r>
      <w:r/>
    </w:p>
    <w:p>
      <w:pPr>
        <w:pStyle w:val="947"/>
        <w:rPr>
          <w:rFonts w:ascii="黑体" w:eastAsia="黑体"/>
          <w:bCs/>
          <w:color w:val="000000"/>
          <w:sz w:val="44"/>
          <w:highlight w:val="none"/>
        </w:rPr>
      </w:pPr>
      <w:r>
        <w:rPr>
          <w:rFonts w:ascii="黑体" w:eastAsia="黑体"/>
          <w:bCs/>
          <w:color w:val="000000"/>
          <w:sz w:val="44"/>
          <w:highlight w:val="none"/>
        </w:rPr>
      </w:r>
      <w:r/>
    </w:p>
    <w:p>
      <w:pPr>
        <w:pStyle w:val="947"/>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第六章  投标</w:t>
      </w:r>
      <w:bookmarkEnd w:id="161"/>
      <w:r/>
      <w:bookmarkEnd w:id="162"/>
      <w:r/>
      <w:bookmarkEnd w:id="207"/>
      <w:r>
        <w:rPr>
          <w:rFonts w:hint="eastAsia" w:ascii="方正黑体_GBK" w:hAnsi="方正黑体_GBK" w:eastAsia="方正黑体_GBK" w:cs="方正黑体_GBK"/>
          <w:color w:val="000000"/>
          <w:sz w:val="32"/>
          <w:szCs w:val="32"/>
          <w:highlight w:val="none"/>
        </w:rPr>
        <w:t xml:space="preserve">文件格式 </w:t>
      </w:r>
      <w:r>
        <w:rPr>
          <w:rFonts w:hint="eastAsia" w:ascii="方正黑体_GBK" w:hAnsi="方正黑体_GBK" w:eastAsia="方正黑体_GBK" w:cs="方正黑体_GBK"/>
          <w:color w:val="000000"/>
          <w:sz w:val="32"/>
          <w:szCs w:val="32"/>
          <w:highlight w:val="none"/>
        </w:rPr>
      </w:r>
      <w:r/>
    </w:p>
    <w:p>
      <w:pPr>
        <w:pStyle w:val="947"/>
        <w:jc w:val="center"/>
        <w:rPr>
          <w:rFonts w:hint="eastAsia" w:ascii="宋体" w:hAnsi="宋体"/>
          <w:b/>
          <w:color w:val="000000"/>
          <w:sz w:val="28"/>
          <w:szCs w:val="28"/>
          <w:highlight w:val="none"/>
        </w:rPr>
      </w:pPr>
      <w:r/>
      <w:bookmarkStart w:id="208" w:name="_Hlt26671244"/>
      <w:r/>
      <w:bookmarkEnd w:id="208"/>
      <w:r/>
      <w:bookmarkStart w:id="209" w:name="_Hlt26955039"/>
      <w:r/>
      <w:bookmarkEnd w:id="209"/>
      <w:r/>
      <w:bookmarkStart w:id="210" w:name="_Toc49090576"/>
      <w:r/>
      <w:bookmarkStart w:id="211" w:name="_Toc26554094"/>
      <w:r/>
      <w:bookmarkStart w:id="212" w:name="_Toc120614282"/>
      <w:r>
        <w:rPr>
          <w:rFonts w:hint="eastAsia" w:ascii="宋体" w:hAnsi="宋体"/>
          <w:b/>
          <w:color w:val="000000"/>
          <w:sz w:val="28"/>
          <w:szCs w:val="28"/>
          <w:highlight w:val="none"/>
        </w:rPr>
      </w:r>
      <w:r/>
    </w:p>
    <w:p>
      <w:pPr>
        <w:pStyle w:val="947"/>
        <w:jc w:val="center"/>
        <w:rPr>
          <w:rFonts w:hint="eastAsia" w:ascii="方正小标宋_GBK" w:hAnsi="方正小标宋_GBK" w:eastAsia="方正小标宋_GBK" w:cs="方正小标宋_GBK"/>
          <w:bCs/>
          <w:color w:val="000000"/>
          <w:sz w:val="44"/>
          <w:szCs w:val="44"/>
          <w:highlight w:val="none"/>
        </w:rPr>
      </w:pPr>
      <w:r>
        <w:rPr>
          <w:rFonts w:hint="eastAsia" w:ascii="方正小标宋_GBK" w:hAnsi="方正小标宋_GBK" w:eastAsia="方正小标宋_GBK" w:cs="方正小标宋_GBK"/>
          <w:bCs/>
          <w:color w:val="000000"/>
          <w:sz w:val="44"/>
          <w:szCs w:val="44"/>
          <w:highlight w:val="none"/>
        </w:rPr>
      </w:r>
      <w:r/>
    </w:p>
    <w:p>
      <w:pPr>
        <w:pStyle w:val="947"/>
        <w:jc w:val="center"/>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47"/>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47"/>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47"/>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4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47"/>
        <w:spacing w:line="440" w:lineRule="exact"/>
        <w:rPr>
          <w:rFonts w:ascii="宋体" w:hAnsi="宋体"/>
          <w:color w:val="000000"/>
          <w:highlight w:val="none"/>
        </w:rPr>
      </w:pPr>
      <w:r>
        <w:rPr>
          <w:rFonts w:ascii="宋体" w:hAnsi="宋体"/>
          <w:color w:val="000000"/>
          <w:highlight w:val="none"/>
        </w:rPr>
      </w:r>
      <w:r/>
    </w:p>
    <w:p>
      <w:pPr>
        <w:pStyle w:val="947"/>
        <w:ind w:firstLine="1081"/>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947"/>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rPr>
          <w:rFonts w:hint="eastAsia" w:ascii="方正黑体_GBK" w:hAnsi="方正黑体_GBK" w:eastAsia="方正黑体_GBK" w:cs="方正黑体_GBK"/>
          <w:color w:val="000000"/>
          <w:sz w:val="28"/>
          <w:szCs w:val="28"/>
          <w:highlight w:val="none"/>
        </w:rPr>
      </w:r>
      <w:r/>
    </w:p>
    <w:p>
      <w:pPr>
        <w:pStyle w:val="947"/>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47"/>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rPr>
          <w:rFonts w:hint="eastAsia" w:ascii="方正黑体_GBK" w:hAnsi="方正黑体_GBK" w:eastAsia="方正黑体_GBK" w:cs="方正黑体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47"/>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rPr>
          <w:rFonts w:hint="eastAsia" w:ascii="方正黑体_GBK" w:hAnsi="方正黑体_GBK" w:eastAsia="方正黑体_GBK" w:cs="方正黑体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hint="eastAsia" w:eastAsia="方正仿宋_GBK" w:cs="Times New Roman"/>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10.中小微企业声明函（如果本项目专门面向中小微型企业采购，则必须提供。格式见附件9）</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12.联合体协议（如果本项目接受联合体参加投标，投标人是联合体的，则必须提供。格式见附件11）</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47"/>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rPr>
          <w:rFonts w:hint="eastAsia" w:ascii="方正黑体_GBK" w:hAnsi="方正黑体_GBK" w:eastAsia="方正黑体_GBK" w:cs="方正黑体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highlight w:val="none"/>
        </w:rPr>
      </w:r>
      <w:r/>
    </w:p>
    <w:p>
      <w:pPr>
        <w:pStyle w:val="947"/>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rPr>
          <w:rFonts w:hint="eastAsia" w:ascii="方正黑体_GBK" w:hAnsi="方正黑体_GBK" w:eastAsia="方正黑体_GBK" w:cs="方正黑体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3.关于符合本国产品标准的声明函（格式见附件13）</w:t>
      </w:r>
      <w:r>
        <w:rPr>
          <w:rFonts w:hint="eastAsia" w:ascii="方正仿宋_GBK" w:hAnsi="方正仿宋_GBK" w:eastAsia="方正仿宋_GBK" w:cs="方正仿宋_GBK"/>
          <w:color w:val="000000"/>
          <w:sz w:val="28"/>
          <w:szCs w:val="28"/>
          <w:highlight w:val="none"/>
        </w:rPr>
      </w:r>
      <w:r/>
    </w:p>
    <w:p>
      <w:pPr>
        <w:pStyle w:val="947"/>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47"/>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 开标一览表</w:t>
      </w:r>
      <w:r>
        <w:rPr>
          <w:rFonts w:hint="eastAsia" w:ascii="方正黑体_GBK" w:hAnsi="方正黑体_GBK" w:eastAsia="方正黑体_GBK" w:cs="方正黑体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s="Times New Roman"/>
          <w:color w:val="000000"/>
          <w:sz w:val="28"/>
          <w:szCs w:val="28"/>
          <w:highlight w:val="none"/>
        </w:rPr>
        <w:t xml:space="preserve">XXXX</w:t>
      </w:r>
      <w:r>
        <w:rPr>
          <w:rFonts w:ascii="方正仿宋_GBK" w:hAnsi="方正仿宋_GBK" w:eastAsia="方正仿宋_GBK" w:cs="方正仿宋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s="Times New Roman"/>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s="Times New Roman"/>
          <w:color w:val="000000"/>
          <w:sz w:val="28"/>
          <w:szCs w:val="28"/>
          <w:highlight w:val="none"/>
        </w:rPr>
        <w:t xml:space="preserve">XX</w:t>
      </w:r>
      <w:r>
        <w:rPr>
          <w:rFonts w:ascii="方正仿宋_GBK" w:hAnsi="方正仿宋_GBK" w:eastAsia="方正仿宋_GBK" w:cs="方正仿宋_GBK"/>
          <w:color w:val="000000"/>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7"/>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                      投标总报价</w:t>
            </w:r>
            <w:r>
              <w:rPr>
                <w:rFonts w:ascii="方正仿宋_GBK" w:hAnsi="方正仿宋_GBK" w:eastAsia="方正仿宋_GBK" w:cs="方正仿宋_GBK"/>
                <w:color w:val="000000"/>
                <w:sz w:val="28"/>
                <w:szCs w:val="28"/>
                <w:highlight w:val="none"/>
              </w:rPr>
            </w:r>
            <w:r/>
          </w:p>
        </w:tc>
      </w:tr>
      <w:tr>
        <w:trPr>
          <w:cantSplit/>
          <w:trHeight w:val="612"/>
        </w:trPr>
        <w:tc>
          <w:tcPr>
            <w:tcW w:w="8934" w:type="dxa"/>
            <w:vAlign w:val="center"/>
            <w:textDirection w:val="lrTb"/>
            <w:noWrap w:val="false"/>
          </w:tcPr>
          <w:p>
            <w:pPr>
              <w:pStyle w:val="1034"/>
              <w:ind w:firstLine="0"/>
              <w:spacing w:before="0" w:after="0"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小写：                             （人民币：元）</w:t>
            </w:r>
            <w:r>
              <w:rPr>
                <w:rFonts w:ascii="方正仿宋_GBK" w:hAnsi="方正仿宋_GBK" w:eastAsia="方正仿宋_GBK" w:cs="方正仿宋_GBK"/>
                <w:color w:val="000000"/>
                <w:sz w:val="28"/>
                <w:szCs w:val="28"/>
                <w:highlight w:val="none"/>
              </w:rPr>
            </w:r>
            <w:r/>
          </w:p>
        </w:tc>
      </w:tr>
    </w:tbl>
    <w:p>
      <w:pPr>
        <w:pStyle w:val="947"/>
        <w:ind w:firstLine="48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w:t>
      </w:r>
      <w:r>
        <w:rPr>
          <w:rFonts w:hint="eastAsia" w:eastAsia="方正仿宋_GBK" w:cs="Times New Roman"/>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序号</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5</w:t>
            </w: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6</w:t>
            </w:r>
            <w:r>
              <w:rPr>
                <w:rFonts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7</w:t>
            </w: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8</w:t>
            </w: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9</w:t>
            </w:r>
            <w:r>
              <w:rPr>
                <w:rFonts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分项服务名称/货物名称</w:t>
            </w: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品牌</w:t>
            </w: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规格</w:t>
            </w:r>
            <w:r>
              <w:rPr>
                <w:rFonts w:ascii="方正仿宋_GBK" w:hAnsi="方正仿宋_GBK" w:eastAsia="方正仿宋_GBK" w:cs="方正仿宋_GBK"/>
                <w:color w:val="000000"/>
                <w:sz w:val="28"/>
                <w:szCs w:val="28"/>
                <w:highlight w:val="none"/>
              </w:rPr>
            </w:r>
            <w:r/>
          </w:p>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型号</w:t>
            </w: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制造商名称</w:t>
            </w:r>
            <w:r>
              <w:rPr>
                <w:rFonts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产地</w:t>
            </w: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交付期/服务期</w:t>
            </w:r>
            <w:r>
              <w:rPr>
                <w:rFonts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数量</w:t>
            </w: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分项</w:t>
            </w:r>
            <w:r>
              <w:rPr>
                <w:rFonts w:ascii="方正仿宋_GBK" w:hAnsi="方正仿宋_GBK" w:eastAsia="方正仿宋_GBK" w:cs="方正仿宋_GBK"/>
                <w:color w:val="000000"/>
                <w:sz w:val="28"/>
                <w:szCs w:val="28"/>
                <w:highlight w:val="none"/>
              </w:rPr>
            </w:r>
            <w:r/>
          </w:p>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单价</w:t>
            </w: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分项</w:t>
            </w:r>
            <w:r>
              <w:rPr>
                <w:rFonts w:ascii="方正仿宋_GBK" w:hAnsi="方正仿宋_GBK" w:eastAsia="方正仿宋_GBK" w:cs="方正仿宋_GBK"/>
                <w:color w:val="000000"/>
                <w:sz w:val="28"/>
                <w:szCs w:val="28"/>
                <w:highlight w:val="none"/>
              </w:rPr>
            </w:r>
            <w:r/>
          </w:p>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总价</w:t>
            </w:r>
            <w:r>
              <w:rPr>
                <w:rFonts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u w:val="single"/>
              </w:rPr>
            </w:pPr>
            <w:r>
              <w:rPr>
                <w:rFonts w:ascii="方正仿宋_GBK" w:hAnsi="方正仿宋_GBK" w:eastAsia="方正仿宋_GBK" w:cs="方正仿宋_GBK"/>
                <w:color w:val="000000"/>
                <w:sz w:val="28"/>
                <w:szCs w:val="28"/>
                <w:highlight w:val="none"/>
              </w:rPr>
              <w:t xml:space="preserve">合同签订后</w:t>
            </w:r>
            <w:r>
              <w:rPr>
                <w:rFonts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rPr>
              <w:t xml:space="preserve">日</w:t>
            </w:r>
            <w:r>
              <w:rPr>
                <w:rFonts w:ascii="方正仿宋_GBK" w:hAnsi="方正仿宋_GBK" w:eastAsia="方正仿宋_GBK" w:cs="方正仿宋_GBK"/>
                <w:color w:val="000000"/>
                <w:sz w:val="28"/>
                <w:szCs w:val="28"/>
                <w:highlight w:val="none"/>
                <w:u w:val="singl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3</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4</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pStyle w:val="947"/>
              <w:spacing w:line="400" w:lineRule="exact"/>
              <w:rPr>
                <w:rFonts w:ascii="方正仿宋_GBK" w:hAnsi="方正仿宋_GBK" w:eastAsia="方正仿宋_GBK" w:cs="方正仿宋_GBK"/>
                <w:color w:val="000000"/>
                <w:sz w:val="28"/>
                <w:szCs w:val="28"/>
                <w:highlight w:val="none"/>
                <w:u w:val="single"/>
              </w:rPr>
            </w:pPr>
            <w:r>
              <w:rPr>
                <w:rFonts w:ascii="方正仿宋_GBK" w:hAnsi="方正仿宋_GBK" w:eastAsia="方正仿宋_GBK" w:cs="方正仿宋_GBK"/>
                <w:color w:val="000000"/>
                <w:sz w:val="28"/>
                <w:szCs w:val="28"/>
                <w:highlight w:val="none"/>
              </w:rPr>
              <w:t xml:space="preserve">投标总报价（人民币：元）</w:t>
            </w:r>
            <w:r>
              <w:rPr>
                <w:rFonts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r>
            <w:r/>
          </w:p>
        </w:tc>
      </w:tr>
      <w:tr>
        <w:trPr>
          <w:cantSplit/>
          <w:trHeight w:val="757"/>
        </w:trPr>
        <w:tc>
          <w:tcPr>
            <w:gridSpan w:val="10"/>
            <w:tcW w:w="9861" w:type="dxa"/>
            <w:vAlign w:val="top"/>
            <w:textDirection w:val="lrTb"/>
            <w:noWrap w:val="false"/>
          </w:tcPr>
          <w:p>
            <w:pPr>
              <w:pStyle w:val="1009"/>
              <w:spacing w:before="0" w:beforeAutospacing="0" w:after="0" w:afterAutospacing="0"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本采购包中提供的符合本国产品标准的货物成本之和占该采购包全部成本之和的比例为</w:t>
            </w:r>
            <w:r>
              <w:rPr>
                <w:rFonts w:ascii="方正仿宋_GBK" w:hAnsi="方正仿宋_GBK" w:eastAsia="方正仿宋_GBK" w:cs="方正仿宋_GBK"/>
                <w:color w:val="000000"/>
                <w:sz w:val="28"/>
                <w:szCs w:val="28"/>
                <w:highlight w:val="none"/>
                <w:u w:val="single"/>
              </w:rPr>
              <w:t xml:space="preserve">XX</w:t>
            </w: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r>
    </w:tbl>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投标总报价”数额为各“分项总价”之和。</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3.分项服务不需填写品牌、规格型号、制造商、产地。</w:t>
      </w:r>
      <w:r>
        <w:rPr>
          <w:rFonts w:hint="eastAsia" w:ascii="方正仿宋_GBK" w:hAnsi="方正仿宋_GBK" w:eastAsia="方正仿宋_GBK" w:cs="方正仿宋_GBK"/>
          <w:color w:val="000000"/>
          <w:sz w:val="28"/>
          <w:szCs w:val="28"/>
          <w:highlight w:val="none"/>
        </w:rPr>
      </w:r>
      <w:r/>
    </w:p>
    <w:p>
      <w:pPr>
        <w:pStyle w:val="947"/>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94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序号</w:t>
            </w:r>
            <w:r>
              <w:rPr>
                <w:rFonts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技术要求</w:t>
            </w:r>
            <w:r>
              <w:rPr>
                <w:rFonts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投标响应情况</w:t>
            </w:r>
            <w:r>
              <w:rPr>
                <w:rFonts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超出、符合或偏离</w:t>
            </w: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bl>
    <w:p>
      <w:pPr>
        <w:pStyle w:val="947"/>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rPr>
          <w:rFonts w:ascii="宋体" w:hAnsi="宋体"/>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序号</w:t>
            </w:r>
            <w:r>
              <w:rPr>
                <w:rFonts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商务要求 </w:t>
            </w:r>
            <w:r>
              <w:rPr>
                <w:rFonts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投标响应情况</w:t>
            </w:r>
            <w:r>
              <w:rPr>
                <w:rFonts w:ascii="方正仿宋_GBK" w:hAnsi="方正仿宋_GBK" w:eastAsia="方正仿宋_GBK" w:cs="方正仿宋_GBK"/>
                <w:color w:val="000000"/>
                <w:sz w:val="28"/>
                <w:szCs w:val="28"/>
                <w:highlight w:val="none"/>
              </w:rPr>
            </w:r>
            <w:r/>
          </w:p>
        </w:tc>
        <w:tc>
          <w:tcPr>
            <w:tcW w:w="229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超出、符合或偏离</w:t>
            </w: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2296"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2296"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bl>
    <w:p>
      <w:pPr>
        <w:pStyle w:val="947"/>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rPr>
          <w:rFonts w:hint="eastAsia" w:ascii="方正仿宋_GBK" w:hAnsi="方正仿宋_GBK" w:eastAsia="方正仿宋_GBK" w:cs="方正仿宋_GBK"/>
          <w:color w:val="000000"/>
          <w:sz w:val="28"/>
          <w:szCs w:val="28"/>
          <w:highlight w:val="none"/>
        </w:rPr>
      </w:r>
      <w:r/>
    </w:p>
    <w:p>
      <w:pPr>
        <w:pStyle w:val="947"/>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宋体" w:hAnsi="宋体"/>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宋体" w:hAnsi="宋体"/>
          <w:b/>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rPr>
          <w:rFonts w:hint="eastAsia" w:ascii="方正黑体_GBK" w:hAnsi="方正黑体_GBK" w:eastAsia="方正黑体_GBK" w:cs="方正黑体_GBK"/>
          <w:bCs/>
          <w:color w:val="000000"/>
          <w:sz w:val="28"/>
          <w:szCs w:val="28"/>
          <w:highlight w:val="non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s="Times New Roman"/>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jc w:val="center"/>
        <w:spacing w:line="400" w:lineRule="exact"/>
        <w:rPr>
          <w:rFonts w:ascii="黑体" w:hAnsi="黑体" w:eastAsia="黑体"/>
          <w:b/>
          <w:i/>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附件8              投标函</w:t>
      </w:r>
      <w:r>
        <w:rPr>
          <w:rFonts w:ascii="黑体" w:hAnsi="黑体" w:eastAsia="黑体"/>
          <w:b/>
          <w:i/>
          <w:color w:val="000000"/>
          <w:sz w:val="28"/>
          <w:szCs w:val="28"/>
          <w:highlight w:val="none"/>
          <w:u w:val="single"/>
        </w:rPr>
      </w:r>
      <w:r/>
    </w:p>
    <w:p>
      <w:pPr>
        <w:pStyle w:val="947"/>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color w:val="000000"/>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JSZC-320000-SCZX-G20XX-XXXX</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color w:val="000000"/>
          <w:sz w:val="28"/>
          <w:szCs w:val="28"/>
          <w:highlight w:val="none"/>
        </w:rPr>
        <w:t xml:space="preserve">，正式授权下述签字人</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hint="eastAsia" w:ascii="Times New Roman" w:hAnsi="Times New Roman"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1034"/>
        <w:ind w:firstLine="560"/>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1034"/>
        <w:spacing w:before="0"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1034"/>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firstLine="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34"/>
        <w:ind w:left="420" w:firstLine="560"/>
        <w:spacing w:before="0" w:after="0"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1034"/>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947"/>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ind w:firstLine="56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bookmarkEnd w:id="210"/>
      <w:r/>
      <w:bookmarkEnd w:id="211"/>
      <w:r/>
      <w:bookmarkEnd w:id="212"/>
      <w:r/>
      <w:bookmarkStart w:id="213" w:name="_Toc120614284"/>
      <w:r>
        <w:rPr>
          <w:rFonts w:hint="eastAsia" w:ascii="方正黑体_GBK" w:hAnsi="方正黑体_GBK" w:eastAsia="方正黑体_GBK" w:cs="方正黑体_GBK"/>
          <w:bCs/>
          <w:color w:val="000000"/>
          <w:sz w:val="28"/>
          <w:szCs w:val="28"/>
          <w:highlight w:val="none"/>
        </w:rPr>
        <w:t xml:space="preserve">附件9 中小微企业声明函（服务类项目）（采购包号：</w:t>
      </w:r>
      <w:r>
        <w:rPr>
          <w:rFonts w:eastAsia="方正黑体_GBK" w:cs="Times New Roman"/>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（单位名称）采购编号为</w:t>
      </w:r>
      <w:r>
        <w:rPr>
          <w:rFonts w:hint="eastAsia" w:eastAsia="方正黑体_GBK" w:cs="Times New Roman"/>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s="Times New Roman"/>
          <w:color w:val="000000"/>
          <w:sz w:val="28"/>
          <w:szCs w:val="28"/>
          <w:highlight w:val="none"/>
          <w:u w:val="single"/>
        </w:rPr>
        <w:t xml:space="preserve">XX</w:t>
      </w:r>
      <w:r>
        <w:rPr>
          <w:rFonts w:hint="eastAsia" w:eastAsia="方正仿宋_GBK" w:cs="Times New Roman"/>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（供应商填写招标文件中明确的所属行业）行业；承接企业为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47"/>
        <w:ind w:right="7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企业名称（加盖CA电子公章）：</w:t>
      </w:r>
      <w:r>
        <w:rPr>
          <w:rFonts w:hint="eastAsia" w:ascii="方正仿宋_GBK" w:hAnsi="方正仿宋_GBK" w:eastAsia="方正仿宋_GBK" w:cs="方正仿宋_GBK"/>
          <w:color w:val="000000"/>
          <w:sz w:val="28"/>
          <w:szCs w:val="28"/>
          <w:highlight w:val="none"/>
        </w:rPr>
      </w:r>
      <w:r/>
    </w:p>
    <w:p>
      <w:pPr>
        <w:pStyle w:val="947"/>
        <w:ind w:right="180" w:firstLine="560"/>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     期：___年___月___日 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 残疾人福利性单位声明函（服务类项目）（采购包号：</w:t>
      </w:r>
      <w:r>
        <w:rPr>
          <w:rFonts w:hint="eastAsia" w:eastAsia="方正黑体_GBK" w:cs="Times New Roman"/>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宋体" w:hAnsi="宋体"/>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hint="eastAsia" w:eastAsia="方正黑体_GBK" w:cs="Times New Roman"/>
          <w:bCs/>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黑体_GBK" w:cs="Times New Roman"/>
          <w:bCs/>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）采购活动由本单位提供服务。</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highlight w:val="none"/>
        </w:rPr>
      </w:r>
      <w:r/>
    </w:p>
    <w:p>
      <w:pPr>
        <w:pStyle w:val="947"/>
        <w:ind w:firstLine="584"/>
        <w:spacing w:line="400" w:lineRule="exact"/>
        <w:rPr>
          <w:rFonts w:hint="eastAsia" w:ascii="方正仿宋_GBK" w:hAnsi="方正仿宋_GBK" w:eastAsia="方正仿宋_GBK" w:cs="方正仿宋_GBK"/>
          <w:color w:val="000000"/>
          <w:spacing w:val="6"/>
          <w:sz w:val="28"/>
          <w:szCs w:val="28"/>
          <w:highlight w:val="none"/>
        </w:rPr>
      </w:pPr>
      <w:r>
        <w:rPr>
          <w:rFonts w:hint="eastAsia" w:ascii="方正仿宋_GBK" w:hAnsi="方正仿宋_GBK" w:eastAsia="方正仿宋_GBK" w:cs="方正仿宋_GBK"/>
          <w:color w:val="000000"/>
          <w:spacing w:val="6"/>
          <w:sz w:val="28"/>
          <w:szCs w:val="28"/>
          <w:highlight w:val="none"/>
        </w:rPr>
      </w:r>
      <w:r/>
    </w:p>
    <w:p>
      <w:pPr>
        <w:pStyle w:val="947"/>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pacing w:val="6"/>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47"/>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shd w:val="clear" w:color="auto" w:fill="ffffff"/>
        </w:rPr>
        <w:t xml:space="preserve">日     期：___年____月____日   </w:t>
      </w:r>
      <w:r>
        <w:rPr>
          <w:rFonts w:hint="eastAsia" w:ascii="方正仿宋_GBK" w:hAnsi="方正仿宋_GBK" w:eastAsia="方正仿宋_GBK" w:cs="方正仿宋_GBK"/>
          <w:color w:val="000000"/>
          <w:sz w:val="28"/>
          <w:szCs w:val="28"/>
          <w:highlight w:val="none"/>
        </w:rPr>
      </w:r>
      <w:r/>
    </w:p>
    <w:p>
      <w:pPr>
        <w:pStyle w:val="947"/>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47"/>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47"/>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附件11 联合体协议（参考格式）（采购包号：XX）</w:t>
      </w:r>
      <w:r>
        <w:rPr>
          <w:rFonts w:hint="eastAsia" w:ascii="方正黑体_GBK" w:hAnsi="方正黑体_GBK" w:eastAsia="方正黑体_GBK" w:cs="方正黑体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（联合体中各供应商全称）在此达成以下协议：</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1.我们</w:t>
      </w:r>
      <w:r>
        <w:rPr>
          <w:rFonts w:hint="eastAsia" w:ascii="方正仿宋_GBK" w:hAnsi="方正仿宋_GBK" w:eastAsia="方正仿宋_GBK" w:cs="方正仿宋_GBK"/>
          <w:color w:val="000000"/>
          <w:sz w:val="28"/>
          <w:szCs w:val="28"/>
          <w:highlight w:val="none"/>
          <w:u w:val="single"/>
        </w:rPr>
        <w:t xml:space="preserve"> （供应商1），（供应商2） ，……</w:t>
      </w:r>
      <w:r>
        <w:rPr>
          <w:rFonts w:hint="eastAsia" w:ascii="方正仿宋_GBK" w:hAnsi="方正仿宋_GBK" w:eastAsia="方正仿宋_GBK" w:cs="方正仿宋_GBK"/>
          <w:color w:val="000000"/>
          <w:sz w:val="28"/>
          <w:szCs w:val="28"/>
          <w:highlight w:val="none"/>
        </w:rPr>
        <w:t xml:space="preserve">自愿组成联合体，参加江苏省政府采购中心组织的采购编号为</w:t>
      </w:r>
      <w:r>
        <w:rPr>
          <w:rFonts w:eastAsia="方正仿宋_GBK" w:cs="Times New Roman"/>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项目（项目名称）（采购包号：XX）的政府采购活动，我联合体指定</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（供应商全称）为牵头单位（牵头单位必须为联合体成员）。</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2.若我们联合中标、成交，</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（供应商单位1全称）实施项目中</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（工作内容）部分工作，并承担相应的责任。</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（供应商单位2全称）实施项目中</w:t>
      </w:r>
      <w:r>
        <w:rPr>
          <w:rFonts w:hint="eastAsia" w:eastAsia="方正仿宋_GBK" w:cs="Times New Roman"/>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3.其中</w:t>
      </w:r>
      <w:r>
        <w:rPr>
          <w:rFonts w:hint="eastAsia" w:eastAsia="方正仿宋_GBK" w:cs="Times New Roman"/>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（小型、微型企业/残疾人福利性单位/监狱企业全称）为（</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小型、微型企业 </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残疾人福利性单位 </w:t>
      </w:r>
      <w:r>
        <w:rPr>
          <w:rFonts w:ascii="Wingdings 2" w:hAnsi="Wingdings 2" w:eastAsia="Wingdings 2" w:cs="Wingdings 2"/>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47"/>
        <w:ind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联合体中各供应商全称（公章）：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shd w:val="clear" w:color="auto" w:fill="ffffff"/>
        </w:rPr>
        <w:t xml:space="preserve">日期：___年____月____日     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color w:val="000000"/>
          <w:sz w:val="28"/>
          <w:szCs w:val="28"/>
          <w:highlight w:val="none"/>
        </w:rPr>
      </w:r>
      <w:r/>
    </w:p>
    <w:p>
      <w:pPr>
        <w:pStyle w:val="947"/>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附件12 实质性要求响应及偏离表（采购包号：XX）</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序号</w:t>
            </w:r>
            <w:r>
              <w:rPr>
                <w:rFonts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招标文件（含技术要求和商务要求）中的实质性要求</w:t>
            </w:r>
            <w:r>
              <w:rPr>
                <w:rFonts w:ascii="方正仿宋_GBK" w:hAnsi="方正仿宋_GBK" w:eastAsia="方正仿宋_GBK" w:cs="方正仿宋_GBK"/>
                <w:b/>
                <w:bCs/>
                <w:color w:val="000000"/>
                <w:sz w:val="28"/>
                <w:szCs w:val="28"/>
                <w:highlight w:val="none"/>
              </w:rPr>
              <w:t xml:space="preserve">（</w:t>
            </w:r>
            <w:r>
              <w:rPr>
                <w:rFonts w:ascii="方正仿宋_GBK" w:hAnsi="方正仿宋_GBK" w:eastAsia="方正仿宋_GBK" w:cs="方正仿宋_GBK"/>
                <w:b/>
                <w:bCs/>
                <w:i/>
                <w:color w:val="000000"/>
                <w:sz w:val="28"/>
                <w:szCs w:val="28"/>
                <w:highlight w:val="none"/>
                <w:u w:val="single"/>
              </w:rPr>
              <w:t xml:space="preserve">斜体且有下划线部分</w:t>
            </w:r>
            <w:r>
              <w:rPr>
                <w:rFonts w:ascii="方正仿宋_GBK" w:hAnsi="方正仿宋_GBK" w:eastAsia="方正仿宋_GBK" w:cs="方正仿宋_GBK"/>
                <w:b/>
                <w:bCs/>
                <w:color w:val="000000"/>
                <w:sz w:val="28"/>
                <w:szCs w:val="28"/>
                <w:highlight w:val="none"/>
              </w:rPr>
              <w:t xml:space="preserve">或加*号条款）</w:t>
            </w:r>
            <w:r>
              <w:rPr>
                <w:rFonts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投标响应情况</w:t>
            </w:r>
            <w:r>
              <w:rPr>
                <w:rFonts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超出、符合或偏离</w:t>
            </w: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1</w:t>
            </w:r>
            <w:r>
              <w:rPr>
                <w:rFonts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2</w:t>
            </w:r>
            <w:r>
              <w:rPr>
                <w:rFonts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7"/>
              <w:jc w:val="center"/>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tc>
      </w:tr>
    </w:tbl>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rPr>
          <w:rFonts w:hint="eastAsia" w:ascii="方正仿宋_GBK" w:hAnsi="方正仿宋_GBK" w:eastAsia="方正仿宋_GBK" w:cs="方正仿宋_GBK"/>
          <w:color w:val="000000"/>
          <w:sz w:val="28"/>
          <w:szCs w:val="28"/>
          <w:highlight w:val="none"/>
        </w:rPr>
      </w:r>
      <w:r/>
    </w:p>
    <w:p>
      <w:pPr>
        <w:pStyle w:val="947"/>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highlight w:val="none"/>
        </w:rPr>
      </w:r>
      <w:r/>
    </w:p>
    <w:p>
      <w:pPr>
        <w:pStyle w:val="947"/>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47"/>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47"/>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附件13  关于符合本国产品标准的声明函（采购包号：XX）</w:t>
      </w:r>
      <w:r>
        <w:rPr>
          <w:rFonts w:hint="eastAsia" w:ascii="方正黑体_GBK" w:hAnsi="方正黑体_GBK" w:eastAsia="方正黑体_GBK" w:cs="方正黑体_GBK"/>
          <w:bCs/>
          <w:color w:val="000000"/>
          <w:sz w:val="28"/>
          <w:szCs w:val="28"/>
          <w:highlight w:val="none"/>
        </w:rPr>
      </w:r>
      <w:r/>
    </w:p>
    <w:p>
      <w:pPr>
        <w:pStyle w:val="1009"/>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21"/>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21"/>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1009"/>
        <w:ind w:firstLine="560"/>
        <w:jc w:val="right"/>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w:t>
      </w:r>
      <w:r>
        <w:rPr>
          <w:rFonts w:hint="eastAsia" w:ascii="方正仿宋_GBK" w:hAnsi="方正仿宋_GBK" w:eastAsia="方正仿宋_GBK" w:cs="方正仿宋_GBK"/>
          <w:color w:val="000000"/>
          <w:sz w:val="28"/>
          <w:szCs w:val="28"/>
          <w:highlight w:val="none"/>
        </w:rPr>
      </w:r>
      <w:r/>
    </w:p>
    <w:p>
      <w:pPr>
        <w:pStyle w:val="1009"/>
        <w:ind w:firstLine="560"/>
        <w:jc w:val="center"/>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__________________</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highlight w:val="none"/>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highlight w:val="none"/>
          <w:shd w:val="clear" w:color="auto" w:fill="ffffff"/>
        </w:rPr>
      </w:r>
      <w:r/>
    </w:p>
    <w:p>
      <w:pPr>
        <w:pStyle w:val="1009"/>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1"/>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rPr>
          <w:rFonts w:hint="eastAsia" w:ascii="方正仿宋_GBK" w:hAnsi="方正仿宋_GBK" w:eastAsia="方正仿宋_GBK" w:cs="方正仿宋_GBK"/>
          <w:color w:val="000000"/>
          <w:sz w:val="28"/>
          <w:szCs w:val="28"/>
          <w:highlight w:val="none"/>
          <w:shd w:val="clear" w:color="auto" w:fill="ffffff"/>
        </w:rPr>
      </w:r>
      <w:r/>
    </w:p>
    <w:p>
      <w:pPr>
        <w:pStyle w:val="947"/>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47"/>
        <w:jc w:val="center"/>
        <w:spacing w:line="400" w:lineRule="exact"/>
        <w:rPr>
          <w:rFonts w:hint="eastAsia" w:ascii="方正黑体_GBK" w:hAnsi="方正黑体_GBK" w:eastAsia="方正黑体_GBK" w:cs="方正黑体_GBK"/>
          <w:bCs/>
          <w:color w:val="000000"/>
          <w:sz w:val="28"/>
          <w:szCs w:val="28"/>
          <w:highlight w:val="none"/>
        </w:rPr>
      </w:pPr>
      <w:r/>
      <w:bookmarkEnd w:id="159"/>
      <w:r/>
      <w:bookmarkEnd w:id="160"/>
      <w:r/>
      <w:bookmarkEnd w:id="213"/>
      <w:r>
        <w:rPr>
          <w:rFonts w:hint="eastAsia" w:ascii="方正黑体_GBK" w:hAnsi="方正黑体_GBK" w:eastAsia="方正黑体_GBK" w:cs="方正黑体_GBK"/>
          <w:bCs/>
          <w:color w:val="000000"/>
          <w:sz w:val="28"/>
          <w:szCs w:val="28"/>
          <w:highlight w:val="none"/>
        </w:rPr>
        <w:t xml:space="preserve">质疑函范本</w:t>
      </w:r>
      <w:r>
        <w:rPr>
          <w:rFonts w:hint="eastAsia" w:ascii="方正黑体_GBK" w:hAnsi="方正黑体_GBK" w:eastAsia="方正黑体_GBK" w:cs="方正黑体_GBK"/>
          <w:bCs/>
          <w:color w:val="000000"/>
          <w:sz w:val="28"/>
          <w:szCs w:val="28"/>
          <w:highlight w:val="none"/>
        </w:rPr>
      </w:r>
      <w:r/>
    </w:p>
    <w:p>
      <w:pPr>
        <w:pStyle w:val="947"/>
        <w:ind w:firstLine="560"/>
        <w:spacing w:before="29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4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47"/>
        <w:ind w:firstLine="562"/>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47"/>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61"/>
        <w:spacing w:line="400" w:lineRule="exact"/>
        <w:rPr>
          <w:rFonts w:hint="eastAsia"/>
          <w:color w:val="000000"/>
          <w:sz w:val="28"/>
          <w:szCs w:val="28"/>
          <w:highlight w:val="none"/>
        </w:rPr>
      </w:pPr>
      <w:r>
        <w:rPr>
          <w:rFonts w:hint="eastAsia"/>
          <w:color w:val="000000"/>
          <w:sz w:val="28"/>
          <w:szCs w:val="28"/>
          <w:highlight w:val="none"/>
        </w:rPr>
      </w:r>
      <w:r/>
    </w:p>
    <w:p>
      <w:pPr>
        <w:pStyle w:val="961"/>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__WRD_EMBED_SUB_1391">
    <w:panose1 w:val="020B0503020202020204"/>
  </w:font>
  <w:font w:name="方正仿宋_GB2312">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Wingdings 2">
    <w:panose1 w:val="05020102010507070707"/>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7"/>
                    </w:pPr>
                    <w:r/>
                    <w:r/>
                  </w:p>
                </w:txbxContent>
              </v:textbox>
            </v:shape>
          </w:pict>
        </mc:Fallback>
      </mc:AlternateContent>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947"/>
        <w:ind w:left="425" w:hanging="425"/>
      </w:pPr>
      <w:rPr>
        <w:rFonts w:hint="eastAsia"/>
      </w:rPr>
    </w:lvl>
    <w:lvl w:ilvl="1">
      <w:start w:val="1"/>
      <w:numFmt w:val="decimal"/>
      <w:isLgl w:val="false"/>
      <w:suff w:val="tab"/>
      <w:lvlText w:val="%1.%2."/>
      <w:lvlJc w:val="left"/>
      <w:pPr>
        <w:pStyle w:val="947"/>
        <w:ind w:left="638" w:hanging="567"/>
      </w:pPr>
      <w:rPr>
        <w:rFonts w:hint="eastAsia"/>
      </w:rPr>
    </w:lvl>
    <w:lvl w:ilvl="2">
      <w:start w:val="1"/>
      <w:numFmt w:val="decimal"/>
      <w:isLgl w:val="false"/>
      <w:suff w:val="nothing"/>
      <w:lvlText w:val="%1.%2.%3."/>
      <w:lvlJc w:val="left"/>
      <w:pPr>
        <w:pStyle w:val="947"/>
        <w:ind w:left="709" w:hanging="709"/>
      </w:pPr>
      <w:rPr>
        <w:rFonts w:hint="eastAsia"/>
      </w:rPr>
    </w:lvl>
    <w:lvl w:ilvl="3">
      <w:start w:val="1"/>
      <w:numFmt w:val="decimal"/>
      <w:isLgl w:val="false"/>
      <w:suff w:val="tab"/>
      <w:lvlText w:val="%1.%2.%3.%4."/>
      <w:lvlJc w:val="left"/>
      <w:pPr>
        <w:pStyle w:val="947"/>
        <w:ind w:left="850" w:hanging="850"/>
      </w:pPr>
      <w:rPr>
        <w:rFonts w:hint="eastAsia"/>
      </w:rPr>
    </w:lvl>
    <w:lvl w:ilvl="4">
      <w:start w:val="1"/>
      <w:numFmt w:val="decimal"/>
      <w:isLgl w:val="false"/>
      <w:suff w:val="tab"/>
      <w:lvlText w:val="%1.%2.%3.%4.%5."/>
      <w:lvlJc w:val="left"/>
      <w:pPr>
        <w:pStyle w:val="947"/>
        <w:ind w:left="991" w:hanging="991"/>
      </w:pPr>
      <w:rPr>
        <w:rFonts w:hint="eastAsia"/>
      </w:rPr>
    </w:lvl>
    <w:lvl w:ilvl="5">
      <w:start w:val="1"/>
      <w:numFmt w:val="decimal"/>
      <w:isLgl w:val="false"/>
      <w:suff w:val="nothing"/>
      <w:lvlText w:val="%1.%2.%3.%4.%5.%6."/>
      <w:lvlJc w:val="left"/>
      <w:pPr>
        <w:pStyle w:val="947"/>
        <w:ind w:left="1134" w:hanging="1134"/>
      </w:pPr>
      <w:rPr>
        <w:rFonts w:hint="eastAsia" w:ascii="Times New Roman" w:hAnsi="Times New Roman" w:cs="Times New Roman"/>
      </w:rPr>
    </w:lvl>
    <w:lvl w:ilvl="6">
      <w:start w:val="1"/>
      <w:numFmt w:val="decimal"/>
      <w:isLgl w:val="false"/>
      <w:suff w:val="tab"/>
      <w:lvlText w:val="%1.%2.%3.%4.%5.%6.%7."/>
      <w:lvlJc w:val="left"/>
      <w:pPr>
        <w:pStyle w:val="947"/>
        <w:ind w:left="1275" w:hanging="1275"/>
      </w:pPr>
      <w:rPr>
        <w:rFonts w:hint="eastAsia" w:ascii="Times New Roman" w:hAnsi="Times New Roman" w:cs="Times New Roman"/>
      </w:rPr>
    </w:lvl>
    <w:lvl w:ilvl="7">
      <w:start w:val="1"/>
      <w:numFmt w:val="decimal"/>
      <w:isLgl w:val="false"/>
      <w:suff w:val="tab"/>
      <w:lvlText w:val="%1.%2.%3.%4.%5.%6.%7.%8."/>
      <w:lvlJc w:val="left"/>
      <w:pPr>
        <w:pStyle w:val="947"/>
        <w:ind w:left="1418" w:hanging="1418"/>
      </w:pPr>
      <w:rPr>
        <w:rFonts w:hint="eastAsia" w:ascii="Times New Roman" w:hAnsi="Times New Roman" w:cs="Times New Roman"/>
      </w:rPr>
    </w:lvl>
    <w:lvl w:ilvl="8">
      <w:start w:val="1"/>
      <w:numFmt w:val="decimal"/>
      <w:isLgl w:val="false"/>
      <w:suff w:val="tab"/>
      <w:lvlText w:val="%1.%2.%3.%4.%5.%6.%7.%8.%9."/>
      <w:lvlJc w:val="left"/>
      <w:pPr>
        <w:pStyle w:val="947"/>
        <w:ind w:left="1558" w:hanging="1558"/>
      </w:pPr>
      <w:rPr>
        <w:rFonts w:hint="eastAsia"/>
      </w:rPr>
    </w:lvl>
  </w:abstractNum>
  <w:abstractNum w:abstractNumId="2">
    <w:multiLevelType w:val="hybridMultilevel"/>
    <w:lvl w:ilvl="0">
      <w:start w:val="1"/>
      <w:numFmt w:val="upperLetter"/>
      <w:pStyle w:val="1026"/>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isLgl w:val="false"/>
      <w:suff w:val="nothing"/>
      <w:lvlText w:val=""/>
      <w:lvlJc w:val="left"/>
      <w:pPr>
        <w:pStyle w:val="947"/>
        <w:ind w:left="0" w:firstLine="0"/>
      </w:pPr>
      <w:rPr>
        <w:rFonts w:hint="eastAsia"/>
      </w:rPr>
    </w:lvl>
    <w:lvl w:ilvl="6">
      <w:start w:val="1"/>
      <w:numFmt w:val="decimal"/>
      <w:isLgl w:val="false"/>
      <w:suff w:val="nothing"/>
      <w:lvlText w:val=""/>
      <w:lvlJc w:val="left"/>
      <w:pPr>
        <w:pStyle w:val="947"/>
        <w:ind w:left="0" w:firstLine="0"/>
      </w:pPr>
      <w:rPr>
        <w:rFonts w:hint="eastAsia"/>
      </w:rPr>
    </w:lvl>
    <w:lvl w:ilvl="7">
      <w:start w:val="1"/>
      <w:numFmt w:val="decimal"/>
      <w:isLgl w:val="false"/>
      <w:suff w:val="nothing"/>
      <w:lvlText w:val=""/>
      <w:lvlJc w:val="left"/>
      <w:pPr>
        <w:pStyle w:val="947"/>
        <w:ind w:left="0" w:firstLine="0"/>
      </w:pPr>
      <w:rPr>
        <w:rFonts w:hint="eastAsia"/>
      </w:rPr>
    </w:lvl>
    <w:lvl w:ilvl="8">
      <w:start w:val="1"/>
      <w:numFmt w:val="decimal"/>
      <w:isLgl w:val="false"/>
      <w:suff w:val="nothing"/>
      <w:lvlText w:val=""/>
      <w:lvlJc w:val="left"/>
      <w:pPr>
        <w:pStyle w:val="947"/>
        <w:ind w:left="0" w:firstLine="0"/>
      </w:pPr>
      <w:rPr>
        <w:rFonts w:hint="eastAsia"/>
      </w:rPr>
    </w:lvl>
  </w:abstractNum>
  <w:abstractNum w:abstractNumId="4">
    <w:multiLevelType w:val="hybridMultilevel"/>
    <w:lvl w:ilvl="0">
      <w:start w:val="1"/>
      <w:numFmt w:val="decimal"/>
      <w:pStyle w:val="1043"/>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5">
    <w:multiLevelType w:val="hybridMultilevel"/>
    <w:lvl w:ilvl="0">
      <w:start w:val="1"/>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num w:numId="1">
    <w:abstractNumId w:val="6"/>
  </w:num>
  <w:num w:numId="2">
    <w:abstractNumId w:val="2"/>
  </w:num>
  <w:num w:numId="3">
    <w:abstractNumId w:val="4"/>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rFonts w:ascii="Times New Roman" w:hAnsi="Times New Roman"/>
      <w:sz w:val="21"/>
      <w:szCs w:val="21"/>
      <w:lang w:val="en-US" w:eastAsia="zh-CN" w:bidi="ar-SA"/>
    </w:rPr>
  </w:style>
  <w:style w:type="paragraph" w:styleId="948">
    <w:name w:val="标题 1"/>
    <w:basedOn w:val="947"/>
    <w:next w:val="947"/>
    <w:link w:val="959"/>
    <w:qFormat/>
    <w:pPr>
      <w:jc w:val="center"/>
      <w:keepNext/>
      <w:outlineLvl w:val="0"/>
    </w:pPr>
    <w:rPr>
      <w:rFonts w:ascii="楷体_GB2312" w:eastAsia="楷体_GB2312"/>
      <w:sz w:val="28"/>
      <w:szCs w:val="28"/>
    </w:rPr>
  </w:style>
  <w:style w:type="paragraph" w:styleId="949">
    <w:name w:val="标题 2"/>
    <w:basedOn w:val="947"/>
    <w:next w:val="961"/>
    <w:link w:val="960"/>
    <w:qFormat/>
    <w:pPr>
      <w:jc w:val="center"/>
      <w:keepLines/>
      <w:keepNext/>
      <w:spacing w:before="260" w:after="260" w:line="416" w:lineRule="auto"/>
      <w:outlineLvl w:val="1"/>
    </w:pPr>
    <w:rPr>
      <w:rFonts w:ascii="Arial" w:hAnsi="Arial" w:eastAsia="幼圆" w:cs="Arial"/>
      <w:b/>
      <w:bCs/>
      <w:sz w:val="44"/>
      <w:szCs w:val="44"/>
    </w:rPr>
  </w:style>
  <w:style w:type="paragraph" w:styleId="950">
    <w:name w:val="标题 3"/>
    <w:basedOn w:val="947"/>
    <w:next w:val="961"/>
    <w:link w:val="963"/>
    <w:qFormat/>
    <w:pPr>
      <w:keepLines/>
      <w:keepNext/>
      <w:spacing w:before="260" w:after="260" w:line="416" w:lineRule="auto"/>
      <w:outlineLvl w:val="2"/>
    </w:pPr>
    <w:rPr>
      <w:b/>
      <w:bCs/>
      <w:sz w:val="32"/>
      <w:szCs w:val="32"/>
    </w:rPr>
  </w:style>
  <w:style w:type="paragraph" w:styleId="951">
    <w:name w:val="标题 4"/>
    <w:basedOn w:val="947"/>
    <w:next w:val="961"/>
    <w:link w:val="964"/>
    <w:qFormat/>
    <w:pPr>
      <w:keepLines/>
      <w:keepNext/>
      <w:spacing w:before="280" w:after="290" w:line="376" w:lineRule="auto"/>
      <w:outlineLvl w:val="3"/>
    </w:pPr>
    <w:rPr>
      <w:rFonts w:ascii="Arial" w:hAnsi="Arial" w:eastAsia="黑体" w:cs="Arial"/>
      <w:b/>
      <w:bCs/>
      <w:sz w:val="28"/>
      <w:szCs w:val="28"/>
    </w:rPr>
  </w:style>
  <w:style w:type="paragraph" w:styleId="952">
    <w:name w:val="标题 5"/>
    <w:basedOn w:val="947"/>
    <w:next w:val="961"/>
    <w:link w:val="965"/>
    <w:qFormat/>
    <w:pPr>
      <w:keepNext/>
      <w:outlineLvl w:val="4"/>
    </w:pPr>
    <w:rPr>
      <w:rFonts w:ascii="宋体"/>
      <w:color w:val="000000"/>
      <w:sz w:val="28"/>
      <w:szCs w:val="28"/>
    </w:rPr>
  </w:style>
  <w:style w:type="paragraph" w:styleId="953">
    <w:name w:val="标题 6"/>
    <w:basedOn w:val="947"/>
    <w:next w:val="947"/>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67"/>
    <w:qFormat/>
    <w:pPr>
      <w:numPr>
        <w:ilvl w:val="6"/>
        <w:numId w:val="1"/>
      </w:numPr>
      <w:keepLines/>
      <w:keepNext/>
      <w:spacing w:before="240" w:after="64" w:line="320" w:lineRule="auto"/>
      <w:outlineLvl w:val="6"/>
    </w:pPr>
    <w:rPr>
      <w:b/>
      <w:bCs/>
      <w:sz w:val="24"/>
      <w:szCs w:val="24"/>
    </w:rPr>
  </w:style>
  <w:style w:type="paragraph" w:styleId="955">
    <w:name w:val="标题 8"/>
    <w:basedOn w:val="947"/>
    <w:next w:val="947"/>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69"/>
    <w:qFormat/>
    <w:pPr>
      <w:numPr>
        <w:ilvl w:val="8"/>
        <w:numId w:val="1"/>
      </w:numPr>
      <w:keepLines/>
      <w:keepNext/>
      <w:spacing w:before="240" w:after="64" w:line="320" w:lineRule="auto"/>
      <w:outlineLvl w:val="8"/>
    </w:pPr>
    <w:rPr>
      <w:rFonts w:ascii="Arial" w:hAnsi="Arial" w:eastAsia="黑体"/>
    </w:rPr>
  </w:style>
  <w:style w:type="character" w:styleId="957">
    <w:name w:val="默认段落字体"/>
    <w:next w:val="957"/>
    <w:link w:val="947"/>
    <w:uiPriority w:val="1"/>
    <w:unhideWhenUsed/>
  </w:style>
  <w:style w:type="table" w:styleId="958">
    <w:name w:val="普通表格"/>
    <w:next w:val="958"/>
    <w:link w:val="947"/>
    <w:uiPriority w:val="99"/>
    <w:unhideWhenUsed/>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style>
  <w:style w:type="character" w:styleId="959">
    <w:name w:val="标题 1 字符"/>
    <w:next w:val="959"/>
    <w:link w:val="948"/>
    <w:rPr>
      <w:rFonts w:ascii="楷体_GB2312" w:hAnsi="Times New Roman" w:eastAsia="楷体_GB2312" w:cs="Times New Roman"/>
      <w:sz w:val="28"/>
      <w:szCs w:val="28"/>
    </w:rPr>
  </w:style>
  <w:style w:type="character" w:styleId="960">
    <w:name w:val="标题 2 字符"/>
    <w:next w:val="960"/>
    <w:link w:val="949"/>
    <w:rPr>
      <w:rFonts w:ascii="Arial" w:hAnsi="Arial" w:eastAsia="幼圆" w:cs="Arial"/>
      <w:b/>
      <w:bCs/>
      <w:sz w:val="44"/>
      <w:szCs w:val="44"/>
    </w:rPr>
  </w:style>
  <w:style w:type="paragraph" w:styleId="961">
    <w:name w:val="正文缩进"/>
    <w:basedOn w:val="947"/>
    <w:next w:val="961"/>
    <w:link w:val="962"/>
    <w:pPr>
      <w:ind w:firstLine="420"/>
    </w:pPr>
  </w:style>
  <w:style w:type="character" w:styleId="962">
    <w:name w:val="正文缩进 字符"/>
    <w:next w:val="962"/>
    <w:link w:val="961"/>
    <w:rPr>
      <w:rFonts w:ascii="Times New Roman" w:hAnsi="Times New Roman" w:eastAsia="宋体" w:cs="Times New Roman"/>
      <w:szCs w:val="21"/>
    </w:rPr>
  </w:style>
  <w:style w:type="character" w:styleId="963">
    <w:name w:val="标题 3 字符"/>
    <w:next w:val="963"/>
    <w:link w:val="950"/>
    <w:rPr>
      <w:rFonts w:ascii="Times New Roman" w:hAnsi="Times New Roman" w:eastAsia="宋体" w:cs="Times New Roman"/>
      <w:b/>
      <w:bCs/>
      <w:sz w:val="32"/>
      <w:szCs w:val="32"/>
    </w:rPr>
  </w:style>
  <w:style w:type="character" w:styleId="964">
    <w:name w:val="标题 4 字符"/>
    <w:next w:val="964"/>
    <w:link w:val="951"/>
    <w:rPr>
      <w:rFonts w:ascii="Arial" w:hAnsi="Arial" w:eastAsia="黑体" w:cs="Arial"/>
      <w:b/>
      <w:bCs/>
      <w:sz w:val="28"/>
      <w:szCs w:val="28"/>
    </w:rPr>
  </w:style>
  <w:style w:type="character" w:styleId="965">
    <w:name w:val="标题 5 字符"/>
    <w:next w:val="965"/>
    <w:link w:val="952"/>
    <w:rPr>
      <w:rFonts w:ascii="宋体" w:hAnsi="Times New Roman" w:eastAsia="宋体" w:cs="Times New Roman"/>
      <w:color w:val="000000"/>
      <w:sz w:val="28"/>
      <w:szCs w:val="28"/>
    </w:rPr>
  </w:style>
  <w:style w:type="character" w:styleId="966">
    <w:name w:val="标题 6 字符"/>
    <w:next w:val="966"/>
    <w:link w:val="953"/>
    <w:rPr>
      <w:rFonts w:ascii="Arial" w:hAnsi="Arial" w:eastAsia="黑体" w:cs="Times New Roman"/>
      <w:b/>
      <w:bCs/>
      <w:sz w:val="24"/>
      <w:szCs w:val="24"/>
    </w:rPr>
  </w:style>
  <w:style w:type="character" w:styleId="967">
    <w:name w:val="标题 7 字符"/>
    <w:next w:val="967"/>
    <w:link w:val="954"/>
    <w:rPr>
      <w:rFonts w:ascii="Times New Roman" w:hAnsi="Times New Roman" w:eastAsia="宋体" w:cs="Times New Roman"/>
      <w:b/>
      <w:bCs/>
      <w:sz w:val="24"/>
      <w:szCs w:val="24"/>
    </w:rPr>
  </w:style>
  <w:style w:type="character" w:styleId="968">
    <w:name w:val="标题 8 字符"/>
    <w:next w:val="968"/>
    <w:link w:val="955"/>
    <w:rPr>
      <w:rFonts w:ascii="Arial" w:hAnsi="Arial" w:eastAsia="黑体" w:cs="Times New Roman"/>
      <w:sz w:val="24"/>
      <w:szCs w:val="24"/>
    </w:rPr>
  </w:style>
  <w:style w:type="character" w:styleId="969">
    <w:name w:val="标题 9 字符"/>
    <w:next w:val="969"/>
    <w:link w:val="956"/>
    <w:rPr>
      <w:rFonts w:ascii="Arial" w:hAnsi="Arial" w:eastAsia="黑体" w:cs="Times New Roman"/>
      <w:szCs w:val="21"/>
    </w:rPr>
  </w:style>
  <w:style w:type="paragraph" w:styleId="970">
    <w:name w:val="列表 3"/>
    <w:basedOn w:val="947"/>
    <w:next w:val="970"/>
    <w:link w:val="947"/>
    <w:pPr>
      <w:ind w:left="100" w:hanging="200"/>
    </w:pPr>
  </w:style>
  <w:style w:type="paragraph" w:styleId="971">
    <w:name w:val="目录 7"/>
    <w:basedOn w:val="947"/>
    <w:next w:val="947"/>
    <w:link w:val="947"/>
    <w:semiHidden/>
    <w:pPr>
      <w:ind w:left="1260"/>
      <w:jc w:val="left"/>
    </w:pPr>
  </w:style>
  <w:style w:type="paragraph" w:styleId="972">
    <w:name w:val="文档结构图"/>
    <w:basedOn w:val="947"/>
    <w:next w:val="972"/>
    <w:link w:val="973"/>
    <w:semiHidden/>
    <w:pPr>
      <w:shd w:val="clear" w:color="auto" w:fill="000080"/>
    </w:pPr>
  </w:style>
  <w:style w:type="character" w:styleId="973">
    <w:name w:val="文档结构图 字符"/>
    <w:next w:val="973"/>
    <w:link w:val="972"/>
    <w:semiHidden/>
    <w:rPr>
      <w:rFonts w:ascii="Times New Roman" w:hAnsi="Times New Roman" w:eastAsia="宋体" w:cs="Times New Roman"/>
      <w:szCs w:val="21"/>
      <w:shd w:val="clear" w:color="auto" w:fill="000080"/>
    </w:rPr>
  </w:style>
  <w:style w:type="paragraph" w:styleId="974">
    <w:name w:val="批注文字"/>
    <w:basedOn w:val="947"/>
    <w:next w:val="974"/>
    <w:link w:val="975"/>
    <w:semiHidden/>
    <w:pPr>
      <w:jc w:val="left"/>
    </w:pPr>
  </w:style>
  <w:style w:type="character" w:styleId="975">
    <w:name w:val="批注文字 字符"/>
    <w:next w:val="975"/>
    <w:link w:val="974"/>
    <w:semiHidden/>
    <w:rPr>
      <w:rFonts w:ascii="Times New Roman" w:hAnsi="Times New Roman" w:eastAsia="宋体" w:cs="Times New Roman"/>
      <w:szCs w:val="21"/>
    </w:rPr>
  </w:style>
  <w:style w:type="paragraph" w:styleId="976">
    <w:name w:val="正文文本 3"/>
    <w:basedOn w:val="947"/>
    <w:next w:val="976"/>
    <w:link w:val="977"/>
    <w:rPr>
      <w:rFonts w:ascii="仿宋_GB2312" w:hAnsi="Arial" w:eastAsia="仿宋_GB2312"/>
      <w:sz w:val="32"/>
      <w:szCs w:val="32"/>
    </w:rPr>
  </w:style>
  <w:style w:type="character" w:styleId="977">
    <w:name w:val="正文文本 3 字符"/>
    <w:next w:val="977"/>
    <w:link w:val="976"/>
    <w:rPr>
      <w:rFonts w:ascii="仿宋_GB2312" w:hAnsi="Arial" w:eastAsia="仿宋_GB2312" w:cs="Times New Roman"/>
      <w:sz w:val="32"/>
      <w:szCs w:val="32"/>
    </w:rPr>
  </w:style>
  <w:style w:type="paragraph" w:styleId="978">
    <w:name w:val="正文文本"/>
    <w:basedOn w:val="947"/>
    <w:next w:val="978"/>
    <w:link w:val="979"/>
    <w:rPr>
      <w:rFonts w:ascii="楷体_GB2312" w:hAnsi="Arial" w:eastAsia="楷体_GB2312"/>
      <w:sz w:val="28"/>
      <w:szCs w:val="28"/>
    </w:rPr>
  </w:style>
  <w:style w:type="character" w:styleId="979">
    <w:name w:val="正文文本 字符"/>
    <w:next w:val="979"/>
    <w:link w:val="978"/>
    <w:rPr>
      <w:rFonts w:ascii="楷体_GB2312" w:hAnsi="Arial" w:eastAsia="楷体_GB2312" w:cs="Times New Roman"/>
      <w:sz w:val="28"/>
      <w:szCs w:val="28"/>
    </w:rPr>
  </w:style>
  <w:style w:type="paragraph" w:styleId="980">
    <w:name w:val="正文文本缩进"/>
    <w:basedOn w:val="947"/>
    <w:next w:val="980"/>
    <w:link w:val="981"/>
    <w:pPr>
      <w:ind w:firstLine="645"/>
    </w:pPr>
    <w:rPr>
      <w:rFonts w:ascii="楷体_GB2312" w:eastAsia="楷体_GB2312"/>
      <w:sz w:val="32"/>
      <w:szCs w:val="32"/>
    </w:rPr>
  </w:style>
  <w:style w:type="character" w:styleId="981">
    <w:name w:val="正文文本缩进 字符"/>
    <w:next w:val="981"/>
    <w:link w:val="980"/>
    <w:rPr>
      <w:rFonts w:ascii="楷体_GB2312" w:hAnsi="Times New Roman" w:eastAsia="楷体_GB2312" w:cs="Times New Roman"/>
      <w:sz w:val="32"/>
      <w:szCs w:val="32"/>
    </w:rPr>
  </w:style>
  <w:style w:type="paragraph" w:styleId="982">
    <w:name w:val="列表 2"/>
    <w:basedOn w:val="947"/>
    <w:next w:val="982"/>
    <w:link w:val="947"/>
    <w:pPr>
      <w:ind w:left="100" w:hanging="200"/>
    </w:pPr>
  </w:style>
  <w:style w:type="paragraph" w:styleId="983">
    <w:name w:val="目录 5"/>
    <w:basedOn w:val="947"/>
    <w:next w:val="947"/>
    <w:link w:val="947"/>
    <w:semiHidden/>
    <w:pPr>
      <w:ind w:left="840"/>
      <w:jc w:val="left"/>
    </w:pPr>
  </w:style>
  <w:style w:type="paragraph" w:styleId="984">
    <w:name w:val="目录 3"/>
    <w:basedOn w:val="947"/>
    <w:next w:val="947"/>
    <w:link w:val="947"/>
    <w:semiHidden/>
    <w:pPr>
      <w:ind w:left="420"/>
      <w:jc w:val="left"/>
    </w:pPr>
    <w:rPr>
      <w:i/>
      <w:iCs/>
      <w:szCs w:val="24"/>
    </w:rPr>
  </w:style>
  <w:style w:type="paragraph" w:styleId="985">
    <w:name w:val="纯文本"/>
    <w:basedOn w:val="947"/>
    <w:next w:val="985"/>
    <w:link w:val="986"/>
    <w:rPr>
      <w:rFonts w:ascii="宋体" w:hAnsi="Courier New" w:cs="Courier New"/>
    </w:rPr>
  </w:style>
  <w:style w:type="character" w:styleId="986">
    <w:name w:val="纯文本 字符"/>
    <w:next w:val="986"/>
    <w:link w:val="985"/>
    <w:rPr>
      <w:rFonts w:ascii="宋体" w:hAnsi="Courier New" w:eastAsia="宋体" w:cs="Courier New"/>
      <w:szCs w:val="21"/>
    </w:rPr>
  </w:style>
  <w:style w:type="paragraph" w:styleId="987">
    <w:name w:val="目录 8"/>
    <w:basedOn w:val="947"/>
    <w:next w:val="947"/>
    <w:link w:val="947"/>
    <w:semiHidden/>
    <w:pPr>
      <w:ind w:left="1470"/>
      <w:jc w:val="left"/>
    </w:pPr>
  </w:style>
  <w:style w:type="paragraph" w:styleId="988">
    <w:name w:val="日期"/>
    <w:basedOn w:val="947"/>
    <w:next w:val="947"/>
    <w:link w:val="989"/>
    <w:rPr>
      <w:sz w:val="24"/>
      <w:szCs w:val="24"/>
    </w:rPr>
  </w:style>
  <w:style w:type="character" w:styleId="989">
    <w:name w:val="日期 字符"/>
    <w:next w:val="989"/>
    <w:link w:val="988"/>
    <w:rPr>
      <w:rFonts w:ascii="Times New Roman" w:hAnsi="Times New Roman" w:eastAsia="宋体" w:cs="Times New Roman"/>
      <w:sz w:val="24"/>
      <w:szCs w:val="24"/>
    </w:rPr>
  </w:style>
  <w:style w:type="paragraph" w:styleId="990">
    <w:name w:val="正文文本缩进 2"/>
    <w:basedOn w:val="947"/>
    <w:next w:val="990"/>
    <w:link w:val="991"/>
    <w:pPr>
      <w:ind w:left="630" w:firstLine="645"/>
    </w:pPr>
    <w:rPr>
      <w:rFonts w:ascii="Arial" w:hAnsi="Arial" w:eastAsia="仿宋_GB2312" w:cs="Arial"/>
      <w:sz w:val="32"/>
      <w:szCs w:val="32"/>
    </w:rPr>
  </w:style>
  <w:style w:type="character" w:styleId="991">
    <w:name w:val="正文文本缩进 2 字符"/>
    <w:next w:val="991"/>
    <w:link w:val="990"/>
    <w:rPr>
      <w:rFonts w:ascii="Arial" w:hAnsi="Arial" w:eastAsia="仿宋_GB2312" w:cs="Arial"/>
      <w:sz w:val="32"/>
      <w:szCs w:val="32"/>
    </w:rPr>
  </w:style>
  <w:style w:type="paragraph" w:styleId="992">
    <w:name w:val="批注框文本"/>
    <w:basedOn w:val="947"/>
    <w:next w:val="992"/>
    <w:link w:val="993"/>
    <w:semiHidden/>
    <w:rPr>
      <w:sz w:val="18"/>
      <w:szCs w:val="18"/>
    </w:rPr>
  </w:style>
  <w:style w:type="character" w:styleId="993">
    <w:name w:val="批注框文本 字符"/>
    <w:next w:val="993"/>
    <w:link w:val="992"/>
    <w:semiHidden/>
    <w:rPr>
      <w:rFonts w:ascii="Times New Roman" w:hAnsi="Times New Roman" w:eastAsia="宋体" w:cs="Times New Roman"/>
      <w:sz w:val="18"/>
      <w:szCs w:val="18"/>
    </w:rPr>
  </w:style>
  <w:style w:type="paragraph" w:styleId="994">
    <w:name w:val="页脚"/>
    <w:basedOn w:val="947"/>
    <w:next w:val="994"/>
    <w:link w:val="995"/>
    <w:uiPriority w:val="99"/>
    <w:pPr>
      <w:jc w:val="left"/>
      <w:tabs>
        <w:tab w:val="center" w:pos="4153" w:leader="none"/>
        <w:tab w:val="right" w:pos="8306" w:leader="none"/>
      </w:tabs>
    </w:pPr>
    <w:rPr>
      <w:sz w:val="18"/>
      <w:szCs w:val="18"/>
    </w:rPr>
  </w:style>
  <w:style w:type="character" w:styleId="995">
    <w:name w:val="页脚 字符"/>
    <w:next w:val="995"/>
    <w:link w:val="994"/>
    <w:uiPriority w:val="99"/>
    <w:rPr>
      <w:rFonts w:ascii="Times New Roman" w:hAnsi="Times New Roman" w:eastAsia="宋体" w:cs="Times New Roman"/>
      <w:sz w:val="18"/>
      <w:szCs w:val="18"/>
    </w:rPr>
  </w:style>
  <w:style w:type="paragraph" w:styleId="996">
    <w:name w:val="页眉"/>
    <w:basedOn w:val="947"/>
    <w:next w:val="996"/>
    <w:link w:val="997"/>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rPr>
      <w:rFonts w:ascii="Times New Roman" w:hAnsi="Times New Roman" w:eastAsia="宋体" w:cs="Times New Roman"/>
      <w:sz w:val="18"/>
      <w:szCs w:val="18"/>
    </w:rPr>
  </w:style>
  <w:style w:type="paragraph" w:styleId="998">
    <w:name w:val="目录 1"/>
    <w:basedOn w:val="947"/>
    <w:next w:val="947"/>
    <w:link w:val="947"/>
    <w:semiHidden/>
    <w:pPr>
      <w:jc w:val="left"/>
      <w:spacing w:before="120" w:after="120" w:line="400" w:lineRule="exact"/>
      <w:tabs>
        <w:tab w:val="right" w:pos="8720" w:leader="dot"/>
      </w:tabs>
    </w:pPr>
    <w:rPr>
      <w:rFonts w:ascii="宋体" w:hAnsi="宋体"/>
      <w:caps/>
      <w:sz w:val="24"/>
      <w:szCs w:val="24"/>
    </w:rPr>
  </w:style>
  <w:style w:type="paragraph" w:styleId="999">
    <w:name w:val="目录 4"/>
    <w:basedOn w:val="947"/>
    <w:next w:val="947"/>
    <w:link w:val="947"/>
    <w:semiHidden/>
    <w:pPr>
      <w:ind w:left="630"/>
      <w:jc w:val="left"/>
    </w:pPr>
  </w:style>
  <w:style w:type="paragraph" w:styleId="1000">
    <w:name w:val="列表"/>
    <w:basedOn w:val="947"/>
    <w:next w:val="1000"/>
    <w:link w:val="947"/>
    <w:pPr>
      <w:ind w:left="200" w:hanging="200"/>
    </w:pPr>
  </w:style>
  <w:style w:type="paragraph" w:styleId="1001">
    <w:name w:val="目录 6"/>
    <w:basedOn w:val="947"/>
    <w:next w:val="947"/>
    <w:link w:val="947"/>
    <w:semiHidden/>
    <w:pPr>
      <w:ind w:left="1050"/>
      <w:jc w:val="left"/>
    </w:pPr>
  </w:style>
  <w:style w:type="paragraph" w:styleId="1002">
    <w:name w:val="正文文本缩进 3"/>
    <w:basedOn w:val="947"/>
    <w:next w:val="1002"/>
    <w:link w:val="1003"/>
    <w:pPr>
      <w:ind w:left="645" w:firstLine="645"/>
    </w:pPr>
    <w:rPr>
      <w:rFonts w:ascii="Arial" w:hAnsi="Arial" w:eastAsia="仿宋_GB2312" w:cs="Arial"/>
      <w:color w:val="ffff00"/>
      <w:sz w:val="32"/>
      <w:szCs w:val="32"/>
    </w:rPr>
  </w:style>
  <w:style w:type="character" w:styleId="1003">
    <w:name w:val="正文文本缩进 3 字符"/>
    <w:next w:val="1003"/>
    <w:link w:val="1002"/>
    <w:rPr>
      <w:rFonts w:ascii="Arial" w:hAnsi="Arial" w:eastAsia="仿宋_GB2312" w:cs="Arial"/>
      <w:color w:val="ffff00"/>
      <w:sz w:val="32"/>
      <w:szCs w:val="32"/>
    </w:rPr>
  </w:style>
  <w:style w:type="paragraph" w:styleId="1004">
    <w:name w:val="图表目录"/>
    <w:basedOn w:val="947"/>
    <w:next w:val="947"/>
    <w:link w:val="947"/>
    <w:semiHidden/>
    <w:pPr>
      <w:ind w:left="840" w:hanging="420"/>
    </w:pPr>
  </w:style>
  <w:style w:type="paragraph" w:styleId="1005">
    <w:name w:val="目录 2"/>
    <w:basedOn w:val="947"/>
    <w:next w:val="947"/>
    <w:link w:val="947"/>
    <w:semiHidden/>
    <w:pPr>
      <w:ind w:left="210"/>
      <w:jc w:val="left"/>
    </w:pPr>
    <w:rPr>
      <w:smallCaps/>
      <w:szCs w:val="24"/>
    </w:rPr>
  </w:style>
  <w:style w:type="paragraph" w:styleId="1006">
    <w:name w:val="目录 9"/>
    <w:basedOn w:val="947"/>
    <w:next w:val="947"/>
    <w:link w:val="947"/>
    <w:semiHidden/>
    <w:pPr>
      <w:ind w:left="1680"/>
      <w:jc w:val="left"/>
    </w:pPr>
  </w:style>
  <w:style w:type="paragraph" w:styleId="1007">
    <w:name w:val="正文文本 2"/>
    <w:basedOn w:val="947"/>
    <w:next w:val="1007"/>
    <w:link w:val="1008"/>
    <w:pPr>
      <w:jc w:val="center"/>
      <w:widowControl/>
    </w:pPr>
    <w:rPr>
      <w:rFonts w:ascii="楷体_GB2312" w:eastAsia="楷体_GB2312"/>
      <w:sz w:val="28"/>
      <w:szCs w:val="28"/>
    </w:rPr>
  </w:style>
  <w:style w:type="character" w:styleId="1008">
    <w:name w:val="正文文本 2 字符"/>
    <w:next w:val="1008"/>
    <w:link w:val="1007"/>
    <w:rPr>
      <w:rFonts w:ascii="楷体_GB2312" w:hAnsi="Times New Roman" w:eastAsia="楷体_GB2312" w:cs="Times New Roman"/>
      <w:sz w:val="28"/>
      <w:szCs w:val="28"/>
    </w:rPr>
  </w:style>
  <w:style w:type="paragraph" w:styleId="1009">
    <w:name w:val="普通(网站)"/>
    <w:basedOn w:val="947"/>
    <w:next w:val="1009"/>
    <w:link w:val="947"/>
    <w:uiPriority w:val="99"/>
    <w:pPr>
      <w:jc w:val="left"/>
      <w:spacing w:before="100" w:beforeAutospacing="1" w:after="100" w:afterAutospacing="1"/>
      <w:widowControl/>
    </w:pPr>
    <w:rPr>
      <w:rFonts w:ascii="宋体" w:hAnsi="宋体" w:cs="宋体"/>
      <w:sz w:val="24"/>
      <w:szCs w:val="24"/>
    </w:rPr>
  </w:style>
  <w:style w:type="paragraph" w:styleId="1010">
    <w:name w:val="索引 1"/>
    <w:basedOn w:val="947"/>
    <w:next w:val="947"/>
    <w:link w:val="947"/>
    <w:semiHidden/>
    <w:pPr>
      <w:spacing w:line="240" w:lineRule="atLeast"/>
    </w:pPr>
    <w:rPr>
      <w:b/>
      <w:bCs/>
    </w:rPr>
  </w:style>
  <w:style w:type="paragraph" w:styleId="1011">
    <w:name w:val="批注主题"/>
    <w:basedOn w:val="974"/>
    <w:next w:val="974"/>
    <w:link w:val="1012"/>
    <w:semiHidden/>
    <w:rPr>
      <w:b/>
      <w:bCs/>
    </w:rPr>
  </w:style>
  <w:style w:type="character" w:styleId="1012">
    <w:name w:val="批注主题 字符"/>
    <w:next w:val="1012"/>
    <w:link w:val="1011"/>
    <w:semiHidden/>
    <w:rPr>
      <w:rFonts w:ascii="Times New Roman" w:hAnsi="Times New Roman" w:eastAsia="宋体" w:cs="Times New Roman"/>
      <w:b/>
      <w:bCs/>
      <w:szCs w:val="21"/>
    </w:rPr>
  </w:style>
  <w:style w:type="paragraph" w:styleId="1013">
    <w:name w:val="正文首行缩进"/>
    <w:basedOn w:val="947"/>
    <w:next w:val="1013"/>
    <w:link w:val="1014"/>
    <w:pPr>
      <w:ind w:firstLine="200"/>
      <w:spacing w:line="360" w:lineRule="auto"/>
    </w:pPr>
    <w:rPr>
      <w:rFonts w:ascii="仿宋_GB2312" w:eastAsia="仿宋_GB2312"/>
      <w:sz w:val="30"/>
      <w:szCs w:val="30"/>
    </w:rPr>
  </w:style>
  <w:style w:type="character" w:styleId="1014">
    <w:name w:val="正文文本首行缩进 字符"/>
    <w:next w:val="1014"/>
    <w:link w:val="1013"/>
    <w:rPr>
      <w:rFonts w:ascii="仿宋_GB2312" w:hAnsi="Times New Roman" w:eastAsia="仿宋_GB2312" w:cs="Times New Roman"/>
      <w:sz w:val="30"/>
      <w:szCs w:val="30"/>
    </w:rPr>
  </w:style>
  <w:style w:type="paragraph" w:styleId="1015">
    <w:name w:val="正文首行缩进 2"/>
    <w:basedOn w:val="980"/>
    <w:next w:val="1015"/>
    <w:link w:val="1016"/>
    <w:pPr>
      <w:ind w:firstLine="420"/>
      <w:spacing w:line="360" w:lineRule="auto"/>
    </w:pPr>
    <w:rPr>
      <w:rFonts w:ascii="宋体" w:hAnsi="宋体" w:eastAsia="宋体"/>
      <w:sz w:val="21"/>
      <w:szCs w:val="20"/>
    </w:rPr>
  </w:style>
  <w:style w:type="character" w:styleId="1016">
    <w:name w:val="正文文本首行缩进 2 字符"/>
    <w:next w:val="1016"/>
    <w:link w:val="1015"/>
    <w:rPr>
      <w:rFonts w:ascii="宋体" w:hAnsi="宋体" w:eastAsia="宋体" w:cs="Times New Roman"/>
      <w:sz w:val="32"/>
      <w:szCs w:val="20"/>
    </w:rPr>
  </w:style>
  <w:style w:type="table" w:styleId="1017">
    <w:name w:val="网格型"/>
    <w:basedOn w:val="958"/>
    <w:next w:val="1017"/>
    <w:link w:val="947"/>
    <w:pPr>
      <w:jc w:val="both"/>
      <w:widowControl w:val="off"/>
    </w:pPr>
    <w:rPr>
      <w:rFonts w:ascii="Times New Roman" w:hAnsi="Times New Roman" w:eastAsia="宋体" w:cs="Times New Roman"/>
      <w:sz w:val="20"/>
      <w:szCs w:val="20"/>
    </w:rPr>
    <w:tblPr/>
  </w:style>
  <w:style w:type="character" w:styleId="1018">
    <w:name w:val="要点"/>
    <w:next w:val="1018"/>
    <w:link w:val="947"/>
    <w:qFormat/>
    <w:rPr>
      <w:b/>
      <w:bCs/>
    </w:rPr>
  </w:style>
  <w:style w:type="character" w:styleId="1019">
    <w:name w:val="页码"/>
    <w:next w:val="1019"/>
    <w:link w:val="947"/>
  </w:style>
  <w:style w:type="character" w:styleId="1020">
    <w:name w:val="已访问的超链接"/>
    <w:next w:val="1020"/>
    <w:link w:val="947"/>
    <w:rPr>
      <w:color w:val="800080"/>
      <w:u w:val="single"/>
    </w:rPr>
  </w:style>
  <w:style w:type="character" w:styleId="1021">
    <w:name w:val="强调"/>
    <w:next w:val="1021"/>
    <w:link w:val="947"/>
    <w:qFormat/>
    <w:rPr>
      <w:i/>
    </w:rPr>
  </w:style>
  <w:style w:type="character" w:styleId="1022">
    <w:name w:val="超链接"/>
    <w:next w:val="1022"/>
    <w:link w:val="947"/>
    <w:rPr>
      <w:color w:val="0000ff"/>
      <w:u w:val="single"/>
    </w:rPr>
  </w:style>
  <w:style w:type="character" w:styleId="1023">
    <w:name w:val="批注引用"/>
    <w:next w:val="1023"/>
    <w:link w:val="947"/>
    <w:semiHidden/>
    <w:rPr>
      <w:sz w:val="21"/>
      <w:szCs w:val="21"/>
    </w:rPr>
  </w:style>
  <w:style w:type="character" w:styleId="1024">
    <w:name w:val="font5 Char"/>
    <w:next w:val="1024"/>
    <w:link w:val="947"/>
    <w:rPr>
      <w:rFonts w:ascii="宋体" w:hAnsi="宋体" w:eastAsia="宋体"/>
      <w:sz w:val="28"/>
      <w:szCs w:val="28"/>
      <w:lang w:val="en-US" w:eastAsia="zh-CN" w:bidi="ar-SA"/>
    </w:rPr>
  </w:style>
  <w:style w:type="character" w:styleId="1025">
    <w:name w:val="二级目录 Char"/>
    <w:next w:val="1025"/>
    <w:link w:val="1026"/>
    <w:rPr>
      <w:b/>
      <w:sz w:val="30"/>
      <w:szCs w:val="28"/>
    </w:rPr>
  </w:style>
  <w:style w:type="paragraph" w:styleId="1026">
    <w:name w:val="二级目录"/>
    <w:next w:val="947"/>
    <w:link w:val="1025"/>
    <w:pPr>
      <w:numPr>
        <w:ilvl w:val="0"/>
        <w:numId w:val="2"/>
      </w:numPr>
      <w:tabs>
        <w:tab w:val="left" w:pos="907" w:leader="none"/>
        <w:tab w:val="left" w:pos="1145" w:leader="none"/>
      </w:tabs>
      <w:outlineLvl w:val="1"/>
    </w:pPr>
    <w:rPr>
      <w:b/>
      <w:sz w:val="30"/>
      <w:szCs w:val="28"/>
      <w:lang w:val="en-US" w:eastAsia="zh-CN" w:bidi="ar-SA"/>
    </w:rPr>
  </w:style>
  <w:style w:type="character" w:styleId="1027">
    <w:name w:val="列出段落 Char,Bullet List Char,numbered Char,FooterText Char,List Paragraph1 Char,Paragraphe de liste1 Char"/>
    <w:next w:val="1027"/>
    <w:link w:val="1028"/>
    <w:rPr>
      <w:rFonts w:ascii="Calibri" w:hAnsi="Calibri"/>
      <w:sz w:val="24"/>
      <w:szCs w:val="24"/>
      <w:lang w:eastAsia="en-US" w:bidi="en-US"/>
    </w:rPr>
  </w:style>
  <w:style w:type="paragraph" w:styleId="1028">
    <w:name w:val="列出段落1"/>
    <w:basedOn w:val="947"/>
    <w:next w:val="1028"/>
    <w:link w:val="1027"/>
    <w:qFormat/>
    <w:pPr>
      <w:contextualSpacing/>
      <w:ind w:left="720"/>
      <w:jc w:val="left"/>
      <w:widowControl/>
    </w:pPr>
    <w:rPr>
      <w:rFonts w:ascii="Calibri" w:hAnsi="Calibri" w:eastAsia="宋体" w:cs="Times New Roman"/>
      <w:sz w:val="24"/>
      <w:szCs w:val="24"/>
      <w:lang w:eastAsia="en-US" w:bidi="en-US"/>
    </w:rPr>
  </w:style>
  <w:style w:type="paragraph" w:styleId="1029">
    <w:name w:val="Body Text(ch)"/>
    <w:basedOn w:val="947"/>
    <w:next w:val="978"/>
    <w:link w:val="947"/>
    <w:pPr>
      <w:spacing w:after="120"/>
    </w:pPr>
    <w:rPr>
      <w:rFonts w:ascii="宋体" w:hAnsi="Arial"/>
      <w:bCs/>
      <w:iCs/>
      <w:szCs w:val="24"/>
    </w:rPr>
  </w:style>
  <w:style w:type="paragraph" w:styleId="1030">
    <w:name w:val="xl27"/>
    <w:basedOn w:val="947"/>
    <w:next w:val="1030"/>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6"/>
    <w:basedOn w:val="947"/>
    <w:next w:val="1031"/>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name w:val="Char"/>
    <w:basedOn w:val="947"/>
    <w:next w:val="1032"/>
    <w:link w:val="947"/>
    <w:pPr>
      <w:ind w:firstLine="200"/>
      <w:tabs>
        <w:tab w:val="left" w:pos="360" w:leader="none"/>
      </w:tabs>
    </w:pPr>
    <w:rPr>
      <w:sz w:val="28"/>
      <w:szCs w:val="30"/>
    </w:rPr>
  </w:style>
  <w:style w:type="paragraph" w:styleId="1033">
    <w:name w:val=" Char"/>
    <w:basedOn w:val="972"/>
    <w:next w:val="1033"/>
    <w:link w:val="947"/>
    <w:rPr>
      <w:rFonts w:ascii="Tahoma" w:hAnsi="Tahoma"/>
      <w:sz w:val="24"/>
      <w:szCs w:val="24"/>
    </w:rPr>
  </w:style>
  <w:style w:type="paragraph" w:styleId="1034">
    <w:name w:val="普通正文"/>
    <w:basedOn w:val="947"/>
    <w:next w:val="1034"/>
    <w:link w:val="947"/>
    <w:pPr>
      <w:ind w:firstLine="480"/>
      <w:jc w:val="left"/>
      <w:spacing w:before="120" w:after="120" w:line="360" w:lineRule="auto"/>
    </w:pPr>
    <w:rPr>
      <w:rFonts w:ascii="Arial" w:hAnsi="Arial"/>
      <w:sz w:val="24"/>
      <w:szCs w:val="24"/>
    </w:rPr>
  </w:style>
  <w:style w:type="paragraph" w:styleId="1035">
    <w:name w:val="table_lines"/>
    <w:basedOn w:val="947"/>
    <w:next w:val="1035"/>
    <w:link w:val="947"/>
    <w:pPr>
      <w:jc w:val="left"/>
      <w:widowControl/>
    </w:pPr>
    <w:rPr>
      <w:sz w:val="20"/>
      <w:szCs w:val="20"/>
      <w:lang w:val="de-DE" w:eastAsia="de-DE"/>
    </w:rPr>
  </w:style>
  <w:style w:type="paragraph" w:styleId="1036">
    <w:name w:val="附录1"/>
    <w:next w:val="1036"/>
    <w:link w:val="94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7">
    <w:name w:val="font7"/>
    <w:basedOn w:val="947"/>
    <w:next w:val="1037"/>
    <w:link w:val="947"/>
    <w:pPr>
      <w:jc w:val="left"/>
      <w:spacing w:before="100" w:beforeAutospacing="1" w:after="100" w:afterAutospacing="1"/>
      <w:widowControl/>
    </w:pPr>
    <w:rPr>
      <w:rFonts w:hint="eastAsia" w:ascii="宋体" w:hAnsi="宋体"/>
      <w:sz w:val="18"/>
      <w:szCs w:val="18"/>
    </w:rPr>
  </w:style>
  <w:style w:type="paragraph" w:styleId="1038">
    <w:name w:val=" Char Char Char Char"/>
    <w:basedOn w:val="972"/>
    <w:next w:val="1038"/>
    <w:link w:val="947"/>
    <w:pPr>
      <w:spacing w:line="360" w:lineRule="auto"/>
    </w:pPr>
    <w:rPr>
      <w:rFonts w:ascii="Tahoma" w:hAnsi="Tahoma"/>
      <w:sz w:val="24"/>
      <w:szCs w:val="24"/>
    </w:rPr>
  </w:style>
  <w:style w:type="paragraph" w:styleId="1039">
    <w:name w:val="列表段落"/>
    <w:basedOn w:val="947"/>
    <w:next w:val="1039"/>
    <w:link w:val="947"/>
    <w:qFormat/>
    <w:pPr>
      <w:contextualSpacing/>
      <w:ind w:left="720"/>
      <w:jc w:val="left"/>
      <w:widowControl/>
    </w:pPr>
    <w:rPr>
      <w:rFonts w:ascii="Calibri" w:hAnsi="Calibri"/>
      <w:sz w:val="24"/>
      <w:szCs w:val="24"/>
      <w:lang w:eastAsia="en-US" w:bidi="en-US"/>
    </w:rPr>
  </w:style>
  <w:style w:type="paragraph" w:styleId="1040">
    <w:name w:val="4"/>
    <w:basedOn w:val="947"/>
    <w:next w:val="1002"/>
    <w:link w:val="947"/>
    <w:pPr>
      <w:ind w:firstLine="420"/>
      <w:spacing w:line="360" w:lineRule="auto"/>
    </w:pPr>
    <w:rPr>
      <w:color w:val="ff0000"/>
      <w:sz w:val="24"/>
      <w:szCs w:val="24"/>
    </w:rPr>
  </w:style>
  <w:style w:type="paragraph" w:styleId="1041">
    <w:name w:val="普通 (Web)"/>
    <w:basedOn w:val="947"/>
    <w:next w:val="1041"/>
    <w:link w:val="947"/>
    <w:pPr>
      <w:jc w:val="left"/>
      <w:spacing w:before="100" w:beforeAutospacing="1" w:after="100" w:afterAutospacing="1"/>
      <w:widowControl/>
    </w:pPr>
    <w:rPr>
      <w:rFonts w:ascii="宋体" w:hAnsi="宋体"/>
      <w:sz w:val="24"/>
      <w:szCs w:val="24"/>
    </w:rPr>
  </w:style>
  <w:style w:type="paragraph" w:styleId="1042">
    <w:name w:val=" Char Char Char Char Char Char Char Char Char Char"/>
    <w:basedOn w:val="947"/>
    <w:next w:val="1042"/>
    <w:link w:val="947"/>
    <w:pPr>
      <w:spacing w:line="360" w:lineRule="auto"/>
    </w:pPr>
    <w:rPr>
      <w:sz w:val="24"/>
      <w:szCs w:val="20"/>
    </w:rPr>
  </w:style>
  <w:style w:type="paragraph" w:styleId="1043">
    <w:name w:val="样式1"/>
    <w:basedOn w:val="947"/>
    <w:next w:val="1043"/>
    <w:link w:val="947"/>
    <w:pPr>
      <w:numPr>
        <w:ilvl w:val="0"/>
        <w:numId w:val="3"/>
      </w:numPr>
      <w:tabs>
        <w:tab w:val="left" w:pos="709" w:leader="none"/>
      </w:tabs>
    </w:pPr>
    <w:rPr>
      <w:rFonts w:ascii="宋体" w:hAnsi="宋体"/>
    </w:rPr>
  </w:style>
  <w:style w:type="paragraph" w:styleId="1044">
    <w:name w:val="font6"/>
    <w:basedOn w:val="947"/>
    <w:next w:val="1044"/>
    <w:link w:val="947"/>
    <w:pPr>
      <w:jc w:val="left"/>
      <w:spacing w:before="100" w:beforeAutospacing="1" w:after="100" w:afterAutospacing="1"/>
      <w:widowControl/>
    </w:pPr>
    <w:rPr>
      <w:rFonts w:hint="eastAsia" w:ascii="宋体" w:hAnsi="宋体"/>
      <w:sz w:val="28"/>
      <w:szCs w:val="28"/>
      <w:u w:val="single"/>
    </w:rPr>
  </w:style>
  <w:style w:type="paragraph" w:styleId="1045">
    <w:name w:val="xl25"/>
    <w:basedOn w:val="947"/>
    <w:next w:val="1045"/>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947"/>
    <w:next w:val="947"/>
    <w:link w:val="94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name w:val="标题3"/>
    <w:basedOn w:val="947"/>
    <w:next w:val="947"/>
    <w:link w:val="947"/>
    <w:pPr>
      <w:ind w:firstLine="624"/>
      <w:spacing w:line="590" w:lineRule="atLeast"/>
    </w:pPr>
    <w:rPr>
      <w:rFonts w:ascii="方正黑体_GBK" w:eastAsia="方正黑体_GBK"/>
      <w:sz w:val="32"/>
      <w:szCs w:val="32"/>
    </w:rPr>
  </w:style>
  <w:style w:type="paragraph" w:styleId="1048">
    <w:name w:val="xl24"/>
    <w:basedOn w:val="947"/>
    <w:next w:val="1048"/>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9"/>
    <w:basedOn w:val="947"/>
    <w:next w:val="1049"/>
    <w:link w:val="94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name w:val="Char Char Char Char Char Char Char Char"/>
    <w:basedOn w:val="947"/>
    <w:next w:val="1050"/>
    <w:link w:val="947"/>
    <w:pPr>
      <w:jc w:val="left"/>
      <w:spacing w:after="160" w:line="240" w:lineRule="exact"/>
      <w:widowControl/>
    </w:pPr>
    <w:rPr>
      <w:rFonts w:ascii="Verdana" w:hAnsi="Verdana"/>
      <w:sz w:val="20"/>
      <w:szCs w:val="20"/>
      <w:lang w:eastAsia="en-US"/>
    </w:rPr>
  </w:style>
  <w:style w:type="paragraph" w:styleId="1051">
    <w:name w:val="xl28"/>
    <w:basedOn w:val="947"/>
    <w:next w:val="1051"/>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 Char Char Char Char Char Char Char Char"/>
    <w:basedOn w:val="947"/>
    <w:next w:val="1052"/>
    <w:link w:val="947"/>
    <w:pPr>
      <w:jc w:val="left"/>
      <w:spacing w:after="160" w:line="240" w:lineRule="exact"/>
      <w:widowControl/>
    </w:pPr>
    <w:rPr>
      <w:rFonts w:ascii="Verdana" w:hAnsi="Verdana"/>
      <w:sz w:val="20"/>
      <w:szCs w:val="20"/>
      <w:lang w:eastAsia="en-US"/>
    </w:rPr>
  </w:style>
  <w:style w:type="paragraph" w:styleId="1053">
    <w:name w:val="xl30"/>
    <w:basedOn w:val="947"/>
    <w:next w:val="1053"/>
    <w:link w:val="947"/>
    <w:pPr>
      <w:jc w:val="center"/>
      <w:spacing w:before="100" w:beforeAutospacing="1" w:after="100" w:afterAutospacing="1"/>
      <w:widowControl/>
    </w:pPr>
    <w:rPr>
      <w:rFonts w:ascii="宋体" w:hAnsi="宋体"/>
      <w:b/>
      <w:bCs/>
      <w:sz w:val="36"/>
      <w:szCs w:val="36"/>
    </w:rPr>
  </w:style>
  <w:style w:type="paragraph" w:styleId="1054">
    <w:name w:val="Char Char Char Char"/>
    <w:basedOn w:val="972"/>
    <w:next w:val="1054"/>
    <w:link w:val="947"/>
    <w:pPr>
      <w:spacing w:line="360" w:lineRule="auto"/>
    </w:pPr>
    <w:rPr>
      <w:rFonts w:ascii="Tahoma" w:hAnsi="Tahoma"/>
      <w:sz w:val="24"/>
      <w:szCs w:val="24"/>
    </w:rPr>
  </w:style>
  <w:style w:type="paragraph" w:styleId="1055">
    <w:name w:val="table_1stline"/>
    <w:basedOn w:val="947"/>
    <w:next w:val="1055"/>
    <w:link w:val="947"/>
    <w:pPr>
      <w:jc w:val="left"/>
      <w:spacing w:before="120"/>
      <w:widowControl/>
    </w:pPr>
    <w:rPr>
      <w:bCs/>
      <w:sz w:val="20"/>
      <w:szCs w:val="20"/>
      <w:lang w:val="de-DE" w:eastAsia="de-DE"/>
    </w:rPr>
  </w:style>
  <w:style w:type="paragraph" w:styleId="1056">
    <w:name w:val="font5"/>
    <w:basedOn w:val="947"/>
    <w:next w:val="1056"/>
    <w:link w:val="947"/>
    <w:pPr>
      <w:jc w:val="left"/>
      <w:spacing w:before="100" w:beforeAutospacing="1" w:after="100" w:afterAutospacing="1"/>
      <w:widowControl/>
    </w:pPr>
    <w:rPr>
      <w:rFonts w:hint="eastAsia" w:ascii="宋体" w:hAnsi="宋体"/>
      <w:sz w:val="28"/>
      <w:szCs w:val="28"/>
    </w:rPr>
  </w:style>
  <w:style w:type="paragraph" w:styleId="1057">
    <w:name w:val="标题1"/>
    <w:basedOn w:val="947"/>
    <w:next w:val="947"/>
    <w:link w:val="9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修订"/>
    <w:next w:val="1058"/>
    <w:link w:val="947"/>
    <w:uiPriority w:val="99"/>
    <w:semiHidden/>
    <w:rPr>
      <w:rFonts w:ascii="Times New Roman" w:hAnsi="Times New Roman"/>
      <w:sz w:val="21"/>
      <w:szCs w:val="21"/>
      <w:lang w:val="en-US" w:eastAsia="zh-CN" w:bidi="ar-SA"/>
    </w:rPr>
  </w:style>
  <w:style w:type="paragraph" w:styleId="1059">
    <w:name w:val="无间隔"/>
    <w:next w:val="1059"/>
    <w:link w:val="947"/>
    <w:uiPriority w:val="99"/>
    <w:qFormat/>
    <w:pPr>
      <w:jc w:val="both"/>
      <w:widowControl w:val="off"/>
    </w:pPr>
    <w:rPr>
      <w:rFonts w:ascii="Times New Roman" w:hAnsi="Times New Roman"/>
      <w:sz w:val="21"/>
      <w:szCs w:val="21"/>
      <w:lang w:val="en-US" w:eastAsia="zh-CN" w:bidi="ar-SA"/>
    </w:rPr>
  </w:style>
  <w:style w:type="paragraph" w:styleId="1060">
    <w:name w:val="索引 411"/>
    <w:basedOn w:val="947"/>
    <w:next w:val="947"/>
    <w:link w:val="947"/>
    <w:uiPriority w:val="99"/>
    <w:qFormat/>
    <w:pPr>
      <w:ind w:left="600"/>
    </w:pPr>
    <w:rPr>
      <w:rFonts w:ascii="Times New Roman" w:hAnsi="Times New Roman"/>
      <w:szCs w:val="21"/>
    </w:rPr>
  </w:style>
  <w:style w:type="paragraph" w:styleId="1061">
    <w:name w:val="纯文本1"/>
    <w:basedOn w:val="947"/>
    <w:next w:val="1061"/>
    <w:link w:val="947"/>
    <w:qFormat/>
    <w:rPr>
      <w:rFonts w:ascii="宋体" w:hAnsi="Courier New" w:cs="Courier New"/>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4</cp:revision>
  <dcterms:created xsi:type="dcterms:W3CDTF">2026-08-04T03:55:00Z</dcterms:created>
  <dcterms:modified xsi:type="dcterms:W3CDTF">2026-08-04T09:25:34Z</dcterms:modified>
</cp:coreProperties>
</file>