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rPr>
          <w:rFonts w:hint="eastAsia" w:eastAsia="黑体"/>
          <w:b/>
          <w:bCs/>
          <w:sz w:val="84"/>
        </w:rPr>
      </w:pPr>
      <w:r>
        <w:rPr>
          <w:rFonts w:hint="eastAsia" w:eastAsia="黑体"/>
          <w:b/>
          <w:bCs/>
          <w:sz w:val="84"/>
        </w:rPr>
      </w:r>
      <w:r/>
    </w:p>
    <w:p>
      <w:pPr>
        <w:pStyle w:val="1049"/>
        <w:ind w:firstLine="0"/>
        <w:jc w:val="center"/>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 xml:space="preserve">招　标　文　件</w:t>
      </w:r>
      <w:r>
        <w:rPr>
          <w:sz w:val="36"/>
          <w:szCs w:val="36"/>
        </w:rPr>
      </w:r>
      <w:r/>
    </w:p>
    <w:p>
      <w:pPr>
        <w:pStyle w:val="1049"/>
        <w:ind w:firstLine="1968"/>
        <w:spacing w:line="400" w:lineRule="exact"/>
        <w:rPr>
          <w:rFonts w:hint="eastAsia"/>
          <w:b/>
          <w:bCs/>
          <w:sz w:val="28"/>
          <w:szCs w:val="28"/>
        </w:rPr>
      </w:pPr>
      <w:r>
        <w:rPr>
          <w:rFonts w:hint="eastAsia"/>
          <w:b/>
          <w:bCs/>
          <w:sz w:val="28"/>
          <w:szCs w:val="28"/>
        </w:rPr>
      </w:r>
      <w:r/>
    </w:p>
    <w:p>
      <w:pPr>
        <w:pStyle w:val="961"/>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项目名称：__医用耗材二级库动态监测管理系统__</w:t>
      </w:r>
      <w:r>
        <w:rPr>
          <w:rFonts w:hint="eastAsia" w:ascii="方正黑体_GBK" w:hAnsi="方正黑体_GBK" w:eastAsia="方正黑体_GBK" w:cs="方正黑体_GBK"/>
          <w:color w:val="000000"/>
          <w:sz w:val="28"/>
          <w:szCs w:val="28"/>
        </w:rPr>
      </w:r>
      <w:r/>
    </w:p>
    <w:p>
      <w:pPr>
        <w:pStyle w:val="961"/>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JSZC-320000-SCZX-G2026-0280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61"/>
        <w:jc w:val="center"/>
        <w:rPr>
          <w:rFonts w:hint="eastAsia"/>
          <w:b/>
          <w:color w:val="ff0000"/>
          <w:sz w:val="28"/>
          <w:szCs w:val="28"/>
        </w:rPr>
      </w:pPr>
      <w:r>
        <w:rPr>
          <w:rFonts w:hint="eastAsia"/>
          <w:b/>
          <w:color w:val="ff0000"/>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96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6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_2026_年_7_月</w:t>
      </w:r>
      <w:r>
        <w:rPr>
          <w:rFonts w:hint="eastAsia" w:ascii="方正黑体_GBK" w:hAnsi="方正黑体_GBK" w:eastAsia="方正黑体_GBK" w:cs="方正黑体_GBK"/>
          <w:color w:val="000000"/>
          <w:sz w:val="28"/>
          <w:szCs w:val="28"/>
        </w:rPr>
      </w:r>
      <w:r/>
    </w:p>
    <w:p>
      <w:pPr>
        <w:pStyle w:val="1049"/>
        <w:ind w:firstLine="0"/>
        <w:rPr>
          <w:rFonts w:hint="eastAsia"/>
          <w:u w:val="single"/>
        </w:rPr>
      </w:pPr>
      <w:r>
        <w:rPr>
          <w:rFonts w:hint="eastAsia"/>
        </w:rPr>
        <w:t xml:space="preserve">                        </w:t>
      </w:r>
      <w:r>
        <w:rPr>
          <w:rFonts w:hint="eastAsia"/>
          <w:u w:val="single"/>
        </w:rPr>
      </w:r>
      <w:r/>
    </w:p>
    <w:p>
      <w:pPr>
        <w:pStyle w:val="1049"/>
        <w:ind w:firstLine="0"/>
        <w:jc w:val="center"/>
        <w:rPr>
          <w:rFonts w:hint="eastAsia"/>
        </w:rPr>
      </w:pPr>
      <w:r>
        <w:rPr>
          <w:rFonts w:hint="eastAsia"/>
        </w:rPr>
      </w:r>
      <w:r/>
    </w:p>
    <w:p>
      <w:pPr>
        <w:pStyle w:val="961"/>
        <w:jc w:val="center"/>
        <w:spacing w:line="400" w:lineRule="exact"/>
        <w:rPr>
          <w:rFonts w:hint="eastAsia" w:ascii="方正黑体_GBK" w:hAnsi="方正黑体_GBK" w:eastAsia="方正黑体_GBK" w:cs="方正黑体_GBK"/>
          <w:b/>
          <w:color w:val="000000"/>
          <w:sz w:val="28"/>
          <w:szCs w:val="28"/>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方正黑体_GBK" w:hAnsi="方正黑体_GBK" w:eastAsia="方正黑体_GBK" w:cs="方正黑体_GBK"/>
          <w:b/>
          <w:color w:val="000000"/>
          <w:sz w:val="28"/>
          <w:szCs w:val="28"/>
        </w:rPr>
      </w:r>
      <w:r/>
    </w:p>
    <w:p>
      <w:pPr>
        <w:pStyle w:val="961"/>
        <w:jc w:val="center"/>
        <w:spacing w:line="400" w:lineRule="exact"/>
        <w:rPr>
          <w:rFonts w:hint="eastAsia" w:ascii="黑体" w:hAnsi="Arial" w:eastAsia="黑体"/>
          <w:b/>
          <w:sz w:val="28"/>
          <w:szCs w:val="28"/>
        </w:rPr>
        <w:outlineLvl w:val="0"/>
      </w:pPr>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61"/>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投标邀请……………………………………1</w:t>
      </w:r>
      <w:r>
        <w:rPr>
          <w:rFonts w:hint="eastAsia" w:ascii="方正黑体_GBK" w:hAnsi="方正黑体_GBK" w:eastAsia="方正黑体_GBK" w:cs="方正黑体_GBK"/>
          <w:color w:val="000000"/>
          <w:sz w:val="28"/>
          <w:szCs w:val="28"/>
        </w:rPr>
      </w:r>
      <w:r/>
    </w:p>
    <w:p>
      <w:pPr>
        <w:pStyle w:val="96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投标人须知…………………………………4</w:t>
      </w:r>
      <w:r>
        <w:rPr>
          <w:rFonts w:hint="eastAsia" w:ascii="方正黑体_GBK" w:hAnsi="方正黑体_GBK" w:eastAsia="方正黑体_GBK" w:cs="方正黑体_GBK"/>
          <w:color w:val="000000"/>
          <w:sz w:val="28"/>
          <w:szCs w:val="28"/>
        </w:rPr>
      </w:r>
      <w:r/>
    </w:p>
    <w:p>
      <w:pPr>
        <w:pStyle w:val="961"/>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合同文本……………………………………14</w:t>
      </w:r>
      <w:r>
        <w:rPr>
          <w:rFonts w:ascii="方正黑体_GBK" w:hAnsi="方正黑体_GBK" w:eastAsia="方正黑体_GBK" w:cs="方正黑体_GBK"/>
          <w:color w:val="000000"/>
          <w:sz w:val="28"/>
          <w:szCs w:val="28"/>
        </w:rPr>
      </w:r>
      <w:r/>
    </w:p>
    <w:p>
      <w:pPr>
        <w:pStyle w:val="961"/>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采购需求……………………………………18</w:t>
      </w:r>
      <w:r>
        <w:rPr>
          <w:rFonts w:ascii="方正黑体_GBK" w:hAnsi="方正黑体_GBK" w:eastAsia="方正黑体_GBK" w:cs="方正黑体_GBK"/>
          <w:color w:val="000000"/>
          <w:sz w:val="28"/>
          <w:szCs w:val="28"/>
        </w:rPr>
      </w:r>
      <w:r/>
    </w:p>
    <w:p>
      <w:pPr>
        <w:pStyle w:val="961"/>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评标方法与评标标准………………………27</w:t>
      </w:r>
      <w:r>
        <w:rPr>
          <w:rFonts w:ascii="方正黑体_GBK" w:hAnsi="方正黑体_GBK" w:eastAsia="方正黑体_GBK" w:cs="方正黑体_GBK"/>
          <w:color w:val="000000"/>
          <w:sz w:val="28"/>
          <w:szCs w:val="28"/>
        </w:rPr>
      </w:r>
      <w:r/>
    </w:p>
    <w:p>
      <w:pPr>
        <w:pStyle w:val="961"/>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投标文件格式………………………………33</w:t>
      </w:r>
      <w:r>
        <w:rPr>
          <w:rFonts w:ascii="方正黑体_GBK" w:hAnsi="方正黑体_GBK" w:eastAsia="方正黑体_GBK" w:cs="方正黑体_GBK"/>
          <w:color w:val="000000"/>
          <w:sz w:val="28"/>
          <w:szCs w:val="28"/>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jc w:val="center"/>
        <w:keepNext/>
        <w:spacing w:line="400" w:lineRule="exact"/>
        <w:rPr>
          <w:rFonts w:hint="eastAsia" w:ascii="方正黑体_GBK" w:hAnsi="方正黑体_GBK" w:eastAsia="方正黑体_GBK" w:cs="方正黑体_GBK"/>
          <w:color w:val="000000"/>
          <w:sz w:val="28"/>
          <w:szCs w:val="28"/>
        </w:rPr>
        <w:sectPr>
          <w:footerReference w:type="defaul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rPr>
      </w:r>
      <w:r/>
    </w:p>
    <w:p>
      <w:pPr>
        <w:pStyle w:val="961"/>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受〔江苏省中医院〕的委托，江苏省政府采购中心就〔医用耗材二级库动态监测管理系统〕(〔JSZC-320000-SCZX-G2026-0280〕)项目进行公开招标采购，欢迎符合条件的供应商投标。</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61"/>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医用耗材二级库动态监测管理系统</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月12</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：JSZC-320000-SCZX-G2026-0280  </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医用耗材二级库动态监测管理系统</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61"/>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1"/>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50</w:t>
            </w:r>
            <w:r>
              <w:rPr>
                <w:rFonts w:ascii="方正仿宋_GBK" w:hAnsi="方正仿宋_GBK" w:eastAsia="方正仿宋_GBK" w:cs="方正仿宋_GBK"/>
                <w:sz w:val="28"/>
                <w:szCs w:val="28"/>
              </w:rPr>
            </w:r>
            <w:r/>
          </w:p>
        </w:tc>
      </w:tr>
    </w:tbl>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61"/>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47</w:t>
            </w:r>
            <w:r>
              <w:rPr>
                <w:rFonts w:ascii="方正仿宋_GBK" w:hAnsi="方正仿宋_GBK" w:eastAsia="方正仿宋_GBK" w:cs="方正仿宋_GBK"/>
                <w:sz w:val="28"/>
                <w:szCs w:val="28"/>
              </w:rPr>
            </w:r>
            <w:r/>
          </w:p>
        </w:tc>
      </w:tr>
    </w:tbl>
    <w:p>
      <w:pPr>
        <w:pStyle w:val="961"/>
        <w:ind w:firstLine="560"/>
        <w:spacing w:line="360" w:lineRule="auto"/>
        <w:rPr>
          <w:rFonts w:hint="eastAsia" w:ascii="方正仿宋_GBK" w:hAnsi="方正仿宋_GBK" w:eastAsia="方正仿宋_GBK" w:cs="方正仿宋_GBK"/>
          <w:sz w:val="28"/>
          <w:szCs w:val="28"/>
          <w:u w:val="single"/>
        </w:rPr>
      </w:pPr>
      <w:r/>
      <w:bookmarkStart w:id="12" w:name="_Toc35393791"/>
      <w:r/>
      <w:bookmarkStart w:id="13" w:name="_Toc35393622"/>
      <w:r/>
      <w:bookmarkStart w:id="14" w:name="_Toc28359003"/>
      <w:r/>
      <w:bookmarkStart w:id="15" w:name="_Toc28359080"/>
      <w:r/>
      <w:bookmarkStart w:id="16" w:name="_Toc38985264"/>
      <w:r>
        <w:rPr>
          <w:rFonts w:hint="eastAsia" w:ascii="方正仿宋_GBK" w:hAnsi="方正仿宋_GBK" w:eastAsia="方正仿宋_GBK" w:cs="方正仿宋_GBK"/>
          <w:sz w:val="28"/>
          <w:szCs w:val="28"/>
        </w:rPr>
        <w:t xml:space="preserve">5.采购需求(简介)：本项目为江苏省中医院医用耗材二47级库动态监测管理系统项目。</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ascii="微软雅黑" w:hAnsi="微软雅黑" w:eastAsia="微软雅黑" w:cs="微软雅黑"/>
          <w:color w:val="000000"/>
          <w:sz w:val="28"/>
          <w:szCs w:val="28"/>
        </w:rPr>
        <w:t xml:space="preserve">项目中标后一年内</w:t>
      </w:r>
      <w:r>
        <w:rPr>
          <w:rFonts w:hint="eastAsia" w:ascii="方正仿宋_GBK" w:hAnsi="方正仿宋_GBK" w:eastAsia="方正仿宋_GBK" w:cs="方正仿宋_GBK"/>
          <w:color w:val="000000"/>
          <w:sz w:val="28"/>
          <w:szCs w:val="28"/>
          <w:u w:val="single"/>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楷体_GBK" w:hAnsi="方正楷体_GBK" w:eastAsia="方正楷体_GBK" w:cs="方正楷体_GBK"/>
          <w:color w:val="000000"/>
          <w:sz w:val="28"/>
          <w:szCs w:val="28"/>
        </w:rPr>
      </w:pPr>
      <w:r/>
      <w:bookmarkStart w:id="17" w:name="_Toc28359004"/>
      <w:r/>
      <w:bookmarkStart w:id="18" w:name="_Toc35393623"/>
      <w:r/>
      <w:bookmarkStart w:id="19" w:name="_Toc38985265"/>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1"/>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4"/>
      <w:r/>
      <w:bookmarkStart w:id="23" w:name="_Toc35393625"/>
      <w:r/>
      <w:bookmarkStart w:id="24" w:name="_Toc35393794"/>
      <w:r/>
      <w:bookmarkStart w:id="25" w:name="_Toc28359007"/>
      <w:r/>
      <w:bookmarkStart w:id="26" w:name="_Toc38985267"/>
      <w:r/>
      <w:bookmarkStart w:id="27" w:name="_Toc28359082"/>
      <w:r/>
      <w:bookmarkStart w:id="28" w:name="_Toc35393624"/>
      <w:r/>
      <w:bookmarkStart w:id="29" w:name="_Toc38985266"/>
      <w:r/>
      <w:bookmarkStart w:id="30" w:name="_Toc35393793"/>
      <w:r/>
      <w:bookmarkStart w:id="31" w:name="_Toc28359005"/>
      <w:r>
        <w:rPr>
          <w:rFonts w:hint="eastAsia" w:ascii="方正黑体_GBK" w:hAnsi="方正黑体_GBK" w:eastAsia="方正黑体_GBK" w:cs="方正黑体_GBK"/>
          <w:color w:val="000000"/>
          <w:sz w:val="28"/>
          <w:szCs w:val="28"/>
        </w:rPr>
        <w:t xml:space="preserve">四、提交投标文件</w:t>
      </w:r>
      <w:bookmarkEnd w:id="27"/>
      <w:r/>
      <w:bookmarkEnd w:id="31"/>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0"/>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月12</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28359085"/>
      <w:r/>
      <w:bookmarkStart w:id="37" w:name="_Toc38985269"/>
      <w:r/>
      <w:bookmarkStart w:id="38" w:name="_Toc35393796"/>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61"/>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6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宋体" w:hAnsi="宋体" w:cs="宋体"/>
          <w:sz w:val="24"/>
          <w:szCs w:val="24"/>
          <w:u w:val="single"/>
        </w:rPr>
        <w:t xml:space="preserve">江苏省中医院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1"/>
        <w:ind w:left="1079" w:hanging="300"/>
        <w:jc w:val="left"/>
        <w:spacing w:line="400" w:lineRule="exact"/>
        <w:rPr>
          <w:rFonts w:ascii="宋体" w:hAnsi="宋体" w:cs="宋体"/>
          <w:sz w:val="24"/>
          <w:szCs w:val="24"/>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宋体" w:hAnsi="宋体" w:cs="宋体"/>
          <w:sz w:val="24"/>
          <w:szCs w:val="24"/>
          <w:u w:val="single"/>
        </w:rPr>
        <w:t xml:space="preserve">南京市汉中路155号   </w:t>
      </w:r>
      <w:r>
        <w:rPr>
          <w:rFonts w:ascii="宋体" w:hAnsi="宋体" w:cs="宋体"/>
          <w:sz w:val="24"/>
          <w:szCs w:val="24"/>
          <w:u w:val="single"/>
        </w:rPr>
      </w:r>
      <w:r/>
    </w:p>
    <w:p>
      <w:pPr>
        <w:pStyle w:val="961"/>
        <w:ind w:firstLine="480"/>
        <w:jc w:val="left"/>
        <w:spacing w:line="400" w:lineRule="exact"/>
        <w:rPr>
          <w:rFonts w:hint="eastAsia" w:ascii="方正仿宋_GBK" w:hAnsi="方正仿宋_GBK" w:eastAsia="方正仿宋_GBK" w:cs="方正仿宋_GBK"/>
          <w:color w:val="000000"/>
          <w:sz w:val="28"/>
          <w:szCs w:val="28"/>
        </w:rPr>
      </w:pPr>
      <w:r>
        <w:rPr>
          <w:rFonts w:hint="eastAsia" w:ascii="宋体" w:hAnsi="宋体" w:cs="宋体"/>
          <w:sz w:val="24"/>
          <w:szCs w:val="24"/>
          <w:u w:val="single"/>
        </w:rPr>
        <w:t xml:space="preserve">门诊3号楼15楼1508室招标办公室</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宋体" w:hAnsi="宋体" w:cs="宋体"/>
          <w:sz w:val="24"/>
          <w:szCs w:val="24"/>
          <w:u w:val="single"/>
        </w:rPr>
        <w:t xml:space="preserve">诸老师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1"/>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宋体" w:hAnsi="宋体" w:cs="宋体"/>
          <w:sz w:val="24"/>
          <w:szCs w:val="24"/>
          <w:u w:val="single"/>
        </w:rPr>
        <w:t xml:space="preserve">025-86617141-69300；025-86558915</w:t>
      </w:r>
      <w:r>
        <w:rPr>
          <w:rFonts w:hint="eastAsia" w:ascii="方正仿宋_GBK" w:hAnsi="方正仿宋_GBK" w:eastAsia="方正仿宋_GBK" w:cs="方正仿宋_GBK"/>
          <w:color w:val="000000"/>
          <w:sz w:val="28"/>
          <w:szCs w:val="28"/>
          <w:u w:val="single"/>
        </w:rPr>
        <w:t xml:space="preserve">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6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61"/>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南京市汉中门大街145号省政务中心二期3楼南区　</w:t>
      </w:r>
      <w:r>
        <w:rPr>
          <w:rFonts w:hint="eastAsia" w:ascii="方正仿宋_GBK" w:hAnsi="方正仿宋_GBK" w:eastAsia="方正仿宋_GBK" w:cs="方正仿宋_GBK"/>
          <w:color w:val="000000"/>
          <w:sz w:val="28"/>
          <w:szCs w:val="28"/>
          <w:u w:val="single"/>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厉彬彬、唐文                     </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025-83668517/83668519　　　　　　</w:t>
      </w:r>
      <w:r>
        <w:rPr>
          <w:rFonts w:hint="eastAsia" w:ascii="方正仿宋_GBK" w:hAnsi="方正仿宋_GBK" w:eastAsia="方正仿宋_GBK" w:cs="方正仿宋_GBK"/>
          <w:color w:val="000000"/>
          <w:sz w:val="28"/>
          <w:szCs w:val="28"/>
        </w:rPr>
      </w:r>
      <w:r/>
    </w:p>
    <w:p>
      <w:pPr>
        <w:pStyle w:val="96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61"/>
        <w:ind w:right="840"/>
        <w:rPr>
          <w:rFonts w:hint="eastAsia" w:ascii="宋体" w:hAnsi="宋体"/>
          <w:color w:val="000000"/>
          <w:sz w:val="24"/>
          <w:szCs w:val="24"/>
        </w:rPr>
      </w:pPr>
      <w:r>
        <w:rPr>
          <w:rFonts w:hint="eastAsia" w:ascii="宋体" w:hAnsi="宋体"/>
          <w:color w:val="000000"/>
          <w:sz w:val="24"/>
          <w:szCs w:val="24"/>
        </w:rPr>
      </w:r>
      <w:r/>
    </w:p>
    <w:p>
      <w:pPr>
        <w:pStyle w:val="96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投标人须知</w:t>
      </w:r>
      <w:r>
        <w:rPr>
          <w:rFonts w:hint="eastAsia" w:ascii="宋体" w:hAnsi="宋体"/>
          <w:sz w:val="28"/>
          <w:szCs w:val="28"/>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三、投标文件的编制</w:t>
      </w:r>
      <w:r>
        <w:rPr>
          <w:rFonts w:hint="eastAsia" w:ascii="方正黑体_GBK" w:hAnsi="方正黑体_GBK" w:eastAsia="方正黑体_GBK" w:cs="方正黑体_GBK"/>
          <w:color w:val="000000"/>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r>
        <w:rPr>
          <w:rFonts w:hint="eastAsia" w:ascii="方正仿宋_GBK" w:hAnsi="方正仿宋_GBK" w:eastAsia="方正仿宋_GBK" w:cs="方正仿宋_GBK"/>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投标分项报价表</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投标人按照招标文件规定格式填报投标分项报价表。</w:t>
      </w:r>
      <w:r>
        <w:rPr>
          <w:rFonts w:hint="eastAsia" w:ascii="方正仿宋_GBK" w:hAnsi="方正仿宋_GBK" w:eastAsia="方正仿宋_GBK" w:cs="方正仿宋_GBK"/>
          <w:bCs/>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四、投标文件的递交</w:t>
      </w:r>
      <w:r>
        <w:rPr>
          <w:rFonts w:hint="eastAsia" w:ascii="方正黑体_GBK" w:hAnsi="方正黑体_GBK" w:eastAsia="方正黑体_GBK" w:cs="方正黑体_GBK"/>
          <w:color w:val="000000"/>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投标文件的递交</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r>
        <w:rPr>
          <w:rFonts w:hint="eastAsia" w:ascii="方正仿宋_GBK" w:hAnsi="方正仿宋_GBK" w:eastAsia="方正仿宋_GBK" w:cs="方正仿宋_GBK"/>
          <w:bCs/>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17.投标截止时间</w:t>
      </w:r>
      <w:r>
        <w:rPr>
          <w:rFonts w:hint="eastAsia" w:ascii="方正仿宋_GBK" w:hAnsi="方正仿宋_GBK" w:eastAsia="方正仿宋_GBK" w:cs="方正仿宋_GBK"/>
          <w:bCs/>
          <w:sz w:val="28"/>
          <w:szCs w:val="28"/>
          <w:lang w:val="en-US" w:eastAsia="zh-CN" w:bidi="ar-SA"/>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投标文件的拒收</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r>
        <w:rPr>
          <w:rFonts w:hint="eastAsia" w:ascii="方正仿宋_GBK" w:hAnsi="方正仿宋_GBK" w:eastAsia="方正仿宋_GBK" w:cs="方正仿宋_GBK"/>
          <w:b w:val="0"/>
          <w:bCs w:val="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五、开标与评标</w:t>
      </w:r>
      <w:r>
        <w:rPr>
          <w:rFonts w:hint="eastAsia" w:ascii="方正黑体_GBK" w:hAnsi="方正黑体_GBK" w:eastAsia="方正黑体_GBK" w:cs="方正黑体_GBK"/>
          <w:color w:val="000000"/>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24.对投标文件的初审</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25.无效投标条款和废标条款</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六、定标</w:t>
      </w:r>
      <w:r>
        <w:rPr>
          <w:rFonts w:hint="eastAsia" w:ascii="方正黑体_GBK" w:hAnsi="方正黑体_GBK" w:eastAsia="方正黑体_GBK" w:cs="方正黑体_GBK"/>
          <w:color w:val="000000"/>
          <w:sz w:val="28"/>
          <w:szCs w:val="28"/>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26.确定中标单位</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七、授予合同</w:t>
      </w:r>
      <w:r>
        <w:rPr>
          <w:rFonts w:hint="eastAsia" w:ascii="方正黑体_GBK" w:hAnsi="方正黑体_GBK" w:eastAsia="方正黑体_GBK" w:cs="方正黑体_GBK"/>
          <w:color w:val="000000"/>
          <w:sz w:val="28"/>
          <w:szCs w:val="28"/>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1"/>
        <w:ind w:firstLine="560"/>
        <w:spacing w:line="400" w:lineRule="exact"/>
        <w:rPr>
          <w:rFonts w:hint="eastAsia" w:ascii="方正仿宋_GBK" w:hAnsi="方正仿宋_GBK" w:eastAsia="方正仿宋_GBK" w:cs="方正仿宋_GBK"/>
          <w:sz w:val="28"/>
          <w:szCs w:val="28"/>
        </w:rPr>
      </w:pPr>
      <w:r/>
      <w:bookmarkEnd w:id="1"/>
      <w:r/>
      <w:bookmarkEnd w:id="2"/>
      <w:r/>
      <w:bookmarkEnd w:id="3"/>
      <w:r/>
      <w:bookmarkEnd w:id="4"/>
      <w:r/>
      <w:bookmarkEnd w:id="5"/>
      <w:r/>
      <w:bookmarkEnd w:id="44"/>
      <w:r/>
      <w:bookmarkStart w:id="45" w:name="_Toc120614221"/>
      <w:r/>
      <w:bookmarkStart w:id="46" w:name="_Toc20823314"/>
      <w:r/>
      <w:bookmarkStart w:id="47" w:name="_Toc513029242"/>
      <w:r/>
      <w:bookmarkStart w:id="48" w:name="_Toc16938558"/>
      <w:r/>
      <w:bookmarkStart w:id="49" w:name="_Toc479757207"/>
      <w:r>
        <w:rPr>
          <w:rFonts w:hint="eastAsia" w:ascii="方正仿宋_GBK" w:hAnsi="方正仿宋_GBK" w:eastAsia="方正仿宋_GBK" w:cs="方正仿宋_GBK"/>
          <w:sz w:val="28"/>
          <w:szCs w:val="28"/>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6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6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45"/>
      <w:r/>
      <w:bookmarkEnd w:id="46"/>
      <w:r/>
      <w:bookmarkEnd w:id="47"/>
      <w:r/>
      <w:bookmarkEnd w:id="48"/>
      <w:r/>
      <w:bookmarkEnd w:id="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61"/>
        <w:ind w:firstLine="560"/>
        <w:spacing w:line="400" w:lineRule="exact"/>
        <w:rPr>
          <w:rFonts w:hint="eastAsia" w:ascii="方正仿宋_GBK" w:hAnsi="方正仿宋_GBK" w:eastAsia="方正仿宋_GBK" w:cs="方正仿宋_GBK"/>
          <w:bCs/>
          <w:sz w:val="28"/>
          <w:szCs w:val="28"/>
          <w:highlight w:val="yellow"/>
        </w:rPr>
      </w:pPr>
      <w:r/>
      <w:bookmarkStart w:id="50" w:name="_Toc16938559"/>
      <w:r/>
      <w:bookmarkStart w:id="51" w:name="_Toc20823315"/>
      <w:r/>
      <w:bookmarkStart w:id="52" w:name="_Toc513029243"/>
      <w:r>
        <w:rPr>
          <w:rFonts w:hint="eastAsia" w:ascii="方正仿宋_GBK" w:hAnsi="方正仿宋_GBK" w:eastAsia="方正仿宋_GBK" w:cs="方正仿宋_GBK"/>
          <w:bCs/>
          <w:sz w:val="28"/>
          <w:szCs w:val="28"/>
          <w:highlight w:val="yellow"/>
        </w:rPr>
      </w:r>
      <w:r/>
    </w:p>
    <w:p>
      <w:pPr>
        <w:pStyle w:val="99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92"/>
        <w:jc w:val="center"/>
        <w:keepLines w:val="0"/>
        <w:keepNext w:val="0"/>
        <w:pageBreakBefore w:val="0"/>
        <w:spacing w:line="380" w:lineRule="exact"/>
        <w:widowControl w:val="off"/>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61"/>
        <w:ind w:firstLine="560"/>
        <w:keepLines w:val="0"/>
        <w:keepNext w:val="0"/>
        <w:pageBreakBefore w:val="0"/>
        <w:spacing w:before="120" w:after="120" w:line="38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1"/>
        <w:ind w:firstLine="560"/>
        <w:keepLines w:val="0"/>
        <w:keepNext w:val="0"/>
        <w:pageBreakBefore w:val="0"/>
        <w:spacing w:before="120" w:after="120" w:line="38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61"/>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乙方交纳人民币_合同总价的10%_元作为本合同的履约保证金。（不得超过合同金额的10%）</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 </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6.2.2履约保证金退还时间：符合退还条件的5个工作日内退还；</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6.2.3履约保证金退还条件：采购人在项目通过验收后按照合同条款规定的时间内将履约保证金退还中标人；</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ascii="Times New Roman" w:hAnsi="Times New Roman" w:eastAsia="方正仿宋_GBK" w:cs="Times New Roman"/>
          <w:color w:val="000000"/>
          <w:sz w:val="28"/>
          <w:szCs w:val="28"/>
        </w:rPr>
        <w:t xml:space="preserve">10</w:t>
      </w:r>
      <w:r>
        <w:rPr>
          <w:rFonts w:hint="eastAsia" w:ascii="方正仿宋_GBK" w:hAnsi="方正仿宋_GBK" w:eastAsia="方正仿宋_GBK" w:cs="方正仿宋_GBK"/>
          <w:sz w:val="28"/>
          <w:szCs w:val="28"/>
        </w:rPr>
        <w:t xml:space="preserve">工作日内，预付款支付比例：合同金额的</w:t>
      </w:r>
      <w:r>
        <w:rPr>
          <w:rFonts w:ascii="Times New Roman" w:hAnsi="Times New Roman" w:eastAsia="方正仿宋_GBK" w:cs="Times New Roman"/>
          <w:color w:val="000000"/>
          <w:sz w:val="28"/>
          <w:szCs w:val="28"/>
          <w:u w:val="single"/>
        </w:rPr>
        <w:t xml:space="preserve">30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ascii="Times New Roman" w:hAnsi="Times New Roman" w:eastAsia="方正仿宋_GBK" w:cs="Times New Roman"/>
          <w:color w:val="000000"/>
          <w:sz w:val="28"/>
          <w:szCs w:val="28"/>
          <w:u w:val="single"/>
        </w:rPr>
        <w:t xml:space="preserve">70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9"/>
        <w:ind w:firstLine="560"/>
        <w:keepLines w:val="0"/>
        <w:keepNext w:val="0"/>
        <w:pageBreakBefore w:val="0"/>
        <w:spacing w:before="120" w:after="120" w:line="380" w:lineRule="exact"/>
        <w:widowControl w:val="off"/>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9"/>
        <w:ind w:firstLine="560"/>
        <w:keepLines w:val="0"/>
        <w:keepNext w:val="0"/>
        <w:pageBreakBefore w:val="0"/>
        <w:spacing w:before="120" w:after="120" w:line="38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9"/>
        <w:jc w:val="center"/>
        <w:spacing w:before="120" w:after="120" w:line="400" w:lineRule="exact"/>
        <w:rPr>
          <w:sz w:val="28"/>
          <w:szCs w:val="28"/>
        </w:rPr>
      </w:pPr>
      <w:r>
        <w:rPr>
          <w:rFonts w:hint="eastAsia"/>
          <w:sz w:val="28"/>
          <w:szCs w:val="28"/>
        </w:rPr>
        <w:t xml:space="preserve">                                         </w:t>
      </w:r>
      <w:r>
        <w:rPr>
          <w:sz w:val="28"/>
          <w:szCs w:val="28"/>
        </w:rPr>
      </w:r>
      <w:r/>
    </w:p>
    <w:p>
      <w:pPr>
        <w:pStyle w:val="999"/>
        <w:jc w:val="right"/>
        <w:spacing w:before="120" w:after="120" w:line="400" w:lineRule="exact"/>
        <w:rPr>
          <w:sz w:val="28"/>
          <w:szCs w:val="28"/>
        </w:rPr>
      </w:pPr>
      <w:r>
        <w:rPr>
          <w:rFonts w:hint="eastAsia"/>
          <w:sz w:val="28"/>
          <w:szCs w:val="28"/>
        </w:rPr>
        <w:t xml:space="preserve"> </w:t>
      </w:r>
      <w:r>
        <w:rPr>
          <w:sz w:val="28"/>
          <w:szCs w:val="28"/>
        </w:rPr>
      </w:r>
      <w:r/>
    </w:p>
    <w:p>
      <w:pPr>
        <w:pStyle w:val="999"/>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50"/>
      <w:r/>
      <w:bookmarkEnd w:id="51"/>
      <w:r/>
      <w:bookmarkEnd w:id="52"/>
      <w:r/>
      <w:bookmarkStart w:id="53" w:name="_Hlt16619369"/>
      <w:r/>
      <w:bookmarkEnd w:id="53"/>
      <w:r/>
      <w:bookmarkStart w:id="54" w:name="_Hlt16619350"/>
      <w:r/>
      <w:bookmarkStart w:id="55" w:name="_Toc120614244"/>
      <w:r/>
      <w:bookmarkStart w:id="56" w:name="_Toc16938590"/>
      <w:r/>
      <w:bookmarkStart w:id="57" w:name="_Toc20823346"/>
      <w:r/>
      <w:bookmarkStart w:id="58" w:name="_Toc479757211"/>
      <w:r/>
      <w:bookmarkStart w:id="59"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54"/>
      <w:r>
        <w:rPr>
          <w:rFonts w:hint="eastAsia" w:ascii="方正黑体_GBK" w:hAnsi="方正黑体_GBK" w:eastAsia="方正黑体_GBK" w:cs="方正黑体_GBK"/>
          <w:color w:val="000000"/>
          <w:sz w:val="28"/>
          <w:szCs w:val="28"/>
        </w:rPr>
        <w:t xml:space="preserve">四章 采购需求</w:t>
      </w:r>
      <w:bookmarkEnd w:id="55"/>
      <w:r/>
      <w:bookmarkEnd w:id="56"/>
      <w:r/>
      <w:bookmarkEnd w:id="57"/>
      <w:r>
        <w:rPr>
          <w:rFonts w:hint="eastAsia" w:ascii="方正黑体_GBK" w:hAnsi="方正黑体_GBK" w:eastAsia="方正黑体_GBK" w:cs="方正黑体_GBK"/>
          <w:bCs/>
          <w:color w:val="000000"/>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bookmarkStart w:id="60" w:name="_Toc26554093"/>
      <w:r/>
      <w:bookmarkStart w:id="61"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64"/>
        <w:gridCol w:w="3325"/>
        <w:gridCol w:w="2438"/>
      </w:tblGrid>
      <w:tr>
        <w:trPr>
          <w:cantSplit/>
          <w:trHeight w:val="701"/>
        </w:trPr>
        <w:tc>
          <w:tcPr>
            <w:tcW w:w="79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1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32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1164"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25" w:type="dxa"/>
            <w:vAlign w:val="top"/>
            <w:textDirection w:val="lrTb"/>
            <w:noWrap w:val="false"/>
          </w:tcPr>
          <w:p>
            <w:pPr>
              <w:pStyle w:val="961"/>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color w:val="000000"/>
                <w:sz w:val="28"/>
                <w:szCs w:val="28"/>
              </w:rPr>
              <w:t xml:space="preserve">医用耗材二级库动态监测管理系统</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961"/>
              <w:jc w:val="center"/>
              <w:spacing w:line="400" w:lineRule="exact"/>
              <w:tabs>
                <w:tab w:val="left" w:pos="2020" w:leader="none"/>
              </w:tabs>
              <w:rPr>
                <w:rFonts w:eastAsia="方正仿宋_GBK"/>
                <w:color w:val="000000"/>
                <w:sz w:val="28"/>
                <w:szCs w:val="28"/>
              </w:rPr>
            </w:pPr>
            <w:r>
              <w:rPr>
                <w:rFonts w:hint="eastAsia" w:eastAsia="方正仿宋_GBK"/>
                <w:color w:val="000000"/>
                <w:sz w:val="28"/>
                <w:szCs w:val="28"/>
              </w:rPr>
              <w:t xml:space="preserve">软件管理服务</w:t>
            </w:r>
            <w:r>
              <w:rPr>
                <w:rFonts w:eastAsia="方正仿宋_GBK"/>
                <w:color w:val="000000"/>
                <w:sz w:val="28"/>
                <w:szCs w:val="28"/>
              </w:rPr>
            </w:r>
            <w:r/>
          </w:p>
        </w:tc>
      </w:tr>
    </w:tbl>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项目属性:服务类项目。</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36"/>
        <w:gridCol w:w="6109"/>
      </w:tblGrid>
      <w:tr>
        <w:trPr/>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1636" w:type="dxa"/>
            <w:vAlign w:val="center"/>
            <w:textDirection w:val="lrTb"/>
            <w:noWrap w:val="false"/>
          </w:tcPr>
          <w:p>
            <w:pPr>
              <w:pStyle w:val="961"/>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管理要求</w:t>
            </w:r>
            <w:r>
              <w:rPr>
                <w:rFonts w:ascii="方正仿宋_GBK" w:hAnsi="方正仿宋_GBK" w:eastAsia="方正仿宋_GBK" w:cs="方正仿宋_GBK"/>
                <w:b/>
                <w:bCs/>
                <w:sz w:val="28"/>
                <w:szCs w:val="28"/>
              </w:rPr>
            </w:r>
            <w:r/>
          </w:p>
        </w:tc>
        <w:tc>
          <w:tcPr>
            <w:tcW w:w="6109" w:type="dxa"/>
            <w:vAlign w:val="center"/>
            <w:textDirection w:val="lrTb"/>
            <w:noWrap w:val="false"/>
          </w:tcPr>
          <w:p>
            <w:pPr>
              <w:pStyle w:val="961"/>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具体技术要求</w:t>
            </w:r>
            <w:r>
              <w:rPr>
                <w:rFonts w:ascii="方正仿宋_GBK" w:hAnsi="方正仿宋_GBK" w:eastAsia="方正仿宋_GBK" w:cs="方正仿宋_GBK"/>
                <w:b/>
                <w:bCs/>
                <w:sz w:val="28"/>
                <w:szCs w:val="28"/>
              </w:rPr>
            </w:r>
            <w:r/>
          </w:p>
        </w:tc>
      </w:tr>
      <w:tr>
        <w:trPr/>
        <w:tc>
          <w:tcPr>
            <w:gridSpan w:val="3"/>
            <w:tcW w:w="8605" w:type="dxa"/>
            <w:vAlign w:val="center"/>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t xml:space="preserve">一、</w:t>
            </w:r>
            <w:r>
              <w:rPr>
                <w:rFonts w:hint="eastAsia" w:ascii="宋体" w:hAnsi="宋体" w:cs="宋体"/>
                <w:sz w:val="24"/>
                <w:szCs w:val="24"/>
              </w:rPr>
              <w:t xml:space="preserve">核心业务功能</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请领管理</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二级库可以根据自身实际消耗结合科室业务量，向中心库进行请领；二级库也可设定耗材高低限库存，系统根据安全库存生成自动补货需求，然后由科主任/护士长进行请领审核。中心库审核二级库请领单时，可以看到各二级库当前库存、月消耗量、上期领用量。若所在二级库上期领用耗材未及时验收入库，再次领用时系统可提醒验收，二级库验收完成后才可申领，保证所有领用耗材物流完整追溯。对于整包装不可拆零耗材，在领用时，系统自动按照整包装修正领用。</w:t>
            </w:r>
            <w:r>
              <w:rPr>
                <w:rFonts w:hint="eastAsia" w:ascii="宋体" w:hAnsi="宋体" w:cs="宋体"/>
                <w:b/>
                <w:bCs/>
                <w:sz w:val="24"/>
                <w:szCs w:val="24"/>
              </w:rPr>
            </w:r>
            <w:r/>
          </w:p>
        </w:tc>
      </w:tr>
      <w:tr>
        <w:trPr>
          <w:trHeight w:val="1530"/>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验收入库管理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由中心库出库到二级库，二级库根据中心库的出库单对收到的耗材进行验收，验收后进行收货确认，确认后完成入库，二级库库存增加，中心库库存减少。可支持移动验收入库；系统可实时显示耗材配送物流进度。</w:t>
            </w:r>
            <w:r>
              <w:rPr>
                <w:rFonts w:hint="eastAsia" w:ascii="宋体" w:hAnsi="宋体" w:cs="宋体"/>
                <w:b/>
                <w:bCs/>
                <w:sz w:val="24"/>
                <w:szCs w:val="24"/>
              </w:rPr>
            </w:r>
            <w:r/>
          </w:p>
        </w:tc>
      </w:tr>
      <w:tr>
        <w:trPr>
          <w:trHeight w:val="382"/>
        </w:trPr>
        <w:tc>
          <w:tcPr>
            <w:tcW w:w="860" w:type="dxa"/>
            <w:vAlign w:val="center"/>
            <w:vMerge w:val="restart"/>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r>
            <w:r/>
          </w:p>
        </w:tc>
        <w:tc>
          <w:tcPr>
            <w:tcW w:w="1636" w:type="dxa"/>
            <w:vAlign w:val="center"/>
            <w:vMerge w:val="restart"/>
            <w:textDirection w:val="lrTb"/>
            <w:noWrap w:val="false"/>
          </w:tcPr>
          <w:p>
            <w:pPr>
              <w:pStyle w:val="961"/>
              <w:jc w:val="center"/>
              <w:spacing w:line="360" w:lineRule="exact"/>
              <w:rPr>
                <w:rFonts w:hint="eastAsia" w:ascii="宋体" w:hAnsi="宋体" w:cs="宋体"/>
                <w:sz w:val="24"/>
                <w:szCs w:val="24"/>
              </w:rPr>
            </w:pPr>
            <w:r>
              <w:rPr>
                <w:rFonts w:hint="eastAsia" w:ascii="宋体" w:hAnsi="宋体" w:cs="宋体"/>
                <w:sz w:val="24"/>
                <w:szCs w:val="24"/>
              </w:rPr>
              <w:t xml:space="preserve">出库与消耗管理</w:t>
            </w:r>
            <w:r>
              <w:rPr>
                <w:rFonts w:hint="eastAsia" w:ascii="宋体" w:hAnsi="宋体" w:cs="宋体"/>
                <w:sz w:val="24"/>
                <w:szCs w:val="24"/>
              </w:rPr>
            </w:r>
            <w:r/>
          </w:p>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科室可根据使用情况进行出库，具备包装条形码的，可支持扫码出库方式，且可支持移动出库。所有可收费耗材需关联HIS收费数据，可按时间根据收费项目数量及耗材入库量、出库量、结存量，生成（包括期初结存、本期入库量、本期出库量、当前结存量等信息）数据分析表，供各科室及管理部门进行耗材管控。检验科用试剂需关联LIS系统的对应检测项目，可按时间根据检测项目检测量及试剂入库量、出库量、结存量，生成数据分析表。</w:t>
            </w:r>
            <w:r>
              <w:rPr>
                <w:rFonts w:hint="eastAsia" w:ascii="宋体" w:hAnsi="宋体" w:cs="宋体"/>
                <w:b/>
                <w:bCs/>
                <w:sz w:val="24"/>
                <w:szCs w:val="24"/>
              </w:rPr>
            </w:r>
            <w:r/>
          </w:p>
        </w:tc>
      </w:tr>
      <w:tr>
        <w:trPr>
          <w:trHeight w:val="313"/>
        </w:trPr>
        <w:tc>
          <w:tcPr>
            <w:tcW w:w="860" w:type="dxa"/>
            <w:vAlign w:val="center"/>
            <w:vMerge w:val="continue"/>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1636" w:type="dxa"/>
            <w:vAlign w:val="top"/>
            <w:vMerge w:val="continue"/>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针对价格相对较高可单独收费的耗材，具备包装条形码的，采取扫个体条码收费，同时完成科室二级库库存核销；</w:t>
            </w:r>
            <w:r>
              <w:rPr>
                <w:rFonts w:hint="eastAsia" w:ascii="宋体" w:hAnsi="宋体" w:cs="宋体"/>
                <w:b/>
                <w:bCs/>
                <w:sz w:val="24"/>
                <w:szCs w:val="24"/>
              </w:rPr>
            </w:r>
            <w:r/>
          </w:p>
        </w:tc>
      </w:tr>
      <w:tr>
        <w:trPr>
          <w:trHeight w:val="203"/>
        </w:trPr>
        <w:tc>
          <w:tcPr>
            <w:tcW w:w="860" w:type="dxa"/>
            <w:vAlign w:val="center"/>
            <w:vMerge w:val="continue"/>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1636" w:type="dxa"/>
            <w:vAlign w:val="top"/>
            <w:vMerge w:val="continue"/>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针对部分价格相对较低可单独收费的耗材，采取扫批次码计费同时完成科室二级库库存核销；</w:t>
            </w:r>
            <w:r>
              <w:rPr>
                <w:rFonts w:hint="eastAsia" w:ascii="宋体" w:hAnsi="宋体" w:cs="宋体"/>
                <w:b/>
                <w:bCs/>
                <w:sz w:val="24"/>
                <w:szCs w:val="24"/>
              </w:rPr>
            </w:r>
            <w:r/>
          </w:p>
        </w:tc>
      </w:tr>
      <w:tr>
        <w:trPr>
          <w:trHeight w:val="202"/>
        </w:trPr>
        <w:tc>
          <w:tcPr>
            <w:tcW w:w="860" w:type="dxa"/>
            <w:vAlign w:val="center"/>
            <w:vMerge w:val="continue"/>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1636" w:type="dxa"/>
            <w:vAlign w:val="top"/>
            <w:vMerge w:val="continue"/>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针对部分用量较大，不便于扫码，但每次执行医嘱消耗数量固定的耗材，可依据医嘱项目在医院信息系统(HIS)或检验信息系统(LIS)内的信息核减科室二级库库存；</w:t>
            </w:r>
            <w:r>
              <w:rPr>
                <w:rFonts w:hint="eastAsia" w:ascii="宋体" w:hAnsi="宋体" w:cs="宋体"/>
                <w:b/>
                <w:bCs/>
                <w:sz w:val="24"/>
                <w:szCs w:val="24"/>
              </w:rPr>
            </w:r>
            <w:r/>
          </w:p>
        </w:tc>
      </w:tr>
      <w:tr>
        <w:trPr>
          <w:trHeight w:val="549"/>
        </w:trPr>
        <w:tc>
          <w:tcPr>
            <w:tcW w:w="860" w:type="dxa"/>
            <w:vAlign w:val="center"/>
            <w:vMerge w:val="continue"/>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1636" w:type="dxa"/>
            <w:vAlign w:val="top"/>
            <w:vMerge w:val="continue"/>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人工依据实际使用情况自行出库核减库存。</w:t>
            </w:r>
            <w:r>
              <w:rPr>
                <w:rFonts w:hint="eastAsia" w:ascii="宋体" w:hAnsi="宋体" w:cs="宋体"/>
                <w:b/>
                <w:bCs/>
                <w:sz w:val="24"/>
                <w:szCs w:val="24"/>
              </w:rPr>
            </w:r>
            <w:r/>
          </w:p>
        </w:tc>
      </w:tr>
      <w:tr>
        <w:trPr>
          <w:trHeight w:val="696"/>
        </w:trPr>
        <w:tc>
          <w:tcPr>
            <w:tcW w:w="860" w:type="dxa"/>
            <w:vAlign w:val="center"/>
            <w:vMerge w:val="continue"/>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r>
            <w:r/>
          </w:p>
        </w:tc>
        <w:tc>
          <w:tcPr>
            <w:tcW w:w="1636" w:type="dxa"/>
            <w:vAlign w:val="top"/>
            <w:vMerge w:val="continue"/>
            <w:textDirection w:val="lrTb"/>
            <w:noWrap w:val="false"/>
          </w:tcPr>
          <w:p>
            <w:pPr>
              <w:pStyle w:val="961"/>
              <w:spacing w:line="360" w:lineRule="exact"/>
              <w:rPr>
                <w:rFonts w:hint="eastAsia" w:ascii="宋体" w:hAnsi="宋体" w:cs="宋体"/>
                <w:b/>
                <w:bCs/>
                <w:sz w:val="24"/>
                <w:szCs w:val="24"/>
              </w:rPr>
            </w:pP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系统可根据实际耗材使用，自动生成对应耗材使用前检查记录，并支持人工修改。</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移库</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各二级库房之间可支持耗材互相移库。</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调拨</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各院区之间各二级库可支持耗材互相调拨。</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盘点管理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系统可根据盘点耗材品种、供应商、生产厂家等选择条件生成盘点表，根据盘点数量自动生成盘盈盘亏单。可支持移动盘点。</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7</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库存材料预警机制</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无论是一级库房还是二级库房，均实行预警机制管理，包括数量预警和效期预警。通过物流系统监测与人工日常巡检相结合，动态掌握材料的数量、效期，做好临界值记录。通过预警机制，及时有效地预见库存材料的数量上限、下限，保持合理库存，为制订合理的计划采购量提供参数。设置生成预警和有效期一览表，便于跟踪和监管。</w:t>
            </w:r>
            <w:r>
              <w:rPr>
                <w:rFonts w:hint="eastAsia" w:ascii="宋体" w:hAnsi="宋体" w:cs="宋体"/>
                <w:b/>
                <w:bCs/>
                <w:sz w:val="24"/>
                <w:szCs w:val="24"/>
              </w:rPr>
            </w:r>
            <w:r/>
          </w:p>
        </w:tc>
      </w:tr>
      <w:tr>
        <w:trPr>
          <w:trHeight w:val="6193"/>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8</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高值医用耗材专科库管理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高值医用耗材专科库均实现二级库管理，对于二级库内的代销库存可根据多维度条件筛选实现批量、快速变更信息操作，如按库房、耗材名称、注册证号、规格型号、平台编码、批号等条件批量调价、变更代理商。对于库存的信息变更，无需退库后操作，由系统自动完成。</w:t>
            </w:r>
            <w:r>
              <w:rPr>
                <w:rFonts w:hint="eastAsia" w:ascii="宋体" w:hAnsi="宋体" w:cs="宋体"/>
                <w:sz w:val="24"/>
                <w:szCs w:val="24"/>
              </w:rPr>
            </w:r>
            <w:r/>
          </w:p>
          <w:p>
            <w:pPr>
              <w:pStyle w:val="961"/>
              <w:spacing w:line="360" w:lineRule="exact"/>
              <w:rPr>
                <w:rFonts w:hint="eastAsia" w:ascii="宋体" w:hAnsi="宋体" w:cs="宋体"/>
                <w:sz w:val="24"/>
                <w:szCs w:val="24"/>
              </w:rPr>
            </w:pPr>
            <w:r>
              <w:rPr>
                <w:rFonts w:hint="eastAsia" w:ascii="宋体" w:hAnsi="宋体" w:cs="宋体"/>
                <w:sz w:val="24"/>
                <w:szCs w:val="24"/>
              </w:rPr>
              <w:t xml:space="preserve">二级库退库需由中心库审核，审核完成后，库存方可退至中心库，再由中心库执行退库操作。</w:t>
            </w:r>
            <w:r>
              <w:rPr>
                <w:rFonts w:hint="eastAsia" w:ascii="宋体" w:hAnsi="宋体" w:cs="宋体"/>
                <w:sz w:val="24"/>
                <w:szCs w:val="24"/>
              </w:rPr>
            </w:r>
            <w:r/>
          </w:p>
          <w:p>
            <w:pPr>
              <w:pStyle w:val="961"/>
              <w:spacing w:line="360" w:lineRule="exact"/>
              <w:rPr>
                <w:rFonts w:hint="eastAsia" w:ascii="宋体" w:hAnsi="宋体" w:cs="宋体"/>
                <w:sz w:val="24"/>
                <w:szCs w:val="24"/>
              </w:rPr>
            </w:pPr>
            <w:r>
              <w:rPr>
                <w:rFonts w:hint="eastAsia" w:ascii="宋体" w:hAnsi="宋体" w:cs="宋体"/>
                <w:sz w:val="24"/>
                <w:szCs w:val="24"/>
              </w:rPr>
              <w:t xml:space="preserve">实现代销库存效期临期提示功能，二级库能收到对应库存耗材临期预警提示；中心库拥有查询所有二级库库存的权限，并能收到所有二级库库存耗材临期预警提示。库存查询支持按照耗材名称、规格型号、注册证号、批号、平台编码、生产厂家、供应商、院内条码等耗材信息进行查询。</w:t>
            </w:r>
            <w:r>
              <w:rPr>
                <w:rFonts w:hint="eastAsia" w:ascii="宋体" w:hAnsi="宋体" w:cs="宋体"/>
                <w:sz w:val="24"/>
                <w:szCs w:val="24"/>
              </w:rPr>
            </w:r>
            <w:r/>
          </w:p>
          <w:p>
            <w:pPr>
              <w:pStyle w:val="961"/>
              <w:spacing w:line="360" w:lineRule="exact"/>
              <w:rPr>
                <w:rFonts w:hint="eastAsia" w:ascii="宋体" w:hAnsi="宋体" w:cs="宋体"/>
                <w:sz w:val="24"/>
                <w:szCs w:val="24"/>
              </w:rPr>
            </w:pPr>
            <w:r>
              <w:rPr>
                <w:rFonts w:hint="eastAsia" w:ascii="宋体" w:hAnsi="宋体" w:cs="宋体"/>
                <w:sz w:val="24"/>
                <w:szCs w:val="24"/>
              </w:rPr>
              <w:t xml:space="preserve">各二级库采购申请统一汇总至中心库后，由中心库审核发送至采购，采购审核后发至供应商。</w:t>
            </w:r>
            <w:r>
              <w:rPr>
                <w:rFonts w:hint="eastAsia" w:ascii="宋体" w:hAnsi="宋体" w:cs="宋体"/>
                <w:sz w:val="24"/>
                <w:szCs w:val="24"/>
              </w:rPr>
            </w:r>
            <w:r/>
          </w:p>
          <w:p>
            <w:pPr>
              <w:pStyle w:val="961"/>
              <w:spacing w:line="360" w:lineRule="exact"/>
              <w:rPr>
                <w:rFonts w:hint="eastAsia" w:ascii="宋体" w:hAnsi="宋体" w:cs="宋体"/>
                <w:b/>
                <w:bCs/>
                <w:sz w:val="24"/>
                <w:szCs w:val="24"/>
              </w:rPr>
            </w:pPr>
            <w:r>
              <w:rPr>
                <w:rFonts w:hint="eastAsia" w:ascii="宋体" w:hAnsi="宋体" w:cs="宋体"/>
                <w:sz w:val="24"/>
                <w:szCs w:val="24"/>
              </w:rPr>
              <w:t xml:space="preserve">中心库验收入库后，中心库库管员能根据各二级库房申请耗材品种、数量，一键出库至对应二级库，二级库库管员审核确认后，入至二级库。</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9</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产品说明书查看</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二级库可以查看库存产品的产品说明书，针对说明书要求进行规范操作使用。</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培训管理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系统需支持对高值耗材使用的在线培训应用，应用可在PC端及移动端兼容使用。</w:t>
            </w:r>
            <w:r>
              <w:rPr>
                <w:rFonts w:hint="eastAsia" w:ascii="宋体" w:hAnsi="宋体" w:cs="宋体"/>
                <w:b/>
                <w:bCs/>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11</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字典分配功能简化</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实现字典批量直接分配至各二级库的功能。</w:t>
            </w:r>
            <w:r>
              <w:rPr>
                <w:rFonts w:hint="eastAsia" w:ascii="宋体" w:hAnsi="宋体" w:cs="宋体"/>
                <w:sz w:val="24"/>
                <w:szCs w:val="24"/>
              </w:rPr>
            </w:r>
            <w:r/>
          </w:p>
        </w:tc>
      </w:tr>
      <w:tr>
        <w:trPr>
          <w:trHeight w:val="953"/>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12</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单项耗材计价错误监控</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二级库收费材料记账情况动态监控，若单项耗材出现实际收费大于理论收费值，系统自动提醒二级库重管理员点关注。</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13</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错漏收费监管</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系统需能够对各临床二级库每日耗材使用与收费数据进行自动比对，出现多收、漏收、错收时，能够及时预警。</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14</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带量耗材执行监督</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系统需支持各临床二级库对带量耗材用量进行自动监控，发现带量耗材执行均衡性异常时，能够自动控制其继续申领且向管理人员发出提醒；对于特殊情况造成的，二级库科室负责人需通过系统申请说明原因，经由上级管理员审核通过后方可继续申领。</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15</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不良事件管理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耗材不良事件上报，若耗材发生不良事件，二级库可在电脑端或PDA移动端上报不良事件，系统自动提示同批次耗材在各二级库分布情况。并可根据不良事件程度，系统锁定耗材使用，在二级库扫码出库时提示该耗材发生不良事件，暂不可用。</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16</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二级库耗材报损</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二级库可对因过期或损坏以及其它原因导致无法使用的耗材等提出报损申请，由中心库房核验后，系统进行报损处理，二级库库存减少。</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17</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高值耗材采购价与销售价管控</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高值耗材记账时，系统需比对采购价与销售价是否一致，如出现采购价与销售价不符，系统提示价格原因不可记账，保证高值耗材使用采购价与销售价一致。</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评价管理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系统需能够支持医院对耗材各管理环节需要的评价管理应用。</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19</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b/>
                <w:bCs/>
                <w:sz w:val="24"/>
                <w:szCs w:val="24"/>
              </w:rPr>
            </w:pPr>
            <w:r>
              <w:rPr>
                <w:rFonts w:hint="eastAsia" w:ascii="宋体" w:hAnsi="宋体" w:cs="宋体"/>
                <w:sz w:val="24"/>
                <w:szCs w:val="24"/>
              </w:rPr>
              <w:t xml:space="preserve">移动质控管理</w:t>
            </w:r>
            <w:r>
              <w:rPr>
                <w:rFonts w:hint="eastAsia" w:ascii="宋体" w:hAnsi="宋体" w:cs="宋体"/>
                <w:b/>
                <w:bCs/>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系统需提供对医院耗材质控工作（如：库房巡检）的移动端应用。</w:t>
            </w:r>
            <w:r>
              <w:rPr>
                <w:rFonts w:hint="eastAsia" w:ascii="宋体" w:hAnsi="宋体" w:cs="宋体"/>
                <w:sz w:val="24"/>
                <w:szCs w:val="24"/>
              </w:rPr>
            </w:r>
            <w:r/>
          </w:p>
        </w:tc>
      </w:tr>
      <w:tr>
        <w:trPr/>
        <w:tc>
          <w:tcPr>
            <w:gridSpan w:val="3"/>
            <w:tcW w:w="8605" w:type="dxa"/>
            <w:vAlign w:val="center"/>
            <w:textDirection w:val="lrTb"/>
            <w:noWrap w:val="false"/>
          </w:tcPr>
          <w:p>
            <w:pPr>
              <w:pStyle w:val="961"/>
              <w:spacing w:line="400" w:lineRule="exact"/>
              <w:rPr>
                <w:rFonts w:hint="eastAsia"/>
              </w:rPr>
            </w:pPr>
            <w:r>
              <w:rPr>
                <w:rFonts w:hint="eastAsia" w:ascii="方正仿宋_GBK" w:hAnsi="方正仿宋_GBK" w:eastAsia="方正仿宋_GBK" w:cs="方正仿宋_GBK"/>
                <w:b/>
                <w:bCs/>
                <w:sz w:val="28"/>
                <w:szCs w:val="28"/>
              </w:rPr>
              <w:t xml:space="preserve">二、智能分析统计功能</w:t>
            </w:r>
            <w:r>
              <w:rPr>
                <w:rFonts w:hint="eastAsia"/>
              </w:rPr>
            </w:r>
            <w:r/>
          </w:p>
        </w:tc>
      </w:tr>
      <w:tr>
        <w:trPr>
          <w:trHeight w:val="437"/>
        </w:trPr>
        <w:tc>
          <w:tcPr>
            <w:gridSpan w:val="3"/>
            <w:tcW w:w="8605" w:type="dxa"/>
            <w:vAlign w:val="center"/>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（一）实时数据动态展示功能</w:t>
            </w:r>
            <w:r>
              <w:rPr>
                <w:rFonts w:hint="eastAsia" w:ascii="宋体" w:hAnsi="宋体" w:cs="宋体"/>
                <w:sz w:val="24"/>
                <w:szCs w:val="24"/>
              </w:rPr>
            </w:r>
            <w:r/>
          </w:p>
        </w:tc>
      </w:tr>
      <w:tr>
        <w:trPr>
          <w:trHeight w:val="611"/>
        </w:trPr>
        <w:tc>
          <w:tcPr>
            <w:tcW w:w="860" w:type="dxa"/>
            <w:vAlign w:val="center"/>
            <w:textDirection w:val="lrTb"/>
            <w:noWrap w:val="false"/>
          </w:tcPr>
          <w:p>
            <w:pPr>
              <w:pStyle w:val="961"/>
              <w:jc w:val="center"/>
              <w:spacing w:line="36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r>
            <w:r/>
          </w:p>
        </w:tc>
        <w:tc>
          <w:tcPr>
            <w:tcW w:w="6109" w:type="dxa"/>
            <w:vAlign w:val="top"/>
            <w:textDirection w:val="lrTb"/>
            <w:noWrap w:val="false"/>
          </w:tcPr>
          <w:p>
            <w:pPr>
              <w:pStyle w:val="961"/>
              <w:jc w:val="left"/>
              <w:spacing w:line="360" w:lineRule="exact"/>
              <w:rPr>
                <w:rFonts w:hint="eastAsia" w:ascii="宋体" w:hAnsi="宋体" w:cs="宋体"/>
                <w:sz w:val="24"/>
                <w:szCs w:val="24"/>
              </w:rPr>
            </w:pPr>
            <w:r>
              <w:rPr>
                <w:rFonts w:hint="eastAsia" w:ascii="宋体" w:hAnsi="宋体" w:cs="宋体"/>
                <w:sz w:val="24"/>
                <w:szCs w:val="24"/>
              </w:rPr>
              <w:t xml:space="preserve">实时展示二级库结存情况、出入库情况、耗材收费情况、耗材消耗排名情况等。</w:t>
            </w:r>
            <w:r>
              <w:rPr>
                <w:rFonts w:hint="eastAsia" w:ascii="宋体" w:hAnsi="宋体" w:cs="宋体"/>
                <w:sz w:val="24"/>
                <w:szCs w:val="24"/>
              </w:rPr>
            </w:r>
            <w:r/>
          </w:p>
        </w:tc>
      </w:tr>
      <w:tr>
        <w:trPr>
          <w:trHeight w:val="505"/>
        </w:trPr>
        <w:tc>
          <w:tcPr>
            <w:gridSpan w:val="3"/>
            <w:tcW w:w="8605" w:type="dxa"/>
            <w:vAlign w:val="center"/>
            <w:textDirection w:val="lrTb"/>
            <w:noWrap w:val="false"/>
          </w:tcPr>
          <w:p>
            <w:pPr>
              <w:pStyle w:val="961"/>
              <w:jc w:val="left"/>
              <w:spacing w:line="360" w:lineRule="exact"/>
              <w:rPr>
                <w:rFonts w:hint="eastAsia" w:ascii="宋体" w:hAnsi="宋体" w:cs="宋体"/>
                <w:sz w:val="24"/>
                <w:szCs w:val="24"/>
              </w:rPr>
            </w:pPr>
            <w:r>
              <w:rPr>
                <w:rFonts w:hint="eastAsia" w:ascii="宋体" w:hAnsi="宋体" w:cs="宋体"/>
                <w:sz w:val="24"/>
                <w:szCs w:val="24"/>
              </w:rPr>
              <w:t xml:space="preserve">（二）统计分析功能</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出入库汇总查询</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可以在同一界面筛选查询所有或部分院区，按库房、科室、时间、耗材信息、收费项目、检验检测项目等多维度动态查询二级库出入库汇总情况。在各院区支持查询所在院区按库房、科室、时间、耗材信息、收费项目、检验检测项目等多维度动态查询二级库出入库汇总情况。</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出入库明细（代销出入库明细）动态查询</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可以在同一界面筛选查询所有或部分院区，按库房、科室、时间、耗材信息、收费、病人、医生等多维度动态查询出入库明细情况。在各院区支持在院区下按库房、科室、时间、耗材信息、病人、医生等多维度动态查询出入库明细情况。</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库存台账查询</w:t>
            </w:r>
            <w:r>
              <w:rPr>
                <w:rFonts w:hint="eastAsia" w:ascii="宋体" w:hAnsi="宋体" w:cs="宋体"/>
                <w:sz w:val="24"/>
                <w:szCs w:val="24"/>
              </w:rPr>
            </w:r>
            <w:r/>
          </w:p>
        </w:tc>
        <w:tc>
          <w:tcPr>
            <w:tcW w:w="6109" w:type="dxa"/>
            <w:vAlign w:val="top"/>
            <w:textDirection w:val="lrTb"/>
            <w:noWrap w:val="false"/>
          </w:tcPr>
          <w:p>
            <w:pPr>
              <w:pStyle w:val="961"/>
              <w:ind w:firstLine="480"/>
              <w:jc w:val="left"/>
              <w:spacing w:line="360" w:lineRule="exact"/>
              <w:rPr>
                <w:rFonts w:hint="eastAsia" w:ascii="宋体" w:hAnsi="宋体" w:cs="宋体"/>
                <w:sz w:val="24"/>
                <w:szCs w:val="24"/>
              </w:rPr>
            </w:pPr>
            <w:r>
              <w:rPr>
                <w:rFonts w:hint="eastAsia" w:ascii="宋体" w:hAnsi="宋体" w:cs="宋体"/>
                <w:sz w:val="24"/>
                <w:szCs w:val="24"/>
              </w:rPr>
              <w:t xml:space="preserve">可以在同一界面筛选查询所有或部分院区，支持按库房、耗材名称、注册证号、平台编码、批号等条件动态检索各个二级库库存，以便调价、供应商变更、不良事件召回等操作。在各院区支持查询所在院区按库房、耗材名称、注册证号、平台编码、批号等条件动态检索各个二级库库存。</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5</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耗材收支配比分析</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可以在同一界面筛选查询所有或部分院区，查询各库房对单个可收费耗材收费数量与期初库存量、入库量、出库量、结存量的对比分析，可按时间、耗材名称、规格型号、收费项目等条件生成耗材收支配比分析数据。在各院区可查询各库房对单个可收费耗材收费数量与期初库存量、入库量、出库量、结存量的对比分析，可按时间、耗材名称、规格型号、收费项目等条件生成耗材收支配比分析数据</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检验试剂收支配比分析</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可以在同一界面筛选查询所有或部分院区，查询各库房对单个试剂对应的检测项目检测量与期初库存量、入库量、出库量、结存量的对比分析，可按时间、试剂名称、规格型号、检测项目等条件生成试剂收支配比分析数据。在各院区可查询库房对单个试剂对应的检测项目检测量与期初库存量、入库量、出库量、结存量的对各比分析，可按时间、试剂名称、规格型号、检测项目等条件生成试剂收支配比分析数据。</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库存周转率</w:t>
            </w:r>
            <w:r>
              <w:rPr>
                <w:rFonts w:hint="eastAsia" w:ascii="宋体" w:hAnsi="宋体" w:cs="宋体"/>
                <w:sz w:val="24"/>
                <w:szCs w:val="24"/>
              </w:rPr>
            </w:r>
            <w:r/>
          </w:p>
        </w:tc>
        <w:tc>
          <w:tcPr>
            <w:tcW w:w="6109"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可查询每个耗材整体周转率及在各二级库房的周转率</w:t>
            </w:r>
            <w:r>
              <w:rPr>
                <w:rFonts w:hint="eastAsia" w:ascii="宋体" w:hAnsi="宋体" w:cs="宋体"/>
                <w:sz w:val="24"/>
                <w:szCs w:val="24"/>
              </w:rPr>
            </w:r>
            <w:r/>
          </w:p>
        </w:tc>
      </w:tr>
      <w:tr>
        <w:trPr/>
        <w:tc>
          <w:tcPr>
            <w:tcW w:w="860" w:type="dxa"/>
            <w:vAlign w:val="center"/>
            <w:textDirection w:val="lrTb"/>
            <w:noWrap w:val="false"/>
          </w:tcPr>
          <w:p>
            <w:pPr>
              <w:pStyle w:val="961"/>
              <w:jc w:val="center"/>
              <w:spacing w:line="360" w:lineRule="exact"/>
              <w:rPr>
                <w:rFonts w:ascii="宋体" w:hAnsi="宋体" w:cs="宋体"/>
                <w:b/>
                <w:bCs/>
                <w:sz w:val="24"/>
                <w:szCs w:val="24"/>
              </w:rPr>
            </w:pPr>
            <w:r>
              <w:rPr>
                <w:rFonts w:hint="eastAsia" w:ascii="宋体" w:hAnsi="宋体" w:cs="宋体"/>
                <w:b/>
                <w:bCs/>
                <w:sz w:val="24"/>
                <w:szCs w:val="24"/>
              </w:rPr>
              <w:t xml:space="preserve">8</w:t>
            </w:r>
            <w:r>
              <w:rPr>
                <w:rFonts w:ascii="宋体" w:hAnsi="宋体" w:cs="宋体"/>
                <w:b/>
                <w:bCs/>
                <w:sz w:val="24"/>
                <w:szCs w:val="24"/>
              </w:rPr>
            </w:r>
            <w:r/>
          </w:p>
        </w:tc>
        <w:tc>
          <w:tcPr>
            <w:tcW w:w="1636" w:type="dxa"/>
            <w:vAlign w:val="top"/>
            <w:textDirection w:val="lrTb"/>
            <w:noWrap w:val="false"/>
          </w:tcPr>
          <w:p>
            <w:pPr>
              <w:pStyle w:val="961"/>
              <w:spacing w:line="360" w:lineRule="exact"/>
              <w:rPr>
                <w:rFonts w:hint="eastAsia" w:ascii="宋体" w:hAnsi="宋体" w:cs="宋体"/>
                <w:sz w:val="24"/>
                <w:szCs w:val="24"/>
              </w:rPr>
            </w:pPr>
            <w:r>
              <w:rPr>
                <w:rFonts w:hint="eastAsia" w:ascii="宋体" w:hAnsi="宋体" w:cs="宋体"/>
                <w:sz w:val="24"/>
                <w:szCs w:val="24"/>
              </w:rPr>
              <w:t xml:space="preserve">报表管理</w:t>
            </w:r>
            <w:r>
              <w:rPr>
                <w:rFonts w:hint="eastAsia" w:ascii="宋体" w:hAnsi="宋体" w:cs="宋体"/>
                <w:sz w:val="24"/>
                <w:szCs w:val="24"/>
              </w:rPr>
            </w:r>
            <w:r/>
          </w:p>
        </w:tc>
        <w:tc>
          <w:tcPr>
            <w:tcW w:w="6109" w:type="dxa"/>
            <w:vAlign w:val="top"/>
            <w:textDirection w:val="lrTb"/>
            <w:noWrap w:val="false"/>
          </w:tcPr>
          <w:p>
            <w:pPr>
              <w:pStyle w:val="961"/>
              <w:ind w:firstLine="480"/>
              <w:jc w:val="left"/>
              <w:spacing w:line="360" w:lineRule="exact"/>
              <w:rPr>
                <w:rFonts w:hint="eastAsia" w:ascii="宋体" w:hAnsi="宋体" w:cs="宋体"/>
                <w:sz w:val="24"/>
                <w:szCs w:val="24"/>
              </w:rPr>
            </w:pPr>
            <w:r>
              <w:rPr>
                <w:rFonts w:hint="eastAsia" w:ascii="宋体" w:hAnsi="宋体" w:cs="宋体"/>
                <w:sz w:val="24"/>
                <w:szCs w:val="24"/>
              </w:rPr>
              <w:t xml:space="preserve">材料库存汇总表、出入库及收费对比表、科室支出汇总表、等，根据医院管理需求，可定制各种报表。</w:t>
            </w:r>
            <w:r>
              <w:rPr>
                <w:rFonts w:hint="eastAsia" w:ascii="宋体" w:hAnsi="宋体" w:cs="宋体"/>
                <w:sz w:val="24"/>
                <w:szCs w:val="24"/>
              </w:rPr>
            </w:r>
            <w:r/>
          </w:p>
        </w:tc>
      </w:tr>
    </w:tbl>
    <w:p>
      <w:pPr>
        <w:pStyle w:val="961"/>
        <w:ind w:firstLine="562"/>
        <w:jc w:val="left"/>
        <w:spacing w:line="360" w:lineRule="auto"/>
        <w:rPr>
          <w:b/>
          <w:sz w:val="28"/>
        </w:rPr>
      </w:pPr>
      <w:r>
        <w:rPr>
          <w:rFonts w:hint="eastAsia"/>
          <w:b/>
          <w:sz w:val="28"/>
        </w:rPr>
        <w:t xml:space="preserve">四、项目建设要求</w:t>
      </w:r>
      <w:r>
        <w:rPr>
          <w:b/>
          <w:sz w:val="28"/>
        </w:rPr>
      </w:r>
      <w:r/>
    </w:p>
    <w:p>
      <w:pPr>
        <w:pStyle w:val="961"/>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（一）履约能力</w:t>
      </w:r>
      <w:r>
        <w:rPr>
          <w:rFonts w:hint="eastAsia" w:ascii="方正仿宋_GBK" w:hAnsi="方正仿宋_GBK" w:eastAsia="方正仿宋_GBK" w:cs="方正仿宋_GBK"/>
          <w:b/>
          <w:bCs/>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1、资质要求</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投标人需提供ISO9001 质量管理体系认证资质证书。</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2、国产化要求</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本项目涉及的软件产品须满足国产化要求。供应商需提供软件产品在主流国产操作系统和</w:t>
      </w:r>
      <w:r>
        <w:rPr>
          <w:rFonts w:hint="eastAsia" w:ascii="方正仿宋_GBK" w:hAnsi="方正仿宋_GBK" w:eastAsia="方正仿宋_GBK" w:cs="方正仿宋_GBK"/>
          <w:sz w:val="28"/>
          <w:szCs w:val="28"/>
          <w:highlight w:val="yellow"/>
        </w:rPr>
        <w:t xml:space="preserve">海量数据库或南大通用数据库</w:t>
      </w:r>
      <w:r>
        <w:rPr>
          <w:rFonts w:hint="eastAsia" w:ascii="方正仿宋_GBK" w:hAnsi="方正仿宋_GBK" w:eastAsia="方正仿宋_GBK" w:cs="方正仿宋_GBK"/>
          <w:sz w:val="28"/>
          <w:szCs w:val="28"/>
        </w:rPr>
        <w:t xml:space="preserve">国产数据库</w:t>
      </w:r>
      <w:r>
        <w:rPr>
          <w:rFonts w:hint="eastAsia" w:ascii="方正仿宋_GBK" w:hAnsi="方正仿宋_GBK" w:eastAsia="方正仿宋_GBK" w:cs="方正仿宋_GBK"/>
          <w:sz w:val="28"/>
          <w:szCs w:val="28"/>
        </w:rPr>
        <w:t xml:space="preserve">上的兼容性测试证明或适配承诺书。</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3、项目团队成员</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投标人应成立专门的项目实施团队，项目实施期间驻场工程师人数不少于3人。</w:t>
      </w:r>
      <w:bookmarkStart w:id="64" w:name="OLE_LINK9"/>
      <w:r/>
      <w:bookmarkStart w:id="65" w:name="OLE_LINK12"/>
      <w:r>
        <w:rPr>
          <w:rFonts w:hint="eastAsia" w:ascii="方正仿宋_GBK" w:hAnsi="方正仿宋_GBK" w:eastAsia="方正仿宋_GBK" w:cs="方正仿宋_GBK"/>
          <w:sz w:val="28"/>
          <w:szCs w:val="28"/>
        </w:rPr>
        <w:t xml:space="preserve">项目经理应具有信息类高级职称证书或信息系统项目管理师证书，以及3年以上相关项目实施工作经验（提供项目经理基本情况介绍及供应商6个月以来任意1个月为其缴纳社保的缴费记录）</w:t>
      </w:r>
      <w:bookmarkEnd w:id="64"/>
      <w:r/>
      <w:bookmarkEnd w:id="65"/>
      <w:r>
        <w:rPr>
          <w:rFonts w:hint="eastAsia" w:ascii="方正仿宋_GBK" w:hAnsi="方正仿宋_GBK" w:eastAsia="方正仿宋_GBK" w:cs="方正仿宋_GBK"/>
          <w:sz w:val="28"/>
          <w:szCs w:val="28"/>
        </w:rPr>
        <w:t xml:space="preserve">，并参与项目全过程。项目组成员具有软件设计师证书、数据库系统工程师证书、系统架构设计师证书。驻场人员需遵守医院的各项工作规章制度，并与医院作息时间一致。</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4、成功实施经验</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投标人需提供2023年1月1日（以合同签订时间为准）以来同类项目（耗材库相关）开发业绩，系统为投标人所实施，提供合同证明文件复印件或扫描件并加盖公章。</w:t>
      </w:r>
      <w:r>
        <w:rPr>
          <w:rFonts w:hint="eastAsia" w:ascii="方正仿宋_GBK" w:hAnsi="方正仿宋_GBK" w:eastAsia="方正仿宋_GBK" w:cs="方正仿宋_GBK"/>
          <w:sz w:val="28"/>
          <w:szCs w:val="28"/>
        </w:rPr>
      </w:r>
      <w:r/>
    </w:p>
    <w:p>
      <w:pPr>
        <w:pStyle w:val="961"/>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（二）项目实施及验收</w:t>
      </w:r>
      <w:r>
        <w:rPr>
          <w:rFonts w:hint="eastAsia" w:ascii="方正仿宋_GBK" w:hAnsi="方正仿宋_GBK" w:eastAsia="方正仿宋_GBK" w:cs="方正仿宋_GBK"/>
          <w:b/>
          <w:bCs/>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1、项目实施方案</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应根据招标文件要求及本项目特点，制订项目实施方案，包括各节点时间进度、人员配置安排、联合调试方案等。实施方案应做到完整全面、科学可行，并有针对性，配备具有相应资质和经验的项目经理及技术实施人员，服从医院管理要求，确保在规定的交付时限内完成。</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人应根据项目建设目标和建设内容，对项目的需求分析、系统集成实施准备、系统培训、系统部署、硬件安装调试、系统试运行、系统验收等做出详细的实施方案。对项目组织架构、人员及职责、工作内容、进度计划做出详细的安排。</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（3）项目实施流程需按照医院管理规定进行，详细记录系统开发上线的全过程，形成完善的工作文档（包括开发、测试、培训、发布、会议纪要等相关文档）。</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2、项目培训方案</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（1）对医院主要技术人员和骨干用户提供系统使用及维护培训，对普通用户提供系统使用培训。</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（2）对医院主要技术人员提供系统开发所需的主要技术培训，如操作系统、数据库、开发工具的厂家认证培训，以及应用系统平台的二次开发培训。</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（3）投标人应提供完善的培训方案，包含培训内容、培训时间、培训方式、所需要培训环境等。</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（4）投标人应提供现场/远程培训，必须无偿提供培训文档等所有相关资料，同时允许在医院内部使用。</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3、验收标准</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本项目正式上线稳定运行三个月，并且达到医院的验收标准后，双方组织验收，共同签署验收报告。</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中标人应负责在项目验收时将系统的全部有关技术文件、资料、安装、测试、验收报告、数据结构等文档汇集成册交付医院。</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验收文档包括但不限于：安装程序、软件部署环境文档、项目计划书、需求变更单、实施方案、培训方案等项目文档、软件需求说明书、接口规范说明、数据字典、测试报告、验收报告、系统故障应急预案、用户使用手册。</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4、售后服务要求</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（1）投标人应响应本招标项目服务要求并在投标文件中提供具体的售后服务方案。</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（2）投标人对所提供的系统出现的软件缺陷，须实行终身免费修改维护。</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（3）投标人应具有完善的售后服务管理体系，提供完善的售后服务和应急响应方案及承诺，投标书中需注明。</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（4）免费维保期（质保期）自合同项目正式验收起一年。供应商应列明免费维护结束后,每年的维保费用和维保方案。软件维保费用不超过合同额的 7% 。</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（5）免费维保期内，供应商必须派遣熟悉本项目并有一定的开发维护经验的工程师进行系统维护及日常问题处理，每月&gt;=4次对系统进行巡检维护（须提供巡检记录文档），保证系统在最优状态下稳定运行。</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免费维保期内供应商应采用定期走访、现场服务、电话和网络咨询等方式为用户提供全方位技术服务；如系统出现故障不能正常运行，供应商在接到医院的请求后，应立即安排技术人员进行维护，按照国家及行业标准对故障进行及时处理，须在故障发生后2小时内予以解决，造成恶劣影响的，根据医院相关规定进行处罚。</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bookmarkStart w:id="66" w:name="OLE_LINK19"/>
      <w:r/>
      <w:bookmarkStart w:id="67" w:name="OLE_LINK20"/>
      <w:r>
        <w:rPr>
          <w:rFonts w:hint="eastAsia" w:ascii="方正仿宋_GBK" w:hAnsi="方正仿宋_GBK" w:eastAsia="方正仿宋_GBK" w:cs="方正仿宋_GBK"/>
          <w:sz w:val="28"/>
          <w:szCs w:val="28"/>
        </w:rPr>
        <w:t xml:space="preserve">项目安全管控</w:t>
      </w:r>
      <w:bookmarkEnd w:id="66"/>
      <w:r/>
      <w:bookmarkEnd w:id="67"/>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中标人须与医院签订《信息安全与保密协议》，遵守国家相关政策法规及医院信息安全规章制度，未经许可不得泄露医院任何资料，包括但不限于技术文档、数据文件、应用程序、患者资料、医疗档案等。 </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投标人应具有完善的质量管理和控制体系。对本项目的风险预见以及风险规避有系统的解决方案，对项目进行中的突发事件有应急预案。有完善的数据安全与保密方案。</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五、商务要求</w:t>
      </w:r>
      <w:r>
        <w:rPr>
          <w:rFonts w:hint="eastAsia" w:ascii="方正黑体_GBK" w:hAnsi="方正黑体_GBK" w:eastAsia="方正黑体_GBK" w:cs="方正黑体_GBK"/>
          <w:bCs/>
          <w:sz w:val="28"/>
          <w:szCs w:val="28"/>
        </w:rPr>
      </w:r>
      <w:r/>
    </w:p>
    <w:p>
      <w:pPr>
        <w:pStyle w:val="961"/>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61"/>
        <w:ind w:firstLine="562"/>
        <w:spacing w:line="44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（一）质保及售后技术服务要求</w:t>
      </w:r>
      <w:r>
        <w:rPr>
          <w:rFonts w:hint="eastAsia" w:ascii="方正仿宋_GBK" w:hAnsi="方正仿宋_GBK" w:eastAsia="方正仿宋_GBK" w:cs="方正仿宋_GBK"/>
          <w:sz w:val="28"/>
          <w:szCs w:val="28"/>
        </w:rPr>
      </w:r>
      <w:r/>
    </w:p>
    <w:p>
      <w:pPr>
        <w:pStyle w:val="961"/>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sz w:val="28"/>
          <w:szCs w:val="28"/>
        </w:rPr>
        <w:t xml:space="preserve">提供原厂质保≥1年，自采购人验收合格，验收报告确认签字日起，开始进入质保期。</w:t>
      </w:r>
      <w:r>
        <w:rPr>
          <w:rFonts w:hint="eastAsia" w:ascii="方正仿宋_GBK" w:hAnsi="方正仿宋_GBK" w:eastAsia="方正仿宋_GBK" w:cs="方正仿宋_GBK"/>
          <w:bCs/>
          <w:sz w:val="28"/>
          <w:szCs w:val="28"/>
        </w:rPr>
      </w:r>
      <w:r/>
    </w:p>
    <w:p>
      <w:pPr>
        <w:pStyle w:val="961"/>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iCs/>
          <w:sz w:val="28"/>
          <w:szCs w:val="28"/>
        </w:rPr>
        <w:t xml:space="preserve">1.2</w:t>
      </w:r>
      <w:r>
        <w:rPr>
          <w:rFonts w:hint="eastAsia" w:ascii="方正仿宋_GBK" w:hAnsi="方正仿宋_GBK" w:eastAsia="方正仿宋_GBK" w:cs="方正仿宋_GBK"/>
          <w:bCs/>
          <w:sz w:val="28"/>
          <w:szCs w:val="28"/>
        </w:rPr>
        <w:t xml:space="preserve"> 质保期内，一旦发生质量问题，</w:t>
      </w:r>
      <w:r>
        <w:rPr>
          <w:rFonts w:hint="eastAsia" w:ascii="方正仿宋_GBK" w:hAnsi="方正仿宋_GBK" w:eastAsia="方正仿宋_GBK" w:cs="方正仿宋_GBK"/>
          <w:sz w:val="28"/>
          <w:szCs w:val="28"/>
        </w:rPr>
        <w:t xml:space="preserve">投标人</w:t>
      </w:r>
      <w:r>
        <w:rPr>
          <w:rFonts w:hint="eastAsia" w:ascii="方正仿宋_GBK" w:hAnsi="方正仿宋_GBK" w:eastAsia="方正仿宋_GBK" w:cs="方正仿宋_GBK"/>
          <w:bCs/>
          <w:sz w:val="28"/>
          <w:szCs w:val="28"/>
        </w:rPr>
        <w:t xml:space="preserve">在接到通知的1小时内响应，在3小时内到达现场，一切费用由供货商负责。更换部件时须保证与原有产品的规格、型号、颜色和结构的一致性，并不得影响已使用场所的正常工作的开展。</w:t>
      </w:r>
      <w:r>
        <w:rPr>
          <w:rFonts w:hint="eastAsia" w:ascii="方正仿宋_GBK" w:hAnsi="方正仿宋_GBK" w:eastAsia="方正仿宋_GBK" w:cs="方正仿宋_GBK"/>
          <w:bCs/>
          <w:sz w:val="28"/>
          <w:szCs w:val="28"/>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1.3投标人需提供以下书面承诺：</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（1）本次采购的软件要求不影响现有的业务系统，投标人要负责平台的部署。本项目投标总报价包括本次采购、安装调试、数据和售后服务等所有费用；</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2）投标人提供的软件平台（系统）能与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收费。</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3）投标人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收费。并保证所涉系统正常运行。</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（4）在不涉及大版本升级的情况下，无条件配合医院调整功能、需求。软件功能满足采购人个性化需求修改。且不再另行向采购人收费。并保证所涉系统正常运行。</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（5）采购人只提供项目所需硬件资源基础设施，投标人为本项目提供的所有软件（含服务器端的操作系统、数据库等第三方软件），均需为正版软件，若由于未使用正版软件引起纠纷或处罚，由供应商负责。</w:t>
      </w:r>
      <w:r>
        <w:rPr>
          <w:rFonts w:hint="eastAsia" w:ascii="方正仿宋_GBK" w:hAnsi="方正仿宋_GBK" w:eastAsia="方正仿宋_GBK" w:cs="方正仿宋_GBK"/>
          <w:b/>
          <w:i/>
          <w:iCs/>
          <w:sz w:val="28"/>
          <w:szCs w:val="28"/>
          <w:u w:val="single"/>
        </w:rPr>
      </w:r>
      <w:r/>
    </w:p>
    <w:p>
      <w:pPr>
        <w:pStyle w:val="961"/>
        <w:ind w:firstLine="562"/>
        <w:spacing w:line="44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（二）交货期、交货方式及交货地点</w:t>
      </w:r>
      <w:r>
        <w:rPr>
          <w:rFonts w:hint="eastAsia" w:ascii="方正仿宋_GBK" w:hAnsi="方正仿宋_GBK" w:eastAsia="方正仿宋_GBK" w:cs="方正仿宋_GBK"/>
          <w:b/>
          <w:sz w:val="28"/>
          <w:szCs w:val="28"/>
        </w:rPr>
      </w:r>
      <w:r/>
    </w:p>
    <w:p>
      <w:pPr>
        <w:pStyle w:val="961"/>
        <w:ind w:firstLine="560"/>
        <w:spacing w:line="44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2.1交货期：收到中标通知书后3个月内。</w:t>
      </w:r>
      <w:r>
        <w:rPr>
          <w:rFonts w:hint="eastAsia" w:ascii="方正仿宋_GBK" w:hAnsi="方正仿宋_GBK" w:eastAsia="方正仿宋_GBK" w:cs="方正仿宋_GBK"/>
          <w:b/>
          <w:sz w:val="28"/>
          <w:szCs w:val="28"/>
        </w:rPr>
      </w:r>
      <w:r/>
    </w:p>
    <w:p>
      <w:pPr>
        <w:pStyle w:val="961"/>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2.2交货方式：</w:t>
      </w:r>
      <w:r>
        <w:rPr>
          <w:rFonts w:hint="eastAsia" w:ascii="方正仿宋_GBK" w:hAnsi="方正仿宋_GBK" w:eastAsia="方正仿宋_GBK" w:cs="方正仿宋_GBK"/>
          <w:sz w:val="28"/>
          <w:szCs w:val="28"/>
        </w:rPr>
        <w:t xml:space="preserve">投标人</w:t>
      </w:r>
      <w:r>
        <w:rPr>
          <w:rFonts w:hint="eastAsia" w:ascii="方正仿宋_GBK" w:hAnsi="方正仿宋_GBK" w:eastAsia="方正仿宋_GBK" w:cs="方正仿宋_GBK"/>
          <w:bCs/>
          <w:sz w:val="28"/>
          <w:szCs w:val="28"/>
        </w:rPr>
        <w:t xml:space="preserve">在采购人指定地点交货，并完成安装、调试。</w:t>
      </w:r>
      <w:r>
        <w:rPr>
          <w:rFonts w:hint="eastAsia" w:ascii="方正仿宋_GBK" w:hAnsi="方正仿宋_GBK" w:eastAsia="方正仿宋_GBK" w:cs="方正仿宋_GBK"/>
          <w:bCs/>
          <w:sz w:val="28"/>
          <w:szCs w:val="28"/>
        </w:rPr>
      </w:r>
      <w:r/>
    </w:p>
    <w:p>
      <w:pPr>
        <w:pStyle w:val="961"/>
        <w:ind w:firstLine="560"/>
        <w:spacing w:line="44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2.3交货地点：</w:t>
      </w:r>
      <w:r>
        <w:rPr>
          <w:rFonts w:hint="eastAsia" w:ascii="方正仿宋_GBK" w:hAnsi="方正仿宋_GBK" w:eastAsia="方正仿宋_GBK" w:cs="方正仿宋_GBK"/>
          <w:sz w:val="28"/>
          <w:szCs w:val="28"/>
        </w:rPr>
        <w:t xml:space="preserve">江苏省中医院，由</w:t>
      </w:r>
      <w:r>
        <w:rPr>
          <w:rFonts w:hint="eastAsia" w:ascii="方正仿宋_GBK" w:hAnsi="方正仿宋_GBK" w:eastAsia="方正仿宋_GBK" w:cs="方正仿宋_GBK"/>
          <w:sz w:val="28"/>
          <w:szCs w:val="28"/>
        </w:rPr>
        <w:t xml:space="preserve">投标人</w:t>
      </w:r>
      <w:r>
        <w:rPr>
          <w:rFonts w:hint="eastAsia" w:ascii="方正仿宋_GBK" w:hAnsi="方正仿宋_GBK" w:eastAsia="方正仿宋_GBK" w:cs="方正仿宋_GBK"/>
          <w:sz w:val="28"/>
          <w:szCs w:val="28"/>
        </w:rPr>
        <w:t xml:space="preserve">负责办理运输和装卸等，费用由</w:t>
      </w:r>
      <w:r>
        <w:rPr>
          <w:rFonts w:hint="eastAsia" w:ascii="方正仿宋_GBK" w:hAnsi="方正仿宋_GBK" w:eastAsia="方正仿宋_GBK" w:cs="方正仿宋_GBK"/>
          <w:sz w:val="28"/>
          <w:szCs w:val="28"/>
        </w:rPr>
        <w:t xml:space="preserve">投标人</w:t>
      </w:r>
      <w:r>
        <w:rPr>
          <w:rFonts w:hint="eastAsia" w:ascii="方正仿宋_GBK" w:hAnsi="方正仿宋_GBK" w:eastAsia="方正仿宋_GBK" w:cs="方正仿宋_GBK"/>
          <w:sz w:val="28"/>
          <w:szCs w:val="28"/>
        </w:rPr>
        <w:t xml:space="preserve">负责，采购人组织验收，检验不合格或不符合质量要求，供应商除无条件退货、返工外，还应承担采购人由此造成的一切损失。</w:t>
      </w:r>
      <w:r>
        <w:rPr>
          <w:rFonts w:hint="eastAsia" w:ascii="方正仿宋_GBK" w:hAnsi="方正仿宋_GBK" w:eastAsia="方正仿宋_GBK" w:cs="方正仿宋_GBK"/>
          <w:b/>
          <w:sz w:val="28"/>
          <w:szCs w:val="28"/>
        </w:rPr>
      </w:r>
      <w:r/>
    </w:p>
    <w:p>
      <w:pPr>
        <w:pStyle w:val="961"/>
        <w:ind w:firstLine="562"/>
        <w:spacing w:line="44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（三）付款方式</w:t>
      </w:r>
      <w:r>
        <w:rPr>
          <w:rFonts w:hint="eastAsia" w:ascii="方正仿宋_GBK" w:hAnsi="方正仿宋_GBK" w:eastAsia="方正仿宋_GBK" w:cs="方正仿宋_GBK"/>
          <w:b/>
          <w:sz w:val="28"/>
          <w:szCs w:val="28"/>
        </w:rPr>
      </w:r>
      <w:r/>
    </w:p>
    <w:p>
      <w:pPr>
        <w:pStyle w:val="961"/>
        <w:ind w:firstLine="5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sz w:val="28"/>
          <w:szCs w:val="28"/>
        </w:rPr>
        <w:t xml:space="preserve">本项目</w:t>
      </w:r>
      <w:r>
        <w:rPr>
          <w:rFonts w:hint="eastAsia" w:ascii="方正仿宋_GBK" w:hAnsi="方正仿宋_GBK" w:eastAsia="方正仿宋_GBK" w:cs="方正仿宋_GBK"/>
          <w:sz w:val="28"/>
          <w:szCs w:val="28"/>
        </w:rPr>
        <w:t xml:space="preserve">合同签订完成后支付合同总价的30% 的预付款，系统进入开发和实施阶段。乙方需提供不低于本次付款金额的发票。</w:t>
      </w:r>
      <w:r>
        <w:rPr>
          <w:rFonts w:hint="eastAsia" w:ascii="方正仿宋_GBK" w:hAnsi="方正仿宋_GBK" w:eastAsia="方正仿宋_GBK" w:cs="方正仿宋_GBK"/>
          <w:sz w:val="28"/>
          <w:szCs w:val="28"/>
        </w:rPr>
      </w:r>
      <w:r/>
    </w:p>
    <w:p>
      <w:pPr>
        <w:pStyle w:val="961"/>
        <w:ind w:firstLine="5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整个系统经江苏省中医院验收合格后，支付合同总额的70%。系统进入免费维护阶段。乙方本次付款前需提供项目全额发票。</w:t>
      </w:r>
      <w:r>
        <w:rPr>
          <w:rFonts w:hint="eastAsia" w:ascii="方正仿宋_GBK" w:hAnsi="方正仿宋_GBK" w:eastAsia="方正仿宋_GBK" w:cs="方正仿宋_GBK"/>
          <w:sz w:val="28"/>
          <w:szCs w:val="28"/>
        </w:rPr>
      </w:r>
      <w:r/>
    </w:p>
    <w:p>
      <w:pPr>
        <w:pStyle w:val="961"/>
        <w:contextualSpacing/>
        <w:ind w:firstLine="560"/>
        <w:spacing w:before="145" w:after="145" w:line="440" w:lineRule="exact"/>
        <w:rPr>
          <w:rFonts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w:t>
      </w:r>
      <w:bookmarkStart w:id="68" w:name="OLE_LINK2"/>
      <w:r>
        <w:rPr>
          <w:rFonts w:hint="eastAsia" w:ascii="方正仿宋_GBK" w:hAnsi="方正仿宋_GBK" w:eastAsia="方正仿宋_GBK" w:cs="方正仿宋_GBK"/>
          <w:b w:val="0"/>
          <w:bCs/>
          <w:i w:val="0"/>
          <w:iCs w:val="0"/>
          <w:sz w:val="28"/>
          <w:szCs w:val="28"/>
          <w:u w:val="none"/>
        </w:rPr>
        <w:t xml:space="preserve"> </w:t>
      </w:r>
      <w:r>
        <w:rPr>
          <w:rFonts w:hint="eastAsia" w:ascii="方正仿宋_GBK" w:hAnsi="方正仿宋_GBK" w:eastAsia="方正仿宋_GBK" w:cs="方正仿宋_GBK"/>
          <w:b w:val="0"/>
          <w:bCs/>
          <w:i w:val="0"/>
          <w:iCs w:val="0"/>
          <w:sz w:val="28"/>
          <w:szCs w:val="28"/>
          <w:u w:val="none"/>
        </w:rPr>
        <w:t xml:space="preserve">履约保证金：</w:t>
      </w:r>
      <w:r>
        <w:rPr>
          <w:rFonts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中标人应在合同签订前缴纳合同总价10%的履约保证金。</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3.3.1履约保证金应在采购合同签订后支付预付款前提交，除银行电汇、网上银行、数字人民币外，投标人还可选用银行保函、担保公司的保证担保或保险公司的保证保险等多种形式向采购人缴纳；</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3.3.3履约保证金退还的条件：采购人在项目通过验收后按照合同条款规定的时间内将履约保证金退还中标人；</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履约保证金退还时间：符合退还条件的5个工作日内退还；</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3.3.4逾期退还履约保证金的违约责任：除应当退还履约保证金外，还应当按照合同条款规定的比例支付超期资金占用费，但因投标人自身原因导致无法及时退还的除外。</w:t>
      </w:r>
      <w:r>
        <w:rPr>
          <w:rFonts w:hint="eastAsia" w:ascii="方正仿宋_GBK" w:hAnsi="方正仿宋_GBK" w:eastAsia="方正仿宋_GBK" w:cs="方正仿宋_GBK"/>
          <w:b w:val="0"/>
          <w:bCs/>
          <w:i w:val="0"/>
          <w:iCs w:val="0"/>
          <w:sz w:val="28"/>
          <w:szCs w:val="28"/>
          <w:u w:val="none"/>
        </w:rPr>
      </w:r>
      <w:r/>
    </w:p>
    <w:p>
      <w:pPr>
        <w:pStyle w:val="961"/>
        <w:contextualSpacing/>
        <w:ind w:firstLine="560"/>
        <w:spacing w:before="145" w:after="145" w:line="440" w:lineRule="exact"/>
        <w:rPr>
          <w:rStyle w:val="1037"/>
          <w:rFonts w:hint="eastAsia" w:ascii="方正仿宋_GBK" w:hAnsi="方正仿宋_GBK" w:eastAsia="方正仿宋_GBK" w:cs="方正仿宋_GBK"/>
          <w:b w:val="0"/>
          <w:bCs/>
          <w:i w:val="0"/>
          <w:iCs w:val="0"/>
          <w:sz w:val="28"/>
          <w:szCs w:val="28"/>
          <w:u w:val="none"/>
        </w:rPr>
      </w:pPr>
      <w:r>
        <w:rPr>
          <w:rFonts w:hint="eastAsia" w:ascii="方正仿宋_GBK" w:hAnsi="方正仿宋_GBK" w:eastAsia="方正仿宋_GBK" w:cs="方正仿宋_GBK"/>
          <w:b w:val="0"/>
          <w:bCs/>
          <w:i w:val="0"/>
          <w:iCs w:val="0"/>
          <w:sz w:val="28"/>
          <w:szCs w:val="28"/>
          <w:u w:val="none"/>
        </w:rPr>
        <w:t xml:space="preserve">3.3.5本项目支持和鼓励投标人使用江苏政府采购电子履约保函（保险）代替缴纳履约保证金。关于办理流程、偿付等内容详见江苏省政府采购网《关于在全省政府采购领域推行电子履约保函（保险） 的通知》 （苏财购﹝2023﹞150号）。</w:t>
      </w:r>
      <w:bookmarkEnd w:id="68"/>
      <w:r/>
      <w:bookmarkStart w:id="69" w:name="OLE_LINK3"/>
      <w:r>
        <w:rPr>
          <w:rStyle w:val="1037"/>
          <w:rFonts w:hint="eastAsia" w:ascii="方正仿宋_GBK" w:hAnsi="方正仿宋_GBK" w:eastAsia="方正仿宋_GBK" w:cs="方正仿宋_GBK"/>
          <w:b w:val="0"/>
          <w:bCs/>
          <w:i w:val="0"/>
          <w:iCs w:val="0"/>
          <w:sz w:val="28"/>
          <w:szCs w:val="28"/>
          <w:u w:val="none"/>
        </w:rPr>
      </w:r>
      <w:r/>
    </w:p>
    <w:p>
      <w:pPr>
        <w:pStyle w:val="961"/>
        <w:ind w:firstLine="562"/>
        <w:spacing w:line="440" w:lineRule="exact"/>
        <w:rPr>
          <w:rFonts w:hint="eastAsia" w:ascii="方正仿宋_GBK" w:hAnsi="方正仿宋_GBK" w:eastAsia="方正仿宋_GBK" w:cs="方正仿宋_GBK"/>
          <w:b/>
          <w:sz w:val="28"/>
          <w:szCs w:val="28"/>
        </w:rPr>
      </w:pPr>
      <w:r/>
      <w:bookmarkEnd w:id="69"/>
      <w:r>
        <w:rPr>
          <w:rFonts w:hint="eastAsia" w:ascii="方正仿宋_GBK" w:hAnsi="方正仿宋_GBK" w:eastAsia="方正仿宋_GBK" w:cs="方正仿宋_GBK"/>
          <w:b/>
          <w:sz w:val="28"/>
          <w:szCs w:val="28"/>
        </w:rPr>
        <w:t xml:space="preserve">（四）货币</w:t>
      </w:r>
      <w:r>
        <w:rPr>
          <w:rFonts w:hint="eastAsia" w:ascii="方正仿宋_GBK" w:hAnsi="方正仿宋_GBK" w:eastAsia="方正仿宋_GBK" w:cs="方正仿宋_GBK"/>
          <w:b/>
          <w:sz w:val="28"/>
          <w:szCs w:val="28"/>
        </w:rPr>
      </w:r>
      <w:r/>
    </w:p>
    <w:p>
      <w:pPr>
        <w:pStyle w:val="961"/>
        <w:ind w:firstLine="560"/>
        <w:spacing w:line="44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投标文件中的国产或进口货物单价和总价均采用</w:t>
      </w:r>
      <w:r>
        <w:rPr>
          <w:rFonts w:hint="eastAsia" w:ascii="方正仿宋_GBK" w:hAnsi="方正仿宋_GBK" w:eastAsia="方正仿宋_GBK" w:cs="方正仿宋_GBK"/>
          <w:b/>
          <w:sz w:val="28"/>
          <w:szCs w:val="28"/>
          <w:lang w:val="zh-CN"/>
        </w:rPr>
        <w:t xml:space="preserve">人民币</w:t>
      </w:r>
      <w:r>
        <w:rPr>
          <w:rFonts w:hint="eastAsia" w:ascii="方正仿宋_GBK" w:hAnsi="方正仿宋_GBK" w:eastAsia="方正仿宋_GBK" w:cs="方正仿宋_GBK"/>
          <w:sz w:val="28"/>
          <w:szCs w:val="28"/>
          <w:lang w:val="zh-CN"/>
        </w:rPr>
        <w:t xml:space="preserve">报价，以元为单位标注。</w:t>
      </w:r>
      <w:r>
        <w:rPr>
          <w:rFonts w:hint="eastAsia" w:ascii="方正仿宋_GBK" w:hAnsi="方正仿宋_GBK" w:eastAsia="方正仿宋_GBK" w:cs="方正仿宋_GBK"/>
          <w:sz w:val="28"/>
          <w:szCs w:val="28"/>
          <w:lang w:val="zh-CN"/>
        </w:rPr>
      </w:r>
      <w:r/>
    </w:p>
    <w:p>
      <w:pPr>
        <w:pStyle w:val="961"/>
        <w:ind w:firstLine="562"/>
        <w:spacing w:line="4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sz w:val="28"/>
          <w:szCs w:val="28"/>
        </w:rPr>
        <w:t xml:space="preserve">（五）</w:t>
      </w:r>
      <w:r>
        <w:rPr>
          <w:rFonts w:hint="eastAsia" w:ascii="方正仿宋_GBK" w:hAnsi="方正仿宋_GBK" w:eastAsia="方正仿宋_GBK" w:cs="方正仿宋_GBK"/>
          <w:b/>
          <w:bCs/>
          <w:sz w:val="28"/>
          <w:szCs w:val="28"/>
        </w:rPr>
        <w:t xml:space="preserve">出保后年维保价格要求 </w:t>
      </w:r>
      <w:r>
        <w:rPr>
          <w:rFonts w:hint="eastAsia" w:ascii="方正仿宋_GBK" w:hAnsi="方正仿宋_GBK" w:eastAsia="方正仿宋_GBK" w:cs="方正仿宋_GBK"/>
          <w:b/>
          <w:bCs/>
          <w:sz w:val="28"/>
          <w:szCs w:val="28"/>
        </w:rPr>
      </w:r>
      <w:r/>
    </w:p>
    <w:p>
      <w:pPr>
        <w:pStyle w:val="961"/>
        <w:ind w:firstLine="56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质保期满后年维保费用不高于软件总价的7 %。</w:t>
      </w:r>
      <w:r>
        <w:rPr>
          <w:rFonts w:hint="eastAsia" w:ascii="方正仿宋_GBK" w:hAnsi="方正仿宋_GBK" w:eastAsia="方正仿宋_GBK" w:cs="方正仿宋_GBK"/>
          <w:bCs/>
          <w:sz w:val="28"/>
          <w:szCs w:val="28"/>
        </w:rPr>
      </w:r>
      <w:r/>
    </w:p>
    <w:p>
      <w:pPr>
        <w:pStyle w:val="961"/>
        <w:rPr>
          <w:rFonts w:hint="eastAsia" w:ascii="黑体" w:eastAsia="黑体"/>
          <w:bCs/>
          <w:sz w:val="44"/>
        </w:rPr>
      </w:pPr>
      <w:r/>
      <w:bookmarkStart w:id="70" w:name="_Toc120614281"/>
      <w:r>
        <w:rPr>
          <w:rFonts w:hint="eastAsia" w:ascii="黑体" w:eastAsia="黑体"/>
          <w:bCs/>
          <w:sz w:val="44"/>
        </w:rPr>
      </w:r>
      <w:r/>
    </w:p>
    <w:p>
      <w:pPr>
        <w:pStyle w:val="961"/>
        <w:rPr>
          <w:rFonts w:hint="eastAsia" w:ascii="黑体" w:eastAsia="黑体"/>
          <w:bCs/>
          <w:sz w:val="44"/>
        </w:rPr>
      </w:pPr>
      <w:r>
        <w:rPr>
          <w:rFonts w:hint="eastAsia" w:ascii="黑体" w:eastAsia="黑体"/>
          <w:bCs/>
          <w:sz w:val="44"/>
        </w:rPr>
      </w:r>
      <w:r/>
    </w:p>
    <w:p>
      <w:pPr>
        <w:pStyle w:val="961"/>
        <w:rPr>
          <w:rFonts w:hint="eastAsia" w:ascii="黑体" w:eastAsia="黑体"/>
          <w:bCs/>
          <w:sz w:val="44"/>
        </w:rPr>
      </w:pPr>
      <w:r>
        <w:rPr>
          <w:rFonts w:hint="eastAsia" w:ascii="黑体" w:eastAsia="黑体"/>
          <w:bCs/>
          <w:sz w:val="44"/>
        </w:rPr>
      </w:r>
      <w:r/>
    </w:p>
    <w:p>
      <w:pPr>
        <w:pStyle w:val="961"/>
        <w:rPr>
          <w:rFonts w:hint="eastAsia" w:ascii="黑体" w:eastAsia="黑体"/>
          <w:bCs/>
          <w:sz w:val="44"/>
        </w:rPr>
      </w:pPr>
      <w:r>
        <w:rPr>
          <w:rFonts w:hint="eastAsia" w:ascii="黑体" w:eastAsia="黑体"/>
          <w:bCs/>
          <w:sz w:val="44"/>
        </w:rPr>
      </w:r>
      <w:r/>
    </w:p>
    <w:p>
      <w:pPr>
        <w:pStyle w:val="963"/>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9"/>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49"/>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4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4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49"/>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905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9"/>
        <w:gridCol w:w="1009"/>
        <w:gridCol w:w="832"/>
        <w:gridCol w:w="5536"/>
        <w:gridCol w:w="823"/>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textDirection w:val="lrTb"/>
            <w:noWrap w:val="false"/>
          </w:tcPr>
          <w:p>
            <w:pPr>
              <w:pStyle w:val="961"/>
              <w:jc w:val="center"/>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序号</w:t>
            </w:r>
            <w:r>
              <w:rPr>
                <w:b/>
                <w:bCs/>
                <w:sz w:val="28"/>
                <w:szCs w:val="2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961"/>
              <w:jc w:val="center"/>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评标因素</w:t>
            </w:r>
            <w:r>
              <w:rPr>
                <w:b/>
                <w:bCs/>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jc w:val="center"/>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评分内容</w:t>
            </w:r>
            <w:r>
              <w:rPr>
                <w:b/>
                <w:bCs/>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分值</w:t>
            </w:r>
            <w:r>
              <w:rPr>
                <w:b/>
                <w:bCs/>
                <w:sz w:val="28"/>
                <w:szCs w:val="2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价格分（20分）</w:t>
            </w:r>
            <w:r>
              <w:rPr>
                <w:rFonts w:hint="eastAsia" w:ascii="方正仿宋_GBK" w:hAnsi="方正仿宋_GBK" w:eastAsia="方正仿宋_GBK" w:cs="方正仿宋_GBK"/>
                <w:bCs/>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价格分采用低价优先法计算，即满足采购文件要求且报价最低的供应商报价为评标基准价，其价格分为满分20分，其它投标人的价格分统一按照以下公式计算：投标报价得分=（评标基准价/该投标人的投标报价）×20分。分值保留小数点后1位。</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sz w:val="28"/>
                <w:szCs w:val="2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技术参数（32分）</w:t>
            </w:r>
            <w:r>
              <w:rPr>
                <w:rFonts w:hint="eastAsia" w:ascii="方正仿宋_GBK" w:hAnsi="方正仿宋_GBK" w:eastAsia="方正仿宋_GBK" w:cs="方正仿宋_GBK"/>
                <w:bCs/>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lang w:val="en-US" w:eastAsia="zh-CN"/>
              </w:rPr>
              <w:t xml:space="preserve">2.1</w:t>
            </w:r>
            <w:r>
              <w:rPr>
                <w:rFonts w:hint="eastAsia" w:ascii="方正仿宋_GBK" w:hAnsi="方正仿宋_GBK" w:eastAsia="方正仿宋_GBK" w:cs="方正仿宋_GBK"/>
                <w:bCs/>
                <w:sz w:val="28"/>
                <w:szCs w:val="28"/>
                <w:highlight w:val="none"/>
              </w:rPr>
              <w:t xml:space="preserve">根据招标文件第四章采购需求中“三、技术要求 具体技术要求”的要求逐条响应，完全响应的得32分，具体技术要求共32项，每有一项负偏离的扣1分，扣完为止。（投标人需在“项目技术偏离表”中如实逐项填列所投产品的参数，如招标文件要求提供相应证明材料的需加盖投标人公章，并在偏离表中注明证明材料所在投标文件的页码位置。）</w:t>
            </w:r>
            <w:r>
              <w:rPr>
                <w:rFonts w:hint="eastAsia" w:ascii="方正仿宋_GBK" w:hAnsi="方正仿宋_GBK" w:eastAsia="方正仿宋_GBK" w:cs="方正仿宋_GBK"/>
                <w:bCs/>
                <w:sz w:val="28"/>
                <w:szCs w:val="28"/>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rPr>
            </w:r>
            <w:r/>
          </w:p>
        </w:tc>
      </w:tr>
      <w:tr>
        <w:trPr>
          <w:trHeight w:val="325"/>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none" w:color="000000" w:sz="0" w:space="0"/>
              <w:right w:val="single" w:color="000000" w:sz="8" w:space="0"/>
            </w:tcBorders>
            <w:tcW w:w="1009"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履约能力（28分）</w:t>
            </w:r>
            <w:r>
              <w:rPr>
                <w:rFonts w:hint="eastAsia" w:ascii="方正仿宋_GBK" w:hAnsi="方正仿宋_GBK" w:eastAsia="方正仿宋_GBK" w:cs="方正仿宋_GBK"/>
                <w:bCs/>
                <w:sz w:val="28"/>
                <w:szCs w:val="28"/>
              </w:rPr>
            </w:r>
            <w:r/>
          </w:p>
          <w:p>
            <w:pPr>
              <w:pStyle w:val="961"/>
              <w:spacing w:line="3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61"/>
              <w:spacing w:line="3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61"/>
              <w:spacing w:line="3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61"/>
              <w:spacing w:line="3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61"/>
              <w:spacing w:line="3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pStyle w:val="961"/>
              <w:spacing w:before="200" w:after="200"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3.1资质要求</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3.1供应商具有ISO9001 质量管理体系认证的，得3分，未提供或未按要求提供的不得分。</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注：投标人需提供证书复印件或扫描件并加盖供应商公章，未提供不得分。</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r>
            <w:r/>
          </w:p>
        </w:tc>
      </w:tr>
      <w:tr>
        <w:trPr>
          <w:trHeight w:val="1228"/>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3.2国产化要求</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3.2.1（3分）软件产品有国产操作系统的兼容性测试证明或适配承诺书的，得3分，未提供或未按要求提供的不得分。</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3.2.2（3分）软件产品有国产数据库的兼容性测试证明或适配承诺书的，</w:t>
            </w:r>
            <w:r>
              <w:rPr>
                <w:rFonts w:hint="eastAsia" w:ascii="方正仿宋_GBK" w:hAnsi="方正仿宋_GBK" w:eastAsia="方正仿宋_GBK" w:cs="方正仿宋_GBK"/>
                <w:sz w:val="28"/>
                <w:szCs w:val="28"/>
              </w:rPr>
              <w:t xml:space="preserve">得3分，未提供或未按要求提供的不得分。</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备注：投标人提供书面证明材料或承诺书，并加盖投标人公章。</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3.3项目团队成员</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3.3.1项目经理（8分）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（1）具有信息类高级职称</w:t>
            </w:r>
            <w:bookmarkStart w:id="71" w:name="OLE_LINK24"/>
            <w:r/>
            <w:bookmarkStart w:id="72" w:name="OLE_LINK25"/>
            <w:r>
              <w:rPr>
                <w:rFonts w:hint="eastAsia" w:ascii="方正仿宋_GBK" w:hAnsi="方正仿宋_GBK" w:eastAsia="方正仿宋_GBK" w:cs="方正仿宋_GBK"/>
                <w:sz w:val="28"/>
                <w:szCs w:val="28"/>
                <w:highlight w:val="none"/>
              </w:rPr>
              <w:t xml:space="preserve">的，得3分</w:t>
            </w:r>
            <w:r>
              <w:rPr>
                <w:rFonts w:hint="eastAsia" w:ascii="方正仿宋_GBK" w:hAnsi="方正仿宋_GBK" w:eastAsia="方正仿宋_GBK" w:cs="方正仿宋_GBK"/>
                <w:sz w:val="28"/>
                <w:szCs w:val="28"/>
              </w:rPr>
              <w:t xml:space="preserve">，未提供或未按要求提供的不得分。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（2）具有信息系统项目管理师证书</w:t>
            </w:r>
            <w:bookmarkEnd w:id="71"/>
            <w:r/>
            <w:bookmarkEnd w:id="72"/>
            <w:r>
              <w:rPr>
                <w:rFonts w:hint="eastAsia" w:ascii="方正仿宋_GBK" w:hAnsi="方正仿宋_GBK" w:eastAsia="方正仿宋_GBK" w:cs="方正仿宋_GBK"/>
                <w:sz w:val="28"/>
                <w:szCs w:val="28"/>
                <w:highlight w:val="none"/>
              </w:rPr>
              <w:t xml:space="preserve">，的得3分</w:t>
            </w:r>
            <w:r>
              <w:rPr>
                <w:rFonts w:hint="eastAsia" w:ascii="方正仿宋_GBK" w:hAnsi="方正仿宋_GBK" w:eastAsia="方正仿宋_GBK" w:cs="方正仿宋_GBK"/>
                <w:sz w:val="28"/>
                <w:szCs w:val="28"/>
              </w:rPr>
              <w:t xml:space="preserve">，未提供或未按要求提供的不得分。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（3）具有3年以上相关项目实施工作经验的，得2分</w:t>
            </w:r>
            <w:r>
              <w:rPr>
                <w:rFonts w:hint="eastAsia" w:ascii="方正仿宋_GBK" w:hAnsi="方正仿宋_GBK" w:eastAsia="方正仿宋_GBK" w:cs="方正仿宋_GBK"/>
                <w:sz w:val="28"/>
                <w:szCs w:val="28"/>
              </w:rPr>
              <w:t xml:space="preserve">，未提供或未按要求提供的不得分。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3.3.2项目组成员（3分）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（1）具有网络工程师证书</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（2）系统集成项目管理工程师证书</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（3）系统分析师证书</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上述证书每提供一种，得1分，最高得3分</w:t>
            </w:r>
            <w:r>
              <w:rPr>
                <w:rFonts w:hint="eastAsia" w:ascii="方正仿宋_GBK" w:hAnsi="方正仿宋_GBK" w:eastAsia="方正仿宋_GBK" w:cs="方正仿宋_GBK"/>
                <w:sz w:val="28"/>
                <w:szCs w:val="28"/>
              </w:rPr>
              <w:t xml:space="preserve">，未提供或未按要求提供的不得分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注:1、投标人需提供上述人员名单、证书和供应商为其近半年内任意1个月的社保缴纳证明材料复印件或扫描件并加盖投标人公章。2、同1人有多个证书不可重复得分。</w:t>
            </w:r>
            <w:r>
              <w:rPr>
                <w:rFonts w:hint="eastAsia" w:ascii="方正仿宋_GBK" w:hAnsi="方正仿宋_GBK" w:eastAsia="方正仿宋_GBK" w:cs="方正仿宋_GBK"/>
                <w:sz w:val="28"/>
                <w:szCs w:val="28"/>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shd w:val="clear" w:color="auto" w:fill="ffffff"/>
            <w:tcBorders>
              <w:top w:val="none" w:color="000000" w:sz="0" w:space="0"/>
              <w:left w:val="single" w:color="000000" w:sz="8" w:space="0"/>
              <w:bottom w:val="single" w:color="000000" w:sz="8" w:space="0"/>
              <w:right w:val="single" w:color="000000" w:sz="8"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3.4企业业绩</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3.4业绩</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投标人提供自2023年1月1日以来，具有与本项目类似的项目业绩，每提供1个得2分，最多得8分</w:t>
            </w:r>
            <w:r>
              <w:rPr>
                <w:rFonts w:hint="eastAsia" w:ascii="方正仿宋_GBK" w:hAnsi="方正仿宋_GBK" w:eastAsia="方正仿宋_GBK" w:cs="方正仿宋_GBK"/>
                <w:sz w:val="28"/>
                <w:szCs w:val="28"/>
              </w:rPr>
              <w:t xml:space="preserve">，未提供或未按要求提供的不得分</w:t>
            </w:r>
            <w:r>
              <w:rPr>
                <w:rFonts w:hint="eastAsia" w:ascii="方正仿宋_GBK" w:hAnsi="方正仿宋_GBK" w:eastAsia="方正仿宋_GBK" w:cs="方正仿宋_GBK"/>
                <w:sz w:val="28"/>
                <w:szCs w:val="28"/>
                <w:highlight w:val="none"/>
              </w:rPr>
              <w:t xml:space="preserve">。（需提供项目合同证明文件复印件或扫描件，并加盖公章，否则不得分，与本项目不相关不得分。）</w:t>
            </w:r>
            <w:r>
              <w:rPr>
                <w:rFonts w:hint="eastAsia" w:ascii="方正仿宋_GBK" w:hAnsi="方正仿宋_GBK" w:eastAsia="方正仿宋_GBK" w:cs="方正仿宋_GBK"/>
                <w:sz w:val="28"/>
                <w:szCs w:val="28"/>
                <w:highlight w:val="none"/>
              </w:rPr>
            </w:r>
            <w:r/>
          </w:p>
          <w:p>
            <w:pPr>
              <w:pStyle w:val="961"/>
              <w:spacing w:line="36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注:每份项目案例证明材料包括有效的合同关键页，时间以合同签订时间为准，合同上须能清晰体现合同签订时间、合同主要内容及合同双方的盖章，合同中对采购标的描述不清晰的，可提供其他有效的佐证材料。</w:t>
            </w:r>
            <w:r>
              <w:rPr>
                <w:rFonts w:hint="eastAsia" w:ascii="方正仿宋_GBK" w:hAnsi="方正仿宋_GBK" w:eastAsia="方正仿宋_GBK" w:cs="方正仿宋_GBK"/>
                <w:sz w:val="28"/>
                <w:szCs w:val="28"/>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4" w:space="0"/>
              <w:right w:val="single" w:color="000000" w:sz="8" w:space="0"/>
            </w:tcBorders>
            <w:tcW w:w="859"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bookmarkStart w:id="73" w:name="OLE_LINK21"/>
            <w:r/>
            <w:bookmarkStart w:id="74" w:name="OLE_LINK22"/>
            <w:r/>
            <w:bookmarkStart w:id="75" w:name="_Hlk232685575"/>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4" w:space="0"/>
              <w:right w:val="single" w:color="000000" w:sz="4" w:space="0"/>
            </w:tcBorders>
            <w:tcW w:w="1009"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项目方案（20分）</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4" w:space="0"/>
              <w:bottom w:val="single" w:color="000000" w:sz="8" w:space="0"/>
              <w:right w:val="single" w:color="000000" w:sz="8" w:space="0"/>
            </w:tcBorders>
            <w:tcW w:w="83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4.1项目实施方案</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评委根据投标文件对招标文件第四章“采购需求”中“项目实施方案”要求的响应情况进行评审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1）投标文件对“项目实施方案”中“需求分析”、“系统部署”、“进度计划”要求的响应内容全部优于招标文件要求的（前提是投标文件对“项目实施方案”中除“需求分析”“系统部署”“进度计划”外其他要求响应内容符合招标文件要求）本项得5分。</w:t>
            </w:r>
            <w:r>
              <w:rPr>
                <w:rFonts w:hint="eastAsia" w:ascii="方正仿宋_GBK" w:hAnsi="方正仿宋_GBK" w:eastAsia="方正仿宋_GBK" w:cs="方正仿宋_GBK"/>
                <w:sz w:val="28"/>
                <w:szCs w:val="28"/>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（2）投标文件符合“项目实施方案”中全部条款要求的，视为符合招标文件，本项得3分。（3）投标文件未符合“项目实施方案”中全部条款要求的，视为不符合招标文件，本项得0分。</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4"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rPr>
            </w:pPr>
            <w:r/>
            <w:bookmarkEnd w:id="73"/>
            <w:r/>
            <w:bookmarkEnd w:id="74"/>
            <w:r/>
            <w:bookmarkEnd w:id="75"/>
            <w:r>
              <w:rPr>
                <w:rFonts w:hint="eastAsia" w:ascii="方正仿宋_GBK" w:hAnsi="方正仿宋_GBK" w:eastAsia="方正仿宋_GBK" w:cs="方正仿宋_GBK"/>
                <w:color w:val="000000"/>
                <w:sz w:val="28"/>
                <w:szCs w:val="28"/>
              </w:rPr>
            </w:r>
            <w:r/>
          </w:p>
        </w:tc>
        <w:tc>
          <w:tcPr>
            <w:shd w:val="clear" w:color="auto" w:fill="ffffff"/>
            <w:tcBorders>
              <w:top w:val="single" w:color="000000" w:sz="8" w:space="0"/>
              <w:left w:val="single" w:color="000000" w:sz="8" w:space="0"/>
              <w:bottom w:val="single" w:color="000000" w:sz="4" w:space="0"/>
              <w:right w:val="single" w:color="000000" w:sz="4"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4" w:space="0"/>
              <w:bottom w:val="single" w:color="000000" w:sz="8" w:space="0"/>
              <w:right w:val="single" w:color="000000" w:sz="8" w:space="0"/>
            </w:tcBorders>
            <w:tcW w:w="83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4.2项目培训方案</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评委根据投标文件对招标文件第四章“采购需求”中“项目培训方案”要求的响应情况进行评审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1）经评委认定，投标文件对“项目培训方案”中“培训文档资料”要求的响应内容优于招标文件要求的（前提是投标文件对“项目培训方案”中除“培训文档资料”外其他要求响应内容符合招标文件要求）本项得5分。（2）投标文件符合“项目培训方案”中全部条款要求的，视为符合招标文件，本项得3分。（3）投标文件未符合“项目培训方案”中全部条款要求的，视为不符合招标文件，本项得0分。</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4"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shd w:val="clear" w:color="auto" w:fill="ffffff"/>
            <w:tcBorders>
              <w:top w:val="single" w:color="000000" w:sz="8" w:space="0"/>
              <w:left w:val="single" w:color="000000" w:sz="8" w:space="0"/>
              <w:bottom w:val="single" w:color="000000" w:sz="4" w:space="0"/>
              <w:right w:val="single" w:color="000000" w:sz="4"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83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4.3</w:t>
            </w:r>
            <w:bookmarkStart w:id="76" w:name="OLE_LINK18"/>
            <w:r/>
            <w:bookmarkStart w:id="77" w:name="OLE_LINK17"/>
            <w:r>
              <w:rPr>
                <w:rFonts w:hint="eastAsia" w:ascii="方正仿宋_GBK" w:hAnsi="方正仿宋_GBK" w:eastAsia="方正仿宋_GBK" w:cs="方正仿宋_GBK"/>
                <w:sz w:val="28"/>
                <w:szCs w:val="28"/>
              </w:rPr>
              <w:t xml:space="preserve">售后服务方案</w:t>
            </w:r>
            <w:bookmarkEnd w:id="76"/>
            <w:r/>
            <w:bookmarkEnd w:id="77"/>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评委根据投标文件对招标文件第四章“采购需求”中“售后服务方案”要求的响应情况进行评审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1）经评委认定，投标文件对“售后服务方案”中“售后服务管理体系”要求的响应内容优于招标文件要求的（前提是投标文件对“售后服务方案”中除“售后服务管理体系”外其他要求响应内容符合招标文件要求）本项得5分。 （2）投标文件符合“售后服务方案”中全部条款要求的，视为符合招标文件，本项得3分。（3）投标文件未符合“售后服务方案”中全部条款要求的，视为不符合招标文件，本项得0分。</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r>
      <w:tr>
        <w:trPr/>
        <w:tc>
          <w:tcPr>
            <w:shd w:val="clear" w:color="auto" w:fill="ffffff"/>
            <w:tcBorders>
              <w:top w:val="single" w:color="000000" w:sz="8" w:space="0"/>
              <w:left w:val="single" w:color="000000" w:sz="8" w:space="0"/>
              <w:bottom w:val="single" w:color="000000" w:sz="4" w:space="0"/>
              <w:right w:val="single" w:color="000000" w:sz="8" w:space="0"/>
            </w:tcBorders>
            <w:tcW w:w="85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shd w:val="clear" w:color="auto" w:fill="ffffff"/>
            <w:tcBorders>
              <w:top w:val="single" w:color="000000" w:sz="8" w:space="0"/>
              <w:left w:val="single" w:color="000000" w:sz="8" w:space="0"/>
              <w:bottom w:val="single" w:color="000000" w:sz="4" w:space="0"/>
              <w:right w:val="single" w:color="000000" w:sz="4" w:space="0"/>
            </w:tcBorders>
            <w:tcW w:w="1009" w:type="dxa"/>
            <w:vAlign w:val="center"/>
            <w:vMerge w:val="continue"/>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83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4.4项目安全管控</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5536" w:type="dxa"/>
            <w:vAlign w:val="center"/>
            <w:textDirection w:val="lrTb"/>
            <w:noWrap w:val="false"/>
          </w:tcPr>
          <w:p>
            <w:pPr>
              <w:pStyle w:val="961"/>
              <w:spacing w:line="360" w:lineRule="exact"/>
              <w:rPr>
                <w:rFonts w:hint="eastAsia" w:ascii="方正仿宋_GBK" w:hAnsi="方正仿宋_GBK" w:eastAsia="方正仿宋_GBK" w:cs="方正仿宋_GBK"/>
                <w:sz w:val="28"/>
                <w:szCs w:val="28"/>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评委根据投标文件对招标文件第四章“采购需求”中“项目安全管控”要求的响应情况进行评审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61"/>
              <w:spacing w:line="36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1）经评委认定，投标文件对“项目安全管控”中“应急预案”要求的响应内容全部优于招标文件要求的（前提是投标文件对“项目安全管控”中除“应急预案”外其他要求响应内容符合招标文件要求）本项得5分。（2）投标文件符合“项目安全管控”中全部条款要求的，视为符合招标文件，本项得3分。（3）投标文件未符合“项目安全管控”中全部条款要求的，视为不符合招标文件，本项得0分。</w:t>
            </w:r>
            <w:r>
              <w:rPr>
                <w:rFonts w:hint="eastAsia" w:ascii="方正仿宋_GBK" w:hAnsi="方正仿宋_GBK" w:eastAsia="方正仿宋_GBK" w:cs="方正仿宋_GBK"/>
                <w:sz w:val="28"/>
                <w:szCs w:val="28"/>
              </w:rPr>
            </w:r>
            <w:r/>
          </w:p>
        </w:tc>
        <w:tc>
          <w:tcPr>
            <w:shd w:val="clear" w:color="auto" w:fill="ffffff"/>
            <w:tcBorders>
              <w:top w:val="single" w:color="000000" w:sz="8" w:space="0"/>
              <w:left w:val="single" w:color="000000" w:sz="8" w:space="0"/>
              <w:bottom w:val="single" w:color="000000" w:sz="8" w:space="0"/>
              <w:right w:val="single" w:color="000000" w:sz="8" w:space="0"/>
            </w:tcBorders>
            <w:tcW w:w="823"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r>
    </w:tbl>
    <w:p>
      <w:pPr>
        <w:pStyle w:val="961"/>
        <w:rPr>
          <w:rFonts w:hint="eastAsia"/>
        </w:rPr>
      </w:pPr>
      <w:r>
        <w:rPr>
          <w:rFonts w:hint="eastAsia"/>
        </w:rPr>
      </w:r>
      <w:r/>
    </w:p>
    <w:p>
      <w:pPr>
        <w:pStyle w:val="961"/>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第六章  投标</w:t>
      </w:r>
      <w:bookmarkEnd w:id="60"/>
      <w:r/>
      <w:bookmarkEnd w:id="61"/>
      <w:r/>
      <w:bookmarkEnd w:id="70"/>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61"/>
        <w:jc w:val="center"/>
        <w:rPr>
          <w:rFonts w:hint="eastAsia" w:ascii="宋体" w:hAnsi="宋体"/>
          <w:b/>
          <w:sz w:val="28"/>
          <w:szCs w:val="28"/>
        </w:rPr>
      </w:pPr>
      <w:r/>
      <w:bookmarkStart w:id="78" w:name="_Hlt26955039"/>
      <w:r/>
      <w:bookmarkEnd w:id="78"/>
      <w:r/>
      <w:bookmarkStart w:id="79" w:name="_Hlt26671244"/>
      <w:r/>
      <w:bookmarkEnd w:id="79"/>
      <w:r/>
      <w:bookmarkStart w:id="80" w:name="_Toc26554094"/>
      <w:r/>
      <w:bookmarkStart w:id="81" w:name="_Toc49090576"/>
      <w:r/>
      <w:bookmarkStart w:id="82" w:name="_Toc120614282"/>
      <w:r>
        <w:rPr>
          <w:rFonts w:hint="eastAsia" w:ascii="宋体" w:hAnsi="宋体"/>
          <w:b/>
          <w:sz w:val="28"/>
          <w:szCs w:val="28"/>
        </w:rPr>
      </w:r>
      <w:r/>
    </w:p>
    <w:p>
      <w:pPr>
        <w:pStyle w:val="961"/>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6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61"/>
        <w:jc w:val="center"/>
        <w:rPr>
          <w:rFonts w:hint="eastAsia" w:ascii="宋体" w:hAnsi="宋体"/>
          <w:b/>
          <w:sz w:val="28"/>
          <w:szCs w:val="28"/>
        </w:rPr>
      </w:pPr>
      <w:r>
        <w:rPr>
          <w:rFonts w:hint="eastAsia" w:ascii="宋体" w:hAnsi="宋体"/>
          <w:b/>
          <w:sz w:val="28"/>
          <w:szCs w:val="28"/>
        </w:rPr>
      </w:r>
      <w:r/>
    </w:p>
    <w:p>
      <w:pPr>
        <w:pStyle w:val="961"/>
        <w:jc w:val="center"/>
        <w:rPr>
          <w:rFonts w:hint="eastAsia" w:ascii="宋体" w:hAnsi="宋体"/>
          <w:b/>
          <w:sz w:val="28"/>
          <w:szCs w:val="28"/>
        </w:rPr>
      </w:pPr>
      <w:r>
        <w:rPr>
          <w:rFonts w:hint="eastAsia" w:ascii="宋体" w:hAnsi="宋体"/>
          <w:b/>
          <w:sz w:val="28"/>
          <w:szCs w:val="28"/>
        </w:rPr>
      </w:r>
      <w:r/>
    </w:p>
    <w:p>
      <w:pPr>
        <w:pStyle w:val="961"/>
        <w:jc w:val="center"/>
        <w:rPr>
          <w:rFonts w:hint="eastAsia" w:ascii="宋体" w:hAnsi="宋体"/>
          <w:b/>
          <w:sz w:val="28"/>
          <w:szCs w:val="28"/>
        </w:rPr>
      </w:pPr>
      <w:r>
        <w:rPr>
          <w:rFonts w:hint="eastAsia" w:ascii="宋体" w:hAnsi="宋体"/>
          <w:b/>
          <w:sz w:val="28"/>
          <w:szCs w:val="28"/>
        </w:rPr>
      </w:r>
      <w:r/>
    </w:p>
    <w:p>
      <w:pPr>
        <w:pStyle w:val="961"/>
        <w:jc w:val="center"/>
        <w:rPr>
          <w:rFonts w:hint="eastAsia" w:ascii="宋体" w:hAnsi="宋体"/>
          <w:b/>
          <w:sz w:val="28"/>
          <w:szCs w:val="28"/>
        </w:rPr>
      </w:pPr>
      <w:r>
        <w:rPr>
          <w:rFonts w:hint="eastAsia" w:ascii="宋体" w:hAnsi="宋体"/>
          <w:b/>
          <w:sz w:val="28"/>
          <w:szCs w:val="28"/>
        </w:rPr>
      </w:r>
      <w:r/>
    </w:p>
    <w:p>
      <w:pPr>
        <w:pStyle w:val="961"/>
        <w:jc w:val="center"/>
        <w:rPr>
          <w:rFonts w:hint="eastAsia" w:ascii="宋体" w:hAnsi="宋体"/>
          <w:b/>
          <w:sz w:val="28"/>
          <w:szCs w:val="28"/>
        </w:rPr>
      </w:pPr>
      <w:r>
        <w:rPr>
          <w:rFonts w:hint="eastAsia" w:ascii="宋体" w:hAnsi="宋体"/>
          <w:b/>
          <w:sz w:val="28"/>
          <w:szCs w:val="28"/>
        </w:rPr>
      </w:r>
      <w:r/>
    </w:p>
    <w:p>
      <w:pPr>
        <w:pStyle w:val="96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6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6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6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61"/>
        <w:jc w:val="center"/>
        <w:spacing w:line="440" w:lineRule="exact"/>
        <w:rPr>
          <w:rFonts w:hint="eastAsia" w:ascii="宋体" w:hAnsi="宋体"/>
          <w:b/>
          <w:bCs/>
          <w:sz w:val="32"/>
          <w:szCs w:val="32"/>
        </w:rPr>
      </w:pPr>
      <w:r>
        <w:rPr>
          <w:rFonts w:hint="eastAsia" w:ascii="宋体" w:hAnsi="宋体"/>
          <w:b/>
          <w:bCs/>
          <w:sz w:val="32"/>
          <w:szCs w:val="32"/>
        </w:rPr>
      </w:r>
      <w:r/>
    </w:p>
    <w:p>
      <w:pPr>
        <w:pStyle w:val="961"/>
        <w:spacing w:line="440" w:lineRule="exact"/>
        <w:rPr>
          <w:rFonts w:ascii="宋体" w:hAnsi="宋体"/>
        </w:rPr>
      </w:pPr>
      <w:r>
        <w:rPr>
          <w:rFonts w:ascii="宋体" w:hAnsi="宋体"/>
        </w:rPr>
      </w:r>
      <w:r/>
    </w:p>
    <w:p>
      <w:pPr>
        <w:pStyle w:val="96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61"/>
        <w:jc w:val="center"/>
        <w:spacing w:line="400" w:lineRule="exact"/>
        <w:rPr>
          <w:rFonts w:hint="eastAsia" w:ascii="宋体" w:hAnsi="宋体"/>
          <w:b/>
          <w:bCs/>
          <w:sz w:val="28"/>
          <w:szCs w:val="28"/>
        </w:rPr>
      </w:pPr>
      <w:r>
        <w:rPr>
          <w:rFonts w:hint="eastAsia" w:ascii="宋体" w:hAnsi="宋体"/>
          <w:b/>
          <w:bCs/>
          <w:sz w:val="28"/>
          <w:szCs w:val="28"/>
        </w:rPr>
      </w:r>
      <w:r/>
    </w:p>
    <w:p>
      <w:pPr>
        <w:pStyle w:val="96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6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6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5.参加政府采购活动前3年内在经营活动中没有重大违法记录的书面声明（格式见附件6）</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总备注：上述“资格审查内容”中1-6条、8、9条投标人必须在投标文件中提供相关材料，否则作无效投标处理。</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rPr>
          <w:rFonts w:hint="eastAsia" w:ascii="方正仿宋_GBK" w:hAnsi="方正仿宋_GBK" w:eastAsia="方正仿宋_GBK" w:cs="方正仿宋_GBK"/>
          <w:sz w:val="28"/>
          <w:szCs w:val="28"/>
        </w:rPr>
      </w:r>
      <w:r/>
    </w:p>
    <w:p>
      <w:pPr>
        <w:pStyle w:val="96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28"/>
          <w:szCs w:val="28"/>
        </w:rPr>
      </w:r>
      <w:r/>
    </w:p>
    <w:p>
      <w:pPr>
        <w:pStyle w:val="961"/>
        <w:spacing w:line="400" w:lineRule="exact"/>
        <w:rPr>
          <w:rFonts w:ascii="宋体" w:hAnsi="宋体"/>
          <w:sz w:val="28"/>
          <w:szCs w:val="28"/>
        </w:rPr>
      </w:pPr>
      <w:r>
        <w:rPr>
          <w:rFonts w:ascii="宋体" w:hAnsi="宋体"/>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ascii="宋体" w:hAnsi="宋体"/>
          <w:b/>
          <w:color w:val="ff0000"/>
          <w:sz w:val="28"/>
          <w:szCs w:val="28"/>
        </w:rPr>
      </w:pPr>
      <w:r>
        <w:rPr>
          <w:rFonts w:ascii="宋体" w:hAnsi="宋体"/>
          <w:b/>
          <w:color w:val="ff0000"/>
          <w:sz w:val="28"/>
          <w:szCs w:val="28"/>
        </w:rPr>
      </w:r>
      <w:r/>
    </w:p>
    <w:p>
      <w:pPr>
        <w:pStyle w:val="96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6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9"/>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61"/>
        <w:ind w:firstLine="480"/>
        <w:spacing w:line="400" w:lineRule="exact"/>
        <w:rPr>
          <w:rFonts w:hint="eastAsia" w:ascii="宋体" w:hAnsi="宋体"/>
          <w:sz w:val="28"/>
          <w:szCs w:val="28"/>
        </w:rPr>
      </w:pPr>
      <w:r>
        <w:rPr>
          <w:rFonts w:hint="eastAsia" w:ascii="宋体" w:hAnsi="宋体"/>
          <w:sz w:val="28"/>
          <w:szCs w:val="28"/>
        </w:rPr>
      </w:r>
      <w:r/>
    </w:p>
    <w:p>
      <w:pPr>
        <w:pStyle w:val="961"/>
        <w:spacing w:line="400" w:lineRule="exact"/>
        <w:rPr>
          <w:rFonts w:ascii="宋体" w:hAnsi="宋体"/>
          <w:sz w:val="28"/>
          <w:szCs w:val="28"/>
        </w:rPr>
      </w:pPr>
      <w:r>
        <w:rPr>
          <w:rFonts w:ascii="宋体" w:hAnsi="宋体"/>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6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2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61"/>
        <w:spacing w:line="400" w:lineRule="exact"/>
        <w:rPr>
          <w:rFonts w:ascii="宋体" w:hAnsi="宋体"/>
          <w:sz w:val="28"/>
          <w:szCs w:val="28"/>
        </w:rPr>
      </w:pPr>
      <w:r>
        <w:rPr>
          <w:rFonts w:ascii="宋体" w:hAnsi="宋体"/>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1"/>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6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1"/>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61"/>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6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4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6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49"/>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61"/>
        <w:ind w:firstLine="560"/>
        <w:spacing w:line="400" w:lineRule="exact"/>
        <w:rPr>
          <w:rFonts w:ascii="宋体" w:hAnsi="宋体"/>
          <w:sz w:val="28"/>
          <w:szCs w:val="28"/>
        </w:rPr>
      </w:pPr>
      <w:r>
        <w:rPr>
          <w:rFonts w:ascii="宋体" w:hAnsi="宋体"/>
          <w:sz w:val="28"/>
          <w:szCs w:val="28"/>
        </w:rPr>
      </w:r>
      <w:r/>
    </w:p>
    <w:p>
      <w:pPr>
        <w:pStyle w:val="961"/>
        <w:ind w:firstLine="560"/>
        <w:spacing w:line="400" w:lineRule="exact"/>
        <w:rPr>
          <w:rFonts w:ascii="宋体" w:hAnsi="宋体"/>
          <w:sz w:val="28"/>
          <w:szCs w:val="28"/>
        </w:rPr>
      </w:pPr>
      <w:r>
        <w:rPr>
          <w:rFonts w:ascii="宋体" w:hAnsi="宋体"/>
          <w:sz w:val="28"/>
          <w:szCs w:val="28"/>
        </w:rPr>
      </w:r>
      <w:r/>
    </w:p>
    <w:p>
      <w:pPr>
        <w:pStyle w:val="961"/>
        <w:ind w:firstLine="560"/>
        <w:spacing w:line="400" w:lineRule="exact"/>
        <w:rPr>
          <w:rFonts w:ascii="宋体" w:hAnsi="宋体"/>
          <w:sz w:val="28"/>
          <w:szCs w:val="28"/>
        </w:rPr>
      </w:pPr>
      <w:r>
        <w:rPr>
          <w:rFonts w:ascii="宋体" w:hAnsi="宋体"/>
          <w:sz w:val="28"/>
          <w:szCs w:val="28"/>
        </w:rPr>
      </w:r>
      <w:r/>
    </w:p>
    <w:p>
      <w:pPr>
        <w:pStyle w:val="961"/>
        <w:ind w:firstLine="560"/>
        <w:spacing w:line="400" w:lineRule="exact"/>
        <w:rPr>
          <w:rFonts w:ascii="宋体" w:hAnsi="宋体"/>
          <w:sz w:val="28"/>
          <w:szCs w:val="28"/>
        </w:rPr>
      </w:pPr>
      <w:r>
        <w:rPr>
          <w:rFonts w:ascii="宋体" w:hAnsi="宋体"/>
          <w:sz w:val="28"/>
          <w:szCs w:val="28"/>
        </w:rPr>
      </w:r>
      <w:r/>
    </w:p>
    <w:p>
      <w:pPr>
        <w:pStyle w:val="961"/>
        <w:ind w:firstLine="560"/>
        <w:spacing w:line="400" w:lineRule="exact"/>
        <w:rPr>
          <w:rFonts w:ascii="宋体" w:hAnsi="宋体"/>
          <w:sz w:val="28"/>
          <w:szCs w:val="28"/>
        </w:rPr>
      </w:pPr>
      <w:r>
        <w:rPr>
          <w:rFonts w:ascii="宋体" w:hAnsi="宋体"/>
          <w:sz w:val="28"/>
          <w:szCs w:val="28"/>
        </w:rPr>
      </w:r>
      <w:r/>
    </w:p>
    <w:p>
      <w:pPr>
        <w:pStyle w:val="961"/>
        <w:jc w:val="center"/>
        <w:spacing w:line="400" w:lineRule="exact"/>
        <w:rPr>
          <w:rFonts w:hint="eastAsia" w:ascii="方正黑体_GBK" w:hAnsi="方正黑体_GBK" w:eastAsia="方正黑体_GBK" w:cs="方正黑体_GBK"/>
          <w:bCs/>
          <w:sz w:val="28"/>
          <w:szCs w:val="28"/>
        </w:rPr>
      </w:pPr>
      <w:r/>
      <w:bookmarkEnd w:id="80"/>
      <w:r/>
      <w:bookmarkEnd w:id="81"/>
      <w:r/>
      <w:bookmarkEnd w:id="82"/>
      <w:r/>
      <w:bookmarkStart w:id="83" w:name="_Toc120614284"/>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6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6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1"/>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6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6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6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6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1"/>
        <w:spacing w:line="400" w:lineRule="exact"/>
        <w:rPr>
          <w:rFonts w:hint="eastAsia" w:ascii="黑体" w:hAnsi="黑体" w:eastAsia="黑体"/>
          <w:b/>
          <w:sz w:val="28"/>
          <w:szCs w:val="28"/>
        </w:rPr>
      </w:pPr>
      <w:r>
        <w:rPr>
          <w:rFonts w:hint="eastAsia" w:ascii="黑体" w:hAnsi="黑体" w:eastAsia="黑体"/>
          <w:b/>
          <w:sz w:val="28"/>
          <w:szCs w:val="28"/>
        </w:rPr>
      </w:r>
      <w:r/>
    </w:p>
    <w:p>
      <w:pPr>
        <w:pStyle w:val="961"/>
        <w:spacing w:line="400" w:lineRule="exact"/>
        <w:rPr>
          <w:rFonts w:hint="eastAsia" w:ascii="宋体" w:hAnsi="宋体"/>
          <w:sz w:val="28"/>
          <w:szCs w:val="28"/>
        </w:rPr>
      </w:pPr>
      <w:r>
        <w:rPr>
          <w:rFonts w:hint="eastAsia" w:ascii="宋体" w:hAnsi="宋体"/>
          <w:sz w:val="28"/>
          <w:szCs w:val="28"/>
        </w:rPr>
      </w:r>
      <w:r/>
    </w:p>
    <w:p>
      <w:pPr>
        <w:pStyle w:val="96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附件11实质性要求响应及偏离表（采购包号：XX）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6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61"/>
        <w:spacing w:line="400" w:lineRule="exact"/>
        <w:rPr>
          <w:rFonts w:hint="eastAsia" w:ascii="宋体" w:hAnsi="宋体"/>
          <w:color w:val="ff0000"/>
          <w:sz w:val="28"/>
          <w:szCs w:val="28"/>
        </w:rPr>
      </w:pPr>
      <w:r>
        <w:rPr>
          <w:rFonts w:hint="eastAsia" w:ascii="宋体" w:hAnsi="宋体"/>
          <w:color w:val="ff0000"/>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jc w:val="center"/>
        <w:spacing w:line="400" w:lineRule="exact"/>
        <w:rPr>
          <w:rFonts w:hint="eastAsia" w:ascii="宋体" w:hAnsi="宋体" w:cs="宋体"/>
          <w:b/>
          <w:sz w:val="28"/>
          <w:szCs w:val="28"/>
        </w:rPr>
      </w:pPr>
      <w:r>
        <w:rPr>
          <w:rFonts w:hint="eastAsia" w:ascii="宋体" w:hAnsi="宋体" w:cs="宋体"/>
          <w:b/>
          <w:sz w:val="28"/>
          <w:szCs w:val="28"/>
        </w:rPr>
      </w:r>
      <w:r/>
    </w:p>
    <w:p>
      <w:pPr>
        <w:pStyle w:val="96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附件12  关于符合本国产品标准的声明函（采购包号：XX）</w:t>
      </w:r>
      <w:r>
        <w:rPr>
          <w:rFonts w:hint="eastAsia" w:ascii="方正黑体_GBK" w:hAnsi="方正黑体_GBK" w:eastAsia="方正黑体_GBK" w:cs="方正黑体_GBK"/>
          <w:bCs/>
          <w:sz w:val="28"/>
          <w:szCs w:val="28"/>
        </w:rPr>
      </w:r>
      <w:r/>
    </w:p>
    <w:p>
      <w:pPr>
        <w:pStyle w:val="102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35"/>
          <w:rFonts w:hint="eastAsia" w:ascii="方正仿宋_GBK" w:hAnsi="方正仿宋_GBK" w:eastAsia="方正仿宋_GBK" w:cs="方正仿宋_GBK"/>
          <w:i w:val="0"/>
          <w:sz w:val="28"/>
          <w:szCs w:val="28"/>
          <w:u w:val="single"/>
          <w:shd w:val="clear" w:color="auto" w:fill="ffffff"/>
        </w:rPr>
        <w:t xml:space="preserve">（产品名称1）</w:t>
      </w:r>
      <w:r>
        <w:rPr>
          <w:rStyle w:val="103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35"/>
          <w:rFonts w:hint="eastAsia" w:ascii="方正仿宋_GBK" w:hAnsi="方正仿宋_GBK" w:eastAsia="方正仿宋_GBK" w:cs="方正仿宋_GBK"/>
          <w:i w:val="0"/>
          <w:sz w:val="28"/>
          <w:szCs w:val="28"/>
          <w:u w:val="single"/>
          <w:shd w:val="clear" w:color="auto" w:fill="ffffff"/>
        </w:rPr>
        <w:t xml:space="preserve">（厂名）</w:t>
      </w:r>
      <w:r>
        <w:rPr>
          <w:rStyle w:val="103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3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3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3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3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3"/>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23"/>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61"/>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61"/>
        <w:spacing w:line="400" w:lineRule="exact"/>
        <w:rPr>
          <w:rFonts w:hint="eastAsia" w:ascii="宋体" w:hAnsi="宋体"/>
          <w:bCs/>
          <w:sz w:val="28"/>
          <w:szCs w:val="28"/>
        </w:rPr>
      </w:pPr>
      <w:r>
        <w:rPr>
          <w:rFonts w:hint="eastAsia" w:ascii="宋体" w:hAnsi="宋体"/>
          <w:bCs/>
          <w:sz w:val="28"/>
          <w:szCs w:val="28"/>
        </w:rPr>
      </w:r>
      <w:r/>
    </w:p>
    <w:p>
      <w:pPr>
        <w:pStyle w:val="961"/>
        <w:spacing w:line="400" w:lineRule="exact"/>
        <w:rPr>
          <w:rFonts w:hint="eastAsia" w:ascii="宋体" w:hAnsi="宋体"/>
          <w:bCs/>
          <w:sz w:val="28"/>
          <w:szCs w:val="28"/>
        </w:rPr>
      </w:pPr>
      <w:r>
        <w:rPr>
          <w:rFonts w:hint="eastAsia" w:ascii="宋体" w:hAnsi="宋体"/>
          <w:bCs/>
          <w:sz w:val="28"/>
          <w:szCs w:val="28"/>
        </w:rPr>
      </w:r>
      <w:r/>
    </w:p>
    <w:p>
      <w:pPr>
        <w:pStyle w:val="961"/>
        <w:spacing w:line="400" w:lineRule="exact"/>
        <w:rPr>
          <w:rFonts w:hint="eastAsia" w:ascii="宋体" w:hAnsi="宋体"/>
          <w:bCs/>
          <w:sz w:val="28"/>
          <w:szCs w:val="28"/>
        </w:rPr>
      </w:pPr>
      <w:r>
        <w:rPr>
          <w:rFonts w:hint="eastAsia" w:ascii="宋体" w:hAnsi="宋体"/>
          <w:bCs/>
          <w:sz w:val="28"/>
          <w:szCs w:val="28"/>
        </w:rPr>
      </w:r>
      <w:r/>
    </w:p>
    <w:p>
      <w:pPr>
        <w:pStyle w:val="961"/>
        <w:spacing w:line="400" w:lineRule="exact"/>
        <w:rPr>
          <w:rFonts w:hint="eastAsia" w:ascii="宋体" w:hAnsi="宋体"/>
          <w:bCs/>
          <w:sz w:val="28"/>
          <w:szCs w:val="28"/>
        </w:rPr>
      </w:pPr>
      <w:r>
        <w:rPr>
          <w:rFonts w:hint="eastAsia" w:ascii="宋体" w:hAnsi="宋体"/>
          <w:bCs/>
          <w:sz w:val="28"/>
          <w:szCs w:val="28"/>
        </w:rPr>
      </w:r>
      <w:r/>
    </w:p>
    <w:p>
      <w:pPr>
        <w:pStyle w:val="961"/>
        <w:spacing w:line="400" w:lineRule="exact"/>
        <w:rPr>
          <w:rFonts w:hint="eastAsia"/>
          <w:sz w:val="28"/>
          <w:szCs w:val="28"/>
        </w:rPr>
      </w:pPr>
      <w:r>
        <w:rPr>
          <w:rFonts w:hint="eastAsia"/>
          <w:sz w:val="28"/>
          <w:szCs w:val="28"/>
        </w:rPr>
      </w:r>
      <w:r/>
    </w:p>
    <w:p>
      <w:pPr>
        <w:pStyle w:val="96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1"/>
        <w:ind w:firstLine="560"/>
        <w:jc w:val="center"/>
        <w:spacing w:line="400" w:lineRule="exact"/>
        <w:rPr>
          <w:rFonts w:hint="eastAsia" w:ascii="方正黑体_GBK" w:hAnsi="方正黑体_GBK" w:eastAsia="方正黑体_GBK" w:cs="方正黑体_GBK"/>
          <w:bCs/>
          <w:sz w:val="28"/>
          <w:szCs w:val="28"/>
        </w:rPr>
      </w:pPr>
      <w:r/>
      <w:bookmarkEnd w:id="58"/>
      <w:r/>
      <w:bookmarkEnd w:id="59"/>
      <w:r/>
      <w:bookmarkEnd w:id="83"/>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6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6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6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61"/>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6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5"/>
        <w:spacing w:line="400" w:lineRule="exact"/>
        <w:rPr>
          <w:rFonts w:hint="eastAsia"/>
          <w:sz w:val="28"/>
          <w:szCs w:val="28"/>
        </w:rPr>
      </w:pPr>
      <w:r>
        <w:rPr>
          <w:rFonts w:hint="eastAsia"/>
          <w:sz w:val="28"/>
          <w:szCs w:val="28"/>
        </w:rPr>
      </w:r>
      <w:r/>
    </w:p>
    <w:p>
      <w:pPr>
        <w:pStyle w:val="975"/>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rPr>
        <w:rStyle w:val="1033"/>
      </w:rPr>
    </w:r>
    <w:r/>
  </w:p>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v:textbox>
            </v:shape>
          </w:pict>
        </mc:Fallback>
      </mc:AlternateContent>
    </w:r>
    <w:r/>
  </w:p>
  <w:p>
    <w:pPr>
      <w:pStyle w:val="10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8"/>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Times New Roman" w:hAnsi="Times New Roman"/>
      <w:sz w:val="21"/>
      <w:szCs w:val="21"/>
      <w:lang w:val="en-US" w:eastAsia="zh-CN" w:bidi="ar-SA"/>
    </w:rPr>
  </w:style>
  <w:style w:type="paragraph" w:styleId="962">
    <w:name w:val="标题 1"/>
    <w:basedOn w:val="961"/>
    <w:next w:val="961"/>
    <w:link w:val="973"/>
    <w:qFormat/>
    <w:pPr>
      <w:jc w:val="center"/>
      <w:keepNext/>
      <w:outlineLvl w:val="0"/>
    </w:pPr>
    <w:rPr>
      <w:rFonts w:ascii="楷体_GB2312" w:eastAsia="楷体_GB2312"/>
      <w:sz w:val="28"/>
      <w:szCs w:val="28"/>
    </w:rPr>
  </w:style>
  <w:style w:type="paragraph" w:styleId="963">
    <w:name w:val="标题 2"/>
    <w:basedOn w:val="961"/>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975"/>
    <w:link w:val="977"/>
    <w:qFormat/>
    <w:pPr>
      <w:keepLines/>
      <w:keepNext/>
      <w:spacing w:before="260" w:after="260" w:line="416" w:lineRule="auto"/>
      <w:outlineLvl w:val="2"/>
    </w:pPr>
    <w:rPr>
      <w:b/>
      <w:bCs/>
      <w:sz w:val="32"/>
      <w:szCs w:val="32"/>
    </w:rPr>
  </w:style>
  <w:style w:type="paragraph" w:styleId="965">
    <w:name w:val="标题 4"/>
    <w:basedOn w:val="961"/>
    <w:next w:val="975"/>
    <w:link w:val="978"/>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975"/>
    <w:link w:val="979"/>
    <w:qFormat/>
    <w:pPr>
      <w:keepNext/>
      <w:outlineLvl w:val="4"/>
    </w:pPr>
    <w:rPr>
      <w:rFonts w:ascii="宋体"/>
      <w:color w:val="000000"/>
      <w:sz w:val="28"/>
      <w:szCs w:val="28"/>
    </w:rPr>
  </w:style>
  <w:style w:type="paragraph" w:styleId="967">
    <w:name w:val="标题 6"/>
    <w:basedOn w:val="961"/>
    <w:next w:val="961"/>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3"/>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字符"/>
    <w:next w:val="973"/>
    <w:link w:val="962"/>
    <w:rPr>
      <w:rFonts w:ascii="楷体_GB2312" w:hAnsi="Times New Roman" w:eastAsia="楷体_GB2312" w:cs="Times New Roman"/>
      <w:sz w:val="28"/>
      <w:szCs w:val="28"/>
    </w:rPr>
  </w:style>
  <w:style w:type="character" w:styleId="974">
    <w:name w:val="标题 2 字符"/>
    <w:next w:val="974"/>
    <w:link w:val="963"/>
    <w:rPr>
      <w:rFonts w:ascii="Arial" w:hAnsi="Arial" w:eastAsia="幼圆" w:cs="Arial"/>
      <w:b/>
      <w:bCs/>
      <w:sz w:val="44"/>
      <w:szCs w:val="44"/>
    </w:rPr>
  </w:style>
  <w:style w:type="paragraph" w:styleId="975">
    <w:name w:val="正文缩进"/>
    <w:basedOn w:val="961"/>
    <w:next w:val="975"/>
    <w:link w:val="976"/>
    <w:pPr>
      <w:ind w:firstLine="420"/>
    </w:pPr>
  </w:style>
  <w:style w:type="character" w:styleId="976">
    <w:name w:val="正文缩进 字符"/>
    <w:next w:val="976"/>
    <w:link w:val="975"/>
    <w:rPr>
      <w:rFonts w:ascii="Times New Roman" w:hAnsi="Times New Roman" w:eastAsia="宋体" w:cs="Times New Roman"/>
      <w:szCs w:val="21"/>
    </w:rPr>
  </w:style>
  <w:style w:type="character" w:styleId="977">
    <w:name w:val="标题 3 字符"/>
    <w:next w:val="977"/>
    <w:link w:val="964"/>
    <w:rPr>
      <w:rFonts w:ascii="Times New Roman" w:hAnsi="Times New Roman" w:eastAsia="宋体" w:cs="Times New Roman"/>
      <w:b/>
      <w:bCs/>
      <w:sz w:val="32"/>
      <w:szCs w:val="32"/>
    </w:rPr>
  </w:style>
  <w:style w:type="character" w:styleId="978">
    <w:name w:val="标题 4 字符"/>
    <w:next w:val="978"/>
    <w:link w:val="965"/>
    <w:rPr>
      <w:rFonts w:ascii="Arial" w:hAnsi="Arial" w:eastAsia="黑体" w:cs="Arial"/>
      <w:b/>
      <w:bCs/>
      <w:sz w:val="28"/>
      <w:szCs w:val="28"/>
    </w:rPr>
  </w:style>
  <w:style w:type="character" w:styleId="979">
    <w:name w:val="标题 5 字符"/>
    <w:next w:val="979"/>
    <w:link w:val="966"/>
    <w:rPr>
      <w:rFonts w:ascii="宋体" w:hAnsi="Times New Roman" w:eastAsia="宋体" w:cs="Times New Roman"/>
      <w:color w:val="000000"/>
      <w:sz w:val="28"/>
      <w:szCs w:val="28"/>
    </w:rPr>
  </w:style>
  <w:style w:type="character" w:styleId="980">
    <w:name w:val="标题 6 字符"/>
    <w:next w:val="980"/>
    <w:link w:val="967"/>
    <w:rPr>
      <w:rFonts w:ascii="Arial" w:hAnsi="Arial" w:eastAsia="黑体" w:cs="Times New Roman"/>
      <w:b/>
      <w:bCs/>
      <w:sz w:val="24"/>
      <w:szCs w:val="24"/>
    </w:rPr>
  </w:style>
  <w:style w:type="character" w:styleId="981">
    <w:name w:val="标题 7 字符"/>
    <w:next w:val="981"/>
    <w:link w:val="968"/>
    <w:rPr>
      <w:rFonts w:ascii="Times New Roman" w:hAnsi="Times New Roman" w:eastAsia="宋体" w:cs="Times New Roman"/>
      <w:b/>
      <w:bCs/>
      <w:sz w:val="24"/>
      <w:szCs w:val="24"/>
    </w:rPr>
  </w:style>
  <w:style w:type="character" w:styleId="982">
    <w:name w:val="标题 8 字符"/>
    <w:next w:val="982"/>
    <w:link w:val="969"/>
    <w:rPr>
      <w:rFonts w:ascii="Arial" w:hAnsi="Arial" w:eastAsia="黑体" w:cs="Times New Roman"/>
      <w:sz w:val="24"/>
      <w:szCs w:val="24"/>
    </w:rPr>
  </w:style>
  <w:style w:type="character" w:styleId="983">
    <w:name w:val="标题 9 字符"/>
    <w:next w:val="983"/>
    <w:link w:val="970"/>
    <w:rPr>
      <w:rFonts w:ascii="Arial" w:hAnsi="Arial" w:eastAsia="黑体" w:cs="Times New Roman"/>
      <w:szCs w:val="21"/>
    </w:rPr>
  </w:style>
  <w:style w:type="paragraph" w:styleId="984">
    <w:name w:val="列表 3"/>
    <w:basedOn w:val="961"/>
    <w:next w:val="984"/>
    <w:link w:val="961"/>
    <w:pPr>
      <w:ind w:left="100" w:hanging="200"/>
    </w:pPr>
  </w:style>
  <w:style w:type="paragraph" w:styleId="985">
    <w:name w:val="目录 7"/>
    <w:basedOn w:val="961"/>
    <w:next w:val="961"/>
    <w:link w:val="961"/>
    <w:semiHidden/>
    <w:pPr>
      <w:ind w:left="1260"/>
      <w:jc w:val="left"/>
    </w:pPr>
  </w:style>
  <w:style w:type="paragraph" w:styleId="986">
    <w:name w:val="文档结构图"/>
    <w:basedOn w:val="961"/>
    <w:next w:val="986"/>
    <w:link w:val="987"/>
    <w:semiHidden/>
    <w:pPr>
      <w:shd w:val="clear" w:color="auto" w:fill="000080"/>
    </w:pPr>
  </w:style>
  <w:style w:type="character" w:styleId="987">
    <w:name w:val="文档结构图 字符"/>
    <w:next w:val="987"/>
    <w:link w:val="986"/>
    <w:semiHidden/>
    <w:rPr>
      <w:rFonts w:ascii="Times New Roman" w:hAnsi="Times New Roman" w:eastAsia="宋体" w:cs="Times New Roman"/>
      <w:szCs w:val="21"/>
      <w:shd w:val="clear" w:color="auto" w:fill="000080"/>
    </w:rPr>
  </w:style>
  <w:style w:type="paragraph" w:styleId="988">
    <w:name w:val="批注文字"/>
    <w:basedOn w:val="961"/>
    <w:next w:val="988"/>
    <w:link w:val="989"/>
    <w:semiHidden/>
    <w:pPr>
      <w:jc w:val="left"/>
    </w:pPr>
  </w:style>
  <w:style w:type="character" w:styleId="989">
    <w:name w:val="批注文字 字符"/>
    <w:next w:val="989"/>
    <w:link w:val="988"/>
    <w:semiHidden/>
    <w:rPr>
      <w:rFonts w:ascii="Times New Roman" w:hAnsi="Times New Roman" w:eastAsia="宋体" w:cs="Times New Roman"/>
      <w:szCs w:val="21"/>
    </w:rPr>
  </w:style>
  <w:style w:type="paragraph" w:styleId="990">
    <w:name w:val="正文文本 3"/>
    <w:basedOn w:val="961"/>
    <w:next w:val="990"/>
    <w:link w:val="991"/>
    <w:rPr>
      <w:rFonts w:ascii="仿宋_GB2312" w:hAnsi="Arial" w:eastAsia="仿宋_GB2312"/>
      <w:sz w:val="32"/>
      <w:szCs w:val="32"/>
    </w:rPr>
  </w:style>
  <w:style w:type="character" w:styleId="991">
    <w:name w:val="正文文本 3 字符"/>
    <w:next w:val="991"/>
    <w:link w:val="990"/>
    <w:rPr>
      <w:rFonts w:ascii="仿宋_GB2312" w:hAnsi="Arial" w:eastAsia="仿宋_GB2312" w:cs="Times New Roman"/>
      <w:sz w:val="32"/>
      <w:szCs w:val="32"/>
    </w:rPr>
  </w:style>
  <w:style w:type="paragraph" w:styleId="992">
    <w:name w:val="正文文本"/>
    <w:basedOn w:val="961"/>
    <w:next w:val="992"/>
    <w:link w:val="993"/>
    <w:rPr>
      <w:rFonts w:ascii="楷体_GB2312" w:hAnsi="Arial" w:eastAsia="楷体_GB2312"/>
      <w:sz w:val="28"/>
      <w:szCs w:val="28"/>
    </w:rPr>
  </w:style>
  <w:style w:type="character" w:styleId="993">
    <w:name w:val="正文文本 字符"/>
    <w:next w:val="993"/>
    <w:link w:val="992"/>
    <w:rPr>
      <w:rFonts w:ascii="楷体_GB2312" w:hAnsi="Arial" w:eastAsia="楷体_GB2312" w:cs="Times New Roman"/>
      <w:sz w:val="28"/>
      <w:szCs w:val="28"/>
    </w:rPr>
  </w:style>
  <w:style w:type="paragraph" w:styleId="994">
    <w:name w:val="正文文本缩进"/>
    <w:basedOn w:val="961"/>
    <w:next w:val="994"/>
    <w:link w:val="995"/>
    <w:pPr>
      <w:ind w:firstLine="645"/>
    </w:pPr>
    <w:rPr>
      <w:rFonts w:ascii="楷体_GB2312" w:eastAsia="楷体_GB2312"/>
      <w:sz w:val="32"/>
      <w:szCs w:val="32"/>
    </w:rPr>
  </w:style>
  <w:style w:type="character" w:styleId="995">
    <w:name w:val="正文文本缩进 字符"/>
    <w:next w:val="995"/>
    <w:link w:val="994"/>
    <w:rPr>
      <w:rFonts w:ascii="楷体_GB2312" w:hAnsi="Times New Roman" w:eastAsia="楷体_GB2312" w:cs="Times New Roman"/>
      <w:sz w:val="32"/>
      <w:szCs w:val="32"/>
    </w:rPr>
  </w:style>
  <w:style w:type="paragraph" w:styleId="996">
    <w:name w:val="列表 2"/>
    <w:basedOn w:val="961"/>
    <w:next w:val="996"/>
    <w:link w:val="961"/>
    <w:pPr>
      <w:ind w:left="100" w:hanging="200"/>
    </w:pPr>
  </w:style>
  <w:style w:type="paragraph" w:styleId="997">
    <w:name w:val="目录 5"/>
    <w:basedOn w:val="961"/>
    <w:next w:val="961"/>
    <w:link w:val="961"/>
    <w:semiHidden/>
    <w:pPr>
      <w:ind w:left="840"/>
      <w:jc w:val="left"/>
    </w:pPr>
  </w:style>
  <w:style w:type="paragraph" w:styleId="998">
    <w:name w:val="目录 3"/>
    <w:basedOn w:val="961"/>
    <w:next w:val="961"/>
    <w:link w:val="961"/>
    <w:semiHidden/>
    <w:pPr>
      <w:ind w:left="420"/>
      <w:jc w:val="left"/>
    </w:pPr>
    <w:rPr>
      <w:i/>
      <w:iCs/>
      <w:szCs w:val="24"/>
    </w:rPr>
  </w:style>
  <w:style w:type="paragraph" w:styleId="999">
    <w:name w:val="纯文本"/>
    <w:basedOn w:val="961"/>
    <w:next w:val="999"/>
    <w:link w:val="1000"/>
    <w:rPr>
      <w:rFonts w:ascii="宋体" w:hAnsi="Courier New" w:cs="Courier New"/>
    </w:rPr>
  </w:style>
  <w:style w:type="character" w:styleId="1000">
    <w:name w:val="纯文本 字符"/>
    <w:next w:val="1000"/>
    <w:link w:val="999"/>
    <w:rPr>
      <w:rFonts w:ascii="宋体" w:hAnsi="Courier New" w:eastAsia="宋体" w:cs="Courier New"/>
      <w:szCs w:val="21"/>
    </w:rPr>
  </w:style>
  <w:style w:type="paragraph" w:styleId="1001">
    <w:name w:val="目录 8"/>
    <w:basedOn w:val="961"/>
    <w:next w:val="961"/>
    <w:link w:val="961"/>
    <w:semiHidden/>
    <w:pPr>
      <w:ind w:left="1470"/>
      <w:jc w:val="left"/>
    </w:pPr>
  </w:style>
  <w:style w:type="paragraph" w:styleId="1002">
    <w:name w:val="日期"/>
    <w:basedOn w:val="961"/>
    <w:next w:val="961"/>
    <w:link w:val="1003"/>
    <w:rPr>
      <w:sz w:val="24"/>
      <w:szCs w:val="24"/>
    </w:rPr>
  </w:style>
  <w:style w:type="character" w:styleId="1003">
    <w:name w:val="日期 字符"/>
    <w:next w:val="1003"/>
    <w:link w:val="1002"/>
    <w:rPr>
      <w:rFonts w:ascii="Times New Roman" w:hAnsi="Times New Roman" w:eastAsia="宋体" w:cs="Times New Roman"/>
      <w:sz w:val="24"/>
      <w:szCs w:val="24"/>
    </w:rPr>
  </w:style>
  <w:style w:type="paragraph" w:styleId="1004">
    <w:name w:val="正文文本缩进 2"/>
    <w:basedOn w:val="961"/>
    <w:next w:val="1004"/>
    <w:link w:val="1005"/>
    <w:pPr>
      <w:ind w:left="630" w:firstLine="645"/>
    </w:pPr>
    <w:rPr>
      <w:rFonts w:ascii="Arial" w:hAnsi="Arial" w:eastAsia="仿宋_GB2312" w:cs="Arial"/>
      <w:sz w:val="32"/>
      <w:szCs w:val="32"/>
    </w:rPr>
  </w:style>
  <w:style w:type="character" w:styleId="1005">
    <w:name w:val="正文文本缩进 2 字符"/>
    <w:next w:val="1005"/>
    <w:link w:val="1004"/>
    <w:rPr>
      <w:rFonts w:ascii="Arial" w:hAnsi="Arial" w:eastAsia="仿宋_GB2312" w:cs="Arial"/>
      <w:sz w:val="32"/>
      <w:szCs w:val="32"/>
    </w:rPr>
  </w:style>
  <w:style w:type="paragraph" w:styleId="1006">
    <w:name w:val="批注框文本"/>
    <w:basedOn w:val="961"/>
    <w:next w:val="1006"/>
    <w:link w:val="1007"/>
    <w:semiHidden/>
    <w:rPr>
      <w:sz w:val="18"/>
      <w:szCs w:val="18"/>
    </w:rPr>
  </w:style>
  <w:style w:type="character" w:styleId="1007">
    <w:name w:val="批注框文本 字符"/>
    <w:next w:val="1007"/>
    <w:link w:val="1006"/>
    <w:semiHidden/>
    <w:rPr>
      <w:rFonts w:ascii="Times New Roman" w:hAnsi="Times New Roman" w:eastAsia="宋体" w:cs="Times New Roman"/>
      <w:sz w:val="18"/>
      <w:szCs w:val="18"/>
    </w:rPr>
  </w:style>
  <w:style w:type="paragraph" w:styleId="1008">
    <w:name w:val="页脚"/>
    <w:basedOn w:val="961"/>
    <w:next w:val="1008"/>
    <w:link w:val="1009"/>
    <w:uiPriority w:val="99"/>
    <w:pPr>
      <w:jc w:val="left"/>
      <w:tabs>
        <w:tab w:val="center" w:pos="4153" w:leader="none"/>
        <w:tab w:val="right" w:pos="8306" w:leader="none"/>
      </w:tabs>
    </w:pPr>
    <w:rPr>
      <w:sz w:val="18"/>
      <w:szCs w:val="18"/>
    </w:rPr>
  </w:style>
  <w:style w:type="character" w:styleId="1009">
    <w:name w:val="页脚 字符"/>
    <w:next w:val="1009"/>
    <w:link w:val="1008"/>
    <w:uiPriority w:val="99"/>
    <w:rPr>
      <w:rFonts w:ascii="Times New Roman" w:hAnsi="Times New Roman" w:eastAsia="宋体" w:cs="Times New Roman"/>
      <w:sz w:val="18"/>
      <w:szCs w:val="18"/>
    </w:rPr>
  </w:style>
  <w:style w:type="paragraph" w:styleId="1010">
    <w:name w:val="页眉"/>
    <w:basedOn w:val="961"/>
    <w:next w:val="1010"/>
    <w:link w:val="1011"/>
    <w:pPr>
      <w:jc w:val="center"/>
      <w:tabs>
        <w:tab w:val="center" w:pos="4153" w:leader="none"/>
        <w:tab w:val="right" w:pos="8306" w:leader="none"/>
      </w:tabs>
      <w:pBdr>
        <w:bottom w:val="single" w:color="000000" w:sz="6" w:space="1"/>
      </w:pBdr>
    </w:pPr>
    <w:rPr>
      <w:sz w:val="18"/>
      <w:szCs w:val="18"/>
    </w:rPr>
  </w:style>
  <w:style w:type="character" w:styleId="1011">
    <w:name w:val="页眉 字符"/>
    <w:next w:val="1011"/>
    <w:link w:val="1010"/>
    <w:rPr>
      <w:rFonts w:ascii="Times New Roman" w:hAnsi="Times New Roman" w:eastAsia="宋体" w:cs="Times New Roman"/>
      <w:sz w:val="18"/>
      <w:szCs w:val="18"/>
    </w:rPr>
  </w:style>
  <w:style w:type="paragraph" w:styleId="1012">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13">
    <w:name w:val="目录 4"/>
    <w:basedOn w:val="961"/>
    <w:next w:val="961"/>
    <w:link w:val="961"/>
    <w:semiHidden/>
    <w:pPr>
      <w:ind w:left="630"/>
      <w:jc w:val="left"/>
    </w:pPr>
  </w:style>
  <w:style w:type="paragraph" w:styleId="1014">
    <w:name w:val="列表"/>
    <w:basedOn w:val="961"/>
    <w:next w:val="1014"/>
    <w:link w:val="961"/>
    <w:pPr>
      <w:ind w:left="200" w:hanging="200"/>
    </w:pPr>
  </w:style>
  <w:style w:type="paragraph" w:styleId="1015">
    <w:name w:val="目录 6"/>
    <w:basedOn w:val="961"/>
    <w:next w:val="961"/>
    <w:link w:val="961"/>
    <w:semiHidden/>
    <w:pPr>
      <w:ind w:left="1050"/>
      <w:jc w:val="left"/>
    </w:pPr>
  </w:style>
  <w:style w:type="paragraph" w:styleId="1016">
    <w:name w:val="正文文本缩进 3"/>
    <w:basedOn w:val="961"/>
    <w:next w:val="1016"/>
    <w:link w:val="1017"/>
    <w:pPr>
      <w:ind w:left="645" w:firstLine="645"/>
    </w:pPr>
    <w:rPr>
      <w:rFonts w:ascii="Arial" w:hAnsi="Arial" w:eastAsia="仿宋_GB2312" w:cs="Arial"/>
      <w:color w:val="ffff00"/>
      <w:sz w:val="32"/>
      <w:szCs w:val="32"/>
    </w:rPr>
  </w:style>
  <w:style w:type="character" w:styleId="1017">
    <w:name w:val="正文文本缩进 3 字符"/>
    <w:next w:val="1017"/>
    <w:link w:val="1016"/>
    <w:rPr>
      <w:rFonts w:ascii="Arial" w:hAnsi="Arial" w:eastAsia="仿宋_GB2312" w:cs="Arial"/>
      <w:color w:val="ffff00"/>
      <w:sz w:val="32"/>
      <w:szCs w:val="32"/>
    </w:rPr>
  </w:style>
  <w:style w:type="paragraph" w:styleId="1018">
    <w:name w:val="图表目录"/>
    <w:basedOn w:val="961"/>
    <w:next w:val="961"/>
    <w:link w:val="961"/>
    <w:semiHidden/>
    <w:pPr>
      <w:ind w:left="840" w:hanging="420"/>
    </w:pPr>
  </w:style>
  <w:style w:type="paragraph" w:styleId="1019">
    <w:name w:val="目录 2"/>
    <w:basedOn w:val="961"/>
    <w:next w:val="961"/>
    <w:link w:val="961"/>
    <w:semiHidden/>
    <w:pPr>
      <w:ind w:left="210"/>
      <w:jc w:val="left"/>
    </w:pPr>
    <w:rPr>
      <w:smallCaps/>
      <w:szCs w:val="24"/>
    </w:rPr>
  </w:style>
  <w:style w:type="paragraph" w:styleId="1020">
    <w:name w:val="目录 9"/>
    <w:basedOn w:val="961"/>
    <w:next w:val="961"/>
    <w:link w:val="961"/>
    <w:semiHidden/>
    <w:pPr>
      <w:ind w:left="1680"/>
      <w:jc w:val="left"/>
    </w:pPr>
  </w:style>
  <w:style w:type="paragraph" w:styleId="1021">
    <w:name w:val="正文文本 2"/>
    <w:basedOn w:val="961"/>
    <w:next w:val="1021"/>
    <w:link w:val="1022"/>
    <w:pPr>
      <w:jc w:val="center"/>
      <w:widowControl/>
    </w:pPr>
    <w:rPr>
      <w:rFonts w:ascii="楷体_GB2312" w:eastAsia="楷体_GB2312"/>
      <w:sz w:val="28"/>
      <w:szCs w:val="28"/>
    </w:rPr>
  </w:style>
  <w:style w:type="character" w:styleId="1022">
    <w:name w:val="正文文本 2 字符"/>
    <w:next w:val="1022"/>
    <w:link w:val="1021"/>
    <w:rPr>
      <w:rFonts w:ascii="楷体_GB2312" w:hAnsi="Times New Roman" w:eastAsia="楷体_GB2312" w:cs="Times New Roman"/>
      <w:sz w:val="28"/>
      <w:szCs w:val="28"/>
    </w:rPr>
  </w:style>
  <w:style w:type="paragraph" w:styleId="1023">
    <w:name w:val="普通(网站)"/>
    <w:basedOn w:val="961"/>
    <w:next w:val="1023"/>
    <w:link w:val="961"/>
    <w:uiPriority w:val="99"/>
    <w:pPr>
      <w:jc w:val="left"/>
      <w:spacing w:before="100" w:beforeAutospacing="1" w:after="100" w:afterAutospacing="1"/>
      <w:widowControl/>
    </w:pPr>
    <w:rPr>
      <w:rFonts w:ascii="宋体" w:hAnsi="宋体" w:cs="宋体"/>
      <w:sz w:val="24"/>
      <w:szCs w:val="24"/>
    </w:rPr>
  </w:style>
  <w:style w:type="paragraph" w:styleId="1024">
    <w:name w:val="索引 1"/>
    <w:basedOn w:val="961"/>
    <w:next w:val="961"/>
    <w:link w:val="961"/>
    <w:semiHidden/>
    <w:pPr>
      <w:spacing w:line="240" w:lineRule="atLeast"/>
    </w:pPr>
    <w:rPr>
      <w:b/>
      <w:bCs/>
    </w:rPr>
  </w:style>
  <w:style w:type="paragraph" w:styleId="1025">
    <w:name w:val="批注主题"/>
    <w:basedOn w:val="988"/>
    <w:next w:val="988"/>
    <w:link w:val="1026"/>
    <w:semiHidden/>
    <w:rPr>
      <w:b/>
      <w:bCs/>
    </w:rPr>
  </w:style>
  <w:style w:type="character" w:styleId="1026">
    <w:name w:val="批注主题 字符"/>
    <w:next w:val="1026"/>
    <w:link w:val="1025"/>
    <w:semiHidden/>
    <w:rPr>
      <w:rFonts w:ascii="Times New Roman" w:hAnsi="Times New Roman" w:eastAsia="宋体" w:cs="Times New Roman"/>
      <w:b/>
      <w:bCs/>
      <w:szCs w:val="21"/>
    </w:rPr>
  </w:style>
  <w:style w:type="paragraph" w:styleId="1027">
    <w:name w:val="正文首行缩进"/>
    <w:basedOn w:val="961"/>
    <w:next w:val="1027"/>
    <w:link w:val="1028"/>
    <w:pPr>
      <w:ind w:firstLine="200"/>
      <w:spacing w:line="360" w:lineRule="auto"/>
    </w:pPr>
    <w:rPr>
      <w:rFonts w:ascii="仿宋_GB2312" w:eastAsia="仿宋_GB2312"/>
      <w:sz w:val="30"/>
      <w:szCs w:val="30"/>
    </w:rPr>
  </w:style>
  <w:style w:type="character" w:styleId="1028">
    <w:name w:val="正文首行缩进 字符"/>
    <w:next w:val="1028"/>
    <w:link w:val="1027"/>
    <w:rPr>
      <w:rFonts w:ascii="仿宋_GB2312" w:hAnsi="Times New Roman" w:eastAsia="仿宋_GB2312" w:cs="Times New Roman"/>
      <w:sz w:val="30"/>
      <w:szCs w:val="30"/>
    </w:rPr>
  </w:style>
  <w:style w:type="paragraph" w:styleId="1029">
    <w:name w:val="正文首行缩进 2"/>
    <w:basedOn w:val="994"/>
    <w:next w:val="1029"/>
    <w:link w:val="1030"/>
    <w:pPr>
      <w:ind w:firstLine="420"/>
      <w:spacing w:line="360" w:lineRule="auto"/>
    </w:pPr>
    <w:rPr>
      <w:rFonts w:ascii="宋体" w:hAnsi="宋体" w:eastAsia="宋体"/>
      <w:sz w:val="21"/>
      <w:szCs w:val="20"/>
    </w:rPr>
  </w:style>
  <w:style w:type="character" w:styleId="1030">
    <w:name w:val="正文首行缩进 2 字符"/>
    <w:next w:val="1030"/>
    <w:link w:val="1029"/>
    <w:rPr>
      <w:rFonts w:ascii="宋体" w:hAnsi="宋体" w:eastAsia="宋体" w:cs="Times New Roman"/>
      <w:sz w:val="32"/>
      <w:szCs w:val="20"/>
    </w:rPr>
  </w:style>
  <w:style w:type="table" w:styleId="1031">
    <w:name w:val="网格型"/>
    <w:basedOn w:val="972"/>
    <w:next w:val="1031"/>
    <w:link w:val="961"/>
    <w:pPr>
      <w:jc w:val="both"/>
      <w:widowControl w:val="off"/>
    </w:pPr>
    <w:rPr>
      <w:rFonts w:ascii="Times New Roman" w:hAnsi="Times New Roman" w:eastAsia="宋体" w:cs="Times New Roman"/>
      <w:sz w:val="20"/>
      <w:szCs w:val="20"/>
    </w:rPr>
    <w:tblPr/>
  </w:style>
  <w:style w:type="character" w:styleId="1032">
    <w:name w:val="要点"/>
    <w:next w:val="1032"/>
    <w:link w:val="961"/>
    <w:qFormat/>
    <w:rPr>
      <w:b/>
      <w:bCs/>
    </w:rPr>
  </w:style>
  <w:style w:type="character" w:styleId="1033">
    <w:name w:val="页码"/>
    <w:next w:val="1033"/>
    <w:link w:val="961"/>
  </w:style>
  <w:style w:type="character" w:styleId="1034">
    <w:name w:val="已访问的超链接"/>
    <w:next w:val="1034"/>
    <w:link w:val="961"/>
    <w:rPr>
      <w:color w:val="800080"/>
      <w:u w:val="single"/>
    </w:rPr>
  </w:style>
  <w:style w:type="character" w:styleId="1035">
    <w:name w:val="强调"/>
    <w:next w:val="1035"/>
    <w:link w:val="961"/>
    <w:qFormat/>
    <w:rPr>
      <w:i/>
    </w:rPr>
  </w:style>
  <w:style w:type="character" w:styleId="1036">
    <w:name w:val="超链接"/>
    <w:next w:val="1036"/>
    <w:link w:val="961"/>
    <w:rPr>
      <w:color w:val="0000ff"/>
      <w:u w:val="single"/>
    </w:rPr>
  </w:style>
  <w:style w:type="character" w:styleId="1037">
    <w:name w:val="批注引用"/>
    <w:next w:val="1037"/>
    <w:link w:val="961"/>
    <w:semiHidden/>
    <w:rPr>
      <w:sz w:val="21"/>
      <w:szCs w:val="21"/>
    </w:rPr>
  </w:style>
  <w:style w:type="paragraph" w:styleId="1038">
    <w:name w:val="目录 11"/>
    <w:basedOn w:val="961"/>
    <w:next w:val="961"/>
    <w:link w:val="961"/>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39">
    <w:name w:val="font5 Char"/>
    <w:next w:val="1039"/>
    <w:link w:val="961"/>
    <w:rPr>
      <w:rFonts w:ascii="宋体" w:hAnsi="宋体" w:eastAsia="宋体"/>
      <w:sz w:val="28"/>
      <w:szCs w:val="28"/>
      <w:lang w:val="en-US" w:eastAsia="zh-CN" w:bidi="ar-SA"/>
    </w:rPr>
  </w:style>
  <w:style w:type="character" w:styleId="1040">
    <w:name w:val="二级目录 Char"/>
    <w:next w:val="1040"/>
    <w:link w:val="1041"/>
    <w:rPr>
      <w:b/>
      <w:sz w:val="30"/>
      <w:szCs w:val="28"/>
    </w:rPr>
  </w:style>
  <w:style w:type="paragraph" w:styleId="1041">
    <w:name w:val="二级目录"/>
    <w:next w:val="961"/>
    <w:link w:val="1040"/>
    <w:pPr>
      <w:numPr>
        <w:ilvl w:val="0"/>
        <w:numId w:val="2"/>
      </w:numPr>
      <w:tabs>
        <w:tab w:val="left" w:pos="907" w:leader="none"/>
        <w:tab w:val="left" w:pos="1145" w:leader="none"/>
      </w:tabs>
      <w:outlineLvl w:val="1"/>
    </w:pPr>
    <w:rPr>
      <w:b/>
      <w:sz w:val="30"/>
      <w:szCs w:val="28"/>
      <w:lang w:val="en-US" w:eastAsia="zh-CN" w:bidi="ar-SA"/>
    </w:rPr>
  </w:style>
  <w:style w:type="character" w:styleId="1042">
    <w:name w:val="列出段落 Char,Bullet List Char,numbered Char,FooterText Char,List Paragraph1 Char,Paragraphe de liste1 Char"/>
    <w:next w:val="1042"/>
    <w:link w:val="1043"/>
    <w:rPr>
      <w:rFonts w:ascii="Calibri" w:hAnsi="Calibri"/>
      <w:sz w:val="24"/>
      <w:szCs w:val="24"/>
      <w:lang w:eastAsia="en-US" w:bidi="en-US"/>
    </w:rPr>
  </w:style>
  <w:style w:type="paragraph" w:styleId="1043">
    <w:name w:val="列出段落1"/>
    <w:basedOn w:val="961"/>
    <w:next w:val="1043"/>
    <w:link w:val="1042"/>
    <w:qFormat/>
    <w:pPr>
      <w:contextualSpacing/>
      <w:ind w:left="720"/>
      <w:jc w:val="left"/>
      <w:widowControl/>
    </w:pPr>
    <w:rPr>
      <w:rFonts w:ascii="Calibri" w:hAnsi="Calibri" w:eastAsia="宋体" w:cs="Times New Roman"/>
      <w:sz w:val="24"/>
      <w:szCs w:val="24"/>
      <w:lang w:eastAsia="en-US" w:bidi="en-US"/>
    </w:rPr>
  </w:style>
  <w:style w:type="paragraph" w:styleId="1044">
    <w:name w:val="Body Text(ch)"/>
    <w:basedOn w:val="961"/>
    <w:next w:val="992"/>
    <w:link w:val="961"/>
    <w:pPr>
      <w:spacing w:after="120"/>
    </w:pPr>
    <w:rPr>
      <w:rFonts w:ascii="宋体" w:hAnsi="Arial"/>
      <w:bCs/>
      <w:iCs/>
      <w:szCs w:val="24"/>
    </w:rPr>
  </w:style>
  <w:style w:type="paragraph" w:styleId="1045">
    <w:name w:val="xl27"/>
    <w:basedOn w:val="961"/>
    <w:next w:val="1045"/>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6"/>
    <w:basedOn w:val="961"/>
    <w:next w:val="1046"/>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Char"/>
    <w:basedOn w:val="961"/>
    <w:next w:val="1047"/>
    <w:link w:val="961"/>
    <w:pPr>
      <w:ind w:firstLine="200"/>
      <w:tabs>
        <w:tab w:val="left" w:pos="360" w:leader="none"/>
      </w:tabs>
    </w:pPr>
    <w:rPr>
      <w:sz w:val="28"/>
      <w:szCs w:val="30"/>
    </w:rPr>
  </w:style>
  <w:style w:type="paragraph" w:styleId="1048">
    <w:name w:val=" Char"/>
    <w:basedOn w:val="986"/>
    <w:next w:val="1048"/>
    <w:link w:val="961"/>
    <w:rPr>
      <w:rFonts w:ascii="Tahoma" w:hAnsi="Tahoma"/>
      <w:sz w:val="24"/>
      <w:szCs w:val="24"/>
    </w:rPr>
  </w:style>
  <w:style w:type="paragraph" w:styleId="1049">
    <w:name w:val="普通正文"/>
    <w:basedOn w:val="961"/>
    <w:next w:val="1049"/>
    <w:link w:val="961"/>
    <w:pPr>
      <w:ind w:firstLine="480"/>
      <w:jc w:val="left"/>
      <w:spacing w:before="120" w:after="120" w:line="360" w:lineRule="auto"/>
    </w:pPr>
    <w:rPr>
      <w:rFonts w:ascii="Arial" w:hAnsi="Arial"/>
      <w:sz w:val="24"/>
      <w:szCs w:val="24"/>
    </w:rPr>
  </w:style>
  <w:style w:type="paragraph" w:styleId="1050">
    <w:name w:val="table_lines"/>
    <w:basedOn w:val="961"/>
    <w:next w:val="1050"/>
    <w:link w:val="961"/>
    <w:pPr>
      <w:jc w:val="left"/>
      <w:widowControl/>
    </w:pPr>
    <w:rPr>
      <w:sz w:val="20"/>
      <w:szCs w:val="20"/>
      <w:lang w:val="de-DE" w:eastAsia="de-DE"/>
    </w:rPr>
  </w:style>
  <w:style w:type="paragraph" w:styleId="1051">
    <w:name w:val="附录1"/>
    <w:next w:val="1051"/>
    <w:link w:val="96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2">
    <w:name w:val="font7"/>
    <w:basedOn w:val="961"/>
    <w:next w:val="1052"/>
    <w:link w:val="961"/>
    <w:pPr>
      <w:jc w:val="left"/>
      <w:spacing w:before="100" w:beforeAutospacing="1" w:after="100" w:afterAutospacing="1"/>
      <w:widowControl/>
    </w:pPr>
    <w:rPr>
      <w:rFonts w:hint="eastAsia" w:ascii="宋体" w:hAnsi="宋体"/>
      <w:sz w:val="18"/>
      <w:szCs w:val="18"/>
    </w:rPr>
  </w:style>
  <w:style w:type="paragraph" w:styleId="1053">
    <w:name w:val=" Char Char Char Char"/>
    <w:basedOn w:val="986"/>
    <w:next w:val="1053"/>
    <w:link w:val="961"/>
    <w:pPr>
      <w:spacing w:line="360" w:lineRule="auto"/>
    </w:pPr>
    <w:rPr>
      <w:rFonts w:ascii="Tahoma" w:hAnsi="Tahoma"/>
      <w:sz w:val="24"/>
      <w:szCs w:val="24"/>
    </w:rPr>
  </w:style>
  <w:style w:type="paragraph" w:styleId="1054">
    <w:name w:val="列出段落"/>
    <w:basedOn w:val="961"/>
    <w:next w:val="1054"/>
    <w:link w:val="961"/>
    <w:qFormat/>
    <w:pPr>
      <w:contextualSpacing/>
      <w:ind w:left="720"/>
      <w:jc w:val="left"/>
      <w:widowControl/>
    </w:pPr>
    <w:rPr>
      <w:rFonts w:ascii="Calibri" w:hAnsi="Calibri"/>
      <w:sz w:val="24"/>
      <w:szCs w:val="24"/>
      <w:lang w:eastAsia="en-US" w:bidi="en-US"/>
    </w:rPr>
  </w:style>
  <w:style w:type="paragraph" w:styleId="1055">
    <w:name w:val="4"/>
    <w:basedOn w:val="961"/>
    <w:next w:val="1016"/>
    <w:link w:val="961"/>
    <w:pPr>
      <w:ind w:firstLine="420"/>
      <w:spacing w:line="360" w:lineRule="auto"/>
    </w:pPr>
    <w:rPr>
      <w:color w:val="ff0000"/>
      <w:sz w:val="24"/>
      <w:szCs w:val="24"/>
    </w:rPr>
  </w:style>
  <w:style w:type="paragraph" w:styleId="1056">
    <w:name w:val="普通 (Web)"/>
    <w:basedOn w:val="961"/>
    <w:next w:val="1056"/>
    <w:link w:val="961"/>
    <w:pPr>
      <w:jc w:val="left"/>
      <w:spacing w:before="100" w:beforeAutospacing="1" w:after="100" w:afterAutospacing="1"/>
      <w:widowControl/>
    </w:pPr>
    <w:rPr>
      <w:rFonts w:ascii="宋体" w:hAnsi="宋体"/>
      <w:sz w:val="24"/>
      <w:szCs w:val="24"/>
    </w:rPr>
  </w:style>
  <w:style w:type="paragraph" w:styleId="1057">
    <w:name w:val=" Char Char Char Char Char Char Char Char Char Char"/>
    <w:basedOn w:val="961"/>
    <w:next w:val="1057"/>
    <w:link w:val="961"/>
    <w:pPr>
      <w:spacing w:line="360" w:lineRule="auto"/>
    </w:pPr>
    <w:rPr>
      <w:sz w:val="24"/>
      <w:szCs w:val="20"/>
    </w:rPr>
  </w:style>
  <w:style w:type="paragraph" w:styleId="1058">
    <w:name w:val="样式1"/>
    <w:basedOn w:val="961"/>
    <w:next w:val="1058"/>
    <w:link w:val="961"/>
    <w:pPr>
      <w:numPr>
        <w:ilvl w:val="0"/>
        <w:numId w:val="3"/>
      </w:numPr>
      <w:tabs>
        <w:tab w:val="left" w:pos="709" w:leader="none"/>
      </w:tabs>
    </w:pPr>
    <w:rPr>
      <w:rFonts w:ascii="宋体" w:hAnsi="宋体"/>
    </w:rPr>
  </w:style>
  <w:style w:type="paragraph" w:styleId="1059">
    <w:name w:val="font6"/>
    <w:basedOn w:val="961"/>
    <w:next w:val="1059"/>
    <w:link w:val="961"/>
    <w:pPr>
      <w:jc w:val="left"/>
      <w:spacing w:before="100" w:beforeAutospacing="1" w:after="100" w:afterAutospacing="1"/>
      <w:widowControl/>
    </w:pPr>
    <w:rPr>
      <w:rFonts w:hint="eastAsia" w:ascii="宋体" w:hAnsi="宋体"/>
      <w:sz w:val="28"/>
      <w:szCs w:val="28"/>
      <w:u w:val="single"/>
    </w:rPr>
  </w:style>
  <w:style w:type="paragraph" w:styleId="1060">
    <w:name w:val="xl25"/>
    <w:basedOn w:val="961"/>
    <w:next w:val="1060"/>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name w:val="标题3"/>
    <w:basedOn w:val="961"/>
    <w:next w:val="961"/>
    <w:link w:val="961"/>
    <w:pPr>
      <w:ind w:firstLine="624"/>
      <w:spacing w:line="590" w:lineRule="atLeast"/>
    </w:pPr>
    <w:rPr>
      <w:rFonts w:ascii="方正黑体_GBK" w:eastAsia="方正黑体_GBK"/>
      <w:sz w:val="32"/>
      <w:szCs w:val="32"/>
    </w:rPr>
  </w:style>
  <w:style w:type="paragraph" w:styleId="1063">
    <w:name w:val="xl24"/>
    <w:basedOn w:val="961"/>
    <w:next w:val="1063"/>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name w:val="xl29"/>
    <w:basedOn w:val="961"/>
    <w:next w:val="1064"/>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name w:val="Char Char Char Char Char Char Char Char"/>
    <w:basedOn w:val="961"/>
    <w:next w:val="1065"/>
    <w:link w:val="961"/>
    <w:pPr>
      <w:jc w:val="left"/>
      <w:spacing w:after="160" w:line="240" w:lineRule="exact"/>
      <w:widowControl/>
    </w:pPr>
    <w:rPr>
      <w:rFonts w:ascii="Verdana" w:hAnsi="Verdana"/>
      <w:sz w:val="20"/>
      <w:szCs w:val="20"/>
      <w:lang w:eastAsia="en-US"/>
    </w:rPr>
  </w:style>
  <w:style w:type="paragraph" w:styleId="1066">
    <w:name w:val="xl28"/>
    <w:basedOn w:val="961"/>
    <w:next w:val="1066"/>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name w:val=" Char Char Char Char Char Char Char Char"/>
    <w:basedOn w:val="961"/>
    <w:next w:val="1067"/>
    <w:link w:val="961"/>
    <w:pPr>
      <w:jc w:val="left"/>
      <w:spacing w:after="160" w:line="240" w:lineRule="exact"/>
      <w:widowControl/>
    </w:pPr>
    <w:rPr>
      <w:rFonts w:ascii="Verdana" w:hAnsi="Verdana"/>
      <w:sz w:val="20"/>
      <w:szCs w:val="20"/>
      <w:lang w:eastAsia="en-US"/>
    </w:rPr>
  </w:style>
  <w:style w:type="paragraph" w:styleId="1068">
    <w:name w:val="xl30"/>
    <w:basedOn w:val="961"/>
    <w:next w:val="1068"/>
    <w:link w:val="961"/>
    <w:pPr>
      <w:jc w:val="center"/>
      <w:spacing w:before="100" w:beforeAutospacing="1" w:after="100" w:afterAutospacing="1"/>
      <w:widowControl/>
    </w:pPr>
    <w:rPr>
      <w:rFonts w:ascii="宋体" w:hAnsi="宋体"/>
      <w:b/>
      <w:bCs/>
      <w:sz w:val="36"/>
      <w:szCs w:val="36"/>
    </w:rPr>
  </w:style>
  <w:style w:type="paragraph" w:styleId="1069">
    <w:name w:val="Char Char Char Char"/>
    <w:basedOn w:val="986"/>
    <w:next w:val="1069"/>
    <w:link w:val="961"/>
    <w:pPr>
      <w:spacing w:line="360" w:lineRule="auto"/>
    </w:pPr>
    <w:rPr>
      <w:rFonts w:ascii="Tahoma" w:hAnsi="Tahoma"/>
      <w:sz w:val="24"/>
      <w:szCs w:val="24"/>
    </w:rPr>
  </w:style>
  <w:style w:type="paragraph" w:styleId="1070">
    <w:name w:val="table_1stline"/>
    <w:basedOn w:val="961"/>
    <w:next w:val="1070"/>
    <w:link w:val="961"/>
    <w:pPr>
      <w:jc w:val="left"/>
      <w:spacing w:before="120"/>
      <w:widowControl/>
    </w:pPr>
    <w:rPr>
      <w:bCs/>
      <w:sz w:val="20"/>
      <w:szCs w:val="20"/>
      <w:lang w:val="de-DE" w:eastAsia="de-DE"/>
    </w:rPr>
  </w:style>
  <w:style w:type="paragraph" w:styleId="1071">
    <w:name w:val="font5"/>
    <w:basedOn w:val="961"/>
    <w:next w:val="1071"/>
    <w:link w:val="961"/>
    <w:pPr>
      <w:jc w:val="left"/>
      <w:spacing w:before="100" w:beforeAutospacing="1" w:after="100" w:afterAutospacing="1"/>
      <w:widowControl/>
    </w:pPr>
    <w:rPr>
      <w:rFonts w:hint="eastAsia" w:ascii="宋体" w:hAnsi="宋体"/>
      <w:sz w:val="28"/>
      <w:szCs w:val="28"/>
    </w:rPr>
  </w:style>
  <w:style w:type="paragraph" w:styleId="1072">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name w:val="修订"/>
    <w:next w:val="1073"/>
    <w:link w:val="961"/>
    <w:uiPriority w:val="99"/>
    <w:semiHidden/>
    <w:rPr>
      <w:rFonts w:ascii="Times New Roman" w:hAnsi="Times New Roman"/>
      <w:sz w:val="21"/>
      <w:szCs w:val="21"/>
      <w:lang w:val="en-US" w:eastAsia="zh-CN" w:bidi="ar-SA"/>
    </w:rPr>
  </w:style>
  <w:style w:type="paragraph" w:styleId="1074">
    <w:name w:val="无间隔"/>
    <w:next w:val="1074"/>
    <w:link w:val="961"/>
    <w:uiPriority w:val="99"/>
    <w:qFormat/>
    <w:pPr>
      <w:jc w:val="both"/>
      <w:widowControl w:val="off"/>
    </w:pPr>
    <w:rPr>
      <w:rFonts w:ascii="Times New Roman" w:hAnsi="Times New Roman"/>
      <w:sz w:val="21"/>
      <w:szCs w:val="21"/>
      <w:lang w:val="en-US" w:eastAsia="zh-CN" w:bidi="ar-SA"/>
    </w:rPr>
  </w:style>
  <w:style w:type="paragraph" w:styleId="1075">
    <w:name w:val="纯文本1"/>
    <w:basedOn w:val="961"/>
    <w:next w:val="1075"/>
    <w:link w:val="1076"/>
    <w:qFormat/>
    <w:rPr>
      <w:rFonts w:ascii="宋体" w:hAnsi="Courier New" w:cs="Courier New"/>
    </w:rPr>
  </w:style>
  <w:style w:type="character" w:styleId="1076">
    <w:name w:val="纯文本 Char"/>
    <w:next w:val="1076"/>
    <w:link w:val="1075"/>
    <w:qFormat/>
    <w:rPr>
      <w:rFonts w:ascii="宋体" w:hAnsi="Courier New" w:cs="Courier New"/>
      <w:sz w:val="21"/>
      <w:szCs w:val="21"/>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7</cp:revision>
  <dcterms:created xsi:type="dcterms:W3CDTF">2026-07-15T09:25:00Z</dcterms:created>
  <dcterms:modified xsi:type="dcterms:W3CDTF">2026-07-21T02:58:35Z</dcterms:modified>
</cp:coreProperties>
</file>