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_GB2312" w:eastAsia="仿宋_GB2312"/>
          <w:sz w:val="32"/>
          <w:szCs w:val="32"/>
        </w:rPr>
      </w:pPr>
      <w:r>
        <w:rPr>
          <w:rFonts w:ascii="仿宋_GB2312" w:eastAsia="仿宋_GB2312"/>
          <w:sz w:val="32"/>
          <w:szCs w:val="32"/>
        </w:rPr>
      </w:r>
      <w:r/>
    </w:p>
    <w:p>
      <w:pPr>
        <w:rPr>
          <w:rFonts w:ascii="仿宋_GB2312" w:eastAsia="仿宋_GB2312"/>
          <w:sz w:val="32"/>
          <w:szCs w:val="32"/>
        </w:rPr>
      </w:pPr>
      <w:r>
        <w:rPr>
          <w:rFonts w:ascii="仿宋_GB2312" w:eastAsia="仿宋_GB2312"/>
          <w:sz w:val="32"/>
          <w:szCs w:val="32"/>
        </w:rPr>
      </w:r>
      <w:r/>
    </w:p>
    <w:p>
      <w:pPr>
        <w:jc w:val="center"/>
        <w:rPr>
          <w:rFonts w:hint="eastAsia" w:ascii="宋体" w:hAnsi="宋体"/>
          <w:sz w:val="96"/>
          <w:szCs w:val="84"/>
        </w:rPr>
      </w:pPr>
      <w:r>
        <w:rPr>
          <w:rFonts w:hint="eastAsia" w:ascii="宋体" w:hAnsi="宋体"/>
          <w:sz w:val="96"/>
          <w:szCs w:val="84"/>
        </w:rPr>
        <w:t xml:space="preserve">招 标 文 件</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ind w:left="3837" w:hanging="2042"/>
        <w:spacing w:after="144"/>
        <w:rPr>
          <w:rFonts w:hint="eastAsia" w:ascii="楷体" w:hAnsi="楷体" w:eastAsia="楷体"/>
          <w:b/>
          <w:bCs/>
          <w:sz w:val="36"/>
        </w:rPr>
      </w:pPr>
      <w:r/>
      <w:bookmarkStart w:id="0" w:name="OLE_LINK11"/>
      <w:r/>
      <w:bookmarkStart w:id="1" w:name="OLE_LINK31"/>
      <w:r>
        <w:rPr>
          <w:rFonts w:hint="eastAsia" w:ascii="楷体" w:hAnsi="楷体" w:eastAsia="楷体"/>
          <w:b/>
          <w:bCs/>
          <w:sz w:val="36"/>
        </w:rPr>
        <w:t xml:space="preserve">项目名称：</w:t>
      </w:r>
      <w:bookmarkStart w:id="2" w:name="_Hlk147667432"/>
      <w:r>
        <w:rPr>
          <w:rFonts w:hint="eastAsia" w:ascii="楷体" w:hAnsi="楷体" w:eastAsia="楷体"/>
          <w:b/>
          <w:bCs/>
          <w:sz w:val="36"/>
        </w:rPr>
        <w:t xml:space="preserve">理化生实验室设备采购 </w:t>
      </w:r>
      <w:bookmarkEnd w:id="2"/>
      <w:r/>
      <w:bookmarkEnd w:id="0"/>
      <w:r/>
    </w:p>
    <w:p>
      <w:pPr>
        <w:ind w:firstLine="1872"/>
        <w:spacing w:after="144"/>
        <w:rPr>
          <w:rFonts w:hint="eastAsia" w:ascii="楷体" w:hAnsi="楷体" w:eastAsia="楷体"/>
          <w:b/>
          <w:bCs/>
          <w:sz w:val="36"/>
        </w:rPr>
      </w:pPr>
      <w:r>
        <w:rPr>
          <w:rFonts w:hint="eastAsia" w:ascii="楷体" w:hAnsi="楷体" w:eastAsia="楷体"/>
          <w:b/>
          <w:bCs/>
          <w:sz w:val="36"/>
        </w:rPr>
        <w:t xml:space="preserve">项目编号：</w:t>
      </w:r>
      <w:bookmarkStart w:id="3" w:name="_Hlk135061173"/>
      <w:r>
        <w:rPr>
          <w:rFonts w:ascii="楷体" w:hAnsi="楷体" w:eastAsia="楷体"/>
          <w:b/>
          <w:bCs/>
          <w:sz w:val="36"/>
        </w:rPr>
        <w:t xml:space="preserve">JSZC-321281-THZX-G202</w:t>
      </w:r>
      <w:r>
        <w:rPr>
          <w:rFonts w:hint="eastAsia" w:ascii="楷体" w:hAnsi="楷体" w:eastAsia="楷体"/>
          <w:b/>
          <w:bCs/>
          <w:sz w:val="36"/>
        </w:rPr>
        <w:t xml:space="preserve">6</w:t>
      </w:r>
      <w:r>
        <w:rPr>
          <w:rFonts w:ascii="楷体" w:hAnsi="楷体" w:eastAsia="楷体"/>
          <w:b/>
          <w:bCs/>
          <w:sz w:val="36"/>
        </w:rPr>
        <w:t xml:space="preserve">-00</w:t>
      </w:r>
      <w:r>
        <w:rPr>
          <w:rFonts w:hint="eastAsia" w:ascii="楷体" w:hAnsi="楷体" w:eastAsia="楷体"/>
          <w:b/>
          <w:bCs/>
          <w:sz w:val="36"/>
        </w:rPr>
        <w:t xml:space="preserve">24</w:t>
      </w:r>
      <w:r>
        <w:rPr>
          <w:rFonts w:hint="eastAsia" w:ascii="楷体" w:hAnsi="楷体" w:eastAsia="楷体"/>
          <w:b/>
          <w:bCs/>
          <w:sz w:val="36"/>
        </w:rPr>
        <w:t xml:space="preserve">号</w:t>
      </w:r>
      <w:bookmarkEnd w:id="3"/>
      <w:r/>
      <w:r/>
    </w:p>
    <w:p>
      <w:pPr>
        <w:ind w:firstLine="1872"/>
        <w:spacing w:after="144"/>
        <w:rPr>
          <w:rFonts w:hint="eastAsia" w:ascii="楷体" w:hAnsi="楷体" w:eastAsia="楷体"/>
          <w:b/>
          <w:bCs/>
          <w:sz w:val="36"/>
          <w:szCs w:val="36"/>
        </w:rPr>
      </w:pPr>
      <w:r>
        <w:rPr>
          <w:rFonts w:hint="eastAsia" w:ascii="楷体" w:hAnsi="楷体" w:eastAsia="楷体"/>
          <w:b/>
          <w:bCs/>
          <w:sz w:val="36"/>
        </w:rPr>
        <w:t xml:space="preserve">采 购 人：</w:t>
      </w:r>
      <w:r>
        <w:rPr>
          <w:rFonts w:hint="eastAsia" w:ascii="楷体" w:hAnsi="楷体" w:eastAsia="楷体"/>
          <w:b/>
          <w:bCs/>
          <w:sz w:val="36"/>
        </w:rPr>
        <w:t xml:space="preserve">兴化市昭阳中学</w:t>
      </w:r>
      <w:r>
        <w:rPr>
          <w:rFonts w:hint="eastAsia" w:ascii="楷体" w:hAnsi="楷体" w:eastAsia="楷体"/>
          <w:b/>
          <w:bCs/>
          <w:sz w:val="36"/>
        </w:rPr>
        <w:t xml:space="preserve"> </w:t>
      </w:r>
      <w:r>
        <w:rPr>
          <w:rFonts w:hint="eastAsia" w:ascii="楷体" w:hAnsi="楷体" w:eastAsia="楷体"/>
          <w:b/>
          <w:sz w:val="36"/>
          <w:szCs w:val="36"/>
        </w:rPr>
        <w:t xml:space="preserve"> </w:t>
      </w:r>
      <w:bookmarkEnd w:id="1"/>
      <w:r/>
      <w:r/>
    </w:p>
    <w:p>
      <w:pPr>
        <w:jc w:val="both"/>
        <w:rPr>
          <w:rFonts w:ascii="仿宋_GB2312" w:eastAsia="仿宋_GB2312"/>
          <w:sz w:val="36"/>
        </w:rPr>
      </w:pPr>
      <w:r>
        <w:rPr>
          <w:rFonts w:ascii="仿宋_GB2312" w:eastAsia="仿宋_GB2312"/>
          <w:sz w:val="36"/>
        </w:rPr>
      </w:r>
      <w:r/>
    </w:p>
    <w:p>
      <w:pPr>
        <w:pStyle w:val="1033"/>
        <w:ind w:left="0"/>
        <w:jc w:val="center"/>
        <w:tabs>
          <w:tab w:val="left" w:pos="7182" w:leader="none"/>
        </w:tabs>
        <w:rPr>
          <w:color w:val="auto"/>
          <w:sz w:val="36"/>
        </w:rPr>
      </w:pPr>
      <w:r>
        <w:rPr>
          <w:color w:val="auto"/>
          <w:sz w:val="36"/>
        </w:rPr>
      </w:r>
      <w:r/>
    </w:p>
    <w:p>
      <w:pPr>
        <w:pStyle w:val="1033"/>
        <w:ind w:left="0"/>
        <w:jc w:val="center"/>
        <w:tabs>
          <w:tab w:val="left" w:pos="7182" w:leader="none"/>
        </w:tabs>
        <w:rPr>
          <w:rFonts w:hint="eastAsia" w:ascii="黑体" w:hAnsi="黑体" w:eastAsia="黑体"/>
          <w:color w:val="auto"/>
          <w:sz w:val="36"/>
        </w:rPr>
      </w:pPr>
      <w:r>
        <w:rPr>
          <w:rFonts w:hint="eastAsia" w:ascii="黑体" w:hAnsi="黑体" w:eastAsia="黑体"/>
          <w:color w:val="auto"/>
          <w:sz w:val="36"/>
        </w:rPr>
        <w:t xml:space="preserve">江苏泰禾房地产土地造价咨询评估有限公司</w:t>
      </w:r>
      <w:r/>
    </w:p>
    <w:p>
      <w:pPr>
        <w:pStyle w:val="1033"/>
        <w:ind w:left="89"/>
        <w:jc w:val="center"/>
        <w:rPr>
          <w:rFonts w:hint="eastAsia" w:ascii="黑体" w:hAnsi="黑体" w:eastAsia="黑体"/>
          <w:color w:val="auto"/>
          <w:sz w:val="36"/>
        </w:rPr>
      </w:pPr>
      <w:r>
        <w:rPr>
          <w:rFonts w:hint="eastAsia" w:ascii="黑体" w:hAnsi="黑体" w:eastAsia="黑体"/>
          <w:color w:val="auto"/>
          <w:sz w:val="36"/>
        </w:rPr>
        <w:t xml:space="preserve">二○二六年</w:t>
      </w:r>
      <w:r>
        <w:rPr>
          <w:rFonts w:hint="eastAsia" w:ascii="黑体" w:hAnsi="黑体" w:eastAsia="黑体"/>
          <w:color w:val="auto"/>
          <w:sz w:val="36"/>
        </w:rPr>
        <w:t xml:space="preserve">七</w:t>
      </w:r>
      <w:r>
        <w:rPr>
          <w:rFonts w:hint="eastAsia" w:ascii="黑体" w:hAnsi="黑体" w:eastAsia="黑体"/>
          <w:color w:val="auto"/>
          <w:sz w:val="36"/>
        </w:rPr>
        <w:t xml:space="preserve">月</w:t>
      </w:r>
      <w:r/>
    </w:p>
    <w:p>
      <w:pPr>
        <w:jc w:val="center"/>
        <w:rPr>
          <w:rFonts w:ascii="仿宋_GB2312" w:eastAsia="仿宋_GB2312"/>
          <w:b/>
          <w:sz w:val="44"/>
        </w:rPr>
      </w:pPr>
      <w:r>
        <w:br w:type="page" w:clear="all"/>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p>
    <w:p>
      <w:pPr>
        <w:ind w:firstLine="775"/>
        <w:spacing w:after="144"/>
        <w:rPr>
          <w:rFonts w:hint="eastAsia" w:ascii="仿宋" w:hAnsi="仿宋" w:eastAsia="仿宋"/>
          <w:b/>
          <w:sz w:val="32"/>
          <w:szCs w:val="32"/>
        </w:rPr>
      </w:pPr>
      <w:r>
        <w:rPr>
          <w:rFonts w:hint="eastAsia" w:ascii="仿宋" w:hAnsi="仿宋" w:eastAsia="仿宋"/>
          <w:b/>
          <w:sz w:val="32"/>
          <w:szCs w:val="32"/>
        </w:rPr>
        <w:t xml:space="preserve">第一部分  投标供应商须知</w:t>
      </w:r>
      <w:r/>
    </w:p>
    <w:p>
      <w:pPr>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p>
    <w:p>
      <w:pPr>
        <w:ind w:firstLine="771"/>
        <w:spacing w:after="144"/>
        <w:rPr>
          <w:rFonts w:hint="eastAsia" w:ascii="仿宋" w:hAnsi="仿宋" w:eastAsia="仿宋"/>
          <w:sz w:val="32"/>
          <w:szCs w:val="32"/>
        </w:rPr>
      </w:pPr>
      <w:r>
        <w:rPr>
          <w:rFonts w:hint="eastAsia" w:ascii="仿宋" w:hAnsi="仿宋" w:eastAsia="仿宋"/>
          <w:sz w:val="32"/>
          <w:szCs w:val="32"/>
        </w:rPr>
        <w:t xml:space="preserve">    一、总 则</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二、招标文件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三、投标报价</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四、投标文件的编制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五、投标截止时间、开标时间</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六、开标、评标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七、定 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八、签订、履行合同</w:t>
      </w:r>
      <w:r/>
    </w:p>
    <w:p>
      <w:pPr>
        <w:spacing w:after="144"/>
        <w:rPr>
          <w:rFonts w:hint="eastAsia" w:ascii="仿宋" w:hAnsi="仿宋" w:eastAsia="仿宋"/>
          <w:b/>
          <w:sz w:val="32"/>
          <w:szCs w:val="32"/>
        </w:rPr>
      </w:pPr>
      <w:r>
        <w:rPr>
          <w:rFonts w:hint="eastAsia" w:ascii="仿宋" w:hAnsi="仿宋" w:eastAsia="仿宋"/>
          <w:b/>
          <w:sz w:val="32"/>
          <w:szCs w:val="32"/>
        </w:rPr>
        <w:t xml:space="preserve">    第二部分  采购需求</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第三部分  政府采购合同</w:t>
      </w:r>
      <w:r/>
    </w:p>
    <w:p>
      <w:pPr>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p>
    <w:p>
      <w:pPr>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第四部分  投标文件格式</w:t>
      </w:r>
      <w:r/>
    </w:p>
    <w:p>
      <w:pPr>
        <w:ind w:firstLine="38"/>
        <w:jc w:val="center"/>
        <w:rPr>
          <w:rFonts w:hint="eastAsia" w:ascii="仿宋" w:hAnsi="仿宋" w:eastAsia="仿宋"/>
          <w:b/>
          <w:sz w:val="44"/>
          <w:szCs w:val="44"/>
        </w:rPr>
      </w:pPr>
      <w:r>
        <w:rPr>
          <w:rFonts w:hint="eastAsia" w:ascii="仿宋" w:hAnsi="仿宋" w:eastAsia="仿宋"/>
          <w:b/>
          <w:sz w:val="44"/>
          <w:szCs w:val="44"/>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05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55"/>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185" cy="1567815"/>
                <wp:effectExtent l="0" t="0" r="5715" b="0"/>
                <wp:docPr id="10"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77424" name="图片 1" descr="1675992174522"/>
                        <pic:cNvPicPr>
                          <a:picLocks noChangeAspect="1"/>
                        </pic:cNvPicPr>
                        <pic:nvPr/>
                      </pic:nvPicPr>
                      <pic:blipFill>
                        <a:blip r:embed="rId18"/>
                        <a:stretch/>
                      </pic:blipFill>
                      <pic:spPr bwMode="auto">
                        <a:xfrm>
                          <a:off x="0" y="0"/>
                          <a:ext cx="5290185"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6.5pt;height:123.4pt;mso-wrap-distance-left:0.0pt;mso-wrap-distance-top:0.0pt;mso-wrap-distance-right:0.0pt;mso-wrap-distance-bottom:0.0pt;" stroked="f">
                <v:path textboxrect="0,0,0,0"/>
                <v:imagedata r:id="rId18" o:title=""/>
              </v:shape>
            </w:pict>
          </mc:Fallback>
        </mc:AlternateContent>
      </w:r>
      <w:r/>
    </w:p>
    <w:p>
      <w:pPr>
        <w:pStyle w:val="105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5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5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5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hyperlink r:id="rId19" w:tooltip="http://www.ccgp-jiangsu.gov.cn/jiangsu/paying.html" w:history="1">
        <w:r>
          <w:rPr>
            <w:rStyle w:val="1067"/>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hyperlink r:id="rId20" w:tooltip="https://www.crcrfsp.com/" w:history="1">
        <w:r>
          <w:rPr>
            <w:rStyle w:val="1067"/>
            <w:rFonts w:hint="eastAsia" w:ascii="仿宋" w:hAnsi="仿宋" w:eastAsia="仿宋" w:cs="仿宋"/>
            <w:spacing w:val="1"/>
            <w:sz w:val="28"/>
            <w:szCs w:val="28"/>
          </w:rPr>
          <w:t xml:space="preserve">https://www.crcrfsp.com/</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w:t>
      </w:r>
      <w:r>
        <w:rPr>
          <w:rFonts w:ascii="仿宋" w:hAnsi="仿宋" w:eastAsia="仿宋" w:cs="仿宋"/>
          <w:spacing w:val="1"/>
          <w:sz w:val="28"/>
          <w:szCs w:val="28"/>
        </w:rPr>
        <w:t xml:space="preserve">财政局政府采购科</w:t>
      </w:r>
      <w:r>
        <w:rPr>
          <w:rFonts w:hint="eastAsia" w:ascii="仿宋" w:hAnsi="仿宋" w:eastAsia="仿宋" w:cs="仿宋"/>
          <w:spacing w:val="1"/>
          <w:sz w:val="28"/>
          <w:szCs w:val="28"/>
        </w:rPr>
        <w:t xml:space="preserve">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21" w:tooltip="苏采云系统操作手册（供应商）" w:history="1">
        <w:r>
          <w:rPr>
            <w:rStyle w:val="1067"/>
            <w:rFonts w:hint="eastAsia" w:ascii="仿宋" w:hAnsi="仿宋" w:eastAsia="仿宋" w:cs="宋体"/>
            <w:sz w:val="28"/>
            <w:szCs w:val="28"/>
            <w:shd w:val="clear" w:color="auto" w:fill="ffffff"/>
          </w:rPr>
          <w:t xml:space="preserve">苏采云系统操作手册（供应商）</w:t>
        </w:r>
      </w:hyperlink>
      <w:r>
        <w:rPr>
          <w:rFonts w:hint="eastAsia" w:ascii="仿宋" w:hAnsi="仿宋" w:eastAsia="仿宋" w:cs="宋体"/>
          <w:sz w:val="28"/>
          <w:szCs w:val="28"/>
          <w:shd w:val="clear" w:color="auto" w:fill="ffffff"/>
          <w:lang w:bidi="ar"/>
        </w:rPr>
        <w:t xml:space="preserve">”，进行下载。</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省网最新要求，投标人需重新办理CA锁，不再使国信C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三、竞争性磋商、磋商不见面交易注意事项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竞争性磋商、磋商项目需要进行磋商、磋商程序，请各供应商在投标前按照要求对耳麦、摄像头等通讯工具进行最终调试，可以利用微信或qq等相关软件进行测试，确保在磋商、磋商过程可以正常进行。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w:t>
      </w:r>
      <w:r>
        <w:rPr>
          <w:rFonts w:hint="eastAsia" w:ascii="仿宋" w:hAnsi="仿宋" w:eastAsia="仿宋" w:cs="仿宋"/>
          <w:color w:val="ff0000"/>
          <w:sz w:val="28"/>
          <w:szCs w:val="28"/>
        </w:rPr>
        <w:t xml:space="preserve">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996"/>
      </w:pPr>
      <w:r/>
      <w:r/>
    </w:p>
    <w:p>
      <w:pPr>
        <w:ind w:firstLine="518"/>
        <w:spacing w:line="520" w:lineRule="exact"/>
        <w:rPr>
          <w:rFonts w:hint="eastAsia" w:ascii="仿宋" w:hAnsi="仿宋" w:eastAsia="仿宋" w:cs="仿宋"/>
          <w:sz w:val="28"/>
          <w:szCs w:val="28"/>
        </w:rPr>
      </w:pPr>
      <w:r/>
      <w:bookmarkStart w:id="4" w:name="_Toc103848531"/>
      <w:r/>
      <w:bookmarkStart w:id="5" w:name="_Toc104560842"/>
      <w:r/>
      <w:bookmarkStart w:id="6"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4"/>
      <w:r>
        <w:rPr>
          <w:rFonts w:hint="eastAsia" w:ascii="仿宋" w:hAnsi="仿宋" w:eastAsia="仿宋" w:cs="仿宋"/>
          <w:sz w:val="28"/>
          <w:szCs w:val="28"/>
        </w:rPr>
        <w:t xml:space="preserve">政府采购政策（包括但不限于下列具体政策要求）</w:t>
      </w:r>
      <w:bookmarkEnd w:id="5"/>
      <w:r/>
      <w:bookmarkEnd w:id="6"/>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7" w:name="sendNo"/>
      <w:r>
        <w:rPr>
          <w:rFonts w:hint="eastAsia" w:ascii="仿宋" w:hAnsi="仿宋" w:eastAsia="仿宋" w:cs="仿宋"/>
          <w:sz w:val="28"/>
          <w:szCs w:val="28"/>
        </w:rPr>
        <w:t xml:space="preserve">财库〔2023〕7号</w:t>
      </w:r>
      <w:bookmarkEnd w:id="7"/>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w:t>
      </w:r>
      <w:r>
        <w:rPr>
          <w:rFonts w:hint="eastAsia" w:ascii="仿宋" w:hAnsi="仿宋" w:eastAsia="仿宋" w:cs="仿宋"/>
          <w:sz w:val="28"/>
          <w:szCs w:val="28"/>
        </w:rPr>
        <w:t xml:space="preserve">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w:t>
      </w:r>
      <w:r>
        <w:rPr>
          <w:rFonts w:hint="eastAsia" w:ascii="仿宋" w:hAnsi="仿宋" w:eastAsia="仿宋" w:cs="仿宋"/>
          <w:sz w:val="28"/>
          <w:szCs w:val="28"/>
        </w:rPr>
        <w:t xml:space="preserve">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hyperlink r:id="rId22" w:tooltip="www.ccgp-jiangsu.gov.cn/jiangsu/zlxz）下载" w:history="1">
        <w:r>
          <w:rPr>
            <w:rFonts w:hint="eastAsia" w:ascii="仿宋" w:hAnsi="仿宋" w:eastAsia="仿宋" w:cs="仿宋"/>
            <w:sz w:val="28"/>
            <w:szCs w:val="28"/>
          </w:rPr>
          <w:t xml:space="preserve">www.ccgp-jiangsu.gov.cn/jiangsu/zlxz）下载“政府采购电子履约</w:t>
        </w:r>
      </w:hyperlink>
      <w:r>
        <w:rPr>
          <w:rFonts w:hint="eastAsia" w:ascii="仿宋" w:hAnsi="仿宋" w:eastAsia="仿宋" w:cs="仿宋"/>
          <w:sz w:val="28"/>
          <w:szCs w:val="28"/>
        </w:rPr>
        <w:t xml:space="preserve">保函（保险）操作手册”。</w:t>
      </w:r>
      <w:r/>
    </w:p>
    <w:p>
      <w:pPr>
        <w:pStyle w:val="996"/>
      </w:pPr>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r/>
      <w:r/>
    </w:p>
    <w:p>
      <w:pPr>
        <w:ind w:firstLine="38"/>
        <w:jc w:val="center"/>
        <w:rPr>
          <w:rFonts w:hint="eastAsia" w:ascii="仿宋" w:hAnsi="仿宋" w:eastAsia="仿宋"/>
          <w:b/>
          <w:sz w:val="44"/>
          <w:szCs w:val="44"/>
        </w:rPr>
      </w:pPr>
      <w:r>
        <w:rPr>
          <w:rFonts w:hint="eastAsia" w:ascii="仿宋" w:hAnsi="仿宋" w:eastAsia="仿宋"/>
          <w:b/>
          <w:sz w:val="44"/>
          <w:szCs w:val="44"/>
        </w:rPr>
        <w:t xml:space="preserve">第一部分   投标供应商须知</w:t>
      </w:r>
      <w:r/>
    </w:p>
    <w:p>
      <w:pPr>
        <w:ind w:firstLine="23"/>
        <w:jc w:val="center"/>
        <w:rPr>
          <w:rFonts w:hint="eastAsia" w:ascii="仿宋" w:hAnsi="仿宋" w:eastAsia="仿宋"/>
          <w:b/>
          <w:sz w:val="44"/>
          <w:szCs w:val="44"/>
        </w:rPr>
      </w:pPr>
      <w:r>
        <w:rPr>
          <w:rFonts w:hint="eastAsia" w:ascii="仿宋" w:hAnsi="仿宋" w:eastAsia="仿宋"/>
          <w:sz w:val="28"/>
          <w:szCs w:val="28"/>
        </w:rPr>
        <w:t xml:space="preserve">（前附表）</w:t>
      </w:r>
      <w:r/>
    </w:p>
    <w:tbl>
      <w:tblPr>
        <w:tblW w:w="9684" w:type="dxa"/>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910"/>
      </w:tblGrid>
      <w:tr>
        <w:trPr>
          <w:cantSplit/>
          <w:jc w:val="center"/>
          <w:trHeight w:val="30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91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p>
        </w:tc>
      </w:tr>
      <w:tr>
        <w:trPr>
          <w:cantSplit/>
          <w:jc w:val="center"/>
          <w:trHeight w:val="79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项目名称：理化生实验室设备采购</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项目编号：</w:t>
            </w:r>
            <w:r>
              <w:rPr>
                <w:rFonts w:ascii="仿宋" w:hAnsi="仿宋" w:eastAsia="仿宋"/>
                <w:bCs/>
                <w:color w:val="000000"/>
                <w:sz w:val="28"/>
                <w:szCs w:val="28"/>
              </w:rPr>
              <w:t xml:space="preserve">JSZC-321281-THZX-G202</w:t>
            </w:r>
            <w:r>
              <w:rPr>
                <w:rFonts w:hint="eastAsia" w:ascii="仿宋" w:hAnsi="仿宋" w:eastAsia="仿宋"/>
                <w:bCs/>
                <w:color w:val="000000"/>
                <w:sz w:val="28"/>
                <w:szCs w:val="28"/>
              </w:rPr>
              <w:t xml:space="preserve">6</w:t>
            </w:r>
            <w:r>
              <w:rPr>
                <w:rFonts w:ascii="仿宋" w:hAnsi="仿宋" w:eastAsia="仿宋"/>
                <w:bCs/>
                <w:color w:val="000000"/>
                <w:sz w:val="28"/>
                <w:szCs w:val="28"/>
              </w:rPr>
              <w:t xml:space="preserve">-00</w:t>
            </w:r>
            <w:r>
              <w:rPr>
                <w:rFonts w:hint="eastAsia" w:ascii="仿宋" w:hAnsi="仿宋" w:eastAsia="仿宋"/>
                <w:bCs/>
                <w:color w:val="000000"/>
                <w:sz w:val="28"/>
                <w:szCs w:val="28"/>
              </w:rPr>
              <w:t xml:space="preserve">24</w:t>
            </w:r>
            <w:r>
              <w:rPr>
                <w:rFonts w:hint="eastAsia" w:ascii="仿宋" w:hAnsi="仿宋" w:eastAsia="仿宋"/>
                <w:bCs/>
                <w:color w:val="000000"/>
                <w:sz w:val="28"/>
                <w:szCs w:val="28"/>
              </w:rPr>
              <w:t xml:space="preserve">号</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采购方式：公开招标</w:t>
            </w:r>
            <w:r/>
          </w:p>
        </w:tc>
      </w:tr>
      <w:tr>
        <w:trPr>
          <w:cantSplit/>
          <w:jc w:val="center"/>
          <w:trHeight w:val="321"/>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本项目不收取投标保证金</w:t>
            </w:r>
            <w:r/>
          </w:p>
        </w:tc>
      </w:tr>
      <w:tr>
        <w:trPr>
          <w:cantSplit/>
          <w:jc w:val="center"/>
          <w:trHeight w:val="2725"/>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910"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履约保证金：由采购人按成交金额的10% 在双方签订合时自行收取，合同履行后按合同付款比例无息退还。</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color w:val="000000"/>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cantSplit/>
          <w:jc w:val="center"/>
          <w:trHeight w:val="27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：开标后60日内</w:t>
            </w:r>
            <w:r/>
          </w:p>
        </w:tc>
      </w:tr>
      <w:tr>
        <w:trPr>
          <w:cantSplit/>
          <w:jc w:val="center"/>
          <w:trHeight w:val="148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910"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 </w:t>
            </w:r>
            <w:r/>
          </w:p>
          <w:p>
            <w:pPr>
              <w:spacing w:line="400" w:lineRule="exact"/>
              <w:rPr>
                <w:rFonts w:hint="eastAsia" w:ascii="仿宋" w:hAnsi="仿宋" w:eastAsia="仿宋"/>
                <w:bCs/>
                <w:color w:val="ff0000"/>
                <w:szCs w:val="21"/>
              </w:rPr>
            </w:pP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hyperlink r:id="rId23" w:tooltip="http://jszfcg.jsczt.cn/" w:history="1">
              <w:r>
                <w:rPr>
                  <w:rFonts w:hint="eastAsia" w:ascii="仿宋" w:hAnsi="仿宋" w:eastAsia="仿宋"/>
                  <w:bCs/>
                  <w:color w:val="000000"/>
                  <w:sz w:val="28"/>
                  <w:szCs w:val="28"/>
                </w:rPr>
                <w:t xml:space="preserve">http://jszfcg.jsczt.cn/</w:t>
              </w:r>
            </w:hyperlink>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使用谷歌浏览器参与不见面开标及磋商环节。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：2026年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8</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10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日09 :30（北京时间）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时间:2026年</w:t>
            </w:r>
            <w:r>
              <w:rPr>
                <w:rFonts w:hint="eastAsia" w:ascii="仿宋" w:hAnsi="仿宋" w:eastAsia="仿宋"/>
                <w:bCs/>
                <w:color w:val="000000"/>
                <w:sz w:val="28"/>
                <w:szCs w:val="28"/>
              </w:rPr>
              <w:t xml:space="preserve">8</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10</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日09 :30(北京时间)</w:t>
            </w:r>
            <w:r/>
          </w:p>
          <w:p>
            <w:pPr>
              <w:spacing w:line="320" w:lineRule="exact"/>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cantSplit/>
          <w:jc w:val="center"/>
          <w:trHeight w:val="55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
                <w:sz w:val="28"/>
                <w:szCs w:val="28"/>
              </w:rPr>
              <w:t xml:space="preserve">供应商如认为</w:t>
            </w:r>
            <w:r>
              <w:rPr>
                <w:rFonts w:hint="eastAsia" w:ascii="仿宋" w:hAnsi="仿宋" w:eastAsia="仿宋"/>
                <w:b/>
                <w:sz w:val="28"/>
                <w:szCs w:val="28"/>
              </w:rPr>
              <w:t xml:space="preserve">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p>
        </w:tc>
      </w:tr>
      <w:tr>
        <w:trPr>
          <w:cantSplit/>
          <w:jc w:val="center"/>
          <w:trHeight w:val="38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
                <w:bCs/>
                <w:sz w:val="28"/>
                <w:szCs w:val="28"/>
              </w:rPr>
            </w:pPr>
            <w:r/>
            <w:bookmarkStart w:id="8" w:name="OLE_LINK6"/>
            <w:r>
              <w:rPr>
                <w:rFonts w:hint="eastAsia" w:ascii="仿宋" w:hAnsi="仿宋" w:eastAsia="仿宋"/>
                <w:bCs/>
                <w:color w:val="ff0000"/>
                <w:sz w:val="28"/>
                <w:szCs w:val="28"/>
              </w:rPr>
              <w:t xml:space="preserve">本项目专门面向中小企业。</w:t>
            </w:r>
            <w:bookmarkEnd w:id="8"/>
            <w:r/>
            <w:r/>
          </w:p>
        </w:tc>
      </w:tr>
      <w:tr>
        <w:trPr>
          <w:cantSplit/>
          <w:jc w:val="center"/>
          <w:trHeight w:val="563"/>
        </w:trPr>
        <w:tc>
          <w:tcPr>
            <w:tcBorders>
              <w:top w:val="single" w:color="auto" w:sz="4" w:space="0"/>
              <w:bottom w:val="single" w:color="auto"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8</w:t>
            </w:r>
            <w:r/>
          </w:p>
        </w:tc>
        <w:tc>
          <w:tcPr>
            <w:tcBorders>
              <w:top w:val="single" w:color="auto" w:sz="4" w:space="0"/>
              <w:bottom w:val="single" w:color="auto"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w:t>
            </w:r>
            <w:r>
              <w:rPr>
                <w:rFonts w:hint="eastAsia" w:ascii="仿宋" w:hAnsi="仿宋" w:eastAsia="仿宋"/>
                <w:bCs/>
                <w:sz w:val="28"/>
                <w:szCs w:val="28"/>
              </w:rPr>
              <w:t xml:space="preserve">98</w:t>
            </w:r>
            <w:r>
              <w:rPr>
                <w:rFonts w:hint="eastAsia" w:ascii="仿宋" w:hAnsi="仿宋" w:eastAsia="仿宋"/>
                <w:bCs/>
                <w:sz w:val="28"/>
                <w:szCs w:val="28"/>
              </w:rPr>
              <w:t xml:space="preserve">页；请仔细查阅，如有漏、错页或字迹不清等问题，请主动与江苏泰禾联系调换或补正。</w:t>
            </w:r>
            <w:r/>
          </w:p>
        </w:tc>
      </w:tr>
    </w:tbl>
    <w:p>
      <w:pPr>
        <w:jc w:val="center"/>
        <w:spacing w:line="480" w:lineRule="exact"/>
        <w:rPr>
          <w:rFonts w:ascii="黑体" w:eastAsia="黑体"/>
          <w:b/>
          <w:bCs/>
          <w:color w:val="000000"/>
          <w:sz w:val="32"/>
        </w:rPr>
      </w:pPr>
      <w:r>
        <w:rPr>
          <w:rFonts w:hint="eastAsia" w:ascii="黑体" w:eastAsia="黑体"/>
          <w:b/>
          <w:bCs/>
          <w:color w:val="000000"/>
          <w:sz w:val="32"/>
        </w:rPr>
        <w:t xml:space="preserve">一、招标公告</w:t>
      </w:r>
      <w:r/>
    </w:p>
    <w:p>
      <w:pPr>
        <w:pStyle w:val="10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1055"/>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理化生实验室设备采购</w:t>
      </w:r>
      <w:r>
        <w:rPr>
          <w:rFonts w:hint="eastAsia" w:ascii="仿宋" w:hAnsi="仿宋" w:eastAsia="仿宋"/>
          <w:sz w:val="28"/>
          <w:szCs w:val="28"/>
        </w:rPr>
        <w:t xml:space="preserve">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hyperlink r:id="rId24" w:tooltip="http://jszfcg.jsczt.cn/）获取采购文件，并于2026年" w:history="1">
        <w:r>
          <w:rPr>
            <w:rFonts w:ascii="仿宋" w:hAnsi="仿宋" w:eastAsia="仿宋"/>
            <w:sz w:val="28"/>
            <w:szCs w:val="28"/>
            <w:u w:val="single"/>
          </w:rPr>
          <w:t xml:space="preserve">http://jszfcg.jsczt.cn/）获取采购文件，并于2026年</w:t>
        </w:r>
      </w:hyperlink>
      <w:r>
        <w:rPr>
          <w:rFonts w:hint="eastAsia" w:ascii="仿宋" w:hAnsi="仿宋" w:eastAsia="仿宋"/>
          <w:sz w:val="28"/>
          <w:szCs w:val="28"/>
          <w:u w:val="single"/>
        </w:rPr>
        <w:t xml:space="preserve">8</w:t>
      </w:r>
      <w:r>
        <w:rPr>
          <w:rFonts w:ascii="仿宋" w:hAnsi="仿宋" w:eastAsia="仿宋"/>
          <w:sz w:val="28"/>
          <w:szCs w:val="28"/>
          <w:u w:val="single"/>
        </w:rPr>
        <w:t xml:space="preserve"> </w:t>
      </w:r>
      <w:r>
        <w:rPr>
          <w:rFonts w:ascii="仿宋" w:hAnsi="仿宋" w:eastAsia="仿宋"/>
          <w:sz w:val="28"/>
          <w:szCs w:val="28"/>
          <w:u w:val="single"/>
        </w:rPr>
        <w:t xml:space="preserve">月</w:t>
      </w:r>
      <w:r>
        <w:rPr>
          <w:rFonts w:ascii="仿宋" w:hAnsi="仿宋" w:eastAsia="仿宋"/>
          <w:sz w:val="28"/>
          <w:szCs w:val="28"/>
          <w:u w:val="single"/>
        </w:rPr>
        <w:t xml:space="preserve">10</w:t>
      </w:r>
      <w:r>
        <w:rPr>
          <w:rFonts w:ascii="仿宋" w:hAnsi="仿宋" w:eastAsia="仿宋"/>
          <w:sz w:val="28"/>
          <w:szCs w:val="28"/>
          <w:u w:val="single"/>
        </w:rPr>
        <w:t xml:space="preserve"> </w:t>
      </w:r>
      <w:r>
        <w:rPr>
          <w:rFonts w:ascii="仿宋" w:hAnsi="仿宋" w:eastAsia="仿宋"/>
          <w:sz w:val="28"/>
          <w:szCs w:val="28"/>
          <w:u w:val="single"/>
        </w:rPr>
        <w:t xml:space="preserve">日 09:30</w:t>
      </w:r>
      <w:r>
        <w:rPr>
          <w:rFonts w:hint="eastAsia" w:ascii="仿宋" w:hAnsi="仿宋" w:eastAsia="仿宋"/>
          <w:sz w:val="28"/>
          <w:szCs w:val="28"/>
          <w:u w:val="single"/>
        </w:rPr>
        <w:t xml:space="preserve">（北京时间）前提</w:t>
      </w:r>
      <w:r>
        <w:rPr>
          <w:rFonts w:hint="eastAsia" w:ascii="仿宋" w:hAnsi="仿宋" w:eastAsia="仿宋"/>
          <w:bCs/>
          <w:sz w:val="28"/>
          <w:szCs w:val="28"/>
        </w:rPr>
        <w:t xml:space="preserve">交投标响应</w:t>
      </w:r>
      <w:r>
        <w:rPr>
          <w:rFonts w:ascii="仿宋" w:hAnsi="仿宋" w:eastAsia="仿宋"/>
          <w:bCs/>
          <w:sz w:val="28"/>
          <w:szCs w:val="28"/>
        </w:rPr>
        <w:t xml:space="preserve">文件</w:t>
      </w:r>
      <w:r/>
    </w:p>
    <w:p>
      <w:pPr>
        <w:pStyle w:val="1055"/>
        <w:ind w:firstLine="5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1055"/>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项目编号：</w:t>
      </w:r>
      <w:bookmarkStart w:id="9" w:name="_Hlk127878261"/>
      <w:r>
        <w:rPr>
          <w:rFonts w:ascii="仿宋" w:hAnsi="仿宋" w:eastAsia="仿宋"/>
          <w:sz w:val="28"/>
          <w:szCs w:val="28"/>
        </w:rPr>
        <w:t xml:space="preserve">JSZC-321281-THZX-G202</w:t>
      </w:r>
      <w:bookmarkEnd w:id="9"/>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rPr>
        <w:t xml:space="preserve">24</w:t>
      </w:r>
      <w:r>
        <w:rPr>
          <w:rFonts w:hint="eastAsia" w:ascii="仿宋" w:hAnsi="仿宋" w:eastAsia="仿宋"/>
          <w:sz w:val="28"/>
          <w:szCs w:val="28"/>
        </w:rPr>
        <w:t xml:space="preserve"> </w:t>
      </w:r>
      <w:r>
        <w:rPr>
          <w:rFonts w:hint="eastAsia" w:ascii="仿宋" w:hAnsi="仿宋" w:eastAsia="仿宋"/>
          <w:sz w:val="28"/>
          <w:szCs w:val="28"/>
        </w:rPr>
        <w:t xml:space="preserve">号</w:t>
      </w:r>
      <w:r/>
    </w:p>
    <w:p>
      <w:pPr>
        <w:pStyle w:val="1055"/>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项目名称：理化生实验室设备采购</w:t>
      </w:r>
      <w:r/>
    </w:p>
    <w:p>
      <w:pPr>
        <w:pStyle w:val="1291"/>
        <w:ind w:firstLine="518"/>
        <w:spacing w:before="0" w:beforeAutospacing="0" w:after="0" w:afterAutospacing="0" w:line="520" w:lineRule="exact"/>
        <w:rPr>
          <w:rFonts w:hint="eastAsia" w:ascii="仿宋" w:hAnsi="仿宋" w:eastAsia="仿宋"/>
          <w:b/>
          <w:bCs/>
          <w:color w:val="000000" w:themeColor="text1"/>
          <w:sz w:val="28"/>
          <w:szCs w:val="28"/>
        </w:rPr>
      </w:pPr>
      <w:r>
        <w:rPr>
          <w:rFonts w:hint="eastAsia" w:ascii="仿宋" w:hAnsi="仿宋" w:eastAsia="仿宋"/>
          <w:color w:val="000000" w:themeColor="text1"/>
          <w:sz w:val="28"/>
          <w:szCs w:val="28"/>
        </w:rPr>
        <w:t xml:space="preserve">预算金额：</w:t>
      </w:r>
      <w:bookmarkStart w:id="10" w:name="_Hlk134691773"/>
      <w:r/>
      <w:bookmarkStart w:id="11" w:name="_Hlk142580539"/>
      <w:r>
        <w:rPr>
          <w:rFonts w:hint="eastAsia" w:ascii="仿宋" w:hAnsi="仿宋" w:eastAsia="仿宋"/>
          <w:color w:val="000000" w:themeColor="text1"/>
          <w:sz w:val="28"/>
          <w:szCs w:val="28"/>
        </w:rPr>
        <w:t xml:space="preserve">人民币壹佰肆拾万元整 （￥：1400000.00</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元</w:t>
      </w:r>
      <w:r>
        <w:rPr>
          <w:rFonts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w:t>
      </w:r>
      <w:r>
        <w:rPr>
          <w:rFonts w:hint="eastAsia" w:ascii="仿宋" w:hAnsi="仿宋" w:eastAsia="仿宋"/>
          <w:b/>
          <w:bCs/>
          <w:color w:val="000000" w:themeColor="text1"/>
          <w:sz w:val="28"/>
          <w:szCs w:val="28"/>
        </w:rPr>
        <w:t xml:space="preserve">响应报价高于采购预算的，将被判定为无效响应文件。</w:t>
      </w:r>
      <w:bookmarkEnd w:id="10"/>
      <w:r/>
      <w:bookmarkEnd w:id="11"/>
      <w:r/>
    </w:p>
    <w:p>
      <w:pPr>
        <w:pStyle w:val="1055"/>
        <w:ind w:firstLine="635"/>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采购需求：</w:t>
      </w:r>
      <w:bookmarkStart w:id="12" w:name="_Hlk134691785"/>
      <w:r>
        <w:rPr>
          <w:rFonts w:hint="eastAsia" w:ascii="仿宋" w:hAnsi="仿宋" w:eastAsia="仿宋"/>
          <w:color w:val="000000" w:themeColor="text1"/>
          <w:sz w:val="28"/>
          <w:szCs w:val="28"/>
        </w:rPr>
        <w:t xml:space="preserve">理化生实验室设备采购等 </w:t>
      </w:r>
      <w:r>
        <w:rPr>
          <w:rFonts w:hint="eastAsia" w:ascii="仿宋_GB2312" w:hAnsi="仿宋" w:eastAsia="仿宋_GB2312" w:cs="仿宋_GB2312"/>
          <w:color w:val="000000" w:themeColor="text1"/>
          <w:sz w:val="28"/>
          <w:szCs w:val="28"/>
        </w:rPr>
        <w:t xml:space="preserve">，</w:t>
      </w:r>
      <w:r>
        <w:rPr>
          <w:rFonts w:hint="eastAsia" w:ascii="仿宋" w:hAnsi="仿宋" w:eastAsia="仿宋"/>
          <w:color w:val="000000" w:themeColor="text1"/>
          <w:sz w:val="28"/>
          <w:szCs w:val="28"/>
        </w:rPr>
        <w:t xml:space="preserve">详见招标文件采购需求。</w:t>
      </w:r>
      <w:bookmarkEnd w:id="12"/>
      <w:r/>
    </w:p>
    <w:p>
      <w:pPr>
        <w:pStyle w:val="1022"/>
        <w:ind w:firstLine="518"/>
        <w:spacing w:line="520" w:lineRule="exact"/>
        <w:rPr>
          <w:rFonts w:hint="eastAsia" w:ascii="黑体" w:hAnsi="黑体" w:eastAsia="黑体" w:cs="黑体"/>
          <w:i/>
          <w:iCs/>
          <w:color w:val="000000" w:themeColor="text1"/>
          <w:szCs w:val="28"/>
        </w:rPr>
      </w:pPr>
      <w:r>
        <w:rPr>
          <w:rFonts w:hint="eastAsia" w:ascii="仿宋" w:hAnsi="仿宋" w:eastAsia="仿宋"/>
          <w:color w:val="000000" w:themeColor="text1"/>
          <w:szCs w:val="28"/>
        </w:rPr>
        <w:t xml:space="preserve">合同履行期限：采购合同签订后</w:t>
      </w:r>
      <w:r>
        <w:rPr>
          <w:rFonts w:hint="eastAsia" w:ascii="仿宋" w:hAnsi="仿宋" w:eastAsia="仿宋"/>
          <w:color w:val="000000" w:themeColor="text1"/>
          <w:szCs w:val="28"/>
        </w:rPr>
        <w:t xml:space="preserve">3</w:t>
      </w:r>
      <w:r>
        <w:rPr>
          <w:rFonts w:hint="eastAsia" w:ascii="仿宋" w:hAnsi="仿宋" w:eastAsia="仿宋"/>
          <w:color w:val="000000" w:themeColor="text1"/>
          <w:szCs w:val="28"/>
        </w:rPr>
        <w:t xml:space="preserve">0天供货并安装完成。</w:t>
      </w:r>
      <w:r>
        <w:rPr>
          <w:rFonts w:hint="eastAsia" w:ascii="黑体" w:hAnsi="黑体" w:eastAsia="黑体" w:cs="黑体"/>
          <w:i/>
          <w:iCs/>
          <w:color w:val="000000" w:themeColor="text1"/>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w:t>
      </w:r>
      <w:bookmarkStart w:id="13" w:name="OLE_LINK16"/>
      <w:r>
        <w:rPr>
          <w:rFonts w:hint="eastAsia" w:ascii="仿宋" w:hAnsi="仿宋" w:eastAsia="仿宋"/>
          <w:color w:val="000000"/>
          <w:sz w:val="28"/>
          <w:szCs w:val="28"/>
        </w:rPr>
        <w:t xml:space="preserve">本项目专门面向中小企业采购</w:t>
      </w:r>
      <w:bookmarkEnd w:id="13"/>
      <w:r>
        <w:rPr>
          <w:rFonts w:hint="eastAsia" w:ascii="仿宋" w:hAnsi="仿宋" w:eastAsia="仿宋"/>
          <w:color w:val="000000"/>
          <w:sz w:val="28"/>
          <w:szCs w:val="28"/>
        </w:rPr>
        <w:t xml:space="preserve">,</w:t>
      </w:r>
      <w:r>
        <w:rPr>
          <w:rFonts w:hint="eastAsia" w:ascii="仿宋" w:hAnsi="仿宋" w:eastAsia="仿宋"/>
          <w:sz w:val="28"/>
          <w:szCs w:val="28"/>
        </w:rPr>
        <w:t xml:space="preserve"> 供应商应为中小微企业或监狱企业或残疾人福利性单位。</w:t>
      </w:r>
      <w:r/>
    </w:p>
    <w:p>
      <w:pPr>
        <w:ind w:firstLine="508"/>
        <w:spacing w:line="520" w:lineRule="exact"/>
        <w:rPr>
          <w:rFonts w:hint="eastAsia"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sz w:val="28"/>
          <w:szCs w:val="28"/>
        </w:rPr>
        <w:t xml:space="preserve">无。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291"/>
        <w:ind w:left="378" w:firstLine="456"/>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三、获取招标文件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（一）时间：2026年</w:t>
      </w:r>
      <w:r>
        <w:rPr>
          <w:rFonts w:hint="eastAsia" w:ascii="仿宋" w:hAnsi="仿宋" w:eastAsia="仿宋" w:cs="宋体"/>
          <w:sz w:val="28"/>
          <w:szCs w:val="28"/>
        </w:rPr>
        <w:t xml:space="preserve">7</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17</w:t>
      </w:r>
      <w:r>
        <w:rPr>
          <w:rFonts w:hint="eastAsia" w:ascii="仿宋" w:hAnsi="仿宋" w:eastAsia="仿宋" w:cs="宋体"/>
          <w:sz w:val="28"/>
          <w:szCs w:val="28"/>
        </w:rPr>
        <w:t xml:space="preserve"> </w:t>
      </w:r>
      <w:r>
        <w:rPr>
          <w:rFonts w:hint="eastAsia" w:ascii="仿宋" w:hAnsi="仿宋" w:eastAsia="仿宋" w:cs="宋体"/>
          <w:sz w:val="28"/>
          <w:szCs w:val="28"/>
        </w:rPr>
        <w:t xml:space="preserve">日至2026年 </w:t>
      </w:r>
      <w:r>
        <w:rPr>
          <w:rFonts w:hint="eastAsia" w:ascii="仿宋" w:hAnsi="仿宋" w:eastAsia="仿宋" w:cs="宋体"/>
          <w:sz w:val="28"/>
          <w:szCs w:val="28"/>
        </w:rPr>
        <w:t xml:space="preserve">7</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24</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p>
    <w:p>
      <w:pPr>
        <w:ind w:firstLine="259"/>
        <w:spacing w:line="400" w:lineRule="exact"/>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投标人需办理CA锁：网址：</w:t>
      </w: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hyperlink r:id="rId25" w:tooltip="苏采云系统操作手册（供应商）" w:history="1">
        <w:r>
          <w:rPr>
            <w:rFonts w:ascii="仿宋" w:hAnsi="仿宋" w:eastAsia="仿宋" w:cs="宋体"/>
            <w:sz w:val="28"/>
            <w:szCs w:val="28"/>
          </w:rPr>
          <w:t xml:space="preserve">苏采云系统操作手册（供应商）</w:t>
        </w:r>
      </w:hyperlink>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1055"/>
        <w:ind w:firstLine="52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p>
    <w:p>
      <w:pPr>
        <w:pStyle w:val="996"/>
        <w:spacing w:line="560" w:lineRule="exact"/>
        <w:rPr>
          <w:rFonts w:hint="eastAsia" w:ascii="仿宋" w:hAnsi="仿宋" w:eastAsia="仿宋" w:cs="宋体"/>
          <w:b/>
          <w:szCs w:val="28"/>
        </w:rPr>
      </w:pPr>
      <w:r>
        <w:rPr>
          <w:rFonts w:hint="eastAsia" w:ascii="仿宋" w:hAnsi="仿宋" w:eastAsia="仿宋" w:cs="宋体"/>
          <w:b/>
          <w:szCs w:val="28"/>
        </w:rPr>
        <w:t xml:space="preserve">四、提交投标文件截止时间、开标时间和地点</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投标响应文件递交截止时间：2026年</w:t>
      </w:r>
      <w:r>
        <w:rPr>
          <w:rFonts w:hint="eastAsia" w:ascii="仿宋" w:hAnsi="仿宋" w:eastAsia="仿宋"/>
          <w:color w:val="000000"/>
          <w:sz w:val="28"/>
          <w:szCs w:val="28"/>
        </w:rPr>
        <w:t xml:space="preserve">8</w:t>
      </w:r>
      <w:r>
        <w:rPr>
          <w:rFonts w:hint="eastAsia" w:ascii="仿宋" w:hAnsi="仿宋" w:eastAsia="仿宋"/>
          <w:color w:val="000000"/>
          <w:sz w:val="28"/>
          <w:szCs w:val="28"/>
        </w:rPr>
        <w:t xml:space="preserve"> 月</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10</w:t>
      </w:r>
      <w:r>
        <w:rPr>
          <w:rFonts w:hint="eastAsia" w:ascii="仿宋" w:hAnsi="仿宋" w:eastAsia="仿宋"/>
          <w:color w:val="000000"/>
          <w:sz w:val="28"/>
          <w:szCs w:val="28"/>
        </w:rPr>
        <w:t xml:space="preserve">日09:30（北京时间）（自招标文件开始发出之日起至供应商提交投标文件截止之日止，不得少于20日）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开标时间：2026年</w:t>
      </w:r>
      <w:r>
        <w:rPr>
          <w:rFonts w:hint="eastAsia" w:ascii="仿宋" w:hAnsi="仿宋" w:eastAsia="仿宋" w:cs="宋体"/>
          <w:sz w:val="28"/>
          <w:szCs w:val="28"/>
        </w:rPr>
        <w:t xml:space="preserve"> </w:t>
      </w:r>
      <w:r>
        <w:rPr>
          <w:rFonts w:hint="eastAsia" w:ascii="仿宋" w:hAnsi="仿宋" w:eastAsia="仿宋" w:cs="宋体"/>
          <w:sz w:val="28"/>
          <w:szCs w:val="28"/>
        </w:rPr>
        <w:t xml:space="preserve">8</w:t>
      </w:r>
      <w:r>
        <w:rPr>
          <w:rFonts w:hint="eastAsia" w:ascii="仿宋" w:hAnsi="仿宋" w:eastAsia="仿宋" w:cs="宋体"/>
          <w:sz w:val="28"/>
          <w:szCs w:val="28"/>
        </w:rPr>
        <w:t xml:space="preserve"> 月</w:t>
      </w:r>
      <w:r>
        <w:rPr>
          <w:rFonts w:hint="eastAsia" w:ascii="仿宋" w:hAnsi="仿宋" w:eastAsia="仿宋" w:cs="宋体"/>
          <w:sz w:val="28"/>
          <w:szCs w:val="28"/>
        </w:rPr>
        <w:t xml:space="preserve">10</w:t>
      </w:r>
      <w:r>
        <w:rPr>
          <w:rFonts w:hint="eastAsia" w:ascii="仿宋" w:hAnsi="仿宋" w:eastAsia="仿宋" w:cs="宋体"/>
          <w:sz w:val="28"/>
          <w:szCs w:val="28"/>
        </w:rPr>
        <w:t xml:space="preserve"> </w:t>
      </w:r>
      <w:r>
        <w:rPr>
          <w:rFonts w:hint="eastAsia" w:ascii="仿宋" w:hAnsi="仿宋" w:eastAsia="仿宋" w:cs="宋体"/>
          <w:sz w:val="28"/>
          <w:szCs w:val="28"/>
        </w:rPr>
        <w:t xml:space="preserve"> 日 09 :30(北京时间)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开标地点：“苏采云”系统（网址：http://jszfcg.jsczt.cn/）“开标大厅，点击“苏采云”进入系统“开标大厅”。</w:t>
      </w:r>
      <w:r/>
    </w:p>
    <w:p>
      <w:pPr>
        <w:pStyle w:val="996"/>
        <w:spacing w:line="560" w:lineRule="exact"/>
        <w:rPr>
          <w:rFonts w:hint="eastAsia" w:ascii="仿宋" w:hAnsi="仿宋" w:eastAsia="仿宋" w:cs="宋体"/>
          <w:b/>
          <w:szCs w:val="28"/>
        </w:rPr>
      </w:pPr>
      <w:r>
        <w:rPr>
          <w:rFonts w:hint="eastAsia" w:ascii="仿宋" w:hAnsi="仿宋" w:eastAsia="仿宋" w:cs="宋体"/>
          <w:b/>
          <w:szCs w:val="28"/>
        </w:rPr>
        <w:t xml:space="preserve">五、公告期限</w:t>
      </w:r>
      <w:r/>
    </w:p>
    <w:p>
      <w:pPr>
        <w:pStyle w:val="1055"/>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p>
    <w:p>
      <w:pPr>
        <w:pStyle w:val="1055"/>
        <w:ind w:firstLine="5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六、其他补充事宜</w:t>
      </w:r>
      <w:r/>
    </w:p>
    <w:p>
      <w:pPr>
        <w:pStyle w:val="1055"/>
        <w:ind w:firstLine="518"/>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pStyle w:val="1055"/>
        <w:ind w:firstLine="520"/>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七、对本次采购提出询问，请按以下方式联系。</w:t>
      </w:r>
      <w:r/>
    </w:p>
    <w:p>
      <w:pPr>
        <w:pStyle w:val="105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05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兴化市昭阳中学</w:t>
      </w:r>
      <w:r/>
    </w:p>
    <w:p>
      <w:pPr>
        <w:pStyle w:val="1055"/>
        <w:ind w:firstLine="518"/>
        <w:spacing w:before="0" w:beforeAutospacing="0" w:after="0" w:afterAutospacing="0" w:line="560" w:lineRule="exact"/>
        <w:rPr>
          <w:rFonts w:hint="eastAsia" w:ascii="仿宋" w:hAnsi="仿宋" w:eastAsia="仿宋" w:cs="仿宋"/>
          <w:sz w:val="28"/>
          <w:szCs w:val="28"/>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themeColor="text1"/>
          <w:sz w:val="28"/>
          <w:szCs w:val="28"/>
        </w:rPr>
        <w:t xml:space="preserve"> </w:t>
      </w:r>
      <w:bookmarkStart w:id="14" w:name="OLE_LINK1"/>
      <w:r>
        <w:rPr>
          <w:rFonts w:hint="eastAsia" w:ascii="仿宋" w:hAnsi="仿宋" w:eastAsia="仿宋" w:cs="仿宋"/>
          <w:sz w:val="28"/>
          <w:szCs w:val="28"/>
        </w:rPr>
        <w:t xml:space="preserve">泰州市兴化市板桥西路</w:t>
      </w:r>
      <w:bookmarkEnd w:id="14"/>
      <w:r/>
      <w:r/>
    </w:p>
    <w:p>
      <w:pPr>
        <w:pStyle w:val="1055"/>
        <w:ind w:firstLine="518"/>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成</w:t>
      </w:r>
      <w:r>
        <w:rPr>
          <w:rFonts w:hint="eastAsia" w:ascii="仿宋" w:hAnsi="仿宋" w:eastAsia="仿宋"/>
          <w:color w:val="333333"/>
          <w:sz w:val="28"/>
          <w:szCs w:val="28"/>
          <w:shd w:val="clear" w:color="auto" w:fill="ffffff"/>
        </w:rPr>
        <w:t xml:space="preserve">先生 </w:t>
      </w:r>
      <w:bookmarkStart w:id="15" w:name="OLE_LINK20"/>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13405544017</w:t>
      </w:r>
      <w:bookmarkEnd w:id="15"/>
      <w:r/>
    </w:p>
    <w:p>
      <w:pPr>
        <w:pStyle w:val="105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105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称：江苏泰禾房地产土地造价咨询评估有限公司</w:t>
      </w:r>
      <w:r/>
    </w:p>
    <w:p>
      <w:pPr>
        <w:pStyle w:val="105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bookmarkStart w:id="16" w:name="OLE_LINK2"/>
      <w:r/>
      <w:bookmarkStart w:id="17" w:name="OLE_LINK12"/>
      <w:r>
        <w:rPr>
          <w:rFonts w:hint="eastAsia" w:ascii="仿宋" w:hAnsi="仿宋" w:eastAsia="仿宋"/>
          <w:color w:val="333333"/>
          <w:sz w:val="28"/>
          <w:szCs w:val="28"/>
          <w:shd w:val="clear" w:color="auto" w:fill="ffffff"/>
        </w:rPr>
        <w:t xml:space="preserve">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bookmarkEnd w:id="16"/>
      <w:r/>
      <w:bookmarkEnd w:id="17"/>
      <w:r/>
    </w:p>
    <w:p>
      <w:pPr>
        <w:pStyle w:val="105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w:t>
      </w:r>
      <w:r>
        <w:rPr>
          <w:rFonts w:ascii="仿宋" w:hAnsi="仿宋" w:eastAsia="仿宋"/>
          <w:color w:val="333333"/>
          <w:sz w:val="28"/>
          <w:szCs w:val="28"/>
          <w:shd w:val="clear" w:color="auto" w:fill="ffffff"/>
        </w:rPr>
        <w:t xml:space="preserve">13961069761</w:t>
      </w:r>
      <w:r/>
    </w:p>
    <w:p>
      <w:pPr>
        <w:pStyle w:val="105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105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成</w:t>
      </w:r>
      <w:r>
        <w:rPr>
          <w:rFonts w:hint="eastAsia" w:ascii="仿宋" w:hAnsi="仿宋" w:eastAsia="仿宋"/>
          <w:color w:val="333333"/>
          <w:sz w:val="28"/>
          <w:szCs w:val="28"/>
          <w:shd w:val="clear" w:color="auto" w:fill="ffffff"/>
        </w:rPr>
        <w:t xml:space="preserve">先生      陈女士</w:t>
      </w:r>
      <w:r/>
    </w:p>
    <w:p>
      <w:pPr>
        <w:pStyle w:val="105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13405544017</w:t>
      </w:r>
      <w:r>
        <w:rPr>
          <w:rFonts w:hint="eastAsia" w:ascii="仿宋" w:hAnsi="仿宋" w:eastAsia="仿宋"/>
          <w:color w:val="333333"/>
          <w:sz w:val="28"/>
          <w:szCs w:val="28"/>
          <w:shd w:val="clear" w:color="auto" w:fill="ffffff"/>
        </w:rPr>
        <w:t xml:space="preserve">     </w:t>
      </w:r>
      <w:r>
        <w:rPr>
          <w:rFonts w:ascii="仿宋" w:hAnsi="仿宋" w:eastAsia="仿宋" w:cs="仿宋"/>
          <w:sz w:val="28"/>
          <w:szCs w:val="28"/>
        </w:rPr>
        <w:t xml:space="preserve"> </w:t>
      </w:r>
      <w:r>
        <w:rPr>
          <w:rFonts w:ascii="仿宋" w:hAnsi="仿宋" w:eastAsia="仿宋"/>
          <w:color w:val="333333"/>
          <w:sz w:val="28"/>
          <w:szCs w:val="28"/>
          <w:shd w:val="clear" w:color="auto" w:fill="ffffff"/>
        </w:rPr>
        <w:t xml:space="preserve">13961069761</w:t>
      </w:r>
      <w:r/>
    </w:p>
    <w:p>
      <w:pPr>
        <w:spacing w:line="560" w:lineRule="exact"/>
        <w:rPr>
          <w:rFonts w:hint="eastAsia" w:ascii="仿宋" w:hAnsi="仿宋" w:eastAsia="仿宋"/>
          <w:b/>
          <w:bCs/>
          <w:sz w:val="32"/>
        </w:rPr>
      </w:pPr>
      <w:r>
        <w:rPr>
          <w:rFonts w:hint="eastAsia" w:ascii="仿宋" w:hAnsi="仿宋" w:eastAsia="仿宋"/>
          <w:b/>
          <w:bCs/>
          <w:sz w:val="32"/>
        </w:rPr>
      </w:r>
      <w:r/>
    </w:p>
    <w:p>
      <w:pPr>
        <w:spacing w:line="560" w:lineRule="exact"/>
        <w:rPr>
          <w:rFonts w:hint="eastAsia" w:ascii="仿宋" w:hAnsi="仿宋" w:eastAsia="仿宋"/>
          <w:b/>
          <w:bCs/>
          <w:sz w:val="32"/>
        </w:rPr>
      </w:pPr>
      <w:r>
        <w:rPr>
          <w:rFonts w:hint="eastAsia" w:ascii="仿宋" w:hAnsi="仿宋" w:eastAsia="仿宋"/>
          <w:b/>
          <w:bCs/>
          <w:sz w:val="32"/>
        </w:rPr>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一、总  则</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1、适用范围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（1）本招标文件仅适用于江苏泰禾房地产土地造价咨询评估有限公司(以下简称江苏泰禾)组织的本次招标活动。</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（2）本次招标</w:t>
      </w:r>
      <w:r>
        <w:rPr>
          <w:rFonts w:hint="eastAsia" w:ascii="仿宋" w:hAnsi="仿宋" w:eastAsia="仿宋"/>
          <w:sz w:val="28"/>
          <w:szCs w:val="28"/>
        </w:rPr>
        <w:t xml:space="preserve">由江苏泰禾组织</w:t>
      </w:r>
      <w:r>
        <w:rPr>
          <w:rFonts w:hint="eastAsia" w:ascii="仿宋" w:hAnsi="仿宋" w:eastAsia="仿宋"/>
          <w:sz w:val="28"/>
          <w:szCs w:val="28"/>
        </w:rPr>
        <w:t xml:space="preserve">,采取公开招标方式</w:t>
      </w:r>
      <w:r>
        <w:rPr>
          <w:rFonts w:hint="eastAsia" w:ascii="仿宋" w:hAnsi="仿宋" w:eastAsia="仿宋"/>
          <w:sz w:val="28"/>
          <w:szCs w:val="28"/>
        </w:rPr>
        <w:t xml:space="preserve">。</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p>
    <w:p>
      <w:pPr>
        <w:ind w:firstLine="518"/>
        <w:jc w:val="left"/>
        <w:spacing w:line="560" w:lineRule="exact"/>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（5）投标供应商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同时必须承认和履行招标文件中的各项规定。</w:t>
      </w:r>
      <w:r/>
    </w:p>
    <w:p>
      <w:pPr>
        <w:ind w:firstLine="520"/>
        <w:jc w:val="left"/>
        <w:spacing w:line="560" w:lineRule="exact"/>
        <w:rPr>
          <w:rFonts w:hint="eastAsia" w:ascii="仿宋" w:hAnsi="仿宋" w:eastAsia="仿宋"/>
          <w:sz w:val="28"/>
          <w:szCs w:val="28"/>
        </w:rPr>
      </w:pPr>
      <w:r>
        <w:rPr>
          <w:rFonts w:ascii="仿宋" w:hAnsi="仿宋" w:eastAsia="仿宋"/>
          <w:b/>
          <w:sz w:val="28"/>
          <w:szCs w:val="28"/>
        </w:rPr>
        <w:t xml:space="preserve">2</w:t>
      </w:r>
      <w:r>
        <w:rPr>
          <w:rFonts w:hint="eastAsia" w:ascii="仿宋" w:hAnsi="仿宋" w:eastAsia="仿宋"/>
          <w:b/>
          <w:sz w:val="28"/>
          <w:szCs w:val="28"/>
        </w:rPr>
        <w:t xml:space="preserve">、供应商资格要求</w:t>
      </w:r>
      <w:r/>
    </w:p>
    <w:p>
      <w:pPr>
        <w:ind w:firstLine="510"/>
        <w:spacing w:line="520" w:lineRule="exact"/>
        <w:rPr>
          <w:rFonts w:hint="eastAsia" w:ascii="仿宋" w:hAnsi="仿宋" w:eastAsia="仿宋" w:cs="Arial"/>
          <w:sz w:val="28"/>
          <w:szCs w:val="28"/>
        </w:rPr>
      </w:pPr>
      <w:r/>
      <w:bookmarkStart w:id="18" w:name="OLE_LINK18"/>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w:t>
      </w:r>
      <w:r>
        <w:rPr>
          <w:rFonts w:hint="eastAsia" w:ascii="仿宋" w:hAnsi="仿宋" w:eastAsia="仿宋" w:cs="宋体"/>
          <w:sz w:val="28"/>
          <w:szCs w:val="28"/>
        </w:rPr>
        <w:t xml:space="preserve">（6）</w:t>
      </w:r>
      <w:r>
        <w:rPr>
          <w:rFonts w:hint="eastAsia" w:ascii="仿宋" w:hAnsi="仿宋" w:eastAsia="仿宋" w:cs="Arial"/>
          <w:sz w:val="28"/>
          <w:szCs w:val="28"/>
        </w:rPr>
        <w:t xml:space="preserve">未被“信用中国”网站（www.creditchina.gov.cn）列入失信被执行人、重大税收违法案件当事人名单、政府</w:t>
      </w:r>
      <w:r>
        <w:rPr>
          <w:rFonts w:hint="eastAsia" w:ascii="仿宋" w:hAnsi="仿宋" w:eastAsia="仿宋" w:cs="Arial"/>
          <w:sz w:val="28"/>
          <w:szCs w:val="28"/>
        </w:rPr>
        <w:t xml:space="preserve">采购严重失信行为记录名单。</w:t>
      </w:r>
      <w:bookmarkEnd w:id="18"/>
      <w:r/>
    </w:p>
    <w:p>
      <w:pPr>
        <w:ind w:firstLine="520"/>
        <w:jc w:val="left"/>
        <w:spacing w:line="560" w:lineRule="exact"/>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hint="eastAsia" w:ascii="仿宋" w:hAnsi="仿宋" w:eastAsia="仿宋" w:cs="Arial"/>
          <w:sz w:val="28"/>
          <w:szCs w:val="28"/>
        </w:rPr>
        <w:t xml:space="preserve">无。</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jc w:val="center"/>
        <w:spacing w:line="560" w:lineRule="exact"/>
        <w:rPr>
          <w:rFonts w:hint="eastAsia" w:ascii="仿宋" w:hAnsi="仿宋" w:eastAsia="仿宋"/>
          <w:b/>
          <w:sz w:val="32"/>
          <w:szCs w:val="32"/>
        </w:rPr>
      </w:pPr>
      <w:r/>
      <w:bookmarkStart w:id="19" w:name="_Toc177870544"/>
      <w:r/>
      <w:r/>
    </w:p>
    <w:p>
      <w:pPr>
        <w:jc w:val="center"/>
        <w:spacing w:line="560" w:lineRule="exact"/>
        <w:rPr>
          <w:rFonts w:hint="eastAsia" w:ascii="仿宋" w:hAnsi="仿宋" w:eastAsia="仿宋"/>
          <w:b/>
          <w:sz w:val="32"/>
          <w:szCs w:val="32"/>
        </w:rPr>
      </w:pPr>
      <w:r>
        <w:rPr>
          <w:rFonts w:hint="eastAsia" w:ascii="仿宋" w:hAnsi="仿宋" w:eastAsia="仿宋"/>
          <w:b/>
          <w:sz w:val="32"/>
          <w:szCs w:val="32"/>
        </w:rPr>
        <w:t xml:space="preserve">二、招标文件</w:t>
      </w:r>
      <w:bookmarkEnd w:id="19"/>
      <w:r/>
      <w:r/>
    </w:p>
    <w:p>
      <w:pPr>
        <w:ind w:firstLine="520"/>
        <w:spacing w:line="560" w:lineRule="exact"/>
        <w:rPr>
          <w:rFonts w:hint="eastAsia" w:ascii="仿宋" w:hAnsi="仿宋" w:eastAsia="仿宋"/>
          <w:b/>
          <w:sz w:val="28"/>
          <w:szCs w:val="28"/>
        </w:rPr>
      </w:pPr>
      <w:r>
        <w:rPr>
          <w:rFonts w:hint="eastAsia" w:ascii="仿宋" w:hAnsi="仿宋" w:eastAsia="仿宋"/>
          <w:b/>
          <w:sz w:val="28"/>
          <w:szCs w:val="28"/>
        </w:rPr>
        <w:t xml:space="preserve">招标文件构成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1、招标公告</w:t>
      </w:r>
      <w:r/>
    </w:p>
    <w:p>
      <w:pPr>
        <w:ind w:firstLine="518"/>
        <w:spacing w:line="560" w:lineRule="exact"/>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4、政府采购合同（参考）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5、投标文件格式</w:t>
      </w:r>
      <w:r/>
    </w:p>
    <w:p>
      <w:pPr>
        <w:ind w:firstLine="520"/>
        <w:spacing w:line="560" w:lineRule="exact"/>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w:t>
      </w:r>
      <w:r>
        <w:rPr>
          <w:rFonts w:hint="eastAsia" w:ascii="仿宋" w:hAnsi="仿宋" w:eastAsia="仿宋"/>
          <w:sz w:val="28"/>
          <w:szCs w:val="28"/>
        </w:rPr>
        <w:t xml:space="preserve">以书面形式向采购人提出，江苏泰禾将根据采购人的答复内容在“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w:t>
      </w:r>
      <w:r>
        <w:rPr>
          <w:rFonts w:hint="eastAsia" w:ascii="仿宋" w:hAnsi="仿宋" w:eastAsia="仿宋"/>
          <w:sz w:val="28"/>
          <w:szCs w:val="28"/>
        </w:rPr>
        <w:t xml:space="preserve">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投标供应商</w:t>
      </w:r>
      <w:r>
        <w:rPr>
          <w:rFonts w:hint="eastAsia" w:ascii="仿宋" w:hAnsi="仿宋" w:eastAsia="仿宋"/>
          <w:sz w:val="28"/>
          <w:szCs w:val="28"/>
        </w:rPr>
        <w:t xml:space="preserve">对招标文件自行所做出的判断、推论、解释和结论，并由此所造成的后果，均由</w:t>
      </w:r>
      <w:r>
        <w:rPr>
          <w:rFonts w:hint="eastAsia" w:ascii="仿宋" w:hAnsi="仿宋" w:eastAsia="仿宋"/>
          <w:sz w:val="28"/>
          <w:szCs w:val="28"/>
        </w:rPr>
        <w:t xml:space="preserve">投标供应商</w:t>
      </w:r>
      <w:r>
        <w:rPr>
          <w:rFonts w:hint="eastAsia" w:ascii="仿宋" w:hAnsi="仿宋" w:eastAsia="仿宋"/>
          <w:sz w:val="28"/>
          <w:szCs w:val="28"/>
        </w:rPr>
        <w:t xml:space="preserve">自负。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3、在投标截止十五日前，江苏泰禾可主动地或在解答投标供应商提出的澄清问题时对招标文件进行修改。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4、为使投标供应商有充分的时间对招标文件的修改部分进行分析、研究，采购人可以根据规定延长投标截止日期和开标日期，并将此变更情况在“江苏政府采购</w:t>
      </w:r>
      <w:r>
        <w:rPr>
          <w:rFonts w:hint="eastAsia" w:ascii="仿宋" w:hAnsi="仿宋" w:eastAsia="仿宋"/>
          <w:sz w:val="28"/>
          <w:szCs w:val="28"/>
        </w:rPr>
        <w:t xml:space="preserve">网”、上发布，请各投标供应商主动点击查询，江苏泰禾将以电话或短信方式告知所有已报名的投标供应商。</w:t>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三、投标报价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开标一览表</w:t>
      </w:r>
      <w:r/>
    </w:p>
    <w:p>
      <w:pPr>
        <w:ind w:firstLine="518"/>
        <w:jc w:val="left"/>
        <w:spacing w:line="560" w:lineRule="exact"/>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投标供应商应认真填写开标一览表（格式见附件一）并与投标文件中的投标报价表中总报价相一致，投标报价表上应标明提供服务的内容、单价、计量单位、数量及投标总报价。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投标货币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投标费用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1、该项目的的报价应包括制造该产品所需的生产制造费、原辅材料费、运输费、保险费、包装费、各类税金、产品检（测）验费、技术培训费、招标代理服务费及其它应付的费用等。</w:t>
      </w:r>
      <w:r/>
    </w:p>
    <w:p>
      <w:pPr>
        <w:ind w:firstLine="259"/>
        <w:spacing w:line="520" w:lineRule="exact"/>
        <w:rPr>
          <w:rFonts w:hint="eastAsia" w:ascii="仿宋" w:hAnsi="仿宋" w:eastAsia="仿宋" w:cs="仿宋_GB2312"/>
          <w:color w:val="ee0000"/>
          <w:sz w:val="28"/>
          <w:szCs w:val="28"/>
          <w:lang w:bidi="ar"/>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cs="仿宋_GB2312"/>
          <w:color w:val="ee0000"/>
          <w:sz w:val="28"/>
          <w:szCs w:val="28"/>
          <w:lang w:bidi="ar"/>
        </w:rPr>
        <w:t xml:space="preserve">由采购人在招标项目结束后支付。</w:t>
      </w:r>
      <w:r/>
    </w:p>
    <w:tbl>
      <w:tblPr>
        <w:tblW w:w="5692"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、最终投标总报价是指上述费用的总和。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、投标供应商承担其编制、递交投标文件及参加投标所涉及的一切费用。</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四、投标文件的编制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投标文件的构成</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1、投标文件应包括下列部分：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商务、技术部分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（1）开标一览表（附件一）；</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（2）投标函（附件二）；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（3）投标报价明细表（附件四）；</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（4）技术参数响应及偏离表（附件五）；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（5）属于正偏离技术参数的有效证明材料原件扫描件；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（6）“采购需求”部分要求提供或评分办法中涉及评审事项的证书、承诺、材料等原件扫描件；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7）企业声明函（附件八），货物全部由符合政策要求的中小企业承接。提供《中小企业声明函》（填写完整，加盖电子签章格式见《招标文件》附件八）如不填写完整，视为无效）。《中小企业声明函》查询渠道参考工业和信息化部发布的中小企业规模自测小程序。监狱企业和残疾人福利性单位等同于小微企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（8）残疾人福利性单位声明函（附件九）（如有）；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（9） 关于符合本国产品标准的声明函（附件十）；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（10）项目组织实施方案（如需要）；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（11）质保、服务承诺及培训计划等；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（12）招标文件要求或供应商认为需要提供的其他资料；</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资信部分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w:t>
      </w:r>
      <w:bookmarkStart w:id="20" w:name="OLE_LINK3"/>
      <w:r>
        <w:rPr>
          <w:rFonts w:hint="eastAsia" w:ascii="仿宋" w:hAnsi="仿宋" w:eastAsia="仿宋"/>
          <w:sz w:val="28"/>
          <w:szCs w:val="28"/>
        </w:rPr>
        <w:t xml:space="preserve">供应商合法有效的法人的营业执照扫描件，或事业单位法人证书扫描件，或民办非企业单位登记证书扫描件；</w:t>
      </w:r>
      <w:bookmarkEnd w:id="20"/>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w:t>
      </w:r>
      <w:bookmarkStart w:id="21" w:name="OLE_LINK4"/>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bookmarkStart w:id="22" w:name="OLE_LINK9"/>
      <w:r>
        <w:rPr>
          <w:rFonts w:hint="eastAsia" w:ascii="仿宋" w:hAnsi="仿宋" w:eastAsia="仿宋"/>
          <w:sz w:val="28"/>
          <w:szCs w:val="28"/>
        </w:rPr>
        <w:t xml:space="preserve">（成立不满一年不需提供）</w:t>
      </w:r>
      <w:bookmarkEnd w:id="22"/>
      <w:r>
        <w:rPr>
          <w:rFonts w:hint="eastAsia" w:ascii="仿宋" w:hAnsi="仿宋" w:eastAsia="仿宋"/>
          <w:sz w:val="28"/>
          <w:szCs w:val="28"/>
        </w:rPr>
        <w:t xml:space="preserve">；</w:t>
      </w:r>
      <w:bookmarkEnd w:id="21"/>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（15）</w:t>
      </w:r>
      <w:bookmarkStart w:id="23" w:name="OLE_LINK5"/>
      <w:r>
        <w:rPr>
          <w:rFonts w:hint="eastAsia" w:ascii="仿宋" w:hAnsi="仿宋" w:eastAsia="仿宋"/>
          <w:sz w:val="28"/>
          <w:szCs w:val="28"/>
        </w:rPr>
        <w:t xml:space="preserve">近六个月中任意一个月缴纳税收和社会保险的凭据原件扫描件（依法免税或不需要缴纳社会保障资金的，提供相应证明文件原件扫描件）；</w:t>
      </w:r>
      <w:bookmarkEnd w:id="23"/>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（16）具备履行合同所必需的设备和专业技术能力的声明；（附件六）</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（17）无重大违法记录声明（附件七）；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8）招标文件中规定的资格特定条件证明材料：无。</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注：以上资信部分材料原件扫描件提供不全或无效的，将被判定为无效投标。</w:t>
      </w:r>
      <w:r/>
    </w:p>
    <w:p>
      <w:pPr>
        <w:numPr>
          <w:ilvl w:val="0"/>
          <w:numId w:val="18"/>
        </w:num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投标供应商必须认真仔细研究招标文件所有内容，按招标文件规定的格式完整、清晰、正确地填写，编制好投标文件。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投标的语言及计量单位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1、投标供应商提交的投标文件以及投标供应商与江苏泰禾就有关投标的所有来往函电均应使用法定简体中文。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投标资格、技术要求、设计要求和基本服务要求的响应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4、投标供应商的服务承诺必须按不低于招标文件中基本服务要求的标准作出实</w:t>
      </w:r>
      <w:r>
        <w:rPr>
          <w:rFonts w:hint="eastAsia" w:ascii="仿宋" w:hAnsi="仿宋" w:eastAsia="仿宋"/>
          <w:sz w:val="28"/>
          <w:szCs w:val="28"/>
        </w:rPr>
        <w:t xml:space="preserve">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五、投标截止时间、开标时间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投标截止时间及地点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1、江苏泰禾收到投标文件的时间不得迟于“投标供应商须知前附表”中（第11页第5项）规定的投标文件递交截止时间，不接受邮寄、传真、电子邮件等方式的投标，超过投标截止时间递交的投标文件一律拒收。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2、开标时间：2026年</w:t>
      </w:r>
      <w:r>
        <w:rPr>
          <w:rFonts w:hint="eastAsia" w:ascii="仿宋" w:hAnsi="仿宋" w:eastAsia="仿宋"/>
          <w:sz w:val="28"/>
          <w:szCs w:val="28"/>
        </w:rPr>
        <w:t xml:space="preserve"> </w:t>
      </w:r>
      <w:r>
        <w:rPr>
          <w:rFonts w:hint="eastAsia" w:ascii="仿宋" w:hAnsi="仿宋" w:eastAsia="仿宋"/>
          <w:sz w:val="28"/>
          <w:szCs w:val="28"/>
        </w:rPr>
        <w:t xml:space="preserve">8</w:t>
      </w:r>
      <w:r>
        <w:rPr>
          <w:rFonts w:hint="eastAsia" w:ascii="仿宋" w:hAnsi="仿宋" w:eastAsia="仿宋"/>
          <w:sz w:val="28"/>
          <w:szCs w:val="28"/>
        </w:rPr>
        <w:t xml:space="preserve"> 月</w:t>
      </w:r>
      <w:r>
        <w:rPr>
          <w:rFonts w:hint="eastAsia" w:ascii="仿宋" w:hAnsi="仿宋" w:eastAsia="仿宋"/>
          <w:sz w:val="28"/>
          <w:szCs w:val="28"/>
        </w:rPr>
        <w:t xml:space="preserve"> </w:t>
      </w:r>
      <w:r>
        <w:rPr>
          <w:rFonts w:hint="eastAsia" w:ascii="仿宋" w:hAnsi="仿宋" w:eastAsia="仿宋"/>
          <w:sz w:val="28"/>
          <w:szCs w:val="28"/>
        </w:rPr>
        <w:t xml:space="preserve">10</w:t>
      </w:r>
      <w:r>
        <w:rPr>
          <w:rFonts w:hint="eastAsia" w:ascii="仿宋" w:hAnsi="仿宋" w:eastAsia="仿宋"/>
          <w:sz w:val="28"/>
          <w:szCs w:val="28"/>
        </w:rPr>
        <w:t xml:space="preserve"> 日09:30 (北京时间)。</w:t>
      </w:r>
      <w:r/>
    </w:p>
    <w:p>
      <w:pPr>
        <w:ind w:firstLine="518"/>
        <w:spacing w:line="560" w:lineRule="exact"/>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“苏采云”系统（网址：http://jszfcg.jsczt.cn/）“开标大厅”，点击“苏采云”进入系统“开标大厅”。</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4、不接受不按要求加盖公章（电子签章）的投标文件。电子签章相关要求见“苏采云”系统。</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5、投标文件解密：到达开启时间，“苏采云”系统自动提取所有投标文件，供应商按采购文件规定方式按时在线解密。本项目采购文件规定的供应商按时在线解密方式：开启时间后30分钟内，通过“苏采云”系统（使用“CA数字证书”）解密。</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6、采购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w:t>
      </w:r>
      <w:r>
        <w:rPr>
          <w:rFonts w:hint="eastAsia" w:ascii="仿宋" w:hAnsi="仿宋" w:eastAsia="仿宋"/>
          <w:sz w:val="28"/>
          <w:szCs w:val="28"/>
        </w:rPr>
        <w:t xml:space="preserve">载。</w:t>
      </w:r>
      <w:r/>
    </w:p>
    <w:p>
      <w:pPr>
        <w:ind w:firstLine="259"/>
        <w:jc w:val="left"/>
        <w:spacing w:line="56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供应商在“苏采云”系统中提交首次响应文件的时间即为数据电文（响应文件，下同）的发送时间和接收时间。</w:t>
      </w:r>
      <w:r/>
    </w:p>
    <w:p>
      <w:pPr>
        <w:ind w:firstLine="259"/>
        <w:spacing w:line="56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、江苏泰禾可以通过修改招标文件决定酌情延长投标截止日期。在此情况下，招标文件取得者和投标供应商的所有权利和义务以及投标供应商受制的截止日期均应以延长后新的截止日期为准。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1、自开标之日起60日内为投标有效期。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2、在特殊情况下，江苏泰禾有权在原投标有效期满前延长投标有效期，并及时在 </w:t>
      </w:r>
      <w:bookmarkStart w:id="24" w:name="_Hlk135833450"/>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24"/>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六、开标、询标与评标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开标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1、江苏泰禾将在“投标供应商须知前附表”中（第11页第5项）规定的时间和地点组织开标。</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、供应商代表对开标过程和开标记录有疑义，以及认为采购人、江苏泰禾相关工作人员需要回避情形的，应当场提出询问或者回避申请。</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评标委员会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1、开标后,江苏泰禾将组织评标委员会进行评标;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评标过程的保密性</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1、开标后，直至向中标供应商授予合同时止，凡是与审查、澄清、评价和比较投标的有关资料以及定标建议等，均不得向投标供应商及与评标无关的其他人员透露。</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2、在评标过程中，如果投标供应商试图在投标文件审查、澄清、比较及授予合同等方面向江苏泰禾和参与评标的人员施加任何影响，都将会导致其投标被作为无效投标处理。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投标文件的初审</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③投标供应商所投产品是否符合招标文件的要求 ④投标文件内容是否齐全 ⑤投标文件签署情况 ⑥对货物技术、服务、交货时间的响应情况。</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供货期、供货数量、质量、性能及技术参数、服务等要求。不能满足招标文件要求重大偏离的认定须经评标委员2/3以上同意。评标委员会认定投标文件的响应性只根据投标文件本身的内容，而不寻求外部的证据。对非实质性响应的投标文件，供应商不能通过修正或撤消不符之处，而使其成为实质性响应文件。</w:t>
      </w:r>
      <w:r/>
    </w:p>
    <w:p>
      <w:r/>
      <w:r/>
    </w:p>
    <w:p>
      <w:pPr>
        <w:spacing w:after="144" w:line="34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tcW w:w="3943" w:type="dxa"/>
            <w:vAlign w:val="center"/>
            <w:textDirection w:val="lrTb"/>
            <w:noWrap w:val="false"/>
          </w:tcPr>
          <w:p>
            <w:pPr>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p>
        </w:tc>
        <w:tc>
          <w:tcPr>
            <w:tcW w:w="5062" w:type="dxa"/>
            <w:vAlign w:val="center"/>
            <w:textDirection w:val="lrTb"/>
            <w:noWrap w:val="false"/>
          </w:tcPr>
          <w:p>
            <w:pPr>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p>
        </w:tc>
      </w:tr>
      <w:tr>
        <w:trPr>
          <w:trHeight w:val="374"/>
        </w:trPr>
        <w:tc>
          <w:tcPr>
            <w:tcW w:w="84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w:t>
            </w:r>
            <w:r>
              <w:rPr>
                <w:rFonts w:hint="eastAsia" w:ascii="仿宋" w:hAnsi="仿宋" w:eastAsia="仿宋"/>
                <w:sz w:val="28"/>
                <w:szCs w:val="28"/>
              </w:rPr>
              <w:t xml:space="preserve">（资产负债表和利润表）原件扫描件，或经会计师事务所出具的近两年中任意一个年度的审计报告原件扫描件，或本年度基本开户银行出具的资信证明原件扫描件（成立不满一年不需提供）；</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3、近六个月中任意一个月缴纳税收和社会保险的凭据原件扫描件（依法免税或不需要缴纳社会保障资金的，提供相应证明文件原件扫描件）；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5、参加本项目采购活动前三年内无重大违法记录声明(见投标文件格式附件六)；</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6、未被列入失信被执行人、重大税收违法案件当事人名单、政府采购严重失信行为记录名单：</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hyperlink r:id="rId26" w:tooltip="http://www.creditchina.gov.cn" w:history="1">
              <w:r>
                <w:rPr>
                  <w:rFonts w:hint="eastAsia" w:ascii="仿宋" w:hAnsi="仿宋" w:eastAsia="仿宋"/>
                </w:rPr>
                <w:t xml:space="preserve">www.creditchina.gov.cn</w:t>
              </w:r>
            </w:hyperlink>
            <w:r>
              <w:rPr>
                <w:rFonts w:hint="eastAsia" w:ascii="仿宋" w:hAnsi="仿宋" w:eastAsia="仿宋"/>
                <w:sz w:val="28"/>
                <w:szCs w:val="28"/>
              </w:rPr>
              <w:t xml:space="preserve">）；</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（3）信用信息查询记录和证据留存的具体方式：采购代理机构通过信用查询渠道查询打印，经供应商法定代表人或其授权代表签字确认，作为投标文件的组成部分；</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（4）信息信用的使用规则：仅用于参加本项目政府采购活动。</w:t>
            </w:r>
            <w:r/>
          </w:p>
        </w:tc>
      </w:tr>
      <w:tr>
        <w:trPr>
          <w:trHeight w:val="808"/>
        </w:trPr>
        <w:tc>
          <w:tcPr>
            <w:tcW w:w="84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无，本项目不接受供应商以联合体的身份参与，本项目采用资格后审方式。</w:t>
            </w:r>
            <w:r/>
          </w:p>
        </w:tc>
      </w:tr>
    </w:tbl>
    <w:p>
      <w:pPr>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p>
        </w:tc>
      </w:tr>
      <w:tr>
        <w:trPr>
          <w:trHeight w:val="538"/>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p>
        </w:tc>
      </w:tr>
      <w:tr>
        <w:trPr>
          <w:trHeight w:val="1425"/>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p>
        </w:tc>
      </w:tr>
      <w:tr>
        <w:trPr>
          <w:trHeight w:val="465"/>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p>
        </w:tc>
      </w:tr>
      <w:tr>
        <w:trPr>
          <w:trHeight w:val="543"/>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p>
        </w:tc>
      </w:tr>
      <w:tr>
        <w:trPr>
          <w:trHeight w:val="807"/>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558"/>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944"/>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p>
        </w:tc>
      </w:tr>
    </w:tbl>
    <w:p>
      <w:pPr>
        <w:ind w:firstLine="635"/>
        <w:jc w:val="left"/>
        <w:spacing w:before="144" w:line="56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）投标文件中授权委托书无供应商法定代表人的印鉴(或签字)或非原件的；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（2）资信证明文件不全或无效导致评标委员会无法评判的，或者不符合招标文件标明的资格要求的；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（3）投标文件未按规定的数量、格式、内容和要求编制或投标文件字迹潦草、模糊、无法辩认的；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（4）投标文件报价高于采购预算或者最高限价的；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（5）对招标文件未能作出全部实质性响应或对招标文件进行实质性修改的；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（6）投标文件含有采购人不能接受的附加条件的；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（7）不同供应商投标文件相互混装的；</w:t>
      </w:r>
      <w:r/>
    </w:p>
    <w:p>
      <w:pPr>
        <w:pStyle w:val="1046"/>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（8）单位负责人为同一人或存在管理、控股关系的不同供应商参加同一合同下采购活动的；</w:t>
      </w:r>
      <w:r/>
    </w:p>
    <w:p>
      <w:pPr>
        <w:pStyle w:val="1046"/>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（9）为采购项目提供整体设计、规范编制或者项目管理、监理、检测等服务的供应商参加该采购项目活动的；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（10）不同供应商投标文件中的相关人员出现同一人的；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（11）不同供应商投标文件中内容出现非正常一致的；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（12）不同供应商报价表呈明显规律性变化，故意哄抬价格或压价等其它恶意串通行为的；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（13）投标文件中提供虚假资料的；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（14）投标报价明显低于其他通过符合性审查供应商的报价，不能证明其报价合理性的；</w:t>
      </w:r>
      <w:r/>
    </w:p>
    <w:p>
      <w:pPr>
        <w:pStyle w:val="1046"/>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(15)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(16) 投标文件未按照招标文件要求加盖CA电子公章的。</w:t>
      </w:r>
      <w:r/>
    </w:p>
    <w:p>
      <w:pPr>
        <w:pStyle w:val="1046"/>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(17)投标人所投标产品不符合招标文件中所列国家强制性标准的。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（18）有欺诈行为或隐瞒自身违规问题的；</w:t>
      </w:r>
      <w:r/>
    </w:p>
    <w:p>
      <w:pPr>
        <w:pStyle w:val="104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（19）违反法律、法规或损害国家及采购人利益的。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4、恶意串通行为的认定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（2）评审活动开始前供应商直接或间接从采购人、采购代理机构或监管部门处获得评标委员会组成人员情况；</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评标委员会将按上述修正错误的方法调整投标文件中的投标报价，同时出现两种以上不一致的，按照前款规定的顺序修正。修正后的报价按规定经供应商确认后产生约束力，供应商不确认的，其投标无效。</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p>
    <w:p>
      <w:pPr>
        <w:ind w:firstLine="518"/>
        <w:spacing w:line="560" w:lineRule="exact"/>
        <w:rPr>
          <w:rFonts w:hint="eastAsia" w:ascii="仿宋" w:hAnsi="仿宋" w:eastAsia="仿宋"/>
          <w:sz w:val="28"/>
          <w:szCs w:val="28"/>
        </w:rPr>
      </w:pPr>
      <w:r/>
      <w:bookmarkStart w:id="25" w:name="_Toc20823304"/>
      <w:r/>
      <w:bookmarkStart w:id="26" w:name="_Toc16938548"/>
      <w:r/>
      <w:bookmarkStart w:id="27" w:name="_Toc513029232"/>
      <w:r>
        <w:rPr>
          <w:rFonts w:hint="eastAsia" w:ascii="仿宋" w:hAnsi="仿宋" w:eastAsia="仿宋"/>
          <w:sz w:val="28"/>
          <w:szCs w:val="28"/>
        </w:rPr>
        <w:t xml:space="preserve">评审过程的澄清</w:t>
      </w:r>
      <w:bookmarkEnd w:id="25"/>
      <w:r/>
      <w:bookmarkEnd w:id="26"/>
      <w:r/>
      <w:bookmarkEnd w:id="27"/>
      <w:r>
        <w:rPr>
          <w:rFonts w:hint="eastAsia" w:ascii="仿宋" w:hAnsi="仿宋" w:eastAsia="仿宋"/>
          <w:sz w:val="28"/>
          <w:szCs w:val="28"/>
        </w:rPr>
        <w:t xml:space="preserve">、说明和更正</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w:t>
      </w:r>
      <w:r>
        <w:rPr>
          <w:rFonts w:hint="eastAsia" w:ascii="仿宋" w:hAnsi="仿宋" w:eastAsia="仿宋"/>
          <w:sz w:val="28"/>
          <w:szCs w:val="28"/>
        </w:rPr>
        <w:t xml:space="preserve">能影响产品质量或者不能诚信履约的，应当要求其在评标现场规定的时间内提供书面说明，必要时提交相关证明材料；若该供应商拒绝说明或未在规定时间内提供书面说明，或虽有书面说明但仍无法证明其报价合理性的，评标委员会应当将其作为无效投标处理。</w:t>
      </w:r>
      <w:r/>
    </w:p>
    <w:p>
      <w:pPr>
        <w:ind w:firstLine="518"/>
        <w:spacing w:line="560" w:lineRule="exact"/>
        <w:rPr>
          <w:rFonts w:hint="eastAsia" w:ascii="仿宋" w:hAnsi="仿宋" w:eastAsia="仿宋"/>
          <w:sz w:val="28"/>
          <w:szCs w:val="28"/>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260"/>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强化政府采购异常低价审查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相关法律法规对供应商报价有规定的，从其规定。</w:t>
      </w:r>
      <w:r/>
    </w:p>
    <w:p>
      <w:pPr>
        <w:ind w:firstLine="520"/>
        <w:spacing w:line="560" w:lineRule="exact"/>
        <w:rPr>
          <w:rFonts w:ascii="仿宋_GB2312" w:eastAsia="仿宋_GB2312"/>
          <w:b/>
          <w:sz w:val="28"/>
          <w:szCs w:val="28"/>
        </w:rPr>
      </w:pPr>
      <w:r>
        <w:rPr>
          <w:rFonts w:hint="eastAsia" w:ascii="仿宋_GB2312" w:eastAsia="仿宋_GB2312"/>
          <w:b/>
          <w:sz w:val="28"/>
          <w:szCs w:val="28"/>
        </w:rPr>
        <w:t xml:space="preserve">评标办法和标准</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1、政府采购履约资金扶持政策</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中标供应商可凭政府采购合同办理融资贷款。</w:t>
      </w:r>
      <w:r/>
    </w:p>
    <w:p>
      <w:pPr>
        <w:ind w:firstLine="520"/>
        <w:jc w:val="left"/>
        <w:spacing w:line="560" w:lineRule="exact"/>
        <w:shd w:val="clear" w:color="auto" w:fill="ffffff"/>
        <w:widowControl/>
      </w:pPr>
      <w:r>
        <w:rPr>
          <w:rFonts w:hint="eastAsia" w:ascii="仿宋" w:hAnsi="仿宋" w:eastAsia="仿宋"/>
          <w:b/>
          <w:sz w:val="28"/>
          <w:szCs w:val="28"/>
        </w:rPr>
        <w:t xml:space="preserve">咨询电话：</w:t>
      </w:r>
      <w:r>
        <w:rPr>
          <w:rFonts w:ascii="仿宋" w:hAnsi="仿宋" w:eastAsia="仿宋"/>
          <w:b/>
          <w:sz w:val="28"/>
          <w:szCs w:val="28"/>
        </w:rPr>
        <w:t xml:space="preserve">财政局政府采购科</w:t>
      </w:r>
      <w:r>
        <w:rPr>
          <w:rFonts w:hint="eastAsia" w:ascii="仿宋" w:hAnsi="仿宋" w:eastAsia="仿宋"/>
          <w:b/>
          <w:sz w:val="28"/>
          <w:szCs w:val="28"/>
        </w:rPr>
        <w:t xml:space="preserve">，0523-82020605。</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2、针对中小微企业的评审优惠：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度的通知》（苏财购〔2020〕19号）的通知规定，对属于中小微企业单位给予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联合体形式参加政府采购活动，联合体各方均为中小企业的，联合体视同中小企业。其中，联合体各方均为小微企业的，联合体视同小微企业。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供应商根据情况在投标响应文件中提供的《中小企业声明函》（详见本招标文件附件七），企业标准请参照《关于印发中小企业划型标准规定的通知》（工信部联企业[2011]300号）文件规定自行填写。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微企业扶持政策查询或工信部http://202.106.120.146/baosong/appweb/orgScale.html网站查询。广大中小企业和各类社会机构填写企业所属的行业和指标数据自动生成企业规模类型测试结果。</w:t>
      </w:r>
      <w:r/>
    </w:p>
    <w:p>
      <w:pPr>
        <w:pStyle w:val="996"/>
      </w:pPr>
      <w:r>
        <w:rPr>
          <w:rFonts w:ascii="宋体"/>
          <w:color w:val="000000"/>
          <w:sz w:val="24"/>
        </w:rPr>
        <mc:AlternateContent>
          <mc:Choice Requires="wpg">
            <w:drawing>
              <wp:inline xmlns:wp="http://schemas.openxmlformats.org/drawingml/2006/wordprocessingDrawing" distT="0" distB="0" distL="0" distR="0">
                <wp:extent cx="1692275" cy="1997075"/>
                <wp:effectExtent l="0" t="0" r="3175" b="3175"/>
                <wp:docPr id="11" name="图片 2"/>
                <wp:cNvGraphicFramePr/>
                <a:graphic xmlns:a="http://schemas.openxmlformats.org/drawingml/2006/main">
                  <a:graphicData uri="http://schemas.openxmlformats.org/drawingml/2006/picture">
                    <pic:pic xmlns:pic="http://schemas.openxmlformats.org/drawingml/2006/picture">
                      <pic:nvPicPr>
                        <pic:cNvPr id="63" name="图片 2"/>
                        <pic:cNvPicPr/>
                        <pic:nvPr/>
                      </pic:nvPicPr>
                      <pic:blipFill>
                        <a:blip r:embed="rId27"/>
                        <a:stretch/>
                      </pic:blipFill>
                      <pic:spPr bwMode="auto">
                        <a:xfrm>
                          <a:off x="0" y="0"/>
                          <a:ext cx="1710698" cy="2018413"/>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3.2pt;height:157.2pt;mso-wrap-distance-left:0.0pt;mso-wrap-distance-top:0.0pt;mso-wrap-distance-right:0.0pt;mso-wrap-distance-bottom:0.0pt;" stroked="f" strokeweight="0.75pt">
                <v:path textboxrect="0,0,0,0"/>
                <v:imagedata r:id="rId27" o:title=""/>
              </v:shape>
            </w:pict>
          </mc:Fallback>
        </mc:AlternateContent>
      </w:r>
      <w:r/>
    </w:p>
    <w:p>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如供应商符合上述规定的，对中小企业的报价给予10%的扣除，用扣除后的价格参与评审，如扣除后的价格为最低价的，则作为评标基准价，成交金额则以实际响应报价为准。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未按要求填写《中小企业声明函》（详见本招标文件附件八）或相关内容表述不清的，不得享受价格扣除。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供应商提供相关资料弄虚作假的，将按相关法律法规及招标（采购）文件规定进行处理。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4、监狱和戒毒企业价格扣除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5、残疾人福利单位、监狱企业属于小型、微型企业的，不重复享受政策。</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附：《中华人民共和国政府采购法》第七十七条</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6、</w:t>
      </w:r>
      <w:r>
        <w:rPr>
          <w:rFonts w:hint="eastAsia" w:ascii="仿宋" w:hAnsi="仿宋" w:eastAsia="仿宋"/>
          <w:sz w:val="28"/>
          <w:szCs w:val="28"/>
        </w:rPr>
        <w:t xml:space="preserve">政府采购中实施本国产品标准及相关政策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w:t>
      </w:r>
      <w:r>
        <w:rPr>
          <w:rFonts w:hint="eastAsia" w:ascii="仿宋" w:hAnsi="仿宋" w:eastAsia="仿宋"/>
          <w:color w:val="ee0000"/>
          <w:sz w:val="28"/>
          <w:szCs w:val="28"/>
        </w:rPr>
        <w:t xml:space="preserve">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59"/>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一）提供虚假材料谋取中标、成交的；</w:t>
      </w:r>
      <w:r/>
    </w:p>
    <w:p>
      <w:pPr>
        <w:spacing w:line="560" w:lineRule="exact"/>
        <w:rPr>
          <w:rFonts w:hint="eastAsia" w:ascii="仿宋" w:hAnsi="仿宋" w:eastAsia="仿宋"/>
          <w:color w:val="ff0000"/>
          <w:sz w:val="28"/>
          <w:szCs w:val="28"/>
        </w:rPr>
      </w:pPr>
      <w:r>
        <w:rPr>
          <w:rFonts w:hint="eastAsia" w:ascii="仿宋" w:hAnsi="仿宋" w:eastAsia="仿宋"/>
          <w:color w:val="ff0000"/>
          <w:sz w:val="28"/>
          <w:szCs w:val="28"/>
        </w:rPr>
        <w:t xml:space="preserve">（二）“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1、本次评标采用综合评分法，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2、最终得分=综合得分*（1±数值%）</w:t>
      </w:r>
      <w:r/>
    </w:p>
    <w:p>
      <w:pPr>
        <w:ind w:firstLine="518"/>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3、采购人确定最终得分最高且排名第一的供应商为中标供应商。</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评标时,评标委员会各成员应当独立对每个有效投标供应商的标书进行评价打分，然后汇总每个投标供应商每项评分因素的得分。</w:t>
      </w:r>
      <w:r/>
    </w:p>
    <w:p>
      <w:pPr>
        <w:ind w:firstLine="520"/>
        <w:spacing w:line="560" w:lineRule="exact"/>
        <w:rPr>
          <w:rFonts w:hint="eastAsia" w:ascii="仿宋" w:hAnsi="仿宋" w:eastAsia="仿宋" w:cs="仿宋"/>
          <w:b/>
          <w:bCs/>
          <w:sz w:val="28"/>
          <w:szCs w:val="28"/>
        </w:rPr>
      </w:pPr>
      <w:r/>
      <w:bookmarkStart w:id="28" w:name="_Hlk177935305"/>
      <w:r>
        <w:rPr>
          <w:rFonts w:hint="eastAsia" w:ascii="仿宋" w:hAnsi="仿宋" w:eastAsia="仿宋" w:cs="仿宋"/>
          <w:b/>
          <w:bCs/>
          <w:sz w:val="28"/>
          <w:szCs w:val="28"/>
        </w:rPr>
        <w:t xml:space="preserve">（附评分办法）</w:t>
      </w:r>
      <w:bookmarkEnd w:id="28"/>
      <w:r/>
    </w:p>
    <w:p>
      <w:pPr>
        <w:ind w:firstLine="520"/>
        <w:spacing w:line="560" w:lineRule="exact"/>
        <w:rPr>
          <w:rFonts w:hint="eastAsia" w:ascii="仿宋" w:hAnsi="仿宋" w:eastAsia="仿宋"/>
          <w:b/>
          <w:color w:val="000000"/>
          <w:sz w:val="28"/>
          <w:szCs w:val="28"/>
          <w14:textFill>
            <w14:gradFill>
              <w14:gsLst>
                <w14:gs w14:pos="0">
                  <w14:srgbClr w14:val="03BEC1"/>
                </w14:gs>
                <w14:gs w14:pos="50000">
                  <w14:srgbClr w14:val="3474CB"/>
                </w14:gs>
                <w14:gs w14:pos="100000">
                  <w14:srgbClr w14:val="8E52DF"/>
                </w14:gs>
              </w14:gsLst>
              <w14:lin w14:ang="5400000" w14:scaled="1"/>
            </w14:gradFill>
          </w14:textFill>
        </w:rPr>
      </w:pPr>
      <w:r>
        <w:rPr>
          <w:rFonts w:hint="eastAsia" w:ascii="仿宋" w:hAnsi="仿宋" w:eastAsia="仿宋" w:cs="仿宋"/>
          <w:b/>
          <w:bCs/>
          <w:sz w:val="28"/>
          <w:szCs w:val="28"/>
        </w:rPr>
        <w:t xml:space="preserve">一、价格F1（3</w:t>
      </w:r>
      <w:r>
        <w:rPr>
          <w:rFonts w:hint="eastAsia" w:ascii="仿宋" w:hAnsi="仿宋" w:eastAsia="仿宋" w:cs="仿宋"/>
          <w:b/>
          <w:bCs/>
          <w:sz w:val="28"/>
          <w:szCs w:val="28"/>
        </w:rPr>
        <w:t xml:space="preserve">5</w:t>
      </w:r>
      <w:r>
        <w:rPr>
          <w:rFonts w:hint="eastAsia" w:ascii="仿宋" w:hAnsi="仿宋" w:eastAsia="仿宋" w:cs="仿宋"/>
          <w:b/>
          <w:bCs/>
          <w:sz w:val="28"/>
          <w:szCs w:val="28"/>
        </w:rPr>
        <w:t xml:space="preserve">分）</w:t>
      </w:r>
      <w:r/>
    </w:p>
    <w:p>
      <w:pPr>
        <w:ind w:firstLine="518"/>
        <w:spacing w:line="560" w:lineRule="exact"/>
        <w:rPr>
          <w:rFonts w:hint="eastAsia" w:ascii="仿宋" w:hAnsi="仿宋" w:eastAsia="仿宋" w:cs="Arial"/>
          <w:color w:val="000000"/>
          <w:sz w:val="28"/>
          <w:szCs w:val="28"/>
          <w:shd w:val="clear" w:color="auto" w:fill="ffffff"/>
        </w:rPr>
      </w:pPr>
      <w:r/>
      <w:bookmarkStart w:id="29" w:name="OLE_LINK19"/>
      <w:r>
        <w:rPr>
          <w:rFonts w:hint="eastAsia" w:ascii="仿宋" w:hAnsi="仿宋" w:eastAsia="仿宋" w:cs="Arial"/>
          <w:color w:val="000000"/>
          <w:sz w:val="28"/>
          <w:szCs w:val="28"/>
          <w:shd w:val="clear" w:color="auto" w:fill="ffffff"/>
        </w:rPr>
        <w:t xml:space="preserve">满足招标文件要求且投标价格最低的投标报价为评标基准价，其价格分为满分 3</w:t>
      </w:r>
      <w:r>
        <w:rPr>
          <w:rFonts w:hint="eastAsia" w:ascii="仿宋" w:hAnsi="仿宋" w:eastAsia="仿宋" w:cs="Arial"/>
          <w:color w:val="000000"/>
          <w:sz w:val="28"/>
          <w:szCs w:val="28"/>
          <w:shd w:val="clear" w:color="auto" w:fill="ffffff"/>
        </w:rPr>
        <w:t xml:space="preserve">5</w:t>
      </w:r>
      <w:r>
        <w:rPr>
          <w:rFonts w:hint="eastAsia" w:ascii="仿宋" w:hAnsi="仿宋" w:eastAsia="仿宋" w:cs="Arial"/>
          <w:color w:val="000000"/>
          <w:sz w:val="28"/>
          <w:szCs w:val="28"/>
          <w:shd w:val="clear" w:color="auto" w:fill="ffffff"/>
        </w:rPr>
        <w:t xml:space="preserve">分。其他供应商的价格分按下列公式计算：投标报价得分=（评标基准价/投标报价）×3</w:t>
      </w:r>
      <w:r>
        <w:rPr>
          <w:rFonts w:hint="eastAsia" w:ascii="仿宋" w:hAnsi="仿宋" w:eastAsia="仿宋" w:cs="Arial"/>
          <w:color w:val="000000"/>
          <w:sz w:val="28"/>
          <w:szCs w:val="28"/>
          <w:shd w:val="clear" w:color="auto" w:fill="ffffff"/>
        </w:rPr>
        <w:t xml:space="preserve">5</w:t>
      </w:r>
      <w:r>
        <w:rPr>
          <w:rFonts w:hint="eastAsia" w:ascii="仿宋" w:hAnsi="仿宋" w:eastAsia="仿宋" w:cs="Arial"/>
          <w:color w:val="000000"/>
          <w:sz w:val="28"/>
          <w:szCs w:val="28"/>
          <w:shd w:val="clear" w:color="auto" w:fill="ffffff"/>
        </w:rPr>
        <w:t xml:space="preserve"> %×100。</w:t>
      </w:r>
      <w:bookmarkEnd w:id="29"/>
      <w:r/>
    </w:p>
    <w:p>
      <w:pPr>
        <w:ind w:firstLine="520"/>
        <w:spacing w:line="560" w:lineRule="exact"/>
        <w:rPr>
          <w:rFonts w:hint="eastAsia" w:ascii="仿宋" w:hAnsi="仿宋" w:eastAsia="仿宋"/>
          <w:b/>
          <w:color w:val="000000"/>
          <w:sz w:val="28"/>
          <w:szCs w:val="28"/>
          <w14:textFill>
            <w14:gradFill>
              <w14:gsLst>
                <w14:gs w14:pos="0">
                  <w14:srgbClr w14:val="03BEC1"/>
                </w14:gs>
                <w14:gs w14:pos="50000">
                  <w14:srgbClr w14:val="3474CB"/>
                </w14:gs>
                <w14:gs w14:pos="100000">
                  <w14:srgbClr w14:val="8E52DF"/>
                </w14:gs>
              </w14:gsLst>
              <w14:lin w14:ang="5400000" w14:scaled="1"/>
            </w14:gradFill>
          </w14:textFill>
        </w:rPr>
      </w:pPr>
      <w:r>
        <w:rPr>
          <w:rFonts w:hint="eastAsia" w:ascii="仿宋" w:hAnsi="仿宋" w:eastAsia="仿宋" w:cs="仿宋"/>
          <w:b/>
          <w:bCs/>
          <w:sz w:val="28"/>
          <w:szCs w:val="28"/>
        </w:rPr>
        <w:t xml:space="preserve">二、企业综合实力F2（9分）</w:t>
      </w:r>
      <w:r/>
    </w:p>
    <w:p>
      <w:pPr>
        <w:ind w:firstLine="518"/>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w:t>
      </w:r>
      <w:r>
        <w:rPr>
          <w:rFonts w:hint="eastAsia" w:ascii="仿宋" w:hAnsi="仿宋" w:eastAsia="仿宋" w:cs="仿宋"/>
          <w:color w:val="000000" w:themeColor="text1"/>
          <w:sz w:val="28"/>
          <w:szCs w:val="28"/>
        </w:rPr>
        <w:t xml:space="preserve">供应商具有有效期内的</w:t>
      </w:r>
      <w:r>
        <w:rPr>
          <w:rFonts w:ascii="仿宋" w:hAnsi="仿宋" w:eastAsia="仿宋" w:cs="仿宋"/>
          <w:color w:val="000000" w:themeColor="text1"/>
          <w:sz w:val="28"/>
          <w:szCs w:val="28"/>
        </w:rPr>
        <w:t xml:space="preserve">质量管理体系认证证书、环境管理体系认证证书、职业健康管理体系认证证书、绿色管理体系认证证书、培训管理体系认证证书的</w:t>
      </w:r>
      <w:r>
        <w:rPr>
          <w:rFonts w:hint="eastAsia" w:ascii="仿宋" w:hAnsi="仿宋" w:eastAsia="仿宋" w:cs="仿宋"/>
          <w:color w:val="000000" w:themeColor="text1"/>
          <w:sz w:val="28"/>
          <w:szCs w:val="28"/>
        </w:rPr>
        <w:t xml:space="preserve">的，有一项得1分，最高得</w:t>
      </w:r>
      <w:r>
        <w:rPr>
          <w:rFonts w:hint="eastAsia" w:ascii="仿宋" w:hAnsi="仿宋" w:eastAsia="仿宋" w:cs="仿宋"/>
          <w:color w:val="000000" w:themeColor="text1"/>
          <w:sz w:val="28"/>
          <w:szCs w:val="28"/>
        </w:rPr>
        <w:t xml:space="preserve">5</w:t>
      </w:r>
      <w:r>
        <w:rPr>
          <w:rFonts w:hint="eastAsia" w:ascii="仿宋" w:hAnsi="仿宋" w:eastAsia="仿宋" w:cs="仿宋"/>
          <w:color w:val="000000" w:themeColor="text1"/>
          <w:sz w:val="28"/>
          <w:szCs w:val="28"/>
        </w:rPr>
        <w:t xml:space="preserve">分。</w:t>
      </w:r>
      <w:r>
        <w:rPr>
          <w:rFonts w:hint="eastAsia" w:ascii="仿宋" w:hAnsi="仿宋" w:eastAsia="仿宋" w:cs="仿宋"/>
          <w:color w:val="000000" w:themeColor="text1"/>
          <w:sz w:val="28"/>
          <w:szCs w:val="28"/>
        </w:rPr>
        <w:t xml:space="preserve">（响应文件中提供证书原件扫描件，未提供不得分）</w:t>
      </w:r>
      <w:r/>
    </w:p>
    <w:p>
      <w:pPr>
        <w:ind w:firstLine="518"/>
        <w:spacing w:line="560" w:lineRule="exact"/>
        <w:rPr>
          <w:rFonts w:hint="eastAsia" w:ascii="仿宋" w:hAnsi="仿宋" w:eastAsia="仿宋"/>
          <w:color w:val="0000ff"/>
          <w:sz w:val="28"/>
          <w:szCs w:val="28"/>
        </w:rPr>
      </w:pPr>
      <w:r>
        <w:rPr>
          <w:rFonts w:hint="eastAsia" w:ascii="仿宋" w:hAnsi="仿宋" w:eastAsia="仿宋" w:cs="仿宋"/>
          <w:color w:val="000000" w:themeColor="text1"/>
          <w:sz w:val="28"/>
          <w:szCs w:val="28"/>
        </w:rPr>
        <w:t xml:space="preserve">2、</w:t>
      </w:r>
      <w:bookmarkStart w:id="30" w:name="OLE_LINK15"/>
      <w:r/>
      <w:bookmarkStart w:id="31" w:name="OLE_LINK21"/>
      <w:r>
        <w:rPr>
          <w:rFonts w:hint="eastAsia" w:ascii="仿宋" w:hAnsi="仿宋" w:eastAsia="仿宋" w:cs="仿宋"/>
          <w:color w:val="000000" w:themeColor="text1"/>
          <w:sz w:val="28"/>
          <w:szCs w:val="28"/>
        </w:rPr>
        <w:t xml:space="preserve">业绩（</w:t>
      </w:r>
      <w:r>
        <w:rPr>
          <w:rFonts w:hint="eastAsia" w:ascii="仿宋" w:hAnsi="仿宋" w:eastAsia="仿宋" w:cs="仿宋"/>
          <w:color w:val="000000" w:themeColor="text1"/>
          <w:sz w:val="28"/>
          <w:szCs w:val="28"/>
        </w:rPr>
        <w:t xml:space="preserve">2</w:t>
      </w:r>
      <w:r>
        <w:rPr>
          <w:rFonts w:hint="eastAsia" w:ascii="仿宋" w:hAnsi="仿宋" w:eastAsia="仿宋" w:cs="仿宋"/>
          <w:color w:val="000000" w:themeColor="text1"/>
          <w:sz w:val="28"/>
          <w:szCs w:val="28"/>
        </w:rPr>
        <w:t xml:space="preserve">分）：</w:t>
      </w:r>
      <w:bookmarkEnd w:id="30"/>
      <w:r>
        <w:rPr>
          <w:rFonts w:hint="eastAsia" w:ascii="仿宋" w:hAnsi="仿宋" w:eastAsia="仿宋" w:cs="仿宋_GB2312"/>
          <w:color w:val="000000"/>
          <w:sz w:val="28"/>
          <w:szCs w:val="28"/>
        </w:rPr>
        <w:t xml:space="preserve">投标人或所投产品制造商提供自2023年1月1日（以合同签订时间为准）以来承担的类似项目</w:t>
      </w:r>
      <w:r>
        <w:rPr>
          <w:rFonts w:hint="eastAsia" w:ascii="仿宋" w:hAnsi="仿宋" w:eastAsia="仿宋" w:cs="仿宋_GB2312"/>
          <w:color w:val="000000"/>
          <w:sz w:val="28"/>
          <w:szCs w:val="28"/>
        </w:rPr>
        <w:t xml:space="preserve">（</w:t>
      </w:r>
      <w:r>
        <w:rPr>
          <w:rFonts w:ascii="仿宋" w:hAnsi="仿宋" w:eastAsia="仿宋" w:cs="仿宋_GB2312"/>
          <w:color w:val="000000"/>
          <w:sz w:val="28"/>
          <w:szCs w:val="28"/>
        </w:rPr>
        <w:t xml:space="preserve">实验室改造</w:t>
      </w:r>
      <w:r>
        <w:rPr>
          <w:rFonts w:hint="eastAsia"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的业绩，每提供一份合同资料得</w:t>
      </w:r>
      <w:r>
        <w:rPr>
          <w:rFonts w:hint="eastAsia" w:ascii="仿宋" w:hAnsi="仿宋" w:eastAsia="仿宋" w:cs="仿宋_GB2312"/>
          <w:color w:val="000000"/>
          <w:sz w:val="28"/>
          <w:szCs w:val="28"/>
        </w:rPr>
        <w:t xml:space="preserve">1</w:t>
      </w:r>
      <w:r>
        <w:rPr>
          <w:rFonts w:hint="eastAsia" w:ascii="仿宋" w:hAnsi="仿宋" w:eastAsia="仿宋" w:cs="仿宋_GB2312"/>
          <w:color w:val="000000"/>
          <w:sz w:val="28"/>
          <w:szCs w:val="28"/>
        </w:rPr>
        <w:t xml:space="preserve">分，最多得</w:t>
      </w:r>
      <w:r>
        <w:rPr>
          <w:rFonts w:hint="eastAsia" w:ascii="仿宋" w:hAnsi="仿宋" w:eastAsia="仿宋" w:cs="仿宋_GB2312"/>
          <w:color w:val="000000"/>
          <w:sz w:val="28"/>
          <w:szCs w:val="28"/>
        </w:rPr>
        <w:t xml:space="preserve">2</w:t>
      </w:r>
      <w:r>
        <w:rPr>
          <w:rFonts w:hint="eastAsia" w:ascii="仿宋" w:hAnsi="仿宋" w:eastAsia="仿宋" w:cs="仿宋_GB2312"/>
          <w:color w:val="000000"/>
          <w:sz w:val="28"/>
          <w:szCs w:val="28"/>
        </w:rPr>
        <w:t xml:space="preserve">分。</w:t>
      </w: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需提供合同原件扫描件)</w:t>
      </w:r>
      <w:r>
        <w:rPr>
          <w:rFonts w:hint="eastAsia" w:ascii="仿宋" w:hAnsi="仿宋" w:eastAsia="仿宋"/>
          <w:color w:val="0000ff"/>
          <w:sz w:val="28"/>
          <w:szCs w:val="28"/>
        </w:rPr>
        <w:t xml:space="preserve">。</w:t>
      </w:r>
      <w:bookmarkEnd w:id="31"/>
      <w:r/>
    </w:p>
    <w:p>
      <w:pPr>
        <w:ind w:firstLine="518"/>
        <w:spacing w:line="56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3、软件著作权（</w:t>
      </w:r>
      <w:r>
        <w:rPr>
          <w:rFonts w:hint="eastAsia" w:ascii="仿宋" w:hAnsi="仿宋" w:eastAsia="仿宋" w:cs="仿宋"/>
          <w:color w:val="000000" w:themeColor="text1"/>
          <w:sz w:val="28"/>
          <w:szCs w:val="28"/>
        </w:rPr>
        <w:t xml:space="preserve">2</w:t>
      </w:r>
      <w:r>
        <w:rPr>
          <w:rFonts w:hint="eastAsia" w:ascii="仿宋" w:hAnsi="仿宋" w:eastAsia="仿宋" w:cs="仿宋"/>
          <w:color w:val="000000" w:themeColor="text1"/>
          <w:sz w:val="28"/>
          <w:szCs w:val="28"/>
        </w:rPr>
        <w:t xml:space="preserve">分）</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rPr>
        <w:t xml:space="preserve">供应商具备实验室管理系统软件著作权的，得2分，需提供软件著作权证书原件扫描件并加盖公章（如提供的软件著作权名称描述与上述名称不一致的，需提供相关材料证明其著作权具有相同或相似功能和效果，且经评标委员会认可的，视同符合要求）。</w:t>
      </w:r>
      <w:r/>
    </w:p>
    <w:p>
      <w:pPr>
        <w:ind w:firstLine="520"/>
        <w:spacing w:line="560" w:lineRule="exact"/>
        <w:rPr>
          <w:rFonts w:hint="eastAsia" w:ascii="仿宋" w:hAnsi="仿宋" w:eastAsia="仿宋"/>
          <w:b/>
          <w:bCs/>
          <w:color w:val="000000"/>
          <w:sz w:val="28"/>
          <w:szCs w:val="28"/>
          <w14:textFill>
            <w14:gradFill>
              <w14:gsLst>
                <w14:gs w14:pos="0">
                  <w14:srgbClr w14:val="03BEC1"/>
                </w14:gs>
                <w14:gs w14:pos="50000">
                  <w14:srgbClr w14:val="3474CB"/>
                </w14:gs>
                <w14:gs w14:pos="100000">
                  <w14:srgbClr w14:val="8E52DF"/>
                </w14:gs>
              </w14:gsLst>
              <w14:lin w14:ang="5400000" w14:scaled="1"/>
            </w14:gradFill>
          </w14:textFill>
        </w:rPr>
      </w:pPr>
      <w:r>
        <w:rPr>
          <w:rFonts w:hint="eastAsia" w:ascii="仿宋" w:hAnsi="仿宋" w:eastAsia="仿宋" w:cs="仿宋"/>
          <w:b/>
          <w:bCs/>
          <w:sz w:val="28"/>
          <w:szCs w:val="28"/>
        </w:rPr>
        <w:t xml:space="preserve">三、人员、技术能力F3（</w:t>
      </w:r>
      <w:r>
        <w:rPr>
          <w:rFonts w:hint="eastAsia" w:ascii="仿宋" w:hAnsi="仿宋" w:eastAsia="仿宋" w:cs="仿宋"/>
          <w:b/>
          <w:bCs/>
          <w:sz w:val="28"/>
          <w:szCs w:val="28"/>
        </w:rPr>
        <w:t xml:space="preserve">11</w:t>
      </w:r>
      <w:r>
        <w:rPr>
          <w:rFonts w:hint="eastAsia" w:ascii="仿宋" w:hAnsi="仿宋" w:eastAsia="仿宋" w:cs="仿宋"/>
          <w:b/>
          <w:bCs/>
          <w:sz w:val="28"/>
          <w:szCs w:val="28"/>
        </w:rPr>
        <w:t xml:space="preserve">分）</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w:t>
      </w:r>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rPr>
        <w:t xml:space="preserve">项目</w:t>
      </w:r>
      <w:r>
        <w:rPr>
          <w:rFonts w:hint="eastAsia" w:ascii="仿宋" w:hAnsi="仿宋" w:eastAsia="仿宋" w:cs="仿宋"/>
          <w:color w:val="000000" w:themeColor="text1"/>
          <w:sz w:val="28"/>
          <w:szCs w:val="28"/>
        </w:rPr>
        <w:t xml:space="preserve">负责人</w:t>
      </w:r>
      <w:r>
        <w:rPr>
          <w:rFonts w:hint="eastAsia" w:ascii="仿宋" w:hAnsi="仿宋" w:eastAsia="仿宋" w:cs="仿宋"/>
          <w:color w:val="000000" w:themeColor="text1"/>
          <w:sz w:val="28"/>
          <w:szCs w:val="28"/>
        </w:rPr>
        <w:t xml:space="preserve">（4分）：</w:t>
      </w:r>
      <w:r>
        <w:rPr>
          <w:rFonts w:ascii="仿宋" w:hAnsi="仿宋" w:eastAsia="仿宋" w:cs="仿宋"/>
          <w:color w:val="000000" w:themeColor="text1"/>
          <w:sz w:val="28"/>
          <w:szCs w:val="28"/>
        </w:rPr>
        <w:t xml:space="preserve">供应商针对本项目应配备项目负责人一名，项目负责人本人具有高级工程师职称证书、弱电系统工程师证书、机电工程建造师证书、安全员B</w:t>
      </w:r>
      <w:r>
        <w:rPr>
          <w:rFonts w:hint="eastAsia" w:ascii="仿宋" w:hAnsi="仿宋" w:eastAsia="仿宋" w:cs="仿宋"/>
          <w:color w:val="000000" w:themeColor="text1"/>
          <w:sz w:val="28"/>
          <w:szCs w:val="28"/>
        </w:rPr>
        <w:t xml:space="preserve">证</w:t>
      </w:r>
      <w:r>
        <w:rPr>
          <w:rFonts w:ascii="仿宋" w:hAnsi="仿宋" w:eastAsia="仿宋" w:cs="仿宋"/>
          <w:color w:val="000000" w:themeColor="text1"/>
          <w:sz w:val="28"/>
          <w:szCs w:val="28"/>
        </w:rPr>
        <w:t xml:space="preserve">证书，有一个得1分，最高得4分。</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w:t>
      </w:r>
      <w:bookmarkStart w:id="32" w:name="OLE_LINK23"/>
      <w:r>
        <w:rPr>
          <w:rFonts w:hint="eastAsia" w:ascii="仿宋" w:hAnsi="仿宋" w:eastAsia="仿宋" w:cs="仿宋"/>
          <w:color w:val="000000" w:themeColor="text1"/>
          <w:sz w:val="28"/>
          <w:szCs w:val="28"/>
        </w:rPr>
        <w:t xml:space="preserve">、</w:t>
      </w:r>
      <w:r>
        <w:rPr>
          <w:rFonts w:hint="eastAsia" w:ascii="仿宋" w:hAnsi="仿宋" w:eastAsia="仿宋" w:cs="仿宋"/>
          <w:color w:val="000000" w:themeColor="text1"/>
          <w:sz w:val="28"/>
          <w:szCs w:val="28"/>
        </w:rPr>
        <w:t xml:space="preserve">技术负责人（</w:t>
      </w:r>
      <w:r>
        <w:rPr>
          <w:rFonts w:hint="eastAsia" w:ascii="仿宋" w:hAnsi="仿宋" w:eastAsia="仿宋" w:cs="仿宋"/>
          <w:color w:val="000000" w:themeColor="text1"/>
          <w:sz w:val="28"/>
          <w:szCs w:val="28"/>
        </w:rPr>
        <w:t xml:space="preserve">4</w:t>
      </w:r>
      <w:r>
        <w:rPr>
          <w:rFonts w:hint="eastAsia" w:ascii="仿宋" w:hAnsi="仿宋" w:eastAsia="仿宋" w:cs="仿宋"/>
          <w:color w:val="000000" w:themeColor="text1"/>
          <w:sz w:val="28"/>
          <w:szCs w:val="28"/>
        </w:rPr>
        <w:t xml:space="preserve">分）：</w:t>
      </w:r>
      <w:bookmarkEnd w:id="32"/>
      <w:r>
        <w:rPr>
          <w:rFonts w:ascii="仿宋" w:hAnsi="仿宋" w:eastAsia="仿宋" w:cs="仿宋"/>
          <w:color w:val="000000" w:themeColor="text1"/>
          <w:sz w:val="28"/>
          <w:szCs w:val="28"/>
        </w:rPr>
        <w:t xml:space="preserve">供应商为本项目配备技术负责人一名，技术负责人本人具有信息系统项目管理师，电子信息工程师，中华人民共和国特种作业操作证（低压</w:t>
      </w:r>
      <w:r>
        <w:rPr>
          <w:rFonts w:ascii="仿宋" w:hAnsi="仿宋" w:eastAsia="仿宋" w:cs="仿宋"/>
          <w:color w:val="000000" w:themeColor="text1"/>
          <w:sz w:val="28"/>
          <w:szCs w:val="28"/>
        </w:rPr>
        <w:t xml:space="preserve">电工），高级工程师职称证书的，有一个得1分，最高得4分。</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3、售后服务负责人（</w:t>
      </w:r>
      <w:r>
        <w:rPr>
          <w:rFonts w:hint="eastAsia" w:ascii="仿宋" w:hAnsi="仿宋" w:eastAsia="仿宋" w:cs="仿宋"/>
          <w:color w:val="000000" w:themeColor="text1"/>
          <w:sz w:val="28"/>
          <w:szCs w:val="28"/>
        </w:rPr>
        <w:t xml:space="preserve">3</w:t>
      </w:r>
      <w:r>
        <w:rPr>
          <w:rFonts w:hint="eastAsia" w:ascii="仿宋" w:hAnsi="仿宋" w:eastAsia="仿宋" w:cs="仿宋"/>
          <w:color w:val="000000" w:themeColor="text1"/>
          <w:sz w:val="28"/>
          <w:szCs w:val="28"/>
        </w:rPr>
        <w:t xml:space="preserve">分）：</w:t>
      </w:r>
      <w:r>
        <w:rPr>
          <w:rFonts w:ascii="仿宋" w:hAnsi="仿宋" w:eastAsia="仿宋" w:cs="仿宋"/>
          <w:color w:val="000000" w:themeColor="text1"/>
          <w:sz w:val="28"/>
          <w:szCs w:val="28"/>
        </w:rPr>
        <w:t xml:space="preserve">为保证项目正常稳定运行，本项目需配备售后服务负责人一名，售后服务负责人本人具有中华人民共和国特种作业操作证（低压电工），售后服务管理师，通信、电子与智能化工程安全员证书的，有一个得1分，最高得3分。</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【以上</w:t>
      </w:r>
      <w:bookmarkStart w:id="33" w:name="OLE_LINK22"/>
      <w:r>
        <w:rPr>
          <w:rFonts w:hint="eastAsia" w:ascii="仿宋" w:hAnsi="仿宋" w:eastAsia="仿宋" w:cs="仿宋"/>
          <w:color w:val="000000" w:themeColor="text1"/>
          <w:sz w:val="28"/>
          <w:szCs w:val="28"/>
        </w:rPr>
        <w:t xml:space="preserve">1-3</w:t>
      </w:r>
      <w:r>
        <w:rPr>
          <w:rFonts w:hint="eastAsia" w:ascii="仿宋" w:hAnsi="仿宋" w:eastAsia="仿宋" w:cs="仿宋"/>
          <w:color w:val="000000" w:themeColor="text1"/>
          <w:sz w:val="28"/>
          <w:szCs w:val="28"/>
        </w:rPr>
        <w:t xml:space="preserve">人员不可重复，提供相关证书的原件</w:t>
      </w:r>
      <w:r>
        <w:rPr>
          <w:rFonts w:hint="eastAsia" w:ascii="仿宋" w:hAnsi="仿宋" w:eastAsia="仿宋" w:cs="仿宋"/>
          <w:color w:val="000000" w:themeColor="text1"/>
          <w:sz w:val="28"/>
          <w:szCs w:val="28"/>
        </w:rPr>
        <w:t xml:space="preserve">扫描件</w:t>
      </w:r>
      <w:r>
        <w:rPr>
          <w:rFonts w:hint="eastAsia" w:ascii="仿宋" w:hAnsi="仿宋" w:eastAsia="仿宋" w:cs="仿宋"/>
          <w:color w:val="000000" w:themeColor="text1"/>
          <w:sz w:val="28"/>
          <w:szCs w:val="28"/>
        </w:rPr>
        <w:t xml:space="preserve">加盖公章及提供人员近六个月任意一个月由供应商为其缴纳的社保证明复印件加盖公章，否则不得分</w:t>
      </w:r>
      <w:bookmarkEnd w:id="33"/>
      <w:r>
        <w:rPr>
          <w:rFonts w:hint="eastAsia" w:ascii="仿宋" w:hAnsi="仿宋" w:eastAsia="仿宋" w:cs="仿宋"/>
          <w:color w:val="000000" w:themeColor="text1"/>
          <w:sz w:val="28"/>
          <w:szCs w:val="28"/>
        </w:rPr>
        <w:t xml:space="preserve">】</w:t>
      </w:r>
      <w:r/>
    </w:p>
    <w:p>
      <w:pPr>
        <w:ind w:firstLine="520"/>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四、质量、技术要求及实施方案F3（</w:t>
      </w:r>
      <w:r>
        <w:rPr>
          <w:rFonts w:hint="eastAsia" w:ascii="仿宋" w:hAnsi="仿宋" w:eastAsia="仿宋"/>
          <w:b/>
          <w:bCs/>
          <w:color w:val="000000" w:themeColor="text1"/>
          <w:sz w:val="28"/>
          <w:szCs w:val="28"/>
        </w:rPr>
        <w:t xml:space="preserve">37</w:t>
      </w:r>
      <w:r>
        <w:rPr>
          <w:rFonts w:hint="eastAsia" w:ascii="仿宋" w:hAnsi="仿宋" w:eastAsia="仿宋"/>
          <w:b/>
          <w:bCs/>
          <w:color w:val="000000" w:themeColor="text1"/>
          <w:sz w:val="28"/>
          <w:szCs w:val="28"/>
        </w:rPr>
        <w:t xml:space="preserve">分）</w:t>
      </w:r>
      <w:r/>
    </w:p>
    <w:p>
      <w:pPr>
        <w:ind w:firstLine="520"/>
        <w:spacing w:line="520" w:lineRule="exact"/>
        <w:rPr>
          <w:rFonts w:hint="eastAsia" w:ascii="仿宋" w:hAnsi="仿宋" w:eastAsia="仿宋" w:cs="仿宋"/>
          <w:color w:val="000000"/>
          <w:sz w:val="28"/>
          <w:szCs w:val="28"/>
        </w:rPr>
      </w:pPr>
      <w:r>
        <w:rPr>
          <w:rFonts w:hint="eastAsia" w:ascii="仿宋" w:hAnsi="仿宋" w:eastAsia="仿宋" w:cs="仿宋"/>
          <w:color w:val="000000" w:themeColor="text1"/>
          <w:sz w:val="28"/>
          <w:szCs w:val="28"/>
        </w:rPr>
        <w:t xml:space="preserve">1</w:t>
      </w:r>
      <w:bookmarkStart w:id="34" w:name="OLE_LINK24"/>
      <w:r>
        <w:rPr>
          <w:rFonts w:hint="eastAsia" w:ascii="仿宋" w:hAnsi="仿宋" w:eastAsia="仿宋" w:cs="仿宋"/>
          <w:color w:val="000000" w:themeColor="text1"/>
          <w:sz w:val="28"/>
          <w:szCs w:val="28"/>
        </w:rPr>
        <w:t xml:space="preserve">、</w:t>
      </w:r>
      <w:bookmarkStart w:id="35" w:name="OLE_LINK7"/>
      <w:r>
        <w:rPr>
          <w:rFonts w:hint="eastAsia" w:ascii="仿宋" w:hAnsi="仿宋" w:eastAsia="仿宋" w:cs="仿宋"/>
          <w:color w:val="000000" w:themeColor="text1"/>
          <w:sz w:val="28"/>
          <w:szCs w:val="28"/>
        </w:rPr>
        <w:t xml:space="preserve">技术参数（2</w:t>
      </w:r>
      <w:r>
        <w:rPr>
          <w:rFonts w:hint="eastAsia" w:ascii="仿宋" w:hAnsi="仿宋" w:eastAsia="仿宋" w:cs="仿宋"/>
          <w:color w:val="000000" w:themeColor="text1"/>
          <w:sz w:val="28"/>
          <w:szCs w:val="28"/>
        </w:rPr>
        <w:t xml:space="preserve">5</w:t>
      </w:r>
      <w:r>
        <w:rPr>
          <w:rFonts w:hint="eastAsia" w:ascii="仿宋" w:hAnsi="仿宋" w:eastAsia="仿宋" w:cs="仿宋"/>
          <w:color w:val="000000" w:themeColor="text1"/>
          <w:sz w:val="28"/>
          <w:szCs w:val="28"/>
        </w:rPr>
        <w:t xml:space="preserve">分）：</w:t>
      </w:r>
      <w:bookmarkEnd w:id="35"/>
      <w:r>
        <w:rPr>
          <w:rFonts w:hint="eastAsia" w:ascii="仿宋" w:hAnsi="仿宋" w:eastAsia="仿宋" w:cs="仿宋"/>
          <w:color w:val="000000"/>
          <w:sz w:val="28"/>
          <w:szCs w:val="28"/>
        </w:rPr>
        <w:t xml:space="preserve">严格按照招标文件中采购货物要求进行评定，投标人所提供产品详细技术指标及综合性能、技术参数、稳定性、操作性等方面完全响应招标文件实质性要求的得2</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分。具有★标注的重要指标每有一项负偏离扣1分；其他技术参数出现负偏离有一项扣0.5分，扣完为止。打“★”的技术参数需提供有资质的检测机构出具的有效期内的检测报告等相关证明材料，未提供视为负偏离。</w:t>
      </w:r>
      <w:bookmarkEnd w:id="34"/>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2、</w:t>
      </w:r>
      <w:bookmarkStart w:id="36" w:name="OLE_LINK25"/>
      <w:r>
        <w:rPr>
          <w:rFonts w:hint="eastAsia" w:ascii="仿宋" w:hAnsi="仿宋" w:eastAsia="仿宋"/>
          <w:color w:val="000000"/>
          <w:sz w:val="28"/>
        </w:rPr>
        <w:t xml:space="preserve">项目整体实施方案、进度计划安排</w:t>
      </w:r>
      <w:r>
        <w:rPr>
          <w:rFonts w:hint="eastAsia" w:ascii="仿宋" w:hAnsi="仿宋" w:eastAsia="仿宋" w:cs="仿宋"/>
          <w:sz w:val="28"/>
          <w:szCs w:val="28"/>
        </w:rPr>
        <w:t xml:space="preserve">（</w:t>
      </w:r>
      <w:r>
        <w:rPr>
          <w:rFonts w:hint="eastAsia" w:ascii="仿宋" w:hAnsi="仿宋" w:eastAsia="仿宋" w:cs="仿宋"/>
          <w:sz w:val="28"/>
          <w:szCs w:val="28"/>
        </w:rPr>
        <w:t xml:space="preserve">6</w:t>
      </w:r>
      <w:r>
        <w:rPr>
          <w:rFonts w:hint="eastAsia" w:ascii="仿宋" w:hAnsi="仿宋" w:eastAsia="仿宋" w:cs="仿宋"/>
          <w:sz w:val="28"/>
          <w:szCs w:val="28"/>
        </w:rPr>
        <w:t xml:space="preserve">分）：根据供应商投标响应文件中提供的针对本项目特点制定的</w:t>
      </w:r>
      <w:r>
        <w:rPr>
          <w:rFonts w:hint="eastAsia" w:ascii="仿宋" w:hAnsi="仿宋" w:eastAsia="仿宋"/>
          <w:color w:val="000000"/>
          <w:sz w:val="28"/>
        </w:rPr>
        <w:t xml:space="preserve">项目整体实施方案、进度计划安排</w:t>
      </w:r>
      <w:r>
        <w:rPr>
          <w:rFonts w:hint="eastAsia" w:ascii="仿宋" w:hAnsi="仿宋" w:eastAsia="仿宋" w:cs="仿宋"/>
          <w:sz w:val="28"/>
          <w:szCs w:val="28"/>
        </w:rPr>
        <w:t xml:space="preserve">，方案优于采购需求的得</w:t>
      </w:r>
      <w:r>
        <w:rPr>
          <w:rFonts w:hint="eastAsia" w:ascii="仿宋" w:hAnsi="仿宋" w:eastAsia="仿宋" w:cs="仿宋"/>
          <w:sz w:val="28"/>
          <w:szCs w:val="28"/>
        </w:rPr>
        <w:t xml:space="preserve">6</w:t>
      </w:r>
      <w:r>
        <w:rPr>
          <w:rFonts w:hint="eastAsia" w:ascii="仿宋" w:hAnsi="仿宋" w:eastAsia="仿宋" w:cs="仿宋"/>
          <w:sz w:val="28"/>
          <w:szCs w:val="28"/>
        </w:rPr>
        <w:t xml:space="preserve">分，符合采购需求的得3分，未提供或不符合不得分。</w:t>
      </w:r>
      <w:bookmarkEnd w:id="36"/>
      <w:r/>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3、</w:t>
      </w:r>
      <w:bookmarkStart w:id="37" w:name="OLE_LINK26"/>
      <w:r>
        <w:rPr>
          <w:rFonts w:hint="eastAsia" w:ascii="仿宋" w:hAnsi="仿宋" w:eastAsia="仿宋" w:cs="仿宋"/>
          <w:sz w:val="28"/>
          <w:szCs w:val="28"/>
        </w:rPr>
        <w:t xml:space="preserve">质量保证措施（</w:t>
      </w:r>
      <w:r>
        <w:rPr>
          <w:rFonts w:hint="eastAsia" w:ascii="仿宋" w:hAnsi="仿宋" w:eastAsia="仿宋" w:cs="仿宋"/>
          <w:sz w:val="28"/>
          <w:szCs w:val="28"/>
        </w:rPr>
        <w:t xml:space="preserve">6</w:t>
      </w:r>
      <w:r>
        <w:rPr>
          <w:rFonts w:hint="eastAsia" w:ascii="仿宋" w:hAnsi="仿宋" w:eastAsia="仿宋" w:cs="仿宋"/>
          <w:sz w:val="28"/>
          <w:szCs w:val="28"/>
        </w:rPr>
        <w:t xml:space="preserve">分）：根据供应商投标响应文件中提供的质量保证措施进行评分，方案优于磋商文件采购需求的得</w:t>
      </w:r>
      <w:r>
        <w:rPr>
          <w:rFonts w:hint="eastAsia" w:ascii="仿宋" w:hAnsi="仿宋" w:eastAsia="仿宋" w:cs="仿宋"/>
          <w:sz w:val="28"/>
          <w:szCs w:val="28"/>
        </w:rPr>
        <w:t xml:space="preserve">6</w:t>
      </w:r>
      <w:r>
        <w:rPr>
          <w:rFonts w:hint="eastAsia" w:ascii="仿宋" w:hAnsi="仿宋" w:eastAsia="仿宋" w:cs="仿宋"/>
          <w:sz w:val="28"/>
          <w:szCs w:val="28"/>
        </w:rPr>
        <w:t xml:space="preserve">分，符合磋商文件采购需求的得3分，不符合或者未提供不得分。</w:t>
      </w:r>
      <w:bookmarkEnd w:id="37"/>
      <w:r/>
    </w:p>
    <w:p>
      <w:pPr>
        <w:ind w:firstLine="520"/>
        <w:spacing w:line="5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五、</w:t>
      </w:r>
      <w:r>
        <w:rPr>
          <w:rFonts w:hint="eastAsia" w:ascii="仿宋" w:hAnsi="仿宋" w:eastAsia="仿宋" w:cs="仿宋"/>
          <w:b/>
          <w:bCs/>
          <w:sz w:val="28"/>
          <w:szCs w:val="28"/>
        </w:rPr>
        <w:t xml:space="preserve">培训及售后服务</w:t>
      </w:r>
      <w:r>
        <w:rPr>
          <w:rFonts w:hint="eastAsia" w:ascii="仿宋" w:hAnsi="仿宋" w:eastAsia="仿宋"/>
          <w:b/>
          <w:bCs/>
          <w:color w:val="000000" w:themeColor="text1"/>
          <w:sz w:val="28"/>
          <w:szCs w:val="28"/>
        </w:rPr>
        <w:t xml:space="preserve">F4（8分）</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38" w:name="OLE_LINK28"/>
      <w:r>
        <w:rPr>
          <w:rFonts w:hint="eastAsia" w:ascii="仿宋" w:hAnsi="仿宋" w:eastAsia="仿宋" w:cs="仿宋"/>
          <w:color w:val="000000"/>
          <w:sz w:val="28"/>
          <w:szCs w:val="28"/>
        </w:rPr>
        <w:t xml:space="preserve">技术培训方案（4分）：根据供应商投标响应文件中提供的技术培训方案进行评分，方案优于磋商文件采购需求的得4分，符合磋商文件采购需求的得2分，不符合或者未提供不得分。</w:t>
      </w:r>
      <w:bookmarkEnd w:id="38"/>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bookmarkStart w:id="39" w:name="OLE_LINK29"/>
      <w:r>
        <w:rPr>
          <w:rFonts w:hint="eastAsia" w:ascii="仿宋" w:hAnsi="仿宋" w:eastAsia="仿宋" w:cs="仿宋"/>
          <w:color w:val="000000"/>
          <w:sz w:val="28"/>
          <w:szCs w:val="28"/>
        </w:rPr>
        <w:t xml:space="preserve">售后服务方案（4分）：根据供应商投标响应文件中提供的售后服务方案进行评分，方案优于磋商文件采购需求的得4分，符合磋商文件采购需求的得2分，不符</w:t>
      </w:r>
      <w:r>
        <w:rPr>
          <w:rFonts w:hint="eastAsia" w:ascii="仿宋" w:hAnsi="仿宋" w:eastAsia="仿宋" w:cs="仿宋"/>
          <w:color w:val="000000"/>
          <w:sz w:val="28"/>
          <w:szCs w:val="28"/>
        </w:rPr>
        <w:t xml:space="preserve">合或者未提供不得分。</w:t>
      </w:r>
      <w:bookmarkEnd w:id="39"/>
      <w:r/>
      <w:r/>
    </w:p>
    <w:p>
      <w:pPr>
        <w:ind w:firstLine="51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综合得分＝F1+F2+F3+F4+F5</w:t>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七、定    标</w:t>
      </w:r>
      <w:r/>
    </w:p>
    <w:p>
      <w:pPr>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废标</w:t>
      </w:r>
      <w:r/>
    </w:p>
    <w:p>
      <w:pPr>
        <w:ind w:firstLine="518"/>
        <w:spacing w:line="360" w:lineRule="auto"/>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p>
    <w:p>
      <w:pPr>
        <w:ind w:left="570"/>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1.符合专业条件的供应商或者对招标文件作出实质性响应的供应商不足三家；</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“江苏政府采购苏采云系统”</w:t>
      </w:r>
      <w:r>
        <w:rPr>
          <w:rFonts w:hint="eastAsia" w:ascii="仿宋" w:hAnsi="仿宋" w:eastAsia="仿宋"/>
          <w:bCs/>
          <w:sz w:val="28"/>
          <w:szCs w:val="28"/>
        </w:rPr>
        <w:t xml:space="preserve">重大故障原因无法继续开评标的。</w:t>
      </w:r>
      <w:r/>
    </w:p>
    <w:p>
      <w:pPr>
        <w:spacing w:line="360" w:lineRule="auto"/>
        <w:tabs>
          <w:tab w:val="left" w:pos="525" w:leader="none"/>
          <w:tab w:val="left" w:pos="945" w:leader="none"/>
        </w:tabs>
        <w:rPr>
          <w:rFonts w:hint="eastAsia" w:ascii="仿宋" w:hAnsi="仿宋" w:eastAsia="仿宋"/>
          <w:b/>
          <w:bCs/>
          <w:sz w:val="28"/>
          <w:szCs w:val="28"/>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评标委员会根据招标文件规定的评标方法和评标标准进行评审，按招标文件的要求依法确定中标供应商。江苏泰禾房地产土地造价咨询评估有限公司将在江苏省政府采购网发布中标公告。</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和评标委员会对未中标原因不做解释。如有质疑，应在法定质疑期限内，即中标公告期限届满之日起7个工作日内，以书面形式（原件）送达江苏泰禾，并且针对同一采购程序环节的质疑，须在法定质疑期内一次性提出。质疑函的质疑事项应具体、明确，并有必要的事实依据和法律依据（格式详见中国政府采购网《</w:t>
      </w:r>
      <w:hyperlink r:id="rId28" w:tooltip="http://download.ccgp.gov.cn/2018/zhiyihanfanben.zip" w:history="1">
        <w:r>
          <w:rPr>
            <w:rFonts w:hint="eastAsia" w:ascii="仿宋" w:hAnsi="仿宋" w:eastAsia="仿宋"/>
            <w:bCs/>
            <w:sz w:val="28"/>
            <w:szCs w:val="28"/>
          </w:rPr>
          <w:t xml:space="preserve">政府采购供应商质疑函范本</w:t>
        </w:r>
      </w:hyperlink>
      <w:r>
        <w:rPr>
          <w:rFonts w:hint="eastAsia" w:ascii="仿宋" w:hAnsi="仿宋" w:eastAsia="仿宋"/>
          <w:bCs/>
          <w:sz w:val="28"/>
          <w:szCs w:val="28"/>
        </w:rPr>
        <w:t xml:space="preserve">》）。江苏泰禾将在收到符合上述要求的书面质疑后七个工作日内，对质疑内容做出答复。供应商在法定质疑期限外送达的质疑函或法定质疑期限内送达的质疑函不符合上述要求的均为无效质疑，江苏泰禾对无效质疑不予受理。</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江苏泰禾有权依据政府采购的有关规定，报请政府采购监管部门对该供应商进行相应的行政处罚和记录该供应商的失信信息。</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江苏泰禾向中标供应商发中标通知书。</w:t>
      </w:r>
      <w:r/>
    </w:p>
    <w:p>
      <w:pPr>
        <w:ind w:firstLine="520"/>
        <w:jc w:val="left"/>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84"/>
        <w:ind w:right="25" w:firstLine="480"/>
        <w:spacing w:line="560" w:lineRule="exact"/>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96"/>
      </w:p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八、签订、履行合同</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签订合同</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泰禾见证后生效。</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2.中标供应商非因不可抗力未履行招、投标文件和合同规定的义务，一经查实，江苏泰禾将根据具体情况提请政府采购管理部门作出相应处理。</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3.履约保证金</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    中标供应商向采购人缴纳的履约保证金不超过政府采购合同金额的10%。收取履约保证金的，采购人应当与中标供应商在采购合同中约定履约保证金退还的方式、时间、条件和不予退还的情形，明确逾期退还履约保证金的违约责任。</w:t>
      </w:r>
      <w:r/>
    </w:p>
    <w:p>
      <w:pPr>
        <w:jc w:val="center"/>
        <w:spacing w:line="560" w:lineRule="exact"/>
        <w:rPr>
          <w:rFonts w:ascii="黑体" w:eastAsia="黑体"/>
          <w:color w:val="000000"/>
          <w:sz w:val="28"/>
          <w:szCs w:val="28"/>
        </w:rPr>
      </w:pPr>
      <w:r>
        <w:rPr>
          <w:rFonts w:hint="eastAsia" w:ascii="仿宋" w:hAnsi="仿宋" w:eastAsia="仿宋"/>
          <w:b/>
          <w:bCs/>
          <w:sz w:val="32"/>
          <w:szCs w:val="32"/>
        </w:rPr>
        <w:t xml:space="preserve">九、项目验收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9.4如有必要，甲方邀请参加本项目的其他供应商或第三方专业机构及专家参与验收，相关意见将作为验收书的参考资料。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w:t>
      </w:r>
      <w:r>
        <w:rPr>
          <w:rFonts w:hint="eastAsia" w:ascii="仿宋" w:hAnsi="仿宋" w:eastAsia="仿宋" w:cs="宋体"/>
          <w:color w:val="000000"/>
          <w:sz w:val="28"/>
          <w:szCs w:val="28"/>
        </w:rPr>
        <w:t xml:space="preserve">方共同签署。验收结果与采购合同约定的资金支付及履约保证金返还条件挂钩。履约验收的各项资料存档备查。</w:t>
      </w:r>
      <w:r/>
    </w:p>
    <w:p>
      <w:pPr>
        <w:ind w:firstLine="518"/>
        <w:rPr>
          <w:rFonts w:hint="eastAsia" w:ascii="黑体" w:hAnsi="宋体" w:eastAsia="黑体"/>
          <w:b/>
          <w:bCs/>
          <w:color w:val="000000"/>
          <w:sz w:val="28"/>
          <w:szCs w:val="28"/>
        </w:rPr>
      </w:pPr>
      <w:r>
        <w:rPr>
          <w:rFonts w:hint="eastAsia" w:ascii="仿宋" w:hAnsi="仿宋" w:eastAsia="仿宋" w:cs="宋体"/>
          <w:color w:val="000000"/>
          <w:sz w:val="28"/>
          <w:szCs w:val="28"/>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560" w:lineRule="exact"/>
        <w:rPr>
          <w:rFonts w:hint="eastAsia" w:ascii="仿宋" w:hAnsi="仿宋" w:eastAsia="仿宋"/>
          <w:b/>
          <w:sz w:val="44"/>
          <w:szCs w:val="44"/>
        </w:rPr>
      </w:pPr>
      <w:r/>
      <w:bookmarkStart w:id="40" w:name="_Hlk177935333"/>
      <w:r/>
      <w:r/>
    </w:p>
    <w:p>
      <w:pPr>
        <w:ind w:firstLine="841"/>
        <w:jc w:val="center"/>
        <w:spacing w:line="560" w:lineRule="exact"/>
        <w:rPr>
          <w:rFonts w:hint="eastAsia" w:ascii="仿宋" w:hAnsi="仿宋" w:eastAsia="仿宋"/>
          <w:b/>
          <w:sz w:val="44"/>
          <w:szCs w:val="44"/>
        </w:rPr>
      </w:pPr>
      <w:r>
        <w:rPr>
          <w:rFonts w:hint="eastAsia" w:ascii="仿宋" w:hAnsi="仿宋" w:eastAsia="仿宋"/>
          <w:b/>
          <w:sz w:val="44"/>
          <w:szCs w:val="44"/>
        </w:rPr>
      </w:r>
      <w:r/>
    </w:p>
    <w:p>
      <w:pPr>
        <w:ind w:firstLine="841"/>
        <w:jc w:val="center"/>
        <w:spacing w:line="560" w:lineRule="exact"/>
        <w:rPr>
          <w:rFonts w:hint="eastAsia" w:ascii="仿宋" w:hAnsi="仿宋" w:eastAsia="仿宋"/>
          <w:b/>
          <w:bCs/>
          <w:szCs w:val="21"/>
        </w:rPr>
      </w:pPr>
      <w:r/>
      <w:bookmarkStart w:id="41" w:name="OLE_LINK8"/>
      <w:r>
        <w:rPr>
          <w:rFonts w:hint="eastAsia" w:ascii="仿宋" w:hAnsi="仿宋" w:eastAsia="仿宋"/>
          <w:b/>
          <w:sz w:val="44"/>
          <w:szCs w:val="44"/>
        </w:rPr>
        <w:t xml:space="preserve">第二部分   </w:t>
      </w:r>
      <w:r>
        <w:rPr>
          <w:rFonts w:hint="eastAsia" w:ascii="仿宋" w:hAnsi="仿宋" w:eastAsia="仿宋"/>
          <w:b/>
          <w:sz w:val="44"/>
          <w:szCs w:val="44"/>
        </w:rPr>
        <w:t xml:space="preserve">招标需求</w:t>
      </w:r>
      <w:r/>
    </w:p>
    <w:p>
      <w:pPr>
        <w:pStyle w:val="1291"/>
        <w:ind w:firstLine="510"/>
        <w:spacing w:before="0" w:beforeAutospacing="0" w:after="0" w:afterAutospacing="0" w:line="5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291"/>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本次采购范围</w:t>
      </w:r>
      <w:r>
        <w:rPr>
          <w:rFonts w:hint="eastAsia" w:ascii="仿宋" w:hAnsi="仿宋" w:eastAsia="仿宋"/>
          <w:color w:val="000000"/>
          <w:sz w:val="28"/>
          <w:szCs w:val="28"/>
        </w:rPr>
        <w:t xml:space="preserve">为</w:t>
      </w:r>
      <w:bookmarkStart w:id="42" w:name="OLE_LINK10"/>
      <w:r/>
      <w:bookmarkStart w:id="43" w:name="_Hlk157930898"/>
      <w:r>
        <w:rPr>
          <w:rFonts w:ascii="仿宋" w:hAnsi="仿宋" w:eastAsia="仿宋"/>
          <w:color w:val="000000"/>
          <w:sz w:val="28"/>
          <w:szCs w:val="28"/>
        </w:rPr>
        <w:t xml:space="preserve">理化生实验室设备采购</w:t>
      </w:r>
      <w:bookmarkEnd w:id="42"/>
      <w:r>
        <w:rPr>
          <w:rFonts w:hint="eastAsia" w:ascii="仿宋" w:hAnsi="仿宋" w:eastAsia="仿宋"/>
          <w:color w:val="000000"/>
          <w:sz w:val="28"/>
          <w:szCs w:val="28"/>
        </w:rPr>
        <w:t xml:space="preserve">等</w:t>
      </w:r>
      <w:bookmarkEnd w:id="43"/>
      <w:r>
        <w:rPr>
          <w:rFonts w:hint="eastAsia" w:ascii="仿宋" w:hAnsi="仿宋" w:eastAsia="仿宋"/>
          <w:color w:val="000000"/>
          <w:sz w:val="28"/>
          <w:szCs w:val="28"/>
        </w:rPr>
        <w:t xml:space="preserve">，</w:t>
      </w:r>
      <w:r>
        <w:rPr>
          <w:rFonts w:hint="eastAsia" w:ascii="仿宋" w:hAnsi="仿宋" w:eastAsia="仿宋"/>
          <w:color w:val="000000" w:themeColor="text1"/>
          <w:sz w:val="28"/>
          <w:szCs w:val="28"/>
        </w:rPr>
        <w:t xml:space="preserve">其中物理</w:t>
      </w:r>
      <w:r>
        <w:rPr>
          <w:rFonts w:hint="eastAsia" w:ascii="仿宋" w:hAnsi="仿宋" w:eastAsia="仿宋"/>
          <w:color w:val="000000" w:themeColor="text1"/>
          <w:sz w:val="28"/>
          <w:szCs w:val="28"/>
        </w:rPr>
        <w:t xml:space="preserve">普通实验室3间</w:t>
      </w:r>
      <w:r>
        <w:rPr>
          <w:rFonts w:hint="eastAsia" w:ascii="仿宋" w:hAnsi="仿宋" w:eastAsia="仿宋"/>
          <w:color w:val="000000" w:themeColor="text1"/>
          <w:sz w:val="28"/>
          <w:szCs w:val="28"/>
        </w:rPr>
        <w:t xml:space="preserve">，危化品室1间，化学上通风实验室2间，生物实验室2间。</w:t>
      </w:r>
      <w:r/>
    </w:p>
    <w:p>
      <w:pPr>
        <w:pStyle w:val="1291"/>
        <w:ind w:firstLine="518"/>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3、本项目采购预算金额：人民币壹佰肆拾万元整  （￥：1400000</w:t>
      </w:r>
      <w:r>
        <w:rPr>
          <w:rFonts w:ascii="仿宋" w:hAnsi="仿宋" w:eastAsia="仿宋"/>
          <w:color w:val="000000" w:themeColor="text1"/>
          <w:sz w:val="28"/>
          <w:szCs w:val="28"/>
        </w:rPr>
        <w:t xml:space="preserve">.00</w:t>
      </w:r>
      <w:r>
        <w:rPr>
          <w:rFonts w:hint="eastAsia" w:ascii="仿宋" w:hAnsi="仿宋" w:eastAsia="仿宋"/>
          <w:color w:val="000000" w:themeColor="text1"/>
          <w:sz w:val="28"/>
          <w:szCs w:val="28"/>
        </w:rPr>
        <w:t xml:space="preserve">元）；最后响应报价高于采购预算的，将被判定为无效响应文件。</w:t>
      </w:r>
      <w:r/>
    </w:p>
    <w:p>
      <w:pPr>
        <w:pStyle w:val="1291"/>
        <w:ind w:firstLine="520"/>
        <w:spacing w:before="0" w:beforeAutospacing="0" w:after="0" w:afterAutospacing="0" w:line="560" w:lineRule="exact"/>
        <w:rPr>
          <w:rFonts w:hint="eastAsia" w:ascii="仿宋" w:hAnsi="仿宋" w:eastAsia="仿宋"/>
          <w:b/>
          <w:bCs/>
          <w:sz w:val="28"/>
          <w:szCs w:val="28"/>
        </w:rPr>
      </w:pPr>
      <w:r>
        <w:rPr>
          <w:rFonts w:hint="eastAsia" w:ascii="仿宋" w:hAnsi="仿宋" w:eastAsia="仿宋"/>
          <w:b/>
          <w:bCs/>
          <w:sz w:val="28"/>
          <w:szCs w:val="28"/>
        </w:rPr>
        <w:t xml:space="preserve">4、采购需求： </w:t>
      </w:r>
      <w:r/>
    </w:p>
    <w:p>
      <w:pPr>
        <w:ind w:firstLine="259"/>
        <w:jc w:val="left"/>
        <w:rPr>
          <w:rFonts w:hint="eastAsia" w:ascii="仿宋" w:hAnsi="仿宋" w:eastAsia="仿宋"/>
          <w:sz w:val="28"/>
          <w:szCs w:val="28"/>
        </w:rPr>
      </w:pPr>
      <w:r>
        <w:rPr>
          <w:rFonts w:hint="eastAsia" w:ascii="仿宋" w:hAnsi="仿宋" w:eastAsia="仿宋"/>
          <w:sz w:val="28"/>
          <w:szCs w:val="28"/>
        </w:rPr>
        <w:t xml:space="preserve">一</w:t>
      </w:r>
      <w:r>
        <w:rPr>
          <w:rFonts w:hint="eastAsia" w:ascii="仿宋" w:hAnsi="仿宋" w:eastAsia="仿宋"/>
          <w:sz w:val="28"/>
          <w:szCs w:val="28"/>
        </w:rPr>
        <w:t xml:space="preserve">、</w:t>
      </w:r>
      <w:r>
        <w:rPr>
          <w:rFonts w:hint="eastAsia" w:ascii="仿宋" w:hAnsi="仿宋" w:eastAsia="仿宋"/>
          <w:sz w:val="28"/>
          <w:szCs w:val="28"/>
        </w:rPr>
        <w:t xml:space="preserve">采购明细： </w:t>
      </w:r>
      <w:r/>
    </w:p>
    <w:tbl>
      <w:tblPr>
        <w:tblW w:w="5000" w:type="pct"/>
        <w:tblLook w:val="0000" w:firstRow="0" w:lastRow="0" w:firstColumn="0" w:lastColumn="0" w:noHBand="0" w:noVBand="0"/>
      </w:tblPr>
      <w:tblGrid>
        <w:gridCol w:w="824"/>
        <w:gridCol w:w="1333"/>
        <w:gridCol w:w="6008"/>
        <w:gridCol w:w="674"/>
        <w:gridCol w:w="790"/>
      </w:tblGrid>
      <w:tr>
        <w:trPr>
          <w:trHeight w:val="2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昭阳中学</w:t>
            </w:r>
            <w:r>
              <w:rPr>
                <w:rFonts w:ascii="仿宋" w:hAnsi="仿宋" w:eastAsia="仿宋" w:cs="仿宋"/>
                <w:sz w:val="24"/>
                <w:szCs w:val="24"/>
                <w:lang w:bidi="ar"/>
              </w:rPr>
              <w:t xml:space="preserve">理化生实验室设备采购</w:t>
            </w:r>
            <w:r>
              <w:rPr>
                <w:rFonts w:hint="eastAsia" w:ascii="仿宋" w:hAnsi="仿宋" w:eastAsia="仿宋" w:cs="仿宋"/>
                <w:sz w:val="24"/>
                <w:szCs w:val="24"/>
                <w:lang w:bidi="ar"/>
              </w:rPr>
              <w:t xml:space="preserve">清单</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color w:val="ee0000"/>
                <w:sz w:val="24"/>
                <w:szCs w:val="24"/>
                <w:lang w:bidi="ar"/>
              </w:rPr>
              <w:t xml:space="preserve">物理普通实验室1</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单位</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学生实验桌</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电源总控台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实验椅</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靠背及下座采用高密度网布格，阻燃、舒适、回弹性好。面料为优质网布格.依照人体工程学设计，线条流畅，美观大方，骨架钢管电镀，气动升降。</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学生电源实验板</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学生实验凳</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条</w:t>
            </w:r>
            <w:r/>
          </w:p>
        </w:tc>
      </w:tr>
      <w:tr>
        <w:trPr>
          <w:trHeight w:val="16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功能柱</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结构参数：注塑模具一体化成型，四角圆弧造型，上桶整体注塑成型，前后带检修门板，分上下二节设计，底脚两侧带与地面带安装孔构建，内部隐藏实验线管及通风管道，上下桶二节无螺丝拼接而成，整体双色，耐摔坚固耐酸耐碱。</w:t>
            </w:r>
            <w:r>
              <w:rPr>
                <w:rFonts w:hint="eastAsia" w:ascii="仿宋" w:hAnsi="仿宋" w:eastAsia="仿宋" w:cs="仿宋"/>
                <w:sz w:val="24"/>
                <w:szCs w:val="24"/>
                <w:lang w:bidi="ar"/>
              </w:rPr>
              <w:br/>
              <w:t xml:space="preserve">2、技术参数：整体规格≥360×180×730㎜，材料采用实验室专用PP材质，侧面无缝无需螺丝安装。壁厚≥2.5MM下桶与主桶拼接处缩进凹槽，上桶两侧设有凹凸条纹加强筋增强耐用性能，上桶与下桶卡入式安装连接，可自由拆装，方便设备检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墙面乳胶漆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1，原墙面破损拆除、打磨</w:t>
            </w:r>
            <w:r>
              <w:rPr>
                <w:rFonts w:hint="eastAsia" w:ascii="仿宋" w:hAnsi="仿宋" w:eastAsia="仿宋" w:cs="仿宋"/>
                <w:sz w:val="24"/>
                <w:szCs w:val="24"/>
                <w:lang w:bidi="ar"/>
              </w:rPr>
              <w:br/>
              <w:t xml:space="preserve">2，2遍腻子，2遍防霉乳胶漆；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间</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防火木门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定制防火木门</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樘</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护眼灯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宋体"/>
                <w:sz w:val="24"/>
                <w:szCs w:val="24"/>
              </w:rPr>
              <w:t xml:space="preserve">48W教室护眼灯</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监控摄像头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color w:val="ee0000"/>
                <w:sz w:val="24"/>
                <w:szCs w:val="24"/>
                <w:lang w:bidi="ar"/>
              </w:rPr>
              <w:t xml:space="preserve">物理普通实验室2</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学生实验桌</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电源总控台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实验椅</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靠背及下座采用高密度网布格，阻燃、舒适、回弹性好。面料为优质网布格.依照人体工程学设计，线条流畅，美观大方，骨架钢管电镀，气动升降。</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学生电源实验板</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学生实验凳</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条</w:t>
            </w:r>
            <w:r/>
          </w:p>
        </w:tc>
      </w:tr>
      <w:tr>
        <w:trPr>
          <w:trHeight w:val="16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功能柱</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结构参数：注塑模具一体化成型，四角圆弧造型，上桶整体注塑成型，前后带检修门板，分上下二节设计，底脚两侧带与地面带安装孔构建，内部隐藏实验线管及通风管道，上下桶二节无螺丝拼接而成，整体双色，耐摔坚固耐酸耐碱。</w:t>
            </w:r>
            <w:r>
              <w:rPr>
                <w:rFonts w:hint="eastAsia" w:ascii="仿宋" w:hAnsi="仿宋" w:eastAsia="仿宋" w:cs="仿宋"/>
                <w:sz w:val="24"/>
                <w:szCs w:val="24"/>
                <w:lang w:bidi="ar"/>
              </w:rPr>
              <w:br/>
              <w:t xml:space="preserve">2、技术参数：整体规格≥360×180×730㎜，材料采用实验室专用PP材质，侧面无缝无需螺丝安装。壁厚≥2.5MM下桶与主桶拼接处缩进凹槽，上桶两侧设有凹凸条纹加强筋增强耐用性能，上桶与下桶卡入式安装连接，可自由拆装，方便设备检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墙面乳胶漆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1，原墙面破损拆除、打磨</w:t>
            </w:r>
            <w:r>
              <w:rPr>
                <w:rFonts w:hint="eastAsia" w:ascii="仿宋" w:hAnsi="仿宋" w:eastAsia="仿宋" w:cs="仿宋"/>
                <w:sz w:val="24"/>
                <w:szCs w:val="24"/>
                <w:lang w:bidi="ar"/>
              </w:rPr>
              <w:br/>
              <w:t xml:space="preserve">2，2遍腻子，2遍防霉乳胶漆；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间</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防火木门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定制防火木门</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樘</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护眼灯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宋体"/>
                <w:sz w:val="24"/>
                <w:szCs w:val="24"/>
              </w:rPr>
              <w:t xml:space="preserve">48W教室护眼灯</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监控摄像头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color w:val="ee0000"/>
                <w:sz w:val="24"/>
                <w:szCs w:val="24"/>
                <w:lang w:bidi="ar"/>
              </w:rPr>
              <w:t xml:space="preserve">物理普通实验室3</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学生实验桌</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电源总控台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台</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实验椅</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靠背及下座采用高密度网布格，阻燃、舒适、回弹性好。面料为优质网布格.依照人体工程学设计，线条流畅，美观大方，骨架钢管电镀，气动升降。</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学生电源实验板</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学生实验凳</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条</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功能柱</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结构参数：注塑模具一体化成型，四角圆弧造型，上桶整体注塑成型，前后带检修门板，分上下二节设计，底脚两侧带与地面带安装孔构建，内部隐藏实验线管及通风管道，上下桶二节无螺丝拼接而成，整体双色，耐摔坚固耐酸耐碱。</w:t>
            </w:r>
            <w:r>
              <w:rPr>
                <w:rFonts w:hint="eastAsia" w:ascii="仿宋" w:hAnsi="仿宋" w:eastAsia="仿宋" w:cs="仿宋"/>
                <w:sz w:val="24"/>
                <w:szCs w:val="24"/>
                <w:lang w:bidi="ar"/>
              </w:rPr>
              <w:br/>
              <w:t xml:space="preserve">2、技术参数：整体规格≥360×180×730㎜，材料采用实验室专用PP材质，侧面无缝无需螺丝安装。壁厚≥2.5MM下桶与主桶拼接处缩进凹槽，上桶两侧设有凹凸条纹加强筋增强耐用性能，上桶与下桶卡入式安装连接，可自由拆装，方便设备检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墙面乳胶漆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1，原墙面破损拆除、打磨</w:t>
            </w:r>
            <w:r>
              <w:rPr>
                <w:rFonts w:hint="eastAsia" w:ascii="仿宋" w:hAnsi="仿宋" w:eastAsia="仿宋" w:cs="仿宋"/>
                <w:sz w:val="24"/>
                <w:szCs w:val="24"/>
                <w:lang w:bidi="ar"/>
              </w:rPr>
              <w:br/>
              <w:t xml:space="preserve">2，2遍腻子，2遍防霉乳胶漆；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间</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防火木门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定制防火木门</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樘</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护眼灯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ascii="仿宋" w:hAnsi="仿宋" w:eastAsia="仿宋" w:cs="宋体"/>
                <w:sz w:val="24"/>
                <w:szCs w:val="24"/>
              </w:rPr>
              <w:t xml:space="preserve">48W教室护眼灯</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监控摄像头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color w:val="ee0000"/>
                <w:sz w:val="24"/>
                <w:szCs w:val="24"/>
                <w:lang w:bidi="ar"/>
              </w:rPr>
              <w:t xml:space="preserve">化学上通风实验室1</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学生实验桌</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电源总控台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实验椅</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靠背及下座采用高密度网布格，阻燃、舒适、回弹性好。面料为优质网布格.依照人体工程学设计，线条流畅，美观大方，骨架钢管电镀，气动升降。</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学生实验凳</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条</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30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1.关节：高密度PP材质表面磨砂，优化了视觉美感和手握触感可360°旋转调节方向。</w:t>
            </w:r>
            <w:r>
              <w:rPr>
                <w:rFonts w:hint="eastAsia" w:ascii="仿宋" w:hAnsi="仿宋" w:eastAsia="仿宋" w:cs="仿宋"/>
                <w:sz w:val="24"/>
                <w:szCs w:val="24"/>
                <w:lang w:bidi="ar"/>
              </w:rPr>
              <w:br/>
              <w:t xml:space="preserve">2.关节密封圈：不易老化之高密度橡胶。在关节之间随着旋钮压力加大而产生阻尼效果。</w:t>
            </w:r>
            <w:r>
              <w:rPr>
                <w:rFonts w:hint="eastAsia" w:ascii="仿宋" w:hAnsi="仿宋" w:eastAsia="仿宋" w:cs="仿宋"/>
                <w:sz w:val="24"/>
                <w:szCs w:val="24"/>
                <w:lang w:bidi="ar"/>
              </w:rPr>
              <w:br/>
              <w:t xml:space="preserve">3.关节连接杆：304不锈钢双头锁杆。</w:t>
            </w:r>
            <w:r>
              <w:rPr>
                <w:rFonts w:hint="eastAsia" w:ascii="仿宋" w:hAnsi="仿宋" w:eastAsia="仿宋" w:cs="仿宋"/>
                <w:sz w:val="24"/>
                <w:szCs w:val="24"/>
                <w:lang w:bidi="ar"/>
              </w:rPr>
              <w:br/>
              <w:t xml:space="preserve">4.关节盖：高密度PP材质表面磨砂。</w:t>
            </w:r>
            <w:r>
              <w:rPr>
                <w:rFonts w:hint="eastAsia" w:ascii="仿宋" w:hAnsi="仿宋" w:eastAsia="仿宋" w:cs="仿宋"/>
                <w:sz w:val="24"/>
                <w:szCs w:val="24"/>
                <w:lang w:bidi="ar"/>
              </w:rPr>
              <w:br/>
              <w:t xml:space="preserve">5.关节松紧选钮：高密度PP材质，内置微形平面推力不锈钢轴承，与关节连接杆锁合。</w:t>
            </w:r>
            <w:r>
              <w:rPr>
                <w:rFonts w:hint="eastAsia" w:ascii="仿宋" w:hAnsi="仿宋" w:eastAsia="仿宋" w:cs="仿宋"/>
                <w:sz w:val="24"/>
                <w:szCs w:val="24"/>
                <w:lang w:bidi="ar"/>
              </w:rPr>
              <w:br/>
              <w:t xml:space="preserve">6.拱形集气罩：直径≥260mm，高密度PC制成。</w:t>
            </w:r>
            <w:r>
              <w:rPr>
                <w:rFonts w:hint="eastAsia" w:ascii="仿宋" w:hAnsi="仿宋" w:eastAsia="仿宋" w:cs="仿宋"/>
                <w:sz w:val="24"/>
                <w:szCs w:val="24"/>
                <w:lang w:bidi="ar"/>
              </w:rPr>
              <w:br/>
              <w:t xml:space="preserve">7.伸缩导管：4节直径≥63mm的6系专业抗氧化抗腐蚀的镁</w:t>
            </w:r>
            <w:r>
              <w:rPr>
                <w:rFonts w:hint="eastAsia" w:ascii="仿宋" w:hAnsi="仿宋" w:eastAsia="仿宋" w:cs="仿宋"/>
                <w:sz w:val="24"/>
                <w:szCs w:val="24"/>
                <w:lang w:bidi="ar"/>
              </w:rPr>
              <w:t xml:space="preserve">硅铝合金，表面做特氟龙表面处理，耐酸、耐碱、耐划痕。</w:t>
            </w:r>
            <w:r>
              <w:rPr>
                <w:rFonts w:hint="eastAsia" w:ascii="仿宋" w:hAnsi="仿宋" w:eastAsia="仿宋" w:cs="仿宋"/>
                <w:sz w:val="24"/>
                <w:szCs w:val="24"/>
                <w:lang w:bidi="ar"/>
              </w:rPr>
              <w:br/>
              <w:t xml:space="preserve">8.扭簧：使用90度的≥4mm专用弹簧钢抗氧化处理，防止吸风罩整体滑下。</w:t>
            </w:r>
            <w:r>
              <w:rPr>
                <w:rFonts w:hint="eastAsia" w:ascii="仿宋" w:hAnsi="仿宋" w:eastAsia="仿宋" w:cs="仿宋"/>
                <w:sz w:val="24"/>
                <w:szCs w:val="24"/>
                <w:lang w:bidi="ar"/>
              </w:rPr>
              <w:br/>
              <w:t xml:space="preserve">9.安装后可根据使用需要达到三维360度任意转停，集气罩吸气角度360度任意转停。整体美观大方，吻合高水准专业实验室。</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84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实验通风机</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6#离心风机 ≥5.5KW，转速 ≥1450r/min，流量 ≥10602-21204M3/h，噪声符合国家标准,风机外壳和叶轮均采用模具一次成型。配橡胶减震器用于消除专用通风机引起的震动，配防雨帽，PP材质，主要用于对专用通风机的防护。</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室内通风管道</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室内风管采用直径为≥200mmPVC管路系统或者采用PP焊接管路系统</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室外通风管道</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室外风管采用直径为≥400mmPVC管路系统或者采用PP焊接管路系统</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项</w:t>
            </w:r>
            <w:r/>
          </w:p>
        </w:tc>
      </w:tr>
      <w:tr>
        <w:trPr>
          <w:trHeight w:val="84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三联“L”型化验水嘴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付</w:t>
            </w:r>
            <w:r/>
          </w:p>
        </w:tc>
      </w:tr>
      <w:tr>
        <w:trPr>
          <w:trHeight w:val="1035"/>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台式单口紧急洗眼器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手持式洗眼器符合人体工程学设计，容易安装在台面或墙壁上，自锁结构能轻松实现离手操作。洗眼器采用单口气泡式出水莲蓬头设计，安装于台面上，莲蓬头外罩橡胶软质护盖，以避免紧急使用时瞬间接触眼部时造成碰撞二次伤害，护杯罩口具PP防尘盖平常可防尘，使用时可随时被水冲开，并降低突然打开时短暂的高水压，防止冲伤眼睛，防尘盖具有链条与护杯连接防止脱落。</w:t>
            </w:r>
            <w:r>
              <w:rPr>
                <w:rFonts w:hint="eastAsia" w:ascii="仿宋" w:hAnsi="仿宋" w:eastAsia="仿宋" w:cs="仿宋"/>
                <w:sz w:val="24"/>
                <w:szCs w:val="24"/>
                <w:lang w:bidi="ar"/>
              </w:rPr>
              <w:br/>
              <w:t xml:space="preserve">1.主体材质为优质铜材，金属表面经环氧树脂粉末静电喷涂，具有较强防腐蚀、耐酸碱性能。</w:t>
            </w:r>
            <w:r>
              <w:rPr>
                <w:rFonts w:hint="eastAsia" w:ascii="仿宋" w:hAnsi="仿宋" w:eastAsia="仿宋" w:cs="仿宋"/>
                <w:sz w:val="24"/>
                <w:szCs w:val="24"/>
                <w:lang w:bidi="ar"/>
              </w:rPr>
              <w:br/>
              <w:t xml:space="preserve">2.喷头采用优质铜材，环氧树脂涂层外加硅胶软质橡胶，出水经缓压处理呈泡沫状水柱，防止二次伤害眼睛。标准水压下，洗眼开关能在1秒内开启，15分钟内洗眼喷头流量不低于6升/分钟。</w:t>
            </w:r>
            <w:r>
              <w:rPr>
                <w:rFonts w:hint="eastAsia" w:ascii="仿宋" w:hAnsi="仿宋" w:eastAsia="仿宋" w:cs="仿宋"/>
                <w:sz w:val="24"/>
                <w:szCs w:val="24"/>
                <w:lang w:bidi="ar"/>
              </w:rPr>
              <w:br/>
              <w:t xml:space="preserve">3.洗眼器经压力试验，在水温20℃条件下试验水压≥1.5MPA，保压5分钟，产品无渗漏；经密封试验，在水温20℃条件下试验水压≥1.1MPA，保压2分钟，产品无渗漏。</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付</w:t>
            </w:r>
            <w:r/>
          </w:p>
        </w:tc>
      </w:tr>
      <w:tr>
        <w:trPr>
          <w:trHeight w:val="16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功能柱</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结构参数：注塑模具一体化成型，四角圆弧造型，上桶整体注塑成型，前后带检修门板，分上下二节设计，底脚两侧带与地面带安装孔构建，内部隐藏实验线管及通风管道，上下桶二节无螺丝拼接而成，整体双色，耐摔坚固耐酸耐碱。</w:t>
            </w:r>
            <w:r>
              <w:rPr>
                <w:rFonts w:hint="eastAsia" w:ascii="仿宋" w:hAnsi="仿宋" w:eastAsia="仿宋" w:cs="仿宋"/>
                <w:sz w:val="24"/>
                <w:szCs w:val="24"/>
                <w:lang w:bidi="ar"/>
              </w:rPr>
              <w:br/>
              <w:t xml:space="preserve">2、技术参数：整体规格≥360×180×730㎜，材料采用实验</w:t>
            </w:r>
            <w:r>
              <w:rPr>
                <w:rFonts w:hint="eastAsia" w:ascii="仿宋" w:hAnsi="仿宋" w:eastAsia="仿宋" w:cs="仿宋"/>
                <w:sz w:val="24"/>
                <w:szCs w:val="24"/>
                <w:lang w:bidi="ar"/>
              </w:rPr>
              <w:t xml:space="preserve">室专用PP材质，侧面无缝无需螺丝安装。壁厚≥2.5MM下桶与主桶拼接处缩进凹槽，上桶两侧设有凹凸条纹加强筋增强耐用性能，上桶与下桶卡入式安装连接，可自由拆装，方便设备检修。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140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学生智能安全实验电源</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1、每两个学生中间，配备手动翻转式防尘结构的电源盒，面板采用阻燃ABS制作，选用进口PC贴膜，美观耐用。使用时翻出。使用完毕按回原位。接受教师演示台送来的交流电源。</w:t>
            </w:r>
            <w:r>
              <w:rPr>
                <w:rFonts w:hint="eastAsia" w:ascii="仿宋" w:hAnsi="仿宋" w:eastAsia="仿宋" w:cs="仿宋"/>
                <w:sz w:val="24"/>
                <w:szCs w:val="24"/>
                <w:lang w:bidi="ar"/>
              </w:rPr>
              <w:br/>
              <w:t xml:space="preserve">2、低压交直流电源：交直流0-24每2V一档由教师统一调节控制，出。（短路、过载自动保护、自动复位。）</w:t>
            </w:r>
            <w:r>
              <w:rPr>
                <w:rFonts w:hint="eastAsia" w:ascii="仿宋" w:hAnsi="仿宋" w:eastAsia="仿宋" w:cs="仿宋"/>
                <w:sz w:val="24"/>
                <w:szCs w:val="24"/>
                <w:lang w:bidi="ar"/>
              </w:rPr>
              <w:br/>
              <w:t xml:space="preserve">3、交流电源：每台配备220V交流输出电源，电源全部由教师台控制。</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风机配件</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φ≥400*1000mm,PP材质，内置隔音棉等隔音装置，确保通风室外噪音小于50分贝。</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风机控制变频器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采用电流无感矢量控制，型号：VCD1000E4T0055B（380V/5.5KW），额定电压：AC3PH380V+15%，频率：50-60HZ。</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112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排风</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1.主通风管规格：φ≥160mm/200mm，优质PVC成品管道；</w:t>
            </w:r>
            <w:r>
              <w:rPr>
                <w:rFonts w:hint="eastAsia" w:ascii="仿宋" w:hAnsi="仿宋" w:eastAsia="仿宋" w:cs="仿宋"/>
                <w:sz w:val="24"/>
                <w:szCs w:val="24"/>
                <w:lang w:bidi="ar"/>
              </w:rPr>
              <w:br/>
              <w:t xml:space="preserve">2.支管道规格：φ≥110mm/160mm，优质PVC成品管道；</w:t>
            </w:r>
            <w:r>
              <w:rPr>
                <w:rFonts w:hint="eastAsia" w:ascii="仿宋" w:hAnsi="仿宋" w:eastAsia="仿宋" w:cs="仿宋"/>
                <w:sz w:val="24"/>
                <w:szCs w:val="24"/>
                <w:lang w:bidi="ar"/>
              </w:rPr>
              <w:br/>
              <w:t xml:space="preserve">3.管道配件：管道三通、弯头、变径、直接；</w:t>
            </w:r>
            <w:r>
              <w:rPr>
                <w:rFonts w:hint="eastAsia" w:ascii="仿宋" w:hAnsi="仿宋" w:eastAsia="仿宋" w:cs="仿宋"/>
                <w:sz w:val="24"/>
                <w:szCs w:val="24"/>
                <w:lang w:bidi="ar"/>
              </w:rPr>
              <w:br/>
              <w:t xml:space="preserve">（实际管径视现场情况可适当调整）</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墙面乳胶漆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1，原墙面破损拆除、打磨</w:t>
            </w:r>
            <w:r>
              <w:rPr>
                <w:rFonts w:hint="eastAsia" w:ascii="仿宋" w:hAnsi="仿宋" w:eastAsia="仿宋" w:cs="仿宋"/>
                <w:sz w:val="24"/>
                <w:szCs w:val="24"/>
                <w:lang w:bidi="ar"/>
              </w:rPr>
              <w:br/>
              <w:t xml:space="preserve">2，2遍腻子，2遍防霉乳胶漆；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间</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防火木门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定制防火木门；</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樘</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护眼灯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宋体"/>
                <w:sz w:val="24"/>
                <w:szCs w:val="24"/>
              </w:rPr>
              <w:t xml:space="preserve">48W教室护眼灯</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rPr>
              <w:t xml:space="preserve">地面处理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自流平，约90平方</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监控</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color w:val="ee0000"/>
                <w:sz w:val="24"/>
                <w:szCs w:val="24"/>
                <w:lang w:bidi="ar"/>
              </w:rPr>
              <w:t xml:space="preserve">化学上通风实验室2</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学生实验桌</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16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电源总控台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实验椅</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靠背及下座采用高密度网布格，阻燃、舒适、回弹性好。面料为优质网布格.依照人体工程学设计，线条流畅，美观大方，骨架钢管电镀，气动升降。</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学生实验凳</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条</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1124"/>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万向式吸风罩</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1.关节：高密度PP材质表面磨砂，优化了视觉美感和手握触感可360°旋转调节方向。</w:t>
            </w:r>
            <w:r>
              <w:rPr>
                <w:rFonts w:hint="eastAsia" w:ascii="仿宋" w:hAnsi="仿宋" w:eastAsia="仿宋" w:cs="仿宋"/>
                <w:sz w:val="24"/>
                <w:szCs w:val="24"/>
                <w:lang w:bidi="ar"/>
              </w:rPr>
              <w:br/>
              <w:t xml:space="preserve">2.关节密封圈：不易老化之高密度橡胶。在关节之间随着旋钮压力加大而产生阻尼效果。</w:t>
            </w:r>
            <w:r>
              <w:rPr>
                <w:rFonts w:hint="eastAsia" w:ascii="仿宋" w:hAnsi="仿宋" w:eastAsia="仿宋" w:cs="仿宋"/>
                <w:sz w:val="24"/>
                <w:szCs w:val="24"/>
                <w:lang w:bidi="ar"/>
              </w:rPr>
              <w:br/>
              <w:t xml:space="preserve">3.关节连接杆：304不锈钢双头锁杆。</w:t>
            </w:r>
            <w:r>
              <w:rPr>
                <w:rFonts w:hint="eastAsia" w:ascii="仿宋" w:hAnsi="仿宋" w:eastAsia="仿宋" w:cs="仿宋"/>
                <w:sz w:val="24"/>
                <w:szCs w:val="24"/>
                <w:lang w:bidi="ar"/>
              </w:rPr>
              <w:br/>
              <w:t xml:space="preserve">4.关节盖：高密度PP材质表面磨砂。</w:t>
            </w:r>
            <w:r>
              <w:rPr>
                <w:rFonts w:hint="eastAsia" w:ascii="仿宋" w:hAnsi="仿宋" w:eastAsia="仿宋" w:cs="仿宋"/>
                <w:sz w:val="24"/>
                <w:szCs w:val="24"/>
                <w:lang w:bidi="ar"/>
              </w:rPr>
              <w:br/>
              <w:t xml:space="preserve">5.关节松紧选钮：高密度PP材质，内置微形平面推力不锈钢轴承，与关节连接杆锁合。</w:t>
            </w:r>
            <w:r>
              <w:rPr>
                <w:rFonts w:hint="eastAsia" w:ascii="仿宋" w:hAnsi="仿宋" w:eastAsia="仿宋" w:cs="仿宋"/>
                <w:sz w:val="24"/>
                <w:szCs w:val="24"/>
                <w:lang w:bidi="ar"/>
              </w:rPr>
              <w:br/>
              <w:t xml:space="preserve">6.拱形集气罩：直径≥260mm，高密度PC制成。</w:t>
            </w:r>
            <w:r>
              <w:rPr>
                <w:rFonts w:hint="eastAsia" w:ascii="仿宋" w:hAnsi="仿宋" w:eastAsia="仿宋" w:cs="仿宋"/>
                <w:sz w:val="24"/>
                <w:szCs w:val="24"/>
                <w:lang w:bidi="ar"/>
              </w:rPr>
              <w:br/>
              <w:t xml:space="preserve">7.伸缩导管：4节直径≥63mm的6系专业抗氧化抗腐蚀的镁硅铝合金，表面做特氟龙表面处理，耐酸、耐碱、耐划痕。</w:t>
            </w:r>
            <w:r>
              <w:rPr>
                <w:rFonts w:hint="eastAsia" w:ascii="仿宋" w:hAnsi="仿宋" w:eastAsia="仿宋" w:cs="仿宋"/>
                <w:sz w:val="24"/>
                <w:szCs w:val="24"/>
                <w:lang w:bidi="ar"/>
              </w:rPr>
              <w:br/>
              <w:t xml:space="preserve">8.扭簧：使用90度的≥4mm专用弹簧钢抗氧化处理，防止吸风罩整体滑下。</w:t>
            </w:r>
            <w:r>
              <w:rPr>
                <w:rFonts w:hint="eastAsia" w:ascii="仿宋" w:hAnsi="仿宋" w:eastAsia="仿宋" w:cs="仿宋"/>
                <w:sz w:val="24"/>
                <w:szCs w:val="24"/>
                <w:lang w:bidi="ar"/>
              </w:rPr>
              <w:br/>
              <w:t xml:space="preserve">9.安装后可根据使用需要达到三维360度任意转停，集气罩吸气角度360度任意转停。整体美观大方，吻合高水准专业实验室。</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84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实验通风机</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6#离心风机 ≥5.5KW，转速 ≥1450r/min，流量 ≥10602-21204M3/h，噪声符合国家标准,风机外壳和叶轮均采用模具一次成型。配橡胶减震器用于消除专用通风机引起的震动，配防雨帽，PP材质，主要用于对专用通风机的防护。</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室内通风管道</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室内风管采用直径为≥200mmPVC管路系统或者采用PP焊接管路系统</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室外通风管道</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室外风管采用直径为≥400mmPVC管路系统或者采用PP焊接管路系统</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项</w:t>
            </w:r>
            <w:r/>
          </w:p>
        </w:tc>
      </w:tr>
      <w:tr>
        <w:trPr>
          <w:trHeight w:val="84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三联“L”型化验水嘴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付</w:t>
            </w:r>
            <w:r/>
          </w:p>
        </w:tc>
      </w:tr>
      <w:tr>
        <w:trPr>
          <w:trHeight w:val="1945"/>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台式单口紧急洗眼器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手持式洗眼器符合人体工程学设计，容易安装在台面或墙壁上，自锁结构能轻松实现离手操作。洗眼器采用单口气泡式出水莲蓬头设计，安装于台面上，莲蓬头外罩橡胶软质护盖，以避免紧急使用时瞬间接触眼部时造成碰撞二次伤害，护杯罩口具PP防尘盖平常可防尘，使用时可随时被水冲开，并降低突然打开时短暂的高水压，防止冲伤眼睛，防尘盖具有链条与护杯连接防止脱落。</w:t>
            </w:r>
            <w:r>
              <w:rPr>
                <w:rFonts w:hint="eastAsia" w:ascii="仿宋" w:hAnsi="仿宋" w:eastAsia="仿宋" w:cs="仿宋"/>
                <w:sz w:val="24"/>
                <w:szCs w:val="24"/>
                <w:lang w:bidi="ar"/>
              </w:rPr>
              <w:br/>
              <w:t xml:space="preserve">1.主体材质为优质铜材，金属表面经环氧树脂粉末静电喷涂，具有较强防腐蚀、耐酸碱性能。</w:t>
            </w:r>
            <w:r>
              <w:rPr>
                <w:rFonts w:hint="eastAsia" w:ascii="仿宋" w:hAnsi="仿宋" w:eastAsia="仿宋" w:cs="仿宋"/>
                <w:sz w:val="24"/>
                <w:szCs w:val="24"/>
                <w:lang w:bidi="ar"/>
              </w:rPr>
              <w:br/>
              <w:t xml:space="preserve">2.喷头采用优质铜材，环氧树脂涂层外加硅胶软质橡胶，出水经缓压处理呈泡沫状水柱，防止二次伤害眼睛。标准水压下，洗眼开关能在1秒内开启，15分钟内洗眼喷头流量不低于6升/分钟。</w:t>
            </w:r>
            <w:r>
              <w:rPr>
                <w:rFonts w:hint="eastAsia" w:ascii="仿宋" w:hAnsi="仿宋" w:eastAsia="仿宋" w:cs="仿宋"/>
                <w:sz w:val="24"/>
                <w:szCs w:val="24"/>
                <w:lang w:bidi="ar"/>
              </w:rPr>
              <w:br/>
              <w:t xml:space="preserve">3.洗眼器经压力试验，在水温20℃条件下试验水压≥1.5MPA，保压5分钟，产品无渗漏；经密封试验，在水温20℃条件下试验水压≥1.1MPA，保压2分钟，产品无渗漏。</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付</w:t>
            </w:r>
            <w:r/>
          </w:p>
        </w:tc>
      </w:tr>
      <w:tr>
        <w:trPr>
          <w:trHeight w:val="16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功能柱</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结构参数：注塑模具一体化成型，四角圆弧造型，上桶整体注塑成型，前后带检修门板，分上下二节设计，底脚两侧带与地面带安装孔构建，内部隐藏实验线管及通风管道，上下桶二节无螺丝拼接而成，整体双色，耐摔坚固耐酸耐碱。</w:t>
            </w:r>
            <w:r>
              <w:rPr>
                <w:rFonts w:hint="eastAsia" w:ascii="仿宋" w:hAnsi="仿宋" w:eastAsia="仿宋" w:cs="仿宋"/>
                <w:sz w:val="24"/>
                <w:szCs w:val="24"/>
                <w:lang w:bidi="ar"/>
              </w:rPr>
              <w:br/>
              <w:t xml:space="preserve">2、技术参数：整体规格≥360×180×730㎜，材料采用实验室专用PP材质，侧面无缝无需螺丝安装。壁厚≥2.5MM下桶与主桶拼接处缩进凹槽，上桶两侧设有凹凸条纹加强筋增强耐用性能，上桶与下桶卡入式安装连接，可自由拆装，方便设备检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140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学生智能安全实验电源</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1、每两个学生中间，配备手动翻转式防尘结构的电源盒，面板采用阻燃ABS制作，选用进口PC贴膜，美观耐用。使用时翻出。使用完毕按回原位。接受教师演示台送来的交流电源。</w:t>
            </w:r>
            <w:r>
              <w:rPr>
                <w:rFonts w:hint="eastAsia" w:ascii="仿宋" w:hAnsi="仿宋" w:eastAsia="仿宋" w:cs="仿宋"/>
                <w:sz w:val="24"/>
                <w:szCs w:val="24"/>
                <w:lang w:bidi="ar"/>
              </w:rPr>
              <w:br/>
              <w:t xml:space="preserve">2、低压交直流电源：交直流0-24每2V一档由教师统一调节控制，出。（短路、过载自动保护、自动复位。</w:t>
            </w:r>
            <w:r>
              <w:rPr>
                <w:rFonts w:hint="eastAsia" w:ascii="仿宋" w:hAnsi="仿宋" w:eastAsia="仿宋" w:cs="仿宋"/>
                <w:sz w:val="24"/>
                <w:szCs w:val="24"/>
                <w:lang w:bidi="ar"/>
              </w:rPr>
              <w:br/>
              <w:t xml:space="preserve">3、交流电源：每台配备220V交流输出电源，电源全部由教师台控制。</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风机配件</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φ≥400*1000mm,PP材质，内置隔音棉等隔音装置，确保通风室外噪音小于50分贝。</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风机控制变频器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采用电流无感矢量控制，型号：VCD1000E4T0055B（380V/5.5KW），额定电压：AC3PH380V+15%，频率：50-60HZ。</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112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排风</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1.主通风管规格：φ≥160mm/200mm，优质PVC成品管道；</w:t>
            </w:r>
            <w:r>
              <w:rPr>
                <w:rFonts w:hint="eastAsia" w:ascii="仿宋" w:hAnsi="仿宋" w:eastAsia="仿宋" w:cs="仿宋"/>
                <w:sz w:val="24"/>
                <w:szCs w:val="24"/>
                <w:lang w:bidi="ar"/>
              </w:rPr>
              <w:br/>
              <w:t xml:space="preserve">2.支管道规格：φ≥110mm/160mm，优质PVC成品管道；</w:t>
            </w:r>
            <w:r>
              <w:rPr>
                <w:rFonts w:hint="eastAsia" w:ascii="仿宋" w:hAnsi="仿宋" w:eastAsia="仿宋" w:cs="仿宋"/>
                <w:sz w:val="24"/>
                <w:szCs w:val="24"/>
                <w:lang w:bidi="ar"/>
              </w:rPr>
              <w:br/>
              <w:t xml:space="preserve">3.管道配件：管道三通、弯头、变径、直接；</w:t>
            </w:r>
            <w:r>
              <w:rPr>
                <w:rFonts w:hint="eastAsia" w:ascii="仿宋" w:hAnsi="仿宋" w:eastAsia="仿宋" w:cs="仿宋"/>
                <w:sz w:val="24"/>
                <w:szCs w:val="24"/>
                <w:lang w:bidi="ar"/>
              </w:rPr>
              <w:br/>
              <w:t xml:space="preserve">（实际管径视现场情况可适当调整）</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墙面乳胶漆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1，原墙面破损拆除、打磨</w:t>
            </w:r>
            <w:r>
              <w:rPr>
                <w:rFonts w:hint="eastAsia" w:ascii="仿宋" w:hAnsi="仿宋" w:eastAsia="仿宋" w:cs="仿宋"/>
                <w:sz w:val="24"/>
                <w:szCs w:val="24"/>
                <w:lang w:bidi="ar"/>
              </w:rPr>
              <w:br/>
              <w:t xml:space="preserve">2，2遍腻子，2遍防霉乳胶漆；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间</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防火木门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定制防火木门；</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樘</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护眼灯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宋体"/>
                <w:sz w:val="24"/>
                <w:szCs w:val="24"/>
              </w:rPr>
              <w:t xml:space="preserve">48W教室护眼灯</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地面处理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自流平，约90平方</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监控</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color w:val="ee0000"/>
                <w:sz w:val="24"/>
                <w:szCs w:val="24"/>
                <w:lang w:bidi="ar"/>
              </w:rPr>
              <w:t xml:space="preserve">生物实验室1</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学生实验桌</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电源总控台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实验椅</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靠背及下座采用高密度网布格，阻燃、舒适、回弹性好。面料为优质网布格.依照人体工程学设计，线条流畅，美观大方，骨架钢管电镀，气动升降。</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学生实验凳</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条</w:t>
            </w:r>
            <w:r/>
          </w:p>
        </w:tc>
      </w:tr>
      <w:tr>
        <w:trPr>
          <w:trHeight w:val="252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台式单口紧急洗眼器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手持式洗眼器符合人体工程学设计，容易安装在台面或墙壁上，自锁结构能轻松实现离手操作。洗眼器采用单口气泡式出水莲蓬头设计，安装于台面上，莲蓬头外罩橡胶软质护盖，以避免紧急使用时瞬间接触眼部时造成碰撞二次伤害，护杯罩口具PP防尘盖平常可防尘，使用时可随时被水冲开，并降低突然打开时短暂的高水压，防止冲伤眼睛，防尘盖具有链条与护杯连接防止脱落。</w:t>
            </w:r>
            <w:r>
              <w:rPr>
                <w:rFonts w:hint="eastAsia" w:ascii="仿宋" w:hAnsi="仿宋" w:eastAsia="仿宋" w:cs="仿宋"/>
                <w:sz w:val="24"/>
                <w:szCs w:val="24"/>
                <w:lang w:bidi="ar"/>
              </w:rPr>
              <w:br/>
              <w:t xml:space="preserve">1.主体材质为优质铜材，金属表面经环氧树脂粉末静电喷涂，具有较强防腐蚀、耐酸碱性能。</w:t>
            </w:r>
            <w:r>
              <w:rPr>
                <w:rFonts w:hint="eastAsia" w:ascii="仿宋" w:hAnsi="仿宋" w:eastAsia="仿宋" w:cs="仿宋"/>
                <w:sz w:val="24"/>
                <w:szCs w:val="24"/>
                <w:lang w:bidi="ar"/>
              </w:rPr>
              <w:br/>
              <w:t xml:space="preserve">2.喷头采用优质铜材，环氧树脂涂层外加硅胶软质橡胶，出水经缓压处理呈泡沫状水柱，防止二次伤害眼睛。标准水压下，洗眼开关能在1秒内开启，15分钟内洗眼喷头流量不低于6升/分钟。</w:t>
            </w:r>
            <w:r>
              <w:rPr>
                <w:rFonts w:hint="eastAsia" w:ascii="仿宋" w:hAnsi="仿宋" w:eastAsia="仿宋" w:cs="仿宋"/>
                <w:sz w:val="24"/>
                <w:szCs w:val="24"/>
                <w:lang w:bidi="ar"/>
              </w:rPr>
              <w:br/>
              <w:t xml:space="preserve">3.洗眼器经压力试验，在水温20℃条件下试验水压≥1.5MPA，保压5分钟，产品无渗漏；经密封试验，在水温20℃条件下试验水压≥1.1MPA，保压2分钟，产品无渗漏。</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付</w:t>
            </w:r>
            <w:r/>
          </w:p>
        </w:tc>
      </w:tr>
      <w:tr>
        <w:trPr>
          <w:trHeight w:val="84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三联“L”型化验水嘴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付</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学生安全实验电源</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电  源：翻盖防尘结构电源盒，面板采用阻燃ABS制作，选用进口PC贴膜，美观耐用。接收教师送来220V/2A交流电，有隐蔽式指示灯做输出指示。配阻然五孔插座输出，并设有独立开关及保险座。</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16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功能柱</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结构参数：注塑模具一体化成型，四角圆弧造型，上桶整体注塑成型，前后带检修门板，分上下二节设计，底脚两侧带与地面带安装孔构建，内部隐藏实验线管及通风管道，上下桶二节无螺丝拼接而成，整体双色，耐摔坚固耐酸耐碱。</w:t>
            </w:r>
            <w:r>
              <w:rPr>
                <w:rFonts w:hint="eastAsia" w:ascii="仿宋" w:hAnsi="仿宋" w:eastAsia="仿宋" w:cs="仿宋"/>
                <w:sz w:val="24"/>
                <w:szCs w:val="24"/>
                <w:lang w:bidi="ar"/>
              </w:rPr>
              <w:br/>
              <w:t xml:space="preserve">2、技术参数：整体规格≥360×180×730㎜，材料采用实验室专用PP材质，侧面无缝无需螺丝安装。壁厚≥2.5MM下桶与主桶拼接处缩进凹槽，上桶两侧设有凹凸条纹加强筋增强耐用性能，上桶与下桶卡入式安装连接，可自由拆装，方便设备检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墙面乳胶漆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1，原墙面破损拆除、打磨</w:t>
            </w:r>
            <w:r>
              <w:rPr>
                <w:rFonts w:hint="eastAsia" w:ascii="仿宋" w:hAnsi="仿宋" w:eastAsia="仿宋" w:cs="仿宋"/>
                <w:sz w:val="24"/>
                <w:szCs w:val="24"/>
                <w:lang w:bidi="ar"/>
              </w:rPr>
              <w:br/>
              <w:t xml:space="preserve">2，2遍腻子，2遍防霉乳胶漆；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间</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防火木门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定制防火木门</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樘</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护眼灯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宋体"/>
                <w:sz w:val="24"/>
                <w:szCs w:val="24"/>
              </w:rPr>
              <w:t xml:space="preserve">48W教室护眼灯</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监控摄像头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color w:val="ee0000"/>
                <w:sz w:val="24"/>
                <w:szCs w:val="24"/>
                <w:lang w:bidi="ar"/>
              </w:rPr>
              <w:t xml:space="preserve">生物实验室2</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教师演示台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学生实验桌</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电源总控台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实验椅</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靠背及下座采用高密度网布格，阻燃、舒适、回弹性好。面料为优质网布格.依照人体工程学设计，线条流畅，美观大方，骨架钢管电镀，气动升降。</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张</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多功能水槽台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学生实验凳</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条</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校园超融合数智平台</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集中控制管理软件</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52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台式单口紧急洗眼器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手持式洗眼器符合人体工程学设计，容易安装在台面或墙壁上，自锁结构能轻松实现离手操作。洗眼器采用单口气泡式出水莲蓬头设计，安装于台面上，莲蓬头外罩橡胶软质护盖，以避免紧急使用时瞬间接触眼部时造成碰撞二次伤害，护杯罩口具PP防尘盖平常可防尘，使用时可随时被水冲开，并降低突然打开时短暂的高水压，防止冲伤眼睛，防尘盖具有链条与护杯连接防止脱落。</w:t>
            </w:r>
            <w:r>
              <w:rPr>
                <w:rFonts w:hint="eastAsia" w:ascii="仿宋" w:hAnsi="仿宋" w:eastAsia="仿宋" w:cs="仿宋"/>
                <w:sz w:val="24"/>
                <w:szCs w:val="24"/>
                <w:lang w:bidi="ar"/>
              </w:rPr>
              <w:br/>
              <w:t xml:space="preserve">1.主体材质为优质铜材，金属表面经环氧树脂粉末静电喷涂，具有较强防腐蚀、耐酸碱性能。</w:t>
            </w:r>
            <w:r>
              <w:rPr>
                <w:rFonts w:hint="eastAsia" w:ascii="仿宋" w:hAnsi="仿宋" w:eastAsia="仿宋" w:cs="仿宋"/>
                <w:sz w:val="24"/>
                <w:szCs w:val="24"/>
                <w:lang w:bidi="ar"/>
              </w:rPr>
              <w:br/>
              <w:t xml:space="preserve">2.喷头采用优质铜材，环氧树脂涂层外加硅胶软质橡胶，出水经缓压处理呈泡沫状水柱，防止二次伤害眼睛。标准水压下，洗眼开关能在1秒内开启，15分钟内洗眼喷头流量不低于6升/分钟。</w:t>
            </w:r>
            <w:r>
              <w:rPr>
                <w:rFonts w:hint="eastAsia" w:ascii="仿宋" w:hAnsi="仿宋" w:eastAsia="仿宋" w:cs="仿宋"/>
                <w:sz w:val="24"/>
                <w:szCs w:val="24"/>
                <w:lang w:bidi="ar"/>
              </w:rPr>
              <w:br/>
              <w:t xml:space="preserve">3.洗眼器经压力试验，在水温20℃条件下试验水压≥1.5MPA，保压5分钟，产品无渗漏；经密封试验，在水温20℃条件下试验水压≥1.1MPA，保压2分钟，产品无渗漏。</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付</w:t>
            </w:r>
            <w:r/>
          </w:p>
        </w:tc>
      </w:tr>
      <w:tr>
        <w:trPr>
          <w:trHeight w:val="84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三联“L”型化验水嘴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鹅颈式实验室专用优质化验水嘴：要求防酸碱、防锈、防虹吸、防阻塞，表面环氧树脂喷涂。出水嘴为铜质瓷芯，高头，便于多用途使用，可拆卸清洗阻塞。出水嘴可拆卸，内有成型螺纹，可方便连接循环等特殊用水水管。</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付</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学生安全实验电源</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电  源：翻盖防尘结构电源盒，面板采用阻燃ABS制作，选用进口PC贴膜，美观耐用。接收教师送来220V/2A交流电，有隐蔽式指示灯做输出指示。配阻然五孔插座输出，并设有独立开关及保险座。</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16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功能柱</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结构参数：注塑模具一体化成型，四角圆弧造型，上桶整体注塑成型，前后带检修门板，分上下二节设计，底脚两侧带与地面带安装孔构建，内部隐藏实验线管及通风管道，上下桶二节无螺丝拼接而成，整体双色，耐摔坚固耐酸耐碱。</w:t>
            </w:r>
            <w:r>
              <w:rPr>
                <w:rFonts w:hint="eastAsia" w:ascii="仿宋" w:hAnsi="仿宋" w:eastAsia="仿宋" w:cs="仿宋"/>
                <w:sz w:val="24"/>
                <w:szCs w:val="24"/>
                <w:lang w:bidi="ar"/>
              </w:rPr>
              <w:br/>
              <w:t xml:space="preserve">2、技术参数：整体规格≥360×180×730㎜，材料采用实验室专用PP材质，侧面无缝无需螺丝安装。壁厚≥2.5MM下桶与主桶拼接处缩进凹槽，上桶两侧设有凹凸条纹加强筋增强耐用性能，上桶与下桶卡入式安装连接，可自由拆装，方便设备检修。</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墙面乳胶漆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1，原墙面破损拆除、打磨</w:t>
            </w:r>
            <w:r>
              <w:rPr>
                <w:rFonts w:hint="eastAsia" w:ascii="仿宋" w:hAnsi="仿宋" w:eastAsia="仿宋" w:cs="仿宋"/>
                <w:sz w:val="24"/>
                <w:szCs w:val="24"/>
                <w:lang w:bidi="ar"/>
              </w:rPr>
              <w:br/>
              <w:t xml:space="preserve">2，2遍腻子，2遍防霉乳胶漆；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间</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防火木门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定制防火木门</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樘</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护眼灯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w:t>
            </w:r>
            <w:r>
              <w:rPr>
                <w:rFonts w:ascii="仿宋" w:hAnsi="仿宋" w:eastAsia="仿宋" w:cs="宋体"/>
                <w:sz w:val="24"/>
                <w:szCs w:val="24"/>
              </w:rPr>
              <w:t xml:space="preserve">48W教室护眼灯</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个</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交换机</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监控摄像头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color w:val="ee0000"/>
                <w:sz w:val="24"/>
                <w:szCs w:val="24"/>
                <w:lang w:bidi="ar"/>
              </w:rPr>
              <w:t xml:space="preserve">危化品室</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墙面乳胶漆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lang w:bidi="ar"/>
              </w:rPr>
              <w:t xml:space="preserve">1，原墙面破损拆除、打磨</w:t>
            </w:r>
            <w:r>
              <w:rPr>
                <w:rFonts w:hint="eastAsia" w:ascii="仿宋" w:hAnsi="仿宋" w:eastAsia="仿宋" w:cs="仿宋"/>
                <w:sz w:val="24"/>
                <w:szCs w:val="24"/>
                <w:lang w:bidi="ar"/>
              </w:rPr>
              <w:br/>
              <w:t xml:space="preserve">2，2遍腻子，2遍防霉乳胶漆；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间</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防爆监控摄像头</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详见技术参数要求</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危化品室网络线路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六类网线</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双头防爆应急灯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额定功率:≥6W额定电压:AC220V;防护等级不低于IP66</w:t>
            </w:r>
            <w:r>
              <w:rPr>
                <w:rFonts w:hint="eastAsia" w:ascii="仿宋" w:hAnsi="仿宋" w:eastAsia="仿宋" w:cs="仿宋"/>
                <w:sz w:val="24"/>
                <w:szCs w:val="24"/>
                <w:lang w:bidi="ar"/>
              </w:rPr>
              <w:br/>
              <w:t xml:space="preserve">防腐等级不低于WF2 </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LED防爆灯</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额定功率:≥50W额定电压:AC220V防护等级不低于IP66</w:t>
            </w:r>
            <w:r/>
          </w:p>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防腐等级不低于WF2          </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56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防爆开关</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额定电压/电流:AC220V/10A</w:t>
            </w:r>
            <w:r>
              <w:rPr>
                <w:rFonts w:hint="eastAsia" w:ascii="仿宋" w:hAnsi="仿宋" w:eastAsia="仿宋" w:cs="仿宋"/>
                <w:sz w:val="24"/>
                <w:szCs w:val="24"/>
                <w:lang w:bidi="ar"/>
              </w:rPr>
              <w:br/>
              <w:t xml:space="preserve">防护等级:IP66防腐等级:WF2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84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防爆插销</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额定电压/电流:AC250V/16A</w:t>
            </w:r>
            <w:r>
              <w:rPr>
                <w:rFonts w:hint="eastAsia" w:ascii="仿宋" w:hAnsi="仿宋" w:eastAsia="仿宋" w:cs="仿宋"/>
                <w:sz w:val="24"/>
                <w:szCs w:val="24"/>
                <w:lang w:bidi="ar"/>
              </w:rPr>
              <w:br/>
              <w:t xml:space="preserve">防护等级不低于IP65</w:t>
            </w:r>
            <w:r>
              <w:rPr>
                <w:rFonts w:hint="eastAsia" w:ascii="仿宋" w:hAnsi="仿宋" w:eastAsia="仿宋" w:cs="仿宋"/>
                <w:sz w:val="24"/>
                <w:szCs w:val="24"/>
                <w:lang w:bidi="ar"/>
              </w:rPr>
              <w:br/>
              <w:t xml:space="preserve">防腐等级不低于WF2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套</w:t>
            </w:r>
            <w:r/>
          </w:p>
        </w:tc>
      </w:tr>
      <w:tr>
        <w:trPr>
          <w:trHeight w:val="84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供电系统</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1、密闭型三联单控开关（250V  10A）</w:t>
            </w:r>
            <w:r>
              <w:rPr>
                <w:rFonts w:hint="eastAsia" w:ascii="仿宋" w:hAnsi="仿宋" w:eastAsia="仿宋" w:cs="仿宋"/>
                <w:sz w:val="24"/>
                <w:szCs w:val="24"/>
                <w:lang w:bidi="ar"/>
              </w:rPr>
              <w:br/>
              <w:t xml:space="preserve">2、防爆型二、三极插座（250V  10A  白色）</w:t>
            </w:r>
            <w:r>
              <w:rPr>
                <w:rFonts w:hint="eastAsia" w:ascii="仿宋" w:hAnsi="仿宋" w:eastAsia="仿宋" w:cs="仿宋"/>
                <w:sz w:val="24"/>
                <w:szCs w:val="24"/>
                <w:lang w:bidi="ar"/>
              </w:rPr>
              <w:br/>
              <w:t xml:space="preserve">3、管槽配线：ZC-BV-2.5mm2/配线ZC-BV-4mm2/配线WDZC-BYJ-4mm2/信号线RVVP3*1.0mm2</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甲级防盗门</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甲级防盗门尺寸定制</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樘</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不锈钢防盗窗</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304不锈钢，约4平方</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排风扇</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防爆排风扇</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台</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安全警示标志</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安全警示标志、警示带（危化品库防水PVC安全标识）</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项</w:t>
            </w:r>
            <w:r/>
          </w:p>
        </w:tc>
      </w:tr>
      <w:tr>
        <w:trPr>
          <w:trHeight w:val="280"/>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692"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地面处理</w:t>
            </w:r>
            <w:r/>
          </w:p>
        </w:tc>
        <w:tc>
          <w:tcPr>
            <w:tcBorders>
              <w:top w:val="single" w:color="000000" w:sz="4" w:space="0"/>
              <w:left w:val="single" w:color="000000" w:sz="4" w:space="0"/>
              <w:bottom w:val="single" w:color="000000" w:sz="4" w:space="0"/>
              <w:right w:val="single" w:color="000000" w:sz="4" w:space="0"/>
            </w:tcBorders>
            <w:tcW w:w="3120" w:type="pct"/>
            <w:vAlign w:val="center"/>
            <w:textDirection w:val="lrTb"/>
            <w:noWrap w:val="false"/>
          </w:tcPr>
          <w:p>
            <w:pPr>
              <w:widowControl/>
              <w:rPr>
                <w:rFonts w:hint="eastAsia" w:ascii="仿宋" w:hAnsi="仿宋" w:eastAsia="仿宋" w:cs="仿宋"/>
                <w:sz w:val="24"/>
                <w:szCs w:val="24"/>
              </w:rPr>
            </w:pPr>
            <w:r>
              <w:rPr>
                <w:rFonts w:hint="eastAsia" w:ascii="仿宋" w:hAnsi="仿宋" w:eastAsia="仿宋" w:cs="仿宋"/>
                <w:sz w:val="24"/>
                <w:szCs w:val="24"/>
                <w:lang w:bidi="ar"/>
              </w:rPr>
              <w:t xml:space="preserve">自流平，约30平方</w:t>
            </w:r>
            <w:r/>
          </w:p>
        </w:tc>
        <w:tc>
          <w:tcPr>
            <w:tcBorders>
              <w:top w:val="single" w:color="000000" w:sz="4" w:space="0"/>
              <w:left w:val="single" w:color="000000" w:sz="4" w:space="0"/>
              <w:bottom w:val="single" w:color="000000" w:sz="4" w:space="0"/>
              <w:right w:val="single" w:color="000000" w:sz="4" w:space="0"/>
            </w:tcBorders>
            <w:tcW w:w="35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项</w:t>
            </w:r>
            <w:r/>
          </w:p>
        </w:tc>
      </w:tr>
    </w:tbl>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二、技术参数</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（一）教师演示台（物理普通实验室1、物理普通实验室2、物理普通实验室3、化学上通风实验室1、化学上通风实验室2、生物实验室1、生物实验室2）</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1.规格：≥2400×700×850mm</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2.★台面：采用≥25mm厚金属树脂高能理化板，且满足如下参数要求：</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（1）化学性能检测：台面依据GB/T 17657-2022 《人造板及饰面人造板理化性能试验方法》标准，耐污染性能不少于130项试验污染物的检测，且包含：98%硫酸、65%硝酸、40%氢氧化钠、37%盐酸、石脑油、苯酚等试剂，覆盖玻璃盖板和未覆盖玻璃盖板检验结果均为5级：无明显变化。</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（2）物理性能检测：台面依据GB/T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gt;4级;漆膜附着力：六级：切割边缘完全平滑，网格内无脱落等不低于16项检测。</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3）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（4）防霉性能检测：台面依据JC/T2039-2010标准，满足：黑曲霉、土曲霉、球毛壳霉、宛氏拟青霉、绳状青霉、出芽短梗霉等不少于10种的霉菌检测，且防霉等级为0级。</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（5）燃烧性能检测：台面依据GB/T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（6）抗老化性检测：台面依据GB/T24508-2020标准：48小时无开裂、无鼓泡、无粉化。</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★以上（1）-（6）投标人或产品制造商需提供有效期内第三方权威机构出具的检测报告原件扫描件。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3.结构：全钢独立柜体结构，无需安装；演示台设有储物柜，中间为演示台，设置电源主控系统、多媒体设备（主机、显示器、中控、功放、交换机）的位置预留。</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4.柜身主体背板、吊板及所有板材均采用采用1.0优质一级冷轧钢板（SPCCT）经CNC机压成型，满焊无缝焊接工艺，表面经磷化、环氧树脂静电粉末涂装处理。</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5.柜门：双包结构。</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6.门铰：采用锌合金铰链。自闭式，与柜体面水平角度&lt;15度时，柜门即可自行关闭，使用过程中无噪音，可开关十万次。0</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7.滑轨：三节静音滑轨，承重性强、滑动性能良好、无噪音开合十万次不变形。</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8.拉手：一字内隐藏拉手，与门板抽屉连为一体，造型独特美观。</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9.脚垫：ABS注塑专用垫，具有高度可调、耐磨、防潮、耐腐蚀等特点。</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10.抽屉下垂度≤20，抽屉摆动度≤15；</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11.金属喷漆（塑）涂层理化性能：硬度：≥H,冲击强度：冲击高度400MM，无剥落、裂纹、皱纹；耐腐蚀：100h后，无锈迹、剥落、起皱、变色和失光等现象；</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（二）学生实验桌（物理普通实验室1、物理普通实验室2、物理普通实验室3、化学上通风实验室1、化学上通风实验室2、生物实验室1、生物实验室2）</w:t>
      </w:r>
      <w:r/>
    </w:p>
    <w:p>
      <w:pPr>
        <w:widowControl/>
        <w:rPr>
          <w:rFonts w:hint="eastAsia" w:ascii="仿宋" w:hAnsi="仿宋" w:eastAsia="仿宋" w:cs="仿宋"/>
          <w:sz w:val="24"/>
          <w:szCs w:val="24"/>
        </w:rPr>
      </w:pPr>
      <w:r>
        <w:rPr>
          <w:rFonts w:hint="eastAsia" w:ascii="仿宋" w:hAnsi="仿宋" w:eastAsia="仿宋" w:cs="仿宋"/>
          <w:sz w:val="24"/>
          <w:szCs w:val="24"/>
        </w:rPr>
        <w:t xml:space="preserve">1、规格：≥1200*600*780</w:t>
      </w:r>
      <w:r/>
    </w:p>
    <w:p>
      <w:pPr>
        <w:widowControl/>
        <w:rPr>
          <w:rFonts w:hint="eastAsia" w:ascii="仿宋" w:hAnsi="仿宋" w:eastAsia="仿宋" w:cs="仿宋"/>
          <w:sz w:val="24"/>
          <w:szCs w:val="24"/>
        </w:rPr>
      </w:pPr>
      <w:r>
        <w:rPr>
          <w:rFonts w:hint="eastAsia" w:ascii="仿宋" w:hAnsi="仿宋" w:eastAsia="仿宋" w:cs="仿宋"/>
          <w:sz w:val="24"/>
          <w:szCs w:val="24"/>
        </w:rPr>
        <w:t xml:space="preserve">★2、采用≥20mm厚无甲醛新型环保陶瓷台面，台面表面为实验室专业耐腐蚀、耐污染、抗冲击釉面。坯体一体实芯，釉面和坯体经高温一体烧结而成。</w:t>
      </w:r>
      <w:r/>
    </w:p>
    <w:p>
      <w:pPr>
        <w:widowControl/>
        <w:rPr>
          <w:rFonts w:hint="eastAsia" w:ascii="仿宋" w:hAnsi="仿宋" w:eastAsia="仿宋" w:cs="仿宋"/>
          <w:sz w:val="24"/>
          <w:szCs w:val="24"/>
        </w:rPr>
      </w:pPr>
      <w:r>
        <w:rPr>
          <w:rFonts w:hint="eastAsia" w:ascii="仿宋" w:hAnsi="仿宋" w:eastAsia="仿宋" w:cs="仿宋"/>
          <w:sz w:val="24"/>
          <w:szCs w:val="24"/>
        </w:rPr>
        <w:t xml:space="preserve">(1)外观要求：外观为五面坯体，表面釉面为烧成颜色；坯体敲碎后，无空洞、无直径2mm以上气泡、无杂色，为一体实芯坯体；釉面与坯体之间无脱层，釉面与坯体呈一体结构，釉面为烧成颜色，非坯体颜色。</w:t>
      </w:r>
      <w:r/>
    </w:p>
    <w:p>
      <w:pPr>
        <w:widowControl/>
        <w:rPr>
          <w:rFonts w:hint="eastAsia" w:ascii="仿宋" w:hAnsi="仿宋" w:eastAsia="仿宋" w:cs="仿宋"/>
          <w:sz w:val="24"/>
          <w:szCs w:val="24"/>
        </w:rPr>
      </w:pPr>
      <w:r>
        <w:rPr>
          <w:rFonts w:hint="eastAsia" w:ascii="仿宋" w:hAnsi="仿宋" w:eastAsia="仿宋" w:cs="仿宋"/>
          <w:sz w:val="24"/>
          <w:szCs w:val="24"/>
        </w:rPr>
        <w:t xml:space="preserve">(2)耐化学腐蚀性能：为保证台面耐化学腐蚀的稳定性，台面耐化学腐蚀性不低于GLA级。</w:t>
      </w:r>
      <w:r/>
    </w:p>
    <w:p>
      <w:pPr>
        <w:widowControl/>
        <w:rPr>
          <w:rFonts w:hint="eastAsia" w:ascii="仿宋" w:hAnsi="仿宋" w:eastAsia="仿宋" w:cs="仿宋"/>
          <w:sz w:val="24"/>
          <w:szCs w:val="24"/>
        </w:rPr>
      </w:pPr>
      <w:r>
        <w:rPr>
          <w:rFonts w:hint="eastAsia" w:ascii="仿宋" w:hAnsi="仿宋" w:eastAsia="仿宋" w:cs="仿宋"/>
          <w:sz w:val="24"/>
          <w:szCs w:val="24"/>
        </w:rPr>
        <w:t xml:space="preserve">(3)、抗冲击性能：为保证台面使用的安全性，台面抗冲击性（恢复系数）不低于0.841。</w:t>
      </w:r>
      <w:r/>
    </w:p>
    <w:p>
      <w:pPr>
        <w:widowControl/>
        <w:rPr>
          <w:rFonts w:hint="eastAsia" w:ascii="仿宋" w:hAnsi="仿宋" w:eastAsia="仿宋" w:cs="仿宋"/>
          <w:sz w:val="24"/>
          <w:szCs w:val="24"/>
        </w:rPr>
      </w:pPr>
      <w:r>
        <w:rPr>
          <w:rFonts w:hint="eastAsia" w:ascii="仿宋" w:hAnsi="仿宋" w:eastAsia="仿宋" w:cs="仿宋"/>
          <w:sz w:val="24"/>
          <w:szCs w:val="24"/>
        </w:rPr>
        <w:t xml:space="preserve">(4)、防潮要求：为保证台面防潮、防霉的性能，参照GB/T4100-2015（陶瓷砖）附录G标准，台面吸水率测试平均值≤0.05％。</w:t>
      </w:r>
      <w:r/>
    </w:p>
    <w:p>
      <w:pPr>
        <w:widowControl/>
        <w:rPr>
          <w:rFonts w:hint="eastAsia" w:ascii="仿宋" w:hAnsi="仿宋" w:eastAsia="仿宋" w:cs="仿宋"/>
          <w:sz w:val="24"/>
          <w:szCs w:val="24"/>
        </w:rPr>
      </w:pPr>
      <w:r>
        <w:rPr>
          <w:rFonts w:hint="eastAsia" w:ascii="仿宋" w:hAnsi="仿宋" w:eastAsia="仿宋" w:cs="仿宋"/>
          <w:sz w:val="24"/>
          <w:szCs w:val="24"/>
        </w:rPr>
        <w:t xml:space="preserve">(5)、颜色稳定性：为保证台面的美观度，参照GB/T17657-2022标准,耐光色牢度不低于4级。</w:t>
      </w:r>
      <w:r/>
    </w:p>
    <w:p>
      <w:pPr>
        <w:widowControl/>
        <w:rPr>
          <w:rFonts w:hint="eastAsia" w:ascii="仿宋" w:hAnsi="仿宋" w:eastAsia="仿宋" w:cs="仿宋"/>
          <w:sz w:val="24"/>
          <w:szCs w:val="24"/>
        </w:rPr>
      </w:pPr>
      <w:r>
        <w:rPr>
          <w:rFonts w:hint="eastAsia" w:ascii="仿宋" w:hAnsi="仿宋" w:eastAsia="仿宋" w:cs="仿宋"/>
          <w:sz w:val="24"/>
          <w:szCs w:val="24"/>
        </w:rPr>
        <w:t xml:space="preserve">★以上（4）-（5）技术要求，投标人或产品制造商需提供有效期内第三方权威机构出具的检测报告原件扫描件。</w:t>
      </w:r>
      <w:r/>
    </w:p>
    <w:p>
      <w:pPr>
        <w:widowControl/>
        <w:rPr>
          <w:rFonts w:hint="eastAsia" w:ascii="仿宋" w:hAnsi="仿宋" w:eastAsia="仿宋" w:cs="仿宋"/>
          <w:sz w:val="24"/>
          <w:szCs w:val="24"/>
        </w:rPr>
      </w:pPr>
      <w:r>
        <w:rPr>
          <w:rFonts w:hint="eastAsia" w:ascii="仿宋" w:hAnsi="仿宋" w:eastAsia="仿宋" w:cs="仿宋"/>
          <w:sz w:val="24"/>
          <w:szCs w:val="24"/>
        </w:rPr>
        <w:t xml:space="preserve">3、台身结构：新型塑铝结构，学生位镂空式，符合人体工程学设计，美观大方。</w:t>
      </w:r>
      <w:r/>
    </w:p>
    <w:p>
      <w:pPr>
        <w:widowControl/>
        <w:rPr>
          <w:rFonts w:hint="eastAsia" w:ascii="仿宋" w:hAnsi="仿宋" w:eastAsia="仿宋" w:cs="仿宋"/>
          <w:sz w:val="24"/>
          <w:szCs w:val="24"/>
        </w:rPr>
      </w:pPr>
      <w:r>
        <w:rPr>
          <w:rFonts w:hint="eastAsia" w:ascii="仿宋" w:hAnsi="仿宋" w:eastAsia="仿宋" w:cs="仿宋"/>
          <w:sz w:val="24"/>
          <w:szCs w:val="24"/>
        </w:rPr>
        <w:t xml:space="preserve">桌身：由桌腿、立柱、大横梁、前横梁、中横梁、后横梁组成。</w:t>
      </w:r>
      <w:r/>
    </w:p>
    <w:p>
      <w:pPr>
        <w:widowControl/>
        <w:rPr>
          <w:rFonts w:hint="eastAsia" w:ascii="仿宋" w:hAnsi="仿宋" w:eastAsia="仿宋" w:cs="仿宋"/>
          <w:sz w:val="24"/>
          <w:szCs w:val="24"/>
        </w:rPr>
      </w:pPr>
      <w:r>
        <w:rPr>
          <w:rFonts w:hint="eastAsia" w:ascii="仿宋" w:hAnsi="仿宋" w:eastAsia="仿宋" w:cs="仿宋"/>
          <w:sz w:val="24"/>
          <w:szCs w:val="24"/>
        </w:rPr>
        <w:t xml:space="preserve">桌腿：采用工字型压铸铝一次成型，三段链接。</w:t>
      </w:r>
      <w:r/>
    </w:p>
    <w:p>
      <w:pPr>
        <w:widowControl/>
        <w:rPr>
          <w:rFonts w:hint="eastAsia" w:ascii="仿宋" w:hAnsi="仿宋" w:eastAsia="仿宋" w:cs="仿宋"/>
          <w:sz w:val="24"/>
          <w:szCs w:val="24"/>
        </w:rPr>
      </w:pPr>
      <w:r>
        <w:rPr>
          <w:rFonts w:hint="eastAsia" w:ascii="仿宋" w:hAnsi="仿宋" w:eastAsia="仿宋" w:cs="仿宋"/>
          <w:sz w:val="24"/>
          <w:szCs w:val="24"/>
        </w:rPr>
        <w:t xml:space="preserve">上腿规格：≥长590*宽55*高110mm，部分壁厚≥3.5mm，内侧设有凹槽。</w:t>
      </w:r>
      <w:r/>
    </w:p>
    <w:p>
      <w:pPr>
        <w:widowControl/>
        <w:rPr>
          <w:rFonts w:hint="eastAsia" w:ascii="仿宋" w:hAnsi="仿宋" w:eastAsia="仿宋" w:cs="仿宋"/>
          <w:sz w:val="24"/>
          <w:szCs w:val="24"/>
        </w:rPr>
      </w:pPr>
      <w:r>
        <w:rPr>
          <w:rFonts w:hint="eastAsia" w:ascii="仿宋" w:hAnsi="仿宋" w:eastAsia="仿宋" w:cs="仿宋"/>
          <w:sz w:val="24"/>
          <w:szCs w:val="24"/>
        </w:rPr>
        <w:t xml:space="preserve">下腿规格：≥长540*宽55*高105mm，部分壁厚≥3.5mm，下脚正面设有塑料卡盖，组装完成后更加美观。</w:t>
      </w:r>
      <w:r/>
    </w:p>
    <w:p>
      <w:pPr>
        <w:widowControl/>
        <w:rPr>
          <w:rFonts w:hint="eastAsia" w:ascii="仿宋" w:hAnsi="仿宋" w:eastAsia="仿宋" w:cs="仿宋"/>
          <w:sz w:val="24"/>
          <w:szCs w:val="24"/>
        </w:rPr>
      </w:pPr>
      <w:r>
        <w:rPr>
          <w:rFonts w:hint="eastAsia" w:ascii="仿宋" w:hAnsi="仿宋" w:eastAsia="仿宋" w:cs="仿宋"/>
          <w:sz w:val="24"/>
          <w:szCs w:val="24"/>
        </w:rPr>
        <w:t xml:space="preserve">立柱：采用≥120*55mm，壁厚≥2.0mm。立柱两端内部有2个铸铝成型的螺丝链接位。</w:t>
      </w:r>
      <w:r/>
    </w:p>
    <w:p>
      <w:pPr>
        <w:widowControl/>
        <w:rPr>
          <w:rFonts w:hint="eastAsia" w:ascii="仿宋" w:hAnsi="仿宋" w:eastAsia="仿宋" w:cs="仿宋"/>
          <w:sz w:val="24"/>
          <w:szCs w:val="24"/>
        </w:rPr>
      </w:pPr>
      <w:r>
        <w:rPr>
          <w:rFonts w:hint="eastAsia" w:ascii="仿宋" w:hAnsi="仿宋" w:eastAsia="仿宋" w:cs="仿宋"/>
          <w:sz w:val="24"/>
          <w:szCs w:val="24"/>
        </w:rPr>
        <w:t xml:space="preserve">前横梁：≥37*30mm，壁厚≥1.5mm。中横梁：≥40*30mm，壁厚≥1.5mm。</w:t>
      </w:r>
      <w:r/>
    </w:p>
    <w:p>
      <w:pPr>
        <w:widowControl/>
        <w:rPr>
          <w:rFonts w:hint="eastAsia" w:ascii="仿宋" w:hAnsi="仿宋" w:eastAsia="仿宋" w:cs="仿宋"/>
          <w:sz w:val="24"/>
          <w:szCs w:val="24"/>
        </w:rPr>
      </w:pPr>
      <w:r>
        <w:rPr>
          <w:rFonts w:hint="eastAsia" w:ascii="仿宋" w:hAnsi="仿宋" w:eastAsia="仿宋" w:cs="仿宋"/>
          <w:sz w:val="24"/>
          <w:szCs w:val="24"/>
        </w:rPr>
        <w:t xml:space="preserve">后横梁：≥37*30mm,壁厚≥1.5mm。后横梁上侧设50MM挡水板，防止物品滑落，挡水板两侧有塑料堵头圆角处理安全不刮伤。</w:t>
      </w:r>
      <w:r/>
    </w:p>
    <w:p>
      <w:pPr>
        <w:widowControl/>
        <w:rPr>
          <w:rFonts w:hint="eastAsia" w:ascii="仿宋" w:hAnsi="仿宋" w:eastAsia="仿宋" w:cs="仿宋"/>
          <w:sz w:val="24"/>
          <w:szCs w:val="24"/>
        </w:rPr>
      </w:pPr>
      <w:r>
        <w:rPr>
          <w:rFonts w:hint="eastAsia" w:ascii="仿宋" w:hAnsi="仿宋" w:eastAsia="仿宋" w:cs="仿宋"/>
          <w:sz w:val="24"/>
          <w:szCs w:val="24"/>
        </w:rPr>
        <w:t xml:space="preserve">加强横支撑件：采用≥60*30mm椭圆管，壁厚≥1.5mm。表面经高压静电喷涂环氧树脂防护层，耐酸碱，耐腐蚀处理。</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4、书包斗:≥420*260*155MM，采用环保型PP材料一次性注塑成型，上面设计有可悬挂凳子的圆形孔，镂空独特造型，简洁时尚。两个书包斗中间设有电源盒，方便使用。产品特点：零甲醛、零污染、易擦洗、耐老化、环保、回收率高。 </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（三）电源总控台（物理普通实验室1、物理普通实验室2、物理普通实验室3、化学上通风实验室1、化学上通风实验室2）</w:t>
      </w:r>
      <w:r/>
    </w:p>
    <w:p>
      <w:pPr>
        <w:ind w:firstLine="438"/>
        <w:widowControl/>
        <w:rPr>
          <w:rFonts w:hint="eastAsia" w:ascii="仿宋" w:hAnsi="仿宋" w:eastAsia="仿宋" w:cs="仿宋"/>
          <w:sz w:val="24"/>
          <w:szCs w:val="24"/>
        </w:rPr>
      </w:pPr>
      <w:r>
        <w:rPr>
          <w:rFonts w:hint="eastAsia" w:ascii="仿宋" w:hAnsi="仿宋" w:eastAsia="仿宋" w:cs="仿宋"/>
          <w:sz w:val="24"/>
          <w:szCs w:val="24"/>
        </w:rPr>
        <w:t xml:space="preserve">按教育行业标准电源主控台分为控制板和主机两部分，控制板采用机械抽屉式，控制显示屏采用7寸彩色液晶屏+触摸屏，人性化全触控界面，直观操作，显示多媒体教室图片、windows界面图片，画面清晰，在各个界面上显示时钟，主菜单分为4部分为：多媒体控制、学生低压控制、学生高压控</w:t>
      </w:r>
      <w:r>
        <w:rPr>
          <w:rFonts w:hint="eastAsia" w:ascii="仿宋" w:hAnsi="仿宋" w:eastAsia="仿宋" w:cs="仿宋"/>
          <w:sz w:val="24"/>
          <w:szCs w:val="24"/>
        </w:rPr>
        <w:t xml:space="preserve">制和操作使用说明书，便于操作；触摸屏输入功能指示、密码开机、定时关机，220V分四组控制学生电源，在获得权限后可任意修改密码和定时关机时间；具有多媒体设备控制和操作功能，满足多媒体教学需要；通过数字键盘可直接选取并控制学生低压交直流电源；交流低压输出0－30V，直流低压输出0－30V，直流高压输出240V-300V/100Ma，直流稳压输出0-18V/3A、18-30V/3A，教学部分交流低压输出0-18V/4A、18-30V/3A，通过数字键盘直接选择。短时间大电流输出9V/40A±10A（≤10S 自动</w:t>
      </w:r>
      <w:r>
        <w:rPr>
          <w:rFonts w:hint="eastAsia" w:ascii="仿宋" w:hAnsi="仿宋" w:eastAsia="仿宋" w:cs="仿宋"/>
          <w:sz w:val="24"/>
          <w:szCs w:val="24"/>
        </w:rPr>
        <w:t xml:space="preserve">关闭），直流9V 输出，每启动一次，输出时间为10 秒。交直流低压输出均设有过载保护。电源主控台需与教师演示台一体化。工作要求交流220V 电源通过变压器变压，供下述电源；</w:t>
      </w:r>
      <w:r/>
    </w:p>
    <w:p>
      <w:pPr>
        <w:widowControl/>
        <w:rPr>
          <w:rFonts w:hint="eastAsia" w:ascii="仿宋" w:hAnsi="仿宋" w:eastAsia="仿宋" w:cs="仿宋"/>
          <w:sz w:val="24"/>
          <w:szCs w:val="24"/>
        </w:rPr>
      </w:pPr>
      <w:r>
        <w:rPr>
          <w:rFonts w:hint="eastAsia" w:ascii="仿宋" w:hAnsi="仿宋" w:eastAsia="仿宋" w:cs="仿宋"/>
          <w:sz w:val="24"/>
          <w:szCs w:val="24"/>
        </w:rPr>
        <w:t xml:space="preserve">1、交流低压输出：由主机面板触摸屏选择，得到可变得交流低压，供教师和学生使用。</w:t>
      </w:r>
      <w:r/>
    </w:p>
    <w:p>
      <w:pPr>
        <w:widowControl/>
        <w:rPr>
          <w:rFonts w:hint="eastAsia" w:ascii="仿宋" w:hAnsi="仿宋" w:eastAsia="仿宋" w:cs="仿宋"/>
          <w:sz w:val="24"/>
          <w:szCs w:val="24"/>
        </w:rPr>
      </w:pPr>
      <w:r>
        <w:rPr>
          <w:rFonts w:hint="eastAsia" w:ascii="仿宋" w:hAnsi="仿宋" w:eastAsia="仿宋" w:cs="仿宋"/>
          <w:sz w:val="24"/>
          <w:szCs w:val="24"/>
        </w:rPr>
        <w:t xml:space="preserve">2、直流低压输出：由主机操作面触摸屏开关选择，供教师和学生使用。</w:t>
      </w:r>
      <w:r/>
    </w:p>
    <w:p>
      <w:pPr>
        <w:widowControl/>
        <w:rPr>
          <w:rFonts w:hint="eastAsia" w:ascii="仿宋" w:hAnsi="仿宋" w:eastAsia="仿宋" w:cs="仿宋"/>
          <w:sz w:val="24"/>
          <w:szCs w:val="24"/>
        </w:rPr>
      </w:pPr>
      <w:r>
        <w:rPr>
          <w:rFonts w:hint="eastAsia" w:ascii="仿宋" w:hAnsi="仿宋" w:eastAsia="仿宋" w:cs="仿宋"/>
          <w:sz w:val="24"/>
          <w:szCs w:val="24"/>
        </w:rPr>
        <w:t xml:space="preserve">3、直流9V、40A/8s 大电流短时输出：由主机触摸屏界面选择，经桥式电流后得到脉动的直流大电流。输出电流为40A ±10A，试验时，输出电流＞10A，工作时间在8S 自动关断。9V、40A/8S 电流仅供教师使用。</w:t>
      </w:r>
      <w:r/>
    </w:p>
    <w:p>
      <w:pPr>
        <w:widowControl/>
        <w:rPr>
          <w:rFonts w:hint="eastAsia" w:ascii="仿宋" w:hAnsi="仿宋" w:eastAsia="仿宋" w:cs="仿宋"/>
          <w:sz w:val="24"/>
          <w:szCs w:val="24"/>
        </w:rPr>
      </w:pPr>
      <w:r>
        <w:rPr>
          <w:rFonts w:hint="eastAsia" w:ascii="仿宋" w:hAnsi="仿宋" w:eastAsia="仿宋" w:cs="仿宋"/>
          <w:sz w:val="24"/>
          <w:szCs w:val="24"/>
        </w:rPr>
        <w:t xml:space="preserve">4、直流高压240V-300V 电压输出，由主机点击选择后输出孔直接送出，直流高压240V-300V 电压输出，电流为100mA。</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（四）电源总控台(生物实验室1、生物实验室2)</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l、漏电保护开关、工作指示灯选用国产优质产品、220V交流输出插座(二、三插座)取用国产优质产品；</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2、低压交流电源：0-30V可调(每档1V)，额定电流3A(短路、过载自动保护、自动复位)；轻触按键操作，数字键直接选取电压.数字表显示。</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3、直流稳压电源：1.5-18V连续可调，额定电流2A，18v—30v额定电流1.5A，调压分辨率为0.1V.(短路、过载自动保护、自动复位)；轻触按键操作，数字键直接选取电压.数字表显示。</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4、直流大电流输出：9V／40A；10秒自动断开。LED闪烁计时。</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5.由教师控制学生实验台交流220V电源，每组由轻触覆膜开关控制，共分四组。</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6.由教师统一控制学生实验台低压电源，交流每档2V,共15档。直流可以在控制范围内微调。根据选配的学生电源，教师机应具备锁定功能。锁定后学生不能自行调节，和教师保持同步。</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7.可扩展密码开机，刷卡开机、指纹开机等开机方式。确保用电安全，方便管理。</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8.主控面板配置风机控制，可控制风机的启停及矢量调速。</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（五）学生电源实验板(物理普通实验室1、物理普通实验室2、物理普通实验室3)</w:t>
      </w:r>
      <w:r/>
    </w:p>
    <w:p>
      <w:pPr>
        <w:widowControl/>
        <w:rPr>
          <w:rFonts w:hint="eastAsia" w:ascii="仿宋" w:hAnsi="仿宋" w:eastAsia="仿宋" w:cs="仿宋"/>
          <w:sz w:val="24"/>
          <w:szCs w:val="24"/>
        </w:rPr>
      </w:pPr>
      <w:r>
        <w:rPr>
          <w:rFonts w:hint="eastAsia" w:ascii="仿宋" w:hAnsi="仿宋" w:eastAsia="仿宋" w:cs="仿宋"/>
          <w:sz w:val="24"/>
          <w:szCs w:val="24"/>
        </w:rPr>
        <w:t xml:space="preserve">1.学生电源采用耐磨、耐腐蚀、耐高温（≤140℃）的PC亮光薄膜面板，学生电源的控制采用“电容式”触摸数字键盘，贴片元件生产技术，微电脑控制，采用1.54寸液晶显示电源学生交直流电压，</w:t>
      </w:r>
      <w:r/>
    </w:p>
    <w:p>
      <w:pPr>
        <w:widowControl/>
        <w:rPr>
          <w:rFonts w:hint="eastAsia" w:ascii="仿宋" w:hAnsi="仿宋" w:eastAsia="仿宋" w:cs="仿宋"/>
          <w:sz w:val="24"/>
          <w:szCs w:val="24"/>
        </w:rPr>
      </w:pPr>
      <w:r>
        <w:rPr>
          <w:rFonts w:hint="eastAsia" w:ascii="仿宋" w:hAnsi="仿宋" w:eastAsia="仿宋" w:cs="仿宋"/>
          <w:sz w:val="24"/>
          <w:szCs w:val="24"/>
        </w:rPr>
        <w:t xml:space="preserve">2. 学生交流电源通过数字键盘直接选取1～30V电压，最小调节单元可达1V,额定电流2A，具有过载保护智能检测功能（电流高于过载点则自动保护，电流低于过载点则自动恢复至设定值）；</w:t>
      </w:r>
      <w:r/>
    </w:p>
    <w:p>
      <w:pPr>
        <w:widowControl/>
        <w:rPr>
          <w:rFonts w:hint="eastAsia" w:ascii="仿宋" w:hAnsi="仿宋" w:eastAsia="仿宋" w:cs="仿宋"/>
          <w:sz w:val="24"/>
          <w:szCs w:val="24"/>
        </w:rPr>
      </w:pPr>
      <w:r>
        <w:rPr>
          <w:rFonts w:hint="eastAsia" w:ascii="仿宋" w:hAnsi="仿宋" w:eastAsia="仿宋" w:cs="仿宋"/>
          <w:sz w:val="24"/>
          <w:szCs w:val="24"/>
        </w:rPr>
        <w:t xml:space="preserve">3.学生直流电源也是通过数字键盘直接选取，调节范围为1.5～30V，分辨率可达0.1V,额定电流2A，亦具有过载保护智能检测功能（同上，略）；</w:t>
      </w:r>
      <w:r/>
    </w:p>
    <w:p>
      <w:pPr>
        <w:widowControl/>
        <w:rPr>
          <w:rFonts w:hint="eastAsia" w:ascii="仿宋" w:hAnsi="仿宋" w:eastAsia="仿宋" w:cs="仿宋"/>
          <w:sz w:val="24"/>
          <w:szCs w:val="24"/>
        </w:rPr>
      </w:pPr>
      <w:r>
        <w:rPr>
          <w:rFonts w:hint="eastAsia" w:ascii="仿宋" w:hAnsi="仿宋" w:eastAsia="仿宋" w:cs="仿宋"/>
          <w:sz w:val="24"/>
          <w:szCs w:val="24"/>
        </w:rPr>
        <w:t xml:space="preserve">4. 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p>
    <w:p>
      <w:pPr>
        <w:widowControl/>
        <w:rPr>
          <w:rFonts w:hint="eastAsia" w:ascii="仿宋" w:hAnsi="仿宋" w:eastAsia="仿宋" w:cs="仿宋"/>
          <w:sz w:val="24"/>
          <w:szCs w:val="24"/>
        </w:rPr>
      </w:pPr>
      <w:r>
        <w:rPr>
          <w:rFonts w:hint="eastAsia" w:ascii="仿宋" w:hAnsi="仿宋" w:eastAsia="仿宋" w:cs="仿宋"/>
          <w:sz w:val="24"/>
          <w:szCs w:val="24"/>
        </w:rPr>
        <w:t xml:space="preserve">5.两边分别配置：0.6-3A电流表2个、3-15V直流电压测试表2个、灵敏电流计测试表2个。还具有举手功能，当学生需要提问时，学生按举手时，教师主控应该有语音播报哪组哪桌。</w:t>
      </w:r>
      <w:r/>
    </w:p>
    <w:p>
      <w:pPr>
        <w:widowControl/>
        <w:rPr>
          <w:rFonts w:hint="eastAsia" w:ascii="仿宋" w:hAnsi="仿宋" w:eastAsia="仿宋" w:cs="仿宋"/>
          <w:sz w:val="24"/>
          <w:szCs w:val="24"/>
        </w:rPr>
      </w:pPr>
      <w:r>
        <w:rPr>
          <w:rFonts w:hint="eastAsia" w:ascii="仿宋" w:hAnsi="仿宋" w:eastAsia="仿宋" w:cs="仿宋"/>
          <w:sz w:val="24"/>
          <w:szCs w:val="24"/>
        </w:rPr>
        <w:t xml:space="preserve">6. 220V交流输出为新国标五孔插座，带过载保护；铝合金外框按放于桌面。</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（六）学生实验凳（物理普通实验室1、物理普通实验室2、物理普通实验室3、化学上通风实验室1、化学上通风实验室2、生物实验室1、生物实验室2）</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1.规格尺寸：≥Φ310mm×450mm。</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2.四爪升降凳，带固定器，及防脱落设计，整体美观结实，牢固耐用。</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3.凳面：采用ABS工程塑料一次性注塑成型，表面细纹咬花，防滑不发光。</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4.脚垫：采用优质PP材料一次注塑成型。</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5.脚钢架：椭圆形无缝钢管焊接而成，结构牢固，经高温粉体烤漆处理，长时间使用也不会产生表面烤漆剥落现象。</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6.凳面可通过旋转螺杆来升降凳子高度,可调高度不少于5cm。</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（七）交换机（物理普通实验室1、物理普通实验室2、物理普通实验室3、化学上通风实验室1、化学上通风实验室2、生物实验室1、生物实验室2）</w:t>
      </w:r>
      <w:r/>
    </w:p>
    <w:p>
      <w:pPr>
        <w:widowControl/>
        <w:rPr>
          <w:rFonts w:hint="eastAsia" w:ascii="仿宋" w:hAnsi="仿宋" w:eastAsia="仿宋" w:cs="仿宋"/>
          <w:sz w:val="24"/>
          <w:szCs w:val="24"/>
        </w:rPr>
      </w:pPr>
      <w:r>
        <w:rPr>
          <w:rFonts w:hint="eastAsia" w:ascii="仿宋" w:hAnsi="仿宋" w:eastAsia="仿宋" w:cs="仿宋"/>
          <w:sz w:val="24"/>
          <w:szCs w:val="24"/>
        </w:rPr>
        <w:t xml:space="preserve">配置：可用千兆电接口数量≥48，可用千兆光接口数量≥4</w:t>
      </w:r>
      <w:r/>
    </w:p>
    <w:p>
      <w:pPr>
        <w:widowControl/>
        <w:rPr>
          <w:rFonts w:hint="eastAsia" w:ascii="仿宋" w:hAnsi="仿宋" w:eastAsia="仿宋" w:cs="仿宋"/>
          <w:sz w:val="24"/>
          <w:szCs w:val="24"/>
        </w:rPr>
      </w:pPr>
      <w:r>
        <w:rPr>
          <w:rFonts w:hint="eastAsia" w:ascii="仿宋" w:hAnsi="仿宋" w:eastAsia="仿宋" w:cs="仿宋"/>
          <w:sz w:val="24"/>
          <w:szCs w:val="24"/>
        </w:rPr>
        <w:t xml:space="preserve">交换容量≥104 Gbps，转发性能≥77.38 Mpps</w:t>
      </w:r>
      <w:r/>
    </w:p>
    <w:p>
      <w:pPr>
        <w:widowControl/>
        <w:rPr>
          <w:rFonts w:hint="eastAsia" w:ascii="仿宋" w:hAnsi="仿宋" w:eastAsia="仿宋" w:cs="仿宋"/>
          <w:sz w:val="24"/>
          <w:szCs w:val="24"/>
        </w:rPr>
      </w:pPr>
      <w:r>
        <w:rPr>
          <w:rFonts w:hint="eastAsia" w:ascii="仿宋" w:hAnsi="仿宋" w:eastAsia="仿宋" w:cs="仿宋"/>
          <w:sz w:val="24"/>
          <w:szCs w:val="24"/>
        </w:rPr>
        <w:t xml:space="preserve">提供CQC认证证书</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支持VLAN、STP/RSTP、QoS、LLDP、DHCP Snooping等功能，支持终端安全防护</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支持SNMPv1/v2c协议，支持Web管理</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支持所有端口收、发方向限速，端口镜像，端口隔离</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支持通过管理平台，手机APP对交换机进行系统拓扑展示及管理，在网络拓扑中展示交换机详情，包括基本信息、性能使用信息、交换机面板状态、端口信息</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支持通过管理平台，手机APP对交换机进行远程控制、状态查看、远程升级和重启。</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★支持通过管理平台对交换机间不同的连接方式进行系统拓扑识别，包括网线连接、光纤连接、无线连接；通过管理平台展示链路详情，包括传输速率、链路两端设备信息和链路带宽告警；</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通过管理平台，手机APP在系统异常时实时推送交换机告警信息并展示告警内容；通过管理平台对交换机进行流量控制配置，防止数据在传输过程中丢失；通过管理平台对交换机进行链路聚合配置，可以把多个物理网口配置为一个逻辑端口进行数据传输（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（八）监控摄像头（物理普通实验室1、物理普通实验室2、物理普通实验室3、化学上通风实验室1、化学上通风实验室2、生物实验室1、生物实验室2）</w:t>
      </w:r>
      <w:r/>
    </w:p>
    <w:p>
      <w:pPr>
        <w:jc w:val="left"/>
        <w:widowControl/>
        <w:rPr>
          <w:rFonts w:hint="eastAsia" w:ascii="仿宋" w:hAnsi="仿宋" w:eastAsia="仿宋" w:cs="仿宋"/>
          <w:sz w:val="24"/>
          <w:szCs w:val="24"/>
        </w:rPr>
      </w:pP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400万全彩海螺型网络摄像机。</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在2560x1440@25fps下，码率设定为2Mbps，清晰度不小于1400TVL。</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内置1颗CPU、GPU、NPU于一体的芯片。</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补光灯灯杯采用双层透镜结构，外表平面为柔光层，采用复眼式微透镜阵列，具有六边形阵列纹路;下层束光层为鳞甲TIR透镜，内壁具有鳞甲阵列纹路；补光灯开启后，灯光应为椭圆形形状，且补光灯均匀无波纹状、圆环状、麻点状、条纹状和不规则亮斑。(投标人或产品制造商需提供有效期内第三方权威机构出具的检测报告原件扫描件)。</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开启补光灯，可识别距离样机30m处人体轮廓。</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具有日夜场景自适应功能，在白天和夜晚环境下，样机均可输出彩色图像，在夜晚自动开启补光灯条件下，夜晚图像清晰度应不低于白天图像清晰度的95%。</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具有AI-ISP图像质量提升功能，在低照度环境下，可自动调节预览场景视频画面中人脸、人体、车辆等目标及预览场景视频画面的区域曝光、亮度、色彩饱和度、对比度、锐度等。</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可通过IE浏览器设置码流套餐为画质优先、均衡模式、存储优先及自定义4种类型。</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当智能分析行为类型为移动侦测，报警目标设置为人形时，仅当检测场景中出现人形时触发报警，在设定区域内出现以下情况时，不触发报警：光线明暗变化、篮球滚动、狗行走、树摇晃、旗帜飘动、车辆。支持POE供电。</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符合IP67防尘防水设计，可靠性高。</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（九）多功能水槽台（化学上通风实验室1、化学上通风实验室2、生物实验室1、生物实验室2）</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水槽采用环保型PP材料一次性注塑成型，耐强酸碱&lt;80度有机溶剂并耐150度以下高温，壁厚</w:t>
      </w: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4mm，具有防溢出功能。水槽柜规格：</w:t>
      </w: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465*600*820mm；水槽后端高出水槽两侧50mm防止后排学生使用时水溅到前排学生身上。水槽柜为榫卯连接结构并合理布局加强筋，安装时不用胶水粘结，使用产品自身力量相互连接，产品不变形，不扭曲。柜子整体采用环保型ABS工程塑料一次性注塑成型，表面木纹与光面相结合处理。同时水槽柜底部为模具一体成型，加固水槽柜的强度。</w:t>
      </w:r>
      <w:r/>
    </w:p>
    <w:p>
      <w:pPr>
        <w:jc w:val="left"/>
        <w:widowControl/>
        <w:rPr>
          <w:rFonts w:hint="eastAsia" w:ascii="仿宋" w:hAnsi="仿宋" w:eastAsia="仿宋" w:cs="仿宋"/>
          <w:sz w:val="24"/>
          <w:szCs w:val="24"/>
        </w:rPr>
      </w:pPr>
      <w:r>
        <w:rPr>
          <w:rFonts w:hint="eastAsia" w:ascii="仿宋" w:hAnsi="仿宋" w:eastAsia="仿宋" w:cs="仿宋"/>
          <w:sz w:val="24"/>
          <w:szCs w:val="24"/>
        </w:rPr>
        <w:t xml:space="preserve">为保证产品质量，水槽柜必须符合以下技术参数及要求：</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★水槽柜整体依据GB/T32487-2016《塑料家具通用技术条件》检测标准，塑料件：耐冷热循环、硬度、稳定性测试结果合格。（投标人或产品制造商需提供有效期内第三方权威机构出具的检测报告原件扫描件。）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（十）校园超融合数智平台（生物实验室2）</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 整机屏幕采用不低于86英寸液晶显示器，分辨率不低于3840*2160，可视⻆度≥178°，采⽤LED液晶A规屏，显示⽐例16:9。</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2. ★整机采用红外触控技术，Windows系统和Android系统均支持≥50点触控及书写划线。（投标人或产品制造商需提供有效期内第三方权威机构出具的检测报告原件扫描件。）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3. 屏幕采⽤≤3mm钢化玻璃保护，表⾯硬度≥石墨硬度9H或莫氏硬度7级，透光率不低于91%，雾度≤8%。</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4. 整机采用≥12核国产化嵌入式芯片，CPU≥8核，整机嵌入式系统版本≥Android 15，主频≥1.6GHz，内存≥2GB，DDR最大速率≥2666MT/S，存储空间≥32GB。</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5. ★输入接口≥2路HDMI、1路USB接口。侧置输出接口≥1路音频输出、1路触控USB输出。前置输入接口≥3路USB接口（包含1路Type-C、2路USB）。（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6. 整机前置 USB 接口具备防撞挡板设计，防撞挡板采用转轴式翻转，可拆卸更换不同宽度的挡板对设备进行防撞防护。</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7. ★整机设备内置2.2声道扬声器，前朝向发声，12W高音扬声器2个，上朝向30W中低音扬声器2个，最大功率≥84W，单个扬声器容积≥0.62L，最低谐振频率≤85Hz。（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8. 整机内置非独立外扩展的4阵列麦克风，可用于对教室环境音频进行采集，麦克风拾音距离≥12米。</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9. 整机听力模式下具备AI人声语言增强功能，支持三挡强弱调节。扩声系统语言传输指数（STIPA）≥0.75。</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10. 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11. ★整机配套教学应用APP可通过wifi直连技术，近场发现附近教学大屏设备，无需扫码、账号密码输入步骤，即可直接连接并登录教学大屏设备，基于统一身份认证机制可实现其他教学软件免登录操作。（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12. ★整机内置双WiFi6无线网卡，在Android和Windows系统下，可实现Wi-Fi无线上网连接、AP无线热点发射。（投标人或产品制造商需提供有效期内第三方权威机构出具的检测报告原件扫描件。）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13. 整机上边框内置非独立摄像头，采用一体化集成设计，⽀持输出4:3、16:9⽐例的图⽚和视频，支持拍摄≥1600 万像素数的照片和视频，支持输出 4k 分辨率的视频。支持人脸识别、清点人数、随机抽人。</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14. 整机支持提笔书写，在Windows系统下可实现无需点击任意功能入口，当检测到红外笔笔尖接触屏幕时，自动进入书写模式。</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15. 支持通道自动跳转功能，如整机处于正常使用状态，HDMI信号接入时，能自动识别并切换到对应的HDMI信号源通道，且断开后能回到上一通道。</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16. 整机设备开机启动后，自动进入教学桌面，支持账号登录、退出，自动获取个人云端教学课件列表，并可进入全部课件列表。支持多种身份识别方式，支持通过账号登录、手机扫码登录、人脸识别登录、声纹识别登录、近场发现登录，并支持账号安全登录检测。</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17. ★整机Windows通道支持文件传输应用，支持通过扫码、超声、wifi直连三种方式与手机进行连接，实现文件传输功能。（投标人或产品制造商需提供有效期内第三方权威机构出具的检测报告原件扫描件。）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18. 支持智能书写功能，书写文字自动识别为标准印刷体，支持图形识别功能，可将多种手绘图形转化为矩形、三角形、圆形标准图形。</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19. 整机侧边栏内置朗读工具，通过整机麦克风监测教室中学生的朗读情况，并以游戏化界面反馈学生朗读音量大小。</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20. ★整机支持在无任何外部设备的情况下，实时录制用户朗读内容，识别用户声纹并进行统一身份登录，登录后自动获取个人云端教学课件列表，打开教学白板软件时可跳过软件自带登录步骤。（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21. ★整机内置交互式白板软件支持课件多人在线协同编辑，支持以链接的形式进行课件分享、邀请协作，支持查看当前在线用户，针对邀请协同的用户可设置可编辑、可阅读权限，支持将PPT课件转化为交互式课件进行协同编辑。（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22. ★整机内置AI智能体，根据教学和学习需求可快速创建，支持个性化设定角色信息包括角色性格、技能与头像信息，支持语音和文字两种方式与智能体进行对话交互，创建的智能体可上传到本校</w:t>
      </w:r>
      <w:r>
        <w:rPr>
          <w:rFonts w:hint="eastAsia" w:ascii="仿宋" w:hAnsi="仿宋" w:eastAsia="仿宋" w:cs="仿宋"/>
        </w:rPr>
        <w:t xml:space="preserve">资源进行共享使用。（投标人或产品制造商需提供有效期内第三方权威机构出具的检测报告原件扫描件。）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color w:val="ee0000"/>
        </w:rPr>
      </w:pPr>
      <w:r>
        <w:rPr>
          <w:rFonts w:hint="eastAsia" w:ascii="仿宋" w:hAnsi="仿宋" w:eastAsia="仿宋" w:cs="仿宋"/>
          <w:color w:val="ee0000"/>
          <w:highlight w:val="yellow"/>
        </w:rPr>
        <w:t xml:space="preserve">二、插拔式电脑模块：</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1、采用按压式卡扣，无需工具即可快速拆卸电脑模块。</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2、★PC模块和整机的连接采用万兆级接口，传输速率≥10Gbps。（投标人或产品制造商需提供有效期内第三方权威机构出具的检测报告原件扫描件。）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3、电脑模块CPU要求：主频≥2.0GHz，8核心十二线程；配置要求：不低于 DDR4 8GB内存，256GB SSD硬盘；接口要求：≥1路HDMI，≥3路USB。</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（十一）</w:t>
      </w:r>
      <w:r>
        <w:rPr>
          <w:rFonts w:hint="eastAsia" w:ascii="仿宋" w:hAnsi="仿宋" w:eastAsia="仿宋" w:cs="仿宋"/>
        </w:rPr>
        <w:t xml:space="preserve">集中控制管理软件（生物实验室2）</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rPr>
        <w:t xml:space="preserve">整体设计</w:t>
      </w:r>
      <w:r>
        <w:rPr>
          <w:rFonts w:hint="eastAsia" w:ascii="仿宋" w:hAnsi="仿宋" w:eastAsia="仿宋" w:cs="仿宋"/>
        </w:rPr>
        <w:br/>
      </w:r>
      <w:r>
        <w:rPr>
          <w:rFonts w:hint="eastAsia" w:ascii="仿宋" w:hAnsi="仿宋" w:eastAsia="仿宋" w:cs="仿宋"/>
        </w:rPr>
        <w:t xml:space="preserve">1）</w:t>
      </w:r>
      <w:r>
        <w:rPr>
          <w:rFonts w:hint="eastAsia" w:ascii="仿宋" w:hAnsi="仿宋" w:eastAsia="仿宋" w:cs="仿宋"/>
        </w:rPr>
        <w:t xml:space="preserve">设计架构：系统采用模块化的架构设计B/S架构，通过浏览器打开并用微信扫码登录、账号密码登录和微信授权登录完成鉴权，即可使用数字校园产品的各项功能模块。</w:t>
      </w:r>
      <w:r>
        <w:rPr>
          <w:rFonts w:hint="eastAsia" w:ascii="仿宋" w:hAnsi="仿宋" w:eastAsia="仿宋" w:cs="仿宋"/>
        </w:rPr>
        <w:br/>
      </w:r>
      <w:r>
        <w:rPr>
          <w:rFonts w:hint="eastAsia" w:ascii="仿宋" w:hAnsi="仿宋" w:eastAsia="仿宋" w:cs="仿宋"/>
        </w:rPr>
        <w:t xml:space="preserve">2）</w:t>
      </w:r>
      <w:r>
        <w:rPr>
          <w:rFonts w:hint="eastAsia" w:ascii="仿宋" w:hAnsi="仿宋" w:eastAsia="仿宋" w:cs="仿宋"/>
        </w:rPr>
        <w:t xml:space="preserve">登录认证：基于Web浏览器，提供用户统一登录认证功能，包括：手机号码注册、登录、忘记密码、扫码登录、账号管理功能。</w:t>
      </w:r>
      <w:r>
        <w:rPr>
          <w:rFonts w:hint="eastAsia" w:ascii="仿宋" w:hAnsi="仿宋" w:eastAsia="仿宋" w:cs="仿宋"/>
        </w:rPr>
        <w:br/>
      </w:r>
      <w:r>
        <w:rPr>
          <w:rFonts w:hint="eastAsia" w:ascii="仿宋" w:hAnsi="仿宋" w:eastAsia="仿宋" w:cs="仿宋"/>
        </w:rPr>
        <w:t xml:space="preserve">3）</w:t>
      </w:r>
      <w:r>
        <w:rPr>
          <w:rFonts w:hint="eastAsia" w:ascii="仿宋" w:hAnsi="仿宋" w:eastAsia="仿宋" w:cs="仿宋"/>
        </w:rPr>
        <w:t xml:space="preserve">★提供个性化工作台自定义功能，在工作台配置页面，可通过拖拉拽可视化配置组件的方式，完成个性化工作台的配置；工作台可配置组件数量不小于30个；同时工作台支持启用和停用管理。（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4）</w:t>
      </w:r>
      <w:r>
        <w:rPr>
          <w:rFonts w:hint="eastAsia" w:ascii="仿宋" w:hAnsi="仿宋" w:eastAsia="仿宋" w:cs="仿宋"/>
        </w:rPr>
        <w:t xml:space="preserve">系统管理员：提供组织管理员管理功能，包括：管理员添加、移除和转移，同时支持设置管理员的管理权限，包括：组织管理，系统管理员管理，角色权限，工作台配置，应用管理，区域语言和操作日志。</w:t>
      </w:r>
      <w:r>
        <w:rPr>
          <w:rFonts w:hint="eastAsia" w:ascii="仿宋" w:hAnsi="仿宋" w:eastAsia="仿宋" w:cs="仿宋"/>
        </w:rPr>
        <w:br/>
      </w:r>
      <w:r>
        <w:rPr>
          <w:rFonts w:hint="eastAsia" w:ascii="仿宋" w:hAnsi="仿宋" w:eastAsia="仿宋" w:cs="仿宋"/>
        </w:rPr>
        <w:t xml:space="preserve">5）</w:t>
      </w:r>
      <w:r>
        <w:rPr>
          <w:rFonts w:hint="eastAsia" w:ascii="仿宋" w:hAnsi="仿宋" w:eastAsia="仿宋" w:cs="仿宋"/>
        </w:rPr>
        <w:t xml:space="preserve">应用管理：提供应用中心应用管理功能，包含网页端和移动端的应用管理，包括应用安装、应用卸载、自定义分类、移动应用分类。</w:t>
      </w:r>
      <w:r>
        <w:rPr>
          <w:rFonts w:hint="eastAsia" w:ascii="仿宋" w:hAnsi="仿宋" w:eastAsia="仿宋" w:cs="仿宋"/>
        </w:rPr>
        <w:br/>
      </w:r>
      <w:r>
        <w:rPr>
          <w:rFonts w:hint="eastAsia" w:ascii="仿宋" w:hAnsi="仿宋" w:eastAsia="仿宋" w:cs="仿宋"/>
        </w:rPr>
        <w:t xml:space="preserve">（2）</w:t>
      </w:r>
      <w:r>
        <w:rPr>
          <w:rFonts w:hint="eastAsia" w:ascii="仿宋" w:hAnsi="仿宋" w:eastAsia="仿宋" w:cs="仿宋"/>
        </w:rPr>
        <w:t xml:space="preserve">组织中心</w:t>
      </w:r>
      <w:r>
        <w:rPr>
          <w:rFonts w:hint="eastAsia" w:ascii="仿宋" w:hAnsi="仿宋" w:eastAsia="仿宋" w:cs="仿宋"/>
        </w:rPr>
        <w:br/>
      </w:r>
      <w:r>
        <w:rPr>
          <w:rFonts w:hint="eastAsia" w:ascii="仿宋" w:hAnsi="仿宋" w:eastAsia="仿宋" w:cs="仿宋"/>
        </w:rPr>
        <w:t xml:space="preserve">1）</w:t>
      </w:r>
      <w:r>
        <w:rPr>
          <w:rFonts w:hint="eastAsia" w:ascii="仿宋" w:hAnsi="仿宋" w:eastAsia="仿宋" w:cs="仿宋"/>
        </w:rPr>
        <w:t xml:space="preserve">教职工管理：支持管理员手动添加教职工，教职工信息包括：教工号，姓名，手机号码，角色，管理范围；添加方式包括：Excel批量导入，批量复制，手动添加；支持导出，查询，删除教职工；教职工支持设置部门组织架构，支持多级组织架构，支持在组织架构节点上导入用户。</w:t>
      </w:r>
      <w:r>
        <w:rPr>
          <w:rFonts w:hint="eastAsia" w:ascii="仿宋" w:hAnsi="仿宋" w:eastAsia="仿宋" w:cs="仿宋"/>
        </w:rPr>
        <w:br/>
      </w:r>
      <w:r>
        <w:rPr>
          <w:rFonts w:hint="eastAsia" w:ascii="仿宋" w:hAnsi="仿宋" w:eastAsia="仿宋" w:cs="仿宋"/>
        </w:rPr>
        <w:t xml:space="preserve">2）</w:t>
      </w:r>
      <w:r>
        <w:rPr>
          <w:rFonts w:hint="eastAsia" w:ascii="仿宋" w:hAnsi="仿宋" w:eastAsia="仿宋" w:cs="仿宋"/>
        </w:rPr>
        <w:t xml:space="preserve">场地管理：支持添加建筑物，并且在建筑物下面手动添加或者批量导入场地，场地信息包括：名称，楼层，容纳人数，面积，班级，类别，照片；支持设置场地是否支持预约，以及选择可预约的时间。</w:t>
      </w:r>
      <w:r>
        <w:rPr>
          <w:rFonts w:hint="eastAsia" w:ascii="仿宋" w:hAnsi="仿宋" w:eastAsia="仿宋" w:cs="仿宋"/>
        </w:rPr>
        <w:br/>
      </w:r>
      <w:r>
        <w:rPr>
          <w:rFonts w:hint="eastAsia" w:ascii="仿宋" w:hAnsi="仿宋" w:eastAsia="仿宋" w:cs="仿宋"/>
        </w:rPr>
        <w:t xml:space="preserve">3）</w:t>
      </w:r>
      <w:r>
        <w:rPr>
          <w:rFonts w:hint="eastAsia" w:ascii="仿宋" w:hAnsi="仿宋" w:eastAsia="仿宋" w:cs="仿宋"/>
        </w:rPr>
        <w:t xml:space="preserve">班级学生：支持手动或者批量添加行政班组织架构，支持创建不少于4级目录；支持批量导入学生信息，包括学号，姓名，联系方式，家长信息。</w:t>
      </w:r>
      <w:r>
        <w:rPr>
          <w:rFonts w:hint="eastAsia" w:ascii="仿宋" w:hAnsi="仿宋" w:eastAsia="仿宋" w:cs="仿宋"/>
        </w:rPr>
        <w:br/>
      </w:r>
      <w:r>
        <w:rPr>
          <w:rFonts w:hint="eastAsia" w:ascii="仿宋" w:hAnsi="仿宋" w:eastAsia="仿宋" w:cs="仿宋"/>
        </w:rPr>
        <w:t xml:space="preserve">4）</w:t>
      </w:r>
      <w:r>
        <w:rPr>
          <w:rFonts w:hint="eastAsia" w:ascii="仿宋" w:hAnsi="仿宋" w:eastAsia="仿宋" w:cs="仿宋"/>
        </w:rPr>
        <w:t xml:space="preserve">角色权限：支持学校自定义角色组，针对角色可设置功能权限；支持自定义角色下对应成员的管理范围。</w:t>
      </w:r>
      <w:r>
        <w:rPr>
          <w:rFonts w:hint="eastAsia" w:ascii="仿宋" w:hAnsi="仿宋" w:eastAsia="仿宋" w:cs="仿宋"/>
        </w:rPr>
        <w:br/>
      </w:r>
      <w:r>
        <w:rPr>
          <w:rFonts w:hint="eastAsia" w:ascii="仿宋" w:hAnsi="仿宋" w:eastAsia="仿宋" w:cs="仿宋"/>
        </w:rPr>
        <w:t xml:space="preserve">（3）</w:t>
      </w:r>
      <w:r>
        <w:rPr>
          <w:rFonts w:hint="eastAsia" w:ascii="仿宋" w:hAnsi="仿宋" w:eastAsia="仿宋" w:cs="仿宋"/>
        </w:rPr>
        <w:t xml:space="preserve">设备管理模块</w:t>
      </w:r>
      <w:r>
        <w:rPr>
          <w:rFonts w:hint="eastAsia" w:ascii="仿宋" w:hAnsi="仿宋" w:eastAsia="仿宋" w:cs="仿宋"/>
        </w:rPr>
        <w:br/>
      </w:r>
      <w:r>
        <w:rPr>
          <w:rFonts w:hint="eastAsia" w:ascii="仿宋" w:hAnsi="仿宋" w:eastAsia="仿宋" w:cs="仿宋"/>
        </w:rPr>
        <w:t xml:space="preserve">1）</w:t>
      </w:r>
      <w:r>
        <w:rPr>
          <w:rFonts w:hint="eastAsia" w:ascii="仿宋" w:hAnsi="仿宋" w:eastAsia="仿宋" w:cs="仿宋"/>
        </w:rPr>
        <w:t xml:space="preserve">★支持自定义设备类型及数量，掌握校内设备资产分布情况；支持根据老师、学科、设备三大维度查看设备使用排行，并提供信息化设备利用率提升指南。支持查看本校常用软件、网址访问排行、全校设备画面截图；支持查看设备网络负载、硬件负载情况，并提供网络优化、硬件升级指南。（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rPr>
        <w:t xml:space="preserve">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rPr>
          <w:rFonts w:hint="eastAsia" w:ascii="仿宋" w:hAnsi="仿宋" w:eastAsia="仿宋" w:cs="仿宋"/>
        </w:rPr>
        <w:br/>
      </w:r>
      <w:r>
        <w:rPr>
          <w:rFonts w:hint="eastAsia" w:ascii="仿宋" w:hAnsi="仿宋" w:eastAsia="仿宋" w:cs="仿宋"/>
        </w:rPr>
        <w:t xml:space="preserve">3）</w:t>
      </w:r>
      <w:r>
        <w:rPr>
          <w:rFonts w:hint="eastAsia" w:ascii="仿宋" w:hAnsi="仿宋" w:eastAsia="仿宋" w:cs="仿宋"/>
        </w:rPr>
        <w:t xml:space="preserve">个性化巡视：支持自定义巡视水印类型、水印内容及水印颜色等设置，设置水印后，巡视过程中的摄像头画面和设备屏幕画面都会增加水印信息；支持自定义过滤摄像头、麦克风。</w:t>
      </w:r>
      <w:r>
        <w:rPr>
          <w:rFonts w:hint="eastAsia" w:ascii="仿宋" w:hAnsi="仿宋" w:eastAsia="仿宋" w:cs="仿宋"/>
        </w:rPr>
        <w:br/>
      </w:r>
      <w:r>
        <w:rPr>
          <w:rFonts w:hint="eastAsia" w:ascii="仿宋" w:hAnsi="仿宋" w:eastAsia="仿宋" w:cs="仿宋"/>
        </w:rPr>
        <w:t xml:space="preserve">4)</w:t>
      </w:r>
      <w:r>
        <w:rPr>
          <w:rFonts w:hint="eastAsia" w:ascii="仿宋" w:hAnsi="仿宋" w:eastAsia="仿宋" w:cs="仿宋"/>
        </w:rPr>
        <w:t xml:space="preserve">支持管理者开启掌上看班服务，开启/关闭掌上看班的管控功能；拥有掌上看班权限的老师可在移动端或PC客户端实时巡班，并进行基础远程管控。支持管理者为普通老师直接分配、普通老师自行申请后由管理者在平台审核开通的2种方式管理掌上看班的班级权限，所有权限调整均配备操作日志。</w:t>
      </w:r>
      <w:r>
        <w:rPr>
          <w:rFonts w:hint="eastAsia" w:ascii="仿宋" w:hAnsi="仿宋" w:eastAsia="仿宋" w:cs="仿宋"/>
        </w:rPr>
        <w:br/>
      </w:r>
      <w:r>
        <w:rPr>
          <w:rFonts w:hint="eastAsia" w:ascii="仿宋" w:hAnsi="仿宋" w:eastAsia="仿宋" w:cs="仿宋"/>
        </w:rPr>
        <w:t xml:space="preserve">5)</w:t>
      </w:r>
      <w:r>
        <w:rPr>
          <w:rFonts w:hint="eastAsia" w:ascii="仿宋" w:hAnsi="仿宋" w:eastAsia="仿宋" w:cs="仿宋"/>
        </w:rPr>
        <w:t xml:space="preserve">支持根据班级课程表，自动获取正在上课或者即将上课的科目、老师列表，快速定位老师所在教室，实时远程听课；支持听课过程中针对本节课的教学过程进行评价，支持创建和使用多个评课表，并将评价记录于巡视记录。</w:t>
      </w:r>
      <w:r>
        <w:rPr>
          <w:rFonts w:hint="eastAsia" w:ascii="仿宋" w:hAnsi="仿宋" w:eastAsia="仿宋" w:cs="仿宋"/>
        </w:rPr>
        <w:br/>
      </w:r>
      <w:r>
        <w:rPr>
          <w:rFonts w:hint="eastAsia" w:ascii="仿宋" w:hAnsi="仿宋" w:eastAsia="仿宋" w:cs="仿宋"/>
        </w:rPr>
        <w:t xml:space="preserve">6)</w:t>
      </w:r>
      <w:r>
        <w:rPr>
          <w:rFonts w:hint="eastAsia" w:ascii="仿宋" w:hAnsi="仿宋" w:eastAsia="仿宋" w:cs="仿宋"/>
        </w:rPr>
        <w:t xml:space="preserve">支持远程批量清理设备磁盘；支持清理指定磁盘的指定文件夹；支持清理系统盘备份、缓存、日志</w:t>
      </w:r>
      <w:r>
        <w:rPr>
          <w:rFonts w:hint="eastAsia" w:ascii="仿宋" w:hAnsi="仿宋" w:eastAsia="仿宋" w:cs="仿宋"/>
        </w:rPr>
        <w:t xml:space="preserve">等文件；支持迁移系统盘视频、图片、音乐、文档文件；支持格式化非系统盘磁盘。</w:t>
      </w:r>
      <w:r>
        <w:rPr>
          <w:rFonts w:hint="eastAsia" w:ascii="仿宋" w:hAnsi="仿宋" w:eastAsia="仿宋" w:cs="仿宋"/>
        </w:rPr>
        <w:br/>
      </w:r>
      <w:r>
        <w:rPr>
          <w:rFonts w:hint="eastAsia" w:ascii="仿宋" w:hAnsi="仿宋" w:eastAsia="仿宋" w:cs="仿宋"/>
        </w:rPr>
        <w:t xml:space="preserve">7)</w:t>
      </w:r>
      <w:r>
        <w:rPr>
          <w:rFonts w:hint="eastAsia" w:ascii="仿宋" w:hAnsi="仿宋" w:eastAsia="仿宋" w:cs="仿宋"/>
        </w:rPr>
        <w:t xml:space="preserve">支持远程向已冰冻的设备发送指令、安装软件，在设备正常关机时触发穿透动作，穿透完成后，设备即可使用已安装软件、执行已接收指令，且穿透过程中无需人为解冻。</w:t>
      </w:r>
      <w:r>
        <w:rPr>
          <w:rFonts w:hint="eastAsia" w:ascii="仿宋" w:hAnsi="仿宋" w:eastAsia="仿宋" w:cs="仿宋"/>
        </w:rPr>
        <w:br/>
      </w:r>
      <w:r>
        <w:rPr>
          <w:rFonts w:hint="eastAsia" w:ascii="仿宋" w:hAnsi="仿宋" w:eastAsia="仿宋" w:cs="仿宋"/>
        </w:rPr>
        <w:t xml:space="preserve">8)</w:t>
      </w:r>
      <w:r>
        <w:rPr>
          <w:rFonts w:hint="eastAsia" w:ascii="仿宋" w:hAnsi="仿宋" w:eastAsia="仿宋" w:cs="仿宋"/>
        </w:rPr>
        <w:t xml:space="preserve">支持一键开启拦截能力；支持查看已上报的所有疑似风险窗口和上报次数，并支持拦截某个应用所有窗口、某个具体窗口；支持将某个应用、某个具体窗口加入白名单，不对软件进行拦截。</w:t>
      </w:r>
      <w:r>
        <w:rPr>
          <w:rFonts w:hint="eastAsia" w:ascii="仿宋" w:hAnsi="仿宋" w:eastAsia="仿宋" w:cs="仿宋"/>
        </w:rPr>
        <w:br/>
      </w:r>
      <w:r>
        <w:rPr>
          <w:rFonts w:hint="eastAsia" w:ascii="仿宋" w:hAnsi="仿宋" w:eastAsia="仿宋" w:cs="仿宋"/>
        </w:rPr>
        <w:t xml:space="preserve">9)</w:t>
      </w:r>
      <w:r>
        <w:rPr>
          <w:rFonts w:hint="eastAsia" w:ascii="仿宋" w:hAnsi="仿宋" w:eastAsia="仿宋" w:cs="仿宋"/>
        </w:rPr>
        <w:t xml:space="preserve">支持查看校内当日班班通设备流量使用的具体情况、带宽利用率；支持对设备进行限速设置。</w:t>
      </w:r>
      <w:r>
        <w:rPr>
          <w:rFonts w:hint="eastAsia" w:ascii="仿宋" w:hAnsi="仿宋" w:eastAsia="仿宋" w:cs="仿宋"/>
        </w:rPr>
        <w:br/>
      </w:r>
      <w:r>
        <w:rPr>
          <w:rFonts w:hint="eastAsia" w:ascii="仿宋" w:hAnsi="仿宋" w:eastAsia="仿宋" w:cs="仿宋"/>
        </w:rPr>
        <w:t xml:space="preserve">10)</w:t>
      </w:r>
      <w:r>
        <w:rPr>
          <w:rFonts w:hint="eastAsia" w:ascii="仿宋" w:hAnsi="仿宋" w:eastAsia="仿宋" w:cs="仿宋"/>
        </w:rPr>
        <w:t xml:space="preserve">网址过滤：支持设置网址访问黑名单、白名单，限制所有设备的网址访问。</w:t>
      </w:r>
      <w:r>
        <w:rPr>
          <w:rFonts w:hint="eastAsia" w:ascii="仿宋" w:hAnsi="仿宋" w:eastAsia="仿宋" w:cs="仿宋"/>
        </w:rPr>
        <w:br/>
        <w:t xml:space="preserve">11</w:t>
      </w:r>
      <w:r>
        <w:rPr>
          <w:rFonts w:hint="eastAsia" w:ascii="仿宋" w:hAnsi="仿宋" w:eastAsia="仿宋" w:cs="仿宋"/>
        </w:rPr>
        <w:t xml:space="preserve">)</w:t>
      </w:r>
      <w:r>
        <w:rPr>
          <w:rFonts w:hint="eastAsia" w:ascii="仿宋" w:hAnsi="仿宋" w:eastAsia="仿宋" w:cs="仿宋"/>
        </w:rPr>
        <w:t xml:space="preserve">★支持AI自动监测设备画面色情、恐怖、暴力、游戏等风险内容或元素；支持设置警告内容，当监测到不良画面后自动提醒；支持将每天监测到的风险结果自动推送至公众号提醒管理；支持按设备、按画面维度回溯历史监测到的不良画面信息。（投标人或产品制造商需提供有效期内第三方权威机构出具的检测报告原件扫描件。）</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12</w:t>
      </w:r>
      <w:r>
        <w:rPr>
          <w:rFonts w:hint="eastAsia" w:ascii="仿宋" w:hAnsi="仿宋" w:eastAsia="仿宋" w:cs="仿宋"/>
        </w:rPr>
        <w:t xml:space="preserve">)</w:t>
      </w:r>
      <w:r>
        <w:rPr>
          <w:rFonts w:hint="eastAsia" w:ascii="仿宋" w:hAnsi="仿宋" w:eastAsia="仿宋" w:cs="仿宋"/>
        </w:rPr>
        <w:t xml:space="preserve">支持一键下课锁屏、开机自动锁屏、无网络时验证身份解锁、联网时禁用密码解锁；支持下课锁屏，在班班通设备上点击“下课”按钮即可锁屏；支持开机自动锁屏，可设置生效时间和生效设备；支持无网络情况下，通过手机微信扫码，验证身份后获取密码进行解锁使用。支持设置屏幕锁壁纸；支持设置普通锁屏、极速锁屏模式。</w:t>
      </w:r>
      <w:r>
        <w:rPr>
          <w:rFonts w:hint="eastAsia" w:ascii="仿宋" w:hAnsi="仿宋" w:eastAsia="仿宋" w:cs="仿宋"/>
        </w:rPr>
        <w:br/>
        <w:t xml:space="preserve">13</w:t>
      </w:r>
      <w:r>
        <w:rPr>
          <w:rFonts w:hint="eastAsia" w:ascii="仿宋" w:hAnsi="仿宋" w:eastAsia="仿宋" w:cs="仿宋"/>
        </w:rPr>
        <w:t xml:space="preserve">)</w:t>
      </w:r>
      <w:r>
        <w:rPr>
          <w:rFonts w:hint="eastAsia" w:ascii="仿宋" w:hAnsi="仿宋" w:eastAsia="仿宋" w:cs="仿宋"/>
        </w:rPr>
        <w:t xml:space="preserve">支持用户自主上传官方正版软件，支持批量将软件发送至班班通设备安装，软件自动静默安装，无需人工操作。</w:t>
      </w:r>
      <w:r>
        <w:rPr>
          <w:rFonts w:hint="eastAsia" w:ascii="仿宋" w:hAnsi="仿宋" w:eastAsia="仿宋" w:cs="仿宋"/>
        </w:rPr>
        <w:br/>
        <w:t xml:space="preserve">14</w:t>
      </w:r>
      <w:r>
        <w:rPr>
          <w:rFonts w:hint="eastAsia" w:ascii="仿宋" w:hAnsi="仿宋" w:eastAsia="仿宋" w:cs="仿宋"/>
        </w:rPr>
        <w:t xml:space="preserve">)</w:t>
      </w:r>
      <w:r>
        <w:rPr>
          <w:rFonts w:hint="eastAsia" w:ascii="仿宋" w:hAnsi="仿宋" w:eastAsia="仿宋" w:cs="仿宋"/>
        </w:rPr>
        <w:t xml:space="preserve">支持解读设备运行数据，提供基建优化建议；支持根据网络带宽利用率分析网络稳定性并提供优化方案；支持根据硬件参数及流畅度达标情况分析设备运行稳定性并提供优化方案；支持根据安全服务开启情况分析设备运行风险并提供优化方案。</w:t>
      </w:r>
      <w:r>
        <w:rPr>
          <w:rFonts w:hint="eastAsia" w:ascii="仿宋" w:hAnsi="仿宋" w:eastAsia="仿宋" w:cs="仿宋"/>
        </w:rPr>
        <w:br/>
        <w:t xml:space="preserve">15</w:t>
      </w:r>
      <w:r>
        <w:rPr>
          <w:rFonts w:hint="eastAsia" w:ascii="仿宋" w:hAnsi="仿宋" w:eastAsia="仿宋" w:cs="仿宋"/>
        </w:rPr>
        <w:t xml:space="preserve">)</w:t>
      </w:r>
      <w:r>
        <w:rPr>
          <w:rFonts w:hint="eastAsia" w:ascii="仿宋" w:hAnsi="仿宋" w:eastAsia="仿宋" w:cs="仿宋"/>
        </w:rPr>
        <w:t xml:space="preserve">支持分析解读教师使用数据，提供信息化素养提升建议；支持根据各学科/设备/老师使用数据分析经验丰富的老师，并提供信息化素养提升建议；支持根据不同类型软件的使用明细分析本校常用软件，并提供软件普及、替换或拦截建议。</w:t>
      </w:r>
      <w:r>
        <w:rPr>
          <w:rFonts w:hint="eastAsia" w:ascii="仿宋" w:hAnsi="仿宋" w:eastAsia="仿宋" w:cs="仿宋"/>
        </w:rPr>
        <w:br/>
        <w:t xml:space="preserve">16</w:t>
      </w:r>
      <w:r>
        <w:rPr>
          <w:rFonts w:hint="eastAsia" w:ascii="仿宋" w:hAnsi="仿宋" w:eastAsia="仿宋" w:cs="仿宋"/>
        </w:rPr>
        <w:t xml:space="preserve">)</w:t>
      </w:r>
      <w:r>
        <w:rPr>
          <w:rFonts w:hint="eastAsia" w:ascii="仿宋" w:hAnsi="仿宋" w:eastAsia="仿宋" w:cs="仿宋"/>
        </w:rPr>
        <w:t xml:space="preserve">支持面向班班通设备、班牌设备、校园屏显设备发送节目单指令；支持实时预览内容，支持设置按照每周循环播放、指定日期播放、自定义日期播放3种节目播放机制；支持播完即结束、指定时间循环播两种循环模式；支持同时添加不少于5个不同的播放周期，进行定时播放。</w:t>
      </w:r>
      <w:r/>
    </w:p>
    <w:p>
      <w:pPr>
        <w:pStyle w:val="1291"/>
        <w:spacing w:before="0" w:beforeAutospacing="0" w:after="0" w:afterAutospacing="0" w:line="520" w:lineRule="exact"/>
        <w:rPr>
          <w:rFonts w:hint="eastAsia" w:ascii="仿宋" w:hAnsi="仿宋" w:eastAsia="仿宋" w:cs="仿宋"/>
        </w:rPr>
      </w:pPr>
      <w:r>
        <w:rPr>
          <w:rFonts w:hint="eastAsia" w:ascii="仿宋" w:hAnsi="仿宋" w:eastAsia="仿宋" w:cs="仿宋"/>
        </w:rPr>
        <w:t xml:space="preserve">(十二)</w:t>
      </w:r>
      <w:r>
        <w:rPr>
          <w:rFonts w:hint="eastAsia" w:ascii="仿宋" w:hAnsi="仿宋" w:eastAsia="仿宋" w:cs="仿宋"/>
        </w:rPr>
        <w:t xml:space="preserve">防爆监控摄像头（危化品室）</w:t>
      </w:r>
      <w:r/>
    </w:p>
    <w:p>
      <w:pPr>
        <w:widowControl/>
        <w:rPr>
          <w:rFonts w:hint="eastAsia" w:ascii="仿宋" w:hAnsi="仿宋" w:eastAsia="仿宋" w:cs="仿宋"/>
          <w:sz w:val="24"/>
          <w:szCs w:val="24"/>
        </w:rPr>
      </w:pPr>
      <w:r>
        <w:rPr>
          <w:rFonts w:hint="eastAsia" w:ascii="仿宋" w:hAnsi="仿宋" w:eastAsia="仿宋" w:cs="仿宋"/>
          <w:sz w:val="24"/>
          <w:szCs w:val="24"/>
          <w:lang w:bidi="ar"/>
        </w:rPr>
        <w:t xml:space="preserve">≥</w:t>
      </w:r>
      <w:r>
        <w:rPr>
          <w:rFonts w:hint="eastAsia" w:ascii="仿宋" w:hAnsi="仿宋" w:eastAsia="仿宋" w:cs="仿宋"/>
          <w:sz w:val="24"/>
          <w:szCs w:val="24"/>
        </w:rPr>
        <w:t xml:space="preserve">400万像素 CMOS传感器防爆摄像机。 </w:t>
      </w:r>
      <w:r/>
    </w:p>
    <w:p>
      <w:pPr>
        <w:widowControl/>
        <w:rPr>
          <w:rFonts w:hint="eastAsia" w:ascii="仿宋" w:hAnsi="仿宋" w:eastAsia="仿宋" w:cs="仿宋"/>
          <w:sz w:val="24"/>
          <w:szCs w:val="24"/>
        </w:rPr>
      </w:pPr>
      <w:r>
        <w:rPr>
          <w:rFonts w:hint="eastAsia" w:ascii="仿宋" w:hAnsi="仿宋" w:eastAsia="仿宋" w:cs="仿宋"/>
          <w:sz w:val="24"/>
          <w:szCs w:val="24"/>
        </w:rPr>
        <w:t xml:space="preserve">水平分辨力不小于1400TVL。</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支持H.264、H.265、MJPEG视频编码格式，且具有High Profile编码能力。</w:t>
      </w:r>
      <w:r/>
    </w:p>
    <w:p>
      <w:pPr>
        <w:widowControl/>
        <w:rPr>
          <w:rFonts w:hint="eastAsia" w:ascii="仿宋" w:hAnsi="仿宋" w:eastAsia="仿宋" w:cs="仿宋"/>
          <w:sz w:val="24"/>
          <w:szCs w:val="24"/>
        </w:rPr>
      </w:pPr>
      <w:r>
        <w:rPr>
          <w:rFonts w:hint="eastAsia" w:ascii="仿宋" w:hAnsi="仿宋" w:eastAsia="仿宋" w:cs="仿宋"/>
          <w:sz w:val="24"/>
          <w:szCs w:val="24"/>
        </w:rPr>
        <w:t xml:space="preserve">水平旋转范围不小于0°~340°，垂直旋转范围不小于0°~75°。</w:t>
      </w:r>
      <w:r/>
    </w:p>
    <w:p>
      <w:pPr>
        <w:widowControl/>
        <w:rPr>
          <w:rFonts w:hint="eastAsia" w:ascii="仿宋" w:hAnsi="仿宋" w:eastAsia="仿宋" w:cs="仿宋"/>
          <w:sz w:val="24"/>
          <w:szCs w:val="24"/>
        </w:rPr>
      </w:pPr>
      <w:r>
        <w:rPr>
          <w:rFonts w:hint="eastAsia" w:ascii="仿宋" w:hAnsi="仿宋" w:eastAsia="仿宋" w:cs="仿宋"/>
          <w:sz w:val="24"/>
          <w:szCs w:val="24"/>
        </w:rPr>
        <w:t xml:space="preserve">最低照度彩色：0.001 lx，黑白:0.0001 lx，亮度等级不小于11级。</w:t>
      </w:r>
      <w:r/>
    </w:p>
    <w:p>
      <w:pPr>
        <w:widowControl/>
        <w:rPr>
          <w:rFonts w:hint="eastAsia" w:ascii="仿宋" w:hAnsi="仿宋" w:eastAsia="仿宋" w:cs="仿宋"/>
          <w:sz w:val="24"/>
          <w:szCs w:val="24"/>
        </w:rPr>
      </w:pPr>
      <w:r>
        <w:rPr>
          <w:rFonts w:hint="eastAsia" w:ascii="仿宋" w:hAnsi="仿宋" w:eastAsia="仿宋" w:cs="仿宋"/>
          <w:sz w:val="24"/>
          <w:szCs w:val="24"/>
        </w:rPr>
        <w:t xml:space="preserve">当使用一个账户登录，密码输入错误达到5次时，该账户会被锁定一段时间。</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支持本地SD卡存储，最大支持128G，并支持存储卡可使用时长显示。</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对存储卡进行读写锁定，锁定后的存储卡在移动终端需要密码才能访问；多问题验证密保功能，当忘记密码时，允许通过正确匹配密保问题，重新设置管理员密码；IP68防护等级，IK10防暴等级。（投标人或产品制造商需提供有效期内第三方权威机构出具的检测报告原件扫描件。）</w:t>
      </w:r>
      <w:r/>
    </w:p>
    <w:p>
      <w:pPr>
        <w:widowControl/>
        <w:rPr>
          <w:rFonts w:hint="eastAsia" w:ascii="仿宋" w:hAnsi="仿宋" w:eastAsia="仿宋" w:cs="仿宋"/>
          <w:sz w:val="24"/>
          <w:szCs w:val="24"/>
        </w:rPr>
      </w:pPr>
      <w:r>
        <w:rPr>
          <w:rFonts w:hint="eastAsia" w:ascii="仿宋" w:hAnsi="仿宋" w:eastAsia="仿宋" w:cs="仿宋"/>
          <w:sz w:val="24"/>
          <w:szCs w:val="24"/>
        </w:rPr>
        <w:t xml:space="preserve">同一静止场景相同图像质量下，设备在H.265编码方式时，开启智能编码功能和不开启智能编码相比，码率节约1/2。</w:t>
      </w:r>
      <w:r/>
    </w:p>
    <w:p>
      <w:pPr>
        <w:widowControl/>
        <w:rPr>
          <w:rFonts w:hint="eastAsia" w:ascii="仿宋" w:hAnsi="仿宋" w:eastAsia="仿宋" w:cs="仿宋"/>
          <w:sz w:val="24"/>
          <w:szCs w:val="24"/>
        </w:rPr>
      </w:pPr>
      <w:r>
        <w:rPr>
          <w:rFonts w:hint="eastAsia" w:ascii="仿宋" w:hAnsi="仿宋" w:eastAsia="仿宋" w:cs="仿宋"/>
          <w:sz w:val="24"/>
          <w:szCs w:val="24"/>
        </w:rPr>
        <w:t xml:space="preserve">具有抗丢包（10%）处理能力。</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支持电动调节角度。</w:t>
      </w:r>
      <w:r/>
    </w:p>
    <w:p>
      <w:pPr>
        <w:widowControl/>
        <w:rPr>
          <w:rFonts w:hint="eastAsia" w:ascii="仿宋" w:hAnsi="仿宋" w:eastAsia="仿宋" w:cs="仿宋"/>
          <w:sz w:val="24"/>
          <w:szCs w:val="24"/>
        </w:rPr>
      </w:pPr>
      <w:r>
        <w:rPr>
          <w:rFonts w:hint="eastAsia" w:ascii="仿宋" w:hAnsi="仿宋" w:eastAsia="仿宋" w:cs="仿宋"/>
          <w:sz w:val="24"/>
          <w:szCs w:val="24"/>
        </w:rPr>
        <w:t xml:space="preserve">防爆标志：Ex db ⅡC T6 Gb/Ex tb ⅢC T80℃ Db。</w:t>
      </w:r>
      <w:r/>
    </w:p>
    <w:p>
      <w:pPr>
        <w:widowControl/>
        <w:rPr>
          <w:rFonts w:hint="eastAsia" w:ascii="仿宋" w:hAnsi="仿宋" w:eastAsia="仿宋" w:cs="仿宋"/>
          <w:sz w:val="24"/>
          <w:szCs w:val="24"/>
        </w:rPr>
      </w:pPr>
      <w:r>
        <w:rPr>
          <w:rFonts w:hint="eastAsia" w:ascii="仿宋" w:hAnsi="仿宋" w:eastAsia="仿宋" w:cs="仿宋"/>
          <w:sz w:val="24"/>
          <w:szCs w:val="24"/>
        </w:rPr>
        <w:t xml:space="preserve">设置密码时，需可以自动提示密码复杂度为高、中、低。</w:t>
      </w:r>
      <w:r/>
    </w:p>
    <w:p>
      <w:pPr>
        <w:widowControl/>
        <w:rPr>
          <w:rFonts w:hint="eastAsia" w:ascii="仿宋" w:hAnsi="仿宋" w:eastAsia="仿宋" w:cs="仿宋"/>
          <w:sz w:val="24"/>
          <w:szCs w:val="24"/>
        </w:rPr>
      </w:pPr>
      <w:r>
        <w:rPr>
          <w:rFonts w:hint="eastAsia" w:ascii="仿宋" w:hAnsi="仿宋" w:eastAsia="仿宋" w:cs="仿宋"/>
          <w:sz w:val="24"/>
          <w:szCs w:val="24"/>
        </w:rPr>
        <w:t xml:space="preserve">外壳材质：SUS304不锈钢。</w:t>
      </w:r>
      <w:r/>
    </w:p>
    <w:p>
      <w:pPr>
        <w:widowControl/>
        <w:rPr>
          <w:rFonts w:hint="eastAsia" w:ascii="仿宋" w:hAnsi="仿宋" w:eastAsia="仿宋" w:cs="仿宋"/>
          <w:sz w:val="24"/>
          <w:szCs w:val="24"/>
        </w:rPr>
      </w:pPr>
      <w:r>
        <w:rPr>
          <w:rFonts w:hint="eastAsia" w:ascii="仿宋" w:hAnsi="仿宋" w:eastAsia="仿宋" w:cs="仿宋"/>
          <w:sz w:val="24"/>
          <w:szCs w:val="24"/>
        </w:rPr>
        <w:t xml:space="preserve">需支持DC12V与POE供电，且能在DC12V±30%范围内变化时可以正常工作。</w:t>
      </w:r>
      <w:r/>
    </w:p>
    <w:p>
      <w:pPr>
        <w:widowControl/>
        <w:rPr>
          <w:rFonts w:hint="eastAsia" w:ascii="仿宋" w:hAnsi="仿宋" w:eastAsia="仿宋" w:cs="仿宋"/>
          <w:sz w:val="24"/>
          <w:szCs w:val="24"/>
        </w:rPr>
      </w:pPr>
      <w:r>
        <w:rPr>
          <w:rFonts w:hint="eastAsia" w:ascii="仿宋" w:hAnsi="仿宋" w:eastAsia="仿宋" w:cs="仿宋"/>
          <w:sz w:val="24"/>
          <w:szCs w:val="24"/>
        </w:rPr>
        <w:t xml:space="preserve">电流及功耗：DC：12 V，最大功耗10 W；PoE：最大功耗12.5 W。</w:t>
      </w:r>
      <w:r/>
    </w:p>
    <w:p>
      <w:pPr>
        <w:widowControl/>
        <w:rPr>
          <w:rFonts w:hint="eastAsia" w:ascii="仿宋" w:hAnsi="仿宋" w:eastAsia="仿宋" w:cs="仿宋"/>
          <w:sz w:val="24"/>
          <w:szCs w:val="24"/>
        </w:rPr>
      </w:pPr>
      <w:r>
        <w:rPr>
          <w:rFonts w:hint="eastAsia" w:ascii="仿宋" w:hAnsi="仿宋" w:eastAsia="仿宋" w:cs="仿宋"/>
          <w:sz w:val="24"/>
          <w:szCs w:val="24"/>
        </w:rPr>
        <w:t xml:space="preserve">摄像机能够在-40~60摄氏度环境下稳定工作。</w:t>
      </w:r>
      <w:r/>
    </w:p>
    <w:p>
      <w:pPr>
        <w:widowControl/>
        <w:rPr>
          <w:rFonts w:hint="eastAsia" w:ascii="仿宋" w:hAnsi="仿宋" w:eastAsia="仿宋" w:cs="仿宋"/>
          <w:sz w:val="24"/>
          <w:szCs w:val="24"/>
        </w:rPr>
      </w:pPr>
      <w:r>
        <w:rPr>
          <w:rFonts w:hint="eastAsia" w:ascii="仿宋" w:hAnsi="仿宋" w:eastAsia="仿宋" w:cs="仿宋"/>
          <w:sz w:val="24"/>
          <w:szCs w:val="24"/>
        </w:rPr>
        <w:t xml:space="preserve">支持防雷、防浪涌、防静电。</w:t>
      </w:r>
      <w:r/>
    </w:p>
    <w:p>
      <w:pPr>
        <w:widowControl/>
        <w:rPr>
          <w:rFonts w:hint="eastAsia" w:ascii="仿宋" w:hAnsi="仿宋" w:eastAsia="仿宋" w:cs="仿宋"/>
          <w:sz w:val="24"/>
          <w:szCs w:val="24"/>
        </w:rPr>
      </w:pPr>
      <w:r>
        <w:rPr>
          <w:rFonts w:hint="eastAsia" w:ascii="仿宋" w:hAnsi="仿宋" w:eastAsia="仿宋" w:cs="仿宋"/>
          <w:sz w:val="24"/>
          <w:szCs w:val="24"/>
        </w:rPr>
        <w:t xml:space="preserve">产品需同时提供防爆合格证，CCC证书。</w:t>
      </w:r>
      <w:r/>
    </w:p>
    <w:p>
      <w:pPr>
        <w:tabs>
          <w:tab w:val="left" w:pos="821" w:leader="none"/>
        </w:tabs>
        <w:rPr>
          <w:rFonts w:hint="eastAsia" w:ascii="仿宋" w:hAnsi="仿宋" w:eastAsia="仿宋"/>
          <w:sz w:val="28"/>
          <w:szCs w:val="28"/>
        </w:rPr>
      </w:pPr>
      <w:r>
        <w:rPr>
          <w:rFonts w:hint="eastAsia" w:ascii="仿宋" w:hAnsi="仿宋" w:eastAsia="仿宋"/>
          <w:sz w:val="28"/>
          <w:szCs w:val="28"/>
        </w:rPr>
        <w:t xml:space="preserve">注：以上所采购货物配置的除有特殊要求外，其余均须按照标准功能、参数提供。供</w:t>
      </w:r>
      <w:r>
        <w:rPr>
          <w:rFonts w:hint="eastAsia" w:ascii="仿宋" w:hAnsi="仿宋" w:eastAsia="仿宋"/>
          <w:sz w:val="28"/>
          <w:szCs w:val="28"/>
        </w:rPr>
        <w:t xml:space="preserve">应的产品必须是全新合格正品，生产厂家须出具产品质保书。如系进口产品须提供相关证明，同时必须符合国家环保及相关质量标准要求。</w:t>
      </w:r>
      <w:bookmarkEnd w:id="41"/>
      <w:r/>
    </w:p>
    <w:p>
      <w:pPr>
        <w:pStyle w:val="1184"/>
        <w:ind w:left="378"/>
        <w:spacing w:line="440" w:lineRule="exact"/>
        <w:rPr>
          <w:rFonts w:hint="eastAsia" w:ascii="仿宋" w:hAnsi="仿宋" w:eastAsia="仿宋"/>
          <w:color w:val="000000"/>
          <w:sz w:val="28"/>
        </w:rPr>
      </w:pPr>
      <w:r>
        <w:rPr>
          <w:rFonts w:hint="eastAsia" w:ascii="仿宋" w:hAnsi="仿宋" w:eastAsia="仿宋"/>
          <w:color w:val="000000"/>
          <w:sz w:val="28"/>
          <w:szCs w:val="28"/>
        </w:rPr>
        <w:t xml:space="preserve">三、</w:t>
      </w:r>
      <w:r>
        <w:rPr>
          <w:rFonts w:hint="eastAsia" w:ascii="仿宋" w:hAnsi="仿宋" w:eastAsia="仿宋"/>
          <w:color w:val="000000"/>
          <w:sz w:val="28"/>
        </w:rPr>
        <w:t xml:space="preserve">其他要求：</w:t>
      </w:r>
      <w:r/>
    </w:p>
    <w:p>
      <w:pP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项目整体实施方案、进度计划安排：供应商应具备实施本次项目相应的技术能力，充分了解采购人现状和业务需求，与采购人等相关方充分沟通后，制定详细可行的项目实施方案，包括但不限于项目整体实施方案，进度计划安排，供货组织安排，安装、调试及验收方案，项目团队人员配置等；进行总体管控与协调，经采购人认可后方可开始实施。</w:t>
      </w:r>
      <w:r/>
    </w:p>
    <w:p>
      <w:pP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质量保证措施：供应商应针对本项目制定完整的质量保证措施，内容应包含质量监督管理措施，产品货源渠道（不限于制造商授权函、销售协议等），产品出厂生产的质量保障措施，运送过程中的产品保障措施，到货验收时的质量保障措施以及服务质量保障措施。同时应针对本项目设立专门的服务小组，并提供服务人员联系方式，负责与采购方的沟通协调，保障服务质量。</w:t>
      </w:r>
      <w:r/>
    </w:p>
    <w:p>
      <w:pP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（3）售后服务方案：供应商应为实施本项目制定完整的售后服务方案，内容应包含售后服务承诺，售后服务方案（须包含服务内容、故障响应时间、售后服务方式等）。</w:t>
      </w:r>
      <w:r/>
    </w:p>
    <w:p>
      <w:pP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技术培训方案：供应商应为实施本项目配备相应的技术人员（项目负责人、技术负责人、运维技术人员等），特殊工作需持有上岗操作证。供应商应免费向采购人提供相关设备现场使用的操作培训（熟练掌握）。技术培训方案内容应包含培训计划，含培训计划表、地点、时间及培训对象人数等；培训内容含所提供产品的原理和技术性能、操作维护方法、安装调试、排除故障等。</w:t>
      </w:r>
      <w:r/>
    </w:p>
    <w:p>
      <w:pPr>
        <w:ind w:firstLine="259"/>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四、</w:t>
      </w:r>
      <w:r>
        <w:rPr>
          <w:rFonts w:hint="eastAsia" w:ascii="仿宋" w:hAnsi="仿宋" w:eastAsia="仿宋"/>
          <w:b/>
          <w:bCs/>
          <w:color w:val="000000"/>
          <w:sz w:val="28"/>
          <w:szCs w:val="28"/>
        </w:rPr>
        <w:t xml:space="preserve">售后服务要求：</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(1)验收通过之日起对产品质保 2年。质保期内，因设备配置或制造质量问题而引起的故障，乙方应在24小时内立即予以免费维修或更换，由此引起的一切费用由乙方承担。</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(2)技术支持响应时间。一般问题2小时内电话支持，难点、重点问题2天内现场解决，质保期内相关费用由乙方承担，质保期满后乙方收取成本费。</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除本文件规定服务要求外，供应商所能承诺的售后服务应详细说明，同时负责免费向采购人提供设备维修或操作人员的培训。</w:t>
      </w:r>
      <w:r/>
    </w:p>
    <w:p>
      <w:pPr>
        <w:pStyle w:val="1291"/>
        <w:ind w:firstLine="520"/>
        <w:spacing w:before="0" w:beforeAutospacing="0" w:after="0" w:afterAutospacing="0" w:line="580" w:lineRule="exact"/>
        <w:rPr>
          <w:rFonts w:hint="eastAsia" w:ascii="仿宋" w:hAnsi="仿宋" w:eastAsia="仿宋"/>
          <w:sz w:val="28"/>
          <w:szCs w:val="28"/>
        </w:rPr>
      </w:pPr>
      <w:r>
        <w:rPr>
          <w:rFonts w:hint="eastAsia" w:ascii="仿宋" w:hAnsi="仿宋" w:eastAsia="仿宋"/>
          <w:b/>
          <w:bCs/>
          <w:color w:val="000000"/>
          <w:sz w:val="28"/>
          <w:szCs w:val="28"/>
        </w:rPr>
        <w:t xml:space="preserve">5、供货及安装时间：</w:t>
      </w:r>
      <w:bookmarkStart w:id="44" w:name="_Hlk157930865"/>
      <w:r/>
      <w:bookmarkStart w:id="45" w:name="_Hlk156411969"/>
      <w:r>
        <w:rPr>
          <w:rFonts w:hint="eastAsia" w:ascii="仿宋" w:hAnsi="仿宋" w:eastAsia="仿宋"/>
          <w:sz w:val="28"/>
          <w:szCs w:val="28"/>
        </w:rPr>
        <w:t xml:space="preserve">采购合同签订后</w:t>
      </w:r>
      <w:r>
        <w:rPr>
          <w:rFonts w:hint="eastAsia" w:ascii="仿宋" w:hAnsi="仿宋" w:eastAsia="仿宋"/>
          <w:sz w:val="28"/>
          <w:szCs w:val="28"/>
        </w:rPr>
        <w:t xml:space="preserve">3</w:t>
      </w:r>
      <w:r>
        <w:rPr>
          <w:rFonts w:hint="eastAsia" w:ascii="仿宋" w:hAnsi="仿宋" w:eastAsia="仿宋"/>
          <w:sz w:val="28"/>
          <w:szCs w:val="28"/>
        </w:rPr>
        <w:t xml:space="preserve">0天内供货安装完成。</w:t>
      </w:r>
      <w:bookmarkEnd w:id="44"/>
      <w:r>
        <w:rPr>
          <w:rFonts w:ascii="仿宋" w:hAnsi="仿宋" w:eastAsia="仿宋"/>
          <w:sz w:val="28"/>
          <w:szCs w:val="28"/>
        </w:rPr>
        <w:t xml:space="preserve"> </w:t>
      </w:r>
      <w:bookmarkEnd w:id="45"/>
      <w:r/>
    </w:p>
    <w:p>
      <w:pPr>
        <w:pStyle w:val="1291"/>
        <w:ind w:firstLine="510"/>
        <w:spacing w:before="0" w:beforeAutospacing="0" w:after="0" w:afterAutospacing="0" w:line="560" w:lineRule="exact"/>
        <w:rPr>
          <w:rFonts w:hint="eastAsia" w:ascii="仿宋" w:hAnsi="仿宋" w:eastAsia="仿宋"/>
          <w:sz w:val="28"/>
          <w:szCs w:val="28"/>
        </w:rPr>
      </w:pPr>
      <w:r>
        <w:rPr>
          <w:rFonts w:hint="eastAsia" w:ascii="仿宋" w:hAnsi="仿宋" w:eastAsia="仿宋"/>
          <w:b/>
          <w:bCs/>
          <w:sz w:val="28"/>
          <w:szCs w:val="28"/>
        </w:rPr>
        <w:t xml:space="preserve">6、付款方式：</w:t>
      </w:r>
      <w:r>
        <w:rPr>
          <w:rFonts w:ascii="仿宋" w:hAnsi="仿宋" w:eastAsia="仿宋"/>
          <w:sz w:val="28"/>
          <w:szCs w:val="28"/>
        </w:rPr>
        <w:t xml:space="preserve">采购合同签订后付合同价的30%，供货、安装完成并验收合格后付合同价的50%，调试合格后付合同价的10%，整体验收合格一年后结清余款。</w:t>
      </w:r>
      <w:r/>
    </w:p>
    <w:p>
      <w:pPr>
        <w:pStyle w:val="1291"/>
        <w:ind w:firstLine="510"/>
        <w:spacing w:before="0" w:beforeAutospacing="0" w:after="0" w:afterAutospacing="0"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7、参照《关于印发中小企业划型标准规定的通知》（工信部联企业[2011]300号）文件，本项目采购标的所属</w:t>
      </w:r>
      <w:r>
        <w:rPr>
          <w:rFonts w:hint="eastAsia" w:ascii="仿宋" w:hAnsi="仿宋" w:eastAsia="仿宋" w:cs="仿宋"/>
          <w:b/>
          <w:sz w:val="28"/>
          <w:szCs w:val="28"/>
          <w:u w:val="single"/>
        </w:rPr>
        <w:t xml:space="preserve">  工业  </w:t>
      </w:r>
      <w:r>
        <w:rPr>
          <w:rFonts w:hint="eastAsia" w:ascii="仿宋" w:hAnsi="仿宋" w:eastAsia="仿宋" w:cs="仿宋"/>
          <w:b/>
          <w:color w:val="000000"/>
          <w:sz w:val="28"/>
          <w:szCs w:val="28"/>
          <w:u w:val="single"/>
        </w:rPr>
        <w:t xml:space="preserve">行业</w:t>
      </w:r>
      <w:r>
        <w:rPr>
          <w:rFonts w:hint="eastAsia" w:ascii="仿宋" w:hAnsi="仿宋" w:eastAsia="仿宋" w:cs="仿宋"/>
          <w:b/>
          <w:color w:val="000000"/>
          <w:sz w:val="28"/>
          <w:szCs w:val="28"/>
        </w:rPr>
        <w:t xml:space="preserve"> 。</w:t>
      </w:r>
      <w:r/>
    </w:p>
    <w:p>
      <w:pPr>
        <w:ind w:firstLine="370"/>
        <w:spacing w:line="520" w:lineRule="exact"/>
        <w:rPr>
          <w:rFonts w:ascii="仿宋_GB2312" w:eastAsia="仿宋_GB2312" w:cs="仿宋_GB2312"/>
          <w:szCs w:val="28"/>
        </w:rPr>
      </w:pPr>
      <w:r>
        <w:rPr>
          <w:rFonts w:ascii="仿宋_GB2312" w:eastAsia="仿宋_GB2312" w:cs="仿宋_GB2312"/>
          <w:szCs w:val="28"/>
        </w:rPr>
      </w:r>
      <w:bookmarkEnd w:id="40"/>
      <w:r/>
    </w:p>
    <w:p>
      <w:r/>
      <w:r/>
    </w:p>
    <w:p>
      <w:pPr>
        <w:jc w:val="center"/>
        <w:rPr>
          <w:rFonts w:hint="eastAsia" w:ascii="仿宋" w:hAnsi="仿宋" w:eastAsia="仿宋"/>
          <w:b/>
          <w:bCs/>
          <w:sz w:val="44"/>
        </w:rPr>
      </w:pPr>
      <w:r>
        <w:rPr>
          <w:rFonts w:hint="eastAsia" w:ascii="仿宋" w:hAnsi="仿宋" w:eastAsia="仿宋"/>
          <w:b/>
          <w:bCs/>
          <w:sz w:val="44"/>
        </w:rPr>
      </w:r>
      <w:r/>
    </w:p>
    <w:p>
      <w:pPr>
        <w:jc w:val="left"/>
        <w:spacing w:line="560" w:lineRule="exact"/>
        <w:rPr>
          <w:rFonts w:hint="eastAsia" w:ascii="仿宋" w:hAnsi="仿宋" w:eastAsia="仿宋"/>
          <w:b/>
          <w:bCs/>
          <w:sz w:val="44"/>
          <w:szCs w:val="44"/>
        </w:rPr>
      </w:pPr>
      <w:r>
        <w:rPr>
          <w:rFonts w:hint="eastAsia" w:ascii="仿宋" w:hAnsi="仿宋" w:eastAsia="仿宋"/>
          <w:b/>
          <w:bCs/>
          <w:sz w:val="44"/>
          <w:szCs w:val="44"/>
        </w:r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r>
      <w:r/>
    </w:p>
    <w:p>
      <w:pPr>
        <w:pStyle w:val="996"/>
      </w:pPr>
      <w:r/>
      <w:r/>
    </w:p>
    <w:p>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p>
    <w:p>
      <w:pPr>
        <w:jc w:val="center"/>
        <w:spacing w:line="520" w:lineRule="exact"/>
        <w:rPr>
          <w:rFonts w:hint="eastAsia" w:ascii="仿宋" w:hAnsi="仿宋" w:eastAsia="仿宋"/>
          <w:sz w:val="24"/>
        </w:rPr>
      </w:pPr>
      <w:r>
        <w:rPr>
          <w:rFonts w:hint="eastAsia" w:ascii="仿宋" w:hAnsi="仿宋" w:eastAsia="仿宋"/>
          <w:sz w:val="24"/>
        </w:rPr>
      </w:r>
      <w:r/>
    </w:p>
    <w:p>
      <w:pPr>
        <w:pStyle w:val="1015"/>
        <w:jc w:val="center"/>
        <w:rPr>
          <w:rFonts w:hint="eastAsia" w:ascii="宋体" w:hAnsi="宋体" w:cs="宋体"/>
          <w:spacing w:val="-20"/>
          <w:sz w:val="48"/>
          <w:szCs w:val="48"/>
        </w:rPr>
      </w:pPr>
      <w:r>
        <w:rPr>
          <w:rFonts w:hint="eastAsia" w:ascii="宋体" w:hAnsi="宋体" w:cs="宋体"/>
          <w:spacing w:val="-20"/>
          <w:sz w:val="48"/>
          <w:szCs w:val="48"/>
        </w:rPr>
        <w:t xml:space="preserve">政府采购货物买卖合同</w:t>
      </w:r>
      <w:r/>
    </w:p>
    <w:p>
      <w:pPr>
        <w:pStyle w:val="1015"/>
        <w:jc w:val="center"/>
        <w:rPr>
          <w:rFonts w:hint="eastAsia" w:ascii="宋体" w:hAnsi="宋体" w:cs="宋体"/>
          <w:spacing w:val="-20"/>
          <w:sz w:val="48"/>
          <w:szCs w:val="48"/>
        </w:rPr>
      </w:pPr>
      <w:r>
        <w:rPr>
          <w:rFonts w:hint="eastAsia" w:ascii="宋体" w:hAnsi="宋体" w:cs="宋体"/>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378"/>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center"/>
        <w:rPr>
          <w:rFonts w:hint="eastAsia" w:ascii="仿宋" w:hAnsi="仿宋" w:eastAsia="仿宋"/>
          <w:b/>
          <w:bCs/>
          <w:sz w:val="44"/>
        </w:rPr>
      </w:pPr>
      <w:r>
        <w:rPr>
          <w:rFonts w:hint="eastAsia" w:ascii="仿宋" w:hAnsi="仿宋" w:eastAsia="仿宋"/>
          <w:b/>
          <w:bCs/>
          <w:sz w:val="44"/>
        </w:rPr>
      </w:r>
      <w:r/>
    </w:p>
    <w:p>
      <w:pPr>
        <w:pStyle w:val="996"/>
      </w:pPr>
      <w:r/>
      <w:r/>
    </w:p>
    <w:p>
      <w:r/>
      <w:r/>
    </w:p>
    <w:p>
      <w:pPr>
        <w:pStyle w:val="996"/>
      </w:pPr>
      <w:r/>
      <w:r/>
    </w:p>
    <w:p>
      <w:r/>
      <w:r/>
    </w:p>
    <w:p>
      <w:pPr>
        <w:pStyle w:val="996"/>
      </w:pPr>
      <w:r/>
      <w:r/>
    </w:p>
    <w:p>
      <w:r/>
      <w:r/>
    </w:p>
    <w:p>
      <w:pPr>
        <w:pStyle w:val="996"/>
        <w:rPr>
          <w:rFonts w:hint="eastAsia"/>
        </w:rPr>
      </w:pPr>
      <w:r>
        <w:rPr>
          <w:rFonts w:hint="eastAsia"/>
        </w:r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使 用 说 明</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1.本合同标准文本适用于购买现成货物的采购项目，不包括需要供应商定制开发、创新研发的货物采购项目。</w:t>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   </w:t>
      </w:r>
      <w:r>
        <w:rPr>
          <w:rFonts w:hint="eastAsia" w:cs="仿宋_GB2312" w:asciiTheme="minorEastAsia" w:hAnsiTheme="minorEastAsia" w:eastAsiaTheme="minorEastAsia"/>
          <w:sz w:val="32"/>
          <w:szCs w:val="32"/>
        </w:rPr>
        <w:t xml:space="preserve">2.本合同标准文本为政府采购货物买卖合同编制提供参考，可以结合采购项目具体情况，对文本作必要的调整修订后使用。</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3.本合同标准文本各条款中，如涉及填写多家供应商、制造商，多种采购标的、分包主要内容等信息的，可根据采购项目具体情况添加信息项。</w:t>
      </w:r>
      <w:r/>
    </w:p>
    <w:p>
      <w:pPr>
        <w:jc w:val="center"/>
        <w:rPr>
          <w:rFonts w:hint="eastAsia" w:asciiTheme="minorEastAsia" w:hAnsiTheme="minorEastAsia" w:eastAsiaTheme="minorEastAsia"/>
          <w:b/>
          <w:bCs/>
          <w:sz w:val="44"/>
        </w:rPr>
      </w:pPr>
      <w:r>
        <w:rPr>
          <w:rFonts w:hint="eastAsia" w:asciiTheme="minorEastAsia" w:hAnsiTheme="minorEastAsia" w:eastAsiaTheme="minorEastAsia"/>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996"/>
        <w:jc w:val="center"/>
        <w:spacing w:line="400" w:lineRule="exact"/>
        <w:rPr>
          <w:rFonts w:hint="eastAsia" w:ascii="黑体" w:hAnsi="黑体"/>
          <w:bCs w:val="0"/>
          <w:szCs w:val="28"/>
        </w:rPr>
      </w:pPr>
      <w:r>
        <w:rPr>
          <w:rFonts w:hint="eastAsia" w:ascii="黑体" w:hAnsi="黑体"/>
          <w:bCs w:val="0"/>
          <w:szCs w:val="28"/>
        </w:rPr>
      </w:r>
      <w:r/>
    </w:p>
    <w:p>
      <w:r/>
      <w:r/>
    </w:p>
    <w:p>
      <w:pPr>
        <w:pStyle w:val="996"/>
      </w:pPr>
      <w:r/>
      <w:r/>
    </w:p>
    <w:p>
      <w:r/>
      <w:r/>
    </w:p>
    <w:p>
      <w:pPr>
        <w:pStyle w:val="996"/>
        <w:rPr>
          <w:rFonts w:hint="eastAsia"/>
        </w:rPr>
      </w:pPr>
      <w:r>
        <w:rPr>
          <w:rFonts w:hint="eastAsia"/>
        </w:rPr>
      </w:r>
      <w:r/>
    </w:p>
    <w:p>
      <w:r/>
      <w:r/>
    </w:p>
    <w:p>
      <w:r/>
      <w:r/>
    </w:p>
    <w:p>
      <w:r/>
      <w:r/>
    </w:p>
    <w:p>
      <w:r/>
      <w:r/>
    </w:p>
    <w:p>
      <w:r/>
      <w:r/>
    </w:p>
    <w:p>
      <w:r/>
      <w:r/>
    </w:p>
    <w:p>
      <w:pPr>
        <w:pStyle w:val="996"/>
        <w:jc w:val="center"/>
        <w:spacing w:line="400" w:lineRule="exact"/>
        <w:rPr>
          <w:rFonts w:hint="eastAsia" w:ascii="黑体" w:hAnsi="华文中宋"/>
          <w:b/>
          <w:bCs w:val="0"/>
          <w:szCs w:val="28"/>
        </w:rPr>
      </w:pPr>
      <w:r>
        <w:rPr>
          <w:rFonts w:hint="eastAsia" w:ascii="黑体" w:hAnsi="黑体"/>
          <w:bCs w:val="0"/>
          <w:szCs w:val="28"/>
        </w:rPr>
        <w:t xml:space="preserve">第一节 </w:t>
      </w:r>
      <w:r>
        <w:rPr>
          <w:rFonts w:hint="eastAsia" w:ascii="黑体" w:hAnsi="华文中宋"/>
          <w:bCs w:val="0"/>
          <w:szCs w:val="28"/>
        </w:rPr>
        <w:t xml:space="preserve">政府采购合同协议书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甲方（全称）：              （采购人、受采购人委托签订合同的单位或采购</w:t>
      </w:r>
      <w:r>
        <w:rPr>
          <w:rFonts w:hint="eastAsia" w:ascii="仿宋" w:hAnsi="仿宋" w:eastAsia="仿宋"/>
          <w:sz w:val="28"/>
          <w:szCs w:val="28"/>
        </w:rPr>
        <w:tab/>
        <w:t xml:space="preserve">                                   文件约定的合同甲方）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乙方1（全称）：            （供应商）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乙方2（全称）：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乙方3（全称）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1、项目信息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（1）采购项目名称：</w:t>
      </w:r>
      <w:r/>
    </w:p>
    <w:p>
      <w:pPr>
        <w:ind w:firstLine="1036"/>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采购项目编号：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（2）采购计划编号：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（3）项目内容：</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采购标的及数量（台/套</w:t>
      </w:r>
      <w:r>
        <w:rPr>
          <w:rFonts w:ascii="仿宋" w:hAnsi="仿宋" w:eastAsia="仿宋"/>
          <w:sz w:val="28"/>
          <w:szCs w:val="28"/>
        </w:rPr>
        <w:t xml:space="preserve">/</w:t>
      </w:r>
      <w:r>
        <w:rPr>
          <w:rFonts w:hint="eastAsia" w:ascii="仿宋" w:hAnsi="仿宋" w:eastAsia="仿宋"/>
          <w:sz w:val="28"/>
          <w:szCs w:val="28"/>
        </w:rPr>
        <w:t xml:space="preserve">个</w:t>
      </w:r>
      <w:r>
        <w:rPr>
          <w:rFonts w:ascii="仿宋" w:hAnsi="仿宋" w:eastAsia="仿宋"/>
          <w:sz w:val="28"/>
          <w:szCs w:val="28"/>
        </w:rPr>
        <w:t xml:space="preserve">/</w:t>
      </w:r>
      <w:r>
        <w:rPr>
          <w:rFonts w:hint="eastAsia" w:ascii="仿宋" w:hAnsi="仿宋" w:eastAsia="仿宋"/>
          <w:sz w:val="28"/>
          <w:szCs w:val="28"/>
        </w:rPr>
        <w:t xml:space="preserve">架</w:t>
      </w:r>
      <w:r>
        <w:rPr>
          <w:rFonts w:ascii="仿宋" w:hAnsi="仿宋" w:eastAsia="仿宋"/>
          <w:sz w:val="28"/>
          <w:szCs w:val="28"/>
        </w:rPr>
        <w:t xml:space="preserve">/</w:t>
      </w:r>
      <w:r>
        <w:rPr>
          <w:rFonts w:hint="eastAsia" w:ascii="仿宋" w:hAnsi="仿宋" w:eastAsia="仿宋"/>
          <w:sz w:val="28"/>
          <w:szCs w:val="28"/>
        </w:rPr>
        <w:t xml:space="preserve">组等）： </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品牌：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规格型号：</w:t>
      </w:r>
      <w:r>
        <w:rPr>
          <w:rFonts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采购标的的技术要求、商务要求具体见附件。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①涉及信息类产品，请填写该产品关键部件的品牌、型号：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标的名称：      </w:t>
      </w:r>
      <w:r>
        <w:rPr>
          <w:rFonts w:ascii="仿宋" w:hAnsi="仿宋" w:eastAsia="仿宋"/>
          <w:sz w:val="28"/>
          <w:szCs w:val="28"/>
        </w:rPr>
        <w:t xml:space="preserve">               </w:t>
      </w:r>
      <w:r>
        <w:rPr>
          <w:rFonts w:hint="eastAsia"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（注：关键部件是指财政部会同有关部门发布的政府采购需求标准规定的需要通过国</w:t>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家有关部门指定的测评机构开展的安全可靠测评的软硬件，如CPU芯片、操作系统、数据库等。）</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②涉及车辆采购，请填写是否属于新能源汽车：</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数量：     金额：      </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）政府采购组织形式：</w:t>
      </w:r>
      <w:r>
        <w:rPr>
          <w:rFonts w:ascii="Wingdings" w:hAnsi="Wingdings" w:eastAsia="Wingdings" w:cs="Wingdings"/>
          <w:sz w:val="28"/>
          <w:szCs w:val="28"/>
        </w:rPr>
        <w:t xml:space="preserve">¨</w:t>
      </w:r>
      <w:r>
        <w:rPr>
          <w:rFonts w:hint="eastAsia" w:ascii="仿宋" w:hAnsi="仿宋" w:eastAsia="仿宋"/>
          <w:sz w:val="28"/>
          <w:szCs w:val="28"/>
        </w:rPr>
        <w:t xml:space="preserve">政府集中采购  </w:t>
      </w:r>
      <w:r>
        <w:rPr>
          <w:rFonts w:ascii="Wingdings" w:hAnsi="Wingdings" w:eastAsia="Wingdings" w:cs="Wingdings"/>
          <w:sz w:val="28"/>
          <w:szCs w:val="28"/>
        </w:rPr>
        <w:t xml:space="preserve">¨</w:t>
      </w:r>
      <w:r>
        <w:rPr>
          <w:rFonts w:hint="eastAsia" w:ascii="仿宋" w:hAnsi="仿宋" w:eastAsia="仿宋"/>
          <w:sz w:val="28"/>
          <w:szCs w:val="28"/>
        </w:rPr>
        <w:t xml:space="preserve">部门集中采购  </w:t>
      </w:r>
      <w:r>
        <w:rPr>
          <w:rFonts w:ascii="Wingdings" w:hAnsi="Wingdings" w:eastAsia="Wingdings" w:cs="Wingdings"/>
          <w:sz w:val="28"/>
          <w:szCs w:val="28"/>
        </w:rPr>
        <w:t xml:space="preserve">¨</w:t>
      </w:r>
      <w:r>
        <w:rPr>
          <w:rFonts w:hint="eastAsia" w:ascii="仿宋" w:hAnsi="仿宋" w:eastAsia="仿宋"/>
          <w:sz w:val="28"/>
          <w:szCs w:val="28"/>
        </w:rPr>
        <w:t xml:space="preserve">分散采购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）政府采购方式：</w:t>
      </w:r>
      <w:r>
        <w:rPr>
          <w:rFonts w:ascii="Wingdings" w:hAnsi="Wingdings" w:eastAsia="Wingdings" w:cs="Wingdings"/>
          <w:sz w:val="28"/>
          <w:szCs w:val="28"/>
        </w:rPr>
        <w:t xml:space="preserve">¨</w:t>
      </w:r>
      <w:r>
        <w:rPr>
          <w:rFonts w:hint="eastAsia" w:ascii="仿宋" w:hAnsi="仿宋" w:eastAsia="仿宋"/>
          <w:sz w:val="28"/>
          <w:szCs w:val="28"/>
        </w:rPr>
        <w:t xml:space="preserve">公开招标 </w:t>
      </w:r>
      <w:r>
        <w:rPr>
          <w:rFonts w:ascii="Wingdings" w:hAnsi="Wingdings" w:eastAsia="Wingdings" w:cs="Wingdings"/>
          <w:sz w:val="28"/>
          <w:szCs w:val="28"/>
        </w:rPr>
        <w:t xml:space="preserve">¨</w:t>
      </w:r>
      <w:r>
        <w:rPr>
          <w:rFonts w:hint="eastAsia" w:ascii="仿宋" w:hAnsi="仿宋" w:eastAsia="仿宋"/>
          <w:sz w:val="28"/>
          <w:szCs w:val="28"/>
        </w:rPr>
        <w:t xml:space="preserve">邀请招标 </w:t>
      </w:r>
      <w:r>
        <w:rPr>
          <w:rFonts w:ascii="Wingdings" w:hAnsi="Wingdings" w:eastAsia="Wingdings" w:cs="Wingdings"/>
          <w:sz w:val="28"/>
          <w:szCs w:val="28"/>
        </w:rPr>
        <w:t xml:space="preserve">¨</w:t>
      </w:r>
      <w:r>
        <w:rPr>
          <w:rFonts w:hint="eastAsia" w:ascii="仿宋" w:hAnsi="仿宋" w:eastAsia="仿宋"/>
          <w:sz w:val="28"/>
          <w:szCs w:val="28"/>
        </w:rPr>
        <w:t xml:space="preserve">竞争性谈判 </w:t>
      </w:r>
      <w:r>
        <w:rPr>
          <w:rFonts w:ascii="Wingdings" w:hAnsi="Wingdings" w:eastAsia="Wingdings" w:cs="Wingdings"/>
          <w:sz w:val="28"/>
          <w:szCs w:val="28"/>
        </w:rPr>
        <w:t xml:space="preserve">¨</w:t>
      </w:r>
      <w:r>
        <w:rPr>
          <w:rFonts w:hint="eastAsia" w:ascii="仿宋" w:hAnsi="仿宋" w:eastAsia="仿宋"/>
          <w:sz w:val="28"/>
          <w:szCs w:val="28"/>
        </w:rPr>
        <w:t xml:space="preserve">竞争性磋商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询价 </w:t>
      </w:r>
      <w:r>
        <w:rPr>
          <w:rFonts w:ascii="Wingdings" w:hAnsi="Wingdings" w:eastAsia="Wingdings" w:cs="Wingdings"/>
          <w:sz w:val="28"/>
          <w:szCs w:val="28"/>
        </w:rPr>
        <w:t xml:space="preserve">¨</w:t>
      </w:r>
      <w:r>
        <w:rPr>
          <w:rFonts w:hint="eastAsia" w:ascii="仿宋" w:hAnsi="仿宋" w:eastAsia="仿宋"/>
          <w:sz w:val="28"/>
          <w:szCs w:val="28"/>
        </w:rPr>
        <w:t xml:space="preserve">单一来源 </w:t>
      </w:r>
      <w:r>
        <w:rPr>
          <w:rFonts w:ascii="Wingdings" w:hAnsi="Wingdings" w:eastAsia="Wingdings" w:cs="Wingdings"/>
          <w:sz w:val="28"/>
          <w:szCs w:val="28"/>
        </w:rPr>
        <w:t xml:space="preserve">¨</w:t>
      </w:r>
      <w:r>
        <w:rPr>
          <w:rFonts w:hint="eastAsia" w:ascii="仿宋" w:hAnsi="仿宋" w:eastAsia="仿宋"/>
          <w:sz w:val="28"/>
          <w:szCs w:val="28"/>
        </w:rPr>
        <w:t xml:space="preserve">框架协议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（注：在框架协议采购的第二阶段，可选择使用该合同文本）</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6</w:t>
      </w:r>
      <w:r>
        <w:rPr>
          <w:rFonts w:hint="eastAsia" w:ascii="仿宋" w:hAnsi="仿宋" w:eastAsia="仿宋"/>
          <w:sz w:val="28"/>
          <w:szCs w:val="28"/>
        </w:rPr>
        <w:t xml:space="preserve">）中标（成交）采购标的制造商是否为中小企业：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若本项目不专门面向中小企业采购，是否给予小微企业评审优惠：</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中标（成交）采购标的制造商是否为残疾人福利性单位：</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中标（成交）采购标的制造商是否为监狱企业：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）合同是否分包：</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分包主要内容：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分包供应商/制造商名称（如供应商和制造商不同，请分别填写）：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分包供应商/制造商类型（如果供应商和制造商不同，只填写制造商类型）：</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大型企业  </w:t>
      </w:r>
      <w:r>
        <w:rPr>
          <w:rFonts w:ascii="Wingdings" w:hAnsi="Wingdings" w:eastAsia="Wingdings" w:cs="Wingdings"/>
          <w:sz w:val="28"/>
          <w:szCs w:val="28"/>
        </w:rPr>
        <w:t xml:space="preserve">¨</w:t>
      </w:r>
      <w:r>
        <w:rPr>
          <w:rFonts w:hint="eastAsia" w:ascii="仿宋" w:hAnsi="仿宋" w:eastAsia="仿宋"/>
          <w:sz w:val="28"/>
          <w:szCs w:val="28"/>
        </w:rPr>
        <w:t xml:space="preserve">中型企业  </w:t>
      </w:r>
      <w:r>
        <w:rPr>
          <w:rFonts w:ascii="Wingdings" w:hAnsi="Wingdings" w:eastAsia="Wingdings" w:cs="Wingdings"/>
          <w:sz w:val="28"/>
          <w:szCs w:val="28"/>
        </w:rPr>
        <w:t xml:space="preserve">¨</w:t>
      </w:r>
      <w:r>
        <w:rPr>
          <w:rFonts w:hint="eastAsia" w:ascii="仿宋" w:hAnsi="仿宋" w:eastAsia="仿宋"/>
          <w:sz w:val="28"/>
          <w:szCs w:val="28"/>
        </w:rPr>
        <w:t xml:space="preserve">小微型企业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残疾人福利性单位 </w:t>
      </w:r>
      <w:r>
        <w:rPr>
          <w:rFonts w:ascii="Wingdings" w:hAnsi="Wingdings" w:eastAsia="Wingdings" w:cs="Wingdings"/>
          <w:sz w:val="28"/>
          <w:szCs w:val="28"/>
        </w:rPr>
        <w:t xml:space="preserve">¨</w:t>
      </w:r>
      <w:r>
        <w:rPr>
          <w:rFonts w:hint="eastAsia" w:ascii="仿宋" w:hAnsi="仿宋" w:eastAsia="仿宋"/>
          <w:sz w:val="28"/>
          <w:szCs w:val="28"/>
        </w:rPr>
        <w:t xml:space="preserve">监狱企业 </w:t>
      </w:r>
      <w:r>
        <w:rPr>
          <w:rFonts w:ascii="Wingdings" w:hAnsi="Wingdings" w:eastAsia="Wingdings" w:cs="Wingdings"/>
          <w:sz w:val="28"/>
          <w:szCs w:val="28"/>
        </w:rPr>
        <w:t xml:space="preserve">¨</w:t>
      </w:r>
      <w:r>
        <w:rPr>
          <w:rFonts w:hint="eastAsia" w:ascii="仿宋" w:hAnsi="仿宋" w:eastAsia="仿宋"/>
          <w:sz w:val="28"/>
          <w:szCs w:val="28"/>
        </w:rPr>
        <w:t xml:space="preserve">其他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）中标（成交）供应商是否为外商投资企业：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外商投资企业类型：</w:t>
      </w:r>
      <w:r>
        <w:rPr>
          <w:rFonts w:ascii="Wingdings" w:hAnsi="Wingdings" w:eastAsia="Wingdings" w:cs="Wingdings"/>
          <w:sz w:val="28"/>
          <w:szCs w:val="28"/>
        </w:rPr>
        <w:t xml:space="preserve">¨</w:t>
      </w:r>
      <w:r>
        <w:rPr>
          <w:rFonts w:hint="eastAsia" w:ascii="仿宋" w:hAnsi="仿宋" w:eastAsia="仿宋"/>
          <w:sz w:val="28"/>
          <w:szCs w:val="28"/>
        </w:rPr>
        <w:t xml:space="preserve">全部由外国投资者投资  </w:t>
      </w:r>
      <w:r>
        <w:rPr>
          <w:rFonts w:ascii="Wingdings" w:hAnsi="Wingdings" w:eastAsia="Wingdings" w:cs="Wingdings"/>
          <w:sz w:val="28"/>
          <w:szCs w:val="28"/>
        </w:rPr>
        <w:t xml:space="preserve">¨</w:t>
      </w:r>
      <w:r>
        <w:rPr>
          <w:rFonts w:hint="eastAsia" w:ascii="仿宋" w:hAnsi="仿宋" w:eastAsia="仿宋"/>
          <w:sz w:val="28"/>
          <w:szCs w:val="28"/>
        </w:rPr>
        <w:t xml:space="preserve">部分由外国投资者投资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）是否涉及进口产品：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国别：         品牌：         规格型号：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0</w:t>
      </w:r>
      <w:r>
        <w:rPr>
          <w:rFonts w:hint="eastAsia" w:ascii="仿宋" w:hAnsi="仿宋" w:eastAsia="仿宋"/>
          <w:sz w:val="28"/>
          <w:szCs w:val="28"/>
        </w:rPr>
        <w:t xml:space="preserve">）是否涉及节能产品：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是，《节能产品政府采购品目清单》的底级品目名称：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是否涉及环境标志产品：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是，《环境标志产品政府采购品目清单》的底级品目名称：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是否涉及绿色产品：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是，绿色产品政府采购相关政策确定的底级品目名称：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1</w:t>
      </w:r>
      <w:r>
        <w:rPr>
          <w:rFonts w:hint="eastAsia" w:ascii="仿宋" w:hAnsi="仿宋" w:eastAsia="仿宋"/>
          <w:sz w:val="28"/>
          <w:szCs w:val="28"/>
        </w:rPr>
        <w:t xml:space="preserve">）涉及商品包装和快递包装的，是否参考《商品包装政府采购需求标准（试行）》、《快递包装政府采购需求标准（试行）》明确产品及相关快递服务的具体包装要求：</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      </w:t>
      </w:r>
      <w:r>
        <w:rPr>
          <w:rFonts w:ascii="Wingdings" w:hAnsi="Wingdings" w:eastAsia="Wingdings" w:cs="Wingdings"/>
          <w:sz w:val="28"/>
          <w:szCs w:val="28"/>
        </w:rPr>
        <w:t xml:space="preserve">¨</w:t>
      </w:r>
      <w:r>
        <w:rPr>
          <w:rFonts w:hint="eastAsia" w:ascii="仿宋" w:hAnsi="仿宋" w:eastAsia="仿宋"/>
          <w:sz w:val="28"/>
          <w:szCs w:val="28"/>
        </w:rPr>
        <w:t xml:space="preserve">不涉及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（1）合同金额小写：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分包金额（如有）小写：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（注：固定单价合同应填写单价和最高限价）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（2）合同定价方式（采用组合定价方式的，可以勾选多项）：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固定总价 </w:t>
      </w:r>
      <w:r>
        <w:rPr>
          <w:rFonts w:ascii="Wingdings" w:hAnsi="Wingdings" w:eastAsia="Wingdings" w:cs="Wingdings"/>
          <w:sz w:val="28"/>
          <w:szCs w:val="28"/>
        </w:rPr>
        <w:t xml:space="preserve">¨</w:t>
      </w:r>
      <w:r>
        <w:rPr>
          <w:rFonts w:hint="eastAsia" w:ascii="仿宋" w:hAnsi="仿宋" w:eastAsia="仿宋"/>
          <w:sz w:val="28"/>
          <w:szCs w:val="28"/>
        </w:rPr>
        <w:t xml:space="preserve">固定单价 </w:t>
      </w:r>
      <w:r>
        <w:rPr>
          <w:rFonts w:ascii="Wingdings" w:hAnsi="Wingdings" w:eastAsia="Wingdings" w:cs="Wingdings"/>
          <w:sz w:val="28"/>
          <w:szCs w:val="28"/>
        </w:rPr>
        <w:t xml:space="preserve">¨</w:t>
      </w:r>
      <w:r>
        <w:rPr>
          <w:rFonts w:hint="eastAsia" w:ascii="仿宋" w:hAnsi="仿宋" w:eastAsia="仿宋"/>
          <w:sz w:val="28"/>
          <w:szCs w:val="28"/>
        </w:rPr>
        <w:t xml:space="preserve">固定费率 </w:t>
      </w:r>
      <w:r>
        <w:rPr>
          <w:rFonts w:ascii="Wingdings" w:hAnsi="Wingdings" w:eastAsia="Wingdings" w:cs="Wingdings"/>
          <w:sz w:val="28"/>
          <w:szCs w:val="28"/>
        </w:rPr>
        <w:t xml:space="preserve">¨</w:t>
      </w:r>
      <w:r>
        <w:rPr>
          <w:rFonts w:hint="eastAsia" w:ascii="仿宋" w:hAnsi="仿宋" w:eastAsia="仿宋"/>
          <w:sz w:val="28"/>
          <w:szCs w:val="28"/>
        </w:rPr>
        <w:t xml:space="preserve">成本补偿 </w:t>
      </w:r>
      <w:r>
        <w:rPr>
          <w:rFonts w:ascii="Wingdings" w:hAnsi="Wingdings" w:eastAsia="Wingdings" w:cs="Wingdings"/>
          <w:sz w:val="28"/>
          <w:szCs w:val="28"/>
        </w:rPr>
        <w:t xml:space="preserve">¨</w:t>
      </w:r>
      <w:r>
        <w:rPr>
          <w:rFonts w:hint="eastAsia" w:ascii="仿宋" w:hAnsi="仿宋" w:eastAsia="仿宋"/>
          <w:sz w:val="28"/>
          <w:szCs w:val="28"/>
        </w:rPr>
        <w:t xml:space="preserve">绩效激励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（3）付款方式（按项目实际勾选填写）：</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全额付款：     （应明确一次性支付合同款项的条件）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分期付款：  （应明确分期支付合同款项的各期比例和支付条件，各期支付条件应与分期履约验收情况挂钩） ，其中涉及预付款的： （应明确预付款的支付比例和支付条件）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成本补偿：      （应明确按照成本补偿方式的支付方式和支付条件）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绩效激励：      （应明确按照绩效激励方式的支付方式和支付条件）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（1）起始日期：    年   月   日，完成日期：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（3）履约担保：是否收取履约保证金：</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收取履约保证金形式：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履约担保期限：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（4）分期履行要求：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（5）风险处置措施和替代方案：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合同验收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验收组织方式：</w:t>
      </w:r>
      <w:r>
        <w:rPr>
          <w:rFonts w:ascii="Wingdings" w:hAnsi="Wingdings" w:eastAsia="Wingdings" w:cs="Wingdings"/>
          <w:sz w:val="28"/>
          <w:szCs w:val="28"/>
        </w:rPr>
        <w:t xml:space="preserve">¨</w:t>
      </w:r>
      <w:r>
        <w:rPr>
          <w:rFonts w:hint="eastAsia" w:ascii="仿宋" w:hAnsi="仿宋" w:eastAsia="仿宋"/>
          <w:sz w:val="28"/>
          <w:szCs w:val="28"/>
        </w:rPr>
        <w:t xml:space="preserve">自行组织 </w:t>
      </w:r>
      <w:r>
        <w:rPr>
          <w:rFonts w:ascii="Wingdings" w:hAnsi="Wingdings" w:eastAsia="Wingdings" w:cs="Wingdings"/>
          <w:sz w:val="28"/>
          <w:szCs w:val="28"/>
        </w:rPr>
        <w:t xml:space="preserve">¨</w:t>
      </w:r>
      <w:r>
        <w:rPr>
          <w:rFonts w:hint="eastAsia" w:ascii="仿宋" w:hAnsi="仿宋" w:eastAsia="仿宋"/>
          <w:sz w:val="28"/>
          <w:szCs w:val="28"/>
        </w:rPr>
        <w:t xml:space="preserve">委托第三方组织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验收主体：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是否邀请本项目的其他供应商参加验收：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是否邀请专家参加验收：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是否邀请服务对象参加验收：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是否邀请第三方检测机构参加验收：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是否进行抽查检测：</w:t>
      </w:r>
      <w:r>
        <w:rPr>
          <w:rFonts w:ascii="Wingdings" w:hAnsi="Wingdings" w:eastAsia="Wingdings" w:cs="Wingdings"/>
          <w:sz w:val="28"/>
          <w:szCs w:val="28"/>
        </w:rPr>
        <w:t xml:space="preserve">¨</w:t>
      </w:r>
      <w:r>
        <w:rPr>
          <w:rFonts w:hint="eastAsia" w:ascii="仿宋" w:hAnsi="仿宋" w:eastAsia="仿宋"/>
          <w:sz w:val="28"/>
          <w:szCs w:val="28"/>
        </w:rPr>
        <w:t xml:space="preserve">是，抽查比例：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是否存在破坏性检测：</w:t>
      </w:r>
      <w:r>
        <w:rPr>
          <w:rFonts w:ascii="Wingdings" w:hAnsi="Wingdings" w:eastAsia="Wingdings" w:cs="Wingdings"/>
          <w:sz w:val="28"/>
          <w:szCs w:val="28"/>
        </w:rPr>
        <w:t xml:space="preserve">¨</w:t>
      </w:r>
      <w:r>
        <w:rPr>
          <w:rFonts w:hint="eastAsia" w:ascii="仿宋" w:hAnsi="仿宋" w:eastAsia="仿宋"/>
          <w:sz w:val="28"/>
          <w:szCs w:val="28"/>
        </w:rPr>
        <w:t xml:space="preserve">是，（应明确对被破坏的检测产品的处理方式）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验收组织的其他事项：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（2）履约验收时间：（计划于何时验收/供应商提出验收申请之日起   日内组织验收）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（3）履约验收方式：</w:t>
      </w:r>
      <w:r>
        <w:rPr>
          <w:rFonts w:ascii="Wingdings" w:hAnsi="Wingdings" w:eastAsia="Wingdings" w:cs="Wingdings"/>
          <w:sz w:val="28"/>
          <w:szCs w:val="28"/>
        </w:rPr>
        <w:t xml:space="preserve">¨</w:t>
      </w:r>
      <w:r>
        <w:rPr>
          <w:rFonts w:hint="eastAsia" w:ascii="仿宋" w:hAnsi="仿宋" w:eastAsia="仿宋"/>
          <w:sz w:val="28"/>
          <w:szCs w:val="28"/>
        </w:rPr>
        <w:t xml:space="preserve">一次性验收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分期/分项验收： （应明确分期</w:t>
      </w:r>
      <w:r>
        <w:rPr>
          <w:rFonts w:ascii="仿宋" w:hAnsi="仿宋" w:eastAsia="仿宋"/>
          <w:sz w:val="28"/>
          <w:szCs w:val="28"/>
        </w:rPr>
        <w:t xml:space="preserve">/</w:t>
      </w:r>
      <w:r>
        <w:rPr>
          <w:rFonts w:hint="eastAsia" w:ascii="仿宋" w:hAnsi="仿宋" w:eastAsia="仿宋"/>
          <w:sz w:val="28"/>
          <w:szCs w:val="28"/>
        </w:rPr>
        <w:t xml:space="preserve">分项验收的工作安排）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（4）履约验收程序：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（5）履约验收的内容： （应当包括每一项技术和商务要求的履约情况，特别是落实政府采购扶持中小企业，支持绿色发展和乡村振兴等政策情况）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（6）履约验收标准：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（8）履约验收其他事项：      （产权过户登记等）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组成合同的文件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本协议书与下列文件一起构成合同文件，如下述文件之间有任何抵触、矛盾或歧义，应按以下顺序解释：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（1）政府采购合同协议书及其变更、补充协议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（3）政府采购合同通用条款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（4）中标（成交）通知书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（5）投标（响应）文件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（6）采购文件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（7）有关技术文件，图纸</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本合同自                             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合同份数</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本合同一式    份，甲方执    份，乙方执    份，均具有同等法律效力。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合同订立时间：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附件：具体标的及其技术要求和商务要求、联合协议、分包意向协议等。</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996"/>
      </w:pPr>
      <w:r/>
      <w:r/>
    </w:p>
    <w:p>
      <w:r/>
      <w:r/>
    </w:p>
    <w:p>
      <w:pPr>
        <w:pStyle w:val="996"/>
      </w:p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乙方</w:t>
            </w:r>
            <w:r>
              <w:rPr>
                <w:rFonts w:hint="eastAsia" w:ascii="仿宋" w:hAnsi="仿宋" w:eastAsia="仿宋"/>
                <w:sz w:val="28"/>
                <w:szCs w:val="28"/>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586"/>
        </w:trPr>
        <w:tc>
          <w:tcPr>
            <w:gridSpan w:val="4"/>
            <w:tcBorders>
              <w:top w:val="single" w:color="auto" w:sz="2" w:space="0"/>
            </w:tcBorders>
            <w:tcW w:w="5000"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注：涉及联合体或其他合同主体的信息应按上表格式加列。</w:t>
            </w:r>
            <w:r/>
          </w:p>
        </w:tc>
      </w:tr>
    </w:tbl>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bookmarkStart w:id="46" w:name="_Toc27624"/>
      <w:r>
        <w:rPr>
          <w:rFonts w:hint="eastAsia" w:ascii="仿宋" w:hAnsi="仿宋" w:eastAsia="仿宋"/>
          <w:sz w:val="28"/>
          <w:szCs w:val="28"/>
        </w:rPr>
        <w:t xml:space="preserve">第二节 政府采购合同通用条款</w:t>
      </w:r>
      <w:bookmarkEnd w:id="46"/>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 定义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（1）采购人（以下称甲方）是指使用财政性资金，通过政府采购方式向供应商购买货物及其相关服务的国家机关、事业单位、团体组织。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（2）供应商（以下称乙方）是指参加政府采购活动并且中标（成交），向采购人提供合同约定的货物及其相关服务的法人、非法人组织或者自然人。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（3）其他合同主体是指除采购人和供应商以外，依法参与合同缔结或履行，享有权利、承担义务的合同当事人。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1.2本合同下列术语应解释为：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（2）“合同价款”系指根据本合同规定乙方在全面履行合同义务后甲方应支付给乙方的价款。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rPr>
        <w:t xml:space="preserve">其他</w:t>
      </w:r>
      <w:r>
        <w:rPr>
          <w:rFonts w:hint="eastAsia" w:ascii="仿宋" w:hAnsi="仿宋" w:eastAsia="仿宋"/>
          <w:sz w:val="28"/>
          <w:szCs w:val="28"/>
        </w:rPr>
        <w:t xml:space="preserve">技术资料和材料等。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（4）“相关服务”系指根据合同规定，乙方应提供的与货物有关的技术、管理和</w:t>
      </w:r>
      <w:r>
        <w:rPr>
          <w:rFonts w:ascii="仿宋" w:hAnsi="仿宋" w:eastAsia="仿宋"/>
          <w:sz w:val="28"/>
          <w:szCs w:val="28"/>
        </w:rPr>
        <w:t xml:space="preserve">其他</w:t>
      </w:r>
      <w:r>
        <w:rPr>
          <w:rFonts w:hint="eastAsia" w:ascii="仿宋" w:hAnsi="仿宋" w:eastAsia="仿宋"/>
          <w:sz w:val="28"/>
          <w:szCs w:val="28"/>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rPr>
        <w:t xml:space="preserve">其他</w:t>
      </w:r>
      <w:r>
        <w:rPr>
          <w:rFonts w:hint="eastAsia" w:ascii="仿宋" w:hAnsi="仿宋" w:eastAsia="仿宋"/>
          <w:sz w:val="28"/>
          <w:szCs w:val="28"/>
        </w:rPr>
        <w:t xml:space="preserve">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（5）“分包”系指中标（成交）供应商按采购文件、投标（响应）文件的规定，根</w:t>
      </w:r>
      <w:r>
        <w:rPr>
          <w:rFonts w:hint="eastAsia" w:ascii="仿宋" w:hAnsi="仿宋" w:eastAsia="仿宋"/>
          <w:sz w:val="28"/>
          <w:szCs w:val="28"/>
        </w:rPr>
        <w:t xml:space="preserve">据分包意向协议，将中标（成交）项目中的部分履约内容，分给具有相应资质条件的供应商履行合同的行为。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（7）其他术语解释，见【政府采购合同专用条款】。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合同标的及金额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合同标的及金额应与中标（成交）结果一致。乙方为履行本合同而发生的所有费用均应包含在合同价款中，甲方不再另行支付</w:t>
      </w:r>
      <w:r>
        <w:rPr>
          <w:rFonts w:ascii="仿宋" w:hAnsi="仿宋" w:eastAsia="仿宋"/>
          <w:sz w:val="28"/>
          <w:szCs w:val="28"/>
        </w:rPr>
        <w:t xml:space="preserve">其他</w:t>
      </w:r>
      <w:r>
        <w:rPr>
          <w:rFonts w:hint="eastAsia" w:ascii="仿宋" w:hAnsi="仿宋" w:eastAsia="仿宋"/>
          <w:sz w:val="28"/>
          <w:szCs w:val="28"/>
        </w:rPr>
        <w:t xml:space="preserve">任何费用。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 履行合同的时间、地点和方式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3.1 乙方应当在约定的时间、地点，按照约定方式履行合同。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 甲方的权利和义务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签署合同后，甲方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t xml:space="preserve">甲方有权对乙方的履约行为进行检查，并</w:t>
      </w:r>
      <w:r>
        <w:rPr>
          <w:rFonts w:ascii="仿宋" w:hAnsi="仿宋" w:eastAsia="仿宋"/>
          <w:sz w:val="28"/>
          <w:szCs w:val="28"/>
        </w:rPr>
        <w:t xml:space="preserve">及时确认乙方提交的事项</w:t>
      </w:r>
      <w:r>
        <w:rPr>
          <w:rFonts w:hint="eastAsia" w:ascii="仿宋" w:hAnsi="仿宋" w:eastAsia="仿宋"/>
          <w:sz w:val="28"/>
          <w:szCs w:val="28"/>
        </w:rPr>
        <w:t xml:space="preserve">。甲方应当</w:t>
      </w:r>
      <w:r>
        <w:rPr>
          <w:rFonts w:ascii="仿宋" w:hAnsi="仿宋" w:eastAsia="仿宋"/>
          <w:sz w:val="28"/>
          <w:szCs w:val="28"/>
        </w:rPr>
        <w:t xml:space="preserve">配合乙方完成</w:t>
      </w:r>
      <w:r>
        <w:rPr>
          <w:rFonts w:hint="eastAsia" w:ascii="仿宋" w:hAnsi="仿宋" w:eastAsia="仿宋"/>
          <w:sz w:val="28"/>
          <w:szCs w:val="28"/>
        </w:rPr>
        <w:t xml:space="preserve">相关项目</w:t>
      </w:r>
      <w:r>
        <w:rPr>
          <w:rFonts w:ascii="仿宋" w:hAnsi="仿宋" w:eastAsia="仿宋"/>
          <w:sz w:val="28"/>
          <w:szCs w:val="28"/>
        </w:rPr>
        <w:t xml:space="preserve">实施工作。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4.2 </w:t>
      </w:r>
      <w:r>
        <w:rPr>
          <w:rFonts w:ascii="仿宋" w:hAnsi="仿宋" w:eastAsia="仿宋"/>
          <w:sz w:val="28"/>
          <w:szCs w:val="28"/>
        </w:rPr>
        <w:t xml:space="preserve">甲方有权要求乙方按时提交各阶段有关</w:t>
      </w:r>
      <w:r>
        <w:rPr>
          <w:rFonts w:hint="eastAsia" w:ascii="仿宋" w:hAnsi="仿宋" w:eastAsia="仿宋"/>
          <w:sz w:val="28"/>
          <w:szCs w:val="28"/>
        </w:rPr>
        <w:t xml:space="preserve">安排计划</w:t>
      </w:r>
      <w:r>
        <w:rPr>
          <w:rFonts w:ascii="仿宋" w:hAnsi="仿宋" w:eastAsia="仿宋"/>
          <w:sz w:val="28"/>
          <w:szCs w:val="28"/>
        </w:rPr>
        <w:t xml:space="preserve">，并有权</w:t>
      </w:r>
      <w:r>
        <w:rPr>
          <w:rFonts w:hint="eastAsia" w:ascii="仿宋" w:hAnsi="仿宋" w:eastAsia="仿宋"/>
          <w:sz w:val="28"/>
          <w:szCs w:val="28"/>
        </w:rPr>
        <w:t xml:space="preserve">定期核对乙方提供货物数量、规格、质量等内容。甲方</w:t>
      </w:r>
      <w:r>
        <w:rPr>
          <w:rFonts w:ascii="仿宋" w:hAnsi="仿宋" w:eastAsia="仿宋"/>
          <w:sz w:val="28"/>
          <w:szCs w:val="28"/>
        </w:rPr>
        <w:t xml:space="preserve">有权督促乙方工作并要求乙方</w:t>
      </w:r>
      <w:r>
        <w:rPr>
          <w:rFonts w:hint="eastAsia" w:ascii="仿宋" w:hAnsi="仿宋" w:eastAsia="仿宋"/>
          <w:sz w:val="28"/>
          <w:szCs w:val="28"/>
        </w:rPr>
        <w:t xml:space="preserve">更</w:t>
      </w:r>
      <w:r>
        <w:rPr>
          <w:rFonts w:ascii="仿宋" w:hAnsi="仿宋" w:eastAsia="仿宋"/>
          <w:sz w:val="28"/>
          <w:szCs w:val="28"/>
        </w:rPr>
        <w:t xml:space="preserve">换不符合要求的</w:t>
      </w:r>
      <w:r>
        <w:rPr>
          <w:rFonts w:hint="eastAsia" w:ascii="仿宋" w:hAnsi="仿宋" w:eastAsia="仿宋"/>
          <w:sz w:val="28"/>
          <w:szCs w:val="28"/>
        </w:rPr>
        <w:t xml:space="preserve">货物</w:t>
      </w:r>
      <w:r>
        <w:rPr>
          <w:rFonts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rPr>
        <w:t xml:space="preserve">甲方</w:t>
      </w:r>
      <w:r>
        <w:rPr>
          <w:rFonts w:hint="eastAsia" w:ascii="仿宋" w:hAnsi="仿宋" w:eastAsia="仿宋"/>
          <w:sz w:val="28"/>
          <w:szCs w:val="28"/>
        </w:rPr>
        <w:t xml:space="preserve">有权要求乙方对缺陷部分予以修复，并按合同约定享有货物保修及其他合同约定的权利。</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4.4 甲方应当按照合同约定及时对交付的货物进行验收</w:t>
      </w:r>
      <w:r>
        <w:rPr>
          <w:rFonts w:hint="eastAsia" w:ascii="仿宋" w:hAnsi="仿宋" w:eastAsia="仿宋"/>
          <w:sz w:val="28"/>
          <w:szCs w:val="28"/>
        </w:rPr>
        <w:t xml:space="preserve">，未在【政府采购合同专用条款】约定的期限内对乙方履约提出任何异议或者向乙方作出任何说明的，视为验收</w:t>
      </w:r>
      <w:r>
        <w:rPr>
          <w:rFonts w:hint="eastAsia" w:ascii="仿宋" w:hAnsi="仿宋" w:eastAsia="仿宋"/>
          <w:sz w:val="28"/>
          <w:szCs w:val="28"/>
        </w:rPr>
        <w:t xml:space="preserve">通过。</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5 </w:t>
      </w:r>
      <w:r>
        <w:rPr>
          <w:rFonts w:hint="eastAsia" w:ascii="仿宋" w:hAnsi="仿宋" w:eastAsia="仿宋"/>
          <w:sz w:val="28"/>
          <w:szCs w:val="28"/>
        </w:rPr>
        <w:t xml:space="preserve">甲方应当根据合同约定及时向乙方支付合同价款</w:t>
      </w:r>
      <w:r>
        <w:rPr>
          <w:rFonts w:ascii="仿宋" w:hAnsi="仿宋" w:eastAsia="仿宋"/>
          <w:sz w:val="28"/>
          <w:szCs w:val="28"/>
        </w:rPr>
        <w:t xml:space="preserve">，不得以内部人员变更、履行内部付款流程等为由，拒绝或迟延支付。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4.6</w:t>
      </w:r>
      <w:r>
        <w:rPr>
          <w:rFonts w:ascii="仿宋" w:hAnsi="仿宋" w:eastAsia="仿宋"/>
          <w:sz w:val="28"/>
          <w:szCs w:val="28"/>
        </w:rPr>
        <w:t xml:space="preserve"> </w:t>
      </w:r>
      <w:r>
        <w:rPr>
          <w:rFonts w:hint="eastAsia" w:ascii="仿宋" w:hAnsi="仿宋" w:eastAsia="仿宋"/>
          <w:sz w:val="28"/>
          <w:szCs w:val="28"/>
        </w:rPr>
        <w:t xml:space="preserve">国家法律法规规定及【政府采购合同专用条款】约定应由甲方承担的其他义务和责任。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 乙方的权利和义务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5.1 </w:t>
      </w:r>
      <w:r>
        <w:rPr>
          <w:rFonts w:ascii="仿宋" w:hAnsi="仿宋" w:eastAsia="仿宋"/>
          <w:sz w:val="28"/>
          <w:szCs w:val="28"/>
        </w:rPr>
        <w:t xml:space="preserve">签署合同后，乙方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2 乙方应按照合同要求</w:t>
      </w:r>
      <w:r>
        <w:rPr>
          <w:rFonts w:hint="eastAsia" w:ascii="仿宋" w:hAnsi="仿宋" w:eastAsia="仿宋"/>
          <w:sz w:val="28"/>
          <w:szCs w:val="28"/>
        </w:rPr>
        <w:t xml:space="preserve">履约</w:t>
      </w:r>
      <w:r>
        <w:rPr>
          <w:rFonts w:ascii="仿宋" w:hAnsi="仿宋" w:eastAsia="仿宋"/>
          <w:sz w:val="28"/>
          <w:szCs w:val="28"/>
        </w:rPr>
        <w:t xml:space="preserve">，充分合理安排，确保</w:t>
      </w:r>
      <w:r>
        <w:rPr>
          <w:rFonts w:hint="eastAsia" w:ascii="仿宋" w:hAnsi="仿宋" w:eastAsia="仿宋"/>
          <w:sz w:val="28"/>
          <w:szCs w:val="28"/>
        </w:rPr>
        <w:t xml:space="preserve">提供的货物及相关服务符合合同有关</w:t>
      </w:r>
      <w:r>
        <w:rPr>
          <w:rFonts w:ascii="仿宋" w:hAnsi="仿宋" w:eastAsia="仿宋"/>
          <w:sz w:val="28"/>
          <w:szCs w:val="28"/>
        </w:rPr>
        <w:t xml:space="preserve">要求</w:t>
      </w:r>
      <w:r>
        <w:rPr>
          <w:rFonts w:hint="eastAsia" w:ascii="仿宋" w:hAnsi="仿宋" w:eastAsia="仿宋"/>
          <w:sz w:val="28"/>
          <w:szCs w:val="28"/>
        </w:rPr>
        <w:t xml:space="preserve">。接受项目行业管理部门及政府有关部门的指导，配合甲方的履约检查及验收，并</w:t>
      </w:r>
      <w:r>
        <w:rPr>
          <w:rFonts w:ascii="仿宋" w:hAnsi="仿宋" w:eastAsia="仿宋"/>
          <w:sz w:val="28"/>
          <w:szCs w:val="28"/>
        </w:rPr>
        <w:t xml:space="preserve">负责项目实施过程中的所有协调工作。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3</w:t>
      </w:r>
      <w:r>
        <w:rPr>
          <w:rFonts w:hint="eastAsia" w:ascii="仿宋" w:hAnsi="仿宋" w:eastAsia="仿宋"/>
          <w:sz w:val="28"/>
          <w:szCs w:val="28"/>
        </w:rPr>
        <w:t xml:space="preserve">乙方有权根据合同约定向甲方收取合同价款。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4</w:t>
      </w:r>
      <w:r>
        <w:rPr>
          <w:rFonts w:hint="eastAsia" w:ascii="仿宋" w:hAnsi="仿宋" w:eastAsia="仿宋"/>
          <w:sz w:val="28"/>
          <w:szCs w:val="28"/>
        </w:rPr>
        <w:t xml:space="preserve">国家法律法规规定及【政府采购合同专用条款】约定应由乙方承担的其他义务和责任。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6.1 甲乙双方应当按照【政府采购合同专用条款】约定顺序履行合同义务；如果没有先后顺序的，应当同时履行。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 货物包装、运输、保险和交付要求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7.2 除【政府采购合同专用条款】另有约定外，乙方负责办理将货物运抵本合同规定的交货地点，并装卸、交付至甲方的一切运输事项，相关费用应包含在合同价款中。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7.3 货物保险要求按【政府采购合同专用条款】规定执行。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7.5 乙方在运输到达之前应提前通知甲方，并提示货物运输装卸的注意事项，甲方配合乙方做好货物的接收工作。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7.6 如因包装、运输问题导致货物损毁、丢失或者品质下降，甲方有权要求降价、换货、拒收部分或整批货物，由此产生的费用和损失，均由乙方承担。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 质量标准和保证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8.1 质量标准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（2）采用中华人民共和国法定计量单位。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（3）乙方所提供的货物应符合国家有关安全、环保、卫生的规定。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8.2 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（1）乙方应保证提供的货物完全符合合同规定的质量、规格和性能要求。乙方应保</w:t>
      </w:r>
      <w:r>
        <w:rPr>
          <w:rFonts w:hint="eastAsia" w:ascii="仿宋" w:hAnsi="仿宋" w:eastAsia="仿宋"/>
          <w:sz w:val="28"/>
          <w:szCs w:val="28"/>
        </w:rPr>
        <w:t xml:space="preserve">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（2）在质量保证期内所发现的缺陷，甲方应尽快以书面形式通知乙方。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（3）乙方收到通知后，应在【政府采购合同专用条款】规定的响应时间内以合理的速度免费维修或更换有缺陷的货物或部件。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（5）乙方在约定的时间内未能弥补缺陷，甲方可采取必要的补救措施，但其风险和费用将由乙方承担，甲方根据合同约定对乙方行使的其他权利不受影响。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 权利瑕疵担保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9.1 乙方保证对其出售的货物享有合法的权利。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9.2 乙方保证在交付的货物上不存在抵押权等担保物权。</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9.3 如甲方使用上述货物构成对第三人侵权的，则由乙方承担全部责任。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 知识产权保护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10.1 乙方对其所销售的货物应当享有知识产权或经权利人合法授权，保证没有侵犯任何第三人的知识产权等权利。</w:t>
      </w:r>
      <w:bookmarkStart w:id="47" w:name="_Hlk163047038"/>
      <w:r>
        <w:rPr>
          <w:rFonts w:hint="eastAsia" w:ascii="仿宋" w:hAnsi="仿宋" w:eastAsia="仿宋"/>
          <w:sz w:val="28"/>
          <w:szCs w:val="28"/>
        </w:rPr>
        <w:t xml:space="preserve">因违反前述约定对第三人构成侵权的，应当由乙方向第三人承担法律责任；甲方依法向第三人赔偿后，有权向乙方追偿。甲方有其他损失的，乙方应当赔偿</w:t>
      </w:r>
      <w:bookmarkEnd w:id="47"/>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 保密义务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w:t>
      </w:r>
      <w:r>
        <w:rPr>
          <w:rFonts w:hint="eastAsia" w:ascii="仿宋" w:hAnsi="仿宋" w:eastAsia="仿宋"/>
          <w:sz w:val="28"/>
          <w:szCs w:val="28"/>
        </w:rPr>
        <w:t xml:space="preserve">息，应当承担相应责任。其他应当保密的信息由双方在【政府采购合同专用条款】中约定。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 合同价款支付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12.1 合同价款支付按照国库集中支付制度及财政管理相关规定执行。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 履约保证金</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13.1 乙方应当以支票、汇票、本票或者金融机构、担保机构出具的保函等非现金形式提交。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 售后服务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14.1 除项目不涉及或采购活动中明确约定无须承担外，乙方还应提供下列服务：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（1）货物的现场移动、安装、调试、启动监督及技术支持；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（2）提供货物组装和维修所需的专用工具和辅助材料；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（3）在【政府采购合同专用条款】约定的期限内对所有的货物实施运行监督、维修，但前提条件是该服务并不能免除乙方在质量保证期内所承担的义务；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（4）在制造商所在地或指定现场就货物的安装、启动、运营、维护、废弃处置等对</w:t>
      </w:r>
      <w:r>
        <w:rPr>
          <w:rFonts w:hint="eastAsia" w:ascii="仿宋" w:hAnsi="仿宋" w:eastAsia="仿宋"/>
          <w:sz w:val="28"/>
          <w:szCs w:val="28"/>
        </w:rPr>
        <w:t xml:space="preserve">甲方操作人员进行培训；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（5）依照法律、行政法规的规定或者按照【政府采购合同专用条款】约定，货物在有效使用年限届满后应予回收的，乙方负有自行或者委托第三人对货物予以回收的义务；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（6）【政府采购合同专用条款】规定由乙方提供的其他服务。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14.2 乙方提供的售后服务的费用已包含在合同价款中，甲方不再另行支付。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 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15.1质量瑕疵的违约责任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15.2 迟延交货的违约责任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15.3 迟延支付的违约责任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甲方存在迟延支付乙方合同款项的，应当承担【政府采购合同专用条款】规定的逾期付款利息。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15.4其他违约责任根据项目实际需要按【政府采购合同专用条款】规定执行。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合同变更、中止与终止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16.1合同的变更</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16.2合同的中止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（1）合同履行过程中因供应商就采购文件、采购过程或结果提起投诉的，甲方认为有必要的，可以中止合同的履行。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（4）甲方不得以行政区划调整、政府换届、机构或者职能调整以及相关责任人更替为由中止合同。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16.3合同的终止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（1）合同因有效期限届满而终止；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（2）乙方未按合同约定履行，构成根本性违约的，甲方有权终止合同，并追究乙方的违约责任。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16.4 涉及国家利益、社会公共利益的情形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政府采购合同继续履行将损害国家利益和社会公共利益的，双方当事人应当变更、</w:t>
      </w:r>
      <w:r>
        <w:rPr>
          <w:rFonts w:hint="eastAsia" w:ascii="仿宋" w:hAnsi="仿宋" w:eastAsia="仿宋"/>
          <w:sz w:val="28"/>
          <w:szCs w:val="28"/>
        </w:rPr>
        <w:t xml:space="preserve">中止或者终止合同。有过错的一方应当承担赔偿责任，双方都有过错的，各自承担相应的责任。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 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17.1 乙方不得将合同转包给其他供应商。涉及合同分包的，乙方应根据采购文件和投标（响应）文件规定进行合同分包。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17.2 乙方执行政府采购政策向中小企业依法分包的，乙方应当按采购文件和投标（响应）文件签订分包意向协议，分包意向协议属于本合同组成部分。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 不可抗力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18.1 不可抗力是指合同双方不能预见、不能避免且不能克服的客观情况。</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18.2 任何一方对由于不可抗力造成的部分或全部不能履行合同不承担违约责任。但迟延履行后发生不可抗力的，不能免除责任。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 解决争议的方法</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19.3 如甲乙双方有争议的事项不影响合同其他部分的履行，在争议解决期间，合同其他部分应当继续履行。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 政府采购政策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20.1 本合同应当按照规定执行政府采购政策。</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法律适用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21.1 本合同的订立、生效、解释、履行及与本合同有关的争议解决，均适用法律、行政法规。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21.2 本合同条款与法律、行政法规的强制性规定不一致的，双方当事人应按照法律、行政法规的强制性规定修改本合同的相关条款。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 通知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22.1 本合同任何一方向对方发出的通知、信件、数据电文等，应当发送至本合同第一部分《政府采购合同协议书》所约定的通讯地址、联系人、联系电话或电子邮箱。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22.2 一方当事人变更名称、住所、联系人、联系电话或电子邮箱等信息的，应当在变更后3日内及时书面通知对方，对方实际收到变更通知前的送达仍为有效送达。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22.3本合同一方给另一方的通知均应采用书面形式，传真或快递送到本合同中规定的对方的地址和办理签收手续。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22.4通知以送达之日或通知书中规定的生效之日起生效，两者中以较迟之日为准。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合同未尽事项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23.1合同未尽事项见【政府采购合同专用条款】。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23.2 合同附件与合同正文具有同等的法律效力。</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第三节 政府采购合同专用条款</w:t>
      </w:r>
      <w:r/>
    </w:p>
    <w:tbl>
      <w:tblPr>
        <w:tblW w:w="880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4366"/>
        <w:gridCol w:w="2835"/>
      </w:tblGrid>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第1.2（6）项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联合体具体要求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0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第1.2（7）项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其他术语解释</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履约验收中甲方提出异议或作出说明的期限</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第4.6款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约定甲方承担的其他义务和责任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第5.4款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约定乙方承担的其他义务和责任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第6.1款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履行合同义务的顺序</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包装特殊要求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指定现场</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72"/>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运输特殊要求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第7.3款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保险要求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第8.2（1）项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质量保证期</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货物质量缺陷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响应时间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第11.1款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其他应当保密的信息</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合同价款支付时间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第13.3款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运行监督、维修期限</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第14.1（5）项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货物回收的约定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第14.1（6）项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乙方提供的其他服务</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第15.2（2）项</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迟延交货赔偿费</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第15.3款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逾期付款利息</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第15.4款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其他违约责任</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第19.2款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解决争议的方法</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因本合同及合同有关事项发生的争议，按下列第   种方式解决：</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（1）向                    仲裁委员会申请仲裁，仲裁地点为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第23.1款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其他专用条款</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bl>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pPr>
        <w:pStyle w:val="996"/>
      </w:pPr>
      <w:r/>
      <w:r/>
    </w:p>
    <w:p>
      <w:r/>
      <w:r/>
    </w:p>
    <w:p>
      <w:pP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t xml:space="preserve">第四部分   投标文件格式</w:t>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jc w:val="center"/>
        <w:rPr>
          <w:rFonts w:hint="eastAsia" w:ascii="黑体" w:hAnsi="黑体" w:eastAsia="黑体"/>
          <w:b/>
          <w:bCs/>
          <w:sz w:val="44"/>
        </w:rPr>
      </w:pPr>
      <w:r>
        <w:rPr>
          <w:rFonts w:hint="eastAsia" w:ascii="黑体" w:hAnsi="黑体" w:eastAsia="黑体"/>
          <w:b/>
          <w:bCs/>
          <w:sz w:val="44"/>
        </w:rPr>
        <w:t xml:space="preserve">投   标   文   件</w:t>
      </w:r>
      <w:r/>
    </w:p>
    <w:p>
      <w:pPr>
        <w:jc w:val="center"/>
        <w:rPr>
          <w:rFonts w:ascii="仿宋_GB2312" w:eastAsia="仿宋_GB2312"/>
          <w:b/>
          <w:bCs/>
          <w:sz w:val="44"/>
        </w:rPr>
      </w:pPr>
      <w:r>
        <w:rPr>
          <w:rFonts w:ascii="仿宋_GB2312" w:eastAsia="仿宋_GB2312"/>
          <w:b/>
          <w:bCs/>
          <w:sz w:val="44"/>
        </w:rPr>
      </w:r>
      <w:r/>
    </w:p>
    <w:p>
      <w:pPr>
        <w:jc w:val="center"/>
        <w:rPr>
          <w:rFonts w:ascii="仿宋_GB2312" w:eastAsia="仿宋_GB2312"/>
          <w:b/>
          <w:bCs/>
          <w:sz w:val="44"/>
        </w:rPr>
      </w:pPr>
      <w:r>
        <w:rPr>
          <w:rFonts w:ascii="仿宋_GB2312" w:eastAsia="仿宋_GB2312"/>
          <w:b/>
          <w:bCs/>
          <w:sz w:val="44"/>
        </w:rPr>
      </w:r>
      <w:r/>
    </w:p>
    <w:p>
      <w:pPr>
        <w:ind w:firstLine="2705"/>
        <w:rPr>
          <w:rFonts w:hint="eastAsia" w:ascii="楷体" w:hAnsi="楷体" w:eastAsia="楷体"/>
          <w:b/>
          <w:bCs/>
          <w:sz w:val="32"/>
        </w:rPr>
      </w:pPr>
      <w:r>
        <w:rPr>
          <w:rFonts w:hint="eastAsia" w:ascii="楷体" w:hAnsi="楷体" w:eastAsia="楷体"/>
          <w:b/>
          <w:bCs/>
          <w:sz w:val="32"/>
        </w:rPr>
        <w:t xml:space="preserve">项目编号：        号</w:t>
      </w:r>
      <w:r/>
    </w:p>
    <w:p>
      <w:pPr>
        <w:ind w:firstLine="2705"/>
        <w:rPr>
          <w:rFonts w:hint="eastAsia" w:ascii="楷体" w:hAnsi="楷体" w:eastAsia="楷体"/>
          <w:b/>
          <w:bCs/>
          <w:sz w:val="32"/>
        </w:rPr>
      </w:pPr>
      <w:r>
        <w:rPr>
          <w:rFonts w:hint="eastAsia" w:ascii="楷体" w:hAnsi="楷体" w:eastAsia="楷体"/>
          <w:b/>
          <w:bCs/>
          <w:sz w:val="32"/>
        </w:rPr>
        <w:t xml:space="preserve">项目名称：  </w:t>
      </w:r>
      <w:r/>
    </w:p>
    <w:p>
      <w:pPr>
        <w:ind w:firstLine="2705"/>
        <w:rPr>
          <w:rFonts w:hint="eastAsia" w:ascii="楷体" w:hAnsi="楷体" w:eastAsia="楷体"/>
          <w:b/>
          <w:bCs/>
          <w:sz w:val="28"/>
        </w:rPr>
      </w:pPr>
      <w:r>
        <w:rPr>
          <w:rFonts w:hint="eastAsia" w:ascii="楷体" w:hAnsi="楷体" w:eastAsia="楷体"/>
          <w:b/>
          <w:bCs/>
          <w:sz w:val="32"/>
        </w:rPr>
        <w:t xml:space="preserve">投标供应商：</w:t>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rPr>
          <w:rFonts w:ascii="仿宋_GB2312" w:eastAsia="仿宋_GB2312"/>
          <w:b/>
          <w:bCs/>
          <w:sz w:val="24"/>
        </w:rPr>
      </w:pPr>
      <w:r>
        <w:rPr>
          <w:rFonts w:ascii="仿宋_GB2312" w:eastAsia="仿宋_GB2312"/>
          <w:b/>
          <w:bCs/>
          <w:sz w:val="24"/>
        </w:rPr>
      </w:r>
      <w:r/>
    </w:p>
    <w:p>
      <w:pPr>
        <w:jc w:val="center"/>
        <w:rPr>
          <w:rFonts w:hint="eastAsia" w:ascii="楷体" w:hAnsi="楷体" w:eastAsia="楷体"/>
          <w:b/>
          <w:bCs/>
          <w:sz w:val="32"/>
          <w:szCs w:val="32"/>
        </w:rPr>
      </w:pPr>
      <w:r>
        <w:rPr>
          <w:rFonts w:hint="eastAsia" w:ascii="楷体" w:hAnsi="楷体" w:eastAsia="楷体"/>
          <w:b/>
          <w:bCs/>
          <w:sz w:val="28"/>
        </w:rPr>
        <w:t xml:space="preserve">年      月      日</w:t>
      </w:r>
      <w:r/>
    </w:p>
    <w:p>
      <w:pPr>
        <w:pStyle w:val="1055"/>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55"/>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55"/>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55"/>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55"/>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55"/>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055"/>
        <w:spacing w:before="0" w:beforeAutospacing="0" w:after="0" w:afterAutospacing="0"/>
        <w:rPr>
          <w:rFonts w:hint="eastAsia" w:ascii="黑体" w:hAnsi="黑体" w:eastAsia="黑体"/>
          <w:bCs/>
          <w:color w:val="auto"/>
          <w:sz w:val="44"/>
          <w:szCs w:val="44"/>
        </w:rPr>
      </w:pPr>
      <w:r>
        <w:rPr>
          <w:rFonts w:hint="eastAsia" w:ascii="楷体" w:hAnsi="楷体" w:eastAsia="楷体"/>
          <w:b/>
          <w:bCs/>
          <w:color w:val="auto"/>
          <w:sz w:val="32"/>
          <w:szCs w:val="32"/>
        </w:rPr>
        <w:t xml:space="preserve">附件一</w:t>
      </w:r>
      <w:r>
        <w:rPr>
          <w:rFonts w:hint="eastAsia" w:ascii="楷体" w:hAnsi="楷体" w:eastAsia="楷体"/>
          <w:b/>
          <w:bCs/>
          <w:color w:val="auto"/>
          <w:sz w:val="44"/>
          <w:szCs w:val="44"/>
        </w:rPr>
        <w:t xml:space="preserve"> </w:t>
      </w:r>
      <w:r>
        <w:rPr>
          <w:rFonts w:hint="eastAsia" w:ascii="黑体" w:hAnsi="黑体" w:eastAsia="黑体"/>
          <w:bCs/>
          <w:color w:val="auto"/>
          <w:sz w:val="44"/>
          <w:szCs w:val="44"/>
        </w:rPr>
        <w:t xml:space="preserve">              开标一览表            </w:t>
      </w:r>
      <w:r/>
    </w:p>
    <w:p>
      <w:pPr>
        <w:pStyle w:val="1055"/>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055"/>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055"/>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投标供应商名称：</w:t>
      </w:r>
      <w:r/>
    </w:p>
    <w:p>
      <w:pPr>
        <w:pStyle w:val="1055"/>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招标文件编号：                号</w:t>
      </w:r>
      <w:r/>
    </w:p>
    <w:p>
      <w:pPr>
        <w:pStyle w:val="1055"/>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项 目 名 称： </w:t>
      </w:r>
      <w:r/>
    </w:p>
    <w:p>
      <w:pPr>
        <w:pStyle w:val="1055"/>
        <w:ind w:firstLine="2232"/>
        <w:spacing w:before="0" w:beforeAutospacing="0" w:after="0" w:afterAutospacing="0" w:line="480" w:lineRule="exact"/>
        <w:rPr>
          <w:rFonts w:hint="eastAsia" w:ascii="仿宋" w:hAnsi="仿宋" w:eastAsia="仿宋"/>
          <w:color w:val="auto"/>
          <w:sz w:val="30"/>
          <w:szCs w:val="18"/>
        </w:rPr>
      </w:pPr>
      <w:r>
        <w:rPr>
          <w:rFonts w:hint="eastAsia" w:ascii="仿宋" w:hAnsi="仿宋" w:eastAsia="仿宋"/>
          <w:color w:val="auto"/>
          <w:sz w:val="30"/>
          <w:szCs w:val="18"/>
        </w:rPr>
      </w:r>
      <w:r/>
    </w:p>
    <w:tbl>
      <w:tblPr>
        <w:tblW w:w="8505" w:type="dxa"/>
        <w:tblInd w:w="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大写：</w:t>
            </w:r>
            <w:r/>
          </w:p>
        </w:tc>
      </w:tr>
      <w:tr>
        <w:trPr>
          <w:cantSplit/>
          <w:trHeight w:val="690"/>
        </w:trPr>
        <w:tc>
          <w:tcPr>
            <w:tcW w:w="3969" w:type="dxa"/>
            <w:vAlign w:val="center"/>
            <w:vMerge w:val="continue"/>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小写</w:t>
            </w:r>
            <w:r>
              <w:rPr>
                <w:rFonts w:hint="eastAsia" w:ascii="仿宋" w:hAnsi="仿宋" w:eastAsia="仿宋"/>
                <w:sz w:val="30"/>
              </w:rPr>
              <w:t xml:space="preserve">￥</w:t>
            </w:r>
            <w:r>
              <w:rPr>
                <w:rFonts w:hint="eastAsia" w:ascii="仿宋" w:hAnsi="仿宋" w:eastAsia="仿宋"/>
                <w:sz w:val="30"/>
              </w:rPr>
              <w:t xml:space="preserve">：                    </w:t>
            </w:r>
            <w:r>
              <w:rPr>
                <w:rFonts w:hint="eastAsia" w:ascii="仿宋" w:hAnsi="仿宋" w:eastAsia="仿宋"/>
                <w:sz w:val="30"/>
              </w:rPr>
              <w:t xml:space="preserve">元</w:t>
            </w:r>
            <w:r/>
          </w:p>
        </w:tc>
      </w:tr>
    </w:tbl>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或被授权代表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p>
    <w:p>
      <w:pPr>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p>
    <w:p>
      <w:pPr>
        <w:spacing w:before="50" w:line="460" w:lineRule="exact"/>
        <w:rPr>
          <w:rFonts w:ascii="仿宋_GB2312" w:eastAsia="仿宋_GB2312"/>
          <w:sz w:val="28"/>
        </w:rPr>
      </w:pPr>
      <w:r>
        <w:rPr>
          <w:rFonts w:ascii="仿宋_GB2312" w:eastAsia="仿宋_GB2312"/>
          <w:sz w:val="28"/>
        </w:rPr>
      </w:r>
      <w:r/>
    </w:p>
    <w:p>
      <w:pPr>
        <w:spacing w:before="50" w:line="460" w:lineRule="exact"/>
        <w:rPr>
          <w:rFonts w:ascii="仿宋_GB2312" w:eastAsia="仿宋_GB2312"/>
          <w:sz w:val="28"/>
        </w:rPr>
      </w:pPr>
      <w:r>
        <w:rPr>
          <w:rFonts w:ascii="仿宋_GB2312" w:eastAsia="仿宋_GB2312"/>
          <w:sz w:val="28"/>
        </w:rPr>
      </w:r>
      <w:r/>
    </w:p>
    <w:p>
      <w:pPr>
        <w:spacing w:after="100" w:afterAutospacing="1"/>
        <w:rPr>
          <w:rFonts w:hint="eastAsia" w:ascii="楷体" w:hAnsi="楷体" w:eastAsia="楷体"/>
          <w:b/>
          <w:bCs/>
          <w:sz w:val="32"/>
        </w:rPr>
      </w:pPr>
      <w:r>
        <w:rPr>
          <w:rFonts w:hint="eastAsia" w:ascii="楷体" w:hAnsi="楷体" w:eastAsia="楷体"/>
          <w:b/>
          <w:bCs/>
          <w:sz w:val="32"/>
        </w:rPr>
      </w:r>
      <w:r/>
    </w:p>
    <w:p>
      <w:pPr>
        <w:spacing w:after="100" w:afterAutospacing="1"/>
        <w:rPr>
          <w:rFonts w:ascii="仿宋_GB2312" w:eastAsia="仿宋_GB2312"/>
          <w:bCs/>
          <w:sz w:val="32"/>
        </w:rPr>
      </w:pPr>
      <w:r>
        <w:rPr>
          <w:rFonts w:ascii="仿宋_GB2312" w:eastAsia="仿宋_GB2312"/>
          <w:bCs/>
          <w:sz w:val="32"/>
        </w:rPr>
      </w:r>
      <w:r/>
    </w:p>
    <w:p>
      <w:pPr>
        <w:spacing w:after="100" w:afterAutospacing="1"/>
        <w:rPr>
          <w:rFonts w:ascii="仿宋_GB2312" w:eastAsia="仿宋_GB2312"/>
          <w:bCs/>
          <w:sz w:val="32"/>
        </w:rPr>
      </w:pPr>
      <w:r>
        <w:rPr>
          <w:rFonts w:ascii="仿宋_GB2312" w:eastAsia="仿宋_GB2312"/>
          <w:bCs/>
          <w:sz w:val="32"/>
        </w:rPr>
      </w:r>
      <w:r/>
    </w:p>
    <w:p>
      <w:pPr>
        <w:pStyle w:val="996"/>
      </w:pPr>
      <w:r/>
      <w:r/>
    </w:p>
    <w:p>
      <w:r/>
      <w:r/>
    </w:p>
    <w:p>
      <w:pPr>
        <w:spacing w:after="100" w:afterAutospacing="1"/>
        <w:rPr>
          <w:rFonts w:hint="eastAsia" w:ascii="仿宋" w:hAnsi="仿宋" w:eastAsia="仿宋"/>
        </w:rPr>
      </w:pPr>
      <w:r>
        <w:rPr>
          <w:rFonts w:hint="eastAsia" w:ascii="仿宋" w:hAnsi="仿宋" w:eastAsia="仿宋"/>
          <w:bCs/>
          <w:sz w:val="32"/>
        </w:rPr>
        <w:t xml:space="preserve">附件二                     </w:t>
      </w:r>
      <w:r>
        <w:rPr>
          <w:rFonts w:hint="eastAsia" w:ascii="仿宋" w:hAnsi="仿宋" w:eastAsia="仿宋"/>
          <w:bCs/>
          <w:sz w:val="44"/>
          <w:szCs w:val="44"/>
        </w:rPr>
        <w:t xml:space="preserve">投 标 函 </w:t>
      </w:r>
      <w:r>
        <w:rPr>
          <w:rFonts w:hint="eastAsia" w:ascii="仿宋" w:hAnsi="仿宋" w:eastAsia="仿宋"/>
          <w:bCs/>
          <w:sz w:val="32"/>
        </w:rPr>
        <w:t xml:space="preserve">                                      </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江苏泰禾房地产土地造价咨询评估有限公司:</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（投标供应商的名称）提交电子投标文件。</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我单位经现场考察和认真研究招标文件后慎重作出如下报价和承诺：</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p>
    <w:p>
      <w:pPr>
        <w:ind w:left="438"/>
        <w:jc w:val="left"/>
        <w:spacing w:line="500" w:lineRule="exact"/>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（8）与本投标有关的正式通讯地址为：</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邮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838"/>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838"/>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838"/>
        <w:rPr>
          <w:rFonts w:hint="eastAsia" w:ascii="仿宋" w:hAnsi="仿宋" w:eastAsia="仿宋"/>
          <w:sz w:val="28"/>
          <w:szCs w:val="28"/>
        </w:rPr>
      </w:pPr>
      <w:r>
        <w:rPr>
          <w:rFonts w:hint="eastAsia" w:ascii="仿宋" w:hAnsi="仿宋" w:eastAsia="仿宋"/>
          <w:sz w:val="28"/>
          <w:szCs w:val="28"/>
        </w:rPr>
        <w:t xml:space="preserve">或被授权代表（签名或印鉴）： </w:t>
      </w:r>
      <w:r/>
    </w:p>
    <w:p>
      <w:pPr>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p>
    <w:p>
      <w:pPr>
        <w:rPr>
          <w:rFonts w:hint="eastAsia" w:ascii="仿宋" w:hAnsi="仿宋" w:eastAsia="仿宋"/>
          <w:bCs/>
          <w:sz w:val="44"/>
          <w:szCs w:val="44"/>
        </w:rPr>
        <w:outlineLvl w:val="0"/>
      </w:pPr>
      <w:r>
        <w:rPr>
          <w:rFonts w:hint="eastAsia" w:ascii="仿宋" w:hAnsi="仿宋" w:eastAsia="仿宋"/>
          <w:bCs/>
          <w:sz w:val="44"/>
          <w:szCs w:val="44"/>
        </w:rPr>
      </w:r>
      <w:r/>
    </w:p>
    <w:p>
      <w:pPr>
        <w:rPr>
          <w:rFonts w:hint="eastAsia" w:ascii="仿宋" w:hAnsi="仿宋" w:eastAsia="仿宋"/>
          <w:sz w:val="32"/>
        </w:rPr>
        <w:outlineLvl w:val="0"/>
      </w:pPr>
      <w:r>
        <w:rPr>
          <w:rFonts w:hint="eastAsia" w:ascii="仿宋" w:hAnsi="仿宋" w:eastAsia="仿宋"/>
          <w:bCs/>
          <w:sz w:val="44"/>
          <w:szCs w:val="44"/>
        </w:rPr>
        <w:t xml:space="preserve">附件三        法定代表人授权书        </w:t>
      </w:r>
      <w:r>
        <w:rPr>
          <w:rFonts w:hint="eastAsia" w:ascii="仿宋" w:hAnsi="仿宋" w:eastAsia="仿宋"/>
          <w:sz w:val="32"/>
        </w:rPr>
        <w:t xml:space="preserve">                          </w:t>
      </w:r>
      <w:r/>
    </w:p>
    <w:p>
      <w:pPr>
        <w:rPr>
          <w:rFonts w:hint="eastAsia" w:ascii="仿宋" w:hAnsi="仿宋" w:eastAsia="仿宋"/>
        </w:rPr>
      </w:pPr>
      <w:r>
        <w:rPr>
          <w:rFonts w:hint="eastAsia" w:ascii="仿宋" w:hAnsi="仿宋" w:eastAsia="仿宋"/>
        </w:rPr>
      </w:r>
      <w:r/>
    </w:p>
    <w:p>
      <w:pPr>
        <w:pStyle w:val="1039"/>
        <w:rPr>
          <w:rFonts w:hint="eastAsia" w:ascii="仿宋" w:hAnsi="仿宋" w:eastAsia="仿宋"/>
        </w:rPr>
      </w:pPr>
      <w:r>
        <w:rPr>
          <w:rFonts w:hint="eastAsia" w:ascii="仿宋" w:hAnsi="仿宋" w:eastAsia="仿宋"/>
        </w:rPr>
      </w:r>
      <w:r/>
    </w:p>
    <w:p>
      <w:pPr>
        <w:spacing w:line="480" w:lineRule="auto"/>
        <w:rPr>
          <w:rFonts w:hint="eastAsia" w:ascii="仿宋" w:hAnsi="仿宋" w:eastAsia="仿宋"/>
          <w:b/>
          <w:bCs/>
          <w:sz w:val="28"/>
          <w:szCs w:val="28"/>
        </w:rPr>
      </w:pPr>
      <w:r>
        <w:rPr>
          <w:rFonts w:hint="eastAsia" w:ascii="仿宋" w:hAnsi="仿宋" w:eastAsia="仿宋"/>
          <w:b/>
          <w:bCs/>
          <w:sz w:val="28"/>
          <w:szCs w:val="28"/>
        </w:rPr>
        <w:t xml:space="preserve">江苏泰禾房地产土地造价咨询评估有限公司：</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(姓名)为我的代理人，以本单位的名义参加贵中心组织的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年    月    日</w:t>
      </w:r>
      <w:r/>
    </w:p>
    <w:p>
      <w:pPr>
        <w:jc w:val="center"/>
        <w:rPr>
          <w:rFonts w:hint="eastAsia" w:ascii="仿宋" w:hAnsi="仿宋" w:eastAsia="仿宋"/>
          <w:szCs w:val="24"/>
        </w:rPr>
      </w:pPr>
      <w:r>
        <w:rPr>
          <w:rFonts w:hint="eastAsia" w:ascii="仿宋" w:hAnsi="仿宋" w:eastAsia="仿宋"/>
          <w:szCs w:val="24"/>
        </w:rPr>
      </w:r>
      <w:r/>
    </w:p>
    <w:p>
      <w:pPr>
        <w:spacing w:after="100" w:afterAutospacing="1"/>
        <w:rPr>
          <w:rFonts w:hint="eastAsia" w:ascii="仿宋" w:hAnsi="仿宋" w:eastAsia="仿宋"/>
          <w:bCs/>
          <w:sz w:val="32"/>
          <w:szCs w:val="18"/>
        </w:rPr>
      </w:pPr>
      <w:r>
        <w:rPr>
          <w:rFonts w:hint="eastAsia" w:ascii="仿宋" w:hAnsi="仿宋" w:eastAsia="仿宋"/>
          <w:b/>
          <w:bCs/>
          <w:sz w:val="32"/>
        </w:rPr>
        <w:br w:type="page" w:clear="all"/>
      </w:r>
      <w:r>
        <w:rPr>
          <w:rFonts w:hint="eastAsia" w:ascii="仿宋" w:hAnsi="仿宋" w:eastAsia="仿宋"/>
          <w:bCs/>
          <w:sz w:val="32"/>
        </w:rPr>
        <w:t xml:space="preserve">附件四                 </w:t>
      </w:r>
      <w:r>
        <w:rPr>
          <w:rFonts w:hint="eastAsia" w:ascii="仿宋" w:hAnsi="仿宋" w:eastAsia="仿宋"/>
          <w:bCs/>
          <w:sz w:val="44"/>
          <w:szCs w:val="44"/>
        </w:rPr>
        <w:t xml:space="preserve">投标报价明细表 </w:t>
      </w:r>
      <w:r>
        <w:rPr>
          <w:rFonts w:hint="eastAsia" w:ascii="仿宋" w:hAnsi="仿宋" w:eastAsia="仿宋"/>
          <w:bCs/>
          <w:sz w:val="32"/>
        </w:rPr>
        <w:t xml:space="preserve">             </w:t>
      </w:r>
      <w:r/>
    </w:p>
    <w:p>
      <w:pPr>
        <w:spacing w:after="100" w:afterAutospacing="1"/>
        <w:rPr>
          <w:rFonts w:hint="eastAsia" w:ascii="仿宋" w:hAnsi="仿宋" w:eastAsia="仿宋"/>
          <w:b/>
          <w:bCs/>
        </w:rPr>
      </w:pPr>
      <w:r>
        <w:rPr>
          <w:rFonts w:hint="eastAsia" w:ascii="仿宋" w:hAnsi="仿宋" w:eastAsia="仿宋"/>
          <w:b/>
          <w:bCs/>
        </w:rPr>
      </w:r>
      <w:r/>
    </w:p>
    <w:tbl>
      <w:tblPr>
        <w:tblW w:w="98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1247"/>
        <w:gridCol w:w="1134"/>
        <w:gridCol w:w="1134"/>
        <w:gridCol w:w="1305"/>
        <w:gridCol w:w="756"/>
        <w:gridCol w:w="876"/>
        <w:gridCol w:w="1134"/>
        <w:gridCol w:w="1518"/>
      </w:tblGrid>
      <w:tr>
        <w:trPr/>
        <w:tc>
          <w:tcPr>
            <w:tcW w:w="751"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序号</w:t>
            </w:r>
            <w:r/>
          </w:p>
        </w:tc>
        <w:tc>
          <w:tcPr>
            <w:tcW w:w="1247"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w:t>
            </w:r>
            <w:r/>
          </w:p>
          <w:p>
            <w:pPr>
              <w:jc w:val="center"/>
              <w:rPr>
                <w:rFonts w:hint="eastAsia" w:ascii="仿宋" w:hAnsi="仿宋" w:eastAsia="仿宋"/>
                <w:sz w:val="28"/>
                <w:szCs w:val="28"/>
              </w:rPr>
            </w:pPr>
            <w:r>
              <w:rPr>
                <w:rFonts w:hint="eastAsia" w:ascii="仿宋" w:hAnsi="仿宋" w:eastAsia="仿宋"/>
                <w:sz w:val="28"/>
                <w:szCs w:val="28"/>
              </w:rPr>
              <w:t xml:space="preserve">名称</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品牌</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规格</w:t>
            </w:r>
            <w:r/>
          </w:p>
          <w:p>
            <w:pPr>
              <w:jc w:val="center"/>
              <w:rPr>
                <w:rFonts w:hint="eastAsia" w:ascii="仿宋" w:hAnsi="仿宋" w:eastAsia="仿宋"/>
                <w:sz w:val="28"/>
                <w:szCs w:val="28"/>
              </w:rPr>
            </w:pPr>
            <w:r>
              <w:rPr>
                <w:rFonts w:hint="eastAsia" w:ascii="仿宋" w:hAnsi="仿宋" w:eastAsia="仿宋"/>
                <w:sz w:val="28"/>
                <w:szCs w:val="28"/>
              </w:rPr>
              <w:t xml:space="preserve">型号</w:t>
            </w:r>
            <w:r/>
          </w:p>
        </w:tc>
        <w:tc>
          <w:tcPr>
            <w:tcW w:w="1305"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厂家</w:t>
            </w:r>
            <w:r/>
          </w:p>
          <w:p>
            <w:pPr>
              <w:jc w:val="center"/>
              <w:rPr>
                <w:rFonts w:hint="eastAsia" w:ascii="仿宋" w:hAnsi="仿宋" w:eastAsia="仿宋"/>
                <w:sz w:val="28"/>
                <w:szCs w:val="28"/>
              </w:rPr>
            </w:pPr>
            <w:r>
              <w:rPr>
                <w:rFonts w:hint="eastAsia" w:ascii="仿宋" w:hAnsi="仿宋" w:eastAsia="仿宋"/>
                <w:sz w:val="28"/>
                <w:szCs w:val="28"/>
              </w:rPr>
              <w:t xml:space="preserve">（产地）</w:t>
            </w:r>
            <w:r/>
          </w:p>
        </w:tc>
        <w:tc>
          <w:tcPr>
            <w:tcW w:w="7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数量</w:t>
            </w:r>
            <w:r/>
          </w:p>
        </w:tc>
        <w:tc>
          <w:tcPr>
            <w:tcW w:w="87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单价（元）</w:t>
            </w:r>
            <w:r/>
          </w:p>
        </w:tc>
        <w:tc>
          <w:tcPr>
            <w:tcW w:w="1518"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总价（元）</w:t>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cantSplit/>
          <w:trHeight w:val="704"/>
        </w:trPr>
        <w:tc>
          <w:tcPr>
            <w:gridSpan w:val="9"/>
            <w:tcW w:w="9855" w:type="dxa"/>
            <w:vAlign w:val="center"/>
            <w:textDirection w:val="lrTb"/>
            <w:noWrap w:val="false"/>
          </w:tcPr>
          <w:p>
            <w:pPr>
              <w:spacing w:line="480" w:lineRule="exact"/>
              <w:rPr>
                <w:rFonts w:hint="eastAsia" w:ascii="仿宋" w:hAnsi="仿宋" w:eastAsia="仿宋"/>
                <w:sz w:val="28"/>
              </w:rPr>
            </w:pPr>
            <w:r>
              <w:rPr>
                <w:rFonts w:hint="eastAsia" w:ascii="仿宋" w:hAnsi="仿宋" w:eastAsia="仿宋"/>
                <w:sz w:val="28"/>
              </w:rPr>
              <w:t xml:space="preserve">合计总报价(大写人民币):                        ￥:             元</w:t>
            </w:r>
            <w:r/>
          </w:p>
        </w:tc>
      </w:tr>
      <w:tr>
        <w:trPr>
          <w:cantSplit/>
          <w:trHeight w:val="841"/>
        </w:trPr>
        <w:tc>
          <w:tcPr>
            <w:gridSpan w:val="9"/>
            <w:tcW w:w="9855" w:type="dxa"/>
            <w:vAlign w:val="center"/>
            <w:textDirection w:val="lrTb"/>
            <w:noWrap w:val="false"/>
          </w:tcPr>
          <w:p>
            <w:pPr>
              <w:rPr>
                <w:rFonts w:hint="eastAsia" w:ascii="仿宋" w:hAnsi="仿宋" w:eastAsia="仿宋"/>
                <w:sz w:val="28"/>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rPr>
          <w:rFonts w:hint="eastAsia" w:ascii="仿宋" w:hAnsi="仿宋" w:eastAsia="仿宋"/>
          <w:sz w:val="28"/>
          <w:szCs w:val="28"/>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0" w:lineRule="atLeast"/>
        <w:rPr>
          <w:rFonts w:hint="eastAsia" w:ascii="宋体" w:hAnsi="宋体"/>
          <w:sz w:val="24"/>
          <w:szCs w:val="24"/>
        </w:rPr>
      </w:pPr>
      <w:r>
        <w:rPr>
          <w:rFonts w:hint="eastAsia" w:ascii="宋体" w:hAnsi="宋体"/>
          <w:sz w:val="24"/>
          <w:szCs w:val="24"/>
          <w:highlight w:val="yellow"/>
        </w:rPr>
        <w:t xml:space="preserve">（备注1：该表仅适用于项目采用货币报价的情形。项目采用优惠率报价的，如需要填写投标分项报价表，请项目经办人自行设计表格。招标文件定稿后该备注删除。）</w:t>
      </w:r>
      <w:r/>
    </w:p>
    <w:p>
      <w:pPr>
        <w:rPr>
          <w:rFonts w:hint="eastAsia" w:ascii="仿宋" w:hAnsi="仿宋" w:eastAsia="仿宋"/>
          <w:sz w:val="28"/>
          <w:szCs w:val="28"/>
        </w:rPr>
      </w:pPr>
      <w:r>
        <w:rPr>
          <w:rFonts w:hint="eastAsia" w:ascii="仿宋" w:hAnsi="仿宋" w:eastAsia="仿宋"/>
          <w:sz w:val="28"/>
          <w:szCs w:val="28"/>
        </w:rPr>
      </w:r>
      <w:r/>
    </w:p>
    <w:p>
      <w:pPr>
        <w:ind w:firstLine="5180"/>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457"/>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457"/>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5677"/>
        <w:rPr>
          <w:rFonts w:hint="eastAsia" w:ascii="仿宋" w:hAnsi="仿宋" w:eastAsia="仿宋"/>
          <w:sz w:val="28"/>
          <w:szCs w:val="28"/>
        </w:rPr>
      </w:pPr>
      <w:r>
        <w:rPr>
          <w:rFonts w:hint="eastAsia" w:ascii="仿宋" w:hAnsi="仿宋" w:eastAsia="仿宋"/>
          <w:sz w:val="28"/>
          <w:szCs w:val="28"/>
        </w:rPr>
        <w:t xml:space="preserve">  年   月   日</w:t>
      </w:r>
      <w:r/>
    </w:p>
    <w:p>
      <w:pPr>
        <w:rPr>
          <w:rFonts w:ascii="仿宋_GB2312" w:eastAsia="仿宋_GB2312"/>
          <w:bCs/>
          <w:sz w:val="32"/>
          <w:szCs w:val="18"/>
        </w:rPr>
      </w:pPr>
      <w:r>
        <w:rPr>
          <w:rFonts w:hint="eastAsia" w:ascii="仿宋" w:hAnsi="仿宋" w:eastAsia="仿宋"/>
          <w:b/>
          <w:bCs/>
          <w:sz w:val="32"/>
        </w:rPr>
        <w:br w:type="page" w:clear="all"/>
      </w:r>
      <w:r>
        <w:rPr>
          <w:rFonts w:hint="eastAsia" w:ascii="仿宋_GB2312" w:eastAsia="仿宋_GB2312"/>
          <w:bCs/>
          <w:sz w:val="32"/>
        </w:rPr>
        <w:t xml:space="preserve">附件五          </w:t>
      </w:r>
      <w:r>
        <w:rPr>
          <w:rFonts w:hint="eastAsia" w:ascii="仿宋_GB2312" w:eastAsia="仿宋_GB2312"/>
          <w:bCs/>
          <w:sz w:val="44"/>
          <w:szCs w:val="44"/>
        </w:rPr>
        <w:t xml:space="preserve">  </w:t>
      </w:r>
      <w:r>
        <w:rPr>
          <w:rFonts w:hint="eastAsia" w:ascii="仿宋_GB2312" w:hAnsi="华文中宋" w:eastAsia="仿宋_GB2312"/>
          <w:bCs/>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p>
    <w:p>
      <w:pPr>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p>
    <w:p>
      <w:pPr>
        <w:ind w:firstLine="518"/>
        <w:rPr>
          <w:rFonts w:hint="eastAsia" w:ascii="仿宋" w:hAnsi="仿宋" w:eastAsia="仿宋"/>
          <w:sz w:val="28"/>
          <w:szCs w:val="28"/>
        </w:rPr>
      </w:pPr>
      <w:r>
        <w:rPr>
          <w:rFonts w:hint="eastAsia" w:ascii="仿宋" w:hAnsi="仿宋" w:eastAsia="仿宋"/>
          <w:sz w:val="28"/>
          <w:szCs w:val="28"/>
        </w:rPr>
        <w:t xml:space="preserve">投标供应商名称：                            </w:t>
      </w:r>
      <w:r/>
    </w:p>
    <w:tbl>
      <w:tblPr>
        <w:tblW w:w="9558"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采购货物名称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招标要求参数</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投标实际参数</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备注</w:t>
            </w:r>
            <w:r/>
          </w:p>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p>
    <w:p>
      <w:pPr>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p>
    <w:p>
      <w:pPr>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2、供应商对存在正偏离或负偏离的的技术要求，应真实填写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413"/>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投标供应商（公章）：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1043"/>
        <w:ind w:firstLine="0"/>
        <w:spacing w:line="240" w:lineRule="auto"/>
        <w:rPr>
          <w:rFonts w:ascii="仿宋_GB2312" w:eastAsia="仿宋_GB2312"/>
          <w:b w:val="0"/>
          <w:bCs w:val="0"/>
          <w:sz w:val="32"/>
        </w:rPr>
        <w:sectPr>
          <w:headerReference w:type="default" r:id="rId9"/>
          <w:footerReference w:type="default" r:id="rId12"/>
          <w:footerReference w:type="even" r:id="rId13"/>
          <w:footnotePr/>
          <w:endnotePr/>
          <w:type w:val="nextPage"/>
          <w:pgSz w:w="11907" w:h="16840" w:orient="portrait"/>
          <w:pgMar w:top="1304" w:right="1021" w:bottom="1191" w:left="1247" w:header="0" w:footer="0" w:gutter="0"/>
          <w:pgNumType w:start="1"/>
          <w:cols w:num="1" w:sep="0" w:space="720" w:equalWidth="1"/>
          <w:docGrid w:linePitch="360"/>
          <w:titlePg/>
        </w:sectPr>
      </w:pPr>
      <w:r>
        <w:rPr>
          <w:rFonts w:ascii="仿宋_GB2312" w:eastAsia="仿宋_GB2312"/>
          <w:b w:val="0"/>
          <w:bCs w:val="0"/>
          <w:sz w:val="32"/>
        </w:rPr>
      </w:r>
      <w:r/>
    </w:p>
    <w:p>
      <w:pPr>
        <w:spacing w:line="360" w:lineRule="auto"/>
        <w:rPr>
          <w:rFonts w:hint="eastAsia" w:ascii="宋体" w:hAnsi="宋体"/>
          <w:b/>
          <w:color w:val="000000"/>
          <w:sz w:val="32"/>
          <w:szCs w:val="32"/>
        </w:rPr>
      </w:pPr>
      <w:r/>
      <w:bookmarkStart w:id="48" w:name="OLE_LINK13"/>
      <w:r>
        <w:rPr>
          <w:rFonts w:hint="eastAsia" w:ascii="楷体" w:hAnsi="楷体" w:eastAsia="楷体"/>
          <w:b/>
          <w:color w:val="000000"/>
          <w:sz w:val="32"/>
          <w:szCs w:val="32"/>
        </w:rPr>
        <w:t xml:space="preserve">附件六</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pStyle w:val="1011"/>
        <w:ind w:left="0"/>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pPr>
      <w:r/>
      <w:r/>
    </w:p>
    <w:p>
      <w:r/>
      <w:r/>
    </w:p>
    <w:p>
      <w:pPr>
        <w:pStyle w:val="996"/>
        <w:ind w:firstLine="0"/>
      </w:pPr>
      <w:r/>
      <w:r/>
    </w:p>
    <w:p>
      <w:pPr>
        <w:jc w:val="left"/>
        <w:tabs>
          <w:tab w:val="left" w:pos="2741" w:leader="none"/>
        </w:tabs>
        <w:rPr>
          <w:rFonts w:ascii="仿宋_GB2312" w:eastAsia="仿宋_GB2312"/>
          <w:sz w:val="44"/>
          <w:szCs w:val="44"/>
        </w:rPr>
      </w:pPr>
      <w:r>
        <w:rPr>
          <w:rFonts w:hint="eastAsia" w:ascii="仿宋_GB2312" w:eastAsia="仿宋_GB2312"/>
          <w:sz w:val="32"/>
        </w:rPr>
        <w:t xml:space="preserve">附件七               </w:t>
      </w:r>
      <w:r>
        <w:rPr>
          <w:rFonts w:hint="eastAsia" w:ascii="仿宋_GB2312" w:eastAsia="仿宋_GB2312"/>
          <w:sz w:val="44"/>
          <w:szCs w:val="44"/>
        </w:rPr>
        <w:t xml:space="preserve">无重大违法记录声明</w:t>
      </w:r>
      <w:r/>
    </w:p>
    <w:p>
      <w:pPr>
        <w:jc w:val="center"/>
        <w:tabs>
          <w:tab w:val="left" w:pos="6300" w:leader="none"/>
        </w:tabs>
        <w:rPr>
          <w:rFonts w:hint="eastAsia" w:ascii="仿宋_GB2312" w:hAnsi="宋体" w:eastAsia="仿宋_GB2312"/>
          <w:szCs w:val="21"/>
        </w:rPr>
      </w:pPr>
      <w:r>
        <w:rPr>
          <w:rFonts w:hint="eastAsia" w:ascii="仿宋_GB2312" w:hAnsi="宋体" w:eastAsia="仿宋_GB2312"/>
          <w:szCs w:val="21"/>
        </w:rPr>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                   （采购代理机构名称）：</w:t>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_GB2312" w:hAnsi="宋体" w:eastAsia="仿宋_GB2312"/>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投标供应商（公章）：</w:t>
      </w:r>
      <w:r/>
    </w:p>
    <w:p>
      <w:pPr>
        <w:ind w:right="259"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r/>
      <w:r/>
    </w:p>
    <w:p>
      <w:r/>
      <w:r/>
    </w:p>
    <w:p>
      <w:r/>
      <w:r/>
    </w:p>
    <w:p>
      <w:r/>
      <w:r/>
    </w:p>
    <w:p>
      <w:r/>
      <w:r/>
    </w:p>
    <w:p>
      <w:r/>
      <w:r/>
    </w:p>
    <w:p>
      <w:r/>
      <w:r/>
    </w:p>
    <w:p>
      <w:r/>
      <w:r/>
    </w:p>
    <w:p>
      <w:r/>
      <w:r/>
    </w:p>
    <w:p>
      <w:r/>
      <w:r/>
    </w:p>
    <w:p>
      <w:r/>
      <w:r/>
    </w:p>
    <w:p>
      <w:r/>
      <w:r/>
    </w:p>
    <w:p>
      <w:r/>
      <w:r/>
    </w:p>
    <w:p>
      <w:r/>
      <w:r/>
    </w:p>
    <w:p>
      <w:r/>
      <w:r/>
    </w:p>
    <w:p>
      <w:pPr>
        <w:tabs>
          <w:tab w:val="left" w:pos="1323" w:leader="none"/>
        </w:tabs>
      </w:pPr>
      <w:r>
        <w:tab/>
      </w:r>
      <w:r/>
    </w:p>
    <w:p>
      <w:pPr>
        <w:jc w:val="left"/>
        <w:rPr>
          <w:rFonts w:ascii="仿宋_GB2312" w:eastAsia="仿宋_GB2312"/>
          <w:sz w:val="44"/>
          <w:szCs w:val="44"/>
        </w:rPr>
      </w:pPr>
      <w:r>
        <w:rPr>
          <w:rFonts w:hint="eastAsia" w:ascii="仿宋_GB2312" w:eastAsia="仿宋_GB2312"/>
          <w:sz w:val="32"/>
          <w:szCs w:val="32"/>
        </w:rPr>
        <w:t xml:space="preserve">附件八                  </w:t>
      </w:r>
      <w:r>
        <w:rPr>
          <w:rFonts w:hint="eastAsia" w:ascii="仿宋_GB2312" w:eastAsia="仿宋_GB2312"/>
          <w:sz w:val="44"/>
          <w:szCs w:val="44"/>
        </w:rPr>
        <w:t xml:space="preserve">企业声明函</w:t>
      </w:r>
      <w:r/>
    </w:p>
    <w:p>
      <w:pPr>
        <w:jc w:val="left"/>
        <w:rPr>
          <w:rFonts w:ascii="仿宋_GB2312" w:eastAsia="仿宋_GB2312"/>
          <w:sz w:val="32"/>
          <w:szCs w:val="32"/>
        </w:rPr>
      </w:pPr>
      <w:r>
        <w:rPr>
          <w:rFonts w:ascii="仿宋_GB2312" w:eastAsia="仿宋_GB2312"/>
          <w:sz w:val="32"/>
          <w:szCs w:val="32"/>
        </w:rPr>
      </w:r>
      <w:r/>
    </w:p>
    <w:p>
      <w:pPr>
        <w:ind w:firstLine="777"/>
        <w:jc w:val="left"/>
        <w:rPr>
          <w:rFonts w:hint="eastAsia"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 号）的规定，本公司参加（单位名称） 的（项目名称）采购活动，提供的货物全部由符合政策要求的中小企业制造。相关企业（含联合体中的中小企业、签订分包意向协议的中小企业）的具体情况如下：</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1、（标的名称），属于（采购文件中明确的所属行业）；制造商为（企业名称），从业人员 </w:t>
      </w:r>
      <w:r>
        <w:rPr>
          <w:rFonts w:hint="eastAsia" w:ascii="仿宋" w:hAnsi="仿宋" w:eastAsia="仿宋"/>
          <w:color w:val="000000"/>
          <w:sz w:val="28"/>
          <w:szCs w:val="28"/>
        </w:rPr>
        <w:tab/>
        <w:t xml:space="preserve"> 人，营业收入为    </w:t>
      </w:r>
      <w:r>
        <w:rPr>
          <w:rFonts w:hint="eastAsia" w:ascii="仿宋" w:hAnsi="仿宋" w:eastAsia="仿宋"/>
          <w:color w:val="000000"/>
          <w:sz w:val="28"/>
          <w:szCs w:val="28"/>
        </w:rPr>
        <w:tab/>
        <w:t xml:space="preserve">万元，资产总额为     万元，属于（中型企业、小型企业、微型企业）；</w:t>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hint="eastAsia" w:ascii="仿宋_GB2312" w:eastAsia="仿宋_GB2312"/>
          <w:sz w:val="32"/>
          <w:szCs w:val="32"/>
        </w:rPr>
        <w:t xml:space="preserve">……</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企业名称（盖章）：</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日   期：　　</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备注：从业人员、营业收入、资产总额填报上一年度数据，无上一年度数据的新成立企业可不填报</w:t>
      </w:r>
      <w:r/>
    </w:p>
    <w:p>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996"/>
      </w:pPr>
      <w:r/>
      <w:r/>
    </w:p>
    <w:p>
      <w:pPr>
        <w:spacing w:line="560" w:lineRule="exact"/>
        <w:rPr>
          <w:rFonts w:ascii="黑体" w:eastAsia="黑体"/>
          <w:sz w:val="44"/>
          <w:szCs w:val="44"/>
        </w:rPr>
      </w:pPr>
      <w:r>
        <w:rPr>
          <w:rFonts w:hint="eastAsia" w:ascii="楷体" w:hAnsi="楷体" w:eastAsia="楷体"/>
          <w:b/>
          <w:sz w:val="32"/>
          <w:szCs w:val="32"/>
        </w:rPr>
        <w:t xml:space="preserve">附件九      </w:t>
      </w:r>
      <w:r>
        <w:rPr>
          <w:rFonts w:hint="eastAsia" w:ascii="黑体" w:eastAsia="黑体"/>
          <w:sz w:val="44"/>
          <w:szCs w:val="44"/>
        </w:rPr>
        <w:t xml:space="preserve">残疾人福利性单位声明函</w:t>
      </w:r>
      <w:r/>
    </w:p>
    <w:p>
      <w:pPr>
        <w:pStyle w:val="1055"/>
        <w:ind w:firstLine="600"/>
        <w:spacing w:line="560" w:lineRule="exact"/>
        <w:rPr>
          <w:rFonts w:hint="eastAsia" w:ascii="仿宋" w:hAnsi="仿宋" w:eastAsia="仿宋"/>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本单位郑重声明，根据《财政部</w:t>
      </w:r>
      <w:r>
        <w:rPr>
          <w:rFonts w:ascii="Calibri" w:hAnsi="Calibri" w:eastAsia="仿宋" w:cs="Calibri"/>
          <w:sz w:val="28"/>
          <w:szCs w:val="28"/>
        </w:rPr>
        <w:t xml:space="preserve"> </w:t>
      </w:r>
      <w:r>
        <w:rPr>
          <w:rFonts w:hint="eastAsia" w:ascii="仿宋" w:hAnsi="仿宋" w:eastAsia="仿宋"/>
          <w:sz w:val="28"/>
          <w:szCs w:val="28"/>
        </w:rPr>
        <w:t xml:space="preserve">民政部</w:t>
      </w:r>
      <w:r>
        <w:rPr>
          <w:rFonts w:ascii="Calibri" w:hAnsi="Calibri" w:eastAsia="仿宋" w:cs="Calibri"/>
          <w:sz w:val="28"/>
          <w:szCs w:val="28"/>
        </w:rPr>
        <w:t xml:space="preserve"> </w:t>
      </w:r>
      <w:r>
        <w:rPr>
          <w:rFonts w:hint="eastAsia" w:ascii="仿宋" w:hAnsi="仿宋" w:eastAsia="仿宋"/>
          <w:sz w:val="28"/>
          <w:szCs w:val="28"/>
        </w:rPr>
        <w:t xml:space="preserve">中国残疾人联合会关于促进残疾人就业政府采购政策的通知》（财库〔2017〕</w:t>
      </w:r>
      <w:r>
        <w:rPr>
          <w:rFonts w:ascii="Calibri" w:hAnsi="Calibri" w:eastAsia="仿宋" w:cs="Calibri"/>
          <w:sz w:val="28"/>
          <w:szCs w:val="28"/>
        </w:rPr>
        <w:t xml:space="preserve"> </w:t>
      </w:r>
      <w:r>
        <w:rPr>
          <w:rFonts w:hint="eastAsia" w:ascii="仿宋" w:hAnsi="仿宋" w:eastAsia="仿宋"/>
          <w:sz w:val="28"/>
          <w:szCs w:val="28"/>
        </w:rPr>
        <w:t xml:space="preserve">141号）的规定，本单位为符合条件的残疾人福利性单位，且本单位参加______单位的采购文件编号为______的</w:t>
      </w:r>
      <w:r>
        <w:rPr>
          <w:rFonts w:hint="eastAsia" w:ascii="Calibri" w:hAnsi="Calibri" w:eastAsia="仿宋" w:cs="Calibri"/>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055"/>
        <w:ind w:firstLine="518"/>
        <w:spacing w:line="56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pStyle w:val="1055"/>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055"/>
        <w:ind w:firstLine="518"/>
        <w:spacing w:line="560"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（备注：1、供应商如不提供此声明函，价格将不做相应扣除。2、中标供应商为残疾人福利单位的，此声明函将随中标结果同时公告，接受社会监督）</w:t>
      </w:r>
      <w:r/>
    </w:p>
    <w:p>
      <w:pPr>
        <w:pStyle w:val="1055"/>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055"/>
        <w:ind w:firstLine="518"/>
        <w:spacing w:line="560" w:lineRule="exact"/>
        <w:rPr>
          <w:rFonts w:hint="eastAsia" w:ascii="仿宋_GB2312" w:eastAsia="仿宋_GB2312"/>
          <w:sz w:val="28"/>
          <w:szCs w:val="28"/>
        </w:rPr>
      </w:pPr>
      <w:r>
        <w:rPr>
          <w:rFonts w:hint="eastAsia" w:ascii="仿宋_GB2312" w:eastAsia="仿宋_GB2312"/>
          <w:sz w:val="28"/>
          <w:szCs w:val="28"/>
        </w:rPr>
        <w:t xml:space="preserve">                    </w:t>
      </w:r>
      <w:r/>
    </w:p>
    <w:p>
      <w:pPr>
        <w:pStyle w:val="1055"/>
        <w:ind w:firstLine="518"/>
        <w:spacing w:line="560" w:lineRule="exact"/>
        <w:rPr>
          <w:rFonts w:hint="eastAsia" w:ascii="仿宋" w:hAnsi="仿宋" w:eastAsia="仿宋"/>
          <w:sz w:val="28"/>
          <w:szCs w:val="28"/>
        </w:rPr>
      </w:pP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供应商全称（公章）：</w:t>
      </w:r>
      <w:r/>
    </w:p>
    <w:p>
      <w:pPr>
        <w:pStyle w:val="1055"/>
        <w:ind w:firstLine="438"/>
        <w:spacing w:line="560" w:lineRule="exact"/>
        <w:rPr>
          <w:rFonts w:hint="eastAsia" w:ascii="仿宋" w:hAnsi="仿宋" w:eastAsia="仿宋"/>
          <w:sz w:val="28"/>
          <w:szCs w:val="28"/>
        </w:rPr>
      </w:pPr>
      <w:r>
        <w:rPr>
          <w:rFonts w:hint="eastAsia" w:ascii="仿宋_GB2312" w:eastAsia="仿宋_GB2312"/>
          <w:szCs w:val="28"/>
        </w:rPr>
        <w:t xml:space="preserve">                                              </w:t>
      </w:r>
      <w:r>
        <w:rPr>
          <w:rFonts w:hint="eastAsia" w:ascii="仿宋_GB2312" w:eastAsia="仿宋_GB2312"/>
          <w:szCs w:val="28"/>
        </w:rPr>
        <w:t xml:space="preserve">                             </w:t>
      </w:r>
      <w:r>
        <w:rPr>
          <w:rFonts w:hint="eastAsia" w:ascii="仿宋" w:hAnsi="仿宋" w:eastAsia="仿宋"/>
          <w:sz w:val="28"/>
          <w:szCs w:val="28"/>
        </w:rPr>
        <w:t xml:space="preserve"> 日</w:t>
      </w:r>
      <w:r>
        <w:rPr>
          <w:rFonts w:ascii="Calibri" w:hAnsi="Calibri" w:eastAsia="仿宋" w:cs="Calibri"/>
          <w:sz w:val="28"/>
          <w:szCs w:val="28"/>
        </w:rPr>
        <w:t xml:space="preserve">  </w:t>
      </w:r>
      <w:r>
        <w:rPr>
          <w:rFonts w:hint="eastAsia" w:ascii="仿宋" w:hAnsi="仿宋" w:eastAsia="仿宋"/>
          <w:sz w:val="28"/>
          <w:szCs w:val="28"/>
        </w:rPr>
        <w:t xml:space="preserve">期：  年</w:t>
      </w:r>
      <w:r>
        <w:rPr>
          <w:rFonts w:ascii="Calibri" w:hAnsi="Calibri" w:eastAsia="仿宋" w:cs="Calibri"/>
          <w:sz w:val="28"/>
          <w:szCs w:val="28"/>
        </w:rPr>
        <w:t xml:space="preserve">  </w:t>
      </w:r>
      <w:r>
        <w:rPr>
          <w:rFonts w:hint="eastAsia" w:ascii="仿宋" w:hAnsi="仿宋" w:eastAsia="仿宋"/>
          <w:sz w:val="28"/>
          <w:szCs w:val="28"/>
        </w:rPr>
        <w:t xml:space="preserve">  月  日</w:t>
      </w:r>
      <w:r/>
    </w:p>
    <w:p>
      <w:r/>
      <w:r/>
    </w:p>
    <w:p>
      <w:pPr>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r>
      <w:r/>
    </w:p>
    <w:p>
      <w:pPr>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996"/>
        <w:ind w:firstLine="0"/>
        <w:rPr>
          <w:rFonts w:hint="eastAsia" w:ascii="仿宋" w:hAnsi="仿宋" w:eastAsia="仿宋"/>
          <w:color w:val="000000"/>
          <w:szCs w:val="28"/>
        </w:rPr>
      </w:pPr>
      <w:r>
        <w:rPr>
          <w:rFonts w:hint="eastAsia" w:ascii="仿宋" w:hAnsi="仿宋" w:eastAsia="仿宋"/>
          <w:color w:val="000000"/>
          <w:szCs w:val="28"/>
        </w:rPr>
      </w:r>
      <w:r/>
    </w:p>
    <w:p>
      <w:pPr>
        <w:pStyle w:val="996"/>
        <w:rPr>
          <w:rFonts w:hint="eastAsia" w:ascii="仿宋" w:hAnsi="仿宋" w:eastAsia="仿宋"/>
          <w:color w:val="000000"/>
          <w:szCs w:val="28"/>
        </w:rPr>
      </w:pPr>
      <w:r>
        <w:rPr>
          <w:rFonts w:hint="eastAsia" w:ascii="仿宋" w:hAnsi="仿宋" w:eastAsia="仿宋"/>
          <w:color w:val="000000"/>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6"/>
        <w:rPr>
          <w:rFonts w:hint="eastAsia" w:ascii="仿宋" w:hAnsi="仿宋" w:eastAsia="仿宋"/>
          <w:color w:val="000000"/>
          <w:szCs w:val="28"/>
        </w:rPr>
      </w:pPr>
      <w:r>
        <w:rPr>
          <w:rFonts w:hint="eastAsia" w:ascii="仿宋" w:hAnsi="仿宋" w:eastAsia="仿宋"/>
          <w:color w:val="000000"/>
          <w:szCs w:val="28"/>
        </w:rPr>
        <w:t xml:space="preserve">1.（产品名称1）</w:t>
      </w:r>
      <w:r>
        <w:rPr>
          <w:rFonts w:hint="eastAsia" w:ascii="仿宋" w:hAnsi="仿宋" w:eastAsia="仿宋"/>
          <w:color w:val="000000"/>
          <w:szCs w:val="28"/>
          <w:vertAlign w:val="superscript"/>
        </w:rPr>
        <w:t xml:space="preserve">1</w:t>
      </w:r>
      <w:r>
        <w:rPr>
          <w:rFonts w:hint="eastAsia" w:ascii="仿宋" w:hAnsi="仿宋" w:eastAsia="仿宋"/>
          <w:color w:val="000000"/>
          <w:szCs w:val="28"/>
        </w:rPr>
        <w:t xml:space="preserve">，生产厂为（厂名）</w:t>
      </w:r>
      <w:r>
        <w:rPr>
          <w:rFonts w:hint="eastAsia" w:ascii="仿宋" w:hAnsi="仿宋" w:eastAsia="仿宋"/>
          <w:color w:val="000000"/>
          <w:szCs w:val="28"/>
          <w:vertAlign w:val="superscript"/>
        </w:rPr>
        <w:t xml:space="preserve">2</w:t>
      </w:r>
      <w:r>
        <w:rPr>
          <w:rFonts w:hint="eastAsia" w:ascii="仿宋" w:hAnsi="仿宋" w:eastAsia="仿宋"/>
          <w:color w:val="000000"/>
          <w:szCs w:val="28"/>
        </w:rPr>
        <w:t xml:space="preserve">，厂址为（生产厂址）。（产品名称1）的中国境内生产的组件成本占比≥（规定比例）</w:t>
      </w:r>
      <w:r>
        <w:rPr>
          <w:rFonts w:hint="eastAsia" w:ascii="仿宋" w:hAnsi="仿宋" w:eastAsia="仿宋"/>
          <w:color w:val="000000"/>
          <w:szCs w:val="28"/>
          <w:vertAlign w:val="superscript"/>
        </w:rPr>
        <w:t xml:space="preserve">3</w:t>
      </w:r>
      <w:r>
        <w:rPr>
          <w:rFonts w:hint="eastAsia" w:ascii="仿宋" w:hAnsi="仿宋" w:eastAsia="仿宋"/>
          <w:color w:val="000000"/>
          <w:szCs w:val="28"/>
        </w:rPr>
        <w:t xml:space="preserve">。（产品名称1）的（关键组件）</w:t>
      </w:r>
      <w:r>
        <w:rPr>
          <w:rFonts w:hint="eastAsia" w:ascii="仿宋" w:hAnsi="仿宋" w:eastAsia="仿宋"/>
          <w:color w:val="000000"/>
          <w:szCs w:val="28"/>
          <w:vertAlign w:val="superscript"/>
        </w:rPr>
        <w:t xml:space="preserve">4</w:t>
      </w:r>
      <w:r>
        <w:rPr>
          <w:rFonts w:hint="eastAsia" w:ascii="仿宋" w:hAnsi="仿宋" w:eastAsia="仿宋"/>
          <w:color w:val="000000"/>
          <w:szCs w:val="28"/>
        </w:rPr>
        <w:t xml:space="preserve">在中国境内生产。（产品名称1）的（关键工序）</w:t>
      </w:r>
      <w:r>
        <w:rPr>
          <w:rFonts w:hint="eastAsia" w:ascii="仿宋" w:hAnsi="仿宋" w:eastAsia="仿宋"/>
          <w:color w:val="000000"/>
          <w:szCs w:val="28"/>
          <w:vertAlign w:val="superscript"/>
        </w:rPr>
        <w:t xml:space="preserve">5</w:t>
      </w:r>
      <w:r>
        <w:rPr>
          <w:rFonts w:hint="eastAsia" w:ascii="仿宋" w:hAnsi="仿宋" w:eastAsia="仿宋"/>
          <w:color w:val="000000"/>
          <w:szCs w:val="28"/>
        </w:rPr>
        <w:t xml:space="preserve">在中国境内完成。</w:t>
      </w:r>
      <w:r/>
    </w:p>
    <w:p>
      <w:pPr>
        <w:pStyle w:val="996"/>
        <w:rPr>
          <w:rFonts w:hint="eastAsia" w:ascii="仿宋" w:hAnsi="仿宋" w:eastAsia="仿宋"/>
          <w:color w:val="000000"/>
          <w:szCs w:val="28"/>
        </w:rPr>
      </w:pPr>
      <w:r>
        <w:rPr>
          <w:rFonts w:hint="eastAsia" w:ascii="仿宋" w:hAnsi="仿宋" w:eastAsia="仿宋"/>
          <w:color w:val="000000"/>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996"/>
        <w:rPr>
          <w:rFonts w:hint="eastAsia" w:ascii="仿宋" w:hAnsi="仿宋" w:eastAsia="仿宋"/>
          <w:color w:val="000000"/>
          <w:szCs w:val="28"/>
        </w:rPr>
      </w:pPr>
      <w:r>
        <w:rPr>
          <w:rFonts w:hint="eastAsia" w:ascii="仿宋" w:hAnsi="仿宋" w:eastAsia="仿宋"/>
          <w:color w:val="000000"/>
          <w:szCs w:val="28"/>
        </w:rPr>
        <w:t xml:space="preserve">……</w:t>
      </w:r>
      <w:r/>
    </w:p>
    <w:p>
      <w:pPr>
        <w:pStyle w:val="996"/>
        <w:rPr>
          <w:rFonts w:hint="eastAsia" w:ascii="仿宋" w:hAnsi="仿宋" w:eastAsia="仿宋"/>
          <w:color w:val="000000"/>
          <w:szCs w:val="28"/>
        </w:rPr>
      </w:pPr>
      <w:r>
        <w:rPr>
          <w:rFonts w:hint="eastAsia" w:ascii="仿宋" w:hAnsi="仿宋" w:eastAsia="仿宋"/>
          <w:color w:val="000000"/>
          <w:szCs w:val="28"/>
        </w:rPr>
        <w:t xml:space="preserve">本公司（单位）对上述声明内容的真实性负责。如有虚假，愿承担相应法律责任。</w:t>
      </w:r>
      <w:r/>
    </w:p>
    <w:p>
      <w:pPr>
        <w:pStyle w:val="996"/>
        <w:jc w:val="right"/>
        <w:rPr>
          <w:rFonts w:hint="eastAsia" w:ascii="仿宋" w:hAnsi="仿宋" w:eastAsia="仿宋"/>
          <w:color w:val="000000"/>
          <w:szCs w:val="28"/>
        </w:rPr>
      </w:pPr>
      <w:r>
        <w:rPr>
          <w:rFonts w:hint="eastAsia" w:ascii="仿宋" w:hAnsi="仿宋" w:eastAsia="仿宋"/>
          <w:color w:val="000000"/>
          <w:szCs w:val="28"/>
        </w:rPr>
        <w:t xml:space="preserve">公司（单位）名称（盖章）：      </w:t>
      </w:r>
      <w:r/>
    </w:p>
    <w:p>
      <w:pPr>
        <w:pStyle w:val="996"/>
        <w:jc w:val="right"/>
        <w:rPr>
          <w:rFonts w:hint="eastAsia" w:ascii="仿宋" w:hAnsi="仿宋" w:eastAsia="仿宋"/>
          <w:color w:val="000000"/>
          <w:szCs w:val="28"/>
        </w:rPr>
      </w:pPr>
      <w:r>
        <w:rPr>
          <w:rFonts w:hint="eastAsia" w:ascii="仿宋" w:hAnsi="仿宋" w:eastAsia="仿宋"/>
          <w:color w:val="000000"/>
          <w:szCs w:val="28"/>
        </w:rPr>
        <w:t xml:space="preserve">日期：　　年　　月　日    </w:t>
      </w:r>
      <w:r/>
    </w:p>
    <w:p>
      <w:pPr>
        <w:pStyle w:val="996"/>
        <w:rPr>
          <w:rFonts w:hint="eastAsia" w:ascii="仿宋" w:hAnsi="仿宋" w:eastAsia="仿宋"/>
          <w:color w:val="000000"/>
          <w:szCs w:val="28"/>
        </w:rPr>
      </w:pPr>
      <w:r>
        <w:rPr>
          <w:rFonts w:hint="eastAsia" w:ascii="仿宋" w:hAnsi="仿宋" w:eastAsia="仿宋"/>
          <w:color w:val="000000"/>
          <w:szCs w:val="28"/>
        </w:rPr>
      </w:r>
      <w:r/>
    </w:p>
    <w:p>
      <w:pPr>
        <w:pStyle w:val="996"/>
        <w:rPr>
          <w:rFonts w:hint="eastAsia" w:ascii="仿宋" w:hAnsi="仿宋" w:eastAsia="仿宋"/>
          <w:color w:val="000000"/>
          <w:szCs w:val="28"/>
        </w:rPr>
      </w:pPr>
      <w:r>
        <w:rPr>
          <w:rFonts w:hint="eastAsia" w:ascii="仿宋" w:hAnsi="仿宋" w:eastAsia="仿宋"/>
          <w:color w:val="000000"/>
          <w:szCs w:val="28"/>
        </w:rPr>
      </w:r>
      <w:r/>
    </w:p>
    <w:p>
      <w:pPr>
        <w:pStyle w:val="996"/>
        <w:rPr>
          <w:rFonts w:hint="eastAsia" w:ascii="仿宋" w:hAnsi="仿宋" w:eastAsia="仿宋"/>
          <w:color w:val="000000"/>
          <w:szCs w:val="28"/>
        </w:rPr>
      </w:pPr>
      <w:r>
        <w:rPr>
          <w:rFonts w:hint="eastAsia" w:ascii="仿宋" w:hAnsi="仿宋" w:eastAsia="仿宋"/>
          <w:color w:val="000000"/>
          <w:szCs w:val="28"/>
        </w:rPr>
        <w:t xml:space="preserve">_____________________________</w:t>
      </w:r>
      <w:r/>
    </w:p>
    <w:p>
      <w:pPr>
        <w:pStyle w:val="996"/>
        <w:rPr>
          <w:rFonts w:hint="eastAsia" w:ascii="仿宋" w:hAnsi="仿宋" w:eastAsia="仿宋"/>
          <w:color w:val="000000"/>
          <w:szCs w:val="28"/>
        </w:rPr>
      </w:pPr>
      <w:r>
        <w:rPr>
          <w:rFonts w:hint="eastAsia" w:ascii="仿宋" w:hAnsi="仿宋" w:eastAsia="仿宋"/>
          <w:color w:val="000000"/>
          <w:szCs w:val="28"/>
        </w:rPr>
        <w:t xml:space="preserve">1.产品如有型号，请在“产品名称”栏一并填写。</w:t>
      </w:r>
      <w:r/>
    </w:p>
    <w:p>
      <w:pPr>
        <w:pStyle w:val="996"/>
        <w:rPr>
          <w:rFonts w:hint="eastAsia" w:ascii="仿宋" w:hAnsi="仿宋" w:eastAsia="仿宋"/>
          <w:color w:val="000000"/>
          <w:szCs w:val="28"/>
        </w:rPr>
      </w:pPr>
      <w:r>
        <w:rPr>
          <w:rFonts w:hint="eastAsia" w:ascii="仿宋" w:hAnsi="仿宋" w:eastAsia="仿宋"/>
          <w:color w:val="000000"/>
          <w:szCs w:val="28"/>
        </w:rPr>
        <w:t xml:space="preserve">2.生产厂名与厂址应与生产厂营业执照载明的相关信息保持一致。</w:t>
      </w:r>
      <w:r/>
    </w:p>
    <w:p>
      <w:pPr>
        <w:pStyle w:val="996"/>
        <w:rPr>
          <w:rFonts w:hint="eastAsia" w:ascii="仿宋" w:hAnsi="仿宋" w:eastAsia="仿宋"/>
          <w:color w:val="000000"/>
          <w:szCs w:val="28"/>
        </w:rPr>
      </w:pPr>
      <w:r>
        <w:rPr>
          <w:rFonts w:hint="eastAsia" w:ascii="仿宋" w:hAnsi="仿宋" w:eastAsia="仿宋"/>
          <w:color w:val="000000"/>
          <w:szCs w:val="28"/>
        </w:rPr>
        <w:t xml:space="preserve">3.该产品的中国境内生产的组件成本占比相关要求实施前，“规定比例”栏可不填，下同。</w:t>
      </w:r>
      <w:r/>
    </w:p>
    <w:p>
      <w:pPr>
        <w:pStyle w:val="996"/>
        <w:rPr>
          <w:rFonts w:hint="eastAsia" w:ascii="仿宋" w:hAnsi="仿宋" w:eastAsia="仿宋"/>
          <w:color w:val="000000"/>
          <w:szCs w:val="28"/>
        </w:rPr>
      </w:pPr>
      <w:r>
        <w:rPr>
          <w:rFonts w:hint="eastAsia" w:ascii="仿宋" w:hAnsi="仿宋" w:eastAsia="仿宋"/>
          <w:color w:val="000000"/>
          <w:szCs w:val="28"/>
        </w:rPr>
        <w:t xml:space="preserve">4.该产品的关键组件要求实施前，“关键组件”栏可不填，下同。</w:t>
      </w:r>
      <w:r/>
    </w:p>
    <w:p>
      <w:pPr>
        <w:pStyle w:val="996"/>
        <w:rPr>
          <w:rFonts w:hint="eastAsia" w:ascii="仿宋" w:hAnsi="仿宋" w:eastAsia="仿宋"/>
          <w:color w:val="000000"/>
          <w:szCs w:val="28"/>
        </w:rPr>
      </w:pPr>
      <w:r>
        <w:rPr>
          <w:rFonts w:hint="eastAsia" w:ascii="仿宋" w:hAnsi="仿宋" w:eastAsia="仿宋"/>
          <w:color w:val="000000"/>
          <w:szCs w:val="28"/>
        </w:rPr>
        <w:t xml:space="preserve">5.该产品的关键工序要求实施前，“关键工序”栏可不填，下同。</w:t>
      </w:r>
      <w:r/>
    </w:p>
    <w:p>
      <w:pPr>
        <w:pStyle w:val="996"/>
      </w:pPr>
      <w:r/>
      <w:r/>
    </w:p>
    <w:p>
      <w:r/>
      <w:r/>
    </w:p>
    <w:p>
      <w:pPr>
        <w:jc w:val="left"/>
        <w:rPr>
          <w:rFonts w:hint="eastAsia" w:ascii="仿宋" w:hAnsi="仿宋" w:eastAsia="仿宋"/>
          <w:sz w:val="32"/>
          <w:szCs w:val="32"/>
        </w:rPr>
      </w:pPr>
      <w:r>
        <w:rPr>
          <w:rFonts w:hint="eastAsia" w:ascii="仿宋" w:hAnsi="仿宋" w:eastAsia="仿宋"/>
          <w:sz w:val="32"/>
          <w:szCs w:val="32"/>
        </w:rPr>
      </w:r>
      <w:r/>
    </w:p>
    <w:p>
      <w:pPr>
        <w:jc w:val="left"/>
        <w:rPr>
          <w:rFonts w:hint="eastAsia" w:ascii="仿宋" w:hAnsi="仿宋" w:eastAsia="仿宋" w:cs="仿宋"/>
          <w:bCs/>
          <w:sz w:val="44"/>
          <w:szCs w:val="44"/>
        </w:rPr>
      </w:pPr>
      <w:r>
        <w:rPr>
          <w:rFonts w:hint="eastAsia" w:ascii="仿宋" w:hAnsi="仿宋" w:eastAsia="仿宋"/>
          <w:sz w:val="32"/>
          <w:szCs w:val="32"/>
        </w:rPr>
        <w:t xml:space="preserve">附件十</w:t>
      </w:r>
      <w:r>
        <w:rPr>
          <w:rFonts w:hint="eastAsia" w:ascii="仿宋" w:hAnsi="仿宋" w:eastAsia="仿宋" w:cs="仿宋"/>
          <w:bCs/>
          <w:sz w:val="44"/>
          <w:szCs w:val="44"/>
        </w:rPr>
        <w:t xml:space="preserve">一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left="-108"/>
        <w:rPr>
          <w:rFonts w:hint="eastAsia" w:ascii="仿宋_GB2312" w:hAnsi="宋体" w:eastAsia="仿宋_GB2312"/>
          <w:sz w:val="28"/>
          <w:szCs w:val="28"/>
          <w:u w:val="single"/>
        </w:rPr>
      </w:pPr>
      <w:r>
        <w:rPr>
          <w:rFonts w:hint="eastAsia" w:ascii="仿宋_GB2312" w:eastAsia="仿宋_GB2312"/>
          <w:sz w:val="32"/>
          <w:szCs w:val="32"/>
        </w:rPr>
        <w:t xml:space="preserve">     7.按该表格填写，一式两份，并将该函和相关证据盖公章在规定的时间内分别送达采购人和采购代理机构。</w:t>
      </w:r>
      <w:bookmarkEnd w:id="48"/>
      <w:r/>
      <w:r/>
    </w:p>
    <w:sectPr>
      <w:headerReference w:type="default" r:id="rId10"/>
      <w:headerReference w:type="first" r:id="rId11"/>
      <w:footerReference w:type="default" r:id="rId14"/>
      <w:footerReference w:type="first" r:id="rId15"/>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华文中宋">
    <w:panose1 w:val="02010600040101010101"/>
  </w:font>
  <w:font w:name="方正小标宋_GBK">
    <w:panose1 w:val="020B0503020202020204"/>
  </w:font>
  <w:font w:name="方正小标宋简体">
    <w:panose1 w:val="020B0503020202020204"/>
  </w:font>
  <w:font w:name="Segoe UI Symbol">
    <w:panose1 w:val="020B0502040204020203"/>
  </w:font>
  <w:font w:name="华文新魏">
    <w:panose1 w:val="02010800040101010101"/>
  </w:font>
  <w:font w:name="Helvetica">
    <w:panose1 w:val="020B0604020202020204"/>
  </w:font>
  <w:font w:name="隶书">
    <w:panose1 w:val="02010509060101010101"/>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CG Times (WN)">
    <w:panose1 w:val="020B05030202020202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长城仿宋">
    <w:panose1 w:val="020B0503020202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037"/>
      <w:ind w:firstLine="422"/>
      <w:jc w:val="center"/>
    </w:pPr>
    <w:r>
      <w:fldChar w:fldCharType="begin"/>
    </w:r>
    <w:r>
      <w:rPr>
        <w:rStyle w:val="1063"/>
      </w:rPr>
      <w:instrText xml:space="preserve"> PAGE </w:instrText>
    </w:r>
    <w:r>
      <w:fldChar w:fldCharType="separate"/>
    </w:r>
    <w:r>
      <w:t xml:space="preserve">2</w:t>
    </w:r>
    <w:r>
      <w:fldChar w:fldCharType="end"/>
    </w:r>
    <w:r/>
  </w:p>
  <w:p>
    <w:pPr>
      <w:ind w:right="360"/>
    </w:pPr>
    <w:r/>
    <w:r/>
  </w:p>
  <w:p>
    <w:r/>
    <w:r/>
  </w:p>
  <w:p>
    <w:pPr>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63"/>
      </w:rPr>
      <w:framePr w:wrap="around" w:vAnchor="text" w:hAnchor="margin" w:xAlign="center" w:y="1"/>
    </w:pPr>
    <w:r>
      <w:fldChar w:fldCharType="begin"/>
    </w:r>
    <w:r>
      <w:rPr>
        <w:rStyle w:val="1063"/>
      </w:rPr>
      <w:instrText xml:space="preserve">PAGE  </w:instrText>
    </w:r>
    <w:r>
      <w:fldChar w:fldCharType="end"/>
    </w:r>
    <w:r/>
  </w:p>
  <w:p>
    <w:pPr>
      <w:pStyle w:val="1037"/>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360"/>
      <w:jc w:val="right"/>
      <w:rPr>
        <w:rFonts w:hint="eastAsia" w:ascii="华文新魏" w:hAnsi="宋体" w:eastAsia="华文新魏"/>
      </w:rPr>
    </w:pPr>
    <w:r>
      <w:rPr>
        <w:rFonts w:hint="eastAsia" w:ascii="华文新魏" w:hAnsi="宋体" w:eastAsia="华文新魏"/>
      </w:rPr>
    </w:r>
    <w:r/>
  </w:p>
  <w:p>
    <w:pPr>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2847094</wp:posOffset>
              </wp:positionH>
              <wp:positionV relativeFrom="paragraph">
                <wp:posOffset>175104</wp:posOffset>
              </wp:positionV>
              <wp:extent cx="267270" cy="242596"/>
              <wp:effectExtent l="0" t="0" r="0" b="508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267270" cy="242596"/>
                      </a:xfrm>
                      <a:prstGeom prst="rect">
                        <a:avLst/>
                      </a:prstGeom>
                      <a:noFill/>
                      <a:ln w="6350">
                        <a:noFill/>
                      </a:ln>
                    </wps:spPr>
                    <wps:txbx>
                      <w:txbxContent>
                        <w:p>
                          <w:pPr>
                            <w:pStyle w:val="1037"/>
                            <w:jc w:val="center"/>
                          </w:pPr>
                          <w:r>
                            <w:fldChar w:fldCharType="begin"/>
                          </w:r>
                          <w:r>
                            <w:rPr>
                              <w:rStyle w:val="1063"/>
                            </w:rPr>
                            <w:instrText xml:space="preserve"> PAGE </w:instrText>
                          </w:r>
                          <w:r>
                            <w:fldChar w:fldCharType="separate"/>
                          </w:r>
                          <w:r>
                            <w:rPr>
                              <w:rStyle w:val="1063"/>
                            </w:rPr>
                            <w:t xml:space="preserve">75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4" o:spid="_x0000_s4" o:spt="202" type="#_x0000_t202" style="position:absolute;z-index:251660288;o:allowoverlap:true;o:allowincell:true;mso-position-horizontal-relative:margin;margin-left:224.2pt;mso-position-horizontal:absolute;mso-position-vertical-relative:text;margin-top:13.8pt;mso-position-vertical:absolute;width:21.0pt;height:19.1pt;mso-wrap-distance-left:9.0pt;mso-wrap-distance-top:0.0pt;mso-wrap-distance-right:9.0pt;mso-wrap-distance-bottom:0.0pt;v-text-anchor:top;visibility:visible;" filled="f" stroked="f" strokeweight="0.50pt">
              <v:textbox inset="0,0,0,0">
                <w:txbxContent>
                  <w:p>
                    <w:pPr>
                      <w:pStyle w:val="1037"/>
                      <w:jc w:val="center"/>
                    </w:pPr>
                    <w:r>
                      <w:fldChar w:fldCharType="begin"/>
                    </w:r>
                    <w:r>
                      <w:rPr>
                        <w:rStyle w:val="1063"/>
                      </w:rPr>
                      <w:instrText xml:space="preserve"> PAGE </w:instrText>
                    </w:r>
                    <w:r>
                      <w:fldChar w:fldCharType="separate"/>
                    </w:r>
                    <w:r>
                      <w:rPr>
                        <w:rStyle w:val="1063"/>
                      </w:rPr>
                      <w:t xml:space="preserve">75</w:t>
                    </w:r>
                    <w:r>
                      <w:fldChar w:fldCharType="end"/>
                    </w:r>
                    <w:r/>
                  </w:p>
                </w:txbxContent>
              </v:textbox>
            </v:shape>
          </w:pict>
        </mc:Fallback>
      </mc:AlternateContent>
    </w: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26670" b="19050"/>
              <wp:wrapNone/>
              <wp:docPr id="6"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037"/>
      <w:jc w:val="center"/>
      <w:rPr>
        <w:rFonts w:ascii="黑体" w:eastAsia="黑体"/>
        <w:sz w:val="21"/>
      </w:rPr>
    </w:pPr>
    <w:r>
      <w:rPr>
        <w:rFonts w:ascii="黑体" w:eastAsia="黑体"/>
        <w:sz w:val="21"/>
      </w:rPr>
    </w:r>
    <w:r/>
  </w:p>
  <w:p>
    <w:pPr>
      <w:pStyle w:val="1037"/>
      <w:ind w:firstLine="360"/>
      <w:jc w:val="right"/>
      <w:rPr>
        <w:rFonts w:hint="eastAsia" w:ascii="华文新魏" w:hAnsi="宋体" w:eastAsia="华文新魏"/>
      </w:rPr>
    </w:pPr>
    <w:r>
      <w:rPr>
        <w:rFonts w:hint="eastAsia" w:ascii="华文新魏" w:hAnsi="宋体" w:eastAsia="华文新魏"/>
      </w:rPr>
    </w:r>
    <w:r/>
  </w:p>
  <w:p>
    <w:pPr>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7"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037"/>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2971165</wp:posOffset>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7"/>
                            <w:jc w:val="center"/>
                          </w:pPr>
                          <w:r>
                            <w:fldChar w:fldCharType="begin"/>
                          </w:r>
                          <w:r>
                            <w:rPr>
                              <w:rStyle w:val="1063"/>
                            </w:rPr>
                            <w:instrText xml:space="preserve"> PAGE </w:instrText>
                          </w:r>
                          <w:r>
                            <w:fldChar w:fldCharType="separate"/>
                          </w:r>
                          <w:r>
                            <w:rPr>
                              <w:rStyle w:val="1063"/>
                            </w:rP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3360;o:allowoverlap:true;o:allowincell:true;mso-position-horizontal-relative:margin;margin-left:233.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7"/>
                      <w:jc w:val="center"/>
                    </w:pPr>
                    <w:r>
                      <w:fldChar w:fldCharType="begin"/>
                    </w:r>
                    <w:r>
                      <w:rPr>
                        <w:rStyle w:val="1063"/>
                      </w:rPr>
                      <w:instrText xml:space="preserve"> PAGE </w:instrText>
                    </w:r>
                    <w:r>
                      <w:fldChar w:fldCharType="separate"/>
                    </w:r>
                    <w:r>
                      <w:rPr>
                        <w:rStyle w:val="1063"/>
                      </w:rPr>
                      <w:t xml:space="preserve">4</w:t>
                    </w:r>
                    <w:r>
                      <w:fldChar w:fldCharType="end"/>
                    </w:r>
                    <w:r/>
                  </w:p>
                </w:txbxContent>
              </v:textbox>
            </v:shape>
          </w:pict>
        </mc:Fallback>
      </mc:AlternateContent>
    </w:r>
    <w:r/>
  </w:p>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037"/>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37"/>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rPr>
        <w:rFonts w:eastAsia="隶书"/>
        <w:sz w:val="24"/>
      </w:rPr>
      <w:pBdr>
        <w:bottom w:val="single" w:color="auto" w:sz="6" w:space="0"/>
      </w:pBdr>
    </w:pPr>
    <w:r>
      <w:rPr>
        <w:rFonts w:eastAsia="隶书"/>
        <w:sz w:val="24"/>
      </w:rPr>
    </w:r>
    <w:r/>
  </w:p>
  <w:p>
    <w:pPr>
      <w:pStyle w:val="1038"/>
      <w:jc w:val="both"/>
      <w:rPr>
        <w:rFonts w:eastAsia="隶书"/>
        <w:sz w:val="24"/>
      </w:rPr>
      <w:pBdr>
        <w:bottom w:val="single" w:color="auto" w:sz="6" w:space="0"/>
      </w:pBdr>
    </w:pPr>
    <w:r>
      <w:rPr>
        <w:rFonts w:eastAsia="隶书"/>
        <w:sz w:val="24"/>
      </w:rPr>
    </w:r>
    <w:r/>
  </w:p>
  <w:p>
    <w:pPr>
      <w:pStyle w:val="1038"/>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24"/>
      </w:rPr>
    </w:pPr>
    <w:r>
      <w:rPr>
        <w:rFonts w:ascii="宋体"/>
        <w:sz w:val="24"/>
      </w:rPr>
    </w:r>
    <w:r/>
  </w:p>
  <w:p>
    <w:pPr>
      <w:pStyle w:val="1038"/>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42273"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both"/>
      <w:rPr>
        <w:rFonts w:eastAsia="隶书"/>
        <w:sz w:val="24"/>
      </w:rPr>
      <w:pBdr>
        <w:bottom w:val="single" w:color="auto" w:sz="6" w:space="0"/>
      </w:pBdr>
    </w:pPr>
    <w:r>
      <w:rPr>
        <w:rFonts w:eastAsia="隶书"/>
        <w:sz w:val="24"/>
      </w:rPr>
    </w:r>
    <w:r/>
  </w:p>
  <w:p>
    <w:pPr>
      <w:pStyle w:val="1038"/>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21765"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pPr>
      <w:pStyle w:val="103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1102"/>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3">
    <w:multiLevelType w:val="hybridMultilevel"/>
    <w:lvl w:ilvl="0">
      <w:start w:val="1"/>
      <w:numFmt w:val="decimal"/>
      <w:pStyle w:val="1305"/>
      <w:isLgl w:val="false"/>
      <w:suff w:val="space"/>
      <w:lvlText w:val="第%1章"/>
      <w:lvlJc w:val="center"/>
      <w:pPr>
        <w:ind w:left="2689" w:firstLine="288"/>
      </w:pPr>
      <w:rPr>
        <w:rFonts w:hint="eastAsia" w:ascii="宋体" w:hAnsi="宋体" w:eastAsia="宋体"/>
        <w:b/>
        <w:i w:val="0"/>
        <w:sz w:val="32"/>
        <w:szCs w:val="28"/>
      </w:rPr>
    </w:lvl>
    <w:lvl w:ilvl="1">
      <w:start w:val="1"/>
      <w:numFmt w:val="decimal"/>
      <w:pStyle w:val="1306"/>
      <w:isLgl w:val="false"/>
      <w:suff w:val="space"/>
      <w:lvlText w:val="%1.%2"/>
      <w:lvlJc w:val="left"/>
      <w:pPr>
        <w:ind w:left="0" w:firstLine="0"/>
      </w:pPr>
      <w:rPr>
        <w:rFonts w:hint="eastAsia" w:ascii="宋体" w:hAnsi="宋体" w:eastAsia="宋体"/>
        <w:b/>
        <w:i w:val="0"/>
        <w:sz w:val="30"/>
        <w:szCs w:val="24"/>
      </w:rPr>
    </w:lvl>
    <w:lvl w:ilvl="2">
      <w:start w:val="1"/>
      <w:numFmt w:val="decimal"/>
      <w:isLgl w:val="false"/>
      <w:suff w:val="space"/>
      <w:lvlText w:val="%1.%2.%3"/>
      <w:lvlJc w:val="left"/>
      <w:pPr>
        <w:ind w:left="426" w:firstLine="0"/>
      </w:pPr>
      <w:rPr>
        <w:rFonts w:hint="eastAsia" w:ascii="宋体" w:hAnsi="宋体" w:eastAsia="宋体"/>
        <w:b/>
        <w:i w:val="0"/>
        <w:sz w:val="28"/>
        <w:szCs w:val="24"/>
      </w:rPr>
    </w:lvl>
    <w:lvl w:ilvl="3">
      <w:start w:val="1"/>
      <w:numFmt w:val="decimal"/>
      <w:isLgl w:val="false"/>
      <w:suff w:val="space"/>
      <w:lvlText w:val="%1.%2.%3.%4"/>
      <w:lvlJc w:val="left"/>
      <w:pPr>
        <w:ind w:left="0" w:firstLine="737"/>
      </w:pPr>
      <w:rPr>
        <w:rFonts w:hint="eastAsia" w:ascii="宋体" w:hAnsi="宋体" w:eastAsia="宋体"/>
        <w:b/>
        <w:i w:val="0"/>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4">
    <w:multiLevelType w:val="hybridMultilevel"/>
    <w:lvl w:ilvl="0">
      <w:start w:val="1"/>
      <w:numFmt w:val="bullet"/>
      <w:pStyle w:val="1113"/>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94"/>
      <w:isLgl w:val="false"/>
      <w:suff w:val="tab"/>
      <w:lvlText w:val="%1、"/>
      <w:lvlJc w:val="left"/>
      <w:pPr>
        <w:ind w:left="360" w:hanging="360"/>
        <w:tabs>
          <w:tab w:val="left" w:pos="360" w:leader="none"/>
        </w:tabs>
      </w:pPr>
      <w:rPr>
        <w:rFonts w:hint="default"/>
      </w:rPr>
    </w:lvl>
    <w:lvl w:ilvl="1">
      <w:start w:val="1"/>
      <w:numFmt w:val="lowerLetter"/>
      <w:pStyle w:val="1204"/>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isLgl w:val="false"/>
      <w:suff w:val="tab"/>
      <w:lvlText w:val=""/>
      <w:lvlJc w:val="left"/>
      <w:pPr>
        <w:ind w:left="2315" w:hanging="425"/>
        <w:tabs>
          <w:tab w:val="num" w:pos="2315" w:leader="none"/>
        </w:tabs>
      </w:pPr>
      <w:rPr>
        <w:rFonts w:hint="default" w:ascii="Wingdings" w:hAnsi="Wingdings" w:cs="Wingdings"/>
        <w:b w:val="0"/>
        <w:bCs w:val="0"/>
        <w:i w:val="0"/>
        <w:iCs w:val="0"/>
        <w:caps w:val="0"/>
        <w:strike w:val="0"/>
        <w:vanish w:val="0"/>
        <w:spacing w:val="0"/>
        <w:position w:val="2"/>
        <w:sz w:val="16"/>
        <w:szCs w:val="16"/>
        <w:vertAlign w:val="baseline"/>
      </w:rPr>
    </w:lvl>
    <w:lvl w:ilvl="1">
      <w:start w:val="1"/>
      <w:numFmt w:val="bullet"/>
      <w:isLgl w:val="false"/>
      <w:suff w:val="tab"/>
      <w:lvlText w:val=""/>
      <w:lvlJc w:val="left"/>
      <w:pPr>
        <w:ind w:left="1029" w:hanging="420"/>
        <w:tabs>
          <w:tab w:val="num" w:pos="1029" w:leader="none"/>
        </w:tabs>
      </w:pPr>
      <w:rPr>
        <w:rFonts w:hint="default" w:ascii="Wingdings" w:hAnsi="Wingdings"/>
      </w:rPr>
    </w:lvl>
    <w:lvl w:ilvl="2">
      <w:start w:val="1"/>
      <w:numFmt w:val="bullet"/>
      <w:isLgl w:val="false"/>
      <w:suff w:val="tab"/>
      <w:lvlText w:val=""/>
      <w:lvlJc w:val="left"/>
      <w:pPr>
        <w:ind w:left="1449" w:hanging="420"/>
        <w:tabs>
          <w:tab w:val="num" w:pos="1449" w:leader="none"/>
        </w:tabs>
      </w:pPr>
      <w:rPr>
        <w:rFonts w:hint="default" w:ascii="Wingdings" w:hAnsi="Wingdings"/>
      </w:rPr>
    </w:lvl>
    <w:lvl w:ilvl="3">
      <w:start w:val="1"/>
      <w:numFmt w:val="bullet"/>
      <w:isLgl w:val="false"/>
      <w:suff w:val="tab"/>
      <w:lvlText w:val=""/>
      <w:lvlJc w:val="left"/>
      <w:pPr>
        <w:ind w:left="1869" w:hanging="420"/>
        <w:tabs>
          <w:tab w:val="num" w:pos="1869" w:leader="none"/>
        </w:tabs>
      </w:pPr>
      <w:rPr>
        <w:rFonts w:hint="default" w:ascii="Wingdings" w:hAnsi="Wingdings"/>
      </w:rPr>
    </w:lvl>
    <w:lvl w:ilvl="4">
      <w:start w:val="1"/>
      <w:numFmt w:val="bullet"/>
      <w:isLgl w:val="false"/>
      <w:suff w:val="tab"/>
      <w:lvlText w:val=""/>
      <w:lvlJc w:val="left"/>
      <w:pPr>
        <w:ind w:left="2289" w:hanging="420"/>
        <w:tabs>
          <w:tab w:val="num" w:pos="2289" w:leader="none"/>
        </w:tabs>
      </w:pPr>
      <w:rPr>
        <w:rFonts w:hint="default" w:ascii="Wingdings" w:hAnsi="Wingdings"/>
      </w:rPr>
    </w:lvl>
    <w:lvl w:ilvl="5">
      <w:start w:val="1"/>
      <w:numFmt w:val="bullet"/>
      <w:isLgl w:val="false"/>
      <w:suff w:val="tab"/>
      <w:lvlText w:val=""/>
      <w:lvlJc w:val="left"/>
      <w:pPr>
        <w:ind w:left="2709" w:hanging="420"/>
        <w:tabs>
          <w:tab w:val="num" w:pos="2709" w:leader="none"/>
        </w:tabs>
      </w:pPr>
      <w:rPr>
        <w:rFonts w:hint="default" w:ascii="Wingdings" w:hAnsi="Wingdings"/>
      </w:rPr>
    </w:lvl>
    <w:lvl w:ilvl="6">
      <w:start w:val="1"/>
      <w:numFmt w:val="bullet"/>
      <w:isLgl w:val="false"/>
      <w:suff w:val="tab"/>
      <w:lvlText w:val=""/>
      <w:lvlJc w:val="left"/>
      <w:pPr>
        <w:ind w:left="3129" w:hanging="420"/>
        <w:tabs>
          <w:tab w:val="num" w:pos="3129" w:leader="none"/>
        </w:tabs>
      </w:pPr>
      <w:rPr>
        <w:rFonts w:hint="default" w:ascii="Wingdings" w:hAnsi="Wingdings"/>
      </w:rPr>
    </w:lvl>
    <w:lvl w:ilvl="7">
      <w:start w:val="1"/>
      <w:numFmt w:val="bullet"/>
      <w:isLgl w:val="false"/>
      <w:suff w:val="tab"/>
      <w:lvlText w:val=""/>
      <w:lvlJc w:val="left"/>
      <w:pPr>
        <w:ind w:left="3549" w:hanging="420"/>
        <w:tabs>
          <w:tab w:val="num" w:pos="3549" w:leader="none"/>
        </w:tabs>
      </w:pPr>
      <w:rPr>
        <w:rFonts w:hint="default" w:ascii="Wingdings" w:hAnsi="Wingdings"/>
      </w:rPr>
    </w:lvl>
    <w:lvl w:ilvl="8">
      <w:start w:val="1"/>
      <w:numFmt w:val="bullet"/>
      <w:isLgl w:val="false"/>
      <w:suff w:val="tab"/>
      <w:lvlText w:val=""/>
      <w:lvlJc w:val="left"/>
      <w:pPr>
        <w:ind w:left="3969" w:hanging="420"/>
        <w:tabs>
          <w:tab w:val="num" w:pos="3969" w:leader="none"/>
        </w:tabs>
      </w:pPr>
      <w:rPr>
        <w:rFonts w:hint="default" w:ascii="Wingdings" w:hAnsi="Wingdings"/>
      </w:rPr>
    </w:lvl>
  </w:abstractNum>
  <w:abstractNum w:abstractNumId="7">
    <w:multiLevelType w:val="hybridMultilevel"/>
    <w:lvl w:ilvl="0">
      <w:start w:val="1"/>
      <w:numFmt w:val="bullet"/>
      <w:pStyle w:val="1117"/>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8">
    <w:multiLevelType w:val="hybridMultilevel"/>
    <w:lvl w:ilvl="0">
      <w:start w:val="1"/>
      <w:numFmt w:val="decimal"/>
      <w:pStyle w:val="1518"/>
      <w:isLgl w:val="false"/>
      <w:suff w:val="space"/>
      <w:lvlText w:val="图%1"/>
      <w:lvlJc w:val="left"/>
      <w:pPr>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bullet"/>
      <w:pStyle w:val="102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decimal"/>
      <w:pStyle w:val="1112"/>
      <w:isLgl w:val="false"/>
      <w:suff w:val="tab"/>
      <w:lvlText w:val="(%1)"/>
      <w:lvlJc w:val="left"/>
      <w:pPr>
        <w:ind w:left="798" w:hanging="360"/>
        <w:tabs>
          <w:tab w:val="left" w:pos="798" w:leader="none"/>
        </w:tabs>
      </w:pPr>
      <w:rPr>
        <w:rFonts w:hint="eastAsia"/>
      </w:rPr>
    </w:lvl>
    <w:lvl w:ilvl="1">
      <w:start w:val="1"/>
      <w:numFmt w:val="lowerLetter"/>
      <w:isLgl w:val="false"/>
      <w:suff w:val="tab"/>
      <w:lvlText w:val="%2)"/>
      <w:lvlJc w:val="left"/>
      <w:pPr>
        <w:ind w:left="1278" w:hanging="420"/>
        <w:tabs>
          <w:tab w:val="left" w:pos="1278" w:leader="none"/>
        </w:tabs>
      </w:pPr>
    </w:lvl>
    <w:lvl w:ilvl="2">
      <w:start w:val="1"/>
      <w:numFmt w:val="lowerRoman"/>
      <w:isLgl w:val="false"/>
      <w:suff w:val="tab"/>
      <w:lvlText w:val="%3."/>
      <w:lvlJc w:val="right"/>
      <w:pPr>
        <w:ind w:left="1698" w:hanging="420"/>
        <w:tabs>
          <w:tab w:val="left" w:pos="1698" w:leader="none"/>
        </w:tabs>
      </w:p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1">
    <w:multiLevelType w:val="hybridMultilevel"/>
    <w:lvl w:ilvl="0">
      <w:start w:val="1"/>
      <w:numFmt w:val="decimal"/>
      <w:pStyle w:val="1507"/>
      <w:isLgl w:val="false"/>
      <w:suff w:val="space"/>
      <w:lvlText w:val="%1)"/>
      <w:lvlJc w:val="left"/>
      <w:pPr>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2">
    <w:multiLevelType w:val="hybridMultilevel"/>
    <w:lvl w:ilvl="0">
      <w:start w:val="1"/>
      <w:numFmt w:val="bullet"/>
      <w:pStyle w:val="1118"/>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3">
    <w:multiLevelType w:val="hybridMultilevel"/>
    <w:lvl w:ilvl="0">
      <w:start w:val="1"/>
      <w:numFmt w:val="bullet"/>
      <w:pStyle w:val="149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1"/>
      <w:numFmt w:val="bullet"/>
      <w:pStyle w:val="1114"/>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15">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285"/>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6">
    <w:multiLevelType w:val="hybridMultilevel"/>
    <w:lvl w:ilvl="0">
      <w:start w:val="1"/>
      <w:numFmt w:val="decimal"/>
      <w:pStyle w:val="1098"/>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1099"/>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100"/>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1101"/>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7">
    <w:multiLevelType w:val="hybridMultilevel"/>
    <w:lvl w:ilvl="0">
      <w:start w:val="1"/>
      <w:numFmt w:val="decimal"/>
      <w:pStyle w:val="1014"/>
      <w:isLgl w:val="false"/>
      <w:suff w:val="tab"/>
      <w:lvlText w:val="(%1)"/>
      <w:lvlJc w:val="left"/>
      <w:pPr>
        <w:ind w:left="798" w:hanging="360"/>
        <w:tabs>
          <w:tab w:val="left" w:pos="798" w:leader="none"/>
        </w:tabs>
      </w:pPr>
      <w:rPr>
        <w:rFonts w:hint="eastAsia"/>
      </w:rPr>
    </w:lvl>
    <w:lvl w:ilvl="1">
      <w:start w:val="1"/>
      <w:numFmt w:val="decimal"/>
      <w:isLgl w:val="false"/>
      <w:suff w:val="tab"/>
      <w:lvlText w:val="（%2）"/>
      <w:lvlJc w:val="left"/>
      <w:pPr>
        <w:ind w:left="1578" w:hanging="720"/>
        <w:tabs>
          <w:tab w:val="left" w:pos="1578" w:leader="none"/>
        </w:tabs>
      </w:pPr>
      <w:rPr>
        <w:rFonts w:hint="eastAsia"/>
      </w:rPr>
    </w:lvl>
    <w:lvl w:ilvl="2">
      <w:start w:val="4"/>
      <w:numFmt w:val="decimal"/>
      <w:isLgl w:val="false"/>
      <w:suff w:val="tab"/>
      <w:lvlText w:val="%3、"/>
      <w:lvlJc w:val="left"/>
      <w:pPr>
        <w:ind w:left="1638" w:hanging="360"/>
        <w:tabs>
          <w:tab w:val="left" w:pos="1638" w:leader="none"/>
        </w:tabs>
      </w:pPr>
      <w:rPr>
        <w:rFonts w:hint="default"/>
      </w:r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8">
    <w:multiLevelType w:val="hybridMultilevel"/>
    <w:lvl w:ilvl="0">
      <w:start w:val="1"/>
      <w:numFmt w:val="japaneseCounting"/>
      <w:pStyle w:val="1013"/>
      <w:isLgl w:val="false"/>
      <w:suff w:val="tab"/>
      <w:lvlText w:val="第%1条"/>
      <w:lvlJc w:val="left"/>
      <w:pPr>
        <w:ind w:left="1830" w:hanging="1200"/>
        <w:tabs>
          <w:tab w:val="left" w:pos="1830" w:leader="none"/>
        </w:tabs>
      </w:pPr>
      <w:rPr>
        <w:rFonts w:hint="default"/>
      </w:r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num w:numId="1">
    <w:abstractNumId w:val="18"/>
  </w:num>
  <w:num w:numId="2">
    <w:abstractNumId w:val="17"/>
  </w:num>
  <w:num w:numId="3">
    <w:abstractNumId w:val="9"/>
  </w:num>
  <w:num w:numId="4">
    <w:abstractNumId w:val="1"/>
  </w:num>
  <w:num w:numId="5">
    <w:abstractNumId w:val="16"/>
  </w:num>
  <w:num w:numId="6">
    <w:abstractNumId w:val="2"/>
  </w:num>
  <w:num w:numId="7">
    <w:abstractNumId w:val="10"/>
  </w:num>
  <w:num w:numId="8">
    <w:abstractNumId w:val="4"/>
  </w:num>
  <w:num w:numId="9">
    <w:abstractNumId w:val="14"/>
  </w:num>
  <w:num w:numId="10">
    <w:abstractNumId w:val="7"/>
  </w:num>
  <w:num w:numId="11">
    <w:abstractNumId w:val="12"/>
  </w:num>
  <w:num w:numId="12">
    <w:abstractNumId w:val="5"/>
  </w:num>
  <w:num w:numId="13">
    <w:abstractNumId w:val="15"/>
  </w:num>
  <w:num w:numId="14">
    <w:abstractNumId w:val="3"/>
  </w:num>
  <w:num w:numId="15">
    <w:abstractNumId w:val="13"/>
  </w:num>
  <w:num w:numId="16">
    <w:abstractNumId w:val="11"/>
  </w:num>
  <w:num w:numId="17">
    <w:abstractNumId w:val="8"/>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04"/>
    <w:link w:val="995"/>
    <w:uiPriority w:val="9"/>
    <w:rPr>
      <w:rFonts w:ascii="Arial" w:hAnsi="Arial" w:eastAsia="Arial" w:cs="Arial"/>
      <w:sz w:val="40"/>
      <w:szCs w:val="40"/>
    </w:rPr>
  </w:style>
  <w:style w:type="character" w:styleId="15">
    <w:name w:val="Heading 2 Char"/>
    <w:basedOn w:val="1004"/>
    <w:link w:val="996"/>
    <w:uiPriority w:val="9"/>
    <w:rPr>
      <w:rFonts w:ascii="Arial" w:hAnsi="Arial" w:eastAsia="Arial" w:cs="Arial"/>
      <w:sz w:val="34"/>
    </w:rPr>
  </w:style>
  <w:style w:type="character" w:styleId="17">
    <w:name w:val="Heading 3 Char"/>
    <w:basedOn w:val="1004"/>
    <w:link w:val="997"/>
    <w:uiPriority w:val="9"/>
    <w:rPr>
      <w:rFonts w:ascii="Arial" w:hAnsi="Arial" w:eastAsia="Arial" w:cs="Arial"/>
      <w:sz w:val="30"/>
      <w:szCs w:val="30"/>
    </w:rPr>
  </w:style>
  <w:style w:type="character" w:styleId="19">
    <w:name w:val="Heading 4 Char"/>
    <w:basedOn w:val="1004"/>
    <w:link w:val="998"/>
    <w:uiPriority w:val="9"/>
    <w:rPr>
      <w:rFonts w:ascii="Arial" w:hAnsi="Arial" w:eastAsia="Arial" w:cs="Arial"/>
      <w:b/>
      <w:bCs/>
      <w:sz w:val="26"/>
      <w:szCs w:val="26"/>
    </w:rPr>
  </w:style>
  <w:style w:type="character" w:styleId="21">
    <w:name w:val="Heading 5 Char"/>
    <w:basedOn w:val="1004"/>
    <w:link w:val="999"/>
    <w:uiPriority w:val="9"/>
    <w:rPr>
      <w:rFonts w:ascii="Arial" w:hAnsi="Arial" w:eastAsia="Arial" w:cs="Arial"/>
      <w:b/>
      <w:bCs/>
      <w:sz w:val="24"/>
      <w:szCs w:val="24"/>
    </w:rPr>
  </w:style>
  <w:style w:type="character" w:styleId="23">
    <w:name w:val="Heading 6 Char"/>
    <w:basedOn w:val="1004"/>
    <w:link w:val="1000"/>
    <w:uiPriority w:val="9"/>
    <w:rPr>
      <w:rFonts w:ascii="Arial" w:hAnsi="Arial" w:eastAsia="Arial" w:cs="Arial"/>
      <w:b/>
      <w:bCs/>
      <w:sz w:val="22"/>
      <w:szCs w:val="22"/>
    </w:rPr>
  </w:style>
  <w:style w:type="character" w:styleId="25">
    <w:name w:val="Heading 7 Char"/>
    <w:basedOn w:val="1004"/>
    <w:link w:val="1001"/>
    <w:uiPriority w:val="9"/>
    <w:rPr>
      <w:rFonts w:ascii="Arial" w:hAnsi="Arial" w:eastAsia="Arial" w:cs="Arial"/>
      <w:b/>
      <w:bCs/>
      <w:i/>
      <w:iCs/>
      <w:sz w:val="22"/>
      <w:szCs w:val="22"/>
    </w:rPr>
  </w:style>
  <w:style w:type="character" w:styleId="27">
    <w:name w:val="Heading 8 Char"/>
    <w:basedOn w:val="1004"/>
    <w:link w:val="1002"/>
    <w:uiPriority w:val="9"/>
    <w:rPr>
      <w:rFonts w:ascii="Arial" w:hAnsi="Arial" w:eastAsia="Arial" w:cs="Arial"/>
      <w:i/>
      <w:iCs/>
      <w:sz w:val="22"/>
      <w:szCs w:val="22"/>
    </w:rPr>
  </w:style>
  <w:style w:type="character" w:styleId="29">
    <w:name w:val="Heading 9 Char"/>
    <w:basedOn w:val="1004"/>
    <w:link w:val="1003"/>
    <w:uiPriority w:val="9"/>
    <w:rPr>
      <w:rFonts w:ascii="Arial" w:hAnsi="Arial" w:eastAsia="Arial" w:cs="Arial"/>
      <w:i/>
      <w:iCs/>
      <w:sz w:val="21"/>
      <w:szCs w:val="21"/>
    </w:rPr>
  </w:style>
  <w:style w:type="character" w:styleId="36">
    <w:name w:val="Subtitle Char"/>
    <w:basedOn w:val="1004"/>
    <w:link w:val="1043"/>
    <w:uiPriority w:val="11"/>
    <w:rPr>
      <w:sz w:val="24"/>
      <w:szCs w:val="24"/>
    </w:rPr>
  </w:style>
  <w:style w:type="paragraph" w:styleId="37">
    <w:name w:val="Quote"/>
    <w:basedOn w:val="994"/>
    <w:next w:val="994"/>
    <w:link w:val="38"/>
    <w:uiPriority w:val="29"/>
    <w:qFormat/>
    <w:pPr>
      <w:ind w:left="720" w:right="720"/>
    </w:pPr>
    <w:rPr>
      <w:i/>
    </w:rPr>
  </w:style>
  <w:style w:type="character" w:styleId="38">
    <w:name w:val="Quote Char"/>
    <w:link w:val="37"/>
    <w:uiPriority w:val="29"/>
    <w:rPr>
      <w:i/>
    </w:rPr>
  </w:style>
  <w:style w:type="paragraph" w:styleId="39">
    <w:name w:val="Intense Quote"/>
    <w:basedOn w:val="994"/>
    <w:next w:val="9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1004"/>
    <w:link w:val="1038"/>
    <w:uiPriority w:val="99"/>
  </w:style>
  <w:style w:type="character" w:styleId="44">
    <w:name w:val="Footer Char"/>
    <w:basedOn w:val="1004"/>
    <w:link w:val="1037"/>
    <w:uiPriority w:val="99"/>
  </w:style>
  <w:style w:type="character" w:styleId="46">
    <w:name w:val="Caption Char"/>
    <w:basedOn w:val="1014"/>
    <w:link w:val="1037"/>
    <w:uiPriority w:val="99"/>
  </w:style>
  <w:style w:type="table" w:styleId="48">
    <w:name w:val="Table Grid Light"/>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0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0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0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0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0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0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0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0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0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0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0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0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0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0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0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0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0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0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0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0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0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0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0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0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0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0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0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0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0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0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0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0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0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0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547"/>
    <w:uiPriority w:val="99"/>
    <w:rPr>
      <w:sz w:val="18"/>
    </w:rPr>
  </w:style>
  <w:style w:type="character" w:styleId="176">
    <w:name w:val="footnote reference"/>
    <w:basedOn w:val="1004"/>
    <w:uiPriority w:val="99"/>
    <w:unhideWhenUsed/>
    <w:rPr>
      <w:vertAlign w:val="superscript"/>
    </w:rPr>
  </w:style>
  <w:style w:type="character" w:styleId="178">
    <w:name w:val="Endnote Text Char"/>
    <w:link w:val="1035"/>
    <w:uiPriority w:val="99"/>
    <w:rPr>
      <w:sz w:val="20"/>
    </w:rPr>
  </w:style>
  <w:style w:type="character" w:styleId="179">
    <w:name w:val="endnote reference"/>
    <w:basedOn w:val="1004"/>
    <w:uiPriority w:val="99"/>
    <w:semiHidden/>
    <w:unhideWhenUsed/>
    <w:rPr>
      <w:vertAlign w:val="superscript"/>
    </w:rPr>
  </w:style>
  <w:style w:type="paragraph" w:styleId="189">
    <w:name w:val="TOC Heading"/>
    <w:uiPriority w:val="39"/>
    <w:unhideWhenUsed/>
  </w:style>
  <w:style w:type="paragraph" w:styleId="994" w:default="1">
    <w:name w:val="Normal"/>
    <w:next w:val="996"/>
    <w:qFormat/>
    <w:pPr>
      <w:jc w:val="both"/>
      <w:widowControl w:val="off"/>
    </w:pPr>
    <w:rPr>
      <w:sz w:val="21"/>
    </w:rPr>
  </w:style>
  <w:style w:type="paragraph" w:styleId="995">
    <w:name w:val="Heading 1"/>
    <w:basedOn w:val="994"/>
    <w:next w:val="994"/>
    <w:link w:val="1153"/>
    <w:uiPriority w:val="9"/>
    <w:qFormat/>
    <w:pPr>
      <w:keepLines/>
      <w:keepNext/>
      <w:spacing w:before="340" w:after="330" w:line="578" w:lineRule="auto"/>
      <w:outlineLvl w:val="0"/>
    </w:pPr>
    <w:rPr>
      <w:b/>
      <w:bCs/>
      <w:sz w:val="44"/>
      <w:szCs w:val="44"/>
    </w:rPr>
  </w:style>
  <w:style w:type="paragraph" w:styleId="996">
    <w:name w:val="Heading 2"/>
    <w:basedOn w:val="994"/>
    <w:next w:val="994"/>
    <w:link w:val="1308"/>
    <w:uiPriority w:val="9"/>
    <w:qFormat/>
    <w:pPr>
      <w:ind w:firstLine="567"/>
      <w:keepLines/>
      <w:keepNext/>
      <w:spacing w:line="305" w:lineRule="auto"/>
      <w:outlineLvl w:val="1"/>
    </w:pPr>
    <w:rPr>
      <w:rFonts w:ascii="Century Schoolbook" w:hAnsi="Century Schoolbook" w:eastAsia="黑体"/>
      <w:bCs/>
      <w:sz w:val="28"/>
      <w:szCs w:val="32"/>
    </w:rPr>
  </w:style>
  <w:style w:type="paragraph" w:styleId="997">
    <w:name w:val="Heading 3"/>
    <w:basedOn w:val="994"/>
    <w:next w:val="1007"/>
    <w:link w:val="1154"/>
    <w:uiPriority w:val="9"/>
    <w:qFormat/>
    <w:pPr>
      <w:keepLines/>
      <w:keepNext/>
      <w:spacing w:before="260" w:after="260" w:line="416" w:lineRule="auto"/>
      <w:outlineLvl w:val="2"/>
    </w:pPr>
    <w:rPr>
      <w:b/>
      <w:sz w:val="32"/>
    </w:rPr>
  </w:style>
  <w:style w:type="paragraph" w:styleId="998">
    <w:name w:val="Heading 4"/>
    <w:basedOn w:val="994"/>
    <w:next w:val="994"/>
    <w:link w:val="1309"/>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999">
    <w:name w:val="Heading 5"/>
    <w:basedOn w:val="994"/>
    <w:next w:val="994"/>
    <w:link w:val="1365"/>
    <w:qFormat/>
    <w:pPr>
      <w:jc w:val="left"/>
      <w:keepLines/>
      <w:keepNext/>
      <w:spacing w:before="280" w:after="290" w:line="376" w:lineRule="atLeast"/>
      <w:outlineLvl w:val="4"/>
    </w:pPr>
    <w:rPr>
      <w:rFonts w:ascii="楷体" w:eastAsia="楷体"/>
      <w:b/>
      <w:bCs/>
      <w:spacing w:val="8"/>
      <w:sz w:val="28"/>
      <w:szCs w:val="28"/>
    </w:rPr>
  </w:style>
  <w:style w:type="paragraph" w:styleId="1000">
    <w:name w:val="Heading 6"/>
    <w:basedOn w:val="994"/>
    <w:next w:val="994"/>
    <w:link w:val="1366"/>
    <w:qFormat/>
    <w:pPr>
      <w:jc w:val="left"/>
      <w:keepLines/>
      <w:keepNext/>
      <w:spacing w:before="240" w:after="64" w:line="320" w:lineRule="atLeast"/>
      <w:outlineLvl w:val="5"/>
    </w:pPr>
    <w:rPr>
      <w:rFonts w:ascii="Arial" w:hAnsi="Arial" w:eastAsia="黑体"/>
      <w:b/>
      <w:bCs/>
      <w:spacing w:val="8"/>
      <w:sz w:val="24"/>
      <w:szCs w:val="24"/>
    </w:rPr>
  </w:style>
  <w:style w:type="paragraph" w:styleId="1001">
    <w:name w:val="Heading 7"/>
    <w:basedOn w:val="994"/>
    <w:next w:val="994"/>
    <w:link w:val="1367"/>
    <w:qFormat/>
    <w:pPr>
      <w:jc w:val="left"/>
      <w:keepLines/>
      <w:keepNext/>
      <w:spacing w:before="240" w:after="64" w:line="320" w:lineRule="atLeast"/>
      <w:outlineLvl w:val="6"/>
    </w:pPr>
    <w:rPr>
      <w:rFonts w:ascii="楷体" w:eastAsia="楷体"/>
      <w:b/>
      <w:bCs/>
      <w:spacing w:val="8"/>
      <w:sz w:val="24"/>
      <w:szCs w:val="24"/>
    </w:rPr>
  </w:style>
  <w:style w:type="paragraph" w:styleId="1002">
    <w:name w:val="Heading 8"/>
    <w:basedOn w:val="994"/>
    <w:next w:val="994"/>
    <w:link w:val="1368"/>
    <w:qFormat/>
    <w:pPr>
      <w:jc w:val="left"/>
      <w:keepLines/>
      <w:keepNext/>
      <w:spacing w:before="240" w:after="64" w:line="320" w:lineRule="atLeast"/>
      <w:outlineLvl w:val="7"/>
    </w:pPr>
    <w:rPr>
      <w:rFonts w:ascii="Arial" w:hAnsi="Arial" w:eastAsia="黑体"/>
      <w:spacing w:val="8"/>
      <w:sz w:val="24"/>
      <w:szCs w:val="24"/>
    </w:rPr>
  </w:style>
  <w:style w:type="paragraph" w:styleId="1003">
    <w:name w:val="Heading 9"/>
    <w:basedOn w:val="994"/>
    <w:next w:val="994"/>
    <w:link w:val="1369"/>
    <w:qFormat/>
    <w:pPr>
      <w:jc w:val="left"/>
      <w:keepLines/>
      <w:keepNext/>
      <w:spacing w:before="240" w:after="64" w:line="320" w:lineRule="atLeast"/>
      <w:outlineLvl w:val="8"/>
    </w:pPr>
    <w:rPr>
      <w:rFonts w:ascii="Arial" w:hAnsi="Arial" w:eastAsia="黑体"/>
      <w:spacing w:val="8"/>
      <w:szCs w:val="21"/>
    </w:rPr>
  </w:style>
  <w:style w:type="character" w:styleId="1004" w:default="1">
    <w:name w:val="Default Paragraph Font"/>
    <w:uiPriority w:val="1"/>
    <w:semiHidden/>
    <w:unhideWhenUsed/>
  </w:style>
  <w:style w:type="table" w:styleId="1005" w:default="1">
    <w:name w:val="Normal Table"/>
    <w:uiPriority w:val="99"/>
    <w:semiHidden/>
    <w:unhideWhenUsed/>
    <w:tblPr>
      <w:tblInd w:w="0" w:type="dxa"/>
      <w:tblCellMar>
        <w:left w:w="108" w:type="dxa"/>
        <w:top w:w="0" w:type="dxa"/>
        <w:right w:w="108" w:type="dxa"/>
        <w:bottom w:w="0" w:type="dxa"/>
      </w:tblCellMar>
    </w:tblPr>
  </w:style>
  <w:style w:type="numbering" w:styleId="1006" w:default="1">
    <w:name w:val="No List"/>
    <w:uiPriority w:val="99"/>
    <w:semiHidden/>
    <w:unhideWhenUsed/>
  </w:style>
  <w:style w:type="paragraph" w:styleId="1007">
    <w:name w:val="Normal Indent"/>
    <w:basedOn w:val="994"/>
    <w:link w:val="1139"/>
    <w:qFormat/>
    <w:pPr>
      <w:ind w:firstLine="420"/>
    </w:pPr>
  </w:style>
  <w:style w:type="paragraph" w:styleId="1008">
    <w:name w:val="List 3"/>
    <w:basedOn w:val="994"/>
    <w:qFormat/>
    <w:pPr>
      <w:ind w:left="100" w:hanging="200"/>
    </w:pPr>
    <w:rPr>
      <w:szCs w:val="24"/>
    </w:rPr>
  </w:style>
  <w:style w:type="paragraph" w:styleId="1009">
    <w:name w:val="toc 7"/>
    <w:basedOn w:val="994"/>
    <w:next w:val="994"/>
    <w:qFormat/>
    <w:pPr>
      <w:ind w:left="2520"/>
    </w:pPr>
  </w:style>
  <w:style w:type="paragraph" w:styleId="1010">
    <w:name w:val="List Number 2"/>
    <w:basedOn w:val="994"/>
    <w:qFormat/>
    <w:pPr>
      <w:jc w:val="left"/>
      <w:spacing w:before="120" w:after="120"/>
      <w:widowControl/>
      <w:tabs>
        <w:tab w:val="left" w:pos="2948" w:leader="none"/>
      </w:tabs>
    </w:pPr>
    <w:rPr>
      <w:sz w:val="22"/>
      <w:lang w:eastAsia="en-US"/>
    </w:rPr>
  </w:style>
  <w:style w:type="paragraph" w:styleId="1011">
    <w:name w:val="table of authorities"/>
    <w:basedOn w:val="994"/>
    <w:next w:val="994"/>
    <w:uiPriority w:val="99"/>
    <w:qFormat/>
    <w:pPr>
      <w:ind w:left="420"/>
      <w:spacing w:line="300" w:lineRule="auto"/>
    </w:pPr>
    <w:rPr>
      <w:rFonts w:ascii="Calibri" w:hAnsi="Calibri"/>
    </w:rPr>
  </w:style>
  <w:style w:type="paragraph" w:styleId="1012">
    <w:name w:val="index 8"/>
    <w:basedOn w:val="994"/>
    <w:next w:val="994"/>
    <w:uiPriority w:val="99"/>
    <w:qFormat/>
    <w:pPr>
      <w:ind w:left="1680" w:hanging="210"/>
      <w:jc w:val="left"/>
    </w:pPr>
    <w:rPr>
      <w:szCs w:val="21"/>
    </w:rPr>
  </w:style>
  <w:style w:type="paragraph" w:styleId="1013">
    <w:name w:val="List Number"/>
    <w:basedOn w:val="994"/>
    <w:qFormat/>
    <w:pPr>
      <w:numPr>
        <w:numId w:val="1"/>
      </w:numPr>
    </w:pPr>
    <w:rPr>
      <w:szCs w:val="24"/>
    </w:rPr>
  </w:style>
  <w:style w:type="paragraph" w:styleId="1014">
    <w:name w:val="Caption"/>
    <w:basedOn w:val="994"/>
    <w:next w:val="1015"/>
    <w:link w:val="1376"/>
    <w:qFormat/>
    <w:pPr>
      <w:numPr>
        <w:numId w:val="2"/>
      </w:numPr>
      <w:jc w:val="left"/>
      <w:keepNext/>
      <w:spacing w:before="60" w:after="240" w:line="220" w:lineRule="atLeast"/>
      <w:widowControl/>
    </w:pPr>
    <w:rPr>
      <w:rFonts w:ascii="Arial Narrow" w:hAnsi="Arial Narrow" w:eastAsia="仿宋体"/>
      <w:sz w:val="18"/>
    </w:rPr>
  </w:style>
  <w:style w:type="paragraph" w:styleId="1015">
    <w:name w:val="Body Text"/>
    <w:basedOn w:val="994"/>
    <w:link w:val="1179"/>
    <w:qFormat/>
    <w:rPr>
      <w:rFonts w:ascii="楷体_GB2312" w:hAnsi="Arial" w:eastAsia="楷体_GB2312"/>
      <w:sz w:val="28"/>
    </w:rPr>
  </w:style>
  <w:style w:type="paragraph" w:styleId="1016">
    <w:name w:val="index 5"/>
    <w:basedOn w:val="994"/>
    <w:next w:val="994"/>
    <w:semiHidden/>
    <w:qFormat/>
    <w:pPr>
      <w:ind w:left="1050" w:hanging="210"/>
      <w:jc w:val="left"/>
    </w:pPr>
    <w:rPr>
      <w:szCs w:val="21"/>
    </w:rPr>
  </w:style>
  <w:style w:type="paragraph" w:styleId="1017">
    <w:name w:val="Document Map"/>
    <w:basedOn w:val="994"/>
    <w:link w:val="1304"/>
    <w:uiPriority w:val="99"/>
    <w:qFormat/>
    <w:pPr>
      <w:shd w:val="clear" w:color="auto" w:fill="000080"/>
    </w:pPr>
    <w:rPr>
      <w:szCs w:val="24"/>
    </w:rPr>
  </w:style>
  <w:style w:type="paragraph" w:styleId="1018">
    <w:name w:val="annotation text"/>
    <w:basedOn w:val="994"/>
    <w:link w:val="1358"/>
    <w:uiPriority w:val="99"/>
    <w:unhideWhenUsed/>
    <w:qFormat/>
    <w:pPr>
      <w:jc w:val="left"/>
    </w:pPr>
    <w:rPr>
      <w:rFonts w:ascii="Calibri" w:hAnsi="Calibri"/>
      <w:szCs w:val="22"/>
    </w:rPr>
  </w:style>
  <w:style w:type="paragraph" w:styleId="1019">
    <w:name w:val="index 6"/>
    <w:basedOn w:val="994"/>
    <w:next w:val="994"/>
    <w:uiPriority w:val="99"/>
    <w:qFormat/>
    <w:pPr>
      <w:ind w:left="1260" w:hanging="210"/>
      <w:jc w:val="left"/>
    </w:pPr>
    <w:rPr>
      <w:szCs w:val="21"/>
    </w:rPr>
  </w:style>
  <w:style w:type="paragraph" w:styleId="1020">
    <w:name w:val="Salutation"/>
    <w:basedOn w:val="994"/>
    <w:next w:val="994"/>
    <w:link w:val="1181"/>
    <w:qFormat/>
    <w:rPr>
      <w:sz w:val="28"/>
      <w:szCs w:val="24"/>
    </w:rPr>
  </w:style>
  <w:style w:type="paragraph" w:styleId="1021">
    <w:name w:val="Body Text 3"/>
    <w:basedOn w:val="994"/>
    <w:link w:val="1163"/>
    <w:qFormat/>
    <w:pPr>
      <w:spacing w:line="480" w:lineRule="exact"/>
    </w:pPr>
    <w:rPr>
      <w:rFonts w:ascii="仿宋_GB2312" w:eastAsia="仿宋_GB2312"/>
      <w:sz w:val="24"/>
      <w:szCs w:val="24"/>
    </w:rPr>
  </w:style>
  <w:style w:type="paragraph" w:styleId="1022">
    <w:name w:val="Body Text Indent"/>
    <w:basedOn w:val="994"/>
    <w:link w:val="1156"/>
    <w:qFormat/>
    <w:pPr>
      <w:ind w:firstLine="358"/>
    </w:pPr>
    <w:rPr>
      <w:sz w:val="28"/>
      <w:szCs w:val="24"/>
    </w:rPr>
  </w:style>
  <w:style w:type="paragraph" w:styleId="1023">
    <w:name w:val="List 2"/>
    <w:basedOn w:val="994"/>
    <w:qFormat/>
    <w:pPr>
      <w:ind w:left="100" w:hanging="200"/>
    </w:pPr>
    <w:rPr>
      <w:szCs w:val="24"/>
    </w:rPr>
  </w:style>
  <w:style w:type="paragraph" w:styleId="1024">
    <w:name w:val="Block Text"/>
    <w:basedOn w:val="994"/>
    <w:qFormat/>
    <w:pPr>
      <w:ind w:left="525" w:right="-1" w:firstLine="525"/>
      <w:spacing w:line="312" w:lineRule="atLeast"/>
    </w:pPr>
    <w:rPr>
      <w:sz w:val="28"/>
      <w:szCs w:val="28"/>
    </w:rPr>
  </w:style>
  <w:style w:type="paragraph" w:styleId="1025">
    <w:name w:val="List Bullet 2"/>
    <w:basedOn w:val="994"/>
    <w:qFormat/>
    <w:pPr>
      <w:numPr>
        <w:numId w:val="3"/>
      </w:numPr>
      <w:ind w:left="1080" w:hanging="540"/>
      <w:spacing w:line="360" w:lineRule="auto"/>
    </w:pPr>
    <w:rPr>
      <w:sz w:val="24"/>
    </w:rPr>
  </w:style>
  <w:style w:type="paragraph" w:styleId="1026">
    <w:name w:val="index 4"/>
    <w:basedOn w:val="994"/>
    <w:next w:val="994"/>
    <w:qFormat/>
    <w:pPr>
      <w:ind w:left="840" w:hanging="210"/>
      <w:jc w:val="left"/>
    </w:pPr>
    <w:rPr>
      <w:szCs w:val="21"/>
    </w:rPr>
  </w:style>
  <w:style w:type="paragraph" w:styleId="1027">
    <w:name w:val="toc 5"/>
    <w:basedOn w:val="994"/>
    <w:next w:val="994"/>
    <w:qFormat/>
    <w:pPr>
      <w:ind w:left="1680"/>
    </w:pPr>
  </w:style>
  <w:style w:type="paragraph" w:styleId="1028">
    <w:name w:val="toc 3"/>
    <w:basedOn w:val="994"/>
    <w:next w:val="994"/>
    <w:uiPriority w:val="39"/>
    <w:qFormat/>
    <w:pPr>
      <w:ind w:left="840"/>
    </w:pPr>
  </w:style>
  <w:style w:type="paragraph" w:styleId="1029">
    <w:name w:val="Plain Text"/>
    <w:basedOn w:val="994"/>
    <w:link w:val="1362"/>
    <w:qFormat/>
    <w:rPr>
      <w:rFonts w:ascii="宋体" w:hAnsi="Courier New"/>
      <w:sz w:val="24"/>
      <w:szCs w:val="24"/>
    </w:rPr>
  </w:style>
  <w:style w:type="paragraph" w:styleId="1030">
    <w:name w:val="List Number 4"/>
    <w:basedOn w:val="994"/>
    <w:qFormat/>
    <w:pPr>
      <w:numPr>
        <w:numId w:val="4"/>
      </w:numPr>
    </w:pPr>
  </w:style>
  <w:style w:type="paragraph" w:styleId="1031">
    <w:name w:val="toc 8"/>
    <w:basedOn w:val="994"/>
    <w:next w:val="994"/>
    <w:qFormat/>
    <w:pPr>
      <w:ind w:left="2940"/>
    </w:pPr>
  </w:style>
  <w:style w:type="paragraph" w:styleId="1032">
    <w:name w:val="index 3"/>
    <w:basedOn w:val="994"/>
    <w:next w:val="994"/>
    <w:semiHidden/>
    <w:qFormat/>
    <w:pPr>
      <w:ind w:left="630" w:hanging="210"/>
      <w:jc w:val="left"/>
    </w:pPr>
    <w:rPr>
      <w:szCs w:val="21"/>
    </w:rPr>
  </w:style>
  <w:style w:type="paragraph" w:styleId="1033">
    <w:name w:val="Date"/>
    <w:basedOn w:val="994"/>
    <w:next w:val="994"/>
    <w:link w:val="1157"/>
    <w:qFormat/>
    <w:pPr>
      <w:ind w:left="100"/>
    </w:pPr>
    <w:rPr>
      <w:rFonts w:ascii="仿宋_GB2312" w:eastAsia="仿宋_GB2312"/>
      <w:color w:val="000000"/>
      <w:sz w:val="32"/>
    </w:rPr>
  </w:style>
  <w:style w:type="paragraph" w:styleId="1034">
    <w:name w:val="Body Text Indent 2"/>
    <w:basedOn w:val="994"/>
    <w:link w:val="1155"/>
    <w:qFormat/>
    <w:pPr>
      <w:ind w:firstLine="560"/>
      <w:spacing w:line="640" w:lineRule="exact"/>
    </w:pPr>
    <w:rPr>
      <w:sz w:val="28"/>
    </w:rPr>
  </w:style>
  <w:style w:type="paragraph" w:styleId="1035">
    <w:name w:val="endnote text"/>
    <w:basedOn w:val="994"/>
    <w:semiHidden/>
    <w:qFormat/>
    <w:pPr>
      <w:jc w:val="left"/>
      <w:spacing w:line="360" w:lineRule="atLeast"/>
    </w:pPr>
    <w:rPr>
      <w:rFonts w:ascii="楷体" w:eastAsia="楷体"/>
      <w:spacing w:val="8"/>
      <w:sz w:val="24"/>
    </w:rPr>
  </w:style>
  <w:style w:type="paragraph" w:styleId="1036">
    <w:name w:val="Balloon Text"/>
    <w:basedOn w:val="994"/>
    <w:link w:val="1294"/>
    <w:uiPriority w:val="99"/>
    <w:qFormat/>
    <w:rPr>
      <w:sz w:val="18"/>
      <w:szCs w:val="18"/>
    </w:rPr>
  </w:style>
  <w:style w:type="paragraph" w:styleId="1037">
    <w:name w:val="Footer"/>
    <w:basedOn w:val="994"/>
    <w:link w:val="1295"/>
    <w:uiPriority w:val="99"/>
    <w:qFormat/>
    <w:pPr>
      <w:jc w:val="left"/>
      <w:tabs>
        <w:tab w:val="center" w:pos="4153" w:leader="none"/>
        <w:tab w:val="right" w:pos="8306" w:leader="none"/>
      </w:tabs>
    </w:pPr>
    <w:rPr>
      <w:sz w:val="18"/>
    </w:rPr>
  </w:style>
  <w:style w:type="paragraph" w:styleId="1038">
    <w:name w:val="Header"/>
    <w:basedOn w:val="994"/>
    <w:link w:val="1158"/>
    <w:uiPriority w:val="99"/>
    <w:qFormat/>
    <w:pPr>
      <w:jc w:val="center"/>
      <w:tabs>
        <w:tab w:val="center" w:pos="4153" w:leader="none"/>
        <w:tab w:val="right" w:pos="8306" w:leader="none"/>
      </w:tabs>
      <w:pBdr>
        <w:bottom w:val="single" w:color="auto" w:sz="6" w:space="1"/>
      </w:pBdr>
    </w:pPr>
    <w:rPr>
      <w:sz w:val="18"/>
    </w:rPr>
  </w:style>
  <w:style w:type="paragraph" w:styleId="1039">
    <w:name w:val="toc 1"/>
    <w:basedOn w:val="994"/>
    <w:next w:val="994"/>
    <w:uiPriority w:val="39"/>
    <w:qFormat/>
  </w:style>
  <w:style w:type="paragraph" w:styleId="1040">
    <w:name w:val="toc 4"/>
    <w:basedOn w:val="994"/>
    <w:next w:val="994"/>
    <w:qFormat/>
    <w:pPr>
      <w:ind w:left="1260"/>
    </w:pPr>
  </w:style>
  <w:style w:type="paragraph" w:styleId="1041">
    <w:name w:val="index heading"/>
    <w:basedOn w:val="994"/>
    <w:next w:val="1042"/>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1042">
    <w:name w:val="index 1"/>
    <w:basedOn w:val="994"/>
    <w:next w:val="994"/>
    <w:semiHidden/>
    <w:qFormat/>
    <w:pPr>
      <w:ind w:left="210" w:hanging="210"/>
      <w:jc w:val="left"/>
    </w:pPr>
    <w:rPr>
      <w:szCs w:val="21"/>
    </w:rPr>
  </w:style>
  <w:style w:type="paragraph" w:styleId="1043">
    <w:name w:val="Subtitle"/>
    <w:basedOn w:val="994"/>
    <w:next w:val="994"/>
    <w:link w:val="1292"/>
    <w:qFormat/>
    <w:pPr>
      <w:ind w:firstLine="200"/>
      <w:jc w:val="left"/>
      <w:spacing w:line="400" w:lineRule="exact"/>
      <w:outlineLvl w:val="1"/>
    </w:pPr>
    <w:rPr>
      <w:rFonts w:ascii="Cambria" w:hAnsi="Cambria" w:eastAsia="黑体"/>
      <w:b/>
      <w:bCs/>
      <w:szCs w:val="32"/>
    </w:rPr>
  </w:style>
  <w:style w:type="paragraph" w:styleId="1044">
    <w:name w:val="List"/>
    <w:basedOn w:val="994"/>
    <w:qFormat/>
    <w:pPr>
      <w:ind w:left="200" w:hanging="200"/>
    </w:pPr>
    <w:rPr>
      <w:szCs w:val="24"/>
    </w:rPr>
  </w:style>
  <w:style w:type="paragraph" w:styleId="1045">
    <w:name w:val="toc 6"/>
    <w:basedOn w:val="994"/>
    <w:next w:val="994"/>
    <w:qFormat/>
    <w:pPr>
      <w:ind w:left="2100"/>
    </w:pPr>
  </w:style>
  <w:style w:type="paragraph" w:styleId="1046">
    <w:name w:val="Body Text Indent 3"/>
    <w:basedOn w:val="994"/>
    <w:link w:val="1310"/>
    <w:qFormat/>
    <w:pPr>
      <w:ind w:firstLine="438"/>
      <w:jc w:val="left"/>
    </w:pPr>
    <w:rPr>
      <w:rFonts w:ascii="楷体_GB2312" w:eastAsia="楷体_GB2312"/>
      <w:b/>
      <w:bCs/>
      <w:color w:val="000000"/>
      <w:sz w:val="24"/>
      <w:u w:val="single"/>
    </w:rPr>
  </w:style>
  <w:style w:type="paragraph" w:styleId="1047">
    <w:name w:val="index 7"/>
    <w:basedOn w:val="994"/>
    <w:next w:val="994"/>
    <w:semiHidden/>
    <w:qFormat/>
    <w:pPr>
      <w:ind w:left="1470" w:hanging="210"/>
      <w:jc w:val="left"/>
    </w:pPr>
    <w:rPr>
      <w:szCs w:val="21"/>
    </w:rPr>
  </w:style>
  <w:style w:type="paragraph" w:styleId="1048">
    <w:name w:val="index 9"/>
    <w:basedOn w:val="994"/>
    <w:next w:val="994"/>
    <w:semiHidden/>
    <w:qFormat/>
    <w:pPr>
      <w:ind w:left="1890" w:hanging="210"/>
      <w:jc w:val="left"/>
    </w:pPr>
    <w:rPr>
      <w:szCs w:val="21"/>
    </w:rPr>
  </w:style>
  <w:style w:type="paragraph" w:styleId="1049">
    <w:name w:val="table of figures"/>
    <w:basedOn w:val="994"/>
    <w:next w:val="994"/>
    <w:semiHidden/>
    <w:qFormat/>
    <w:pPr>
      <w:ind w:left="840" w:hanging="420"/>
    </w:pPr>
    <w:rPr>
      <w:szCs w:val="21"/>
    </w:rPr>
  </w:style>
  <w:style w:type="paragraph" w:styleId="1050">
    <w:name w:val="toc 2"/>
    <w:basedOn w:val="994"/>
    <w:next w:val="994"/>
    <w:uiPriority w:val="39"/>
    <w:qFormat/>
    <w:pPr>
      <w:ind w:left="420"/>
    </w:pPr>
  </w:style>
  <w:style w:type="paragraph" w:styleId="1051">
    <w:name w:val="toc 9"/>
    <w:basedOn w:val="994"/>
    <w:next w:val="994"/>
    <w:qFormat/>
    <w:pPr>
      <w:ind w:left="3360"/>
    </w:pPr>
  </w:style>
  <w:style w:type="paragraph" w:styleId="1052">
    <w:name w:val="Body Text 2"/>
    <w:basedOn w:val="994"/>
    <w:link w:val="1160"/>
    <w:qFormat/>
    <w:rPr>
      <w:rFonts w:eastAsia="仿宋_GB2312"/>
      <w:sz w:val="24"/>
    </w:rPr>
  </w:style>
  <w:style w:type="paragraph" w:styleId="1053">
    <w:name w:val="List Continue 2"/>
    <w:basedOn w:val="994"/>
    <w:qFormat/>
    <w:pPr>
      <w:ind w:left="840"/>
      <w:spacing w:after="120"/>
    </w:pPr>
    <w:rPr>
      <w:szCs w:val="24"/>
    </w:rPr>
  </w:style>
  <w:style w:type="paragraph" w:styleId="1054">
    <w:name w:val="HTML Preformatted"/>
    <w:basedOn w:val="994"/>
    <w:link w:val="1371"/>
    <w:qFormat/>
    <w:rPr>
      <w:rFonts w:ascii="Courier New" w:hAnsi="Courier New"/>
      <w:sz w:val="20"/>
    </w:rPr>
  </w:style>
  <w:style w:type="paragraph" w:styleId="1055">
    <w:name w:val="Normal (Web)"/>
    <w:basedOn w:val="994"/>
    <w:link w:val="1388"/>
    <w:uiPriority w:val="99"/>
    <w:qFormat/>
    <w:pPr>
      <w:jc w:val="left"/>
      <w:spacing w:before="100" w:beforeAutospacing="1" w:after="100" w:afterAutospacing="1"/>
      <w:widowControl/>
    </w:pPr>
    <w:rPr>
      <w:rFonts w:ascii="宋体" w:hAnsi="宋体"/>
      <w:color w:val="000000"/>
      <w:sz w:val="24"/>
      <w:szCs w:val="24"/>
    </w:rPr>
  </w:style>
  <w:style w:type="paragraph" w:styleId="1056">
    <w:name w:val="index 2"/>
    <w:basedOn w:val="994"/>
    <w:next w:val="994"/>
    <w:semiHidden/>
    <w:qFormat/>
    <w:pPr>
      <w:ind w:left="420" w:hanging="210"/>
      <w:jc w:val="left"/>
    </w:pPr>
    <w:rPr>
      <w:szCs w:val="21"/>
    </w:rPr>
  </w:style>
  <w:style w:type="paragraph" w:styleId="1057">
    <w:name w:val="Title"/>
    <w:basedOn w:val="994"/>
    <w:link w:val="1192"/>
    <w:qFormat/>
    <w:pPr>
      <w:jc w:val="left"/>
      <w:spacing w:before="240" w:after="60" w:line="360" w:lineRule="auto"/>
      <w:outlineLvl w:val="0"/>
    </w:pPr>
    <w:rPr>
      <w:rFonts w:ascii="Arial" w:hAnsi="Arial" w:eastAsia="黑体"/>
      <w:b/>
      <w:sz w:val="84"/>
      <w:lang w:val="en-GB"/>
    </w:rPr>
  </w:style>
  <w:style w:type="paragraph" w:styleId="1058">
    <w:name w:val="annotation subject"/>
    <w:basedOn w:val="1018"/>
    <w:next w:val="1018"/>
    <w:link w:val="1408"/>
    <w:uiPriority w:val="99"/>
    <w:unhideWhenUsed/>
    <w:qFormat/>
    <w:pPr>
      <w:ind w:firstLine="200"/>
      <w:spacing w:line="360" w:lineRule="auto"/>
    </w:pPr>
    <w:rPr>
      <w:rFonts w:ascii="Times New Roman" w:hAnsi="Times New Roman"/>
      <w:b/>
      <w:bCs/>
      <w:sz w:val="24"/>
      <w:szCs w:val="20"/>
    </w:rPr>
  </w:style>
  <w:style w:type="paragraph" w:styleId="1059">
    <w:name w:val="Body Text First Indent"/>
    <w:basedOn w:val="1015"/>
    <w:link w:val="1180"/>
    <w:qFormat/>
    <w:pPr>
      <w:ind w:firstLine="420"/>
      <w:spacing w:after="120"/>
    </w:pPr>
    <w:rPr>
      <w:rFonts w:ascii="Times New Roman" w:hAnsi="Times New Roman" w:eastAsia="宋体"/>
      <w:sz w:val="21"/>
      <w:szCs w:val="24"/>
    </w:rPr>
  </w:style>
  <w:style w:type="paragraph" w:styleId="1060">
    <w:name w:val="Body Text First Indent 2"/>
    <w:basedOn w:val="1022"/>
    <w:link w:val="1430"/>
    <w:uiPriority w:val="99"/>
    <w:qFormat/>
    <w:pPr>
      <w:ind w:left="420" w:firstLine="420"/>
      <w:spacing w:after="120"/>
    </w:pPr>
    <w:rPr>
      <w:sz w:val="21"/>
      <w:szCs w:val="20"/>
    </w:rPr>
  </w:style>
  <w:style w:type="table" w:styleId="1061">
    <w:name w:val="Table Grid"/>
    <w:basedOn w:val="100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2">
    <w:name w:val="Strong"/>
    <w:basedOn w:val="1004"/>
    <w:qFormat/>
    <w:rPr>
      <w:b/>
      <w:bCs/>
    </w:rPr>
  </w:style>
  <w:style w:type="character" w:styleId="1063">
    <w:name w:val="page number"/>
    <w:basedOn w:val="1004"/>
    <w:qFormat/>
  </w:style>
  <w:style w:type="character" w:styleId="1064">
    <w:name w:val="FollowedHyperlink"/>
    <w:basedOn w:val="1004"/>
    <w:qFormat/>
    <w:rPr>
      <w:color w:val="800080"/>
      <w:u w:val="single"/>
    </w:rPr>
  </w:style>
  <w:style w:type="character" w:styleId="1065">
    <w:name w:val="Emphasis"/>
    <w:basedOn w:val="1004"/>
    <w:qFormat/>
    <w:rPr>
      <w:i/>
      <w:iCs/>
    </w:rPr>
  </w:style>
  <w:style w:type="character" w:styleId="1066">
    <w:name w:val="HTML Typewriter"/>
    <w:uiPriority w:val="99"/>
    <w:unhideWhenUsed/>
    <w:qFormat/>
    <w:rPr>
      <w:rFonts w:hint="eastAsia" w:ascii="宋体" w:hAnsi="宋体" w:eastAsia="宋体" w:cs="宋体"/>
      <w:sz w:val="24"/>
      <w:szCs w:val="24"/>
    </w:rPr>
  </w:style>
  <w:style w:type="character" w:styleId="1067">
    <w:name w:val="Hyperlink"/>
    <w:basedOn w:val="1004"/>
    <w:qFormat/>
    <w:rPr>
      <w:color w:val="0000ff"/>
      <w:u w:val="single"/>
    </w:rPr>
  </w:style>
  <w:style w:type="character" w:styleId="1068">
    <w:name w:val="annotation reference"/>
    <w:uiPriority w:val="99"/>
    <w:unhideWhenUsed/>
    <w:qFormat/>
    <w:rPr>
      <w:sz w:val="21"/>
      <w:szCs w:val="21"/>
    </w:rPr>
  </w:style>
  <w:style w:type="character" w:styleId="1069" w:customStyle="1">
    <w:name w:val="title1"/>
    <w:basedOn w:val="1004"/>
    <w:qFormat/>
    <w:rPr>
      <w:b/>
      <w:bCs/>
      <w:sz w:val="21"/>
      <w:szCs w:val="21"/>
      <w:u w:val="none"/>
    </w:rPr>
  </w:style>
  <w:style w:type="paragraph" w:styleId="1070" w:customStyle="1">
    <w:name w:val="pc"/>
    <w:basedOn w:val="994"/>
    <w:qFormat/>
    <w:pPr>
      <w:jc w:val="left"/>
      <w:spacing w:before="100" w:beforeAutospacing="1" w:after="100" w:afterAutospacing="1" w:line="355" w:lineRule="auto"/>
      <w:widowControl/>
    </w:pPr>
    <w:rPr>
      <w:rFonts w:hint="eastAsia" w:ascii="宋体" w:hAnsi="宋体"/>
      <w:color w:val="313131"/>
      <w:sz w:val="18"/>
      <w:szCs w:val="18"/>
    </w:rPr>
  </w:style>
  <w:style w:type="paragraph" w:styleId="1071" w:customStyle="1">
    <w:name w:val="Char Char Char"/>
    <w:basedOn w:val="994"/>
    <w:qFormat/>
    <w:rPr>
      <w:rFonts w:ascii="Tahoma" w:hAnsi="Tahoma"/>
      <w:sz w:val="24"/>
    </w:rPr>
  </w:style>
  <w:style w:type="paragraph" w:styleId="1072" w:customStyle="1">
    <w:name w:val="Char"/>
    <w:basedOn w:val="994"/>
    <w:semiHidden/>
    <w:qFormat/>
    <w:pPr>
      <w:jc w:val="center"/>
      <w:spacing w:line="400" w:lineRule="exact"/>
      <w:widowControl/>
    </w:pPr>
    <w:rPr>
      <w:rFonts w:ascii="Verdana" w:hAnsi="Verdana"/>
      <w:lang w:eastAsia="en-US"/>
    </w:rPr>
  </w:style>
  <w:style w:type="paragraph" w:styleId="1073" w:customStyle="1">
    <w:name w:val="百姓X"/>
    <w:basedOn w:val="994"/>
    <w:qFormat/>
    <w:pPr>
      <w:ind w:firstLine="539"/>
      <w:spacing w:before="120" w:after="120" w:line="360" w:lineRule="auto"/>
    </w:pPr>
    <w:rPr>
      <w:rFonts w:ascii="宋体" w:hAnsi="宋体"/>
      <w:sz w:val="24"/>
    </w:rPr>
  </w:style>
  <w:style w:type="paragraph" w:styleId="1074" w:customStyle="1">
    <w:name w:val="图片"/>
    <w:basedOn w:val="994"/>
    <w:qFormat/>
    <w:pPr>
      <w:spacing w:line="312" w:lineRule="atLeast"/>
    </w:pPr>
    <w:rPr>
      <w:szCs w:val="21"/>
    </w:rPr>
  </w:style>
  <w:style w:type="paragraph" w:styleId="1075" w:customStyle="1">
    <w:name w:val="样式2"/>
    <w:basedOn w:val="994"/>
    <w:link w:val="1173"/>
    <w:qFormat/>
    <w:pPr>
      <w:ind w:right="-8"/>
      <w:spacing w:before="60" w:after="60" w:line="480" w:lineRule="atLeast"/>
      <w:widowControl/>
    </w:pPr>
    <w:rPr>
      <w:rFonts w:ascii="黑体" w:hAnsi="Arial" w:eastAsia="黑体"/>
      <w:sz w:val="24"/>
      <w:szCs w:val="24"/>
    </w:rPr>
  </w:style>
  <w:style w:type="paragraph" w:styleId="1076" w:customStyle="1">
    <w:name w:val="小四楷粗"/>
    <w:basedOn w:val="994"/>
    <w:qFormat/>
    <w:pPr>
      <w:jc w:val="center"/>
    </w:pPr>
    <w:rPr>
      <w:rFonts w:ascii="宋体"/>
      <w:b/>
      <w:bCs/>
      <w:color w:val="000000"/>
      <w:szCs w:val="21"/>
    </w:rPr>
  </w:style>
  <w:style w:type="paragraph" w:styleId="1077" w:customStyle="1">
    <w:name w:val="小四楷"/>
    <w:basedOn w:val="994"/>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078" w:customStyle="1">
    <w:name w:val="五楷"/>
    <w:basedOn w:val="994"/>
    <w:qFormat/>
    <w:pPr>
      <w:jc w:val="center"/>
    </w:pPr>
    <w:rPr>
      <w:rFonts w:ascii="宋体" w:hAnsi="宋体"/>
      <w:color w:val="000000"/>
      <w:sz w:val="24"/>
      <w:szCs w:val="21"/>
    </w:rPr>
  </w:style>
  <w:style w:type="paragraph" w:styleId="1079" w:customStyle="1">
    <w:name w:val="xl24"/>
    <w:basedOn w:val="994"/>
    <w:qFormat/>
    <w:pPr>
      <w:jc w:val="center"/>
      <w:spacing w:before="100" w:after="100"/>
      <w:widowControl/>
    </w:pPr>
    <w:rPr>
      <w:rFonts w:ascii="楷体_GB2312" w:hAnsi="宋体" w:eastAsia="楷体_GB2312"/>
      <w:sz w:val="24"/>
      <w:szCs w:val="24"/>
    </w:rPr>
  </w:style>
  <w:style w:type="paragraph" w:styleId="1080" w:customStyle="1">
    <w:name w:val="head2"/>
    <w:basedOn w:val="994"/>
    <w:qFormat/>
    <w:pPr>
      <w:jc w:val="left"/>
      <w:widowControl/>
    </w:pPr>
    <w:rPr>
      <w:rFonts w:ascii="Arial" w:hAnsi="Arial"/>
      <w:b/>
      <w:bCs/>
      <w:sz w:val="28"/>
      <w:szCs w:val="28"/>
    </w:rPr>
  </w:style>
  <w:style w:type="paragraph" w:styleId="1081" w:customStyle="1">
    <w:name w:val="font0"/>
    <w:basedOn w:val="994"/>
    <w:qFormat/>
    <w:pPr>
      <w:jc w:val="left"/>
      <w:spacing w:before="100" w:beforeAutospacing="1" w:after="100" w:afterAutospacing="1"/>
      <w:widowControl/>
    </w:pPr>
    <w:rPr>
      <w:rFonts w:hint="eastAsia" w:ascii="宋体" w:hAnsi="宋体" w:cs="Arial Unicode MS"/>
      <w:sz w:val="24"/>
      <w:szCs w:val="24"/>
    </w:rPr>
  </w:style>
  <w:style w:type="paragraph" w:styleId="1082" w:customStyle="1">
    <w:name w:val="font5"/>
    <w:basedOn w:val="994"/>
    <w:qFormat/>
    <w:pPr>
      <w:jc w:val="left"/>
      <w:spacing w:before="100" w:beforeAutospacing="1" w:after="100" w:afterAutospacing="1"/>
      <w:widowControl/>
    </w:pPr>
    <w:rPr>
      <w:rFonts w:hint="eastAsia" w:ascii="宋体" w:hAnsi="宋体" w:cs="Arial Unicode MS"/>
      <w:sz w:val="18"/>
      <w:szCs w:val="18"/>
    </w:rPr>
  </w:style>
  <w:style w:type="paragraph" w:styleId="1083" w:customStyle="1">
    <w:name w:val="font6"/>
    <w:basedOn w:val="994"/>
    <w:qFormat/>
    <w:pPr>
      <w:jc w:val="left"/>
      <w:spacing w:before="100" w:beforeAutospacing="1" w:after="100" w:afterAutospacing="1"/>
      <w:widowControl/>
    </w:pPr>
    <w:rPr>
      <w:rFonts w:hint="eastAsia" w:ascii="宋体" w:hAnsi="宋体" w:cs="Arial Unicode MS"/>
      <w:sz w:val="24"/>
      <w:szCs w:val="24"/>
    </w:rPr>
  </w:style>
  <w:style w:type="paragraph" w:styleId="1084" w:customStyle="1">
    <w:name w:val="xl2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85" w:customStyle="1">
    <w:name w:val="xl26"/>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86" w:customStyle="1">
    <w:name w:val="xl27"/>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87" w:customStyle="1">
    <w:name w:val="xl28"/>
    <w:basedOn w:val="99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88" w:customStyle="1">
    <w:name w:val="xl29"/>
    <w:basedOn w:val="99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89" w:customStyle="1">
    <w:name w:val="xl30"/>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90" w:customStyle="1">
    <w:name w:val="xl31"/>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1091" w:customStyle="1">
    <w:name w:val="纯文本1"/>
    <w:basedOn w:val="994"/>
    <w:qFormat/>
    <w:rPr>
      <w:rFonts w:ascii="宋体"/>
      <w:sz w:val="28"/>
    </w:rPr>
  </w:style>
  <w:style w:type="paragraph" w:styleId="1092" w:customStyle="1">
    <w:name w:val="插图说明"/>
    <w:next w:val="994"/>
    <w:qFormat/>
    <w:pPr>
      <w:jc w:val="center"/>
      <w:spacing w:before="120" w:after="240"/>
    </w:pPr>
    <w:rPr>
      <w:rFonts w:eastAsia="楷体_GB2312"/>
      <w:sz w:val="24"/>
    </w:rPr>
  </w:style>
  <w:style w:type="character" w:styleId="1093" w:customStyle="1">
    <w:name w:val="font111"/>
    <w:basedOn w:val="1004"/>
    <w:qFormat/>
    <w:rPr>
      <w:spacing w:val="500"/>
      <w:sz w:val="21"/>
      <w:szCs w:val="21"/>
    </w:rPr>
  </w:style>
  <w:style w:type="paragraph" w:styleId="1094" w:customStyle="1">
    <w:name w:val="design"/>
    <w:basedOn w:val="994"/>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095" w:customStyle="1">
    <w:name w:val="design1"/>
    <w:basedOn w:val="1004"/>
    <w:qFormat/>
    <w:rPr>
      <w:spacing w:val="400"/>
      <w:sz w:val="18"/>
      <w:szCs w:val="18"/>
    </w:rPr>
  </w:style>
  <w:style w:type="paragraph" w:styleId="1096" w:customStyle="1">
    <w:name w:val="T4"/>
    <w:basedOn w:val="994"/>
    <w:qFormat/>
    <w:pPr>
      <w:spacing w:line="360" w:lineRule="atLeast"/>
    </w:pPr>
    <w:rPr>
      <w:rFonts w:ascii="宋体"/>
      <w:sz w:val="22"/>
    </w:rPr>
  </w:style>
  <w:style w:type="paragraph" w:styleId="1097" w:customStyle="1">
    <w:name w:val="5"/>
    <w:basedOn w:val="994"/>
    <w:next w:val="10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98" w:customStyle="1">
    <w:name w:val="1B"/>
    <w:basedOn w:val="995"/>
    <w:qFormat/>
    <w:pPr>
      <w:numPr>
        <w:numId w:val="5"/>
      </w:numPr>
      <w:spacing w:before="360" w:after="360" w:line="480" w:lineRule="auto"/>
    </w:pPr>
    <w:rPr>
      <w:sz w:val="28"/>
      <w:szCs w:val="24"/>
    </w:rPr>
  </w:style>
  <w:style w:type="paragraph" w:styleId="1099" w:customStyle="1">
    <w:name w:val="1.1B Char"/>
    <w:basedOn w:val="997"/>
    <w:qFormat/>
    <w:pPr>
      <w:numPr>
        <w:ilvl w:val="1"/>
        <w:numId w:val="5"/>
      </w:numPr>
      <w:spacing w:before="240" w:after="240" w:line="240" w:lineRule="auto"/>
    </w:pPr>
    <w:rPr>
      <w:rFonts w:ascii="黑体" w:hAnsi="宋体" w:eastAsia="黑体"/>
      <w:bCs/>
      <w:sz w:val="24"/>
      <w:szCs w:val="24"/>
    </w:rPr>
  </w:style>
  <w:style w:type="paragraph" w:styleId="1100" w:customStyle="1">
    <w:name w:val="1.1.1B"/>
    <w:basedOn w:val="997"/>
    <w:qFormat/>
    <w:pPr>
      <w:numPr>
        <w:ilvl w:val="2"/>
        <w:numId w:val="5"/>
      </w:numPr>
      <w:spacing w:before="240" w:after="240" w:line="240" w:lineRule="auto"/>
    </w:pPr>
    <w:rPr>
      <w:bCs/>
      <w:sz w:val="24"/>
      <w:szCs w:val="32"/>
    </w:rPr>
  </w:style>
  <w:style w:type="paragraph" w:styleId="1101" w:customStyle="1">
    <w:name w:val="1.1.1.1B"/>
    <w:basedOn w:val="998"/>
    <w:qFormat/>
    <w:pPr>
      <w:numPr>
        <w:ilvl w:val="3"/>
        <w:numId w:val="5"/>
      </w:numPr>
      <w:jc w:val="both"/>
      <w:spacing w:before="240" w:after="240" w:line="240" w:lineRule="auto"/>
    </w:pPr>
    <w:rPr>
      <w:rFonts w:ascii="Arial" w:hAnsi="Arial" w:eastAsia="宋体"/>
      <w:b/>
      <w:sz w:val="24"/>
      <w:szCs w:val="24"/>
    </w:rPr>
  </w:style>
  <w:style w:type="paragraph" w:styleId="1102" w:customStyle="1">
    <w:name w:val="样式1"/>
    <w:basedOn w:val="998"/>
    <w:link w:val="1172"/>
    <w:qFormat/>
    <w:pPr>
      <w:numPr>
        <w:ilvl w:val="1"/>
        <w:numId w:val="6"/>
      </w:numPr>
      <w:jc w:val="both"/>
      <w:spacing w:before="280" w:after="290" w:line="376" w:lineRule="auto"/>
    </w:pPr>
    <w:rPr>
      <w:rFonts w:ascii="Arial" w:hAnsi="Arial" w:eastAsia="宋体"/>
      <w:b/>
    </w:rPr>
  </w:style>
  <w:style w:type="paragraph" w:styleId="1103" w:customStyle="1">
    <w:name w:val="南通方案正文"/>
    <w:basedOn w:val="994"/>
    <w:qFormat/>
    <w:pPr>
      <w:ind w:firstLine="480"/>
      <w:spacing w:line="360" w:lineRule="auto"/>
    </w:pPr>
    <w:rPr>
      <w:rFonts w:cs="宋体"/>
      <w:sz w:val="24"/>
    </w:rPr>
  </w:style>
  <w:style w:type="paragraph" w:styleId="1104" w:customStyle="1">
    <w:name w:val="方案正文"/>
    <w:basedOn w:val="994"/>
    <w:qFormat/>
    <w:pPr>
      <w:spacing w:line="360" w:lineRule="auto"/>
    </w:pPr>
    <w:rPr>
      <w:sz w:val="24"/>
      <w:szCs w:val="24"/>
    </w:rPr>
  </w:style>
  <w:style w:type="paragraph" w:styleId="1105" w:customStyle="1">
    <w:name w:val="TOC Base"/>
    <w:basedOn w:val="994"/>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106" w:customStyle="1">
    <w:name w:val="正文段"/>
    <w:basedOn w:val="994"/>
    <w:qFormat/>
    <w:pPr>
      <w:ind w:firstLine="454"/>
      <w:spacing w:after="240" w:line="240" w:lineRule="atLeast"/>
      <w:widowControl/>
    </w:pPr>
    <w:rPr>
      <w:rFonts w:ascii="宋体"/>
      <w:sz w:val="24"/>
    </w:rPr>
  </w:style>
  <w:style w:type="paragraph" w:styleId="1107" w:customStyle="1">
    <w:name w:val="Picture"/>
    <w:basedOn w:val="994"/>
    <w:next w:val="1014"/>
    <w:qFormat/>
    <w:pPr>
      <w:ind w:left="1080"/>
      <w:jc w:val="left"/>
      <w:keepNext/>
      <w:widowControl/>
    </w:pPr>
    <w:rPr>
      <w:rFonts w:ascii="Arial" w:hAnsi="Arial" w:eastAsia="仿宋体"/>
      <w:spacing w:val="-5"/>
      <w:sz w:val="28"/>
    </w:rPr>
  </w:style>
  <w:style w:type="paragraph" w:styleId="1108" w:customStyle="1">
    <w:name w:val="标题7"/>
    <w:basedOn w:val="1029"/>
    <w:next w:val="1001"/>
    <w:qFormat/>
    <w:pPr>
      <w:ind w:firstLine="720"/>
      <w:spacing w:before="120" w:after="60" w:line="360" w:lineRule="exact"/>
    </w:pPr>
    <w:rPr>
      <w:rFonts w:hAnsi="宋体"/>
      <w:szCs w:val="20"/>
    </w:rPr>
  </w:style>
  <w:style w:type="character" w:styleId="1109" w:customStyle="1">
    <w:name w:val="a9"/>
    <w:basedOn w:val="1004"/>
    <w:qFormat/>
  </w:style>
  <w:style w:type="paragraph" w:styleId="1110" w:customStyle="1">
    <w:name w:val="Paragraph H3"/>
    <w:basedOn w:val="994"/>
    <w:qFormat/>
    <w:pPr>
      <w:ind w:firstLine="426"/>
      <w:jc w:val="left"/>
      <w:spacing w:before="40" w:after="40" w:line="360" w:lineRule="auto"/>
      <w:widowControl/>
    </w:pPr>
    <w:rPr>
      <w:rFonts w:ascii="FuturaA Bk BT" w:hAnsi="FuturaA Bk BT"/>
      <w:sz w:val="20"/>
    </w:rPr>
  </w:style>
  <w:style w:type="paragraph" w:styleId="1111" w:customStyle="1">
    <w:name w:val="Paragraph H4"/>
    <w:basedOn w:val="994"/>
    <w:qFormat/>
    <w:pPr>
      <w:ind w:firstLine="426"/>
      <w:jc w:val="left"/>
      <w:spacing w:line="360" w:lineRule="auto"/>
      <w:widowControl/>
    </w:pPr>
    <w:rPr>
      <w:rFonts w:ascii="FuturaA Bk BT" w:hAnsi="FuturaA Bk BT"/>
      <w:sz w:val="20"/>
      <w:lang w:eastAsia="fr-FR"/>
    </w:rPr>
  </w:style>
  <w:style w:type="paragraph" w:styleId="1112" w:customStyle="1">
    <w:name w:val="Bullet P3"/>
    <w:basedOn w:val="994"/>
    <w:qFormat/>
    <w:pPr>
      <w:numPr>
        <w:numId w:val="7"/>
      </w:numPr>
      <w:ind w:left="794"/>
      <w:jc w:val="left"/>
      <w:spacing w:before="20" w:after="20"/>
      <w:widowControl/>
    </w:pPr>
    <w:rPr>
      <w:rFonts w:ascii="FuturaA Bk BT" w:hAnsi="FuturaA Bk BT"/>
      <w:sz w:val="20"/>
      <w:lang w:eastAsia="en-US"/>
    </w:rPr>
  </w:style>
  <w:style w:type="paragraph" w:styleId="1113" w:customStyle="1">
    <w:name w:val="Bullet P1&amp;2"/>
    <w:basedOn w:val="994"/>
    <w:qFormat/>
    <w:pPr>
      <w:numPr>
        <w:numId w:val="8"/>
      </w:numPr>
      <w:ind w:left="562" w:right="85" w:hanging="420"/>
      <w:jc w:val="left"/>
      <w:spacing w:before="20" w:after="20" w:line="360" w:lineRule="auto"/>
      <w:widowControl/>
      <w:tabs>
        <w:tab w:val="clear" w:pos="360" w:leader="none"/>
        <w:tab w:val="left" w:pos="562" w:leader="none"/>
      </w:tabs>
    </w:pPr>
    <w:rPr>
      <w:rFonts w:ascii="FuturaA Bk BT" w:hAnsi="FuturaA Bk BT"/>
      <w:sz w:val="20"/>
    </w:rPr>
  </w:style>
  <w:style w:type="paragraph" w:styleId="1114" w:customStyle="1">
    <w:name w:val="Bullet P4"/>
    <w:basedOn w:val="994"/>
    <w:qFormat/>
    <w:pPr>
      <w:numPr>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115" w:customStyle="1">
    <w:name w:val="Paragraph P1&amp;2"/>
    <w:basedOn w:val="994"/>
    <w:qFormat/>
    <w:pPr>
      <w:ind w:firstLine="511"/>
      <w:jc w:val="left"/>
      <w:spacing w:before="40" w:after="60" w:line="360" w:lineRule="auto"/>
      <w:widowControl/>
    </w:pPr>
    <w:rPr>
      <w:rFonts w:ascii="FuturaA Bk BT" w:hAnsi="FuturaA Bk BT"/>
      <w:color w:val="000000"/>
      <w:sz w:val="24"/>
      <w:szCs w:val="24"/>
      <w:lang w:val="fr-FR"/>
    </w:rPr>
  </w:style>
  <w:style w:type="paragraph" w:styleId="1116" w:customStyle="1">
    <w:name w:val="项目符号A"/>
    <w:basedOn w:val="994"/>
    <w:qFormat/>
    <w:pPr>
      <w:spacing w:line="360" w:lineRule="auto"/>
    </w:pPr>
    <w:rPr>
      <w:rFonts w:ascii="Arial" w:hAnsi="Arial"/>
      <w:sz w:val="24"/>
    </w:rPr>
  </w:style>
  <w:style w:type="paragraph" w:styleId="1117" w:customStyle="1">
    <w:name w:val="项目符号B"/>
    <w:basedOn w:val="994"/>
    <w:qFormat/>
    <w:pPr>
      <w:numPr>
        <w:numId w:val="10"/>
      </w:numPr>
      <w:spacing w:line="360" w:lineRule="auto"/>
    </w:pPr>
    <w:rPr>
      <w:rFonts w:ascii="Arial" w:hAnsi="Arial"/>
      <w:sz w:val="24"/>
    </w:rPr>
  </w:style>
  <w:style w:type="paragraph" w:styleId="1118" w:customStyle="1">
    <w:name w:val="项目符号C"/>
    <w:basedOn w:val="994"/>
    <w:qFormat/>
    <w:pPr>
      <w:numPr>
        <w:numId w:val="11"/>
      </w:numPr>
      <w:spacing w:line="360" w:lineRule="auto"/>
    </w:pPr>
    <w:rPr>
      <w:rFonts w:ascii="Arial" w:hAnsi="Arial"/>
      <w:sz w:val="24"/>
    </w:rPr>
  </w:style>
  <w:style w:type="paragraph" w:styleId="1119" w:customStyle="1">
    <w:name w:val="方案文档"/>
    <w:basedOn w:val="994"/>
    <w:qFormat/>
    <w:pPr>
      <w:ind w:firstLine="566"/>
      <w:spacing w:before="120" w:after="120" w:line="360" w:lineRule="auto"/>
    </w:pPr>
    <w:rPr>
      <w:rFonts w:ascii="Arial" w:hAnsi="Arial"/>
      <w:sz w:val="24"/>
    </w:rPr>
  </w:style>
  <w:style w:type="paragraph" w:styleId="1120" w:customStyle="1">
    <w:name w:val="简单回函地址"/>
    <w:basedOn w:val="994"/>
    <w:qFormat/>
    <w:rPr>
      <w:szCs w:val="24"/>
    </w:rPr>
  </w:style>
  <w:style w:type="paragraph" w:styleId="1121" w:customStyle="1">
    <w:name w:val="小四 段落 宋体 Char Char"/>
    <w:basedOn w:val="1013"/>
    <w:qFormat/>
    <w:pPr>
      <w:numPr>
        <w:numId w:val="0"/>
      </w:numPr>
      <w:ind w:left="100" w:right="113" w:firstLine="425"/>
      <w:jc w:val="left"/>
      <w:spacing w:line="360" w:lineRule="auto"/>
    </w:pPr>
    <w:rPr>
      <w:rFonts w:ascii="宋体" w:hAnsi="宋体"/>
      <w:bCs/>
      <w:sz w:val="24"/>
    </w:rPr>
  </w:style>
  <w:style w:type="paragraph" w:styleId="1122" w:customStyle="1">
    <w:name w:val="7"/>
    <w:basedOn w:val="994"/>
    <w:next w:val="1055"/>
    <w:qFormat/>
    <w:pPr>
      <w:jc w:val="left"/>
      <w:spacing w:before="100" w:beforeAutospacing="1" w:after="100" w:afterAutospacing="1"/>
      <w:widowControl/>
    </w:pPr>
    <w:rPr>
      <w:rFonts w:ascii="宋体" w:hAnsi="宋体"/>
      <w:sz w:val="24"/>
    </w:rPr>
  </w:style>
  <w:style w:type="paragraph" w:styleId="1123" w:customStyle="1">
    <w:name w:val="Brieftext"/>
    <w:basedOn w:val="994"/>
    <w:qFormat/>
    <w:pPr>
      <w:ind w:firstLine="426"/>
      <w:spacing w:line="300" w:lineRule="exact"/>
      <w:widowControl/>
    </w:pPr>
    <w:rPr>
      <w:rFonts w:ascii="仿宋体" w:hAnsi="Arial" w:eastAsia="Times"/>
      <w:sz w:val="22"/>
      <w:lang w:val="en-GB"/>
    </w:rPr>
  </w:style>
  <w:style w:type="character" w:styleId="1124" w:customStyle="1">
    <w:name w:val="style31"/>
    <w:basedOn w:val="1004"/>
    <w:qFormat/>
    <w:rPr>
      <w:sz w:val="28"/>
      <w:szCs w:val="28"/>
    </w:rPr>
  </w:style>
  <w:style w:type="paragraph" w:styleId="1125" w:customStyle="1">
    <w:name w:val="正文首行缩进1"/>
    <w:basedOn w:val="1007"/>
    <w:qFormat/>
    <w:pPr>
      <w:ind w:firstLine="480"/>
      <w:spacing w:line="360" w:lineRule="auto"/>
    </w:pPr>
    <w:rPr>
      <w:rFonts w:ascii="宋体" w:hAnsi="宋体"/>
      <w:sz w:val="24"/>
      <w:szCs w:val="24"/>
    </w:rPr>
  </w:style>
  <w:style w:type="paragraph" w:styleId="1126" w:customStyle="1">
    <w:name w:val="Body Text Keep"/>
    <w:basedOn w:val="1015"/>
    <w:qFormat/>
    <w:pPr>
      <w:ind w:left="420"/>
      <w:keepNext/>
      <w:spacing w:before="120" w:after="220" w:line="220" w:lineRule="atLeast"/>
    </w:pPr>
    <w:rPr>
      <w:rFonts w:ascii="宋体" w:hAnsi="Times New Roman" w:eastAsia="宋体"/>
      <w:sz w:val="21"/>
    </w:rPr>
  </w:style>
  <w:style w:type="paragraph" w:styleId="1127" w:customStyle="1">
    <w:name w:val="xl44"/>
    <w:basedOn w:val="994"/>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128" w:customStyle="1">
    <w:name w:val="正文-电视"/>
    <w:basedOn w:val="994"/>
    <w:qFormat/>
    <w:pPr>
      <w:ind w:firstLine="540"/>
      <w:spacing w:line="360" w:lineRule="auto"/>
    </w:pPr>
    <w:rPr>
      <w:rFonts w:ascii="宋体" w:hAnsi="宋体"/>
      <w:sz w:val="24"/>
      <w:szCs w:val="24"/>
    </w:rPr>
  </w:style>
  <w:style w:type="paragraph" w:styleId="1129" w:customStyle="1">
    <w:name w:val="Char11"/>
    <w:basedOn w:val="1007"/>
    <w:qFormat/>
    <w:pPr>
      <w:ind w:firstLine="480"/>
      <w:spacing w:before="100" w:beforeAutospacing="1" w:after="100" w:afterAutospacing="1" w:line="360" w:lineRule="auto"/>
    </w:pPr>
    <w:rPr>
      <w:sz w:val="24"/>
      <w:szCs w:val="24"/>
    </w:rPr>
  </w:style>
  <w:style w:type="paragraph" w:styleId="1130" w:customStyle="1">
    <w:name w:val="文字"/>
    <w:basedOn w:val="996"/>
    <w:qFormat/>
    <w:pPr>
      <w:keepLines w:val="0"/>
      <w:keepNext w:val="0"/>
      <w:spacing w:line="360" w:lineRule="auto"/>
      <w:outlineLvl w:val="9"/>
    </w:pPr>
    <w:rPr>
      <w:rFonts w:ascii="宋体" w:hAnsi="Times New Roman" w:eastAsia="宋体"/>
      <w:bCs w:val="0"/>
      <w:sz w:val="24"/>
      <w:szCs w:val="20"/>
    </w:rPr>
  </w:style>
  <w:style w:type="paragraph" w:styleId="1131" w:customStyle="1">
    <w:name w:val="font7"/>
    <w:basedOn w:val="994"/>
    <w:qFormat/>
    <w:pPr>
      <w:jc w:val="left"/>
      <w:spacing w:before="100" w:beforeAutospacing="1" w:after="100" w:afterAutospacing="1"/>
      <w:widowControl/>
    </w:pPr>
    <w:rPr>
      <w:sz w:val="18"/>
      <w:szCs w:val="18"/>
    </w:rPr>
  </w:style>
  <w:style w:type="paragraph" w:styleId="1132" w:customStyle="1">
    <w:name w:val="xl32"/>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133" w:customStyle="1">
    <w:name w:val="xl33"/>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34" w:customStyle="1">
    <w:name w:val="xl34"/>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135" w:customStyle="1">
    <w:name w:val="xl3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136" w:customStyle="1">
    <w:name w:val="txt14"/>
    <w:basedOn w:val="994"/>
    <w:qFormat/>
    <w:pPr>
      <w:jc w:val="left"/>
      <w:spacing w:before="100" w:beforeAutospacing="1" w:after="100" w:afterAutospacing="1"/>
      <w:widowControl/>
    </w:pPr>
    <w:rPr>
      <w:rFonts w:ascii="宋体" w:hAnsi="宋体" w:cs="宋体"/>
      <w:color w:val="000000"/>
      <w:sz w:val="22"/>
      <w:szCs w:val="22"/>
    </w:rPr>
  </w:style>
  <w:style w:type="paragraph" w:styleId="1137" w:customStyle="1">
    <w:name w:val="Char Char Char Char Char Char Char Char Char Char Char Char Char"/>
    <w:basedOn w:val="1017"/>
    <w:qFormat/>
    <w:rPr>
      <w:rFonts w:ascii="Tahoma" w:hAnsi="Tahoma"/>
      <w:sz w:val="24"/>
    </w:rPr>
  </w:style>
  <w:style w:type="paragraph" w:styleId="1138" w:customStyle="1">
    <w:name w:val="默认段落字体 Para Char Char Char Char"/>
    <w:basedOn w:val="994"/>
    <w:qFormat/>
    <w:pPr>
      <w:ind w:left="420" w:firstLine="420"/>
      <w:spacing w:line="240" w:lineRule="atLeast"/>
    </w:pPr>
    <w:rPr>
      <w:szCs w:val="21"/>
    </w:rPr>
  </w:style>
  <w:style w:type="character" w:styleId="1139" w:customStyle="1">
    <w:name w:val="正文缩进 字符"/>
    <w:basedOn w:val="1004"/>
    <w:link w:val="1007"/>
    <w:qFormat/>
    <w:rPr>
      <w:rFonts w:eastAsia="宋体"/>
      <w:sz w:val="21"/>
      <w:lang w:val="en-US" w:eastAsia="zh-CN" w:bidi="ar-SA"/>
    </w:rPr>
  </w:style>
  <w:style w:type="paragraph" w:styleId="1140" w:customStyle="1">
    <w:name w:val="Default"/>
    <w:uiPriority w:val="99"/>
    <w:qFormat/>
    <w:pPr>
      <w:widowControl w:val="off"/>
    </w:pPr>
    <w:rPr>
      <w:rFonts w:ascii=".a..DD.." w:eastAsia=".a..DD.."/>
      <w:color w:val="000000"/>
      <w:sz w:val="24"/>
      <w:szCs w:val="24"/>
    </w:rPr>
  </w:style>
  <w:style w:type="paragraph" w:styleId="1141" w:customStyle="1">
    <w:name w:val="CM3"/>
    <w:basedOn w:val="1140"/>
    <w:next w:val="1140"/>
    <w:qFormat/>
    <w:pPr>
      <w:spacing w:line="626" w:lineRule="atLeast"/>
    </w:pPr>
    <w:rPr>
      <w:color w:val="auto"/>
    </w:rPr>
  </w:style>
  <w:style w:type="character" w:styleId="1142" w:customStyle="1">
    <w:name w:val="缩进 Char Char Char Char Char Char"/>
    <w:basedOn w:val="1004"/>
    <w:qFormat/>
    <w:rPr>
      <w:rFonts w:eastAsia="宋体"/>
      <w:sz w:val="21"/>
      <w:lang w:val="en-US" w:eastAsia="zh-CN" w:bidi="ar-SA"/>
    </w:rPr>
  </w:style>
  <w:style w:type="paragraph" w:styleId="1143" w:customStyle="1">
    <w:name w:val="图形文字"/>
    <w:next w:val="994"/>
    <w:qFormat/>
    <w:pPr>
      <w:jc w:val="center"/>
    </w:pPr>
    <w:rPr>
      <w:color w:val="000000"/>
      <w:sz w:val="24"/>
    </w:rPr>
  </w:style>
  <w:style w:type="character" w:styleId="1144" w:customStyle="1">
    <w:name w:val="style41"/>
    <w:basedOn w:val="1004"/>
    <w:qFormat/>
    <w:rPr>
      <w:sz w:val="24"/>
      <w:szCs w:val="24"/>
    </w:rPr>
  </w:style>
  <w:style w:type="paragraph" w:styleId="1145" w:customStyle="1">
    <w:name w:val="默认段落字体 Para Char"/>
    <w:basedOn w:val="994"/>
    <w:qFormat/>
    <w:pPr>
      <w:spacing w:line="360" w:lineRule="auto"/>
    </w:pPr>
    <w:rPr>
      <w:sz w:val="24"/>
    </w:rPr>
  </w:style>
  <w:style w:type="paragraph" w:styleId="1146" w:customStyle="1">
    <w:name w:val="样式3"/>
    <w:basedOn w:val="1123"/>
    <w:qFormat/>
  </w:style>
  <w:style w:type="paragraph" w:styleId="1147" w:customStyle="1">
    <w:name w:val="样式4"/>
    <w:basedOn w:val="994"/>
    <w:qFormat/>
    <w:pPr>
      <w:ind w:left="420" w:hanging="420"/>
      <w:spacing w:line="360" w:lineRule="auto"/>
      <w:tabs>
        <w:tab w:val="left" w:pos="420" w:leader="none"/>
      </w:tabs>
    </w:pPr>
    <w:rPr>
      <w:rFonts w:ascii="宋体" w:hAnsi="宋体"/>
      <w:bCs/>
      <w:sz w:val="24"/>
      <w:szCs w:val="24"/>
    </w:rPr>
  </w:style>
  <w:style w:type="paragraph" w:styleId="1148" w:customStyle="1">
    <w:name w:val="样式5"/>
    <w:basedOn w:val="994"/>
    <w:qFormat/>
    <w:pPr>
      <w:spacing w:line="360" w:lineRule="auto"/>
    </w:pPr>
    <w:rPr>
      <w:rFonts w:ascii="宋体" w:hAnsi="宋体"/>
      <w:bCs/>
      <w:sz w:val="24"/>
      <w:szCs w:val="24"/>
    </w:rPr>
  </w:style>
  <w:style w:type="character" w:styleId="1149" w:customStyle="1">
    <w:name w:val="top1"/>
    <w:basedOn w:val="1004"/>
    <w:qFormat/>
    <w:rPr>
      <w:b/>
      <w:bCs/>
      <w:color w:val="ff3300"/>
      <w:sz w:val="30"/>
      <w:szCs w:val="30"/>
    </w:rPr>
  </w:style>
  <w:style w:type="character" w:styleId="1150" w:customStyle="1">
    <w:name w:val="5a1"/>
    <w:basedOn w:val="1004"/>
    <w:qFormat/>
    <w:rPr>
      <w:color w:val="5a779f"/>
      <w:sz w:val="18"/>
      <w:szCs w:val="18"/>
    </w:rPr>
  </w:style>
  <w:style w:type="paragraph" w:styleId="1151" w:customStyle="1">
    <w:name w:val="样式 标题 1 + 居中"/>
    <w:basedOn w:val="995"/>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152" w:customStyle="1">
    <w:name w:val="华宇段落1"/>
    <w:basedOn w:val="994"/>
    <w:qFormat/>
    <w:pPr>
      <w:ind w:firstLine="420"/>
      <w:spacing w:line="360" w:lineRule="auto"/>
    </w:pPr>
    <w:rPr>
      <w:rFonts w:ascii="宋体" w:hAnsi="宋体"/>
      <w:sz w:val="24"/>
    </w:rPr>
  </w:style>
  <w:style w:type="character" w:styleId="1153" w:customStyle="1">
    <w:name w:val="标题 1 字符"/>
    <w:basedOn w:val="1004"/>
    <w:link w:val="995"/>
    <w:uiPriority w:val="9"/>
    <w:qFormat/>
    <w:rPr>
      <w:rFonts w:eastAsia="宋体"/>
      <w:b/>
      <w:bCs/>
      <w:sz w:val="44"/>
      <w:szCs w:val="44"/>
      <w:lang w:val="en-US" w:eastAsia="zh-CN" w:bidi="ar-SA"/>
    </w:rPr>
  </w:style>
  <w:style w:type="character" w:styleId="1154" w:customStyle="1">
    <w:name w:val="标题 3 字符"/>
    <w:basedOn w:val="1004"/>
    <w:link w:val="997"/>
    <w:uiPriority w:val="9"/>
    <w:qFormat/>
    <w:rPr>
      <w:rFonts w:eastAsia="宋体"/>
      <w:b/>
      <w:sz w:val="32"/>
      <w:lang w:val="en-US" w:eastAsia="zh-CN" w:bidi="ar-SA"/>
    </w:rPr>
  </w:style>
  <w:style w:type="character" w:styleId="1155" w:customStyle="1">
    <w:name w:val="正文文本缩进 2 字符"/>
    <w:basedOn w:val="1004"/>
    <w:link w:val="1034"/>
    <w:qFormat/>
    <w:rPr>
      <w:rFonts w:eastAsia="宋体"/>
      <w:sz w:val="28"/>
      <w:lang w:val="en-US" w:eastAsia="zh-CN" w:bidi="ar-SA"/>
    </w:rPr>
  </w:style>
  <w:style w:type="character" w:styleId="1156" w:customStyle="1">
    <w:name w:val="正文文本缩进 字符"/>
    <w:basedOn w:val="1004"/>
    <w:link w:val="1022"/>
    <w:qFormat/>
    <w:rPr>
      <w:rFonts w:eastAsia="宋体"/>
      <w:sz w:val="28"/>
      <w:szCs w:val="24"/>
      <w:lang w:val="en-US" w:eastAsia="zh-CN" w:bidi="ar-SA"/>
    </w:rPr>
  </w:style>
  <w:style w:type="character" w:styleId="1157" w:customStyle="1">
    <w:name w:val="日期 字符"/>
    <w:basedOn w:val="1004"/>
    <w:link w:val="1033"/>
    <w:uiPriority w:val="99"/>
    <w:qFormat/>
    <w:rPr>
      <w:rFonts w:ascii="仿宋_GB2312" w:eastAsia="仿宋_GB2312"/>
      <w:color w:val="000000"/>
      <w:sz w:val="32"/>
      <w:lang w:val="en-US" w:eastAsia="zh-CN" w:bidi="ar-SA"/>
    </w:rPr>
  </w:style>
  <w:style w:type="character" w:styleId="1158" w:customStyle="1">
    <w:name w:val="页眉 字符"/>
    <w:basedOn w:val="1004"/>
    <w:link w:val="1038"/>
    <w:uiPriority w:val="99"/>
    <w:qFormat/>
    <w:rPr>
      <w:rFonts w:eastAsia="宋体"/>
      <w:sz w:val="18"/>
      <w:lang w:val="en-US" w:eastAsia="zh-CN" w:bidi="ar-SA"/>
    </w:rPr>
  </w:style>
  <w:style w:type="character" w:styleId="1159" w:customStyle="1">
    <w:name w:val="hilite"/>
    <w:basedOn w:val="1004"/>
    <w:qFormat/>
  </w:style>
  <w:style w:type="character" w:styleId="1160" w:customStyle="1">
    <w:name w:val="正文文本 2 字符"/>
    <w:basedOn w:val="1004"/>
    <w:link w:val="1052"/>
    <w:qFormat/>
    <w:rPr>
      <w:rFonts w:eastAsia="仿宋_GB2312"/>
      <w:sz w:val="24"/>
      <w:lang w:val="en-US" w:eastAsia="zh-CN" w:bidi="ar-SA"/>
    </w:rPr>
  </w:style>
  <w:style w:type="paragraph" w:styleId="1161" w:customStyle="1">
    <w:name w:val="font9"/>
    <w:basedOn w:val="994"/>
    <w:qFormat/>
    <w:pPr>
      <w:jc w:val="left"/>
      <w:spacing w:before="100" w:beforeAutospacing="1" w:after="100" w:afterAutospacing="1"/>
      <w:widowControl/>
    </w:pPr>
    <w:rPr>
      <w:sz w:val="24"/>
      <w:szCs w:val="24"/>
    </w:rPr>
  </w:style>
  <w:style w:type="paragraph" w:styleId="1162" w:customStyle="1">
    <w:name w:val="font8"/>
    <w:basedOn w:val="994"/>
    <w:qFormat/>
    <w:pPr>
      <w:jc w:val="left"/>
      <w:spacing w:before="100" w:beforeAutospacing="1" w:after="100" w:afterAutospacing="1"/>
      <w:widowControl/>
    </w:pPr>
    <w:rPr>
      <w:b/>
      <w:bCs/>
      <w:i/>
      <w:iCs/>
      <w:sz w:val="24"/>
      <w:szCs w:val="24"/>
    </w:rPr>
  </w:style>
  <w:style w:type="character" w:styleId="1163" w:customStyle="1">
    <w:name w:val="正文文本 3 字符"/>
    <w:basedOn w:val="1004"/>
    <w:link w:val="1021"/>
    <w:qFormat/>
    <w:rPr>
      <w:rFonts w:ascii="仿宋_GB2312" w:eastAsia="仿宋_GB2312"/>
      <w:sz w:val="24"/>
      <w:szCs w:val="24"/>
      <w:lang w:val="en-US" w:eastAsia="zh-CN" w:bidi="ar-SA"/>
    </w:rPr>
  </w:style>
  <w:style w:type="paragraph" w:styleId="1164" w:customStyle="1">
    <w:name w:val="xl36"/>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rPr>
  </w:style>
  <w:style w:type="paragraph" w:styleId="1165" w:customStyle="1">
    <w:name w:val="xl37"/>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166" w:customStyle="1">
    <w:name w:val="xl38"/>
    <w:basedOn w:val="994"/>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rPr>
  </w:style>
  <w:style w:type="paragraph" w:styleId="1167" w:customStyle="1">
    <w:name w:val="xl39"/>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168" w:customStyle="1">
    <w:name w:val="xl40"/>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rPr>
  </w:style>
  <w:style w:type="paragraph" w:styleId="1169" w:customStyle="1">
    <w:name w:val="xl41"/>
    <w:basedOn w:val="994"/>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rPr>
  </w:style>
  <w:style w:type="paragraph" w:styleId="1170" w:customStyle="1">
    <w:name w:val="xl42"/>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rPr>
  </w:style>
  <w:style w:type="character" w:styleId="1171" w:customStyle="1">
    <w:name w:val="highlight1"/>
    <w:basedOn w:val="1004"/>
    <w:qFormat/>
    <w:rPr>
      <w:sz w:val="23"/>
      <w:szCs w:val="23"/>
    </w:rPr>
  </w:style>
  <w:style w:type="character" w:styleId="1172" w:customStyle="1">
    <w:name w:val="样式1 Char"/>
    <w:basedOn w:val="1004"/>
    <w:link w:val="1102"/>
    <w:qFormat/>
    <w:rPr>
      <w:rFonts w:ascii="Arial" w:hAnsi="Arial"/>
      <w:b/>
      <w:bCs/>
      <w:sz w:val="28"/>
      <w:szCs w:val="28"/>
    </w:rPr>
  </w:style>
  <w:style w:type="character" w:styleId="1173" w:customStyle="1">
    <w:name w:val="样式2 Char"/>
    <w:basedOn w:val="1004"/>
    <w:link w:val="1075"/>
    <w:qFormat/>
    <w:rPr>
      <w:rFonts w:ascii="黑体" w:hAnsi="Arial" w:eastAsia="黑体"/>
      <w:sz w:val="24"/>
      <w:szCs w:val="24"/>
      <w:lang w:val="en-US" w:eastAsia="zh-CN" w:bidi="ar-SA"/>
    </w:rPr>
  </w:style>
  <w:style w:type="paragraph" w:styleId="1174" w:customStyle="1">
    <w:name w:val="Char Char Char Char Char Char"/>
    <w:basedOn w:val="994"/>
    <w:qFormat/>
    <w:rPr>
      <w:rFonts w:ascii="Tahoma" w:hAnsi="Tahoma"/>
      <w:sz w:val="24"/>
    </w:rPr>
  </w:style>
  <w:style w:type="paragraph" w:styleId="1175" w:customStyle="1">
    <w:name w:val="Char Char Char Char Char"/>
    <w:basedOn w:val="994"/>
    <w:qFormat/>
    <w:rPr>
      <w:szCs w:val="24"/>
    </w:rPr>
  </w:style>
  <w:style w:type="character" w:styleId="1176" w:customStyle="1">
    <w:name w:val="style103"/>
    <w:basedOn w:val="1004"/>
    <w:qFormat/>
    <w:rPr>
      <w:color w:val="000000"/>
      <w:sz w:val="18"/>
      <w:szCs w:val="18"/>
      <w:u w:val="none"/>
    </w:rPr>
  </w:style>
  <w:style w:type="paragraph" w:styleId="1177" w:customStyle="1">
    <w:name w:val="Char Char Char Char Char Char Char Char Char Char"/>
    <w:basedOn w:val="994"/>
    <w:qFormat/>
    <w:pPr>
      <w:spacing w:line="360" w:lineRule="auto"/>
    </w:pPr>
    <w:rPr>
      <w:sz w:val="24"/>
    </w:rPr>
  </w:style>
  <w:style w:type="paragraph" w:styleId="1178" w:customStyle="1">
    <w:name w:val="11"/>
    <w:basedOn w:val="995"/>
    <w:qFormat/>
    <w:pPr>
      <w:jc w:val="center"/>
      <w:keepLines w:val="0"/>
      <w:keepNext w:val="0"/>
      <w:spacing w:before="100" w:beforeAutospacing="1" w:after="100" w:afterAutospacing="1" w:line="360" w:lineRule="auto"/>
    </w:pPr>
    <w:rPr>
      <w:rFonts w:ascii="黑体" w:hAnsi="宋体" w:eastAsia="黑体"/>
      <w:sz w:val="32"/>
      <w:szCs w:val="32"/>
    </w:rPr>
  </w:style>
  <w:style w:type="character" w:styleId="1179" w:customStyle="1">
    <w:name w:val="正文文本 字符"/>
    <w:basedOn w:val="1004"/>
    <w:link w:val="1015"/>
    <w:qFormat/>
    <w:rPr>
      <w:rFonts w:ascii="楷体_GB2312" w:hAnsi="Arial" w:eastAsia="楷体_GB2312"/>
      <w:sz w:val="28"/>
      <w:lang w:val="en-US" w:eastAsia="zh-CN" w:bidi="ar-SA"/>
    </w:rPr>
  </w:style>
  <w:style w:type="character" w:styleId="1180" w:customStyle="1">
    <w:name w:val="正文文本首行缩进 字符"/>
    <w:basedOn w:val="1179"/>
    <w:link w:val="1059"/>
    <w:qFormat/>
    <w:rPr>
      <w:rFonts w:ascii="楷体_GB2312" w:hAnsi="Arial" w:eastAsia="宋体"/>
      <w:sz w:val="21"/>
      <w:szCs w:val="24"/>
      <w:lang w:val="en-US" w:eastAsia="zh-CN" w:bidi="ar-SA"/>
    </w:rPr>
  </w:style>
  <w:style w:type="character" w:styleId="1181" w:customStyle="1">
    <w:name w:val="称呼 字符"/>
    <w:basedOn w:val="1004"/>
    <w:link w:val="1020"/>
    <w:qFormat/>
    <w:rPr>
      <w:rFonts w:eastAsia="宋体"/>
      <w:sz w:val="28"/>
      <w:szCs w:val="24"/>
      <w:lang w:val="en-US" w:eastAsia="zh-CN" w:bidi="ar-SA"/>
    </w:rPr>
  </w:style>
  <w:style w:type="paragraph" w:styleId="1182" w:customStyle="1">
    <w:name w:val="zw1"/>
    <w:basedOn w:val="994"/>
    <w:qFormat/>
    <w:pPr>
      <w:jc w:val="left"/>
      <w:spacing w:before="100" w:beforeAutospacing="1" w:after="100" w:afterAutospacing="1"/>
      <w:widowControl/>
    </w:pPr>
    <w:rPr>
      <w:rFonts w:ascii="宋体" w:hAnsi="宋体" w:cs="宋体"/>
      <w:sz w:val="24"/>
      <w:szCs w:val="24"/>
    </w:rPr>
  </w:style>
  <w:style w:type="paragraph" w:styleId="1183" w:customStyle="1">
    <w:name w:val="zi12"/>
    <w:basedOn w:val="994"/>
    <w:qFormat/>
    <w:pPr>
      <w:jc w:val="left"/>
      <w:spacing w:before="100" w:beforeAutospacing="1" w:after="100" w:afterAutospacing="1"/>
      <w:widowControl/>
    </w:pPr>
    <w:rPr>
      <w:rFonts w:ascii="宋体" w:hAnsi="宋体" w:cs="宋体"/>
      <w:sz w:val="24"/>
      <w:szCs w:val="24"/>
    </w:rPr>
  </w:style>
  <w:style w:type="paragraph" w:styleId="1184" w:customStyle="1">
    <w:name w:val="正文1"/>
    <w:basedOn w:val="994"/>
    <w:link w:val="1537"/>
    <w:qFormat/>
    <w:pPr>
      <w:spacing w:before="60" w:after="60" w:line="360" w:lineRule="auto"/>
      <w:outlineLvl w:val="6"/>
    </w:pPr>
    <w:rPr>
      <w:sz w:val="24"/>
      <w:szCs w:val="24"/>
    </w:rPr>
  </w:style>
  <w:style w:type="paragraph" w:styleId="1185" w:customStyle="1">
    <w:name w:val="正文2"/>
    <w:basedOn w:val="994"/>
    <w:qFormat/>
    <w:pPr>
      <w:ind w:left="980" w:hanging="420"/>
      <w:spacing w:line="360" w:lineRule="auto"/>
      <w:widowControl/>
      <w:tabs>
        <w:tab w:val="left" w:pos="980" w:leader="none"/>
      </w:tabs>
    </w:pPr>
    <w:rPr>
      <w:rFonts w:ascii="宋体"/>
      <w:sz w:val="24"/>
    </w:rPr>
  </w:style>
  <w:style w:type="character" w:styleId="1186" w:customStyle="1">
    <w:name w:val="content"/>
    <w:basedOn w:val="1004"/>
    <w:qFormat/>
    <w:rPr>
      <w:rFonts w:ascii="黑体" w:hAnsi="宋体" w:eastAsia="黑体"/>
      <w:b/>
      <w:bCs/>
      <w:sz w:val="32"/>
      <w:szCs w:val="32"/>
      <w:lang w:val="en-US" w:eastAsia="zh-CN" w:bidi="ar-SA"/>
    </w:rPr>
  </w:style>
  <w:style w:type="character" w:styleId="1187" w:customStyle="1">
    <w:name w:val="content1"/>
    <w:basedOn w:val="1004"/>
    <w:qFormat/>
    <w:rPr>
      <w:rFonts w:hint="eastAsia" w:ascii="宋体" w:hAnsi="宋体" w:eastAsia="宋体"/>
      <w:b/>
      <w:bCs/>
      <w:spacing w:val="300"/>
      <w:sz w:val="21"/>
      <w:szCs w:val="21"/>
      <w:lang w:val="en-US" w:eastAsia="zh-CN" w:bidi="ar-SA"/>
    </w:rPr>
  </w:style>
  <w:style w:type="character" w:styleId="1188" w:customStyle="1">
    <w:name w:val="font2"/>
    <w:basedOn w:val="1004"/>
    <w:qFormat/>
    <w:rPr>
      <w:rFonts w:hint="default" w:ascii="Arial" w:hAnsi="Arial" w:eastAsia="黑体" w:cs="Arial"/>
      <w:b/>
      <w:bCs/>
      <w:color w:val="333333"/>
      <w:sz w:val="15"/>
      <w:szCs w:val="15"/>
      <w:lang w:val="en-US" w:eastAsia="zh-CN" w:bidi="ar-SA"/>
    </w:rPr>
  </w:style>
  <w:style w:type="paragraph" w:styleId="1189" w:customStyle="1">
    <w:name w:val="2册标题2"/>
    <w:basedOn w:val="994"/>
    <w:next w:val="994"/>
    <w:qFormat/>
    <w:pPr>
      <w:spacing w:line="300" w:lineRule="auto"/>
      <w:outlineLvl w:val="1"/>
    </w:pPr>
    <w:rPr>
      <w:rFonts w:ascii="宋体" w:hAnsi="宋体" w:cs="Arial"/>
      <w:b/>
      <w:sz w:val="24"/>
      <w:szCs w:val="30"/>
    </w:rPr>
  </w:style>
  <w:style w:type="paragraph" w:styleId="1190" w:customStyle="1">
    <w:name w:val="2册标题4"/>
    <w:basedOn w:val="994"/>
    <w:next w:val="994"/>
    <w:qFormat/>
    <w:pPr>
      <w:ind w:left="120"/>
      <w:spacing w:before="120" w:after="120" w:line="300" w:lineRule="auto"/>
      <w:outlineLvl w:val="3"/>
    </w:pPr>
    <w:rPr>
      <w:rFonts w:ascii="Arial" w:hAnsi="Arial" w:cs="Arial"/>
      <w:szCs w:val="24"/>
    </w:rPr>
  </w:style>
  <w:style w:type="paragraph" w:styleId="1191" w:customStyle="1">
    <w:name w:val="标题 4宋体"/>
    <w:basedOn w:val="998"/>
    <w:qFormat/>
    <w:pPr>
      <w:jc w:val="left"/>
      <w:keepLines w:val="0"/>
      <w:spacing w:before="0" w:after="0" w:line="360" w:lineRule="auto"/>
    </w:pPr>
    <w:rPr>
      <w:rFonts w:ascii="宋体" w:hAnsi="宋体" w:eastAsia="宋体"/>
      <w:b/>
      <w:color w:val="000000"/>
      <w:sz w:val="24"/>
      <w:szCs w:val="20"/>
    </w:rPr>
  </w:style>
  <w:style w:type="character" w:styleId="1192" w:customStyle="1">
    <w:name w:val="标题 字符1"/>
    <w:basedOn w:val="1004"/>
    <w:link w:val="1057"/>
    <w:qFormat/>
    <w:rPr>
      <w:rFonts w:ascii="Arial" w:hAnsi="Arial" w:eastAsia="黑体"/>
      <w:b/>
      <w:sz w:val="84"/>
      <w:lang w:val="en-GB" w:eastAsia="zh-CN" w:bidi="ar-SA"/>
    </w:rPr>
  </w:style>
  <w:style w:type="character" w:styleId="1193" w:customStyle="1">
    <w:name w:val="tle_cn1"/>
    <w:basedOn w:val="1004"/>
    <w:qFormat/>
    <w:rPr>
      <w:rFonts w:hint="default" w:ascii="Arial" w:hAnsi="Arial" w:eastAsia="黑体" w:cs="Arial"/>
      <w:b/>
      <w:bCs/>
      <w:color w:val="7c7c7c"/>
      <w:sz w:val="21"/>
      <w:szCs w:val="21"/>
      <w:lang w:val="en-US" w:eastAsia="zh-CN" w:bidi="ar-SA"/>
    </w:rPr>
  </w:style>
  <w:style w:type="paragraph" w:styleId="1194" w:customStyle="1">
    <w:name w:val="样式 样式2 + 黑体 加粗 行距: 1.5 倍行距"/>
    <w:basedOn w:val="1075"/>
    <w:link w:val="1195"/>
    <w:qFormat/>
    <w:pPr>
      <w:ind w:right="0"/>
      <w:spacing w:before="0" w:after="0" w:line="360" w:lineRule="auto"/>
      <w:widowControl w:val="off"/>
      <w:outlineLvl w:val="1"/>
    </w:pPr>
    <w:rPr>
      <w:rFonts w:hAnsi="黑体" w:cs="宋体"/>
      <w:b/>
      <w:sz w:val="28"/>
      <w:szCs w:val="20"/>
      <w:lang w:val="zh-CN"/>
    </w:rPr>
  </w:style>
  <w:style w:type="character" w:styleId="1195" w:customStyle="1">
    <w:name w:val="样式 样式2 + 黑体 加粗 行距: 1.5 倍行距 Char"/>
    <w:basedOn w:val="1004"/>
    <w:link w:val="1194"/>
    <w:qFormat/>
    <w:rPr>
      <w:rFonts w:ascii="黑体" w:hAnsi="黑体" w:eastAsia="黑体" w:cs="宋体"/>
      <w:b/>
      <w:sz w:val="28"/>
      <w:lang w:val="zh-CN" w:eastAsia="zh-CN" w:bidi="ar-SA"/>
    </w:rPr>
  </w:style>
  <w:style w:type="paragraph" w:styleId="1196" w:customStyle="1">
    <w:name w:val="样式 样式 样式2 + 黑体 加粗 行距: 1.5 倍行距 + Arial"/>
    <w:basedOn w:val="1194"/>
    <w:link w:val="1197"/>
    <w:qFormat/>
    <w:rPr>
      <w:rFonts w:ascii="Arial" w:hAnsi="Arial"/>
      <w:bCs/>
    </w:rPr>
  </w:style>
  <w:style w:type="character" w:styleId="1197" w:customStyle="1">
    <w:name w:val="样式 样式 样式2 + 黑体 加粗 行距: 1.5 倍行距 + Arial Char"/>
    <w:basedOn w:val="1195"/>
    <w:link w:val="1196"/>
    <w:qFormat/>
    <w:rPr>
      <w:rFonts w:ascii="Arial" w:hAnsi="Arial" w:eastAsia="黑体" w:cs="宋体"/>
      <w:b/>
      <w:bCs/>
      <w:sz w:val="28"/>
      <w:lang w:val="zh-CN" w:eastAsia="zh-CN" w:bidi="ar-SA"/>
    </w:rPr>
  </w:style>
  <w:style w:type="paragraph" w:styleId="1198" w:customStyle="1">
    <w:name w:val="Char1 Char Char Char Char Char Char Char Char"/>
    <w:basedOn w:val="1017"/>
    <w:qFormat/>
    <w:pPr>
      <w:ind w:left="357"/>
      <w:jc w:val="left"/>
      <w:spacing w:line="436" w:lineRule="exact"/>
      <w:outlineLvl w:val="3"/>
    </w:pPr>
    <w:rPr>
      <w:rFonts w:ascii="Tahoma" w:hAnsi="Tahoma" w:eastAsia="黑体"/>
      <w:b/>
      <w:sz w:val="28"/>
    </w:rPr>
  </w:style>
  <w:style w:type="paragraph" w:styleId="1199" w:customStyle="1">
    <w:name w:val="样式8"/>
    <w:qFormat/>
    <w:rPr>
      <w:b/>
      <w:bCs/>
      <w:sz w:val="32"/>
      <w:szCs w:val="44"/>
    </w:rPr>
  </w:style>
  <w:style w:type="paragraph" w:styleId="1200" w:customStyle="1">
    <w:name w:val="样式 样式2 + 黑体 加粗"/>
    <w:basedOn w:val="1075"/>
    <w:link w:val="1201"/>
    <w:qFormat/>
    <w:pPr>
      <w:ind w:right="0"/>
      <w:spacing w:before="0" w:after="0" w:line="360" w:lineRule="auto"/>
      <w:widowControl w:val="off"/>
      <w:outlineLvl w:val="1"/>
    </w:pPr>
    <w:rPr>
      <w:rFonts w:hAnsi="黑体"/>
      <w:b/>
      <w:sz w:val="28"/>
      <w:szCs w:val="28"/>
      <w:lang w:val="zh-CN"/>
    </w:rPr>
  </w:style>
  <w:style w:type="character" w:styleId="1201" w:customStyle="1">
    <w:name w:val="样式 样式2 + 黑体 加粗 Char"/>
    <w:basedOn w:val="1173"/>
    <w:link w:val="1200"/>
    <w:qFormat/>
    <w:rPr>
      <w:rFonts w:ascii="黑体" w:hAnsi="黑体" w:eastAsia="黑体"/>
      <w:b/>
      <w:sz w:val="28"/>
      <w:szCs w:val="28"/>
      <w:lang w:val="zh-CN" w:eastAsia="zh-CN" w:bidi="ar-SA"/>
    </w:rPr>
  </w:style>
  <w:style w:type="paragraph" w:styleId="1202" w:customStyle="1">
    <w:name w:val="Char1"/>
    <w:basedOn w:val="994"/>
    <w:link w:val="1203"/>
    <w:qFormat/>
    <w:pPr>
      <w:jc w:val="left"/>
      <w:spacing w:after="160" w:line="360" w:lineRule="auto"/>
      <w:widowControl/>
    </w:pPr>
    <w:rPr>
      <w:sz w:val="24"/>
      <w:szCs w:val="24"/>
      <w:lang w:eastAsia="en-US"/>
    </w:rPr>
  </w:style>
  <w:style w:type="character" w:styleId="1203" w:customStyle="1">
    <w:name w:val="Char1 Char"/>
    <w:basedOn w:val="1004"/>
    <w:link w:val="1202"/>
    <w:qFormat/>
    <w:rPr>
      <w:rFonts w:eastAsia="宋体"/>
      <w:sz w:val="24"/>
      <w:szCs w:val="24"/>
      <w:lang w:val="en-US" w:eastAsia="en-US" w:bidi="ar-SA"/>
    </w:rPr>
  </w:style>
  <w:style w:type="paragraph" w:styleId="1204" w:customStyle="1">
    <w:name w:val="样式 标题 2H22nd levelh22Header 2l2Titre2Head 2Underrubrik1..."/>
    <w:basedOn w:val="996"/>
    <w:qFormat/>
    <w:pPr>
      <w:numPr>
        <w:ilvl w:val="1"/>
        <w:numId w:val="12"/>
      </w:numPr>
      <w:spacing w:before="120" w:line="360" w:lineRule="auto"/>
    </w:pPr>
    <w:rPr>
      <w:rFonts w:ascii="黑体" w:hAnsi="宋体"/>
      <w:b/>
      <w:sz w:val="24"/>
      <w:szCs w:val="20"/>
    </w:rPr>
  </w:style>
  <w:style w:type="paragraph" w:styleId="1205" w:customStyle="1">
    <w:name w:val="样式 标题 1H1 + Arial"/>
    <w:basedOn w:val="994"/>
    <w:qFormat/>
    <w:pPr>
      <w:ind w:left="360" w:hanging="360"/>
      <w:tabs>
        <w:tab w:val="left" w:pos="360" w:leader="none"/>
      </w:tabs>
    </w:pPr>
    <w:rPr>
      <w:szCs w:val="24"/>
    </w:rPr>
  </w:style>
  <w:style w:type="paragraph" w:styleId="1206" w:customStyle="1">
    <w:name w:val="xl43"/>
    <w:basedOn w:val="994"/>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207" w:customStyle="1">
    <w:name w:val="xl45"/>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208" w:customStyle="1">
    <w:name w:val="xl46"/>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09" w:customStyle="1">
    <w:name w:val="xl47"/>
    <w:basedOn w:val="994"/>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210" w:customStyle="1">
    <w:name w:val="xl48"/>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11" w:customStyle="1">
    <w:name w:val="xl49"/>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12" w:customStyle="1">
    <w:name w:val="xl50"/>
    <w:basedOn w:val="99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13" w:customStyle="1">
    <w:name w:val="xl51"/>
    <w:basedOn w:val="99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14" w:customStyle="1">
    <w:name w:val="xl52"/>
    <w:basedOn w:val="994"/>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rPr>
  </w:style>
  <w:style w:type="paragraph" w:styleId="1215" w:customStyle="1">
    <w:name w:val="xl53"/>
    <w:basedOn w:val="994"/>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rPr>
  </w:style>
  <w:style w:type="paragraph" w:styleId="1216" w:customStyle="1">
    <w:name w:val="xl54"/>
    <w:basedOn w:val="994"/>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217" w:customStyle="1">
    <w:name w:val="xl55"/>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218" w:customStyle="1">
    <w:name w:val="xl56"/>
    <w:basedOn w:val="994"/>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19" w:customStyle="1">
    <w:name w:val="xl57"/>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rPr>
  </w:style>
  <w:style w:type="paragraph" w:styleId="1220" w:customStyle="1">
    <w:name w:val="xl58"/>
    <w:basedOn w:val="994"/>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221" w:customStyle="1">
    <w:name w:val="xl59"/>
    <w:basedOn w:val="994"/>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rPr>
  </w:style>
  <w:style w:type="paragraph" w:styleId="1222" w:customStyle="1">
    <w:name w:val="xl60"/>
    <w:basedOn w:val="994"/>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rPr>
  </w:style>
  <w:style w:type="paragraph" w:styleId="1223" w:customStyle="1">
    <w:name w:val="xl61"/>
    <w:basedOn w:val="994"/>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224" w:customStyle="1">
    <w:name w:val="xl62"/>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225" w:customStyle="1">
    <w:name w:val="xl63"/>
    <w:basedOn w:val="994"/>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26" w:customStyle="1">
    <w:name w:val="xl64"/>
    <w:basedOn w:val="99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27" w:customStyle="1">
    <w:name w:val="xl65"/>
    <w:basedOn w:val="99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228" w:customStyle="1">
    <w:name w:val="xl66"/>
    <w:basedOn w:val="99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229" w:customStyle="1">
    <w:name w:val="xl67"/>
    <w:basedOn w:val="994"/>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30" w:customStyle="1">
    <w:name w:val="xl68"/>
    <w:basedOn w:val="994"/>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231" w:customStyle="1">
    <w:name w:val="xl69"/>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232" w:customStyle="1">
    <w:name w:val="xl70"/>
    <w:basedOn w:val="994"/>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rPr>
  </w:style>
  <w:style w:type="paragraph" w:styleId="1233" w:customStyle="1">
    <w:name w:val="xl71"/>
    <w:basedOn w:val="994"/>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234" w:customStyle="1">
    <w:name w:val="xl72"/>
    <w:basedOn w:val="994"/>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235" w:customStyle="1">
    <w:name w:val="xl73"/>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rPr>
  </w:style>
  <w:style w:type="paragraph" w:styleId="1236" w:customStyle="1">
    <w:name w:val="xl74"/>
    <w:basedOn w:val="99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237" w:customStyle="1">
    <w:name w:val="xl7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238" w:customStyle="1">
    <w:name w:val="xl76"/>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39" w:customStyle="1">
    <w:name w:val="xl77"/>
    <w:basedOn w:val="99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40" w:customStyle="1">
    <w:name w:val="xl78"/>
    <w:basedOn w:val="994"/>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41" w:customStyle="1">
    <w:name w:val="xl79"/>
    <w:basedOn w:val="99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42" w:customStyle="1">
    <w:name w:val="xl80"/>
    <w:basedOn w:val="994"/>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rPr>
  </w:style>
  <w:style w:type="paragraph" w:styleId="1243" w:customStyle="1">
    <w:name w:val="xl81"/>
    <w:basedOn w:val="994"/>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rPr>
  </w:style>
  <w:style w:type="paragraph" w:styleId="1244" w:customStyle="1">
    <w:name w:val="xl82"/>
    <w:basedOn w:val="994"/>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rPr>
  </w:style>
  <w:style w:type="paragraph" w:styleId="1245" w:customStyle="1">
    <w:name w:val="xl83"/>
    <w:basedOn w:val="994"/>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246" w:customStyle="1">
    <w:name w:val="xl84"/>
    <w:basedOn w:val="99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47" w:customStyle="1">
    <w:name w:val="xl85"/>
    <w:basedOn w:val="99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48" w:customStyle="1">
    <w:name w:val="xl86"/>
    <w:basedOn w:val="994"/>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249" w:customStyle="1">
    <w:name w:val="xl87"/>
    <w:basedOn w:val="99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250" w:customStyle="1">
    <w:name w:val="xl88"/>
    <w:basedOn w:val="99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251" w:customStyle="1">
    <w:name w:val="xl89"/>
    <w:basedOn w:val="994"/>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rPr>
  </w:style>
  <w:style w:type="paragraph" w:styleId="1252" w:customStyle="1">
    <w:name w:val="xl90"/>
    <w:basedOn w:val="994"/>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rPr>
  </w:style>
  <w:style w:type="paragraph" w:styleId="1253" w:customStyle="1">
    <w:name w:val="xl91"/>
    <w:basedOn w:val="994"/>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rPr>
  </w:style>
  <w:style w:type="paragraph" w:styleId="1254" w:customStyle="1">
    <w:name w:val="xl92"/>
    <w:basedOn w:val="994"/>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255" w:customStyle="1">
    <w:name w:val="xl93"/>
    <w:basedOn w:val="99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256" w:customStyle="1">
    <w:name w:val="xl94"/>
    <w:basedOn w:val="994"/>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257" w:customStyle="1">
    <w:name w:val="xl95"/>
    <w:basedOn w:val="994"/>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258" w:customStyle="1">
    <w:name w:val="xl96"/>
    <w:basedOn w:val="994"/>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259" w:customStyle="1">
    <w:name w:val="xl97"/>
    <w:basedOn w:val="99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260" w:customStyle="1">
    <w:name w:val="xl98"/>
    <w:basedOn w:val="99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261" w:customStyle="1">
    <w:name w:val="xl99"/>
    <w:basedOn w:val="994"/>
    <w:qFormat/>
    <w:pPr>
      <w:jc w:val="center"/>
      <w:spacing w:before="100" w:beforeAutospacing="1" w:after="100" w:afterAutospacing="1"/>
      <w:widowControl/>
    </w:pPr>
    <w:rPr>
      <w:rFonts w:ascii="Arial" w:hAnsi="Arial" w:eastAsia="Arial Unicode MS" w:cs="Arial"/>
      <w:b/>
      <w:bCs/>
      <w:sz w:val="32"/>
      <w:szCs w:val="32"/>
    </w:rPr>
  </w:style>
  <w:style w:type="paragraph" w:styleId="1262" w:customStyle="1">
    <w:name w:val="xl100"/>
    <w:basedOn w:val="994"/>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263" w:customStyle="1">
    <w:name w:val="xl101"/>
    <w:basedOn w:val="994"/>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264" w:customStyle="1">
    <w:name w:val="xl102"/>
    <w:basedOn w:val="994"/>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265" w:customStyle="1">
    <w:name w:val="xl103"/>
    <w:basedOn w:val="994"/>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266" w:customStyle="1">
    <w:name w:val="xl104"/>
    <w:basedOn w:val="994"/>
    <w:qFormat/>
    <w:pPr>
      <w:jc w:val="left"/>
      <w:spacing w:before="100" w:beforeAutospacing="1" w:after="100" w:afterAutospacing="1"/>
      <w:widowControl/>
    </w:pPr>
    <w:rPr>
      <w:rFonts w:ascii="Arial Unicode MS" w:hAnsi="Arial Unicode MS" w:eastAsia="Arial Unicode MS" w:cs="Arial Unicode MS"/>
      <w:sz w:val="20"/>
    </w:rPr>
  </w:style>
  <w:style w:type="paragraph" w:styleId="1267" w:customStyle="1">
    <w:name w:val="xl105"/>
    <w:basedOn w:val="994"/>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rPr>
  </w:style>
  <w:style w:type="paragraph" w:styleId="1268" w:customStyle="1">
    <w:name w:val="xl106"/>
    <w:basedOn w:val="99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69" w:customStyle="1">
    <w:name w:val="xl107"/>
    <w:basedOn w:val="99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270" w:customStyle="1">
    <w:name w:val="xl108"/>
    <w:basedOn w:val="99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271" w:customStyle="1">
    <w:name w:val="xl109"/>
    <w:basedOn w:val="994"/>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rPr>
  </w:style>
  <w:style w:type="paragraph" w:styleId="1272" w:customStyle="1">
    <w:name w:val="xl110"/>
    <w:basedOn w:val="994"/>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273" w:customStyle="1">
    <w:name w:val="xl111"/>
    <w:basedOn w:val="994"/>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274" w:customStyle="1">
    <w:name w:val="xl112"/>
    <w:basedOn w:val="994"/>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rPr>
  </w:style>
  <w:style w:type="paragraph" w:styleId="1275" w:customStyle="1">
    <w:name w:val="样式 标题 3 + 小四"/>
    <w:basedOn w:val="997"/>
    <w:qFormat/>
    <w:pPr>
      <w:spacing w:line="360" w:lineRule="auto"/>
    </w:pPr>
    <w:rPr>
      <w:rFonts w:ascii="宋体" w:hAnsi="宋体"/>
      <w:bCs/>
      <w:sz w:val="30"/>
      <w:szCs w:val="24"/>
    </w:rPr>
  </w:style>
  <w:style w:type="paragraph" w:styleId="1276" w:customStyle="1">
    <w:name w:val="3 Char"/>
    <w:basedOn w:val="994"/>
    <w:qFormat/>
    <w:rPr>
      <w:rFonts w:ascii="Tahoma" w:hAnsi="Tahoma"/>
      <w:sz w:val="24"/>
    </w:rPr>
  </w:style>
  <w:style w:type="paragraph" w:styleId="1277" w:customStyle="1">
    <w:name w:val="Style 标书正文 + First line:  2 ch"/>
    <w:basedOn w:val="994"/>
    <w:qFormat/>
    <w:pPr>
      <w:ind w:firstLine="480"/>
      <w:spacing w:before="120" w:after="20" w:line="360" w:lineRule="exact"/>
    </w:pPr>
    <w:rPr>
      <w:rFonts w:cs="宋体"/>
      <w:sz w:val="24"/>
    </w:rPr>
  </w:style>
  <w:style w:type="paragraph" w:styleId="1278" w:customStyle="1">
    <w:name w:val="样式 标题 1合同标题H1h11st levelSection Headl11H11H12H13H14H..."/>
    <w:basedOn w:val="995"/>
    <w:qFormat/>
    <w:pPr>
      <w:spacing w:line="360" w:lineRule="auto"/>
    </w:pPr>
    <w:rPr>
      <w:rFonts w:ascii="宋体" w:hAnsi="宋体"/>
      <w:b w:val="0"/>
      <w:sz w:val="30"/>
    </w:rPr>
  </w:style>
  <w:style w:type="paragraph" w:styleId="1279" w:customStyle="1">
    <w:name w:val="标题1-1"/>
    <w:basedOn w:val="994"/>
    <w:qFormat/>
    <w:pPr>
      <w:jc w:val="center"/>
      <w:spacing w:line="360" w:lineRule="auto"/>
    </w:pPr>
    <w:rPr>
      <w:rFonts w:ascii="宋体" w:hAnsi="宋体"/>
      <w:b/>
      <w:sz w:val="52"/>
      <w:szCs w:val="52"/>
    </w:rPr>
  </w:style>
  <w:style w:type="paragraph" w:styleId="1280" w:customStyle="1">
    <w:name w:val="标题1-2"/>
    <w:basedOn w:val="994"/>
    <w:qFormat/>
    <w:pPr>
      <w:jc w:val="center"/>
      <w:spacing w:line="360" w:lineRule="auto"/>
    </w:pPr>
    <w:rPr>
      <w:rFonts w:ascii="宋体" w:hAnsi="宋体"/>
      <w:b/>
      <w:sz w:val="32"/>
      <w:szCs w:val="52"/>
    </w:rPr>
  </w:style>
  <w:style w:type="paragraph" w:styleId="1281" w:customStyle="1">
    <w:name w:val="标题1-3"/>
    <w:basedOn w:val="994"/>
    <w:qFormat/>
    <w:pPr>
      <w:jc w:val="left"/>
      <w:spacing w:line="360" w:lineRule="auto"/>
    </w:pPr>
    <w:rPr>
      <w:rFonts w:ascii="宋体" w:hAnsi="宋体"/>
      <w:b/>
      <w:bCs/>
      <w:sz w:val="32"/>
      <w:szCs w:val="52"/>
    </w:rPr>
  </w:style>
  <w:style w:type="paragraph" w:styleId="1282" w:customStyle="1">
    <w:name w:val="格式1-1"/>
    <w:basedOn w:val="994"/>
    <w:qFormat/>
    <w:pPr>
      <w:jc w:val="center"/>
    </w:pPr>
    <w:rPr>
      <w:b/>
      <w:sz w:val="52"/>
      <w:szCs w:val="24"/>
    </w:rPr>
  </w:style>
  <w:style w:type="paragraph" w:styleId="1283" w:customStyle="1">
    <w:name w:val="格式1-2"/>
    <w:basedOn w:val="994"/>
    <w:qFormat/>
    <w:rPr>
      <w:b/>
      <w:sz w:val="32"/>
      <w:szCs w:val="24"/>
    </w:rPr>
  </w:style>
  <w:style w:type="paragraph" w:styleId="1284" w:customStyle="1">
    <w:name w:val="格式1-3"/>
    <w:basedOn w:val="994"/>
    <w:qFormat/>
    <w:pPr>
      <w:spacing w:line="360" w:lineRule="auto"/>
    </w:pPr>
    <w:rPr>
      <w:sz w:val="24"/>
      <w:szCs w:val="24"/>
    </w:rPr>
  </w:style>
  <w:style w:type="paragraph" w:styleId="1285" w:customStyle="1">
    <w:name w:val="符号列表"/>
    <w:basedOn w:val="994"/>
    <w:qFormat/>
    <w:pPr>
      <w:numPr>
        <w:ilvl w:val="3"/>
        <w:numId w:val="13"/>
      </w:numPr>
      <w:jc w:val="left"/>
      <w:spacing w:line="440" w:lineRule="exact"/>
      <w:widowControl/>
    </w:pPr>
    <w:rPr>
      <w:color w:val="000000"/>
      <w:sz w:val="24"/>
      <w:szCs w:val="24"/>
    </w:rPr>
  </w:style>
  <w:style w:type="character" w:styleId="1286" w:customStyle="1">
    <w:name w:val="样式 下划线"/>
    <w:basedOn w:val="1004"/>
    <w:qFormat/>
    <w:rPr>
      <w:u w:val="single"/>
    </w:rPr>
  </w:style>
  <w:style w:type="character" w:styleId="1287" w:customStyle="1">
    <w:name w:val="标题3 Char"/>
    <w:basedOn w:val="1004"/>
    <w:qFormat/>
    <w:rPr>
      <w:rFonts w:eastAsia="宋体"/>
      <w:b/>
      <w:sz w:val="32"/>
      <w:lang w:val="en-US" w:eastAsia="zh-CN" w:bidi="ar-SA"/>
    </w:rPr>
  </w:style>
  <w:style w:type="character" w:styleId="1288" w:customStyle="1">
    <w:name w:val="小黑点符号 Char"/>
    <w:basedOn w:val="1004"/>
    <w:qFormat/>
    <w:rPr>
      <w:rFonts w:eastAsia="宋体"/>
      <w:sz w:val="28"/>
      <w:szCs w:val="24"/>
      <w:lang w:val="en-US" w:eastAsia="zh-CN" w:bidi="ar-SA"/>
    </w:rPr>
  </w:style>
  <w:style w:type="paragraph" w:styleId="1289" w:customStyle="1">
    <w:name w:val="List Paragraph1"/>
    <w:basedOn w:val="994"/>
    <w:qFormat/>
    <w:pPr>
      <w:ind w:firstLine="420"/>
    </w:pPr>
    <w:rPr>
      <w:rFonts w:ascii="Calibri" w:hAnsi="Calibri" w:eastAsia="仿宋" w:cs="宋体"/>
      <w:sz w:val="28"/>
      <w:szCs w:val="28"/>
    </w:rPr>
  </w:style>
  <w:style w:type="character" w:styleId="1290" w:customStyle="1">
    <w:name w:val="Title Char"/>
    <w:basedOn w:val="1004"/>
    <w:qFormat/>
    <w:rPr>
      <w:rFonts w:ascii="Cambria" w:hAnsi="Cambria" w:eastAsia="宋体"/>
      <w:b/>
      <w:bCs/>
      <w:sz w:val="32"/>
      <w:szCs w:val="32"/>
      <w:lang w:val="en-US" w:eastAsia="zh-CN" w:bidi="ar-SA"/>
    </w:rPr>
  </w:style>
  <w:style w:type="paragraph" w:styleId="1291" w:customStyle="1">
    <w:name w:val="black1"/>
    <w:basedOn w:val="994"/>
    <w:qFormat/>
    <w:pPr>
      <w:jc w:val="left"/>
      <w:spacing w:before="100" w:beforeAutospacing="1" w:after="100" w:afterAutospacing="1"/>
      <w:widowControl/>
    </w:pPr>
    <w:rPr>
      <w:rFonts w:ascii="宋体" w:hAnsi="宋体"/>
      <w:sz w:val="24"/>
      <w:szCs w:val="24"/>
    </w:rPr>
  </w:style>
  <w:style w:type="character" w:styleId="1292" w:customStyle="1">
    <w:name w:val="副标题 字符"/>
    <w:link w:val="1043"/>
    <w:qFormat/>
    <w:rPr>
      <w:rFonts w:ascii="Cambria" w:hAnsi="Cambria" w:eastAsia="黑体"/>
      <w:b/>
      <w:bCs/>
      <w:sz w:val="21"/>
      <w:szCs w:val="32"/>
      <w:lang w:bidi="ar-SA"/>
    </w:rPr>
  </w:style>
  <w:style w:type="character" w:styleId="1293" w:customStyle="1">
    <w:name w:val="apple-converted-space"/>
    <w:basedOn w:val="1004"/>
    <w:qFormat/>
  </w:style>
  <w:style w:type="character" w:styleId="1294" w:customStyle="1">
    <w:name w:val="批注框文本 字符"/>
    <w:link w:val="1036"/>
    <w:uiPriority w:val="99"/>
    <w:qFormat/>
    <w:rPr>
      <w:sz w:val="18"/>
      <w:szCs w:val="18"/>
    </w:rPr>
  </w:style>
  <w:style w:type="character" w:styleId="1295" w:customStyle="1">
    <w:name w:val="页脚 字符"/>
    <w:link w:val="1037"/>
    <w:uiPriority w:val="99"/>
    <w:qFormat/>
    <w:rPr>
      <w:sz w:val="18"/>
    </w:rPr>
  </w:style>
  <w:style w:type="paragraph" w:styleId="1296" w:customStyle="1">
    <w:name w:val="TOC 标题1"/>
    <w:basedOn w:val="995"/>
    <w:next w:val="994"/>
    <w:uiPriority w:val="39"/>
    <w:qFormat/>
    <w:pPr>
      <w:jc w:val="left"/>
      <w:spacing w:before="480" w:after="0" w:line="276" w:lineRule="auto"/>
      <w:widowControl/>
      <w:outlineLvl w:val="9"/>
    </w:pPr>
    <w:rPr>
      <w:rFonts w:ascii="Cambria" w:hAnsi="Cambria"/>
      <w:color w:val="365f91"/>
      <w:sz w:val="28"/>
      <w:szCs w:val="28"/>
    </w:rPr>
  </w:style>
  <w:style w:type="paragraph" w:styleId="1297" w:customStyle="1">
    <w:name w:val="GP正文(首行缩进)"/>
    <w:basedOn w:val="994"/>
    <w:link w:val="1399"/>
    <w:qFormat/>
    <w:pPr>
      <w:ind w:firstLine="480"/>
      <w:jc w:val="left"/>
    </w:pPr>
    <w:rPr>
      <w:szCs w:val="24"/>
    </w:rPr>
  </w:style>
  <w:style w:type="paragraph" w:styleId="1298">
    <w:name w:val="No Spacing"/>
    <w:uiPriority w:val="1"/>
    <w:qFormat/>
    <w:pPr>
      <w:widowControl w:val="off"/>
    </w:pPr>
    <w:rPr>
      <w:sz w:val="21"/>
    </w:rPr>
  </w:style>
  <w:style w:type="paragraph" w:styleId="1299" w:customStyle="1">
    <w:name w:val="GP正文(无首行缩进)"/>
    <w:basedOn w:val="1297"/>
    <w:qFormat/>
  </w:style>
  <w:style w:type="paragraph" w:styleId="1300">
    <w:name w:val="List Paragraph"/>
    <w:basedOn w:val="994"/>
    <w:uiPriority w:val="34"/>
    <w:qFormat/>
    <w:pPr>
      <w:ind w:firstLine="420"/>
    </w:pPr>
  </w:style>
  <w:style w:type="paragraph" w:styleId="1301" w:customStyle="1">
    <w:name w:val="样式 首行缩进:  0 字符"/>
    <w:basedOn w:val="994"/>
    <w:link w:val="1385"/>
    <w:qFormat/>
    <w:pPr>
      <w:ind w:firstLine="200"/>
      <w:spacing w:line="360" w:lineRule="auto"/>
    </w:pPr>
    <w:rPr>
      <w:rFonts w:ascii="Arial" w:hAnsi="Arial"/>
      <w:sz w:val="24"/>
    </w:rPr>
  </w:style>
  <w:style w:type="paragraph" w:styleId="1302" w:customStyle="1">
    <w:name w:val="编号，小四"/>
    <w:basedOn w:val="994"/>
    <w:link w:val="1472"/>
    <w:qFormat/>
    <w:pPr>
      <w:ind w:left="567"/>
    </w:pPr>
    <w:rPr>
      <w:rFonts w:ascii="Arial" w:hAnsi="Arial" w:cs="宋体"/>
    </w:rPr>
  </w:style>
  <w:style w:type="paragraph" w:styleId="1303" w:customStyle="1">
    <w:name w:val="图片标题"/>
    <w:basedOn w:val="1014"/>
    <w:qFormat/>
    <w:pPr>
      <w:numPr>
        <w:numId w:val="0"/>
      </w:numPr>
      <w:jc w:val="center"/>
      <w:keepNext w:val="0"/>
      <w:spacing w:before="0" w:after="0" w:line="240" w:lineRule="auto"/>
      <w:widowControl w:val="off"/>
    </w:pPr>
    <w:rPr>
      <w:rFonts w:ascii="宋体" w:hAnsi="宋体" w:eastAsia="宋体"/>
      <w:sz w:val="21"/>
    </w:rPr>
  </w:style>
  <w:style w:type="character" w:styleId="1304" w:customStyle="1">
    <w:name w:val="文档结构图 字符"/>
    <w:basedOn w:val="1004"/>
    <w:link w:val="1017"/>
    <w:uiPriority w:val="99"/>
    <w:qFormat/>
    <w:rPr>
      <w:sz w:val="21"/>
      <w:szCs w:val="24"/>
      <w:shd w:val="clear" w:color="auto" w:fill="000080"/>
    </w:rPr>
  </w:style>
  <w:style w:type="paragraph" w:styleId="1305" w:customStyle="1">
    <w:name w:val="常用1级标题"/>
    <w:basedOn w:val="994"/>
    <w:qFormat/>
    <w:pPr>
      <w:numPr>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306" w:customStyle="1">
    <w:name w:val="常用2级标题"/>
    <w:basedOn w:val="994"/>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307" w:customStyle="1">
    <w:name w:val="列出段落1"/>
    <w:basedOn w:val="994"/>
    <w:link w:val="1375"/>
    <w:uiPriority w:val="34"/>
    <w:qFormat/>
    <w:pPr>
      <w:ind w:firstLine="420"/>
    </w:pPr>
    <w:rPr>
      <w:szCs w:val="22"/>
    </w:rPr>
  </w:style>
  <w:style w:type="character" w:styleId="1308" w:customStyle="1">
    <w:name w:val="标题 2 字符"/>
    <w:basedOn w:val="1004"/>
    <w:link w:val="996"/>
    <w:uiPriority w:val="9"/>
    <w:qFormat/>
    <w:rPr>
      <w:rFonts w:ascii="Century Schoolbook" w:hAnsi="Century Schoolbook" w:eastAsia="黑体"/>
      <w:bCs/>
      <w:sz w:val="28"/>
      <w:szCs w:val="32"/>
    </w:rPr>
  </w:style>
  <w:style w:type="character" w:styleId="1309" w:customStyle="1">
    <w:name w:val="标题 4 字符"/>
    <w:basedOn w:val="1004"/>
    <w:link w:val="998"/>
    <w:qFormat/>
    <w:rPr>
      <w:rFonts w:ascii="Century Schoolbook" w:hAnsi="Century Schoolbook" w:eastAsia="楷体_GB2312"/>
      <w:bCs/>
      <w:sz w:val="28"/>
      <w:szCs w:val="28"/>
    </w:rPr>
  </w:style>
  <w:style w:type="character" w:styleId="1310" w:customStyle="1">
    <w:name w:val="正文文本缩进 3 字符"/>
    <w:basedOn w:val="1004"/>
    <w:link w:val="1046"/>
    <w:qFormat/>
    <w:rPr>
      <w:rFonts w:ascii="楷体_GB2312" w:eastAsia="楷体_GB2312"/>
      <w:b/>
      <w:bCs/>
      <w:color w:val="000000"/>
      <w:sz w:val="24"/>
      <w:u w:val="single"/>
    </w:rPr>
  </w:style>
  <w:style w:type="paragraph" w:styleId="1311" w:customStyle="1">
    <w:name w:val="模板普通正文"/>
    <w:basedOn w:val="1022"/>
    <w:qFormat/>
    <w:pPr>
      <w:ind w:firstLine="490"/>
      <w:jc w:val="left"/>
      <w:spacing w:line="360" w:lineRule="auto"/>
    </w:pPr>
    <w:rPr>
      <w:sz w:val="24"/>
      <w:szCs w:val="20"/>
    </w:rPr>
  </w:style>
  <w:style w:type="paragraph" w:styleId="1312" w:customStyle="1">
    <w:name w:val="正文文本缩进1"/>
    <w:basedOn w:val="994"/>
    <w:qFormat/>
    <w:pPr>
      <w:ind w:left="420"/>
    </w:pPr>
    <w:rPr>
      <w:rFonts w:ascii="Calibri" w:hAnsi="Calibri"/>
      <w:szCs w:val="22"/>
    </w:rPr>
  </w:style>
  <w:style w:type="character" w:styleId="1313" w:customStyle="1">
    <w:name w:val="headline-content3"/>
    <w:basedOn w:val="1004"/>
    <w:qFormat/>
  </w:style>
  <w:style w:type="paragraph" w:styleId="1314" w:customStyle="1">
    <w:name w:val="GW-正文"/>
    <w:qFormat/>
    <w:pPr>
      <w:ind w:firstLine="200"/>
      <w:spacing w:line="360" w:lineRule="auto"/>
    </w:pPr>
    <w:rPr>
      <w:rFonts w:eastAsia="仿宋_GB2312"/>
      <w:sz w:val="24"/>
      <w:szCs w:val="24"/>
    </w:rPr>
  </w:style>
  <w:style w:type="paragraph" w:styleId="1315" w:customStyle="1">
    <w:name w:val="段"/>
    <w:link w:val="1480"/>
    <w:qFormat/>
    <w:pPr>
      <w:ind w:firstLine="200"/>
      <w:jc w:val="both"/>
    </w:pPr>
    <w:rPr>
      <w:rFonts w:ascii="宋体"/>
      <w:sz w:val="21"/>
      <w:szCs w:val="22"/>
    </w:rPr>
  </w:style>
  <w:style w:type="paragraph" w:styleId="1316" w:customStyle="1">
    <w:name w:val="正文首行缩进 21"/>
    <w:basedOn w:val="1312"/>
    <w:qFormat/>
    <w:pPr>
      <w:ind w:firstLine="420"/>
    </w:pPr>
    <w:rPr>
      <w:rFonts w:ascii="Times New Roman" w:hAnsi="Times New Roman"/>
      <w:szCs w:val="24"/>
    </w:rPr>
  </w:style>
  <w:style w:type="paragraph" w:styleId="1317" w:customStyle="1">
    <w:name w:val="_Style 2"/>
    <w:basedOn w:val="994"/>
    <w:uiPriority w:val="34"/>
    <w:qFormat/>
    <w:pPr>
      <w:ind w:firstLine="420"/>
      <w:spacing w:line="360" w:lineRule="auto"/>
    </w:pPr>
    <w:rPr>
      <w:rFonts w:ascii="宋体" w:hAnsi="Calibri"/>
      <w:sz w:val="24"/>
      <w:szCs w:val="22"/>
    </w:rPr>
  </w:style>
  <w:style w:type="paragraph" w:styleId="1318" w:customStyle="1">
    <w:name w:val="列出段落2"/>
    <w:basedOn w:val="994"/>
    <w:link w:val="1370"/>
    <w:qFormat/>
    <w:pPr>
      <w:ind w:firstLine="420"/>
    </w:pPr>
    <w:rPr>
      <w:szCs w:val="22"/>
    </w:rPr>
  </w:style>
  <w:style w:type="paragraph" w:styleId="1319" w:customStyle="1">
    <w:name w:val="xl294"/>
    <w:basedOn w:val="994"/>
    <w:qFormat/>
    <w:pPr>
      <w:jc w:val="center"/>
      <w:spacing w:before="100" w:beforeAutospacing="1" w:after="100" w:afterAutospacing="1"/>
      <w:widowControl/>
    </w:pPr>
    <w:rPr>
      <w:rFonts w:ascii="宋体" w:hAnsi="宋体" w:cs="宋体"/>
      <w:sz w:val="24"/>
      <w:szCs w:val="24"/>
    </w:rPr>
  </w:style>
  <w:style w:type="paragraph" w:styleId="1320" w:customStyle="1">
    <w:name w:val="xl295"/>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1" w:customStyle="1">
    <w:name w:val="xl296"/>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322" w:customStyle="1">
    <w:name w:val="xl297"/>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323" w:customStyle="1">
    <w:name w:val="xl298"/>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4" w:customStyle="1">
    <w:name w:val="xl299"/>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5" w:customStyle="1">
    <w:name w:val="xl300"/>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6" w:customStyle="1">
    <w:name w:val="xl301"/>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7" w:customStyle="1">
    <w:name w:val="xl302"/>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8" w:customStyle="1">
    <w:name w:val="xl303"/>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9" w:customStyle="1">
    <w:name w:val="xl304"/>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0" w:customStyle="1">
    <w:name w:val="xl30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1" w:customStyle="1">
    <w:name w:val="xl306"/>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2" w:customStyle="1">
    <w:name w:val="xl307"/>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308"/>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xl309"/>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5" w:customStyle="1">
    <w:name w:val="xl310"/>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36" w:customStyle="1">
    <w:name w:val="xl311"/>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37" w:customStyle="1">
    <w:name w:val="xl312"/>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38" w:customStyle="1">
    <w:name w:val="xl313"/>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9" w:customStyle="1">
    <w:name w:val="xl314"/>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0" w:customStyle="1">
    <w:name w:val="xl315"/>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1" w:customStyle="1">
    <w:name w:val="xl316"/>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317"/>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3" w:customStyle="1">
    <w:name w:val="xl318"/>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4" w:customStyle="1">
    <w:name w:val="xl319"/>
    <w:basedOn w:val="99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5" w:customStyle="1">
    <w:name w:val="xl320"/>
    <w:basedOn w:val="99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6" w:customStyle="1">
    <w:name w:val="xl321"/>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7" w:customStyle="1">
    <w:name w:val="xl322"/>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8" w:customStyle="1">
    <w:name w:val="xl323"/>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9" w:customStyle="1">
    <w:name w:val="xl324"/>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0" w:customStyle="1">
    <w:name w:val="xl325"/>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1" w:customStyle="1">
    <w:name w:val="xl326"/>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2" w:customStyle="1">
    <w:name w:val="xl327"/>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3" w:customStyle="1">
    <w:name w:val="xl328"/>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4" w:customStyle="1">
    <w:name w:val="xl329"/>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55" w:customStyle="1">
    <w:name w:val="xl330"/>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356" w:customStyle="1">
    <w:name w:val="xl331"/>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7" w:customStyle="1">
    <w:name w:val="xl332"/>
    <w:basedOn w:val="99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358" w:customStyle="1">
    <w:name w:val="批注文字 字符"/>
    <w:basedOn w:val="1004"/>
    <w:link w:val="1018"/>
    <w:uiPriority w:val="99"/>
    <w:qFormat/>
    <w:rPr>
      <w:rFonts w:ascii="Calibri" w:hAnsi="Calibri" w:eastAsia="宋体" w:cs="Times New Roman"/>
      <w:sz w:val="21"/>
      <w:szCs w:val="22"/>
    </w:rPr>
  </w:style>
  <w:style w:type="paragraph" w:styleId="1359" w:customStyle="1">
    <w:name w:val="Plain Text1"/>
    <w:basedOn w:val="994"/>
    <w:qFormat/>
    <w:rPr>
      <w:rFonts w:ascii="宋体" w:hAnsi="Courier New" w:eastAsia="楷体_GB2312"/>
      <w:sz w:val="28"/>
    </w:rPr>
  </w:style>
  <w:style w:type="paragraph" w:styleId="1360" w:customStyle="1">
    <w:name w:val="纯文本11"/>
    <w:basedOn w:val="994"/>
    <w:qFormat/>
    <w:pPr>
      <w:jc w:val="left"/>
      <w:widowControl/>
    </w:pPr>
    <w:rPr>
      <w:rFonts w:ascii="宋体" w:hAnsi="Courier New" w:eastAsia="楷体_GB2312"/>
      <w:sz w:val="26"/>
    </w:rPr>
  </w:style>
  <w:style w:type="paragraph" w:styleId="1361" w:customStyle="1">
    <w:name w:val="纯文本2"/>
    <w:basedOn w:val="994"/>
    <w:qFormat/>
    <w:pPr>
      <w:jc w:val="left"/>
      <w:widowControl/>
    </w:pPr>
    <w:rPr>
      <w:rFonts w:ascii="宋体" w:hAnsi="Courier New" w:eastAsia="楷体_GB2312"/>
      <w:sz w:val="26"/>
    </w:rPr>
  </w:style>
  <w:style w:type="character" w:styleId="1362" w:customStyle="1">
    <w:name w:val="纯文本 字符"/>
    <w:basedOn w:val="1004"/>
    <w:link w:val="1029"/>
    <w:qFormat/>
    <w:rPr>
      <w:rFonts w:ascii="宋体" w:hAnsi="Courier New"/>
      <w:sz w:val="24"/>
      <w:szCs w:val="24"/>
    </w:rPr>
  </w:style>
  <w:style w:type="table" w:styleId="1363" w:customStyle="1">
    <w:name w:val="Table Normal"/>
    <w:qFormat/>
    <w:tblPr>
      <w:tblCellMar>
        <w:left w:w="0" w:type="dxa"/>
        <w:top w:w="0" w:type="dxa"/>
        <w:right w:w="0" w:type="dxa"/>
        <w:bottom w:w="0" w:type="dxa"/>
      </w:tblCellMar>
    </w:tblPr>
  </w:style>
  <w:style w:type="paragraph" w:styleId="1364" w:customStyle="1">
    <w:name w:val="正文 A"/>
    <w:qFormat/>
    <w:pPr>
      <w:jc w:val="both"/>
      <w:widowControl w:val="off"/>
    </w:pPr>
    <w:rPr>
      <w:rFonts w:ascii="Calibri" w:hAnsi="Calibri" w:eastAsia="Calibri" w:cs="Calibri"/>
      <w:color w:val="000000"/>
      <w:sz w:val="21"/>
      <w:szCs w:val="21"/>
    </w:rPr>
  </w:style>
  <w:style w:type="character" w:styleId="1365" w:customStyle="1">
    <w:name w:val="标题 5 字符"/>
    <w:basedOn w:val="1004"/>
    <w:link w:val="999"/>
    <w:qFormat/>
    <w:rPr>
      <w:rFonts w:ascii="楷体" w:eastAsia="楷体"/>
      <w:b/>
      <w:bCs/>
      <w:spacing w:val="8"/>
      <w:sz w:val="28"/>
      <w:szCs w:val="28"/>
    </w:rPr>
  </w:style>
  <w:style w:type="character" w:styleId="1366" w:customStyle="1">
    <w:name w:val="标题 6 字符"/>
    <w:basedOn w:val="1004"/>
    <w:link w:val="1000"/>
    <w:qFormat/>
    <w:rPr>
      <w:rFonts w:ascii="Arial" w:hAnsi="Arial" w:eastAsia="黑体"/>
      <w:b/>
      <w:bCs/>
      <w:spacing w:val="8"/>
      <w:sz w:val="24"/>
      <w:szCs w:val="24"/>
    </w:rPr>
  </w:style>
  <w:style w:type="character" w:styleId="1367" w:customStyle="1">
    <w:name w:val="标题 7 字符"/>
    <w:basedOn w:val="1004"/>
    <w:link w:val="1001"/>
    <w:qFormat/>
    <w:rPr>
      <w:rFonts w:ascii="楷体" w:eastAsia="楷体"/>
      <w:b/>
      <w:bCs/>
      <w:spacing w:val="8"/>
      <w:sz w:val="24"/>
      <w:szCs w:val="24"/>
    </w:rPr>
  </w:style>
  <w:style w:type="character" w:styleId="1368" w:customStyle="1">
    <w:name w:val="标题 8 字符"/>
    <w:basedOn w:val="1004"/>
    <w:link w:val="1002"/>
    <w:qFormat/>
    <w:rPr>
      <w:rFonts w:ascii="Arial" w:hAnsi="Arial" w:eastAsia="黑体"/>
      <w:spacing w:val="8"/>
      <w:sz w:val="24"/>
      <w:szCs w:val="24"/>
    </w:rPr>
  </w:style>
  <w:style w:type="character" w:styleId="1369" w:customStyle="1">
    <w:name w:val="标题 9 字符"/>
    <w:basedOn w:val="1004"/>
    <w:link w:val="1003"/>
    <w:qFormat/>
    <w:rPr>
      <w:rFonts w:ascii="Arial" w:hAnsi="Arial" w:eastAsia="黑体"/>
      <w:spacing w:val="8"/>
      <w:sz w:val="21"/>
      <w:szCs w:val="21"/>
    </w:rPr>
  </w:style>
  <w:style w:type="character" w:styleId="1370" w:customStyle="1">
    <w:name w:val="列表段落 字符"/>
    <w:link w:val="1318"/>
    <w:uiPriority w:val="34"/>
    <w:qFormat/>
    <w:rPr>
      <w:sz w:val="21"/>
      <w:szCs w:val="22"/>
    </w:rPr>
  </w:style>
  <w:style w:type="character" w:styleId="1371" w:customStyle="1">
    <w:name w:val="HTML 预设格式 字符"/>
    <w:link w:val="1054"/>
    <w:uiPriority w:val="99"/>
    <w:qFormat/>
    <w:rPr>
      <w:rFonts w:ascii="Courier New" w:hAnsi="Courier New" w:cs="Courier New"/>
    </w:rPr>
  </w:style>
  <w:style w:type="character" w:styleId="1372" w:customStyle="1">
    <w:name w:val="页脚 Char1"/>
    <w:uiPriority w:val="99"/>
    <w:qFormat/>
    <w:rPr>
      <w:sz w:val="18"/>
      <w:szCs w:val="18"/>
    </w:rPr>
  </w:style>
  <w:style w:type="character" w:styleId="1373" w:customStyle="1">
    <w:name w:val="正文首行缩进2字符 Char"/>
    <w:link w:val="1374"/>
    <w:qFormat/>
    <w:rPr>
      <w:rFonts w:cs="宋体"/>
      <w:iCs/>
      <w:sz w:val="24"/>
      <w:szCs w:val="24"/>
    </w:rPr>
  </w:style>
  <w:style w:type="paragraph" w:styleId="1374" w:customStyle="1">
    <w:name w:val="正文首行缩进2字符"/>
    <w:basedOn w:val="994"/>
    <w:link w:val="1373"/>
    <w:qFormat/>
    <w:pPr>
      <w:ind w:firstLine="482"/>
      <w:spacing w:line="360" w:lineRule="auto"/>
    </w:pPr>
    <w:rPr>
      <w:iCs/>
      <w:sz w:val="24"/>
      <w:szCs w:val="24"/>
    </w:rPr>
  </w:style>
  <w:style w:type="character" w:styleId="1375" w:customStyle="1">
    <w:name w:val="列出段落 Char2"/>
    <w:link w:val="1307"/>
    <w:qFormat/>
    <w:rPr>
      <w:sz w:val="21"/>
      <w:szCs w:val="22"/>
    </w:rPr>
  </w:style>
  <w:style w:type="character" w:styleId="1376" w:customStyle="1">
    <w:name w:val="题注 字符"/>
    <w:link w:val="1014"/>
    <w:qFormat/>
    <w:rPr>
      <w:rFonts w:ascii="Arial Narrow" w:hAnsi="Arial Narrow" w:eastAsia="仿宋体"/>
      <w:sz w:val="18"/>
    </w:rPr>
  </w:style>
  <w:style w:type="character" w:styleId="1377" w:customStyle="1">
    <w:name w:val="hik 正文 Char"/>
    <w:link w:val="1378"/>
    <w:qFormat/>
    <w:rPr>
      <w:sz w:val="24"/>
      <w:szCs w:val="24"/>
    </w:rPr>
  </w:style>
  <w:style w:type="paragraph" w:styleId="1378" w:customStyle="1">
    <w:name w:val="hik 正文"/>
    <w:basedOn w:val="994"/>
    <w:link w:val="1377"/>
    <w:qFormat/>
    <w:pPr>
      <w:ind w:firstLine="480"/>
      <w:spacing w:line="360" w:lineRule="auto"/>
    </w:pPr>
    <w:rPr>
      <w:sz w:val="24"/>
      <w:szCs w:val="24"/>
    </w:rPr>
  </w:style>
  <w:style w:type="character" w:styleId="1379" w:customStyle="1">
    <w:name w:val="列出段落 Char3"/>
    <w:qFormat/>
    <w:rPr>
      <w:rFonts w:ascii="Arial" w:hAnsi="Arial"/>
      <w:sz w:val="24"/>
    </w:rPr>
  </w:style>
  <w:style w:type="character" w:styleId="1380" w:customStyle="1">
    <w:name w:val="列出段落 Char4"/>
    <w:link w:val="1381"/>
    <w:qFormat/>
  </w:style>
  <w:style w:type="paragraph" w:styleId="1381" w:customStyle="1">
    <w:name w:val="列出段落4"/>
    <w:basedOn w:val="994"/>
    <w:link w:val="1380"/>
    <w:qFormat/>
    <w:pPr>
      <w:ind w:firstLine="420"/>
      <w:spacing w:line="360" w:lineRule="auto"/>
    </w:pPr>
    <w:rPr>
      <w:sz w:val="20"/>
    </w:rPr>
  </w:style>
  <w:style w:type="character" w:styleId="1382" w:customStyle="1">
    <w:name w:val="题注 字符1"/>
    <w:qFormat/>
    <w:rPr>
      <w:rFonts w:ascii="宋体" w:hAnsi="宋体"/>
      <w:sz w:val="21"/>
      <w:szCs w:val="22"/>
    </w:rPr>
  </w:style>
  <w:style w:type="character" w:styleId="1383" w:customStyle="1">
    <w:name w:val="表格正文 Char"/>
    <w:link w:val="1384"/>
    <w:qFormat/>
    <w:rPr>
      <w:rFonts w:ascii="等线" w:hAnsi="等线" w:eastAsia="等线"/>
    </w:rPr>
  </w:style>
  <w:style w:type="paragraph" w:styleId="1384" w:customStyle="1">
    <w:name w:val="表格正文"/>
    <w:basedOn w:val="994"/>
    <w:link w:val="1383"/>
    <w:qFormat/>
    <w:pPr>
      <w:ind w:firstLine="200"/>
      <w:jc w:val="left"/>
      <w:spacing w:line="360" w:lineRule="auto"/>
    </w:pPr>
    <w:rPr>
      <w:rFonts w:ascii="等线" w:hAnsi="等线" w:eastAsia="等线"/>
      <w:sz w:val="20"/>
    </w:rPr>
  </w:style>
  <w:style w:type="character" w:styleId="1385" w:customStyle="1">
    <w:name w:val="样式 首行缩进:  0 字符 Char"/>
    <w:link w:val="1301"/>
    <w:qFormat/>
    <w:rPr>
      <w:rFonts w:ascii="Arial" w:hAnsi="Arial" w:cs="宋体"/>
      <w:sz w:val="24"/>
    </w:rPr>
  </w:style>
  <w:style w:type="character" w:styleId="1386" w:customStyle="1">
    <w:name w:val="题注 Char2"/>
    <w:qFormat/>
    <w:rPr>
      <w:sz w:val="21"/>
    </w:rPr>
  </w:style>
  <w:style w:type="character" w:styleId="1387" w:customStyle="1">
    <w:name w:val="批注主题 Char"/>
    <w:qFormat/>
    <w:rPr>
      <w:b/>
      <w:bCs/>
      <w:sz w:val="24"/>
    </w:rPr>
  </w:style>
  <w:style w:type="character" w:styleId="1388" w:customStyle="1">
    <w:name w:val="普通(网站) 字符"/>
    <w:link w:val="1055"/>
    <w:uiPriority w:val="99"/>
    <w:qFormat/>
    <w:rPr>
      <w:rFonts w:ascii="宋体" w:hAnsi="宋体"/>
      <w:color w:val="000000"/>
      <w:sz w:val="24"/>
      <w:szCs w:val="24"/>
    </w:rPr>
  </w:style>
  <w:style w:type="character" w:styleId="1389" w:customStyle="1">
    <w:name w:val="3级标题 Char"/>
    <w:link w:val="1390"/>
    <w:qFormat/>
    <w:rPr>
      <w:rFonts w:ascii="黑体" w:hAnsi="黑体" w:eastAsia="黑体"/>
      <w:b/>
      <w:sz w:val="28"/>
      <w:szCs w:val="36"/>
      <w:lang w:val="zh-CN" w:eastAsia="en-US" w:bidi="en-US"/>
    </w:rPr>
  </w:style>
  <w:style w:type="paragraph" w:styleId="1390" w:customStyle="1">
    <w:name w:val="3级标题"/>
    <w:basedOn w:val="1391"/>
    <w:link w:val="1389"/>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391" w:customStyle="1">
    <w:name w:val="列表段落2"/>
    <w:basedOn w:val="994"/>
    <w:uiPriority w:val="34"/>
    <w:qFormat/>
    <w:pPr>
      <w:ind w:firstLine="420"/>
      <w:spacing w:line="360" w:lineRule="auto"/>
    </w:pPr>
    <w:rPr>
      <w:rFonts w:ascii="Calibri" w:hAnsi="Calibri"/>
      <w:sz w:val="24"/>
      <w:szCs w:val="22"/>
    </w:rPr>
  </w:style>
  <w:style w:type="character" w:styleId="1392" w:customStyle="1">
    <w:name w:val="HTML 预设格式 字符1"/>
    <w:uiPriority w:val="99"/>
    <w:semiHidden/>
    <w:qFormat/>
    <w:rPr>
      <w:rFonts w:ascii="Courier New" w:hAnsi="Courier New" w:cs="Courier New"/>
      <w:sz w:val="20"/>
      <w:szCs w:val="20"/>
    </w:rPr>
  </w:style>
  <w:style w:type="character" w:styleId="1393" w:customStyle="1">
    <w:name w:val="无间隔 字符"/>
    <w:link w:val="1394"/>
    <w:uiPriority w:val="1"/>
    <w:qFormat/>
    <w:rPr>
      <w:rFonts w:ascii="等线" w:hAnsi="等线" w:eastAsia="等线"/>
      <w:sz w:val="22"/>
      <w:lang w:val="en-US" w:eastAsia="zh-CN" w:bidi="ar-SA"/>
    </w:rPr>
  </w:style>
  <w:style w:type="paragraph" w:styleId="1394" w:customStyle="1">
    <w:name w:val="无间隔2"/>
    <w:link w:val="1393"/>
    <w:uiPriority w:val="1"/>
    <w:qFormat/>
    <w:rPr>
      <w:rFonts w:ascii="等线" w:hAnsi="等线" w:eastAsia="等线"/>
      <w:sz w:val="22"/>
    </w:rPr>
  </w:style>
  <w:style w:type="character" w:styleId="1395" w:customStyle="1">
    <w:name w:val="无间隔 字符1"/>
    <w:uiPriority w:val="1"/>
    <w:qFormat/>
    <w:rPr>
      <w:rFonts w:ascii="宋体" w:hAnsi="宋体"/>
      <w:color w:val="000000"/>
      <w:sz w:val="24"/>
      <w:szCs w:val="24"/>
    </w:rPr>
  </w:style>
  <w:style w:type="character" w:styleId="1396" w:customStyle="1">
    <w:name w:val="未处理的提及1"/>
    <w:uiPriority w:val="99"/>
    <w:unhideWhenUsed/>
    <w:qFormat/>
    <w:rPr>
      <w:color w:val="605e5c"/>
      <w:shd w:val="clear" w:color="auto" w:fill="e1dfdd"/>
    </w:rPr>
  </w:style>
  <w:style w:type="character" w:styleId="1397" w:customStyle="1">
    <w:name w:val="列出段落 Char"/>
    <w:qFormat/>
    <w:rPr>
      <w:rFonts w:eastAsia="仿宋"/>
      <w:sz w:val="28"/>
    </w:rPr>
  </w:style>
  <w:style w:type="character" w:styleId="1398" w:customStyle="1">
    <w:name w:val="未处理的提及11"/>
    <w:uiPriority w:val="99"/>
    <w:unhideWhenUsed/>
    <w:qFormat/>
    <w:rPr>
      <w:color w:val="605e5c"/>
      <w:shd w:val="clear" w:color="auto" w:fill="e1dfdd"/>
    </w:rPr>
  </w:style>
  <w:style w:type="character" w:styleId="1399" w:customStyle="1">
    <w:name w:val="GP正文(首行缩进) Char"/>
    <w:link w:val="1297"/>
    <w:qFormat/>
    <w:rPr>
      <w:sz w:val="21"/>
      <w:szCs w:val="24"/>
    </w:rPr>
  </w:style>
  <w:style w:type="character" w:styleId="1400" w:customStyle="1">
    <w:name w:val="未处理的提及2"/>
    <w:uiPriority w:val="99"/>
    <w:unhideWhenUsed/>
    <w:qFormat/>
    <w:rPr>
      <w:color w:val="605e5c"/>
      <w:shd w:val="clear" w:color="auto" w:fill="e1dfdd"/>
    </w:rPr>
  </w:style>
  <w:style w:type="character" w:styleId="1401" w:customStyle="1">
    <w:name w:val="*正文 Char"/>
    <w:link w:val="1402"/>
    <w:qFormat/>
    <w:rPr>
      <w:rFonts w:ascii="宋体" w:hAnsi="宋体"/>
      <w:sz w:val="22"/>
      <w:szCs w:val="24"/>
    </w:rPr>
  </w:style>
  <w:style w:type="paragraph" w:styleId="1402" w:customStyle="1">
    <w:name w:val="*正文"/>
    <w:basedOn w:val="994"/>
    <w:next w:val="1030"/>
    <w:link w:val="1401"/>
    <w:uiPriority w:val="99"/>
    <w:qFormat/>
    <w:pPr>
      <w:ind w:firstLine="200"/>
      <w:spacing w:line="360" w:lineRule="auto"/>
    </w:pPr>
    <w:rPr>
      <w:rFonts w:ascii="宋体" w:hAnsi="宋体"/>
      <w:sz w:val="22"/>
      <w:szCs w:val="24"/>
    </w:rPr>
  </w:style>
  <w:style w:type="character" w:styleId="1403" w:customStyle="1">
    <w:name w:val="列出段落 字符"/>
    <w:link w:val="1404"/>
    <w:uiPriority w:val="34"/>
    <w:qFormat/>
    <w:rPr>
      <w:sz w:val="24"/>
    </w:rPr>
  </w:style>
  <w:style w:type="paragraph" w:styleId="1404" w:customStyle="1">
    <w:name w:val="列表段落1"/>
    <w:basedOn w:val="994"/>
    <w:link w:val="1403"/>
    <w:qFormat/>
    <w:pPr>
      <w:ind w:firstLine="420"/>
      <w:spacing w:line="360" w:lineRule="auto"/>
    </w:pPr>
    <w:rPr>
      <w:sz w:val="24"/>
    </w:rPr>
  </w:style>
  <w:style w:type="character" w:styleId="1405" w:customStyle="1">
    <w:name w:val="5级标题 Char"/>
    <w:link w:val="1406"/>
    <w:qFormat/>
    <w:rPr>
      <w:b/>
      <w:sz w:val="22"/>
      <w:lang w:val="zh-CN"/>
    </w:rPr>
  </w:style>
  <w:style w:type="paragraph" w:styleId="1406" w:customStyle="1">
    <w:name w:val="5级标题"/>
    <w:basedOn w:val="1391"/>
    <w:link w:val="1405"/>
    <w:qFormat/>
    <w:pPr>
      <w:tabs>
        <w:tab w:val="left" w:pos="312" w:leader="none"/>
      </w:tabs>
    </w:pPr>
    <w:rPr>
      <w:rFonts w:ascii="Times New Roman" w:hAnsi="Times New Roman"/>
      <w:b/>
      <w:sz w:val="22"/>
      <w:szCs w:val="20"/>
      <w:lang w:val="zh-CN"/>
    </w:rPr>
  </w:style>
  <w:style w:type="paragraph" w:styleId="1407" w:customStyle="1">
    <w:name w:val="无间隔1"/>
    <w:basedOn w:val="994"/>
    <w:link w:val="1457"/>
    <w:uiPriority w:val="1"/>
    <w:qFormat/>
    <w:pPr>
      <w:ind w:firstLine="200"/>
      <w:jc w:val="left"/>
      <w:spacing w:line="360" w:lineRule="auto"/>
      <w:widowControl/>
    </w:pPr>
    <w:rPr>
      <w:rFonts w:ascii="Calibri" w:hAnsi="Calibri"/>
      <w:sz w:val="22"/>
      <w:szCs w:val="22"/>
    </w:rPr>
  </w:style>
  <w:style w:type="character" w:styleId="1408" w:customStyle="1">
    <w:name w:val="批注主题 字符"/>
    <w:basedOn w:val="1358"/>
    <w:link w:val="1058"/>
    <w:uiPriority w:val="99"/>
    <w:qFormat/>
    <w:rPr>
      <w:rFonts w:ascii="Calibri" w:hAnsi="Calibri" w:eastAsia="宋体" w:cs="Times New Roman"/>
      <w:b/>
      <w:bCs/>
      <w:sz w:val="21"/>
      <w:szCs w:val="22"/>
    </w:rPr>
  </w:style>
  <w:style w:type="character" w:styleId="1409" w:customStyle="1">
    <w:name w:val="HTML 预设格式 Char1"/>
    <w:basedOn w:val="1004"/>
    <w:uiPriority w:val="99"/>
    <w:semiHidden/>
    <w:qFormat/>
    <w:rPr>
      <w:rFonts w:ascii="Courier New" w:hAnsi="Courier New" w:eastAsia="等线" w:cs="Courier New"/>
      <w:sz w:val="20"/>
      <w:szCs w:val="20"/>
    </w:rPr>
  </w:style>
  <w:style w:type="paragraph" w:styleId="1410" w:customStyle="1">
    <w:name w:val="四级条标题"/>
    <w:basedOn w:val="1411"/>
    <w:next w:val="994"/>
    <w:qFormat/>
    <w:pPr>
      <w:outlineLvl w:val="5"/>
    </w:pPr>
  </w:style>
  <w:style w:type="paragraph" w:styleId="1411" w:customStyle="1">
    <w:name w:val="三级条标题"/>
    <w:basedOn w:val="1412"/>
    <w:next w:val="994"/>
    <w:qFormat/>
    <w:pPr>
      <w:outlineLvl w:val="4"/>
    </w:pPr>
  </w:style>
  <w:style w:type="paragraph" w:styleId="1412" w:customStyle="1">
    <w:name w:val="二级条标题"/>
    <w:basedOn w:val="994"/>
    <w:next w:val="994"/>
    <w:qFormat/>
    <w:pPr>
      <w:ind w:firstLine="200"/>
      <w:jc w:val="left"/>
      <w:spacing w:line="360" w:lineRule="auto"/>
      <w:widowControl/>
      <w:outlineLvl w:val="3"/>
    </w:pPr>
    <w:rPr>
      <w:rFonts w:eastAsia="黑体"/>
    </w:rPr>
  </w:style>
  <w:style w:type="paragraph" w:styleId="1413" w:customStyle="1">
    <w:name w:val="表格表头"/>
    <w:basedOn w:val="994"/>
    <w:qFormat/>
    <w:pPr>
      <w:ind w:firstLine="200"/>
      <w:jc w:val="center"/>
      <w:spacing w:line="360" w:lineRule="auto"/>
      <w:outlineLvl w:val="0"/>
    </w:pPr>
    <w:rPr>
      <w:rFonts w:ascii="宋体" w:hAnsi="宋体" w:eastAsia="黑体" w:cs="宋体"/>
      <w:sz w:val="24"/>
      <w:szCs w:val="21"/>
    </w:rPr>
  </w:style>
  <w:style w:type="paragraph" w:styleId="1414" w:customStyle="1">
    <w:name w:val="列表段落11"/>
    <w:basedOn w:val="994"/>
    <w:uiPriority w:val="34"/>
    <w:qFormat/>
    <w:pPr>
      <w:ind w:firstLine="420"/>
      <w:spacing w:line="360" w:lineRule="auto"/>
    </w:pPr>
    <w:rPr>
      <w:rFonts w:ascii="等线" w:hAnsi="等线" w:eastAsia="等线"/>
      <w:sz w:val="24"/>
      <w:szCs w:val="22"/>
    </w:rPr>
  </w:style>
  <w:style w:type="paragraph" w:styleId="1415" w:customStyle="1">
    <w:name w:val="4级标题"/>
    <w:basedOn w:val="1391"/>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416" w:customStyle="1">
    <w:name w:val="标题8"/>
    <w:basedOn w:val="1002"/>
    <w:next w:val="994"/>
    <w:qFormat/>
    <w:pPr>
      <w:ind w:left="432" w:hanging="432"/>
      <w:spacing w:line="360" w:lineRule="auto"/>
    </w:pPr>
    <w:rPr>
      <w:spacing w:val="0"/>
      <w:sz w:val="21"/>
      <w:szCs w:val="20"/>
    </w:rPr>
  </w:style>
  <w:style w:type="paragraph" w:styleId="1417" w:customStyle="1">
    <w:name w:val="示例"/>
    <w:next w:val="994"/>
    <w:qFormat/>
    <w:pPr>
      <w:jc w:val="both"/>
      <w:widowControl w:val="off"/>
    </w:pPr>
    <w:rPr>
      <w:rFonts w:ascii="宋体"/>
      <w:sz w:val="18"/>
      <w:szCs w:val="18"/>
    </w:rPr>
  </w:style>
  <w:style w:type="paragraph" w:styleId="1418" w:customStyle="1">
    <w:name w:val="msonormal"/>
    <w:basedOn w:val="994"/>
    <w:qFormat/>
    <w:pPr>
      <w:jc w:val="left"/>
      <w:spacing w:before="100" w:beforeAutospacing="1" w:after="100" w:afterAutospacing="1"/>
      <w:widowControl/>
    </w:pPr>
    <w:rPr>
      <w:rFonts w:ascii="宋体" w:hAnsi="宋体" w:cs="宋体"/>
      <w:sz w:val="24"/>
      <w:szCs w:val="24"/>
    </w:rPr>
  </w:style>
  <w:style w:type="paragraph" w:styleId="1419" w:customStyle="1">
    <w:name w:val="表格格式-yisa"/>
    <w:basedOn w:val="994"/>
    <w:qFormat/>
    <w:rPr>
      <w:rFonts w:ascii="宋体" w:hAnsi="宋体" w:cs="黑体"/>
      <w:szCs w:val="21"/>
    </w:rPr>
  </w:style>
  <w:style w:type="paragraph" w:styleId="1420" w:customStyle="1">
    <w:name w:val="列出段落3"/>
    <w:basedOn w:val="994"/>
    <w:qFormat/>
    <w:pPr>
      <w:ind w:firstLine="420"/>
      <w:spacing w:line="360" w:lineRule="auto"/>
    </w:pPr>
    <w:rPr>
      <w:rFonts w:ascii="Arial" w:hAnsi="Arial"/>
      <w:sz w:val="24"/>
    </w:rPr>
  </w:style>
  <w:style w:type="paragraph" w:styleId="1421" w:customStyle="1">
    <w:name w:val="五级条标题"/>
    <w:basedOn w:val="1410"/>
    <w:next w:val="994"/>
    <w:qFormat/>
    <w:pPr>
      <w:outlineLvl w:val="6"/>
    </w:pPr>
  </w:style>
  <w:style w:type="paragraph" w:styleId="1422" w:customStyle="1">
    <w:name w:val="·ûºÅÁÐ±í"/>
    <w:basedOn w:val="994"/>
    <w:next w:val="1318"/>
    <w:uiPriority w:val="34"/>
    <w:qFormat/>
    <w:pPr>
      <w:ind w:firstLine="420"/>
      <w:spacing w:line="360" w:lineRule="auto"/>
    </w:pPr>
    <w:rPr>
      <w:rFonts w:ascii="Calibri" w:hAnsi="Calibri"/>
      <w:sz w:val="24"/>
      <w:szCs w:val="22"/>
    </w:rPr>
  </w:style>
  <w:style w:type="paragraph" w:styleId="1423" w:customStyle="1">
    <w:name w:val="TOC 标题11"/>
    <w:basedOn w:val="995"/>
    <w:next w:val="994"/>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424" w:customStyle="1">
    <w:name w:val="表1"/>
    <w:basedOn w:val="994"/>
    <w:qFormat/>
    <w:pPr>
      <w:ind w:left="110" w:firstLine="200"/>
      <w:jc w:val="center"/>
      <w:spacing w:line="360" w:lineRule="auto"/>
    </w:pPr>
    <w:rPr>
      <w:rFonts w:ascii="Arial" w:hAnsi="Arial" w:cs="宋体"/>
    </w:rPr>
  </w:style>
  <w:style w:type="paragraph" w:styleId="1425" w:customStyle="1">
    <w:name w:val="TOC 标题2"/>
    <w:basedOn w:val="995"/>
    <w:next w:val="994"/>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426" w:customStyle="1">
    <w:name w:val="2级标题"/>
    <w:basedOn w:val="1391"/>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427" w:customStyle="1">
    <w:name w:val="1级标题"/>
    <w:basedOn w:val="1391"/>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428" w:customStyle="1">
    <w:name w:val="font01"/>
    <w:qFormat/>
    <w:rPr>
      <w:rFonts w:hint="eastAsia" w:ascii="宋体" w:hAnsi="宋体" w:eastAsia="宋体" w:cs="宋体"/>
      <w:color w:val="000000"/>
      <w:sz w:val="20"/>
      <w:szCs w:val="20"/>
      <w:u w:val="none"/>
    </w:rPr>
  </w:style>
  <w:style w:type="paragraph" w:styleId="1429" w:customStyle="1">
    <w:name w:val="普通正文"/>
    <w:basedOn w:val="994"/>
    <w:qFormat/>
    <w:pPr>
      <w:ind w:firstLine="480"/>
      <w:jc w:val="left"/>
      <w:spacing w:before="120" w:after="120" w:line="360" w:lineRule="auto"/>
    </w:pPr>
    <w:rPr>
      <w:rFonts w:ascii="Arial" w:hAnsi="Arial"/>
      <w:sz w:val="24"/>
      <w:szCs w:val="24"/>
    </w:rPr>
  </w:style>
  <w:style w:type="character" w:styleId="1430" w:customStyle="1">
    <w:name w:val="正文文本首行缩进 2 字符"/>
    <w:basedOn w:val="1156"/>
    <w:link w:val="1060"/>
    <w:qFormat/>
    <w:rPr>
      <w:rFonts w:eastAsia="宋体"/>
      <w:sz w:val="21"/>
      <w:szCs w:val="24"/>
      <w:lang w:val="en-US" w:eastAsia="zh-CN" w:bidi="ar-SA"/>
    </w:rPr>
  </w:style>
  <w:style w:type="character" w:styleId="1431" w:customStyle="1">
    <w:name w:val="纯文本 Char1"/>
    <w:qFormat/>
    <w:rPr>
      <w:rFonts w:ascii="宋体" w:hAnsi="Courier New"/>
      <w:sz w:val="24"/>
      <w:szCs w:val="24"/>
    </w:rPr>
  </w:style>
  <w:style w:type="character" w:styleId="1432" w:customStyle="1">
    <w:name w:val="省厅标题3 Char"/>
    <w:link w:val="1433"/>
    <w:qFormat/>
    <w:rPr>
      <w:rFonts w:eastAsia="仿宋_GB2312"/>
      <w:sz w:val="32"/>
      <w:szCs w:val="32"/>
    </w:rPr>
  </w:style>
  <w:style w:type="paragraph" w:styleId="1433" w:customStyle="1">
    <w:name w:val="省厅标题3"/>
    <w:basedOn w:val="994"/>
    <w:link w:val="1432"/>
    <w:qFormat/>
    <w:pPr>
      <w:ind w:firstLine="640"/>
      <w:spacing w:line="336" w:lineRule="auto"/>
      <w:outlineLvl w:val="2"/>
    </w:pPr>
    <w:rPr>
      <w:rFonts w:eastAsia="仿宋_GB2312"/>
      <w:sz w:val="32"/>
      <w:szCs w:val="32"/>
    </w:rPr>
  </w:style>
  <w:style w:type="character" w:styleId="1434" w:customStyle="1">
    <w:name w:val="正文四号 Char"/>
    <w:link w:val="1435"/>
    <w:qFormat/>
    <w:rPr>
      <w:rFonts w:ascii="Verdana" w:hAnsi="Verdana"/>
      <w:sz w:val="28"/>
    </w:rPr>
  </w:style>
  <w:style w:type="paragraph" w:styleId="1435" w:customStyle="1">
    <w:name w:val="正文四号"/>
    <w:basedOn w:val="994"/>
    <w:link w:val="1434"/>
    <w:qFormat/>
    <w:pPr>
      <w:ind w:firstLine="200"/>
      <w:spacing w:line="360" w:lineRule="auto"/>
    </w:pPr>
    <w:rPr>
      <w:rFonts w:ascii="Verdana" w:hAnsi="Verdana"/>
      <w:sz w:val="28"/>
    </w:rPr>
  </w:style>
  <w:style w:type="character" w:styleId="1436" w:customStyle="1">
    <w:name w:val="Char Char5"/>
    <w:qFormat/>
    <w:rPr>
      <w:rFonts w:ascii="Times New Roman" w:hAnsi="Times New Roman" w:eastAsia="宋体" w:cs="Times New Roman"/>
      <w:b/>
      <w:bCs/>
      <w:sz w:val="44"/>
      <w:szCs w:val="44"/>
    </w:rPr>
  </w:style>
  <w:style w:type="character" w:styleId="1437" w:customStyle="1">
    <w:name w:val="省厅正文 Char"/>
    <w:link w:val="1438"/>
    <w:qFormat/>
    <w:rPr>
      <w:rFonts w:eastAsia="仿宋_GB2312"/>
      <w:sz w:val="32"/>
      <w:szCs w:val="32"/>
    </w:rPr>
  </w:style>
  <w:style w:type="paragraph" w:styleId="1438" w:customStyle="1">
    <w:name w:val="省厅正文"/>
    <w:basedOn w:val="994"/>
    <w:link w:val="1437"/>
    <w:qFormat/>
    <w:pPr>
      <w:ind w:firstLine="640"/>
      <w:spacing w:line="336" w:lineRule="auto"/>
    </w:pPr>
    <w:rPr>
      <w:rFonts w:eastAsia="仿宋_GB2312"/>
      <w:sz w:val="32"/>
      <w:szCs w:val="32"/>
    </w:rPr>
  </w:style>
  <w:style w:type="character" w:styleId="1439" w:customStyle="1">
    <w:name w:val="不明显强调1"/>
    <w:uiPriority w:val="19"/>
    <w:qFormat/>
    <w:rPr>
      <w:i/>
      <w:iCs/>
      <w:color w:val="808080"/>
    </w:rPr>
  </w:style>
  <w:style w:type="character" w:styleId="1440" w:customStyle="1">
    <w:name w:val="bjh-p"/>
    <w:qFormat/>
  </w:style>
  <w:style w:type="character" w:styleId="1441" w:customStyle="1">
    <w:name w:val="正文（标记） Char"/>
    <w:link w:val="1442"/>
    <w:qFormat/>
    <w:rPr>
      <w:sz w:val="24"/>
      <w:szCs w:val="24"/>
    </w:rPr>
  </w:style>
  <w:style w:type="paragraph" w:styleId="1442" w:customStyle="1">
    <w:name w:val="正文（标记）"/>
    <w:basedOn w:val="994"/>
    <w:link w:val="1441"/>
    <w:qFormat/>
    <w:pPr>
      <w:ind w:left="704" w:hanging="420"/>
      <w:tabs>
        <w:tab w:val="left" w:pos="704" w:leader="none"/>
      </w:tabs>
    </w:pPr>
    <w:rPr>
      <w:sz w:val="24"/>
      <w:szCs w:val="24"/>
    </w:rPr>
  </w:style>
  <w:style w:type="character" w:styleId="1443" w:customStyle="1">
    <w:name w:val="引用 Char"/>
    <w:link w:val="1444"/>
    <w:uiPriority w:val="29"/>
    <w:qFormat/>
    <w:rPr>
      <w:i/>
      <w:iCs/>
      <w:color w:val="000000"/>
      <w:sz w:val="21"/>
      <w:szCs w:val="24"/>
    </w:rPr>
  </w:style>
  <w:style w:type="paragraph" w:styleId="1444" w:customStyle="1">
    <w:name w:val="引用1"/>
    <w:basedOn w:val="994"/>
    <w:next w:val="994"/>
    <w:link w:val="1443"/>
    <w:uiPriority w:val="29"/>
    <w:qFormat/>
    <w:rPr>
      <w:i/>
      <w:iCs/>
      <w:color w:val="000000"/>
      <w:szCs w:val="24"/>
    </w:rPr>
  </w:style>
  <w:style w:type="character" w:styleId="1445" w:customStyle="1">
    <w:name w:val="*我是正文的格式 字符"/>
    <w:link w:val="1446"/>
    <w:qFormat/>
    <w:rPr>
      <w:rFonts w:ascii="Arial" w:hAnsi="Arial"/>
      <w:sz w:val="24"/>
    </w:rPr>
  </w:style>
  <w:style w:type="paragraph" w:styleId="1446" w:customStyle="1">
    <w:name w:val="*我是正文的格式"/>
    <w:basedOn w:val="994"/>
    <w:next w:val="1015"/>
    <w:link w:val="1445"/>
    <w:qFormat/>
    <w:pPr>
      <w:ind w:firstLine="560"/>
      <w:spacing w:line="360" w:lineRule="auto"/>
    </w:pPr>
    <w:rPr>
      <w:rFonts w:ascii="Arial" w:hAnsi="Arial"/>
      <w:sz w:val="24"/>
    </w:rPr>
  </w:style>
  <w:style w:type="character" w:styleId="1447" w:customStyle="1">
    <w:name w:val="font51"/>
    <w:qFormat/>
    <w:rPr>
      <w:rFonts w:hint="eastAsia" w:ascii="宋体" w:hAnsi="宋体" w:eastAsia="宋体" w:cs="宋体"/>
      <w:color w:val="000000"/>
      <w:sz w:val="22"/>
      <w:szCs w:val="22"/>
      <w:u w:val="none"/>
    </w:rPr>
  </w:style>
  <w:style w:type="character" w:styleId="1448" w:customStyle="1">
    <w:name w:val="明显强调1"/>
    <w:uiPriority w:val="21"/>
    <w:qFormat/>
    <w:rPr>
      <w:b/>
      <w:bCs/>
      <w:i/>
      <w:iCs/>
      <w:color w:val="4f81bd"/>
    </w:rPr>
  </w:style>
  <w:style w:type="character" w:styleId="1449" w:customStyle="1">
    <w:name w:val="题注 Char1"/>
    <w:qFormat/>
    <w:rPr>
      <w:rFonts w:ascii="Arial Unicode MS" w:hAnsi="Arial Unicode MS" w:eastAsia="宋体" w:cs="宋体"/>
      <w:szCs w:val="20"/>
      <w:lang w:val="en-US" w:eastAsia="zh-CN"/>
    </w:rPr>
  </w:style>
  <w:style w:type="character" w:styleId="1450" w:customStyle="1">
    <w:name w:val="正文首行缩进 Char1"/>
    <w:uiPriority w:val="99"/>
    <w:semiHidden/>
    <w:qFormat/>
    <w:rPr>
      <w:rFonts w:ascii="Times New Roman" w:hAnsi="Times New Roman" w:eastAsia="宋体" w:cs="Times New Roman"/>
      <w:sz w:val="28"/>
      <w:szCs w:val="24"/>
      <w:lang w:val="en-US" w:eastAsia="zh-CN" w:bidi="ar-SA"/>
    </w:rPr>
  </w:style>
  <w:style w:type="character" w:styleId="1451" w:customStyle="1">
    <w:name w:val="标题 1 Char1"/>
    <w:uiPriority w:val="9"/>
    <w:qFormat/>
    <w:rPr>
      <w:b/>
      <w:bCs/>
      <w:sz w:val="44"/>
      <w:szCs w:val="44"/>
    </w:rPr>
  </w:style>
  <w:style w:type="character" w:styleId="1452" w:customStyle="1">
    <w:name w:val="正文（缩进） Char"/>
    <w:link w:val="1453"/>
    <w:qFormat/>
    <w:rPr>
      <w:sz w:val="24"/>
    </w:rPr>
  </w:style>
  <w:style w:type="paragraph" w:styleId="1453" w:customStyle="1">
    <w:name w:val="正文（缩进）"/>
    <w:basedOn w:val="994"/>
    <w:link w:val="1452"/>
    <w:qFormat/>
    <w:pPr>
      <w:ind w:firstLine="480"/>
      <w:spacing w:line="360" w:lineRule="auto"/>
      <w:widowControl/>
    </w:pPr>
    <w:rPr>
      <w:sz w:val="24"/>
    </w:rPr>
  </w:style>
  <w:style w:type="character" w:styleId="1454" w:customStyle="1">
    <w:name w:val="font41"/>
    <w:qFormat/>
    <w:rPr>
      <w:rFonts w:hint="eastAsia" w:ascii="宋体" w:hAnsi="宋体" w:eastAsia="宋体" w:cs="宋体"/>
      <w:color w:val="000000"/>
      <w:sz w:val="20"/>
      <w:szCs w:val="20"/>
      <w:u w:val="none"/>
    </w:rPr>
  </w:style>
  <w:style w:type="character" w:styleId="1455" w:customStyle="1">
    <w:name w:val="H4 Char3"/>
    <w:qFormat/>
    <w:rPr>
      <w:rFonts w:ascii="Arial" w:hAnsi="Arial" w:eastAsia="黑体"/>
      <w:b/>
      <w:bCs/>
      <w:color w:val="0000ff"/>
      <w:sz w:val="28"/>
      <w:szCs w:val="28"/>
      <w:lang w:val="en-US" w:eastAsia="zh-CN" w:bidi="ar-SA"/>
    </w:rPr>
  </w:style>
  <w:style w:type="character" w:styleId="1456" w:customStyle="1">
    <w:name w:val="标题 2 Char1"/>
    <w:uiPriority w:val="9"/>
    <w:semiHidden/>
    <w:qFormat/>
    <w:rPr>
      <w:rFonts w:ascii="Cambria" w:hAnsi="Cambria" w:eastAsia="宋体" w:cs="Times New Roman"/>
      <w:b/>
      <w:bCs/>
      <w:sz w:val="32"/>
      <w:szCs w:val="32"/>
    </w:rPr>
  </w:style>
  <w:style w:type="character" w:styleId="1457" w:customStyle="1">
    <w:name w:val="无间隔字符"/>
    <w:link w:val="1407"/>
    <w:uiPriority w:val="1"/>
    <w:qFormat/>
    <w:rPr>
      <w:rFonts w:ascii="Calibri" w:hAnsi="Calibri"/>
      <w:sz w:val="22"/>
      <w:szCs w:val="22"/>
    </w:rPr>
  </w:style>
  <w:style w:type="character" w:styleId="1458" w:customStyle="1">
    <w:name w:val="段落 Char1"/>
    <w:link w:val="1459"/>
    <w:qFormat/>
    <w:rPr>
      <w:rFonts w:eastAsia="仿宋_GB2312"/>
      <w:sz w:val="24"/>
      <w:szCs w:val="24"/>
    </w:rPr>
  </w:style>
  <w:style w:type="paragraph" w:styleId="1459" w:customStyle="1">
    <w:name w:val="段落"/>
    <w:link w:val="1458"/>
    <w:qFormat/>
    <w:pPr>
      <w:ind w:firstLine="540"/>
      <w:jc w:val="both"/>
      <w:spacing w:after="160" w:line="360" w:lineRule="auto"/>
    </w:pPr>
    <w:rPr>
      <w:rFonts w:eastAsia="仿宋_GB2312"/>
      <w:sz w:val="24"/>
      <w:szCs w:val="24"/>
    </w:rPr>
  </w:style>
  <w:style w:type="character" w:styleId="1460" w:customStyle="1">
    <w:name w:val="一级缩进 Char"/>
    <w:link w:val="1461"/>
    <w:qFormat/>
    <w:rPr>
      <w:rFonts w:eastAsia="仿宋_GB2312"/>
      <w:sz w:val="24"/>
      <w:szCs w:val="24"/>
    </w:rPr>
  </w:style>
  <w:style w:type="paragraph" w:styleId="1461" w:customStyle="1">
    <w:name w:val="一级缩进"/>
    <w:link w:val="1460"/>
    <w:qFormat/>
    <w:pPr>
      <w:ind w:left="1290" w:hanging="1290"/>
      <w:jc w:val="both"/>
      <w:spacing w:before="120" w:after="120" w:line="360" w:lineRule="auto"/>
      <w:tabs>
        <w:tab w:val="left" w:pos="1290" w:leader="none"/>
      </w:tabs>
    </w:pPr>
    <w:rPr>
      <w:rFonts w:eastAsia="仿宋_GB2312"/>
      <w:sz w:val="24"/>
      <w:szCs w:val="24"/>
    </w:rPr>
  </w:style>
  <w:style w:type="character" w:styleId="1462" w:customStyle="1">
    <w:name w:val="正文 + 宋体 Char"/>
    <w:link w:val="1463"/>
    <w:qFormat/>
    <w:rPr>
      <w:rFonts w:ascii="宋体" w:hAnsi="宋体"/>
      <w:b/>
      <w:sz w:val="24"/>
    </w:rPr>
  </w:style>
  <w:style w:type="paragraph" w:styleId="1463" w:customStyle="1">
    <w:name w:val="正文 + 宋体"/>
    <w:basedOn w:val="1034"/>
    <w:link w:val="1462"/>
    <w:qFormat/>
    <w:pPr>
      <w:spacing w:line="480" w:lineRule="exact"/>
    </w:pPr>
    <w:rPr>
      <w:rFonts w:ascii="宋体" w:hAnsi="宋体"/>
      <w:b/>
      <w:sz w:val="24"/>
    </w:rPr>
  </w:style>
  <w:style w:type="character" w:styleId="1464" w:customStyle="1">
    <w:name w:val="省厅标题1 Char"/>
    <w:link w:val="1465"/>
    <w:qFormat/>
    <w:rPr>
      <w:rFonts w:eastAsia="黑体"/>
      <w:sz w:val="32"/>
      <w:szCs w:val="32"/>
    </w:rPr>
  </w:style>
  <w:style w:type="paragraph" w:styleId="1465" w:customStyle="1">
    <w:name w:val="省厅标题1"/>
    <w:basedOn w:val="994"/>
    <w:link w:val="1464"/>
    <w:qFormat/>
    <w:pPr>
      <w:ind w:firstLine="640"/>
      <w:spacing w:line="336" w:lineRule="auto"/>
      <w:outlineLvl w:val="0"/>
    </w:pPr>
    <w:rPr>
      <w:rFonts w:eastAsia="黑体"/>
      <w:sz w:val="32"/>
      <w:szCs w:val="32"/>
    </w:rPr>
  </w:style>
  <w:style w:type="character" w:styleId="1466" w:customStyle="1">
    <w:name w:val="font11"/>
    <w:qFormat/>
    <w:rPr>
      <w:rFonts w:hint="eastAsia" w:ascii="宋体" w:hAnsi="宋体" w:eastAsia="宋体" w:cs="宋体"/>
      <w:color w:val="ff0000"/>
      <w:sz w:val="20"/>
      <w:szCs w:val="20"/>
      <w:u w:val="none"/>
    </w:rPr>
  </w:style>
  <w:style w:type="character" w:styleId="1467" w:customStyle="1">
    <w:name w:val="param_td12"/>
    <w:qFormat/>
  </w:style>
  <w:style w:type="character" w:styleId="1468" w:customStyle="1">
    <w:name w:val="书籍标题1"/>
    <w:uiPriority w:val="33"/>
    <w:qFormat/>
    <w:rPr>
      <w:b/>
      <w:bCs/>
      <w:smallCaps/>
      <w:spacing w:val="5"/>
    </w:rPr>
  </w:style>
  <w:style w:type="character" w:styleId="1469" w:customStyle="1">
    <w:name w:val="正文（编号） Char"/>
    <w:link w:val="1470"/>
    <w:qFormat/>
    <w:rPr>
      <w:rFonts w:ascii="Calibri" w:hAnsi="Calibri"/>
      <w:sz w:val="24"/>
      <w:szCs w:val="24"/>
    </w:rPr>
  </w:style>
  <w:style w:type="paragraph" w:styleId="1470" w:customStyle="1">
    <w:name w:val="正文（编号）"/>
    <w:basedOn w:val="994"/>
    <w:link w:val="1469"/>
    <w:qFormat/>
    <w:pPr>
      <w:ind w:left="1243"/>
      <w:spacing w:before="50" w:after="50"/>
      <w:tabs>
        <w:tab w:val="left" w:pos="786" w:leader="none"/>
      </w:tabs>
    </w:pPr>
    <w:rPr>
      <w:rFonts w:ascii="Calibri" w:hAnsi="Calibri"/>
      <w:sz w:val="24"/>
      <w:szCs w:val="24"/>
    </w:rPr>
  </w:style>
  <w:style w:type="character" w:styleId="1471" w:customStyle="1">
    <w:name w:val="超链接1"/>
    <w:uiPriority w:val="99"/>
    <w:unhideWhenUsed/>
    <w:qFormat/>
    <w:rPr>
      <w:color w:val="0000ff"/>
      <w:u w:val="single"/>
    </w:rPr>
  </w:style>
  <w:style w:type="character" w:styleId="1472" w:customStyle="1">
    <w:name w:val="编号，小四 Char"/>
    <w:link w:val="1302"/>
    <w:qFormat/>
    <w:rPr>
      <w:rFonts w:ascii="Arial" w:hAnsi="Arial" w:cs="宋体"/>
      <w:sz w:val="21"/>
    </w:rPr>
  </w:style>
  <w:style w:type="character" w:styleId="1473" w:customStyle="1">
    <w:name w:val="标题 字符"/>
    <w:uiPriority w:val="10"/>
    <w:qFormat/>
    <w:rPr>
      <w:rFonts w:ascii="Cambria" w:hAnsi="Cambria" w:eastAsia="宋体" w:cs="Times New Roman"/>
      <w:b/>
      <w:bCs/>
      <w:sz w:val="32"/>
      <w:szCs w:val="32"/>
    </w:rPr>
  </w:style>
  <w:style w:type="character" w:styleId="1474" w:customStyle="1">
    <w:name w:val="apple-style-span"/>
    <w:uiPriority w:val="99"/>
    <w:qFormat/>
    <w:rPr>
      <w:rFonts w:ascii="Times New Roman" w:hAnsi="Times New Roman" w:eastAsia="宋体"/>
    </w:rPr>
  </w:style>
  <w:style w:type="character" w:styleId="1475" w:customStyle="1">
    <w:name w:val="表内容 Char"/>
    <w:link w:val="1476"/>
    <w:uiPriority w:val="99"/>
    <w:qFormat/>
    <w:rPr>
      <w:rFonts w:eastAsia="仿宋"/>
      <w:sz w:val="24"/>
    </w:rPr>
  </w:style>
  <w:style w:type="paragraph" w:styleId="1476" w:customStyle="1">
    <w:name w:val="表内容"/>
    <w:basedOn w:val="994"/>
    <w:next w:val="994"/>
    <w:link w:val="1475"/>
    <w:uiPriority w:val="99"/>
    <w:qFormat/>
    <w:pPr>
      <w:jc w:val="left"/>
      <w:widowControl/>
    </w:pPr>
    <w:rPr>
      <w:rFonts w:eastAsia="仿宋"/>
      <w:sz w:val="24"/>
    </w:rPr>
  </w:style>
  <w:style w:type="character" w:styleId="1477" w:customStyle="1">
    <w:name w:val="Char1 Char1"/>
    <w:link w:val="1478"/>
    <w:qFormat/>
    <w:rPr>
      <w:sz w:val="24"/>
      <w:szCs w:val="24"/>
      <w:lang w:eastAsia="en-US"/>
    </w:rPr>
  </w:style>
  <w:style w:type="paragraph" w:styleId="1478" w:customStyle="1">
    <w:name w:val="Char12"/>
    <w:basedOn w:val="994"/>
    <w:link w:val="1477"/>
    <w:qFormat/>
    <w:pPr>
      <w:jc w:val="left"/>
      <w:spacing w:after="160" w:line="360" w:lineRule="auto"/>
      <w:widowControl/>
    </w:pPr>
    <w:rPr>
      <w:sz w:val="24"/>
      <w:szCs w:val="24"/>
      <w:lang w:eastAsia="en-US"/>
    </w:rPr>
  </w:style>
  <w:style w:type="character" w:styleId="1479" w:customStyle="1">
    <w:name w:val="font21"/>
    <w:qFormat/>
    <w:rPr>
      <w:rFonts w:hint="eastAsia" w:ascii="宋体" w:hAnsi="宋体" w:eastAsia="宋体" w:cs="宋体"/>
      <w:color w:val="ff0000"/>
      <w:sz w:val="20"/>
      <w:szCs w:val="20"/>
      <w:u w:val="none"/>
    </w:rPr>
  </w:style>
  <w:style w:type="character" w:styleId="1480" w:customStyle="1">
    <w:name w:val="段 Char"/>
    <w:link w:val="1315"/>
    <w:qFormat/>
    <w:rPr>
      <w:rFonts w:ascii="宋体"/>
      <w:sz w:val="21"/>
      <w:szCs w:val="22"/>
    </w:rPr>
  </w:style>
  <w:style w:type="paragraph" w:styleId="1481" w:customStyle="1">
    <w:name w:val="paragraphindent"/>
    <w:basedOn w:val="994"/>
    <w:qFormat/>
    <w:pPr>
      <w:jc w:val="left"/>
      <w:spacing w:before="100" w:beforeAutospacing="1" w:after="100" w:afterAutospacing="1"/>
      <w:widowControl/>
    </w:pPr>
    <w:rPr>
      <w:rFonts w:ascii="宋体" w:hAnsi="宋体" w:eastAsia="微软雅黑" w:cs="宋体"/>
      <w:sz w:val="24"/>
      <w:szCs w:val="24"/>
    </w:rPr>
  </w:style>
  <w:style w:type="paragraph" w:styleId="1482" w:customStyle="1">
    <w:name w:val="Char Char Char1"/>
    <w:basedOn w:val="994"/>
    <w:qFormat/>
    <w:rPr>
      <w:rFonts w:ascii="Tahoma" w:hAnsi="Tahoma" w:eastAsia="微软雅黑"/>
      <w:sz w:val="24"/>
    </w:rPr>
  </w:style>
  <w:style w:type="paragraph" w:styleId="1483" w:customStyle="1">
    <w:name w:val="a2"/>
    <w:basedOn w:val="994"/>
    <w:uiPriority w:val="99"/>
    <w:qFormat/>
    <w:pPr>
      <w:jc w:val="left"/>
      <w:spacing w:before="100" w:beforeAutospacing="1" w:after="100" w:afterAutospacing="1"/>
      <w:widowControl/>
    </w:pPr>
    <w:rPr>
      <w:rFonts w:ascii="宋体" w:hAnsi="宋体" w:eastAsia="微软雅黑" w:cs="宋体"/>
      <w:sz w:val="24"/>
      <w:szCs w:val="24"/>
    </w:rPr>
  </w:style>
  <w:style w:type="paragraph" w:styleId="1484" w:customStyle="1">
    <w:name w:val="列出段落11"/>
    <w:basedOn w:val="994"/>
    <w:uiPriority w:val="34"/>
    <w:qFormat/>
    <w:pPr>
      <w:ind w:firstLine="420"/>
    </w:pPr>
    <w:rPr>
      <w:rFonts w:ascii="Calibri" w:hAnsi="Calibri" w:eastAsia="微软雅黑"/>
      <w:szCs w:val="22"/>
    </w:rPr>
  </w:style>
  <w:style w:type="paragraph" w:styleId="1485" w:customStyle="1">
    <w:name w:val="一级条标题"/>
    <w:basedOn w:val="1486"/>
    <w:next w:val="1315"/>
    <w:qFormat/>
    <w:pPr>
      <w:ind w:left="315"/>
      <w:outlineLvl w:val="2"/>
    </w:pPr>
  </w:style>
  <w:style w:type="paragraph" w:styleId="1486" w:customStyle="1">
    <w:name w:val="章标题"/>
    <w:next w:val="1315"/>
    <w:qFormat/>
    <w:pPr>
      <w:jc w:val="both"/>
      <w:outlineLvl w:val="1"/>
    </w:pPr>
    <w:rPr>
      <w:rFonts w:ascii="黑体" w:eastAsia="黑体" w:cs="Calibri"/>
      <w:sz w:val="21"/>
    </w:rPr>
  </w:style>
  <w:style w:type="paragraph" w:styleId="1487" w:customStyle="1">
    <w:name w:val="Char2"/>
    <w:basedOn w:val="1007"/>
    <w:qFormat/>
    <w:pPr>
      <w:ind w:firstLine="480"/>
      <w:spacing w:before="100" w:beforeAutospacing="1" w:after="100" w:afterAutospacing="1" w:line="360" w:lineRule="auto"/>
    </w:pPr>
    <w:rPr>
      <w:rFonts w:ascii="Calibri" w:hAnsi="Calibri" w:eastAsia="微软雅黑"/>
      <w:sz w:val="24"/>
      <w:szCs w:val="24"/>
    </w:rPr>
  </w:style>
  <w:style w:type="paragraph" w:styleId="1488" w:customStyle="1">
    <w:name w:val="def正文"/>
    <w:basedOn w:val="994"/>
    <w:qFormat/>
    <w:pPr>
      <w:jc w:val="center"/>
      <w:widowControl/>
    </w:pPr>
    <w:rPr>
      <w:rFonts w:ascii="Calibri" w:hAnsi="Calibri" w:eastAsia="微软雅黑"/>
      <w:b/>
      <w:szCs w:val="21"/>
    </w:rPr>
  </w:style>
  <w:style w:type="paragraph" w:styleId="1489" w:customStyle="1">
    <w:name w:val="Char Char Char Char Char1"/>
    <w:basedOn w:val="994"/>
    <w:qFormat/>
    <w:rPr>
      <w:rFonts w:ascii="Calibri" w:hAnsi="Calibri" w:eastAsia="微软雅黑"/>
      <w:szCs w:val="24"/>
    </w:rPr>
  </w:style>
  <w:style w:type="paragraph" w:styleId="1490" w:customStyle="1">
    <w:name w:val="p15"/>
    <w:basedOn w:val="994"/>
    <w:qFormat/>
    <w:pPr>
      <w:ind w:left="420"/>
      <w:spacing w:line="360" w:lineRule="auto"/>
      <w:widowControl/>
    </w:pPr>
    <w:rPr>
      <w:rFonts w:ascii="Arial" w:hAnsi="Arial" w:eastAsia="微软雅黑" w:cs="Arial"/>
      <w:sz w:val="24"/>
      <w:szCs w:val="24"/>
    </w:rPr>
  </w:style>
  <w:style w:type="paragraph" w:styleId="1491" w:customStyle="1">
    <w:name w:val="Char Char Char Char Char Char1"/>
    <w:basedOn w:val="994"/>
    <w:qFormat/>
    <w:rPr>
      <w:rFonts w:ascii="Tahoma" w:hAnsi="Tahoma" w:eastAsia="微软雅黑"/>
      <w:sz w:val="24"/>
    </w:rPr>
  </w:style>
  <w:style w:type="paragraph" w:styleId="1492" w:customStyle="1">
    <w:name w:val="WPSOffice手动目录 3"/>
    <w:qFormat/>
    <w:pPr>
      <w:ind w:left="400"/>
    </w:pPr>
    <w:rPr>
      <w:sz w:val="21"/>
      <w:szCs w:val="22"/>
    </w:rPr>
  </w:style>
  <w:style w:type="paragraph" w:styleId="1493" w:customStyle="1">
    <w:name w:val="列表内容"/>
    <w:basedOn w:val="994"/>
    <w:next w:val="994"/>
    <w:uiPriority w:val="99"/>
    <w:qFormat/>
    <w:pPr>
      <w:numPr>
        <w:numId w:val="15"/>
      </w:numPr>
      <w:jc w:val="left"/>
      <w:widowControl/>
      <w:tabs>
        <w:tab w:val="left" w:pos="840" w:leader="none"/>
      </w:tabs>
    </w:pPr>
    <w:rPr>
      <w:rFonts w:ascii="Calibri" w:hAnsi="Calibri" w:eastAsia="微软雅黑"/>
      <w:sz w:val="18"/>
      <w:szCs w:val="24"/>
    </w:rPr>
  </w:style>
  <w:style w:type="paragraph" w:styleId="1494" w:customStyle="1">
    <w:name w:val="Item List"/>
    <w:qFormat/>
    <w:pPr>
      <w:numPr>
        <w:numId w:val="12"/>
      </w:numPr>
      <w:spacing w:before="80" w:after="80" w:line="240" w:lineRule="atLeast"/>
      <w:tabs>
        <w:tab w:val="left" w:pos="709" w:leader="none"/>
      </w:tabs>
    </w:pPr>
    <w:rPr>
      <w:sz w:val="21"/>
      <w:szCs w:val="21"/>
    </w:rPr>
  </w:style>
  <w:style w:type="paragraph" w:styleId="1495" w:customStyle="1">
    <w:name w:val="纯文本3"/>
    <w:basedOn w:val="994"/>
    <w:qFormat/>
    <w:rPr>
      <w:rFonts w:ascii="宋体" w:hAnsi="Calibri" w:eastAsia="微软雅黑"/>
      <w:sz w:val="28"/>
    </w:rPr>
  </w:style>
  <w:style w:type="paragraph" w:styleId="1496" w:customStyle="1">
    <w:name w:val="Char3 Char Char Char"/>
    <w:basedOn w:val="994"/>
    <w:qFormat/>
    <w:pPr>
      <w:jc w:val="left"/>
      <w:spacing w:after="160" w:line="240" w:lineRule="exact"/>
      <w:widowControl/>
    </w:pPr>
    <w:rPr>
      <w:rFonts w:ascii="Verdana" w:hAnsi="Verdana" w:eastAsia="微软雅黑"/>
      <w:sz w:val="20"/>
      <w:lang w:eastAsia="en-US"/>
    </w:rPr>
  </w:style>
  <w:style w:type="paragraph" w:styleId="1497" w:customStyle="1">
    <w:name w:val="编号1"/>
    <w:basedOn w:val="994"/>
    <w:qFormat/>
    <w:pPr>
      <w:spacing w:line="360" w:lineRule="auto"/>
    </w:pPr>
    <w:rPr>
      <w:rFonts w:ascii="Calibri" w:hAnsi="Calibri" w:eastAsia="微软雅黑"/>
      <w:sz w:val="24"/>
      <w:szCs w:val="24"/>
    </w:rPr>
  </w:style>
  <w:style w:type="paragraph" w:styleId="1498" w:customStyle="1">
    <w:name w:val="篇名"/>
    <w:next w:val="995"/>
    <w:qFormat/>
    <w:pPr>
      <w:jc w:val="center"/>
      <w:pageBreakBefore/>
      <w:spacing w:before="480" w:after="480"/>
    </w:pPr>
    <w:rPr>
      <w:rFonts w:eastAsia="黑体" w:cs="Calibri"/>
      <w:b/>
      <w:sz w:val="44"/>
      <w:szCs w:val="24"/>
    </w:rPr>
  </w:style>
  <w:style w:type="paragraph" w:styleId="1499" w:customStyle="1">
    <w:name w:val="Char Char1 Char Char Char Char Char Char Char Char Char Char Char Char Char Char Char Char Char1 Char"/>
    <w:basedOn w:val="994"/>
    <w:qFormat/>
    <w:pPr>
      <w:jc w:val="left"/>
      <w:spacing w:after="160" w:line="240" w:lineRule="exact"/>
      <w:widowControl/>
    </w:pPr>
    <w:rPr>
      <w:rFonts w:ascii="Verdana" w:hAnsi="Verdana" w:eastAsia="微软雅黑"/>
      <w:sz w:val="20"/>
      <w:lang w:eastAsia="en-US"/>
    </w:rPr>
  </w:style>
  <w:style w:type="paragraph" w:styleId="1500" w:customStyle="1">
    <w:name w:val="正文(首行缩进)"/>
    <w:basedOn w:val="994"/>
    <w:qFormat/>
    <w:pPr>
      <w:ind w:firstLine="200"/>
      <w:spacing w:line="360" w:lineRule="auto"/>
    </w:pPr>
    <w:rPr>
      <w:rFonts w:ascii="Arial Narrow" w:hAnsi="Arial Narrow" w:eastAsia="微软雅黑"/>
      <w:sz w:val="24"/>
      <w:szCs w:val="24"/>
    </w:rPr>
  </w:style>
  <w:style w:type="paragraph" w:styleId="1501" w:customStyle="1">
    <w:name w:val="Char Char1 Char"/>
    <w:basedOn w:val="996"/>
    <w:next w:val="996"/>
    <w:qFormat/>
    <w:pPr>
      <w:ind w:firstLine="0"/>
      <w:spacing w:before="260" w:after="260" w:line="416" w:lineRule="auto"/>
    </w:pPr>
    <w:rPr>
      <w:rFonts w:ascii="宋体" w:hAnsi="宋体" w:eastAsia="宋体"/>
      <w:b/>
      <w:sz w:val="24"/>
      <w:szCs w:val="24"/>
    </w:rPr>
  </w:style>
  <w:style w:type="paragraph" w:styleId="1502" w:customStyle="1">
    <w:name w:val="附录图标题"/>
    <w:next w:val="994"/>
    <w:qFormat/>
    <w:pPr>
      <w:jc w:val="center"/>
    </w:pPr>
    <w:rPr>
      <w:rFonts w:ascii="黑体" w:eastAsia="黑体" w:cs="Calibri"/>
      <w:sz w:val="21"/>
    </w:rPr>
  </w:style>
  <w:style w:type="paragraph" w:styleId="1503" w:customStyle="1">
    <w:name w:val="正文 B"/>
    <w:qFormat/>
    <w:rPr>
      <w:rFonts w:ascii="Arial Unicode MS" w:hAnsi="Arial Unicode MS" w:eastAsia="Helvetica" w:cs="Arial Unicode MS"/>
      <w:color w:val="000000"/>
      <w:sz w:val="22"/>
      <w:szCs w:val="22"/>
      <w:lang w:val="ja-JP" w:eastAsia="ja-JP"/>
    </w:rPr>
  </w:style>
  <w:style w:type="paragraph" w:styleId="1504" w:customStyle="1">
    <w:name w:val="文档正文"/>
    <w:basedOn w:val="994"/>
    <w:qFormat/>
    <w:pPr>
      <w:ind w:firstLine="567"/>
      <w:spacing w:line="312" w:lineRule="atLeast"/>
    </w:pPr>
    <w:rPr>
      <w:rFonts w:ascii="长城仿宋" w:hAnsi="Calibri" w:eastAsia="长城仿宋"/>
      <w:sz w:val="28"/>
    </w:rPr>
  </w:style>
  <w:style w:type="paragraph" w:styleId="1505" w:customStyle="1">
    <w:name w:val="WPSOffice手动目录 1"/>
    <w:qFormat/>
    <w:rPr>
      <w:sz w:val="21"/>
      <w:szCs w:val="22"/>
    </w:rPr>
  </w:style>
  <w:style w:type="paragraph" w:styleId="1506" w:customStyle="1">
    <w:name w:val="慧尔视正文"/>
    <w:basedOn w:val="994"/>
    <w:qFormat/>
    <w:pPr>
      <w:ind w:firstLine="480"/>
    </w:pPr>
    <w:rPr>
      <w:rFonts w:ascii="宋体" w:hAnsi="Calibri" w:eastAsia="微软雅黑"/>
      <w:szCs w:val="24"/>
    </w:rPr>
  </w:style>
  <w:style w:type="paragraph" w:styleId="1507" w:customStyle="1">
    <w:name w:val="样式 EHL二级项目 + 段前: 0.5 行 段后: 0.5 行"/>
    <w:basedOn w:val="994"/>
    <w:qFormat/>
    <w:pPr>
      <w:numPr>
        <w:numId w:val="16"/>
      </w:numPr>
      <w:spacing w:line="360" w:lineRule="auto"/>
      <w:tabs>
        <w:tab w:val="left" w:pos="1446" w:leader="none"/>
      </w:tabs>
    </w:pPr>
    <w:rPr>
      <w:rFonts w:ascii="Calibri" w:hAnsi="Calibri" w:eastAsia="微软雅黑" w:cs="宋体"/>
      <w:b/>
      <w:sz w:val="24"/>
      <w:szCs w:val="24"/>
    </w:rPr>
  </w:style>
  <w:style w:type="paragraph" w:styleId="1508" w:customStyle="1">
    <w:name w:val="xl113"/>
    <w:basedOn w:val="99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微软雅黑" w:cs="宋体"/>
      <w:b/>
      <w:bCs/>
      <w:sz w:val="28"/>
      <w:szCs w:val="28"/>
    </w:rPr>
  </w:style>
  <w:style w:type="paragraph" w:styleId="1509" w:customStyle="1">
    <w:name w:val="List Paragraph2"/>
    <w:basedOn w:val="994"/>
    <w:qFormat/>
    <w:pPr>
      <w:ind w:firstLine="420"/>
    </w:pPr>
    <w:rPr>
      <w:rFonts w:ascii="Calibri" w:hAnsi="Calibri" w:eastAsia="微软雅黑"/>
      <w:szCs w:val="24"/>
    </w:rPr>
  </w:style>
  <w:style w:type="paragraph" w:styleId="1510" w:customStyle="1">
    <w:name w:val="WPSOffice手动目录 2"/>
    <w:qFormat/>
    <w:pPr>
      <w:ind w:left="200"/>
    </w:pPr>
    <w:rPr>
      <w:sz w:val="21"/>
      <w:szCs w:val="22"/>
    </w:rPr>
  </w:style>
  <w:style w:type="paragraph" w:styleId="1511" w:customStyle="1">
    <w:name w:val="bg"/>
    <w:basedOn w:val="994"/>
    <w:qFormat/>
    <w:pPr>
      <w:jc w:val="center"/>
    </w:pPr>
    <w:rPr>
      <w:rFonts w:ascii="Calibri" w:hAnsi="Calibri" w:eastAsia="楷体_GB2312"/>
      <w:sz w:val="24"/>
    </w:rPr>
  </w:style>
  <w:style w:type="paragraph" w:styleId="1512" w:customStyle="1">
    <w:name w:val="前言、引言标题"/>
    <w:next w:val="994"/>
    <w:qFormat/>
    <w:pPr>
      <w:jc w:val="center"/>
      <w:spacing w:before="640" w:after="560"/>
      <w:shd w:val="clear" w:color="ffffff" w:fill="ffffff"/>
      <w:outlineLvl w:val="0"/>
    </w:pPr>
    <w:rPr>
      <w:rFonts w:ascii="黑体" w:eastAsia="黑体" w:cs="Calibri"/>
      <w:sz w:val="32"/>
    </w:rPr>
  </w:style>
  <w:style w:type="paragraph" w:styleId="1513" w:customStyle="1">
    <w:name w:val="样式 正文缩进表正文正文非缩进特点ALT+Z段1四号水上软件缩进正文编号正文对齐正文不缩进特点 Char...1"/>
    <w:basedOn w:val="1007"/>
    <w:qFormat/>
    <w:pPr>
      <w:ind w:left="1446" w:firstLine="200"/>
      <w:spacing w:before="156" w:after="156" w:line="360" w:lineRule="auto"/>
    </w:pPr>
    <w:rPr>
      <w:rFonts w:ascii="Calibri" w:hAnsi="Calibri" w:eastAsia="微软雅黑" w:cs="宋体"/>
      <w:sz w:val="24"/>
    </w:rPr>
  </w:style>
  <w:style w:type="paragraph" w:styleId="1514" w:customStyle="1">
    <w:name w:val="msolistparagraph"/>
    <w:basedOn w:val="994"/>
    <w:qFormat/>
    <w:pPr>
      <w:ind w:firstLine="420"/>
    </w:pPr>
    <w:rPr>
      <w:rFonts w:ascii="Calibri" w:hAnsi="Calibri" w:eastAsia="微软雅黑"/>
      <w:szCs w:val="24"/>
    </w:rPr>
  </w:style>
  <w:style w:type="paragraph" w:styleId="1515" w:customStyle="1">
    <w:name w:val="正文格式（小四）"/>
    <w:basedOn w:val="994"/>
    <w:qFormat/>
    <w:pPr>
      <w:ind w:firstLine="391"/>
      <w:spacing w:line="360" w:lineRule="auto"/>
      <w:widowControl/>
    </w:pPr>
    <w:rPr>
      <w:rFonts w:hint="eastAsia" w:ascii="Calibri" w:hAnsi="Calibri" w:eastAsia="微软雅黑"/>
      <w:sz w:val="24"/>
      <w:szCs w:val="24"/>
    </w:rPr>
  </w:style>
  <w:style w:type="paragraph" w:styleId="1516" w:customStyle="1">
    <w:name w:val="p0"/>
    <w:basedOn w:val="994"/>
    <w:qFormat/>
    <w:pPr>
      <w:jc w:val="left"/>
      <w:spacing w:line="360" w:lineRule="auto"/>
      <w:widowControl/>
    </w:pPr>
    <w:rPr>
      <w:rFonts w:ascii="Calibri" w:hAnsi="Calibri" w:eastAsia="微软雅黑"/>
      <w:sz w:val="24"/>
      <w:szCs w:val="24"/>
    </w:rPr>
  </w:style>
  <w:style w:type="paragraph" w:styleId="1517" w:customStyle="1">
    <w:name w:val="标准样式"/>
    <w:basedOn w:val="994"/>
    <w:qFormat/>
    <w:pPr>
      <w:ind w:firstLine="200"/>
    </w:pPr>
    <w:rPr>
      <w:rFonts w:ascii="Tahoma" w:hAnsi="Tahoma" w:eastAsia="微软雅黑"/>
      <w:sz w:val="24"/>
    </w:rPr>
  </w:style>
  <w:style w:type="paragraph" w:styleId="1518" w:customStyle="1">
    <w:name w:val="样式 样式 EHL编号 + 段前: 0.5 行 段后: 0.5 行 + 段前: 0.5 行 段后: 0.5 行"/>
    <w:basedOn w:val="994"/>
    <w:qFormat/>
    <w:pPr>
      <w:numPr>
        <w:numId w:val="17"/>
      </w:numPr>
      <w:spacing w:line="360" w:lineRule="auto"/>
      <w:tabs>
        <w:tab w:val="left" w:pos="964" w:leader="none"/>
      </w:tabs>
    </w:pPr>
    <w:rPr>
      <w:rFonts w:ascii="Calibri" w:hAnsi="Calibri" w:eastAsia="微软雅黑" w:cs="宋体"/>
      <w:b/>
      <w:bCs/>
      <w:sz w:val="24"/>
    </w:rPr>
  </w:style>
  <w:style w:type="paragraph" w:styleId="1519" w:customStyle="1">
    <w:name w:val="正文首缩两字"/>
    <w:basedOn w:val="994"/>
    <w:uiPriority w:val="99"/>
    <w:qFormat/>
    <w:pPr>
      <w:ind w:firstLine="200"/>
      <w:spacing w:line="360" w:lineRule="auto"/>
    </w:pPr>
    <w:rPr>
      <w:rFonts w:ascii="Calibri" w:hAnsi="Calibri" w:eastAsia="微软雅黑"/>
      <w:sz w:val="24"/>
      <w:szCs w:val="24"/>
    </w:rPr>
  </w:style>
  <w:style w:type="paragraph" w:styleId="1520" w:customStyle="1">
    <w:name w:val="首信标准正文"/>
    <w:basedOn w:val="994"/>
    <w:qFormat/>
    <w:pPr>
      <w:ind w:left="540"/>
      <w:jc w:val="left"/>
      <w:spacing w:after="200" w:line="360" w:lineRule="auto"/>
      <w:widowControl/>
    </w:pPr>
    <w:rPr>
      <w:rFonts w:ascii="仿宋_GB2312" w:hAnsi="Tahoma" w:eastAsia="仿宋_GB2312"/>
      <w:sz w:val="24"/>
    </w:rPr>
  </w:style>
  <w:style w:type="paragraph" w:styleId="1521" w:customStyle="1">
    <w:name w:val="sss"/>
    <w:basedOn w:val="994"/>
    <w:qFormat/>
    <w:pPr>
      <w:spacing w:line="240" w:lineRule="exact"/>
    </w:pPr>
    <w:rPr>
      <w:rFonts w:ascii="宋体" w:hAnsi="宋体" w:eastAsia="微软雅黑"/>
    </w:rPr>
  </w:style>
  <w:style w:type="paragraph" w:styleId="1522" w:customStyle="1">
    <w:name w:val="附录表标题"/>
    <w:next w:val="994"/>
    <w:qFormat/>
    <w:pPr>
      <w:jc w:val="center"/>
    </w:pPr>
    <w:rPr>
      <w:rFonts w:ascii="黑体" w:eastAsia="黑体" w:cs="Calibri"/>
      <w:sz w:val="21"/>
    </w:rPr>
  </w:style>
  <w:style w:type="paragraph" w:styleId="1523" w:customStyle="1">
    <w:name w:val="Char Char Char Char Char Char Char Char Char Char Char Char Char Char Char Char"/>
    <w:basedOn w:val="994"/>
    <w:qFormat/>
    <w:pPr>
      <w:tabs>
        <w:tab w:val="left" w:pos="360" w:leader="none"/>
      </w:tabs>
    </w:pPr>
    <w:rPr>
      <w:rFonts w:ascii="Calibri" w:hAnsi="Calibri" w:eastAsia="微软雅黑"/>
      <w:sz w:val="24"/>
      <w:szCs w:val="24"/>
    </w:rPr>
  </w:style>
  <w:style w:type="paragraph" w:styleId="1524" w:customStyle="1">
    <w:name w:val="L11"/>
    <w:basedOn w:val="994"/>
    <w:next w:val="994"/>
    <w:qFormat/>
    <w:pPr>
      <w:ind w:left="431" w:hanging="431"/>
      <w:keepLines/>
      <w:keepNext/>
      <w:spacing w:before="240" w:after="240" w:line="300" w:lineRule="auto"/>
      <w:outlineLvl w:val="0"/>
    </w:pPr>
    <w:rPr>
      <w:rFonts w:ascii="宋体" w:hAnsi="宋体" w:eastAsia="微软雅黑"/>
      <w:b/>
      <w:bCs/>
      <w:sz w:val="24"/>
      <w:szCs w:val="24"/>
    </w:rPr>
  </w:style>
  <w:style w:type="paragraph" w:styleId="1525" w:customStyle="1">
    <w:name w:val="点序列"/>
    <w:basedOn w:val="994"/>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526" w:customStyle="1">
    <w:name w:val="正文文字 + 首行缩进:  2 字符"/>
    <w:basedOn w:val="994"/>
    <w:qFormat/>
    <w:pPr>
      <w:ind w:firstLine="480"/>
      <w:spacing w:line="360" w:lineRule="auto"/>
    </w:pPr>
    <w:rPr>
      <w:rFonts w:ascii="Calibri" w:hAnsi="Calibri" w:eastAsia="微软雅黑" w:cs="宋体"/>
      <w:sz w:val="24"/>
    </w:rPr>
  </w:style>
  <w:style w:type="paragraph" w:styleId="1527" w:customStyle="1">
    <w:name w:val="Char Char Char Char Char Char Char Char Char Char Char Char Char1"/>
    <w:basedOn w:val="1017"/>
    <w:qFormat/>
    <w:rPr>
      <w:rFonts w:ascii="Tahoma" w:hAnsi="Tahoma" w:eastAsia="微软雅黑"/>
      <w:sz w:val="24"/>
    </w:rPr>
  </w:style>
  <w:style w:type="paragraph" w:styleId="1528" w:customStyle="1">
    <w:name w:val="Char Char Char Char Char Char Char Char Char Char Char Char Char Char Char Char Char Char Char"/>
    <w:basedOn w:val="994"/>
    <w:qFormat/>
    <w:pPr>
      <w:tabs>
        <w:tab w:val="left" w:pos="360" w:leader="none"/>
      </w:tabs>
    </w:pPr>
    <w:rPr>
      <w:rFonts w:ascii="Calibri" w:hAnsi="Calibri" w:eastAsia="微软雅黑"/>
      <w:sz w:val="24"/>
      <w:szCs w:val="24"/>
    </w:rPr>
  </w:style>
  <w:style w:type="paragraph" w:styleId="1529" w:customStyle="1">
    <w:name w:val="A1"/>
    <w:basedOn w:val="994"/>
    <w:next w:val="994"/>
    <w:qFormat/>
    <w:pPr>
      <w:ind w:left="860" w:hanging="576"/>
      <w:jc w:val="left"/>
      <w:keepLines/>
      <w:keepNext/>
      <w:spacing w:line="300" w:lineRule="auto"/>
      <w:outlineLvl w:val="1"/>
    </w:pPr>
    <w:rPr>
      <w:rFonts w:ascii="宋体" w:hAnsi="宋体" w:eastAsia="微软雅黑"/>
      <w:b/>
      <w:bCs/>
      <w:sz w:val="24"/>
      <w:szCs w:val="24"/>
    </w:rPr>
  </w:style>
  <w:style w:type="paragraph" w:styleId="1530" w:customStyle="1">
    <w:name w:val="Char Char Char Char Char Char Char Char Char Char1"/>
    <w:basedOn w:val="994"/>
    <w:qFormat/>
    <w:pPr>
      <w:spacing w:line="360" w:lineRule="auto"/>
    </w:pPr>
    <w:rPr>
      <w:rFonts w:ascii="Calibri" w:hAnsi="Calibri" w:eastAsia="微软雅黑"/>
      <w:sz w:val="24"/>
    </w:rPr>
  </w:style>
  <w:style w:type="character" w:styleId="1531" w:customStyle="1">
    <w:name w:val="font61"/>
    <w:qFormat/>
    <w:rPr>
      <w:rFonts w:hint="eastAsia" w:ascii="仿宋" w:hAnsi="仿宋" w:eastAsia="仿宋" w:cs="仿宋"/>
      <w:color w:val="000000"/>
      <w:sz w:val="18"/>
      <w:szCs w:val="18"/>
      <w:u w:val="none"/>
    </w:rPr>
  </w:style>
  <w:style w:type="character" w:styleId="1532" w:customStyle="1">
    <w:name w:val="font151"/>
    <w:qFormat/>
    <w:rPr>
      <w:rFonts w:hint="eastAsia" w:ascii="仿宋" w:hAnsi="仿宋" w:eastAsia="仿宋" w:cs="仿宋"/>
      <w:color w:val="000000"/>
      <w:sz w:val="20"/>
      <w:szCs w:val="20"/>
      <w:u w:val="none"/>
    </w:rPr>
  </w:style>
  <w:style w:type="character" w:styleId="1533" w:customStyle="1">
    <w:name w:val="font201"/>
    <w:qFormat/>
    <w:rPr>
      <w:rFonts w:hint="eastAsia" w:ascii="仿宋" w:hAnsi="仿宋" w:eastAsia="仿宋" w:cs="仿宋"/>
      <w:color w:val="000000"/>
      <w:sz w:val="21"/>
      <w:szCs w:val="21"/>
      <w:u w:val="none"/>
    </w:rPr>
  </w:style>
  <w:style w:type="paragraph" w:styleId="1534" w:customStyle="1">
    <w:name w:val="Body text|1"/>
    <w:basedOn w:val="994"/>
    <w:qFormat/>
    <w:pPr>
      <w:ind w:firstLine="400"/>
      <w:jc w:val="left"/>
      <w:spacing w:line="422" w:lineRule="auto"/>
    </w:pPr>
    <w:rPr>
      <w:rFonts w:ascii="宋体" w:hAnsi="宋体" w:cs="宋体"/>
      <w:sz w:val="28"/>
      <w:szCs w:val="28"/>
      <w:lang w:val="zh-TW" w:eastAsia="zh-TW" w:bidi="zh-TW"/>
    </w:rPr>
  </w:style>
  <w:style w:type="character" w:styleId="1535" w:customStyle="1">
    <w:name w:val="页脚 Char"/>
    <w:uiPriority w:val="99"/>
    <w:qFormat/>
    <w:rPr>
      <w:sz w:val="18"/>
      <w:szCs w:val="18"/>
    </w:rPr>
  </w:style>
  <w:style w:type="character" w:styleId="1536" w:customStyle="1">
    <w:name w:val="副标题 Char"/>
    <w:qFormat/>
    <w:rPr>
      <w:rFonts w:ascii="Cambria" w:hAnsi="Cambria" w:eastAsia="黑体"/>
      <w:b/>
      <w:bCs/>
      <w:sz w:val="21"/>
      <w:szCs w:val="32"/>
      <w:lang w:bidi="ar-SA"/>
    </w:rPr>
  </w:style>
  <w:style w:type="character" w:styleId="1537" w:customStyle="1">
    <w:name w:val="正文1 Char Char"/>
    <w:link w:val="1184"/>
    <w:qFormat/>
    <w:rPr>
      <w:sz w:val="24"/>
      <w:szCs w:val="24"/>
    </w:rPr>
  </w:style>
  <w:style w:type="paragraph" w:styleId="1538" w:customStyle="1">
    <w:name w:val="1"/>
    <w:basedOn w:val="1539"/>
    <w:next w:val="1022"/>
    <w:qFormat/>
    <w:rPr>
      <w:rFonts w:ascii="宋体" w:hAnsi="宋体" w:cs="Courier New"/>
      <w:sz w:val="20"/>
      <w:szCs w:val="20"/>
    </w:rPr>
  </w:style>
  <w:style w:type="paragraph" w:styleId="1539" w:customStyle="1">
    <w:name w:val="正文 New New New"/>
    <w:qFormat/>
    <w:pPr>
      <w:jc w:val="both"/>
      <w:widowControl w:val="off"/>
    </w:pPr>
    <w:rPr>
      <w:sz w:val="21"/>
      <w:szCs w:val="24"/>
    </w:rPr>
  </w:style>
  <w:style w:type="character" w:styleId="1540" w:customStyle="1">
    <w:name w:val="NormalCharacter"/>
    <w:semiHidden/>
    <w:qFormat/>
    <w:rPr>
      <w:rFonts w:ascii="Calibri" w:hAnsi="Calibri"/>
      <w:sz w:val="21"/>
      <w:szCs w:val="24"/>
      <w:lang w:val="en-US" w:eastAsia="zh-CN" w:bidi="ar-SA"/>
    </w:rPr>
  </w:style>
  <w:style w:type="character" w:styleId="1541" w:customStyle="1">
    <w:name w:val="font81"/>
    <w:basedOn w:val="1004"/>
    <w:qFormat/>
    <w:rPr>
      <w:rFonts w:hint="eastAsia" w:ascii="宋体" w:hAnsi="宋体" w:eastAsia="宋体" w:cs="宋体"/>
      <w:color w:val="000000"/>
      <w:sz w:val="21"/>
      <w:szCs w:val="21"/>
      <w:u w:val="none"/>
    </w:rPr>
  </w:style>
  <w:style w:type="character" w:styleId="1542" w:customStyle="1">
    <w:name w:val="font101"/>
    <w:basedOn w:val="1004"/>
    <w:qFormat/>
    <w:rPr>
      <w:rFonts w:hint="eastAsia" w:ascii="宋体" w:hAnsi="宋体" w:eastAsia="宋体" w:cs="宋体"/>
      <w:color w:val="000000"/>
      <w:sz w:val="24"/>
      <w:szCs w:val="24"/>
      <w:u w:val="none"/>
    </w:rPr>
  </w:style>
  <w:style w:type="character" w:styleId="1543" w:customStyle="1">
    <w:name w:val="font91"/>
    <w:basedOn w:val="1004"/>
    <w:qFormat/>
    <w:rPr>
      <w:rFonts w:hint="default" w:ascii="Calibri" w:hAnsi="Calibri" w:cs="Calibri"/>
      <w:color w:val="000000"/>
      <w:sz w:val="21"/>
      <w:szCs w:val="21"/>
      <w:u w:val="none"/>
    </w:rPr>
  </w:style>
  <w:style w:type="character" w:styleId="1544" w:customStyle="1">
    <w:name w:val="未处理的提及3"/>
    <w:basedOn w:val="1004"/>
    <w:uiPriority w:val="99"/>
    <w:semiHidden/>
    <w:unhideWhenUsed/>
    <w:qFormat/>
    <w:rPr>
      <w:color w:val="605e5c"/>
      <w:shd w:val="clear" w:color="auto" w:fill="e1dfdd"/>
    </w:rPr>
  </w:style>
  <w:style w:type="character" w:styleId="1545" w:customStyle="1">
    <w:name w:val="font31"/>
    <w:basedOn w:val="1004"/>
    <w:qFormat/>
    <w:rPr>
      <w:rFonts w:hint="eastAsia" w:ascii="宋体" w:hAnsi="宋体" w:eastAsia="宋体" w:cs="宋体"/>
      <w:b/>
      <w:bCs/>
      <w:color w:val="000000"/>
      <w:sz w:val="18"/>
      <w:szCs w:val="18"/>
      <w:u w:val="none"/>
    </w:rPr>
  </w:style>
  <w:style w:type="paragraph" w:styleId="1546">
    <w:name w:val="envelope return"/>
    <w:basedOn w:val="994"/>
    <w:uiPriority w:val="99"/>
    <w:unhideWhenUsed/>
    <w:qFormat/>
    <w:rPr>
      <w:rFonts w:ascii="Arial" w:hAnsi="Arial"/>
      <w:szCs w:val="24"/>
    </w:rPr>
  </w:style>
  <w:style w:type="paragraph" w:styleId="1547">
    <w:name w:val="footnote text"/>
    <w:basedOn w:val="994"/>
    <w:next w:val="1016"/>
    <w:link w:val="1548"/>
    <w:qFormat/>
    <w:pPr>
      <w:jc w:val="left"/>
      <w:spacing w:line="312" w:lineRule="atLeast"/>
    </w:pPr>
    <w:rPr>
      <w:sz w:val="18"/>
      <w:szCs w:val="24"/>
    </w:rPr>
  </w:style>
  <w:style w:type="character" w:styleId="1548" w:customStyle="1">
    <w:name w:val="脚注文本 字符"/>
    <w:basedOn w:val="1004"/>
    <w:link w:val="1547"/>
    <w:rPr>
      <w:sz w:val="18"/>
      <w:szCs w:val="24"/>
    </w:rPr>
  </w:style>
  <w:style w:type="paragraph" w:styleId="1549">
    <w:name w:val="Message Header"/>
    <w:basedOn w:val="994"/>
    <w:link w:val="1550"/>
    <w:uiPriority w:val="99"/>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szCs w:val="24"/>
    </w:rPr>
  </w:style>
  <w:style w:type="character" w:styleId="1550" w:customStyle="1">
    <w:name w:val="信息标题 字符"/>
    <w:basedOn w:val="1004"/>
    <w:link w:val="1549"/>
    <w:uiPriority w:val="99"/>
    <w:rPr>
      <w:rFonts w:ascii="Cambria" w:hAnsi="Cambria"/>
      <w:sz w:val="24"/>
      <w:szCs w:val="24"/>
      <w:shd w:val="pct20" w:color="auto" w:fill="auto"/>
    </w:rPr>
  </w:style>
  <w:style w:type="paragraph" w:styleId="1551" w:customStyle="1">
    <w:name w:val="标题 411"/>
    <w:basedOn w:val="1552"/>
    <w:next w:val="994"/>
    <w:qFormat/>
    <w:pPr>
      <w:keepLines/>
      <w:keepNext/>
      <w:spacing w:before="320" w:after="200"/>
      <w:outlineLvl w:val="3"/>
    </w:pPr>
    <w:rPr>
      <w:rFonts w:ascii="Arial" w:hAnsi="Arial" w:eastAsia="Arial"/>
      <w:b/>
      <w:bCs/>
      <w:sz w:val="26"/>
      <w:szCs w:val="26"/>
    </w:rPr>
  </w:style>
  <w:style w:type="paragraph" w:styleId="1552" w:customStyle="1">
    <w:name w:val="正文111"/>
    <w:next w:val="1312"/>
    <w:qFormat/>
    <w:rPr>
      <w:rFonts w:ascii="Calibri" w:hAnsi="Calibri"/>
    </w:rPr>
  </w:style>
  <w:style w:type="paragraph" w:styleId="1553" w:customStyle="1">
    <w:name w:val="正文11"/>
    <w:next w:val="1554"/>
    <w:qFormat/>
    <w:pPr>
      <w:jc w:val="both"/>
      <w:widowControl w:val="off"/>
    </w:pPr>
    <w:rPr>
      <w:rFonts w:ascii="Calibri" w:hAnsi="Calibri"/>
      <w:sz w:val="21"/>
      <w:szCs w:val="24"/>
    </w:rPr>
  </w:style>
  <w:style w:type="paragraph" w:styleId="1554" w:customStyle="1">
    <w:name w:val="文本块1"/>
    <w:basedOn w:val="1552"/>
    <w:qFormat/>
    <w:pPr>
      <w:ind w:left="256" w:right="6" w:firstLine="624"/>
    </w:pPr>
    <w:rPr>
      <w:rFonts w:ascii="Times New Roman" w:hAnsi="Times New Roman" w:eastAsia="仿宋_GB2312"/>
      <w:sz w:val="28"/>
    </w:rPr>
  </w:style>
  <w:style w:type="paragraph" w:styleId="1555" w:customStyle="1">
    <w:name w:val="寄信人地址1"/>
    <w:basedOn w:val="1552"/>
    <w:qFormat/>
    <w:rPr>
      <w:rFonts w:ascii="Arial" w:hAnsi="Arial"/>
    </w:rPr>
  </w:style>
  <w:style w:type="character" w:styleId="1556" w:customStyle="1">
    <w:name w:val="black11"/>
  </w:style>
  <w:style w:type="character" w:styleId="1557">
    <w:name w:val="Intense Reference"/>
    <w:uiPriority w:val="32"/>
    <w:qFormat/>
    <w:rPr>
      <w:b/>
      <w:bCs/>
      <w:smallCaps/>
      <w:color w:val="c0504d"/>
      <w:spacing w:val="5"/>
      <w:u w:val="single"/>
    </w:rPr>
  </w:style>
  <w:style w:type="character" w:styleId="1558" w:customStyle="1">
    <w:name w:val="font71"/>
    <w:qFormat/>
    <w:rPr>
      <w:rFonts w:ascii="微软雅黑" w:hAnsi="微软雅黑" w:eastAsia="微软雅黑" w:cs="微软雅黑"/>
      <w:color w:val="000000"/>
      <w:sz w:val="20"/>
      <w:szCs w:val="20"/>
      <w:u w:val="none"/>
    </w:rPr>
  </w:style>
  <w:style w:type="paragraph" w:styleId="1559" w:customStyle="1">
    <w:name w:val="正文3"/>
    <w:basedOn w:val="994"/>
    <w:uiPriority w:val="99"/>
    <w:pPr>
      <w:jc w:val="left"/>
      <w:widowControl/>
    </w:pPr>
    <w:rPr>
      <w:rFonts w:ascii="CG Times (WN)" w:hAnsi="CG Times (WN)"/>
      <w:sz w:val="20"/>
      <w:lang w:val="it-IT"/>
    </w:rPr>
  </w:style>
  <w:style w:type="paragraph" w:styleId="1560" w:customStyle="1">
    <w:name w:val="--规划正文"/>
    <w:basedOn w:val="994"/>
    <w:pPr>
      <w:ind w:firstLine="200"/>
      <w:spacing w:line="360" w:lineRule="auto"/>
    </w:pPr>
  </w:style>
  <w:style w:type="paragraph" w:styleId="1561" w:customStyle="1">
    <w:name w:val="缺省文本"/>
    <w:basedOn w:val="994"/>
    <w:qFormat/>
    <w:pPr>
      <w:jc w:val="left"/>
    </w:pPr>
    <w:rPr>
      <w:sz w:val="24"/>
      <w:szCs w:val="24"/>
    </w:rPr>
  </w:style>
  <w:style w:type="paragraph" w:styleId="1562" w:customStyle="1">
    <w:name w:val="彩色列表1"/>
    <w:basedOn w:val="994"/>
    <w:uiPriority w:val="34"/>
    <w:qFormat/>
    <w:pPr>
      <w:ind w:firstLine="420"/>
    </w:pPr>
    <w:rPr>
      <w:rFonts w:ascii="Calibri" w:hAnsi="Calibri"/>
      <w:szCs w:val="22"/>
    </w:rPr>
  </w:style>
  <w:style w:type="paragraph" w:styleId="1563" w:customStyle="1">
    <w:name w:val="[基本段落]"/>
    <w:basedOn w:val="994"/>
    <w:uiPriority w:val="99"/>
    <w:qFormat/>
    <w:pPr>
      <w:spacing w:line="288" w:lineRule="auto"/>
    </w:pPr>
    <w:rPr>
      <w:rFonts w:ascii="宋体" w:hAnsi="Calibri" w:cs="宋体"/>
      <w:color w:val="000000"/>
      <w:sz w:val="24"/>
      <w:szCs w:val="24"/>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png"/><Relationship Id="rId19" Type="http://schemas.openxmlformats.org/officeDocument/2006/relationships/hyperlink" Target="http://www.ccgp-jiangsu.gov.cn/jiangsu/paying.html" TargetMode="External"/><Relationship Id="rId20" Type="http://schemas.openxmlformats.org/officeDocument/2006/relationships/hyperlink" Target="https://www.crcrfsp.com/" TargetMode="External"/><Relationship Id="rId21" Type="http://schemas.openxmlformats.org/officeDocument/2006/relationships/hyperlink" Target="http://czj.taizhou.gov.cn/art/2022/12/9/art_61762_3436049.html" TargetMode="External"/><Relationship Id="rId22" Type="http://schemas.openxmlformats.org/officeDocument/2006/relationships/hyperlink" Target="http://www.ccgp-jiangsu.gov.cn/jiangsu/zlxz" TargetMode="External"/><Relationship Id="rId23" Type="http://schemas.openxmlformats.org/officeDocument/2006/relationships/hyperlink" Target="http://jszfcg.jsczt.cn/" TargetMode="External"/><Relationship Id="rId24" Type="http://schemas.openxmlformats.org/officeDocument/2006/relationships/hyperlink" Target="http://jszfcg.jsczt.cn/&#65289;&#33719;&#21462;&#37319;&#36141;&#25991;&#20214;&#65292;&#24182;&#20110;2026&#24180;" TargetMode="External"/><Relationship Id="rId25" Type="http://schemas.openxmlformats.org/officeDocument/2006/relationships/hyperlink" Target="http://czj.taizhou.gov.cn/art/2022/12/9/art_61762_3436049.html" TargetMode="External"/><Relationship Id="rId26" Type="http://schemas.openxmlformats.org/officeDocument/2006/relationships/hyperlink" Target="http://www.creditchina.gov.cn" TargetMode="External"/><Relationship Id="rId27" Type="http://schemas.openxmlformats.org/officeDocument/2006/relationships/image" Target="media/image3.jpg"/><Relationship Id="rId28"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E22E42B-0839-41F5-A92E-D1FD190BDE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Tekchain</dc:creator>
  <cp:lastModifiedBy>陈燕</cp:lastModifiedBy>
  <cp:revision>237</cp:revision>
  <dcterms:created xsi:type="dcterms:W3CDTF">2021-08-25T09:39:00Z</dcterms:created>
  <dcterms:modified xsi:type="dcterms:W3CDTF">2026-07-17T04:18:56Z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158E6D34B5BB4AC69CFB149E4B7CA1F7_13</vt:lpwstr>
  </property>
  <property fmtid="{D5CDD505-2E9C-101B-9397-08002B2CF9AE}" pid="4" name="KSOTemplateDocerSaveRecord">
    <vt:lpwstr>eyJoZGlkIjoiNDYyYzQ2MWM5ODEzYTZiZjgwMTNkYTA3OGE3MDk5NDMiLCJ1c2VySWQiOiI0MDQ0NjU4MjkifQ==</vt:lpwstr>
  </property>
</Properties>
</file>