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w:t>
            </w:r>
            <w:r>
              <w:rPr>
                <w:rStyle w:val="1123"/>
                <w:rFonts w:ascii="黑体" w:eastAsia="黑体"/>
                <w:sz w:val="40"/>
              </w:rPr>
              <w:t xml:space="preserve">JSZC-320115-NSZX-G2026-0016</w:t>
            </w:r>
            <w:r/>
          </w:p>
          <w:p>
            <w:pPr>
              <w:ind w:firstLine="800"/>
              <w:rPr>
                <w:rStyle w:val="1123"/>
                <w:rFonts w:ascii="黑体" w:eastAsia="黑体"/>
                <w:sz w:val="40"/>
              </w:rPr>
            </w:pPr>
            <w:r/>
            <w:bookmarkStart w:id="0" w:name="_GoBack"/>
            <w:r/>
            <w:bookmarkEnd w:id="0"/>
            <w:r/>
            <w:r/>
          </w:p>
          <w:p>
            <w:pPr>
              <w:ind w:firstLine="800"/>
              <w:rPr>
                <w:rStyle w:val="1123"/>
                <w:rFonts w:ascii="黑体" w:eastAsia="黑体"/>
                <w:sz w:val="40"/>
              </w:rPr>
            </w:pPr>
            <w:r>
              <w:rPr>
                <w:rStyle w:val="1123"/>
                <w:rFonts w:ascii="黑体" w:eastAsia="黑体"/>
                <w:sz w:val="40"/>
              </w:rPr>
              <w:t xml:space="preserve">项目名称：2019汤山、谷里、禄口人居环境整治、禄</w:t>
            </w:r>
            <w:r>
              <w:rPr>
                <w:rStyle w:val="1123"/>
                <w:rFonts w:hint="eastAsia" w:ascii="黑体" w:eastAsia="黑体"/>
                <w:sz w:val="40"/>
              </w:rPr>
              <w:t xml:space="preserve">口特色</w:t>
            </w:r>
            <w:r>
              <w:rPr>
                <w:rStyle w:val="1123"/>
                <w:rFonts w:hint="eastAsia" w:ascii="黑体" w:eastAsia="黑体"/>
                <w:sz w:val="40"/>
              </w:rPr>
              <w:t xml:space="preserve">田园乡村建设结算审计服务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1"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七</w:t>
      </w:r>
      <w:r>
        <w:rPr>
          <w:rStyle w:val="1123"/>
          <w:rFonts w:ascii="黑体" w:eastAsia="黑体"/>
          <w:sz w:val="44"/>
        </w:rPr>
        <w:t xml:space="preserve">月</w:t>
      </w:r>
      <w:bookmarkEnd w:id="1"/>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2019汤山、谷里、禄口人居环境整治、禄</w:t>
      </w:r>
      <w:r>
        <w:rPr>
          <w:rFonts w:hint="eastAsia"/>
          <w:bCs/>
          <w:u w:val="single"/>
        </w:rPr>
        <w:t xml:space="preserve">口特色</w:t>
      </w:r>
      <w:r>
        <w:rPr>
          <w:rFonts w:hint="eastAsia"/>
          <w:bCs/>
          <w:u w:val="single"/>
        </w:rPr>
        <w:t xml:space="preserve">田园乡村建设结算审计服务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JSZC-320115-NSZX-G2026-0016</w:t>
      </w:r>
      <w:r/>
    </w:p>
    <w:p>
      <w:pPr>
        <w:ind w:firstLine="560"/>
        <w:jc w:val="both"/>
        <w:spacing w:line="240" w:lineRule="exact"/>
      </w:pPr>
      <w:r>
        <w:rPr>
          <w:rFonts w:hint="eastAsia"/>
        </w:rPr>
        <w:t xml:space="preserve">项目名称：</w:t>
      </w:r>
      <w:r>
        <w:t xml:space="preserve">2019汤山、谷里、禄口人居环境整治、禄</w:t>
      </w:r>
      <w:r>
        <w:rPr>
          <w:rFonts w:hint="eastAsia"/>
        </w:rPr>
        <w:t xml:space="preserve">口特色</w:t>
      </w:r>
      <w:r>
        <w:rPr>
          <w:rFonts w:hint="eastAsia"/>
        </w:rPr>
        <w:t xml:space="preserve">田园乡村建设结算审计服务</w:t>
      </w:r>
      <w:r/>
    </w:p>
    <w:p>
      <w:pPr>
        <w:ind w:firstLine="560"/>
        <w:jc w:val="both"/>
        <w:spacing w:line="240" w:lineRule="exact"/>
        <w:rPr>
          <w:lang w:val="en-US"/>
        </w:rPr>
      </w:pPr>
      <w:r>
        <w:rPr>
          <w:rFonts w:hint="eastAsia"/>
        </w:rPr>
        <w:t xml:space="preserve">预算金额：</w:t>
      </w:r>
      <w:r>
        <w:rPr>
          <w:lang w:val="en-US"/>
        </w:rPr>
        <w:t xml:space="preserve">123</w:t>
      </w:r>
      <w:r>
        <w:rPr>
          <w:rFonts w:hint="eastAsia"/>
          <w:lang w:val="en-US"/>
        </w:rPr>
        <w:t xml:space="preserve">万元。（核减率暂按</w:t>
      </w:r>
      <w:r>
        <w:rPr>
          <w:lang w:val="en-US"/>
        </w:rPr>
        <w:t xml:space="preserve">5%计算，预算金额按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123</w:t>
      </w:r>
      <w:r>
        <w:rPr>
          <w:rFonts w:hint="eastAsia"/>
          <w:lang w:val="en-US"/>
        </w:rPr>
        <w:t xml:space="preserve">万元。</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w:t>
      </w:r>
      <w:r>
        <w:t xml:space="preserve">2019汤山、谷里、禄口人居环境整治、禄</w:t>
      </w:r>
      <w:r>
        <w:rPr>
          <w:rFonts w:hint="eastAsia"/>
        </w:rPr>
        <w:t xml:space="preserve">口特色</w:t>
      </w:r>
      <w:r>
        <w:rPr>
          <w:rFonts w:hint="eastAsia"/>
        </w:rPr>
        <w:t xml:space="preserve">田园乡村建设结算审计服务，具体详见第四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合同履行期限：自签订合同后6个月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8</w:t>
      </w:r>
      <w:r>
        <w:rPr>
          <w:rFonts w:cs="仿宋"/>
          <w:b/>
          <w:u w:val="single"/>
          <w:lang w:val="en-US"/>
        </w:rPr>
        <w:t xml:space="preserve">月14</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15160元。本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2026年1月至2026年6月期间投标人为其缴纳的至少一个月社保缴纳证明，年龄以身份证年龄为准）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rFonts w:hint="eastAsia"/>
          <w:sz w:val="24"/>
          <w:szCs w:val="24"/>
        </w:rPr>
        <w:t xml:space="preserve">2019年农村人居环境整治建设项目由南京江宁城市建设集团有限公司投资建设，其中汤山街道人居环境整治项目经江宁</w:t>
      </w:r>
      <w:r>
        <w:rPr>
          <w:rFonts w:hint="eastAsia"/>
          <w:sz w:val="24"/>
          <w:szCs w:val="24"/>
        </w:rPr>
        <w:t xml:space="preserve">审批投字〔2019〕</w:t>
      </w:r>
      <w:r>
        <w:rPr>
          <w:rFonts w:hint="eastAsia"/>
          <w:sz w:val="24"/>
          <w:szCs w:val="24"/>
        </w:rPr>
        <w:t xml:space="preserve">199号批文批准立项，计划总投资27527.61万元；谷里街道人居环境整治项目经江宁</w:t>
      </w:r>
      <w:r>
        <w:rPr>
          <w:rFonts w:hint="eastAsia"/>
          <w:sz w:val="24"/>
          <w:szCs w:val="24"/>
        </w:rPr>
        <w:t xml:space="preserve">审批投字〔2019〕</w:t>
      </w:r>
      <w:r>
        <w:rPr>
          <w:rFonts w:hint="eastAsia"/>
          <w:sz w:val="24"/>
          <w:szCs w:val="24"/>
        </w:rPr>
        <w:t xml:space="preserve">206号批文批准立项，计划总投资16420万元；禄口街道人居环境整治项目经江宁</w:t>
      </w:r>
      <w:r>
        <w:rPr>
          <w:rFonts w:hint="eastAsia"/>
          <w:sz w:val="24"/>
          <w:szCs w:val="24"/>
        </w:rPr>
        <w:t xml:space="preserve">审批投字〔2019〕</w:t>
      </w:r>
      <w:r>
        <w:rPr>
          <w:rFonts w:hint="eastAsia"/>
          <w:sz w:val="24"/>
          <w:szCs w:val="24"/>
        </w:rPr>
        <w:t xml:space="preserve">195号批文批准立项，计划总投资17904万元；禄口街道人居环境整治项目五个示范村特色田园乡村建设培育打造项目经江宁</w:t>
      </w:r>
      <w:r>
        <w:rPr>
          <w:rFonts w:hint="eastAsia"/>
          <w:sz w:val="24"/>
          <w:szCs w:val="24"/>
        </w:rPr>
        <w:t xml:space="preserve">审批投字〔2019〕</w:t>
      </w:r>
      <w:r>
        <w:rPr>
          <w:rFonts w:hint="eastAsia"/>
          <w:sz w:val="24"/>
          <w:szCs w:val="24"/>
        </w:rPr>
        <w:t xml:space="preserve">118号批文批准立项，计划总投资3620万元。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包一</w:t>
            </w:r>
            <w:r/>
          </w:p>
        </w:tc>
        <w:tc>
          <w:tcPr>
            <w:tcW w:w="3791" w:type="dxa"/>
            <w:textDirection w:val="lrTb"/>
            <w:noWrap w:val="false"/>
          </w:tcPr>
          <w:p>
            <w:pPr>
              <w:jc w:val="center"/>
              <w:spacing w:line="240" w:lineRule="exact"/>
            </w:pPr>
            <w:r>
              <w:t xml:space="preserve">2019年汤山街道农村人居环境整治建设项目工程总承包</w:t>
            </w:r>
            <w:r/>
          </w:p>
        </w:tc>
        <w:tc>
          <w:tcPr>
            <w:tcW w:w="1277" w:type="dxa"/>
            <w:vAlign w:val="center"/>
            <w:textDirection w:val="lrTb"/>
            <w:noWrap w:val="false"/>
          </w:tcPr>
          <w:p>
            <w:pPr>
              <w:jc w:val="center"/>
              <w:spacing w:line="240" w:lineRule="exact"/>
            </w:pPr>
            <w:r>
              <w:t xml:space="preserve"> 19,433.25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45.24</w:t>
            </w:r>
            <w:r/>
          </w:p>
        </w:tc>
        <w:tc>
          <w:tcPr>
            <w:tcW w:w="589" w:type="dxa"/>
            <w:vAlign w:val="center"/>
            <w:vMerge w:val="restart"/>
            <w:textDirection w:val="lrTb"/>
            <w:noWrap w:val="false"/>
          </w:tcPr>
          <w:p>
            <w:pPr>
              <w:jc w:val="center"/>
              <w:spacing w:line="240" w:lineRule="exact"/>
            </w:pPr>
            <w:r>
              <w:t xml:space="preserve">123</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textDirection w:val="lrTb"/>
            <w:noWrap w:val="false"/>
          </w:tcPr>
          <w:p>
            <w:pPr>
              <w:jc w:val="center"/>
              <w:spacing w:line="240" w:lineRule="exact"/>
            </w:pPr>
            <w:r>
              <w:t xml:space="preserve">2019年谷里街道农村人居环境整治建设项目工程总承包</w:t>
            </w:r>
            <w:r/>
          </w:p>
        </w:tc>
        <w:tc>
          <w:tcPr>
            <w:tcW w:w="1277" w:type="dxa"/>
            <w:vAlign w:val="center"/>
            <w:textDirection w:val="lrTb"/>
            <w:noWrap w:val="false"/>
          </w:tcPr>
          <w:p>
            <w:pPr>
              <w:jc w:val="center"/>
              <w:spacing w:line="240" w:lineRule="exact"/>
            </w:pPr>
            <w:r>
              <w:t xml:space="preserve"> 16,644.37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39.05</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textDirection w:val="lrTb"/>
            <w:noWrap w:val="false"/>
          </w:tcPr>
          <w:p>
            <w:pPr>
              <w:jc w:val="center"/>
              <w:spacing w:line="240" w:lineRule="exact"/>
            </w:pPr>
            <w:r>
              <w:t xml:space="preserve">2019年禄口街道农村人居环境整治建设项目工程总承包</w:t>
            </w:r>
            <w:r/>
          </w:p>
        </w:tc>
        <w:tc>
          <w:tcPr>
            <w:tcW w:w="1277" w:type="dxa"/>
            <w:vAlign w:val="center"/>
            <w:textDirection w:val="lrTb"/>
            <w:noWrap w:val="false"/>
          </w:tcPr>
          <w:p>
            <w:pPr>
              <w:jc w:val="center"/>
              <w:spacing w:line="240" w:lineRule="exact"/>
            </w:pPr>
            <w:r>
              <w:t xml:space="preserve"> 13,108.05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31.2</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textDirection w:val="lrTb"/>
            <w:noWrap w:val="false"/>
          </w:tcPr>
          <w:p>
            <w:pPr>
              <w:jc w:val="center"/>
              <w:spacing w:line="240" w:lineRule="exact"/>
            </w:pPr>
            <w:r>
              <w:rPr>
                <w:rFonts w:hint="eastAsia"/>
              </w:rPr>
              <w:t xml:space="preserve">禄口街道小彭社区（东岗头村）、张桥社区（后庄村、北庄村、前中村、前西村）特色田园乡村建设培育打造工程项目工程总承包</w:t>
            </w:r>
            <w:r/>
          </w:p>
        </w:tc>
        <w:tc>
          <w:tcPr>
            <w:tcW w:w="1277" w:type="dxa"/>
            <w:vAlign w:val="center"/>
            <w:textDirection w:val="lrTb"/>
            <w:noWrap w:val="false"/>
          </w:tcPr>
          <w:p>
            <w:pPr>
              <w:jc w:val="center"/>
              <w:spacing w:line="240" w:lineRule="exact"/>
            </w:pPr>
            <w:r>
              <w:t xml:space="preserve"> 2,756.99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7.08</w:t>
            </w:r>
            <w:r/>
          </w:p>
        </w:tc>
        <w:tc>
          <w:tcPr>
            <w:tcW w:w="589" w:type="dxa"/>
            <w:vAlign w:val="center"/>
            <w:vMerge w:val="continue"/>
            <w:textDirection w:val="lrTb"/>
            <w:noWrap w:val="false"/>
          </w:tcPr>
          <w:p>
            <w:pPr>
              <w:jc w:val="center"/>
              <w:spacing w:line="240" w:lineRule="exact"/>
            </w:pPr>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2019汤山、谷里、禄口人居环境整治、禄</w:t>
      </w:r>
      <w:r>
        <w:rPr>
          <w:rFonts w:hint="eastAsia"/>
          <w:sz w:val="24"/>
          <w:szCs w:val="24"/>
        </w:rPr>
        <w:t xml:space="preserve">口特色</w:t>
      </w:r>
      <w:r>
        <w:rPr>
          <w:rFonts w:hint="eastAsia"/>
          <w:sz w:val="24"/>
          <w:szCs w:val="24"/>
        </w:rPr>
        <w:t xml:space="preserve">田园乡村建设结算审计服务。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w:t>
      </w:r>
      <w:r>
        <w:rPr>
          <w:sz w:val="24"/>
          <w:szCs w:val="24"/>
        </w:rPr>
        <w:t xml:space="preserve">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rPr>
          <w:rFonts w:hint="eastAsia"/>
          <w:sz w:val="24"/>
          <w:szCs w:val="24"/>
        </w:rPr>
        <w:t xml:space="preserve">，现场审计时间不超过2个月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2026年1月至2026年6月期间投标人为其缴纳的至少一个月社保缴纳证明，年龄以身份证</w:t>
      </w:r>
      <w:r>
        <w:rPr>
          <w:sz w:val="24"/>
          <w:szCs w:val="24"/>
        </w:rPr>
        <w:t xml:space="preserve">号</w:t>
      </w:r>
      <w:r>
        <w:rPr>
          <w:sz w:val="24"/>
          <w:szCs w:val="24"/>
        </w:rPr>
        <w:t xml:space="preserve">年龄为准，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5"/>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5"/>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w:t>
      </w:r>
      <w:r>
        <w:rPr>
          <w:sz w:val="24"/>
          <w:szCs w:val="24"/>
        </w:rPr>
        <w:t xml:space="preserve">6个月。</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3.任何原因导致最终造价咨询服务费超出本项目预算金额（即123万元）均不予增加。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（即123万元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1"/>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5"/>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2019汤山、谷里、禄口人居环境整治、禄</w:t>
      </w:r>
      <w:r>
        <w:rPr>
          <w:rFonts w:hint="eastAsia" w:hAnsi="宋体"/>
          <w:sz w:val="24"/>
          <w:szCs w:val="24"/>
          <w:u w:val="single"/>
        </w:rPr>
        <w:t xml:space="preserve">口特色</w:t>
      </w:r>
      <w:r>
        <w:rPr>
          <w:rFonts w:hint="eastAsia" w:hAnsi="宋体"/>
          <w:sz w:val="24"/>
          <w:szCs w:val="24"/>
          <w:u w:val="single"/>
        </w:rPr>
        <w:t xml:space="preserve">田园乡村建设结算审计服务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（即123万元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7"/>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uiPriority w:val="39"/>
    <w:unhideWhenUsed/>
    <w:qFormat/>
    <w:pPr>
      <w:ind w:left="1701"/>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link w:val="1138"/>
    <w:uiPriority w:val="99"/>
    <w:semiHidden/>
    <w:unhideWhenUsed/>
  </w:style>
  <w:style w:type="paragraph" w:styleId="834">
    <w:name w:val="toc 5"/>
    <w:basedOn w:val="818"/>
    <w:next w:val="818"/>
    <w:uiPriority w:val="39"/>
    <w:unhideWhenUsed/>
    <w:qFormat/>
    <w:pPr>
      <w:ind w:left="1134"/>
      <w:spacing w:after="57"/>
    </w:pPr>
  </w:style>
  <w:style w:type="paragraph" w:styleId="835">
    <w:name w:val="toc 3"/>
    <w:basedOn w:val="818"/>
    <w:next w:val="818"/>
    <w:uiPriority w:val="39"/>
    <w:unhideWhenUsed/>
    <w:qFormat/>
    <w:pPr>
      <w:ind w:left="567"/>
      <w:spacing w:after="57"/>
    </w:pPr>
  </w:style>
  <w:style w:type="paragraph" w:styleId="836">
    <w:name w:val="toc 8"/>
    <w:basedOn w:val="818"/>
    <w:next w:val="818"/>
    <w:uiPriority w:val="39"/>
    <w:unhideWhenUsed/>
    <w:qFormat/>
    <w:pPr>
      <w:ind w:left="1984"/>
      <w:spacing w:after="57"/>
    </w:pPr>
  </w:style>
  <w:style w:type="paragraph" w:styleId="837">
    <w:name w:val="endnote text"/>
    <w:basedOn w:val="818"/>
    <w:uiPriority w:val="99"/>
    <w:semiHidden/>
    <w:unhideWhenUsed/>
    <w:qFormat/>
    <w:rPr>
      <w:sz w:val="20"/>
    </w:rPr>
  </w:style>
  <w:style w:type="paragraph" w:styleId="838">
    <w:name w:val="Balloon Text"/>
    <w:basedOn w:val="818"/>
    <w:link w:val="1137"/>
    <w:uiPriority w:val="99"/>
    <w:semiHidden/>
    <w:unhideWhenUsed/>
    <w:qFormat/>
    <w:rPr>
      <w:sz w:val="18"/>
      <w:szCs w:val="18"/>
    </w:rPr>
  </w:style>
  <w:style w:type="paragraph" w:styleId="839">
    <w:name w:val="Footer"/>
    <w:basedOn w:val="818"/>
    <w:uiPriority w:val="99"/>
    <w:unhideWhenUsed/>
    <w:qFormat/>
    <w:pPr>
      <w:tabs>
        <w:tab w:val="center" w:pos="7143" w:leader="none"/>
        <w:tab w:val="right" w:pos="14287" w:leader="none"/>
      </w:tabs>
    </w:pPr>
  </w:style>
  <w:style w:type="paragraph" w:styleId="840">
    <w:name w:val="Header"/>
    <w:basedOn w:val="818"/>
    <w:uiPriority w:val="99"/>
    <w:unhideWhenUsed/>
    <w:qFormat/>
    <w:pPr>
      <w:tabs>
        <w:tab w:val="center" w:pos="7143" w:leader="none"/>
        <w:tab w:val="right" w:pos="14287" w:leader="none"/>
      </w:tabs>
    </w:p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uiPriority w:val="11"/>
    <w:qFormat/>
    <w:pPr>
      <w:spacing w:before="200" w:after="200"/>
    </w:pPr>
    <w:rPr>
      <w:sz w:val="24"/>
      <w:szCs w:val="24"/>
    </w:rPr>
  </w:style>
  <w:style w:type="paragraph" w:styleId="844">
    <w:name w:val="footnote text"/>
    <w:basedOn w:val="81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spacing w:after="57"/>
    </w:pPr>
  </w:style>
  <w:style w:type="paragraph" w:styleId="848">
    <w:name w:val="toc 9"/>
    <w:basedOn w:val="818"/>
    <w:next w:val="818"/>
    <w:uiPriority w:val="39"/>
    <w:unhideWhenUsed/>
    <w:qFormat/>
    <w:pPr>
      <w:ind w:left="2268"/>
      <w:spacing w:after="57"/>
    </w:pPr>
  </w:style>
  <w:style w:type="paragraph" w:styleId="849">
    <w:name w:val="Title"/>
    <w:basedOn w:val="818"/>
    <w:next w:val="818"/>
    <w:uiPriority w:val="10"/>
    <w:qFormat/>
    <w:pPr>
      <w:contextualSpacing/>
      <w:spacing w:before="300" w:after="200"/>
    </w:pPr>
    <w:rPr>
      <w:sz w:val="48"/>
      <w:szCs w:val="48"/>
    </w:rPr>
  </w:style>
  <w:style w:type="paragraph" w:styleId="850">
    <w:name w:val="annotation subject"/>
    <w:basedOn w:val="833"/>
    <w:next w:val="833"/>
    <w:link w:val="1139"/>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标题1"/>
    <w:uiPriority w:val="39"/>
    <w:unhideWhenUsed/>
    <w:qFormat/>
    <w:rPr>
      <w:rFonts w:ascii="Times New Roman" w:hAnsi="Times New Roman"/>
    </w:rPr>
  </w:style>
  <w:style w:type="paragraph" w:styleId="857" w:customStyle="1">
    <w:name w:val="TOC 标题1"/>
    <w:uiPriority w:val="39"/>
    <w:unhideWhenUsed/>
    <w:rPr>
      <w:rFonts w:ascii="Times New Roman" w:hAnsi="Times New Roman"/>
    </w:rPr>
  </w:style>
  <w:style w:type="paragraph" w:styleId="858" w:customStyle="1">
    <w:name w:val="TOC 标题114"/>
    <w:uiPriority w:val="39"/>
    <w:unhideWhenUsed/>
    <w:rPr>
      <w:rFonts w:ascii="Times New Roman" w:hAnsi="Times New Roman"/>
    </w:rPr>
  </w:style>
  <w:style w:type="paragraph" w:styleId="859">
    <w:name w:val="List Paragraph"/>
    <w:basedOn w:val="818"/>
    <w:uiPriority w:val="34"/>
    <w:qFormat/>
    <w:pPr>
      <w:contextualSpacing/>
      <w:ind w:left="720"/>
    </w:pPr>
  </w:style>
  <w:style w:type="paragraph" w:styleId="860">
    <w:name w:val="No Spacing"/>
    <w:uiPriority w:val="1"/>
    <w:qFormat/>
    <w:rPr>
      <w:rFonts w:ascii="Times New Roman" w:hAnsi="Times New Roman"/>
    </w:rPr>
  </w:style>
  <w:style w:type="paragraph" w:styleId="861">
    <w:name w:val="Quote"/>
    <w:basedOn w:val="818"/>
    <w:next w:val="818"/>
    <w:uiPriority w:val="29"/>
    <w:qFormat/>
    <w:pPr>
      <w:ind w:left="720" w:right="720"/>
    </w:pPr>
    <w:rPr>
      <w:i/>
    </w:rPr>
  </w:style>
  <w:style w:type="paragraph" w:styleId="862">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rPr>
      <w:rFonts w:ascii="Times New Roman" w:hAnsi="Times New Roman"/>
    </w:rPr>
  </w:style>
  <w:style w:type="paragraph" w:styleId="864"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8"/>
    <w:next w:val="818"/>
    <w:uiPriority w:val="1"/>
    <w:qFormat/>
    <w:pPr>
      <w:ind w:left="320"/>
      <w:outlineLvl w:val="1"/>
    </w:pPr>
    <w:rPr>
      <w:sz w:val="36"/>
      <w:szCs w:val="36"/>
    </w:rPr>
  </w:style>
  <w:style w:type="paragraph" w:styleId="866" w:customStyle="1">
    <w:name w:val="标题 31"/>
    <w:basedOn w:val="818"/>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8"/>
    <w:qFormat/>
    <w:pPr>
      <w:ind w:firstLine="420"/>
    </w:pPr>
  </w:style>
  <w:style w:type="paragraph" w:styleId="868"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8"/>
    <w:next w:val="818"/>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8"/>
    <w:next w:val="818"/>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8"/>
    <w:next w:val="818"/>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8"/>
    <w:next w:val="818"/>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8"/>
    <w:next w:val="818"/>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8"/>
    <w:next w:val="818"/>
    <w:uiPriority w:val="39"/>
    <w:unhideWhenUsed/>
    <w:qFormat/>
    <w:pPr>
      <w:ind w:left="1701"/>
      <w:spacing w:after="57"/>
    </w:pPr>
  </w:style>
  <w:style w:type="paragraph" w:styleId="882" w:customStyle="1">
    <w:name w:val="题注1"/>
    <w:basedOn w:val="818"/>
    <w:next w:val="818"/>
    <w:uiPriority w:val="35"/>
    <w:qFormat/>
    <w:pPr>
      <w:spacing w:line="276" w:lineRule="auto"/>
    </w:pPr>
    <w:rPr>
      <w:b/>
      <w:bCs/>
      <w:color w:val="4f81bd"/>
      <w:sz w:val="18"/>
      <w:szCs w:val="18"/>
    </w:rPr>
  </w:style>
  <w:style w:type="paragraph" w:styleId="883" w:customStyle="1">
    <w:name w:val="文档结构图1"/>
    <w:basedOn w:val="818"/>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8"/>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8"/>
    <w:qFormat/>
    <w:rPr>
      <w:rFonts w:ascii="仿宋_GB2312" w:hAnsi="Arial" w:eastAsia="仿宋_GB2312"/>
      <w:sz w:val="32"/>
    </w:rPr>
  </w:style>
  <w:style w:type="paragraph" w:styleId="888" w:customStyle="1">
    <w:name w:val="正文文本1"/>
    <w:basedOn w:val="818"/>
    <w:next w:val="818"/>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8"/>
    <w:qFormat/>
    <w:pPr>
      <w:ind w:firstLine="600"/>
      <w:spacing w:line="400" w:lineRule="atLeast"/>
    </w:pPr>
    <w:rPr>
      <w:rFonts w:ascii="仿宋_GB2312" w:eastAsia="仿宋_GB2312"/>
      <w:bCs/>
      <w:sz w:val="24"/>
    </w:rPr>
  </w:style>
  <w:style w:type="paragraph" w:styleId="891" w:customStyle="1">
    <w:name w:val="列表项目符号 21"/>
    <w:basedOn w:val="818"/>
    <w:qFormat/>
    <w:pPr>
      <w:numPr>
        <w:numId w:val="1"/>
      </w:numPr>
    </w:pPr>
  </w:style>
  <w:style w:type="paragraph" w:styleId="892" w:customStyle="1">
    <w:name w:val="索引 41"/>
    <w:basedOn w:val="818"/>
    <w:next w:val="818"/>
    <w:semiHidden/>
    <w:qFormat/>
    <w:pPr>
      <w:ind w:left="1260"/>
    </w:pPr>
  </w:style>
  <w:style w:type="paragraph" w:styleId="893" w:customStyle="1">
    <w:name w:val="目录 51"/>
    <w:basedOn w:val="818"/>
    <w:next w:val="818"/>
    <w:uiPriority w:val="39"/>
    <w:unhideWhenUsed/>
    <w:qFormat/>
    <w:pPr>
      <w:ind w:left="1134"/>
      <w:spacing w:after="57"/>
    </w:pPr>
  </w:style>
  <w:style w:type="paragraph" w:styleId="894"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8"/>
    <w:next w:val="818"/>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8"/>
    <w:next w:val="818"/>
    <w:uiPriority w:val="39"/>
    <w:unhideWhenUsed/>
    <w:qFormat/>
    <w:pPr>
      <w:ind w:left="1984"/>
      <w:spacing w:after="57"/>
    </w:pPr>
  </w:style>
  <w:style w:type="paragraph" w:styleId="898"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9" w:customStyle="1">
    <w:name w:val="尾注文本1"/>
    <w:basedOn w:val="81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8"/>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8"/>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8"/>
    <w:next w:val="818"/>
    <w:uiPriority w:val="1"/>
    <w:qFormat/>
    <w:pPr>
      <w:ind w:left="1058"/>
      <w:spacing w:line="256" w:lineRule="exact"/>
    </w:pPr>
    <w:rPr>
      <w:sz w:val="21"/>
      <w:szCs w:val="21"/>
    </w:rPr>
  </w:style>
  <w:style w:type="paragraph" w:styleId="908" w:customStyle="1">
    <w:name w:val="副标题1"/>
    <w:basedOn w:val="818"/>
    <w:next w:val="818"/>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8"/>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8"/>
    <w:next w:val="818"/>
    <w:uiPriority w:val="39"/>
    <w:unhideWhenUsed/>
    <w:qFormat/>
    <w:pPr>
      <w:ind w:left="1417"/>
      <w:spacing w:after="57"/>
    </w:pPr>
  </w:style>
  <w:style w:type="paragraph" w:styleId="913" w:customStyle="1">
    <w:name w:val="图表目录1"/>
    <w:basedOn w:val="818"/>
    <w:next w:val="818"/>
    <w:uiPriority w:val="99"/>
    <w:unhideWhenUsed/>
    <w:qFormat/>
  </w:style>
  <w:style w:type="paragraph" w:styleId="914" w:customStyle="1">
    <w:name w:val="目录 21"/>
    <w:basedOn w:val="818"/>
    <w:next w:val="818"/>
    <w:uiPriority w:val="1"/>
    <w:qFormat/>
    <w:pPr>
      <w:ind w:left="218"/>
      <w:spacing w:before="43"/>
    </w:pPr>
    <w:rPr>
      <w:sz w:val="21"/>
      <w:szCs w:val="21"/>
    </w:rPr>
  </w:style>
  <w:style w:type="paragraph" w:styleId="915" w:customStyle="1">
    <w:name w:val="目录 91"/>
    <w:basedOn w:val="818"/>
    <w:next w:val="818"/>
    <w:uiPriority w:val="39"/>
    <w:unhideWhenUsed/>
    <w:qFormat/>
    <w:pPr>
      <w:ind w:left="2268"/>
      <w:spacing w:after="57"/>
    </w:pPr>
  </w:style>
  <w:style w:type="paragraph" w:styleId="916"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8"/>
    <w:next w:val="818"/>
    <w:unhideWhenUsed/>
    <w:qFormat/>
  </w:style>
  <w:style w:type="paragraph" w:styleId="918" w:customStyle="1">
    <w:name w:val="标题1"/>
    <w:basedOn w:val="818"/>
    <w:next w:val="818"/>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8"/>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rPr>
      <w:rFonts w:ascii="Times New Roman" w:hAnsi="Times New Roman"/>
    </w:rPr>
  </w:style>
  <w:style w:type="paragraph" w:styleId="930" w:customStyle="1">
    <w:name w:val="TOC 标题112"/>
    <w:uiPriority w:val="39"/>
    <w:unhideWhenUsed/>
    <w:qFormat/>
    <w:rPr>
      <w:rFonts w:ascii="Times New Roman" w:hAnsi="Times New Roman"/>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rPr>
      <w:rFonts w:ascii="Times New Roman" w:hAnsi="Times New Roman"/>
    </w:rPr>
  </w:style>
  <w:style w:type="paragraph" w:styleId="962" w:customStyle="1">
    <w:name w:val="首行缩进"/>
    <w:basedOn w:val="818"/>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rPr>
      <w:rFonts w:ascii="Times New Roman" w:hAnsi="Times New Roman"/>
    </w:rPr>
  </w:style>
  <w:style w:type="paragraph" w:styleId="968" w:customStyle="1">
    <w:name w:val="引用1"/>
    <w:basedOn w:val="818"/>
    <w:next w:val="818"/>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8"/>
    <w:next w:val="81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ascii="Times New Roman" w:hAnsi="Times New Roman"/>
    </w:rPr>
  </w:style>
  <w:style w:type="paragraph" w:styleId="1101" w:customStyle="1">
    <w:name w:val="正文1"/>
    <w:next w:val="818"/>
    <w:qFormat/>
    <w:pPr>
      <w:jc w:val="both"/>
      <w:widowControl w:val="off"/>
    </w:pPr>
    <w:rPr>
      <w:rFonts w:ascii="Times New Roman" w:hAnsi="Times New Roman" w:eastAsia="Times New Roman"/>
      <w:color w:val="000000"/>
      <w:sz w:val="21"/>
      <w:szCs w:val="21"/>
    </w:rPr>
  </w:style>
  <w:style w:type="paragraph" w:styleId="1102" w:customStyle="1">
    <w:name w:val="彩色列表1"/>
    <w:basedOn w:val="818"/>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8"/>
    <w:uiPriority w:val="1"/>
    <w:qFormat/>
    <w:pPr>
      <w:ind w:left="218" w:firstLine="419"/>
    </w:pPr>
  </w:style>
  <w:style w:type="paragraph" w:styleId="1105" w:customStyle="1">
    <w:name w:val="Table Paragraph"/>
    <w:basedOn w:val="818"/>
    <w:uiPriority w:val="1"/>
    <w:qFormat/>
  </w:style>
  <w:style w:type="paragraph" w:styleId="1106" w:customStyle="1">
    <w:name w:val="列出段落1"/>
    <w:basedOn w:val="818"/>
    <w:uiPriority w:val="99"/>
    <w:qFormat/>
    <w:rPr>
      <w:lang w:eastAsia="en-US"/>
    </w:rPr>
  </w:style>
  <w:style w:type="paragraph" w:styleId="1107" w:customStyle="1">
    <w:name w:val="ListBullet21"/>
    <w:basedOn w:val="818"/>
    <w:qFormat/>
    <w:pPr>
      <w:numPr>
        <w:numId w:val="2"/>
      </w:numPr>
      <w:tabs>
        <w:tab w:val="decimal" w:pos="780" w:leader="none"/>
      </w:tabs>
    </w:pPr>
  </w:style>
  <w:style w:type="paragraph" w:styleId="1108" w:customStyle="1">
    <w:name w:val="WPSOffice手动目录 1"/>
    <w:qFormat/>
    <w:rPr>
      <w:rFonts w:ascii="Times New Roman" w:hAnsi="Times New Roman"/>
    </w:rPr>
  </w:style>
  <w:style w:type="paragraph" w:styleId="1109" w:customStyle="1">
    <w:name w:val="WPSOffice手动目录 3"/>
    <w:qFormat/>
    <w:pPr>
      <w:ind w:left="400"/>
    </w:pPr>
    <w:rPr>
      <w:rFonts w:ascii="Times New Roman" w:hAnsi="Times New Roman"/>
    </w:rPr>
  </w:style>
  <w:style w:type="paragraph" w:styleId="1110" w:customStyle="1">
    <w:name w:val="WPSOffice手动目录 2"/>
    <w:qFormat/>
    <w:pPr>
      <w:ind w:left="200"/>
    </w:pPr>
    <w:rPr>
      <w:rFonts w:ascii="Times New Roman" w:hAnsi="Times New Roman"/>
    </w:r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sz w:val="21"/>
      <w:szCs w:val="22"/>
    </w:rPr>
  </w:style>
  <w:style w:type="paragraph" w:styleId="1113" w:customStyle="1">
    <w:name w:val="无间隔11"/>
    <w:qFormat/>
    <w:pPr>
      <w:jc w:val="both"/>
      <w:widowControl w:val="off"/>
    </w:pPr>
    <w:rPr>
      <w:rFonts w:ascii="Times New Roman" w:hAnsi="Times New Roman"/>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8"/>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8"/>
    <w:uiPriority w:val="99"/>
    <w:qFormat/>
    <w:pPr>
      <w:ind w:firstLine="420"/>
    </w:pPr>
  </w:style>
  <w:style w:type="paragraph" w:styleId="1122" w:customStyle="1">
    <w:name w:val="Default"/>
    <w:qFormat/>
    <w:pPr>
      <w:widowControl w:val="off"/>
    </w:pPr>
    <w:rPr>
      <w:rFonts w:ascii="Times New Roman" w:hAnsi="Times New Roman"/>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8"/>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8"/>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8"/>
    <w:qFormat/>
    <w:pPr>
      <w:ind w:firstLine="420"/>
      <w:jc w:val="both"/>
    </w:pPr>
    <w:rPr>
      <w:sz w:val="21"/>
      <w:szCs w:val="21"/>
    </w:rPr>
  </w:style>
  <w:style w:type="character" w:styleId="1136" w:customStyle="1">
    <w:name w:val="font21"/>
    <w:basedOn w:val="828"/>
    <w:qFormat/>
    <w:rPr>
      <w:rFonts w:hint="eastAsia" w:ascii="宋体" w:hAnsi="宋体" w:eastAsia="宋体" w:cs="宋体"/>
      <w:b/>
      <w:bCs/>
      <w:color w:val="000000"/>
      <w:sz w:val="20"/>
      <w:szCs w:val="20"/>
      <w:u w:val="none"/>
    </w:rPr>
  </w:style>
  <w:style w:type="character" w:styleId="1137" w:customStyle="1">
    <w:name w:val="批注框文本 Char1"/>
    <w:basedOn w:val="828"/>
    <w:link w:val="838"/>
    <w:uiPriority w:val="99"/>
    <w:semiHidden/>
    <w:qFormat/>
    <w:rPr>
      <w:rFonts w:ascii="宋体" w:hAnsi="宋体" w:cs="宋体"/>
      <w:sz w:val="18"/>
      <w:szCs w:val="18"/>
      <w:lang w:val="zh-CN" w:bidi="zh-CN"/>
    </w:rPr>
  </w:style>
  <w:style w:type="character" w:styleId="1138" w:customStyle="1">
    <w:name w:val="批注文字 Char1"/>
    <w:basedOn w:val="828"/>
    <w:link w:val="833"/>
    <w:uiPriority w:val="99"/>
    <w:semiHidden/>
    <w:qFormat/>
    <w:rPr>
      <w:rFonts w:ascii="宋体" w:hAnsi="宋体" w:cs="宋体"/>
      <w:sz w:val="22"/>
      <w:szCs w:val="22"/>
      <w:lang w:val="zh-CN" w:bidi="zh-CN"/>
    </w:rPr>
  </w:style>
  <w:style w:type="character" w:styleId="1139" w:customStyle="1">
    <w:name w:val="批注主题 Char1"/>
    <w:basedOn w:val="1138"/>
    <w:link w:val="850"/>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EB3C4E-C848-4E3F-91BB-7A73ED5CA87F}">
  <ds:schemaRefs>
    <ds:schemaRef ds:uri="http://schemas.openxmlformats.org/officeDocument/2006/bibliography"/>
  </ds:schemaRefs>
</ds:datastoreItem>
</file>

<file path=customXml/itemProps2.xml><?xml version="1.0" encoding="utf-8"?>
<ds:datastoreItem xmlns:ds="http://schemas.openxmlformats.org/officeDocument/2006/customXml" ds:itemID="{27D83BDE-C562-4CBF-A39E-1F94FC3E0AB7}">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73</cp:revision>
  <dcterms:created xsi:type="dcterms:W3CDTF">2026-06-08T06:27:00Z</dcterms:created>
  <dcterms:modified xsi:type="dcterms:W3CDTF">2026-07-23T01:11:29Z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7F48B505DFFC42AAA1E13BEA081E779C_13</vt:lpwstr>
  </property>
  <property fmtid="{D5CDD505-2E9C-101B-9397-08002B2CF9AE}" pid="4" name="KSOTemplateDocerSaveRecord">
    <vt:lpwstr>eyJoZGlkIjoiYmMzNTMyMTllYzg0ZTk1NjdhNTgzNTU1YThjYzE4NzkiLCJ1c2VySWQiOiIxMjQyNjU1NjQ1In0=</vt:lpwstr>
  </property>
</Properties>
</file>