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无锡市滨湖区政府采购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JSZC-320211-JSZH-G2026-0060</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2026年滨湖区室外全民健身设施采购项目</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八</w:t>
      </w:r>
      <w:r>
        <w:rPr>
          <w:rFonts w:hint="eastAsia" w:ascii="黑体" w:hAnsi="华文中宋" w:eastAsia="黑体"/>
          <w:bCs/>
          <w:color w:val="auto"/>
          <w:sz w:val="36"/>
          <w:szCs w:val="36"/>
          <w:highlight w:val="none"/>
        </w:rPr>
        <w:t xml:space="preserve">月</w:t>
      </w:r>
      <w:r/>
    </w:p>
    <w:p>
      <w:pPr>
        <w:jc w:val="center"/>
        <w:rPr>
          <w:rStyle w:val="1047"/>
          <w:rFonts w:eastAsia="黑体"/>
          <w:bCs/>
          <w:color w:val="auto"/>
          <w:sz w:val="48"/>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jc w:val="center"/>
        <w:rPr>
          <w:rStyle w:val="1047"/>
          <w:rFonts w:eastAsia="黑体"/>
          <w:bCs/>
          <w:color w:val="auto"/>
          <w:sz w:val="48"/>
          <w:highlight w:val="none"/>
        </w:rPr>
      </w:pPr>
      <w:r>
        <w:rPr>
          <w:rStyle w:val="1047"/>
          <w:rFonts w:hint="eastAsia" w:eastAsia="黑体"/>
          <w:bCs/>
          <w:color w:val="auto"/>
          <w:sz w:val="48"/>
          <w:highlight w:val="none"/>
        </w:rPr>
        <w:t xml:space="preserve">目</w:t>
      </w:r>
      <w:r>
        <w:rPr>
          <w:rStyle w:val="1047"/>
          <w:rFonts w:eastAsia="黑体"/>
          <w:bCs/>
          <w:color w:val="auto"/>
          <w:sz w:val="48"/>
          <w:highlight w:val="none"/>
        </w:rPr>
        <w:t xml:space="preserve">     </w:t>
      </w:r>
      <w:r>
        <w:rPr>
          <w:rStyle w:val="1047"/>
          <w:rFonts w:hint="eastAsia" w:eastAsia="黑体"/>
          <w:bCs/>
          <w:color w:val="auto"/>
          <w:sz w:val="48"/>
          <w:highlight w:val="none"/>
        </w:rPr>
        <w:t xml:space="preserve">录</w:t>
      </w:r>
      <w:r/>
    </w:p>
    <w:sdt>
      <w:sdtPr>
        <w15:appearance w15:val="boundingBox"/>
        <w15:color w:val="dbdbdb"/>
        <w:id w:val="147474145"/>
        <w:docPartObj>
          <w:docPartGallery w:val="Table of Contents"/>
          <w:docPartUnique w:val="true"/>
        </w:docPartObj>
        <w:rPr>
          <w:rFonts w:hint="default" w:ascii="宋体" w:hAnsi="宋体" w:eastAsia="宋体" w:cs="Times New Roman"/>
          <w:color w:val="auto"/>
          <w:sz w:val="21"/>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TOC \o "1-1" \h \u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_Toc3813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_Toc3813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_Toc16639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投标人须知</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_Toc16639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7</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_Toc19117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三、</w:t>
          </w:r>
          <w:r>
            <w:rPr>
              <w:rFonts w:hint="eastAsia" w:ascii="宋体" w:hAnsi="宋体" w:eastAsia="宋体" w:cs="宋体"/>
              <w:b/>
              <w:bCs w:val="0"/>
              <w:color w:val="auto"/>
              <w:sz w:val="32"/>
              <w:szCs w:val="32"/>
              <w:highlight w:val="none"/>
            </w:rPr>
            <w:t xml:space="preserve">项目技术要求和有关说明</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_Toc19117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19</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_Toc6432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四、</w:t>
          </w:r>
          <w:r>
            <w:rPr>
              <w:rFonts w:hint="eastAsia" w:ascii="宋体" w:hAnsi="宋体" w:eastAsia="宋体" w:cs="宋体"/>
              <w:b/>
              <w:bCs w:val="0"/>
              <w:color w:val="auto"/>
              <w:sz w:val="32"/>
              <w:szCs w:val="32"/>
              <w:highlight w:val="none"/>
            </w:rPr>
            <w:t xml:space="preserve">合同书（格式文本）</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_Toc6432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33</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_Toc18691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五、</w:t>
          </w:r>
          <w:r>
            <w:rPr>
              <w:rFonts w:hint="eastAsia" w:ascii="宋体" w:hAnsi="宋体" w:eastAsia="宋体" w:cs="宋体"/>
              <w:b/>
              <w:bCs w:val="0"/>
              <w:color w:val="auto"/>
              <w:sz w:val="32"/>
              <w:szCs w:val="32"/>
              <w:highlight w:val="none"/>
            </w:rPr>
            <w:t xml:space="preserve">合同条款（格式）</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_Toc18691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34</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93"/>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_Toc3731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pacing w:val="-4"/>
              <w:sz w:val="32"/>
              <w:szCs w:val="32"/>
              <w:highlight w:val="none"/>
              <w:lang w:eastAsia="zh-CN"/>
            </w:rPr>
            <w:t xml:space="preserve">六、</w:t>
          </w:r>
          <w:r>
            <w:rPr>
              <w:rFonts w:hint="eastAsia" w:ascii="宋体" w:hAnsi="宋体" w:eastAsia="宋体" w:cs="宋体"/>
              <w:b/>
              <w:bCs w:val="0"/>
              <w:color w:val="auto"/>
              <w:sz w:val="32"/>
              <w:szCs w:val="32"/>
              <w:highlight w:val="none"/>
            </w:rPr>
            <w:t xml:space="preserve">附件</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_Toc3731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38</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jc w:val="center"/>
            <w:rPr>
              <w:rFonts w:hint="default" w:ascii="黑体" w:hAnsi="Times New Roman" w:eastAsia="黑体" w:cs="Times New Roman"/>
              <w:bCs/>
              <w:color w:val="auto"/>
              <w:sz w:val="21"/>
              <w:highlight w:val="none"/>
              <w:lang w:val="en-US" w:eastAsia="zh-CN" w:bidi="ar-SA"/>
            </w:rPr>
          </w:pPr>
          <w:r>
            <w:rPr>
              <w:rFonts w:hint="eastAsia" w:ascii="宋体" w:hAnsi="宋体" w:eastAsia="宋体" w:cs="宋体"/>
              <w:b/>
              <w:bCs w:val="0"/>
              <w:color w:val="auto"/>
              <w:sz w:val="32"/>
              <w:szCs w:val="32"/>
              <w:highlight w:val="none"/>
            </w:rPr>
            <w:fldChar w:fldCharType="end"/>
          </w:r>
          <w:r/>
        </w:p>
      </w:sdtContent>
    </w:sdt>
    <w:p>
      <w:pPr>
        <w:pStyle w:val="808"/>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3813"/>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无锡市滨湖区文化体育和旅游局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2026年滨湖区室外全民健身设施采购项目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2026年滨湖区室外全民健身设施采购项目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JSZC-320211-JSZH-G2026-0060</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3.供货期：30日历天完成供货、安装及相关服务；</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241.98万元</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最高限价：235.8168万元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无锡市滨湖区文化体育和旅游局</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宋体" w:hAnsi="宋体"/>
          <w:color w:val="auto"/>
          <w:sz w:val="24"/>
          <w:szCs w:val="24"/>
          <w:highlight w:val="none"/>
        </w:rPr>
        <w:t xml:space="preserve">1.</w:t>
      </w:r>
      <w:r>
        <w:rPr>
          <w:rFonts w:ascii="宋体" w:hAnsi="宋体" w:cs="宋体"/>
          <w:color w:val="auto"/>
          <w:sz w:val="24"/>
          <w:highlight w:val="none"/>
        </w:rPr>
        <w:t xml:space="preserve">满足《中华人民共和国政府采购法》第二十二条</w:t>
      </w:r>
      <w:r>
        <w:rPr>
          <w:rFonts w:hint="eastAsia" w:ascii="宋体" w:hAnsi="宋体" w:cs="宋体"/>
          <w:color w:val="auto"/>
          <w:sz w:val="24"/>
          <w:highlight w:val="none"/>
          <w:lang w:eastAsia="zh-CN"/>
        </w:rPr>
        <w:t xml:space="preserve">规定</w:t>
      </w:r>
      <w:r>
        <w:rPr>
          <w:rFonts w:hint="eastAsia" w:ascii="宋体" w:hAnsi="宋体"/>
          <w:color w:val="auto"/>
          <w:sz w:val="24"/>
          <w:szCs w:val="24"/>
          <w:highlight w:val="none"/>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（3）CA驱动下载：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技术服务电话：0510-81827781（服务时间：工作日 9:00-11:30，13:00-17:00）</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"http://cz.wuxi.gov.cn/doc/2023/10/11/4080287.shtml" \t "_blank"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“苏采云”系统供应商操作手册</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w:t>
      </w:r>
      <w:r/>
    </w:p>
    <w:p>
      <w:pPr>
        <w:ind w:firstLine="480"/>
        <w:spacing w:line="360" w:lineRule="auto"/>
        <w:rPr>
          <w:rFonts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https://jszfcg.jsczt.cn/jszc/login</w:t>
      </w:r>
      <w:r>
        <w:rPr>
          <w:rFonts w:hint="eastAsia" w:ascii="宋体" w:hAnsi="宋体" w:eastAsia="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月10</w:t>
      </w:r>
      <w:r>
        <w:rPr>
          <w:rFonts w:hint="eastAsia" w:ascii="宋体" w:hAnsi="宋体" w:cs="宋体"/>
          <w:color w:val="auto"/>
          <w:sz w:val="24"/>
          <w:szCs w:val="24"/>
          <w:highlight w:val="none"/>
        </w:rPr>
        <w:t xml:space="preserve">日17:00前，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JSZC-320211-JSZH-G2026-0060</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rPr>
          <w:rFonts w:hint="eastAsia" w:ascii="宋体" w:hAnsi="宋体"/>
          <w:bCs/>
          <w:color w:val="auto"/>
          <w:sz w:val="24"/>
          <w:szCs w:val="24"/>
          <w:highlight w:val="none"/>
        </w:rPr>
        <w:t xml:space="preserve">。</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无锡市滨湖区公共资源交易中心三楼评标室（无锡市滨湖区隐秀路152号）</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本次采购联系方式</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采购人：无锡市滨湖区文化体育和旅游局</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采购人地址：无锡市滨湖区金城西路500号</w:t>
      </w:r>
      <w:r/>
    </w:p>
    <w:p>
      <w:pPr>
        <w:pStyle w:val="1039"/>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联系人：</w:t>
      </w:r>
      <w:r>
        <w:rPr>
          <w:rFonts w:hint="eastAsia" w:cs="宋体"/>
          <w:color w:val="auto"/>
          <w:highlight w:val="none"/>
          <w:lang w:eastAsia="zh-CN"/>
        </w:rPr>
        <w:t xml:space="preserve">周鸣</w:t>
      </w:r>
      <w:r/>
    </w:p>
    <w:p>
      <w:pPr>
        <w:pStyle w:val="1039"/>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联系电话：</w:t>
      </w:r>
      <w:r>
        <w:rPr>
          <w:rFonts w:hint="eastAsia" w:cs="宋体"/>
          <w:color w:val="auto"/>
          <w:highlight w:val="none"/>
          <w:lang w:eastAsia="zh-CN"/>
        </w:rPr>
        <w:t xml:space="preserve">0510-81173077</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1039"/>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1039"/>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39"/>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1039"/>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39"/>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039"/>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2" w:name="_Toc16639"/>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投标人须知</w:t>
      </w:r>
      <w:bookmarkEnd w:id="2"/>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numPr>
          <w:ilvl w:val="0"/>
          <w:numId w:val="0"/>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https://jszfcg.jsczt.cn/jszc/login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59"/>
        <w:numPr>
          <w:ilvl w:val="1"/>
          <w:numId w:val="3"/>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59"/>
        <w:numPr>
          <w:ilvl w:val="1"/>
          <w:numId w:val="3"/>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w:t>
      </w:r>
      <w:r>
        <w:rPr>
          <w:rFonts w:hint="eastAsia" w:ascii="宋体" w:hAnsi="宋体"/>
          <w:bCs/>
          <w:color w:val="auto"/>
          <w:sz w:val="24"/>
          <w:szCs w:val="24"/>
          <w:highlight w:val="none"/>
        </w:rPr>
        <w:t xml:space="preserve">年度的审计报告和所附已审财务报告；</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8.关于符合本国产品标准的声明函</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9.</w:t>
      </w:r>
      <w:r>
        <w:rPr>
          <w:rFonts w:hint="eastAsia" w:ascii="宋体" w:hAnsi="宋体"/>
          <w:bCs/>
          <w:color w:val="auto"/>
          <w:sz w:val="24"/>
          <w:szCs w:val="24"/>
          <w:highlight w:val="none"/>
        </w:rPr>
        <w:t xml:space="preserve">技术文件（内容参照评标办法）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762" w:hanging="210"/>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投标供应商未按招标文件要求解密电子投标文件的；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投标供应商的法定代表人授权代表，无法定代表人授权委托书的；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被“信用中国”网站（</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HYPERLINK "http://www.creditchina.gov.cn"</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 w:val="24"/>
          <w:szCs w:val="24"/>
          <w:highlight w:val="none"/>
        </w:rPr>
        <w:t xml:space="preserve">www.creditchina.gov.cn</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sz w:val="24"/>
          <w:szCs w:val="24"/>
          <w:highlight w:val="none"/>
        </w:rPr>
        <w:t xml:space="preserve">）、中国政府采购网</w:t>
      </w:r>
      <w:r>
        <w:rPr>
          <w:rFonts w:hint="eastAsia"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www.ccgp.gov.cn</w:t>
      </w:r>
      <w:r>
        <w:rPr>
          <w:rFonts w:hint="eastAsia"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w:t>
      </w:r>
      <w:r>
        <w:rPr>
          <w:rFonts w:hint="eastAsia" w:ascii="Times New Roman" w:hAnsi="Times New Roman" w:eastAsia="宋体" w:cs="Times New Roman"/>
          <w:bCs/>
          <w:color w:val="auto"/>
          <w:sz w:val="24"/>
          <w:szCs w:val="24"/>
          <w:highlight w:val="none"/>
        </w:rPr>
        <w:t xml:space="preserve">文件中技术文件暗标部分有体现投标人身份的内容；</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不同投标供应商委托同一单位或者个人办理投标事宜的；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不同投标供应商的单位负责人为同一人或者存在直接控股、管理关系的；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hint="default" w:ascii="宋体" w:hAnsi="宋体"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投标文件含有采购人不能接受的附加条件的；</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24.根据《财政部关于推动解决政府采购异常低价问题的通知》（财库〔2026〕2号）要求，政府采购评审中出现下列情形之一的，评审委员会应当启动异常低价投标（响应）审查程序：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（3）投标（响应）报价低于采购项目最高限价45%的，即投标（响应）报价＜采购项目最高限价×45%；</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相关法律法规对供应商报价有规定的，从其规定。</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投标文件内容不全或不符合招标文件中规定</w:t>
      </w:r>
      <w:r>
        <w:rPr>
          <w:rFonts w:hint="eastAsia" w:ascii="Times New Roman" w:hAnsi="Times New Roman" w:eastAsia="宋体" w:cs="Times New Roman"/>
          <w:bCs/>
          <w:color w:val="auto"/>
          <w:sz w:val="24"/>
          <w:szCs w:val="24"/>
          <w:highlight w:val="none"/>
        </w:rPr>
        <w:t xml:space="preserve">的其他</w:t>
      </w:r>
      <w:r>
        <w:rPr>
          <w:rFonts w:hint="default" w:ascii="Times New Roman" w:hAnsi="Times New Roman" w:eastAsia="宋体" w:cs="Times New Roman"/>
          <w:bCs/>
          <w:color w:val="auto"/>
          <w:sz w:val="24"/>
          <w:szCs w:val="24"/>
          <w:highlight w:val="none"/>
        </w:rPr>
        <w:t xml:space="preserve">实质性要求的；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法律法规和招标文件规定</w:t>
      </w:r>
      <w:r>
        <w:rPr>
          <w:rFonts w:hint="eastAsia" w:ascii="Times New Roman" w:hAnsi="Times New Roman" w:eastAsia="宋体" w:cs="Times New Roman"/>
          <w:bCs/>
          <w:color w:val="auto"/>
          <w:sz w:val="24"/>
          <w:szCs w:val="24"/>
          <w:highlight w:val="none"/>
        </w:rPr>
        <w:t xml:space="preserve">的其他</w:t>
      </w:r>
      <w:r>
        <w:rPr>
          <w:rFonts w:hint="default" w:ascii="Times New Roman" w:hAnsi="Times New Roman" w:eastAsia="宋体" w:cs="Times New Roman"/>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1.1</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在此基础上打八折计取。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3" w:name="_Toc19117"/>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bookmarkEnd w:id="3"/>
      <w:r/>
      <w:r/>
    </w:p>
    <w:p>
      <w:pPr>
        <w:ind w:firstLine="480"/>
        <w:spacing w:line="360" w:lineRule="auto"/>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投标人所投内容必须满足以下要求，不得有负偏离。</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本项目中的二位太空漫步机为核心产品。</w:t>
      </w:r>
      <w:r/>
    </w:p>
    <w:p>
      <w:pPr>
        <w:ind w:left="720" w:hanging="72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一、基本要求</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1.202</w:t>
      </w:r>
      <w:r>
        <w:rPr>
          <w:rFonts w:hint="default"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年滨湖区室外全民健身设施采购项目，包括二位太空漫步机、上肢牵引器、二位太极揉推器、腰背按摩器、仰卧起坐板、二位蹬力器、三位扭腰器、</w:t>
      </w:r>
      <w:r>
        <w:rPr>
          <w:rFonts w:hint="eastAsia" w:ascii="宋体" w:hAnsi="宋体" w:cs="宋体"/>
          <w:color w:val="auto"/>
          <w:sz w:val="24"/>
          <w:highlight w:val="none"/>
          <w:lang w:val="en-US" w:eastAsia="zh-CN" w:bidi="ar"/>
        </w:rPr>
        <w:t xml:space="preserve">坐立式背部按摩揉推器</w:t>
      </w:r>
      <w:r>
        <w:rPr>
          <w:rFonts w:hint="eastAsia" w:ascii="宋体" w:hAnsi="宋体" w:eastAsia="宋体" w:cs="宋体"/>
          <w:color w:val="auto"/>
          <w:sz w:val="24"/>
          <w:szCs w:val="24"/>
          <w:highlight w:val="none"/>
        </w:rPr>
        <w:t xml:space="preserve">、二位单杠、告示牌、双杠、骑马机、肋木架、伸腰展背架、臂力训练器、钟摆训练器、室外乒乓球桌、室内乒乓球桌、网球场、匹克球场（内含6片）、</w:t>
      </w:r>
      <w:bookmarkStart w:id="4" w:name="_Hlk229729420"/>
      <w:r>
        <w:rPr>
          <w:rFonts w:hint="eastAsia" w:ascii="宋体" w:hAnsi="宋体" w:eastAsia="宋体" w:cs="宋体"/>
          <w:color w:val="auto"/>
          <w:sz w:val="24"/>
          <w:szCs w:val="24"/>
          <w:highlight w:val="none"/>
        </w:rPr>
        <w:t xml:space="preserve">运动场智能门禁</w:t>
      </w:r>
      <w:bookmarkEnd w:id="4"/>
      <w:r>
        <w:rPr>
          <w:rFonts w:hint="eastAsia" w:ascii="宋体" w:hAnsi="宋体" w:eastAsia="宋体" w:cs="宋体"/>
          <w:color w:val="auto"/>
          <w:sz w:val="24"/>
          <w:szCs w:val="24"/>
          <w:highlight w:val="none"/>
        </w:rPr>
        <w:t xml:space="preserve">等，数量及技术参数详见采购清单。</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2.供货期：30日历天完成供货、安装及相关服务；误期违约金：2000元/天；</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3.质量要求：合格标准；质量违约金：合同价的5%；</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4.质保期：不少于八年。（自交货验收合格之日起计）；</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5.保修期：2年；</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6.维修响应时间：接到报修电话后2小时内响应，8小时内赶到报修现场，24小时内修理完毕；</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7.检查维护要求：在保修期2年内，每半年至少进行一次所供器材的检查维护，并经使用单位和当地体育部门签字盖章确认后反馈至采购人；</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8.定位要求：在健身器材安装完毕并投入使用后，统一进行器材定位工作，制作二维码并将器材绑定至江苏省报修平台。</w:t>
      </w:r>
      <w:r/>
    </w:p>
    <w:p>
      <w:pPr>
        <w:ind w:firstLine="480"/>
        <w:spacing w:line="360" w:lineRule="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9.验收要求：器材安装前后需要有采购方组织验收，并有第三方检验检测认证机构或具有相应资质的技术力量参与，验收后方可投入使用；若验收无法通过造成损失由供应商全部承担。</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10.本项目采购预算为：24</w:t>
      </w:r>
      <w:r>
        <w:rPr>
          <w:rFonts w:hint="default" w:ascii="宋体" w:hAnsi="宋体" w:eastAsia="宋体" w:cs="宋体"/>
          <w:color w:val="auto"/>
          <w:sz w:val="24"/>
          <w:szCs w:val="24"/>
          <w:highlight w:val="none"/>
        </w:rPr>
        <w:t xml:space="preserve">1.98</w:t>
      </w:r>
      <w:r>
        <w:rPr>
          <w:rFonts w:hint="eastAsia" w:ascii="宋体" w:hAnsi="宋体" w:eastAsia="宋体" w:cs="宋体"/>
          <w:color w:val="auto"/>
          <w:sz w:val="24"/>
          <w:szCs w:val="24"/>
          <w:highlight w:val="none"/>
        </w:rPr>
        <w:t xml:space="preserve">万元。</w:t>
      </w:r>
      <w:r/>
    </w:p>
    <w:p>
      <w:pPr>
        <w:ind w:firstLine="48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11.本项目最高限价为：</w:t>
      </w:r>
      <w:r>
        <w:rPr>
          <w:rFonts w:hint="eastAsia" w:ascii="宋体" w:hAnsi="宋体" w:cs="宋体"/>
          <w:color w:val="auto"/>
          <w:sz w:val="24"/>
          <w:szCs w:val="24"/>
          <w:highlight w:val="none"/>
          <w:lang w:val="en-US" w:eastAsia="zh-CN"/>
        </w:rPr>
        <w:t xml:space="preserve">235.8168万元</w:t>
      </w:r>
      <w:r/>
    </w:p>
    <w:p>
      <w:pPr>
        <w:ind w:left="720" w:hanging="720"/>
        <w:jc w:val="left"/>
        <w:spacing w:line="360"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二、采购数量及技术参数</w:t>
      </w:r>
      <w:r/>
    </w:p>
    <w:p>
      <w:pPr>
        <w:jc w:val="left"/>
        <w:spacing w:line="360" w:lineRule="auto"/>
        <w:tabs>
          <w:tab w:val="left" w:pos="208"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1.一代全民健身路径262件</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2.室外乒乓球桌2张</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3.室内乒乓球桌2张</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4.网球场8套</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5.匹克球场1套（内含6片匹克球场地）</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6.运动场智能门禁1套</w:t>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三、产品清单及技术要求</w:t>
      </w:r>
      <w:r/>
    </w:p>
    <w:tbl>
      <w:tblPr>
        <w:tblStyle w:val="781"/>
        <w:tblW w:w="5137" w:type="pct"/>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4902"/>
        <w:gridCol w:w="2965"/>
        <w:gridCol w:w="1537"/>
      </w:tblGrid>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二位太空漫步机</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上肢牵引器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二位太极揉推器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腰背按摩器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仰卧起坐板</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二位蹬力器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三位扭腰器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cs="宋体"/>
                <w:color w:val="auto"/>
                <w:sz w:val="24"/>
                <w:highlight w:val="none"/>
                <w:lang w:val="en-US" w:eastAsia="zh-CN" w:bidi="ar"/>
              </w:rPr>
              <w:t xml:space="preserve">坐立式背部按摩揉推器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二位单杠</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告示牌</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双杠</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骑马机</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肋木架</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伸腰展背架</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臂力训练器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钟摆训练器</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w:t>
            </w:r>
            <w:r>
              <w:rPr>
                <w:rFonts w:hint="eastAsia" w:ascii="宋体" w:hAnsi="宋体" w:eastAsia="宋体" w:cs="宋体"/>
                <w:bCs/>
                <w:color w:val="auto"/>
                <w:sz w:val="24"/>
                <w:szCs w:val="24"/>
                <w:highlight w:val="none"/>
                <w:lang w:bidi="ar"/>
              </w:rPr>
              <w:t xml:space="preserve">乒乓球桌</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室内乒乓球桌</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2</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网球场</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8</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匹克球场（内含6片）</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r>
      <w:tr>
        <w:trPr>
          <w:trHeight w:val="479"/>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394"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rPr>
              <w:t xml:space="preserve">运动场智能门禁</w:t>
            </w:r>
            <w:r/>
          </w:p>
        </w:tc>
        <w:tc>
          <w:tcPr>
            <w:tcBorders>
              <w:top w:val="single" w:color="000000" w:sz="4" w:space="0"/>
              <w:left w:val="single" w:color="000000" w:sz="4" w:space="0"/>
              <w:bottom w:val="single" w:color="000000" w:sz="4" w:space="0"/>
              <w:right w:val="single" w:color="000000" w:sz="4" w:space="0"/>
            </w:tcBorders>
            <w:tcW w:w="1448"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r>
    </w:tbl>
    <w:p>
      <w:pPr>
        <w:spacing w:line="360" w:lineRule="auto"/>
        <w:rPr>
          <w:rFonts w:hint="eastAsia" w:ascii="宋体" w:hAnsi="宋体" w:cs="宋体"/>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2"/>
          <w:cols w:num="1" w:sep="0" w:space="720" w:equalWidth="1"/>
          <w:docGrid w:linePitch="360"/>
        </w:sectPr>
      </w:pPr>
      <w:r>
        <w:rPr>
          <w:rFonts w:hint="eastAsia" w:ascii="宋体" w:hAnsi="宋体" w:cs="宋体"/>
          <w:color w:val="auto"/>
          <w:sz w:val="24"/>
          <w:szCs w:val="24"/>
          <w:highlight w:val="none"/>
        </w:rPr>
      </w:r>
      <w:r/>
    </w:p>
    <w:p>
      <w:pPr>
        <w:ind w:firstLine="0"/>
        <w:jc w:val="both"/>
        <w:spacing w:after="0" w:line="360" w:lineRule="auto"/>
        <w:widowControl w:val="off"/>
        <w:rPr>
          <w:rFonts w:hint="eastAsia" w:ascii="宋体" w:hAnsi="宋体" w:eastAsia="宋体" w:cs="宋体"/>
          <w:b/>
          <w:bCs w:val="0"/>
          <w:color w:val="auto"/>
          <w:sz w:val="24"/>
          <w:szCs w:val="24"/>
          <w:highlight w:val="none"/>
          <w:lang w:val="en-US" w:eastAsia="zh-CN" w:bidi="mn-Mong-CN"/>
        </w:rPr>
      </w:pPr>
      <w:r>
        <w:rPr>
          <w:rFonts w:hint="eastAsia" w:ascii="宋体" w:hAnsi="宋体" w:eastAsia="宋体" w:cs="宋体"/>
          <w:b/>
          <w:bCs w:val="0"/>
          <w:color w:val="auto"/>
          <w:sz w:val="24"/>
          <w:szCs w:val="24"/>
          <w:highlight w:val="none"/>
          <w:lang w:val="en-US" w:eastAsia="zh-CN" w:bidi="mn-Mong-CN"/>
        </w:rPr>
        <w:t xml:space="preserve">技术要求：</w:t>
      </w:r>
      <w:r/>
    </w:p>
    <w:tbl>
      <w:tblPr>
        <w:tblStyle w:val="781"/>
        <w:tblW w:w="5042" w:type="pct"/>
        <w:jc w:val="center"/>
        <w:tblLayout w:type="fixed"/>
        <w:tblCellMar>
          <w:left w:w="108" w:type="dxa"/>
          <w:top w:w="0" w:type="dxa"/>
          <w:right w:w="108" w:type="dxa"/>
          <w:bottom w:w="0" w:type="dxa"/>
        </w:tblCellMar>
        <w:tblLook w:val="04A0" w:firstRow="1" w:lastRow="0" w:firstColumn="1" w:lastColumn="0" w:noHBand="0" w:noVBand="1"/>
      </w:tblPr>
      <w:tblGrid>
        <w:gridCol w:w="768"/>
        <w:gridCol w:w="900"/>
        <w:gridCol w:w="8554"/>
      </w:tblGrid>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二位太空漫步机</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1.主要承载立柱尺寸不小于φ114×3.0mm，材质为热镀锌管；</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2.主要承载横梁尺寸不小于80×40×3.0mm；</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3.摆杆选用不小于φ60×3.0mm管材；</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4.摆杆与主立柱内侧的最小距离处</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70mm；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1900mm×500mm×1200mm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500×500×600mm。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上肢牵引器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φ76×3.0mm；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△3、尺寸</w:t>
            </w:r>
            <w:r>
              <w:rPr>
                <w:rFonts w:hint="eastAsia" w:ascii="宋体" w:hAnsi="宋体" w:eastAsia="宋体" w:cs="宋体"/>
                <w:bCs/>
                <w:color w:val="auto"/>
                <w:sz w:val="24"/>
                <w:szCs w:val="24"/>
                <w:highlight w:val="none"/>
              </w:rPr>
              <w:t xml:space="preserve">不小于800</w:t>
            </w:r>
            <w:r>
              <w:rPr>
                <w:rFonts w:hint="eastAsia" w:ascii="宋体" w:hAnsi="宋体" w:eastAsia="宋体" w:cs="宋体"/>
                <w:color w:val="auto"/>
                <w:sz w:val="24"/>
                <w:szCs w:val="24"/>
                <w:highlight w:val="none"/>
              </w:rPr>
              <w:t xml:space="preserve">mm</w:t>
            </w:r>
            <w:r>
              <w:rPr>
                <w:rFonts w:hint="eastAsia" w:ascii="宋体" w:hAnsi="宋体" w:eastAsia="宋体" w:cs="宋体"/>
                <w:bCs/>
                <w:color w:val="auto"/>
                <w:sz w:val="24"/>
                <w:szCs w:val="24"/>
                <w:highlight w:val="none"/>
              </w:rPr>
              <w:t xml:space="preserve">×600</w:t>
            </w:r>
            <w:r>
              <w:rPr>
                <w:rFonts w:hint="eastAsia" w:ascii="宋体" w:hAnsi="宋体" w:eastAsia="宋体" w:cs="宋体"/>
                <w:color w:val="auto"/>
                <w:sz w:val="24"/>
                <w:szCs w:val="24"/>
                <w:highlight w:val="none"/>
              </w:rPr>
              <w:t xml:space="preserve">mm</w:t>
            </w:r>
            <w:r>
              <w:rPr>
                <w:rFonts w:hint="eastAsia" w:ascii="宋体" w:hAnsi="宋体" w:eastAsia="宋体" w:cs="宋体"/>
                <w:bCs/>
                <w:color w:val="auto"/>
                <w:sz w:val="24"/>
                <w:szCs w:val="24"/>
                <w:highlight w:val="none"/>
              </w:rPr>
              <w:t xml:space="preserve">×2500mm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600mm；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5、地基尺寸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500×500×700mm。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二位太极揉推器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φ60×3.0mm；</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3.转盘为铁盘，</w:t>
            </w:r>
            <w:r>
              <w:rPr>
                <w:rFonts w:hint="eastAsia" w:ascii="宋体" w:hAnsi="宋体" w:eastAsia="宋体" w:cs="宋体"/>
                <w:bCs/>
                <w:color w:val="auto"/>
                <w:sz w:val="24"/>
                <w:szCs w:val="24"/>
                <w:highlight w:val="none"/>
              </w:rPr>
              <w:t xml:space="preserve">两转盘间的开口距离不小于400mm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1200mm×1100mm×1300mm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500×500×600mm。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腰背按摩器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80mm×40mm×3.0mm；</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按摩轮与刚性固定部件最小距离不小于64mm；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4、尺寸不小于</w:t>
            </w:r>
            <w:r>
              <w:rPr>
                <w:rFonts w:hint="eastAsia" w:ascii="宋体" w:hAnsi="宋体" w:eastAsia="宋体" w:cs="宋体"/>
                <w:color w:val="auto"/>
                <w:sz w:val="24"/>
                <w:szCs w:val="24"/>
                <w:highlight w:val="none"/>
              </w:rPr>
              <w:t xml:space="preserve">900mm×700mm×1400mm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500mm；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600×600×600mm。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仰卧起坐板</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1.主要承载立柱尺寸不小于φ50×3.0mm，材质为热镀锌管；</w:t>
            </w:r>
            <w:r>
              <w:rPr>
                <w:rFonts w:hint="eastAsia" w:ascii="宋体" w:hAnsi="宋体" w:eastAsia="宋体" w:cs="宋体"/>
                <w:color w:val="auto"/>
                <w:sz w:val="24"/>
                <w:szCs w:val="24"/>
                <w:highlight w:val="none"/>
              </w:rPr>
              <w:t xml:space="preserve">主要承载横梁尺寸</w:t>
            </w:r>
            <w:r>
              <w:rPr>
                <w:rFonts w:hint="eastAsia" w:ascii="宋体" w:hAnsi="宋体" w:eastAsia="宋体" w:cs="宋体"/>
                <w:bCs/>
                <w:color w:val="auto"/>
                <w:sz w:val="24"/>
                <w:szCs w:val="24"/>
                <w:highlight w:val="none"/>
              </w:rPr>
              <w:t xml:space="preserve">不小于φ50×3.0mm；</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2.面板采用</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2.0mm厚的钢板冲压成型；</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3.压腿管规格不小于φ</w:t>
            </w:r>
            <w:r>
              <w:rPr>
                <w:rFonts w:hint="eastAsia" w:ascii="宋体" w:hAnsi="宋体" w:eastAsia="宋体" w:cs="宋体"/>
                <w:color w:val="auto"/>
                <w:sz w:val="24"/>
                <w:szCs w:val="24"/>
                <w:highlight w:val="none"/>
              </w:rPr>
              <w:t xml:space="preserve">50×3.0mm；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4、尺寸不小于1600mm×600mm×800mm。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400mm；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750×400×500</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二位蹬力器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φ60×3.0mm；</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3.转轴直径</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30mm；限位轴直径</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20mm；</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4.蹬力器摆杆有内限位装置，蹬力器摆杆规格不小于φ60×3mm；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2100mm×600mm×1700mm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500</w:t>
            </w:r>
            <w:r>
              <w:rPr>
                <w:rFonts w:hint="eastAsia" w:ascii="宋体" w:hAnsi="宋体" w:eastAsia="宋体" w:cs="宋体"/>
                <w:color w:val="auto"/>
                <w:sz w:val="24"/>
                <w:szCs w:val="24"/>
                <w:highlight w:val="none"/>
              </w:rPr>
              <w:t xml:space="preserve"> 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500×500×600</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三位扭腰器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1.主要承载立柱尺寸不小于φ76mm×3.0mm，材质为热镀锌管；</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2.扶手管尺寸不小于φ32×2.0mm</w:t>
            </w:r>
            <w:r/>
          </w:p>
          <w:p>
            <w:pPr>
              <w:jc w:val="left"/>
              <w:spacing w:line="360" w:lineRule="auto"/>
              <w:tabs>
                <w:tab w:val="left" w:pos="273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3.扭腰盘采用热镀锌板材质，壁厚不小于4mm，表面有防滑花纹；</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4.扭腰盘</w:t>
            </w:r>
            <w:r>
              <w:rPr>
                <w:rFonts w:hint="eastAsia" w:ascii="宋体" w:hAnsi="宋体" w:eastAsia="宋体" w:cs="宋体"/>
                <w:color w:val="auto"/>
                <w:sz w:val="24"/>
                <w:szCs w:val="24"/>
                <w:highlight w:val="none"/>
              </w:rPr>
              <w:t xml:space="preserve">采用热镀锌板，增加防腐和耐磨性能。</w:t>
            </w:r>
            <w:r>
              <w:rPr>
                <w:rFonts w:hint="eastAsia" w:ascii="宋体" w:hAnsi="宋体" w:eastAsia="宋体" w:cs="宋体"/>
                <w:bCs/>
                <w:color w:val="auto"/>
                <w:sz w:val="24"/>
                <w:szCs w:val="24"/>
                <w:highlight w:val="none"/>
              </w:rPr>
              <w:t xml:space="preserve">脚踏板有防滑措施，单脚站立防滑面积不小于32000</w:t>
            </w:r>
            <w:r>
              <w:rPr>
                <w:rFonts w:hint="eastAsia" w:ascii="宋体" w:hAnsi="宋体" w:eastAsia="宋体" w:cs="宋体"/>
                <w:color w:val="auto"/>
                <w:sz w:val="24"/>
                <w:szCs w:val="24"/>
                <w:highlight w:val="none"/>
              </w:rPr>
              <w:t xml:space="preserve">mm²，摩擦系数</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0.5；</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φ1400mm×1200mm。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1370×1200×600</w:t>
            </w:r>
            <w:r>
              <w:rPr>
                <w:rFonts w:hint="eastAsia" w:ascii="宋体" w:hAnsi="宋体" w:eastAsia="宋体" w:cs="Times New Roman"/>
                <w:bCs/>
                <w:color w:val="auto"/>
                <w:sz w:val="24"/>
                <w:szCs w:val="24"/>
                <w:highlight w:val="none"/>
              </w:rPr>
              <w:t xml:space="preserve"> </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cs="宋体"/>
                <w:color w:val="auto"/>
                <w:sz w:val="24"/>
                <w:highlight w:val="none"/>
                <w:lang w:val="en-US" w:eastAsia="zh-CN" w:bidi="ar"/>
              </w:rPr>
              <w:t xml:space="preserve">坐立式背部按摩揉推器</w:t>
            </w:r>
            <w:r/>
          </w:p>
        </w:tc>
        <w:tc>
          <w:tcPr>
            <w:tcBorders>
              <w:top w:val="single" w:color="000000" w:sz="4" w:space="0"/>
              <w:left w:val="single" w:color="000000" w:sz="4" w:space="0"/>
              <w:bottom w:val="single" w:color="000000" w:sz="4" w:space="0"/>
              <w:right w:val="single" w:color="000000" w:sz="4" w:space="0"/>
            </w:tcBorders>
            <w:tcW w:w="8554" w:type="dxa"/>
            <w:vAlign w:val="center"/>
            <w:textDirection w:val="lrTb"/>
            <w:noWrap/>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1、主要承载立柱尺寸不小于φ76mm×3.0mm，材质为热镀锌管，</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2、主要承载横梁尺寸不小于φ60×3.0mm、钢板厚度不小于4.0mm</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3、按摩轮与刚性固定部件最小距离不小于64mm；</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4、按摩轮转轴直径不小于φ25mm；</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5、转盘为厚度不小于4.0mm钢板冲压成型；</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6、扭腰盘上标记初始位置，设置有限位，运动时单侧最大偏转角度不小于130°，双向摆动达到运动效果；</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、尺寸不小于1200mm×1200mm×1200mm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600mm；</w:t>
            </w:r>
            <w:r/>
          </w:p>
          <w:p>
            <w:pPr>
              <w:jc w:val="left"/>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不小于500×500×600mm。</w:t>
            </w:r>
            <w:r/>
          </w:p>
          <w:p>
            <w:pPr>
              <w:jc w:val="both"/>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二位单杠</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φ28mm优质合金圆钢；</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3.使用宽度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1250mm，高杠面高度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2200mm，低杠杠面高度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2000mm；</w:t>
            </w:r>
            <w:r/>
          </w:p>
          <w:p>
            <w:pPr>
              <w:jc w:val="left"/>
              <w:spacing w:line="360" w:lineRule="auto"/>
              <w:tabs>
                <w:tab w:val="left" w:pos="273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4.横杆使用弹性杠面；</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2800mm×100mm×2100mm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500×500×700mm</w:t>
            </w:r>
            <w:r>
              <w:rPr>
                <w:rFonts w:hint="eastAsia" w:ascii="宋体" w:hAnsi="宋体" w:eastAsia="宋体" w:cs="宋体"/>
                <w:color w:val="auto"/>
                <w:sz w:val="24"/>
                <w:szCs w:val="24"/>
                <w:highlight w:val="none"/>
              </w:rPr>
              <w:t xml:space="preserve">mm。</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告示牌</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1.主要承载立柱尺寸不小于φ114×3.0mm，材质为热镀锌管；</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2.主要承载横梁尺寸不小于32×32×2.0mm；</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3.告示牌版面采用不锈钢材质，板材规格不小于800×600×0.8mm，图样及字样蚀刻处理；</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4、尺寸不小于</w:t>
            </w:r>
            <w:r>
              <w:rPr>
                <w:rFonts w:hint="eastAsia" w:ascii="宋体" w:hAnsi="宋体" w:eastAsia="宋体" w:cs="宋体"/>
                <w:color w:val="auto"/>
                <w:sz w:val="24"/>
                <w:szCs w:val="24"/>
                <w:highlight w:val="none"/>
              </w:rPr>
              <w:t xml:space="preserve">1000mm×100mm×1400mm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500</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500×400×600</w:t>
            </w:r>
            <w:r>
              <w:rPr>
                <w:rFonts w:hint="eastAsia" w:ascii="宋体" w:hAnsi="宋体" w:eastAsia="宋体" w:cs="Times New Roman"/>
                <w:bCs/>
                <w:color w:val="auto"/>
                <w:sz w:val="24"/>
                <w:szCs w:val="24"/>
                <w:highlight w:val="none"/>
              </w:rPr>
              <w:t xml:space="preserve"> </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双杠</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φ42×3.0mm合金钢管；</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3.两杠内侧距离</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490mm，杠长</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2500mm，相应的纵向立柱中心距</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1500mm，杠面高度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1300mm，横杆外径</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40mm；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4.横杆使用弹性杠面，两侧使用软性堵头有效避免刚性碰撞，提高使用安全性；</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2500</w:t>
            </w:r>
            <w:r>
              <w:rPr>
                <w:rFonts w:hint="eastAsia" w:ascii="宋体" w:hAnsi="宋体" w:eastAsia="宋体" w:cs="Times New Roman"/>
                <w:color w:val="auto"/>
                <w:sz w:val="24"/>
                <w:szCs w:val="24"/>
                <w:highlight w:val="none"/>
              </w:rPr>
              <w:t xml:space="preserve">mm</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700</w:t>
            </w:r>
            <w:r>
              <w:rPr>
                <w:rFonts w:hint="eastAsia" w:ascii="宋体" w:hAnsi="宋体" w:eastAsia="宋体" w:cs="Times New Roman"/>
                <w:color w:val="auto"/>
                <w:sz w:val="24"/>
                <w:szCs w:val="24"/>
                <w:highlight w:val="none"/>
              </w:rPr>
              <w:t xml:space="preserve">mm</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1200mm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500mm；</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1040×400×600mm</w:t>
            </w:r>
            <w:r>
              <w:rPr>
                <w:rFonts w:hint="eastAsia" w:ascii="宋体" w:hAnsi="宋体" w:eastAsia="宋体" w:cs="宋体"/>
                <w:color w:val="auto"/>
                <w:sz w:val="24"/>
                <w:szCs w:val="24"/>
                <w:highlight w:val="none"/>
              </w:rPr>
              <w:t xml:space="preserve">mm。</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骑马机</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1.主要承载</w:t>
            </w:r>
            <w:r>
              <w:rPr>
                <w:rFonts w:hint="default" w:ascii="宋体" w:hAnsi="宋体" w:eastAsia="宋体" w:cs="Times New Roman"/>
                <w:color w:val="auto"/>
                <w:sz w:val="24"/>
                <w:szCs w:val="24"/>
                <w:highlight w:val="none"/>
              </w:rPr>
              <w:t xml:space="preserve">立柱</w:t>
            </w:r>
            <w:r>
              <w:rPr>
                <w:rFonts w:hint="eastAsia" w:ascii="宋体" w:hAnsi="宋体" w:eastAsia="宋体" w:cs="Times New Roman"/>
                <w:color w:val="auto"/>
                <w:sz w:val="24"/>
                <w:szCs w:val="24"/>
                <w:highlight w:val="none"/>
              </w:rPr>
              <w:t xml:space="preserve">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Times New Roman"/>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φ60×3.0mm；</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3.转轴直径</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25mm；限位轴直径</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20mm；</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4.握把采用</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φ</w:t>
            </w:r>
            <w:r>
              <w:rPr>
                <w:rFonts w:hint="eastAsia" w:ascii="宋体" w:hAnsi="宋体" w:eastAsia="宋体" w:cs="Times New Roman"/>
                <w:color w:val="auto"/>
                <w:sz w:val="24"/>
                <w:szCs w:val="24"/>
                <w:highlight w:val="none"/>
              </w:rPr>
              <w:t xml:space="preserve">30×3.0mm；</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1300mm×480mm×1000mm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500×500×600mm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肋木架</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热镀锌管；</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φ30×3.0mm；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3.横管中心间距</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300mm；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4.最下方横杠距底面的高度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700mm;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5.两立柱间距</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1250mm；</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△6.尺寸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1400mm</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100mm</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2300mm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600mm；</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8、地基尺寸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600×600×700mm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伸腰展背架</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1.主要承载</w:t>
            </w:r>
            <w:r>
              <w:rPr>
                <w:rFonts w:hint="default" w:ascii="宋体" w:hAnsi="宋体" w:eastAsia="宋体" w:cs="Times New Roman"/>
                <w:color w:val="auto"/>
                <w:sz w:val="24"/>
                <w:szCs w:val="24"/>
                <w:highlight w:val="none"/>
              </w:rPr>
              <w:t xml:space="preserve">立柱</w:t>
            </w:r>
            <w:r>
              <w:rPr>
                <w:rFonts w:hint="eastAsia" w:ascii="宋体" w:hAnsi="宋体" w:eastAsia="宋体" w:cs="Times New Roman"/>
                <w:color w:val="auto"/>
                <w:sz w:val="24"/>
                <w:szCs w:val="24"/>
                <w:highlight w:val="none"/>
              </w:rPr>
              <w:t xml:space="preserve">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Times New Roman"/>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60×40×3.0mm；</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3.面板采用</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1.5mm厚的钢板冲压成型；</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color w:val="auto"/>
                <w:sz w:val="24"/>
                <w:szCs w:val="24"/>
                <w:highlight w:val="none"/>
              </w:rPr>
              <w:t xml:space="preserve">扶手管直径规格</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φ30×2.0mm；</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rPr>
              <w:t xml:space="preserve">5.尺寸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700mm×600mm×1200mm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500mm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500×500×600mm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臂力训练器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宋体"/>
                <w:color w:val="auto"/>
                <w:sz w:val="24"/>
                <w:szCs w:val="24"/>
                <w:highlight w:val="none"/>
              </w:rPr>
              <w:t xml:space="preserve">热镀锌；</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φ114×3.0mm；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3.手握支撑部位尺寸</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φ30mm；</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△4.尺寸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500mm×300mm×1400mm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color w:val="auto"/>
                <w:sz w:val="24"/>
                <w:szCs w:val="24"/>
                <w:highlight w:val="none"/>
              </w:rPr>
              <w:t xml:space="preserve">500×500×600mm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钟摆训练器</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numPr>
                <w:ilvl w:val="0"/>
                <w:numId w:val="11"/>
              </w:num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主要承载立柱尺寸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φ114×3.0mm</w:t>
            </w:r>
            <w:r>
              <w:rPr>
                <w:rFonts w:hint="eastAsia" w:ascii="宋体" w:hAnsi="宋体" w:eastAsia="宋体" w:cs="宋体"/>
                <w:bCs/>
                <w:color w:val="auto"/>
                <w:sz w:val="24"/>
                <w:szCs w:val="24"/>
                <w:highlight w:val="none"/>
              </w:rPr>
              <w:t xml:space="preserve">，材质为</w:t>
            </w:r>
            <w:r>
              <w:rPr>
                <w:rFonts w:hint="eastAsia" w:ascii="宋体" w:hAnsi="宋体" w:eastAsia="宋体" w:cs="Times New Roman"/>
                <w:color w:val="auto"/>
                <w:sz w:val="24"/>
                <w:szCs w:val="24"/>
                <w:highlight w:val="none"/>
              </w:rPr>
              <w:t xml:space="preserve">热镀锌管；</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2.主要承载横梁尺寸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60×40×3.0mm；</w:t>
            </w:r>
            <w:r/>
          </w:p>
          <w:p>
            <w:pPr>
              <w:jc w:val="left"/>
              <w:spacing w:line="360" w:lineRule="auto"/>
              <w:tabs>
                <w:tab w:val="left" w:pos="273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3.摆动管规格为</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φ60×3.0mm；</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rPr>
              <w:t xml:space="preserve">4.尺寸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1000mm</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900mm</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1000mm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5、安装方式：直埋式，安装材料：混凝土等；埋地深度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6、地基尺寸</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color w:val="auto"/>
                <w:sz w:val="24"/>
                <w:szCs w:val="24"/>
                <w:highlight w:val="none"/>
              </w:rPr>
              <w:t xml:space="preserve">500×500×600mm</w:t>
            </w:r>
            <w:r>
              <w:rPr>
                <w:rFonts w:hint="eastAsia" w:ascii="宋体" w:hAnsi="宋体" w:eastAsia="宋体" w:cs="宋体"/>
                <w:color w:val="auto"/>
                <w:sz w:val="24"/>
                <w:szCs w:val="24"/>
                <w:highlight w:val="none"/>
              </w:rPr>
              <w:t xml:space="preserve">。</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w:t>
            </w:r>
            <w:r>
              <w:rPr>
                <w:rFonts w:hint="eastAsia" w:ascii="宋体" w:hAnsi="宋体" w:eastAsia="宋体" w:cs="宋体"/>
                <w:bCs/>
                <w:color w:val="auto"/>
                <w:sz w:val="24"/>
                <w:szCs w:val="24"/>
                <w:highlight w:val="none"/>
                <w:lang w:bidi="ar"/>
              </w:rPr>
              <w:t xml:space="preserve">乒乓球桌</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1.主要承载立柱尺寸不小于φ60×3.0mm。</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2.主要承载横梁尺寸不小于φ32×1.5mm。</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球台长度不小于2740mm，球台宽度不小于1525mm，球台高度不小于760mm。球台台面采用SMC材料，台面翻边高度不小于50mm；台板背面网格均小于220×210mm。台面与彩虹支腿连接处的斜支撑采用不小于50×25×2.0mm的优质矩形管，中间支撑采用不小于25×25×2.0mm的优质方管；</w:t>
            </w:r>
            <w:r/>
          </w:p>
          <w:p>
            <w:pPr>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用彩虹腿设计结构，台腿使用不小于φ60×3mm优质钢管，弧形管之间有横撑；台板底部采用支撑框架，每半块板面支撑框架不少于4纵4横支撑管连接，撑管采用不小于30×20×2.0mm的优质方管，螺栓连接牢固；台腿外边距两端台边不小于200mm，任何撑档离地不小于300mm，保证使用者的运动安全。</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5、尺寸不小于2740×1550×900mm</w:t>
            </w:r>
            <w:r/>
          </w:p>
          <w:p>
            <w:pPr>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6、安装方式：采用预埋式，埋地深度</w:t>
            </w:r>
            <w:r>
              <w:rPr>
                <w:rFonts w:hint="eastAsia" w:ascii="宋体" w:hAnsi="宋体" w:eastAsia="宋体" w:cs="宋体"/>
                <w:bCs/>
                <w:color w:val="auto"/>
                <w:sz w:val="24"/>
                <w:szCs w:val="24"/>
                <w:highlight w:val="none"/>
              </w:rPr>
              <w:t xml:space="preserve">不小于</w:t>
            </w:r>
            <w:r>
              <w:rPr>
                <w:rFonts w:hint="eastAsia" w:ascii="宋体" w:hAnsi="宋体" w:eastAsia="宋体" w:cs="Times New Roman"/>
                <w:bCs/>
                <w:color w:val="auto"/>
                <w:sz w:val="24"/>
                <w:szCs w:val="24"/>
                <w:highlight w:val="none"/>
              </w:rPr>
              <w:t xml:space="preserve">400mm。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7、地基尺寸</w:t>
            </w:r>
            <w:r>
              <w:rPr>
                <w:rFonts w:hint="eastAsia" w:ascii="宋体" w:hAnsi="宋体" w:eastAsia="宋体" w:cs="宋体"/>
                <w:bCs/>
                <w:color w:val="auto"/>
                <w:sz w:val="24"/>
                <w:szCs w:val="24"/>
                <w:highlight w:val="none"/>
              </w:rPr>
              <w:t xml:space="preserve">不小于</w:t>
            </w:r>
            <w:r>
              <w:rPr>
                <w:rFonts w:hint="default"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rPr>
              <w:t xml:space="preserve">00×400×500mm。</w:t>
            </w:r>
            <w:r/>
          </w:p>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产品符合GB19272-2024国标要求，提供国家认证认可监督管理委员会批准的第三方质量检测认证机构出具的有效期内的认证证书和检测报告扫描件。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室内乒乓球桌</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1.单折移动型，由支架、台面、网架组成。</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2.支架底部有万向脚轮，单边折起后可多方向移动，支架采用</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40×40×1.5mm的方形管材制作，底部有可调节平整度的手轮，支架金属外表经喷砂抛丸、酸洗磷化后静电喷涂。</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3.台面长</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2740mm，宽</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1525mm，高</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760mm，台面弹性及平整度达到国家标准。台面厚度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18mm，球台的边线和端线</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20mm，中线</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3mm，台面弹性230～260 mm，弹性均匀度≤10 mm，球台稳定性≤14 mm，台面光泽度8°，配网架、网架高</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15 mm，长度</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152mm。托框</w:t>
            </w:r>
            <w:r>
              <w:rPr>
                <w:rFonts w:hint="eastAsia" w:ascii="宋体" w:hAnsi="宋体" w:eastAsia="宋体" w:cs="宋体"/>
                <w:bCs/>
                <w:color w:val="auto"/>
                <w:sz w:val="24"/>
                <w:szCs w:val="24"/>
                <w:highlight w:val="none"/>
              </w:rPr>
              <w:t xml:space="preserve">不小于</w:t>
            </w:r>
            <w:r>
              <w:rPr>
                <w:rFonts w:hint="eastAsia" w:ascii="宋体" w:hAnsi="宋体" w:eastAsia="宋体" w:cs="宋体"/>
                <w:color w:val="auto"/>
                <w:sz w:val="24"/>
                <w:szCs w:val="24"/>
                <w:highlight w:val="none"/>
              </w:rPr>
              <w:t xml:space="preserve">40×20×0.8mm。</w:t>
            </w:r>
            <w:r/>
          </w:p>
          <w:p>
            <w:pPr>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尺寸不小于</w:t>
            </w:r>
            <w:r>
              <w:rPr>
                <w:rFonts w:hint="eastAsia" w:ascii="宋体" w:hAnsi="宋体" w:eastAsia="宋体" w:cs="宋体"/>
                <w:color w:val="auto"/>
                <w:sz w:val="24"/>
                <w:szCs w:val="24"/>
                <w:highlight w:val="none"/>
              </w:rPr>
              <w:t xml:space="preserve">2740×1525×912mm</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网球场</w:t>
            </w:r>
            <w:r/>
          </w:p>
        </w:tc>
        <w:tc>
          <w:tcPr>
            <w:shd w:val="clear" w:color="auto" w:fill="auto"/>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设备围挡参数：</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1、先搭建围网骨架，后整体式拉网，围网场地规格约为36.6×18.3m（按实际场地施工为准），高度不小于4m，在场地中配置移动式网球架一套。</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2、立柱使用规格不小于φ76×t3.0mm的优质钢管，围网整体高度为4m，每个立柱间隔不大于3m，立柱间使用三根不小于φ60×t2.0mm的优质钢管进行横向加固，横管与立柱使用专用的四通和三通连接件连接。</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3、灯柱与围网框架为一体式设计，灯柱整体采用规格不小于φ114×t4.0mm的优质钢管，灯源安装高度不小于6m；灯柱与立柱间使用三根不小于φ60×t2.0mm的优质钢管进行横向加固。</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4、立柱与连接横管采用优质钢管，并采用固态粉末静电喷涂工艺，色泽保持八年不褪色。</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6、围网带有2个不小于1米宽、1.8米高的优质钢门。门采用不小于φ50×t2.0mm圆管或不小于50×2.0mm方管焊接而成。出入门可安装在围网周边的任意一个区间，可任意选择内开和外开。</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7、包塑网使用不小于20mm宽，不小于3.0mm厚的扁铁固定在围网框架立柱与横管上。</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8、器材安装</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器材采用直埋式，地埋深度不低于400mm</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三、围网参数：</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1、围网包塑后直径不小于φ4.3mm(±0.15mm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w:t>
            </w:r>
            <w:bookmarkStart w:id="11" w:name="_GoBack"/>
            <w:r/>
            <w:bookmarkEnd w:id="11"/>
            <w:r>
              <w:rPr>
                <w:rFonts w:hint="eastAsia" w:ascii="宋体" w:hAnsi="宋体" w:eastAsia="宋体" w:cs="宋体"/>
                <w:bCs/>
                <w:color w:val="auto"/>
                <w:sz w:val="24"/>
                <w:szCs w:val="24"/>
                <w:highlight w:val="none"/>
                <w:lang w:val="zh-CN" w:eastAsia="zh-CN" w:bidi="ar-SA"/>
              </w:rPr>
              <w:t xml:space="preserve">包塑前钢丝直径不小于φ3.0mm(±0.05mm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，网孔规格不小于50×50 mm(±3mm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2、线材：适合各种用途的高标准优质低碳镀锌铁丝。</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3、原料：原装纯HDPE塑料包裹。</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4、包塑：300度高温塑化，使内层低碳镀锌铁丝与表层塑料紧密粘帖，不易让空气渗入铁丝表面。</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5、厚度：高温塑化挤压、稳定的旋转速度，塑料表层厚度不小于0.6mm。</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6、高密度的原粒塑料，表面吸水率为0%。</w:t>
            </w:r>
            <w:r/>
          </w:p>
          <w:p>
            <w:pPr>
              <w:jc w:val="both"/>
              <w:spacing w:line="360" w:lineRule="auto"/>
              <w:widowControl w:val="off"/>
              <w:rPr>
                <w:rFonts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四、网球架</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移动式</w:t>
            </w:r>
            <w:r>
              <w:rPr>
                <w:rFonts w:hint="eastAsia" w:ascii="宋体" w:hAnsi="宋体" w:eastAsia="宋体" w:cs="宋体"/>
                <w:bCs w:val="0"/>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zh-CN" w:eastAsia="zh-CN" w:bidi="ar-SA"/>
              </w:rPr>
              <w:t xml:space="preserve">直插式网球柱</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网柱规格不小于80</w:t>
            </w:r>
            <w:r>
              <w:rPr>
                <w:rFonts w:hint="eastAsia" w:ascii="宋体" w:hAnsi="宋体" w:eastAsia="宋体" w:cs="宋体"/>
                <w:bCs w:val="0"/>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zh-CN" w:eastAsia="zh-CN" w:bidi="ar-SA"/>
              </w:rPr>
              <w:t xml:space="preserve">80mm(方形</w:t>
            </w:r>
            <w:r>
              <w:rPr>
                <w:rFonts w:hint="eastAsia" w:ascii="宋体" w:hAnsi="宋体" w:cs="宋体"/>
                <w:bCs w:val="0"/>
                <w:color w:val="auto"/>
                <w:sz w:val="24"/>
                <w:szCs w:val="24"/>
                <w:highlight w:val="none"/>
                <w:lang w:val="zh-CN" w:eastAsia="zh-CN" w:bidi="ar-SA"/>
              </w:rPr>
              <w:t xml:space="preserve">）</w:t>
            </w:r>
            <w:r>
              <w:rPr>
                <w:rFonts w:hint="eastAsia" w:ascii="宋体" w:hAnsi="宋体" w:eastAsia="宋体" w:cs="宋体"/>
                <w:bCs w:val="0"/>
                <w:color w:val="auto"/>
                <w:sz w:val="24"/>
                <w:szCs w:val="24"/>
                <w:highlight w:val="none"/>
                <w:lang w:val="zh-CN" w:eastAsia="zh-CN" w:bidi="ar-SA"/>
              </w:rPr>
              <w:t xml:space="preserve">，壁厚不小于4.0mm。</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网柱总高不小于1</w:t>
            </w:r>
            <w:r>
              <w:rPr>
                <w:rFonts w:hint="eastAsia" w:ascii="宋体" w:hAnsi="宋体" w:eastAsia="宋体" w:cs="宋体"/>
                <w:bCs w:val="0"/>
                <w:color w:val="auto"/>
                <w:sz w:val="24"/>
                <w:szCs w:val="24"/>
                <w:highlight w:val="none"/>
                <w:lang w:val="en-US" w:eastAsia="zh-CN" w:bidi="ar-SA"/>
              </w:rPr>
              <w:t xml:space="preserve">400</w:t>
            </w:r>
            <w:r>
              <w:rPr>
                <w:rFonts w:hint="eastAsia" w:ascii="宋体" w:hAnsi="宋体" w:eastAsia="宋体" w:cs="宋体"/>
                <w:bCs w:val="0"/>
                <w:color w:val="auto"/>
                <w:sz w:val="24"/>
                <w:szCs w:val="24"/>
                <w:highlight w:val="none"/>
                <w:lang w:val="zh-CN" w:eastAsia="zh-CN" w:bidi="ar-SA"/>
              </w:rPr>
              <w:t xml:space="preserve">mm，预埋深度不小于3</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0mm。</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预埋套管规格不小于8</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8</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4</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0mm（长</w:t>
            </w:r>
            <w:r>
              <w:rPr>
                <w:rFonts w:hint="eastAsia" w:ascii="宋体" w:hAnsi="宋体" w:eastAsia="宋体" w:cs="宋体"/>
                <w:bCs w:val="0"/>
                <w:color w:val="auto"/>
                <w:sz w:val="24"/>
                <w:szCs w:val="24"/>
                <w:highlight w:val="none"/>
                <w:lang w:val="en-US" w:eastAsia="zh-CN" w:bidi="ar-SA"/>
              </w:rPr>
              <w:t xml:space="preserve">×宽×深</w:t>
            </w:r>
            <w:r>
              <w:rPr>
                <w:rFonts w:hint="eastAsia" w:ascii="宋体" w:hAnsi="宋体" w:eastAsia="宋体" w:cs="宋体"/>
                <w:bCs w:val="0"/>
                <w:color w:val="auto"/>
                <w:sz w:val="24"/>
                <w:szCs w:val="24"/>
                <w:highlight w:val="none"/>
                <w:lang w:val="zh-CN" w:eastAsia="zh-CN" w:bidi="ar-SA"/>
              </w:rPr>
              <w:t xml:space="preserve">）。</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重量不小于16kg</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灯光照明系统：</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1、每个场地配置投光灯不少于12盏，场地每平米照度不低于200lx</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2、照明系统灯源采用节能环保产品。光源采用不低于200W的LED投光灯，每组包含不少于两个光源。</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3、灯柱与围网框架为一体式设计，灯柱整体采用规格为φ114×t4.0mm的优质钢管，灯安装高度不小于6m；灯柱与立柱间使用三根φ60×t2.0mm的优质钢管进行横向加固。</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六、地面要求</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1.场地整体均匀打磨，磨除凸起、旧表层、不平硬块、水泥疙瘩，消除高低差，整体磨除松散表层，露出坚实原基层</w:t>
            </w:r>
            <w:r>
              <w:rPr>
                <w:rFonts w:hint="default" w:ascii="宋体" w:hAnsi="宋体" w:eastAsia="宋体" w:cs="宋体"/>
                <w:color w:val="auto"/>
                <w:sz w:val="24"/>
                <w:szCs w:val="24"/>
                <w:highlight w:val="none"/>
              </w:rPr>
              <w:t xml:space="preserve">。</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复核平整度，去除明显落差、毛刺。</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default" w:ascii="宋体" w:hAnsi="宋体" w:eastAsia="宋体" w:cs="宋体"/>
                <w:color w:val="auto"/>
                <w:sz w:val="24"/>
                <w:szCs w:val="24"/>
                <w:highlight w:val="none"/>
              </w:rPr>
              <w:t xml:space="preserve">整体精磨，基面粗糙程度均匀，无明显深划痕、坑洼，满足后续基础安装施工条件。</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default" w:ascii="宋体" w:hAnsi="宋体" w:eastAsia="宋体" w:cs="宋体"/>
                <w:color w:val="auto"/>
                <w:sz w:val="24"/>
                <w:szCs w:val="24"/>
                <w:highlight w:val="none"/>
              </w:rPr>
              <w:t xml:space="preserve">地面基层平整牢固，无空鼓起砂；2m靠尺平整度误差≤3mm，标高准确、排水顺畅、整体无积水，面层坚固抗裂，符合室外健身器材安装基础要求。</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七、丙烯酸面层技术要求：</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 封闭底漆：滚涂1遍，封闭基面。</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 丙烯酸中涂：掺石英砂，批刮2遍，做找平结构，控制主要厚度。</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 丙烯酸面漆：滚涂2遍，罩面着色、耐磨耐晒。</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 球场划线：专用标线漆弹线涂刷。</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5.完工24小时可走人，72小时可正常打球使用。</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6.质量要求：表面平整无气泡、无起皮开裂、颜色均匀、线条顺直清晰。</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7.3mm弹性丙烯酸材料需符合GB36246-2018国家标准要求。</w:t>
            </w:r>
            <w:r/>
          </w:p>
          <w:p>
            <w:pPr>
              <w:jc w:val="center"/>
              <w:spacing w:line="360" w:lineRule="auto"/>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mc:AlternateContent>
                <mc:Choice Requires="wpg">
                  <w:drawing>
                    <wp:inline xmlns:wp="http://schemas.openxmlformats.org/drawingml/2006/wordprocessingDrawing" distT="0" distB="0" distL="0" distR="0">
                      <wp:extent cx="1957705" cy="2162810"/>
                      <wp:effectExtent l="0" t="0" r="4445" b="8890"/>
                      <wp:docPr id="4" name="图片 1" descr="a043cf8b586a62afaa4819c3748256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a043cf8b586a62afaa4819c3748256e1"/>
                              <pic:cNvPicPr>
                                <a:picLocks noChangeAspect="1"/>
                              </pic:cNvPicPr>
                              <pic:nvPr/>
                            </pic:nvPicPr>
                            <pic:blipFill>
                              <a:blip r:embed="rId16"/>
                              <a:stretch/>
                            </pic:blipFill>
                            <pic:spPr bwMode="auto">
                              <a:xfrm>
                                <a:off x="0" y="0"/>
                                <a:ext cx="1957705" cy="2162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4.2pt;height:170.3pt;mso-wrap-distance-left:0.0pt;mso-wrap-distance-top:0.0pt;mso-wrap-distance-right:0.0pt;mso-wrap-distance-bottom:0.0pt;" stroked="f">
                      <v:path textboxrect="0,0,0,0"/>
                      <v:imagedata r:id="rId16" o:title=""/>
                    </v:shape>
                  </w:pict>
                </mc:Fallback>
              </mc:AlternateContent>
            </w:r>
            <w:r/>
          </w:p>
          <w:p>
            <w:pPr>
              <w:jc w:val="center"/>
              <w:spacing w:line="360" w:lineRule="auto"/>
              <w:widowControl/>
              <w:rPr>
                <w:rFonts w:hint="default"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（网球场分布示意图）</w:t>
            </w:r>
            <w:r/>
          </w:p>
          <w:p>
            <w:pPr>
              <w:jc w:val="center"/>
              <w:spacing w:line="360" w:lineRule="auto"/>
              <w:widowControl/>
              <w:rPr>
                <w:rFonts w:hint="default" w:ascii="宋体" w:hAnsi="宋体" w:eastAsia="宋体" w:cs="宋体"/>
                <w:color w:val="auto"/>
                <w:sz w:val="24"/>
                <w:szCs w:val="24"/>
                <w:highlight w:val="none"/>
              </w:rPr>
            </w:pPr>
            <w:r>
              <w:rPr>
                <w:rFonts w:hint="eastAsia" w:ascii="Times New Roman" w:hAnsi="Times New Roman" w:eastAsia="宋体" w:cs="Times New Roman"/>
                <w:color w:val="auto"/>
                <w:sz w:val="24"/>
                <w:szCs w:val="22"/>
                <w:highlight w:val="none"/>
              </w:rPr>
              <w:t xml:space="preserve">（每片网球场场地规格为长36.6×宽18.3×高4m）</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 xml:space="preserve">匹克球场（内含6片）</w:t>
            </w:r>
            <w:r/>
          </w:p>
        </w:tc>
        <w:tc>
          <w:tcPr>
            <w:shd w:val="clear" w:color="auto" w:fill="auto"/>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设备围挡参数：</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1、先搭建围网骨架，后整体式拉网，围网场地规格为55.8×18.6m（按实际施工场地为准），高度为4m，包含匹克球场6片，每片场地配置匹克球网柱一套。</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2、立柱使用规格不小于φ76×t3.0mm的优质钢管，围网整体高度为4m，每个立柱间隔不大于3m，立柱间使用三根不小于φ60×t2.0mm的优质钢管进行横向加固，横管与立柱使用专用的四通和三通连接件连接。</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3、灯柱与围网框架为一体式设计，灯柱整体采用规格不小于φ114×t4.0mm的优质钢管，灯源安装高度不小于6m；灯柱与立柱间使用三根不小于φ60×t2.0mm的优质钢管进行横向加固。</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4、立柱与连接横管采用优质钢管，并采用固态粉末静电喷涂工艺，色泽保持八年不褪色。</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6、围网带有4个不小于1米宽、1.8米高的优质钢门。门采用不小于φ50×t2.0mm圆管或不小于50×2.0mm方管焊接而成。出入门可安装在围网周边的任意一个区间，可任意选择内开和外开。</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7、包塑网使用不小于20mm宽，不小于3.0mm厚的扁铁固定在围网框架立柱与横管上。</w:t>
            </w:r>
            <w:r/>
          </w:p>
          <w:p>
            <w:pPr>
              <w:spacing w:line="360" w:lineRule="auto"/>
              <w:rPr>
                <w:rFonts w:hint="default"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8、器材安装</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器材采用直埋式，地埋深度不低于400mm</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三、围网参数：</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1、围网包塑后直径不小于φ4.3mm(±0.15mm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，包塑前钢丝直径不小于φ3.0mm(±0.05mm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，网孔规格不小于50×50 mm(±3mm</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2、线材：适合各种用途的高标准优质低碳镀锌铁丝。</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3、原料：原装纯HDPE塑料包裹。</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4、包塑：300度高温塑化，使内层低碳镀锌铁丝与表层塑料紧密粘帖，不易让空气渗入铁丝表面。</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5、厚度：高温塑化挤压、稳定的旋转速度，塑料表层厚度不小于0.6mm。</w:t>
            </w:r>
            <w:r/>
          </w:p>
          <w:p>
            <w:pPr>
              <w:jc w:val="both"/>
              <w:spacing w:line="360" w:lineRule="auto"/>
              <w:widowControl w:val="off"/>
              <w:rPr>
                <w:rFonts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6、高密度的原粒塑料，表面吸水率为0%。</w:t>
            </w:r>
            <w:r/>
          </w:p>
          <w:p>
            <w:pPr>
              <w:jc w:val="both"/>
              <w:spacing w:line="360" w:lineRule="auto"/>
              <w:widowControl w:val="off"/>
              <w:rPr>
                <w:rFonts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四、移动式匹克球网柱（</w:t>
            </w:r>
            <w:r>
              <w:rPr>
                <w:rFonts w:hint="eastAsia" w:ascii="宋体" w:hAnsi="宋体" w:eastAsia="宋体" w:cs="宋体"/>
                <w:b/>
                <w:bCs/>
                <w:color w:val="auto"/>
                <w:sz w:val="24"/>
                <w:szCs w:val="24"/>
                <w:highlight w:val="none"/>
                <w:lang w:val="en-US" w:eastAsia="zh-CN" w:bidi="ar-SA"/>
              </w:rPr>
              <w:t xml:space="preserve">6套</w:t>
            </w:r>
            <w:r>
              <w:rPr>
                <w:rFonts w:hint="eastAsia" w:ascii="宋体" w:hAnsi="宋体" w:eastAsia="宋体" w:cs="宋体"/>
                <w:b/>
                <w:bCs/>
                <w:color w:val="auto"/>
                <w:sz w:val="24"/>
                <w:szCs w:val="24"/>
                <w:highlight w:val="none"/>
                <w:lang w:val="zh-CN" w:eastAsia="zh-CN" w:bidi="ar-SA"/>
              </w:rPr>
              <w:t xml:space="preserve">）</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网柱规格不小于80</w:t>
            </w:r>
            <w:r>
              <w:rPr>
                <w:rFonts w:hint="eastAsia" w:ascii="宋体" w:hAnsi="宋体" w:eastAsia="宋体" w:cs="宋体"/>
                <w:bCs w:val="0"/>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zh-CN" w:eastAsia="zh-CN" w:bidi="ar-SA"/>
              </w:rPr>
              <w:t xml:space="preserve">80mm(方形</w:t>
            </w:r>
            <w:r>
              <w:rPr>
                <w:rFonts w:hint="eastAsia" w:ascii="宋体" w:hAnsi="宋体" w:cs="宋体"/>
                <w:bCs w:val="0"/>
                <w:color w:val="auto"/>
                <w:sz w:val="24"/>
                <w:szCs w:val="24"/>
                <w:highlight w:val="none"/>
                <w:lang w:val="zh-CN" w:eastAsia="zh-CN" w:bidi="ar-SA"/>
              </w:rPr>
              <w:t xml:space="preserve">）</w:t>
            </w:r>
            <w:r>
              <w:rPr>
                <w:rFonts w:hint="eastAsia" w:ascii="宋体" w:hAnsi="宋体" w:eastAsia="宋体" w:cs="宋体"/>
                <w:bCs w:val="0"/>
                <w:color w:val="auto"/>
                <w:sz w:val="24"/>
                <w:szCs w:val="24"/>
                <w:highlight w:val="none"/>
                <w:lang w:val="zh-CN" w:eastAsia="zh-CN" w:bidi="ar-SA"/>
              </w:rPr>
              <w:t xml:space="preserve">，壁厚不小于4.0mm。</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网柱总高不小于12</w:t>
            </w:r>
            <w:r>
              <w:rPr>
                <w:rFonts w:hint="eastAsia" w:ascii="宋体" w:hAnsi="宋体" w:eastAsia="宋体" w:cs="宋体"/>
                <w:bCs w:val="0"/>
                <w:color w:val="auto"/>
                <w:sz w:val="24"/>
                <w:szCs w:val="24"/>
                <w:highlight w:val="none"/>
                <w:lang w:val="en-US" w:eastAsia="zh-CN" w:bidi="ar-SA"/>
              </w:rPr>
              <w:t xml:space="preserve">00</w:t>
            </w:r>
            <w:r>
              <w:rPr>
                <w:rFonts w:hint="eastAsia" w:ascii="宋体" w:hAnsi="宋体" w:eastAsia="宋体" w:cs="宋体"/>
                <w:bCs w:val="0"/>
                <w:color w:val="auto"/>
                <w:sz w:val="24"/>
                <w:szCs w:val="24"/>
                <w:highlight w:val="none"/>
                <w:lang w:val="zh-CN" w:eastAsia="zh-CN" w:bidi="ar-SA"/>
              </w:rPr>
              <w:t xml:space="preserve">mm，预埋深度不小于3</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0mm。</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预埋套管规格不小于8</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8</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4</w:t>
            </w:r>
            <w:r>
              <w:rPr>
                <w:rFonts w:hint="eastAsia" w:ascii="宋体" w:hAnsi="宋体" w:eastAsia="宋体" w:cs="宋体"/>
                <w:bCs w:val="0"/>
                <w:color w:val="auto"/>
                <w:sz w:val="24"/>
                <w:szCs w:val="24"/>
                <w:highlight w:val="none"/>
                <w:lang w:val="en-US" w:eastAsia="zh-CN" w:bidi="ar-SA"/>
              </w:rPr>
              <w:t xml:space="preserve">0</w:t>
            </w:r>
            <w:r>
              <w:rPr>
                <w:rFonts w:hint="eastAsia" w:ascii="宋体" w:hAnsi="宋体" w:eastAsia="宋体" w:cs="宋体"/>
                <w:bCs w:val="0"/>
                <w:color w:val="auto"/>
                <w:sz w:val="24"/>
                <w:szCs w:val="24"/>
                <w:highlight w:val="none"/>
                <w:lang w:val="zh-CN" w:eastAsia="zh-CN" w:bidi="ar-SA"/>
              </w:rPr>
              <w:t xml:space="preserve">0mm（长</w:t>
            </w:r>
            <w:r>
              <w:rPr>
                <w:rFonts w:hint="eastAsia" w:ascii="宋体" w:hAnsi="宋体" w:eastAsia="宋体" w:cs="宋体"/>
                <w:bCs w:val="0"/>
                <w:color w:val="auto"/>
                <w:sz w:val="24"/>
                <w:szCs w:val="24"/>
                <w:highlight w:val="none"/>
                <w:lang w:val="en-US" w:eastAsia="zh-CN" w:bidi="ar-SA"/>
              </w:rPr>
              <w:t xml:space="preserve">×宽×深</w:t>
            </w:r>
            <w:r>
              <w:rPr>
                <w:rFonts w:hint="eastAsia" w:ascii="宋体" w:hAnsi="宋体" w:eastAsia="宋体" w:cs="宋体"/>
                <w:bCs w:val="0"/>
                <w:color w:val="auto"/>
                <w:sz w:val="24"/>
                <w:szCs w:val="24"/>
                <w:highlight w:val="none"/>
                <w:lang w:val="zh-CN" w:eastAsia="zh-CN" w:bidi="ar-SA"/>
              </w:rPr>
              <w:t xml:space="preserve">）。</w:t>
            </w:r>
            <w:r/>
          </w:p>
          <w:p>
            <w:pPr>
              <w:jc w:val="both"/>
              <w:spacing w:line="360" w:lineRule="auto"/>
              <w:widowControl w:val="off"/>
              <w:rPr>
                <w:rFonts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重量不小于16kg</w:t>
            </w:r>
            <w:r/>
          </w:p>
          <w:p>
            <w:pPr>
              <w:spacing w:line="360" w:lineRule="auto"/>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灯光照明系统：</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1、整个场地配置投光灯不少于24盏，场地每平米照度不低于200lx。</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2、照明系统灯源采用节能环保产品，光源采用不低于200W的LED投光灯，每组包含不少于两个光源。</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3、灯柱与围网框架为一体式设计，灯柱整体采用规格为φ114×t4.0mm的优质钢管，灯安装高度不小于6m；灯柱与立柱间使用三根φ60×t2.0mm的优质钢管进行横向加固。</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六、地面要求</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1.场地整体均匀打磨，磨除凸起、旧表层、不平硬块、水泥疙瘩，消除高低差，整体磨除松散表层，露出坚实原基层</w:t>
            </w:r>
            <w:r>
              <w:rPr>
                <w:rFonts w:hint="default" w:ascii="宋体" w:hAnsi="宋体" w:eastAsia="宋体" w:cs="宋体"/>
                <w:color w:val="auto"/>
                <w:sz w:val="24"/>
                <w:szCs w:val="24"/>
                <w:highlight w:val="none"/>
              </w:rPr>
              <w:t xml:space="preserve">。</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复核平整度，去除明显落差、毛刺。</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default" w:ascii="宋体" w:hAnsi="宋体" w:eastAsia="宋体" w:cs="宋体"/>
                <w:color w:val="auto"/>
                <w:sz w:val="24"/>
                <w:szCs w:val="24"/>
                <w:highlight w:val="none"/>
              </w:rPr>
              <w:t xml:space="preserve">整体精磨，基面粗糙程度均匀，无明显深划痕、坑洼，满足后续基础安装施工条件。</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default" w:ascii="宋体" w:hAnsi="宋体" w:eastAsia="宋体" w:cs="宋体"/>
                <w:color w:val="auto"/>
                <w:sz w:val="24"/>
                <w:szCs w:val="24"/>
                <w:highlight w:val="none"/>
              </w:rPr>
              <w:t xml:space="preserve">地面基层平整牢固，无空鼓起砂；2m靠尺平整度误差≤3mm，标高准确、排水顺畅、整体无积水，面层坚固抗裂，符合室外健身器材安装基础要求。</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七、丙烯酸面层技术要求：</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 封闭底漆：滚涂1遍，封闭基面。</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 丙烯酸中涂：掺石英砂，批刮2遍，做找平结构，控制主要厚度。</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 丙烯酸面漆：滚涂2遍，罩面着色、耐磨耐晒。</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 球场划线：专用标线漆弹线涂刷。</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5.完工24小时可走人，72小时可正常打球使用。</w:t>
            </w:r>
            <w:r/>
          </w:p>
          <w:p>
            <w:pPr>
              <w:jc w:val="left"/>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6.质量要求：表面平整无气泡、无起皮开裂、颜色均匀、线条顺直清晰。</w:t>
            </w:r>
            <w:r/>
          </w:p>
          <w:p>
            <w:pP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7.3mm弹性丙烯酸材料需符合GB36246-2018国家标准要求。</w:t>
            </w:r>
            <w:r/>
          </w:p>
          <w:p>
            <w:pPr>
              <w:jc w:val="center"/>
              <w:spacing w:line="360" w:lineRule="auto"/>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mc:AlternateContent>
                <mc:Choice Requires="wpg">
                  <w:drawing>
                    <wp:inline xmlns:wp="http://schemas.openxmlformats.org/drawingml/2006/wordprocessingDrawing" distT="0" distB="0" distL="0" distR="0">
                      <wp:extent cx="2590800" cy="1104900"/>
                      <wp:effectExtent l="0" t="0" r="0" b="0"/>
                      <wp:docPr id="5" name="图片 2" descr="d72ed9661cd867427035acbfec8dd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d72ed9661cd867427035acbfec8dd613"/>
                              <pic:cNvPicPr>
                                <a:picLocks noChangeAspect="1"/>
                              </pic:cNvPicPr>
                              <pic:nvPr/>
                            </pic:nvPicPr>
                            <pic:blipFill>
                              <a:blip r:embed="rId17"/>
                              <a:stretch/>
                            </pic:blipFill>
                            <pic:spPr bwMode="auto">
                              <a:xfrm>
                                <a:off x="0" y="0"/>
                                <a:ext cx="25908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4.0pt;height:87.0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hint="default"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（匹克球场分布示意图）</w:t>
            </w:r>
            <w:r/>
          </w:p>
          <w:p>
            <w:pPr>
              <w:jc w:val="center"/>
              <w:spacing w:line="360" w:lineRule="auto"/>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sz w:val="24"/>
                <w:szCs w:val="22"/>
                <w:highlight w:val="none"/>
              </w:rPr>
              <w:t xml:space="preserve">（整片场地规格为长55.8×宽18.6×高4m）</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auto"/>
              <w:widowControl/>
              <w:rPr>
                <w:rFonts w:hint="default"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rPr>
              <w:t xml:space="preserve">运动场智能门禁</w:t>
            </w:r>
            <w:r/>
          </w:p>
        </w:tc>
        <w:tc>
          <w:tcPr>
            <w:tcBorders>
              <w:top w:val="single" w:color="000000" w:sz="4" w:space="0"/>
              <w:left w:val="single" w:color="000000" w:sz="4" w:space="0"/>
              <w:bottom w:val="single" w:color="000000" w:sz="4" w:space="0"/>
              <w:right w:val="single" w:color="000000" w:sz="4" w:space="0"/>
            </w:tcBorders>
            <w:tcW w:w="4183" w:type="pct"/>
            <w:vAlign w:val="center"/>
            <w:textDirection w:val="lrTb"/>
            <w:noWrap/>
          </w:tcPr>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双通道全高闸参数</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闸机组成：机箱、转杆、机芯、控制板和电源</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结构：框架结构/不锈钢外壳外形</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尺寸不小于：长2100×宽1450×高2200(mm)</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中心转杆尺寸不小于38*89mm*4根（90°）或（3根120°）</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厚度不小于2.0mm</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转杆尺寸：厚度不小于0.9mm</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闸机转向：单向/双向（可选）</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开闸时间不小于0.2秒</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防反转：具备防反转功能，以保证一卡一人，杜绝尾随</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电源电压：输入：AC220V士10%，输出：DC24V、DC12V</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通行速度：＞30人/分钟</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通道宽度：550～700mm</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闸机净重：200kg</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输入接口：干接点继电器信号，12V电平或脉宽≥100ms的12V脉冲信号</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人脸识别参数（内含2台）</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1.面板材质：全铝合浮法玻璃面板</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2.显示屏：7英寸</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3.分辨率：1024*600高清屏</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4.人脸算法：全球企业，旷视算法。</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5.处理器：瑞芯微1109专用AI芯片，内嵌深度学习人脸检测及识别算法</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6.双摄像头：300T像素宽动态，抗逆光，超宽动态效果，自适应各种复杂光线场景</w:t>
            </w:r>
            <w:r/>
          </w:p>
          <w:p>
            <w:pPr>
              <w:jc w:val="left"/>
              <w:spacing w:line="360" w:lineRule="auto"/>
              <w:widowControl/>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7.人脸容量：3万用户</w:t>
            </w:r>
            <w:r/>
          </w:p>
          <w:p>
            <w:pPr>
              <w:jc w:val="left"/>
              <w:spacing w:line="360" w:lineRule="auto"/>
              <w:widowControl/>
              <w:rPr>
                <w:rFonts w:hint="default" w:ascii="Times New Roman" w:hAnsi="Times New Roman" w:eastAsia="宋体" w:cs="Times New Roman"/>
                <w:color w:val="auto"/>
                <w:highlight w:val="none"/>
              </w:rPr>
            </w:pPr>
            <w:r>
              <w:rPr>
                <w:rFonts w:hint="eastAsia" w:ascii="宋体" w:hAnsi="宋体" w:eastAsia="宋体" w:cs="宋体"/>
                <w:color w:val="auto"/>
                <w:sz w:val="24"/>
                <w:szCs w:val="24"/>
                <w:highlight w:val="none"/>
                <w:lang w:bidi="ar"/>
              </w:rPr>
              <w:t xml:space="preserve">8.识别准确率高达99.9%，实现精准识别</w:t>
            </w:r>
            <w:r/>
          </w:p>
        </w:tc>
      </w:tr>
    </w:tbl>
    <w:p>
      <w:pPr>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三、</w:t>
      </w:r>
      <w:r>
        <w:rPr>
          <w:rFonts w:hint="eastAsia" w:ascii="宋体" w:hAnsi="宋体" w:cs="宋体"/>
          <w:b/>
          <w:bCs/>
          <w:color w:val="auto"/>
          <w:sz w:val="24"/>
          <w:highlight w:val="none"/>
        </w:rPr>
        <w:t xml:space="preserve">有关说明</w:t>
      </w:r>
      <w:r/>
    </w:p>
    <w:p>
      <w:pPr>
        <w:ind w:left="525"/>
        <w:spacing w:line="500" w:lineRule="exact"/>
        <w:tabs>
          <w:tab w:val="left" w:pos="525" w:leader="none"/>
          <w:tab w:val="left" w:pos="945" w:leader="none"/>
        </w:tabs>
        <w:rPr>
          <w:rFonts w:hint="eastAsia" w:ascii="宋体" w:hAnsi="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本项目总报价包括从项目开始起到项目正式结束所发生的</w:t>
      </w:r>
      <w:r>
        <w:rPr>
          <w:rFonts w:hint="eastAsia" w:ascii="宋体" w:hAnsi="宋体"/>
          <w:bCs/>
          <w:color w:val="auto"/>
          <w:sz w:val="24"/>
          <w:highlight w:val="none"/>
        </w:rPr>
        <w:t xml:space="preserve">一切费用。</w:t>
      </w:r>
      <w:r/>
    </w:p>
    <w:p>
      <w:pPr>
        <w:ind w:firstLine="480"/>
        <w:spacing w:line="500" w:lineRule="exact"/>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通过中国海关报关验放进入中国境内且产自关境外的产品不在本项目的投标范围。</w:t>
      </w:r>
      <w:r/>
    </w:p>
    <w:p>
      <w:pPr>
        <w:ind w:firstLine="480"/>
        <w:spacing w:line="500" w:lineRule="exact"/>
        <w:tabs>
          <w:tab w:val="left" w:pos="525" w:leader="none"/>
          <w:tab w:val="left" w:pos="945" w:leader="none"/>
        </w:tabs>
        <w:rPr>
          <w:rFonts w:hint="eastAsia" w:ascii="宋体" w:hAnsi="宋体"/>
          <w:b w:val="0"/>
          <w:bCs/>
          <w:color w:val="auto"/>
          <w:sz w:val="24"/>
          <w:highlight w:val="none"/>
        </w:rPr>
      </w:pPr>
      <w:r>
        <w:rPr>
          <w:rFonts w:hint="eastAsia" w:ascii="宋体" w:hAnsi="宋体"/>
          <w:b w:val="0"/>
          <w:bCs/>
          <w:color w:val="auto"/>
          <w:sz w:val="24"/>
          <w:highlight w:val="none"/>
          <w:lang w:eastAsia="zh-CN"/>
        </w:rPr>
        <w:t xml:space="preserve">3.</w:t>
      </w:r>
      <w:r>
        <w:rPr>
          <w:rFonts w:hint="eastAsia" w:ascii="宋体" w:hAnsi="宋体"/>
          <w:b w:val="0"/>
          <w:bCs/>
          <w:color w:val="auto"/>
          <w:sz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p>
    <w:p>
      <w:pPr>
        <w:ind w:firstLine="480"/>
        <w:spacing w:line="500" w:lineRule="exact"/>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lang w:eastAsia="zh-CN"/>
        </w:rPr>
        <w:t xml:space="preserve">4.</w:t>
      </w:r>
      <w:r>
        <w:rPr>
          <w:rFonts w:hint="eastAsia" w:ascii="宋体" w:hAnsi="宋体"/>
          <w:b/>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投标供应商必须在满足招标文件要求的基础上进行投标，对采购需求的响应情况应在《明细报价及采购需求响应表》中详细说明。</w:t>
      </w:r>
      <w:r/>
    </w:p>
    <w:p>
      <w:pPr>
        <w:ind w:firstLine="480"/>
        <w:spacing w:line="500" w:lineRule="exact"/>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6.</w:t>
      </w:r>
      <w:r>
        <w:rPr>
          <w:rFonts w:hint="eastAsia" w:ascii="宋体" w:hAnsi="宋体"/>
          <w:bCs/>
          <w:color w:val="auto"/>
          <w:sz w:val="24"/>
          <w:highlight w:val="none"/>
        </w:rPr>
        <w:t xml:space="preserve">设备要求无瑕疵和缺陷，质量为优质产品，交货时提交制造厂的合格证明，必须</w:t>
      </w:r>
      <w:r>
        <w:rPr>
          <w:rFonts w:hint="eastAsia" w:ascii="宋体" w:hAnsi="宋体"/>
          <w:bCs/>
          <w:color w:val="auto"/>
          <w:sz w:val="24"/>
          <w:highlight w:val="none"/>
          <w:lang w:eastAsia="zh-CN"/>
        </w:rPr>
        <w:t xml:space="preserve">满足</w:t>
      </w:r>
      <w:r>
        <w:rPr>
          <w:rFonts w:hint="eastAsia" w:ascii="宋体" w:hAnsi="宋体"/>
          <w:bCs/>
          <w:color w:val="auto"/>
          <w:sz w:val="24"/>
          <w:highlight w:val="none"/>
        </w:rPr>
        <w:t xml:space="preserve">采购人要求。</w:t>
      </w:r>
      <w:r/>
    </w:p>
    <w:p>
      <w:pPr>
        <w:ind w:firstLine="480"/>
        <w:spacing w:line="500" w:lineRule="exact"/>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7.</w:t>
      </w:r>
      <w:r>
        <w:rPr>
          <w:rFonts w:hint="eastAsia" w:ascii="宋体" w:hAnsi="宋体"/>
          <w:bCs/>
          <w:color w:val="auto"/>
          <w:sz w:val="24"/>
          <w:highlight w:val="none"/>
        </w:rPr>
        <w:t xml:space="preserve">凡在投标文件中体现“满足”的性能指标，必须确实满足。采购人有权要求投标供应商中标后，安装实施过程严格按照技术要求和施工方案执行，货物最终与招标文件不符，业主有权要求中标单位整改，如整改无效则立刻终止合同并由中标方承担全部责任。采购人保留在投标供应商中标后，委托第三方对中标设备进行测试、检验</w:t>
      </w:r>
      <w:r>
        <w:rPr>
          <w:rFonts w:hint="eastAsia" w:ascii="宋体" w:hAnsi="宋体"/>
          <w:bCs/>
          <w:color w:val="auto"/>
          <w:sz w:val="24"/>
          <w:highlight w:val="none"/>
          <w:lang w:eastAsia="zh-CN"/>
        </w:rPr>
        <w:t xml:space="preserve">以及</w:t>
      </w:r>
      <w:r>
        <w:rPr>
          <w:rFonts w:hint="eastAsia" w:ascii="宋体" w:hAnsi="宋体"/>
          <w:bCs/>
          <w:color w:val="auto"/>
          <w:sz w:val="24"/>
          <w:highlight w:val="none"/>
        </w:rPr>
        <w:t xml:space="preserve">对项目实施后验收的权利，在验收或使用过程中发现不满足招标文件中要求的性能指标，经第三方验证确实，采购人有权要求中标人无条件退货，并依据合同进行相关处罚。</w:t>
      </w:r>
      <w:r/>
    </w:p>
    <w:p>
      <w:pPr>
        <w:ind w:firstLine="480"/>
        <w:spacing w:line="500" w:lineRule="exact"/>
        <w:tabs>
          <w:tab w:val="left" w:pos="525" w:leader="none"/>
          <w:tab w:val="left" w:pos="945" w:leader="none"/>
        </w:tabs>
        <w:rPr>
          <w:rFonts w:hint="eastAsia" w:ascii="黑体" w:eastAsia="黑体"/>
          <w:bCs/>
          <w:color w:val="auto"/>
          <w:sz w:val="28"/>
          <w:szCs w:val="28"/>
          <w:highlight w:val="none"/>
        </w:rPr>
      </w:pPr>
      <w:r>
        <w:rPr>
          <w:rFonts w:hint="eastAsia" w:ascii="宋体" w:hAnsi="宋体"/>
          <w:bCs/>
          <w:color w:val="auto"/>
          <w:sz w:val="24"/>
          <w:highlight w:val="none"/>
          <w:lang w:eastAsia="zh-CN"/>
        </w:rPr>
        <w:t xml:space="preserve">8.</w:t>
      </w:r>
      <w:r>
        <w:rPr>
          <w:rFonts w:hint="eastAsia" w:ascii="宋体" w:hAnsi="宋体"/>
          <w:bCs/>
          <w:color w:val="auto"/>
          <w:sz w:val="24"/>
          <w:highlight w:val="none"/>
        </w:rPr>
        <w:t xml:space="preserve">中标人需在交货时提供设备的质量保证书，以确保对产品的质量保障。</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bookmarkStart w:id="5" w:name="_Toc6432"/>
      <w:r>
        <w:rPr>
          <w:rFonts w:hint="eastAsia" w:ascii="黑体" w:eastAsia="黑体"/>
          <w:bCs/>
          <w:color w:val="auto"/>
          <w:sz w:val="28"/>
          <w:szCs w:val="28"/>
          <w:highlight w:val="none"/>
          <w:lang w:eastAsia="zh-CN"/>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rPr>
          <w:rFonts w:hint="eastAsia" w:ascii="宋体" w:hAnsi="宋体" w:cs="宋体"/>
          <w:bCs/>
          <w:color w:val="auto"/>
          <w:sz w:val="24"/>
          <w:highlight w:val="none"/>
          <w:u w:val="single"/>
        </w:rPr>
        <w:t xml:space="preserve">                                                          </w:t>
      </w:r>
      <w:bookmarkEnd w:id="6"/>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其他有关</w:t>
      </w:r>
      <w:r>
        <w:rPr>
          <w:rFonts w:hint="eastAsia" w:ascii="宋体" w:hAnsi="宋体" w:cs="宋体"/>
          <w:bCs/>
          <w:color w:val="auto"/>
          <w:sz w:val="24"/>
          <w:highlight w:val="none"/>
        </w:rPr>
        <w:t xml:space="preserve">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十二、合同备案：合同一式五份，供需双方各执二份，见证方一份。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18691"/>
      <w:r>
        <w:rPr>
          <w:rFonts w:hint="eastAsia" w:ascii="黑体" w:hAnsi="黑体" w:eastAsia="黑体"/>
          <w:bCs/>
          <w:color w:val="auto"/>
          <w:sz w:val="28"/>
          <w:szCs w:val="28"/>
          <w:highlight w:val="none"/>
          <w:lang w:eastAsia="zh-CN"/>
        </w:rPr>
        <w:t xml:space="preserve">五、</w:t>
      </w:r>
      <w:r>
        <w:rPr>
          <w:rFonts w:hint="eastAsia" w:ascii="黑体" w:hAnsi="黑体" w:eastAsia="黑体"/>
          <w:bCs/>
          <w:color w:val="auto"/>
          <w:sz w:val="28"/>
          <w:szCs w:val="28"/>
          <w:highlight w:val="none"/>
        </w:rPr>
        <w:t xml:space="preserve">合同条款（格式）</w:t>
      </w:r>
      <w:bookmarkEnd w:id="7"/>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1020"/>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1020"/>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1020"/>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一、货物内容</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1.1 货物名称：</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1.2 型号规格：</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1.3 数量（单位）：</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二、合同金额</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三、技术资料</w:t>
      </w:r>
      <w:r/>
    </w:p>
    <w:p>
      <w:pPr>
        <w:pStyle w:val="1020"/>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乙方应按招标文件规定的时间向甲方提供使用货物的有关技术资料。</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w:t>
      </w:r>
      <w:r>
        <w:rPr>
          <w:rFonts w:hint="eastAsia" w:ascii="宋体" w:hAnsi="宋体"/>
          <w:color w:val="auto"/>
          <w:sz w:val="24"/>
          <w:highlight w:val="none"/>
          <w:lang w:eastAsia="zh-CN"/>
        </w:rPr>
        <w:t xml:space="preserve">工业</w:t>
      </w:r>
      <w:r>
        <w:rPr>
          <w:rFonts w:hint="eastAsia" w:ascii="宋体" w:hAnsi="宋体"/>
          <w:color w:val="auto"/>
          <w:sz w:val="24"/>
          <w:highlight w:val="none"/>
        </w:rPr>
        <w:t xml:space="preserve">设计权等知识产权的起诉。一旦出现侵权，由乙方负全部责任。</w:t>
      </w:r>
      <w:r/>
    </w:p>
    <w:p>
      <w:pPr>
        <w:pStyle w:val="1020"/>
        <w:spacing w:before="120" w:after="120" w:line="44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1020"/>
        <w:ind w:firstLine="480"/>
        <w:spacing w:before="120" w:after="120" w:line="440" w:lineRule="exact"/>
        <w:rPr>
          <w:rFonts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ascii="宋体" w:hAnsi="宋体" w:eastAsia="仿宋_GB2312"/>
          <w:b/>
          <w:color w:val="auto"/>
          <w:sz w:val="24"/>
          <w:highlight w:val="none"/>
        </w:rPr>
      </w:pPr>
      <w:r>
        <w:rPr>
          <w:rFonts w:hint="eastAsia" w:ascii="宋体" w:hAnsi="宋体"/>
          <w:b/>
          <w:color w:val="auto"/>
          <w:sz w:val="24"/>
          <w:highlight w:val="none"/>
          <w:lang w:eastAsia="zh-CN"/>
        </w:rPr>
        <w:t xml:space="preserve">六、</w:t>
      </w:r>
      <w:r>
        <w:rPr>
          <w:rFonts w:hint="eastAsia" w:ascii="宋体" w:hAnsi="宋体"/>
          <w:b/>
          <w:color w:val="auto"/>
          <w:sz w:val="24"/>
          <w:highlight w:val="none"/>
        </w:rPr>
        <w:t xml:space="preserve">转包或分包</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w:t>
      </w:r>
      <w:r>
        <w:rPr>
          <w:rFonts w:hint="eastAsia" w:ascii="宋体" w:hAnsi="宋体"/>
          <w:color w:val="auto"/>
          <w:sz w:val="24"/>
          <w:highlight w:val="none"/>
          <w:lang w:eastAsia="zh-CN"/>
        </w:rPr>
        <w:t xml:space="preserve">围内</w:t>
      </w:r>
      <w:r>
        <w:rPr>
          <w:rFonts w:hint="eastAsia" w:ascii="宋体" w:hAnsi="宋体"/>
          <w:color w:val="auto"/>
          <w:sz w:val="24"/>
          <w:highlight w:val="none"/>
        </w:rPr>
        <w:t xml:space="preserve">的货物，应由乙方直接供应，不得转让他人供应；</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交货方式：送货至甲方指定地点</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8.3 交货地点：甲方指定地点</w:t>
      </w:r>
      <w:r/>
    </w:p>
    <w:p>
      <w:pPr>
        <w:pStyle w:val="1020"/>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lang w:val="en-US" w:eastAsia="zh-CN"/>
        </w:rPr>
        <w:t xml:space="preserve">九</w:t>
      </w:r>
      <w:r>
        <w:rPr>
          <w:rFonts w:hint="eastAsia" w:hAnsi="宋体" w:cs="宋体"/>
          <w:b/>
          <w:color w:val="auto"/>
          <w:sz w:val="24"/>
          <w:szCs w:val="24"/>
          <w:highlight w:val="none"/>
        </w:rPr>
        <w:t xml:space="preserve">、</w:t>
      </w:r>
      <w:r>
        <w:rPr>
          <w:rFonts w:hint="eastAsia" w:hAnsi="宋体" w:cs="宋体"/>
          <w:b/>
          <w:bCs/>
          <w:color w:val="auto"/>
          <w:sz w:val="24"/>
          <w:szCs w:val="24"/>
          <w:highlight w:val="none"/>
        </w:rPr>
        <w:t xml:space="preserve">货款支付</w:t>
      </w:r>
      <w:r/>
    </w:p>
    <w:p>
      <w:pPr>
        <w:ind w:firstLine="480"/>
        <w:spacing w:line="360" w:lineRule="auto"/>
        <w:tabs>
          <w:tab w:val="left" w:pos="2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付款方式：</w:t>
      </w:r>
      <w:r/>
    </w:p>
    <w:p>
      <w:pPr>
        <w:ind w:firstLine="480"/>
        <w:spacing w:line="360" w:lineRule="auto"/>
        <w:tabs>
          <w:tab w:val="left" w:pos="210" w:leader="none"/>
        </w:tabs>
        <w:rPr>
          <w:rFonts w:hint="eastAsia" w:ascii="宋体" w:hAnsi="宋体" w:cs="宋体"/>
          <w:bCs/>
          <w:color w:val="auto"/>
          <w:sz w:val="24"/>
          <w:szCs w:val="24"/>
          <w:highlight w:val="none"/>
        </w:rPr>
      </w:pPr>
      <w:r>
        <w:rPr>
          <w:rFonts w:hint="eastAsia" w:ascii="宋体" w:hAnsi="宋体" w:eastAsia="宋体" w:cs="宋体"/>
          <w:b/>
          <w:bCs/>
          <w:color w:val="auto"/>
          <w:sz w:val="24"/>
          <w:highlight w:val="none"/>
          <w:u w:val="single"/>
        </w:rPr>
        <w:t xml:space="preserve">合同签订</w:t>
      </w:r>
      <w:r>
        <w:rPr>
          <w:rFonts w:hint="eastAsia" w:ascii="宋体" w:hAnsi="宋体" w:eastAsia="宋体" w:cs="宋体"/>
          <w:b/>
          <w:bCs/>
          <w:color w:val="auto"/>
          <w:sz w:val="24"/>
          <w:highlight w:val="none"/>
          <w:u w:val="single"/>
          <w:lang w:eastAsia="zh-CN"/>
        </w:rPr>
        <w:t xml:space="preserve">后</w:t>
      </w:r>
      <w:r>
        <w:rPr>
          <w:rFonts w:hint="eastAsia" w:ascii="宋体" w:hAnsi="宋体" w:eastAsia="宋体" w:cs="宋体"/>
          <w:b/>
          <w:bCs/>
          <w:color w:val="auto"/>
          <w:sz w:val="24"/>
          <w:highlight w:val="none"/>
          <w:u w:val="single"/>
        </w:rPr>
        <w:t xml:space="preserve">预付合同总价的30%，所有货物运抵现场并安装调试完毕，验收合格后，办理移交手续，付清余款。</w:t>
      </w:r>
      <w:r>
        <w:rPr>
          <w:rFonts w:hint="eastAsia" w:ascii="宋体" w:hAnsi="宋体" w:eastAsia="宋体" w:cs="宋体"/>
          <w:b/>
          <w:bCs/>
          <w:color w:val="auto"/>
          <w:sz w:val="24"/>
          <w:szCs w:val="24"/>
          <w:highlight w:val="none"/>
          <w:u w:val="single"/>
        </w:rPr>
        <w:t xml:space="preserve">当采购数量与实际使用数量不一致时，乙方应根据实际使用量供货，合同的最终结算金额按实际使用量乘以成交单价进行计算。</w:t>
      </w:r>
      <w:r/>
    </w:p>
    <w:p>
      <w:pPr>
        <w:spacing w:before="156" w:after="156" w:line="440" w:lineRule="exact"/>
        <w:rPr>
          <w:rFonts w:ascii="宋体" w:hAnsi="宋体" w:eastAsia="仿宋_GB2312"/>
          <w:b/>
          <w:color w:val="auto"/>
          <w:sz w:val="24"/>
          <w:highlight w:val="none"/>
        </w:rPr>
      </w:pPr>
      <w:r>
        <w:rPr>
          <w:rFonts w:hint="eastAsia" w:ascii="宋体" w:hAnsi="宋体"/>
          <w:b/>
          <w:color w:val="auto"/>
          <w:sz w:val="24"/>
          <w:highlight w:val="none"/>
        </w:rPr>
        <w:t xml:space="preserve">十、税</w:t>
      </w:r>
      <w:r/>
    </w:p>
    <w:p>
      <w:pPr>
        <w:ind w:firstLine="480"/>
        <w:spacing w:before="156" w:after="156" w:line="440" w:lineRule="exact"/>
        <w:rPr>
          <w:rFonts w:ascii="宋体" w:hAnsi="宋体" w:eastAsia="仿宋_GB2312"/>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0</w:t>
      </w:r>
      <w:r>
        <w:rPr>
          <w:rFonts w:ascii="宋体" w:hAnsi="宋体"/>
          <w:color w:val="auto"/>
          <w:sz w:val="24"/>
          <w:highlight w:val="none"/>
        </w:rPr>
        <w:t xml:space="preserve">.1</w:t>
      </w:r>
      <w:r>
        <w:rPr>
          <w:rFonts w:hint="eastAsia" w:ascii="宋体" w:hAnsi="宋体"/>
          <w:color w:val="auto"/>
          <w:sz w:val="24"/>
          <w:highlight w:val="none"/>
        </w:rPr>
        <w:t xml:space="preserve">本合同执行中相关的一切税费均由乙方负担。</w:t>
      </w:r>
      <w:r/>
    </w:p>
    <w:p>
      <w:pPr>
        <w:pStyle w:val="1020"/>
        <w:spacing w:before="120" w:after="120" w:line="440" w:lineRule="exact"/>
        <w:rPr>
          <w:rFonts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一</w:t>
      </w:r>
      <w:r>
        <w:rPr>
          <w:rFonts w:hAnsi="宋体"/>
          <w:b/>
          <w:color w:val="auto"/>
          <w:sz w:val="24"/>
          <w:szCs w:val="24"/>
          <w:highlight w:val="none"/>
        </w:rPr>
        <w:t xml:space="preserve">、质量保证及售后服务</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1020"/>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1</w:t>
      </w:r>
      <w:r>
        <w:rPr>
          <w:rFonts w:hint="eastAsia" w:hAnsi="宋体"/>
          <w:color w:val="auto"/>
          <w:sz w:val="24"/>
          <w:szCs w:val="24"/>
          <w:highlight w:val="none"/>
          <w:lang w:eastAsia="zh-CN"/>
        </w:rPr>
        <w:t xml:space="preserve">）</w:t>
      </w:r>
      <w:r>
        <w:rPr>
          <w:rFonts w:hAnsi="宋体"/>
          <w:color w:val="auto"/>
          <w:sz w:val="24"/>
          <w:szCs w:val="24"/>
          <w:highlight w:val="none"/>
        </w:rPr>
        <w:t xml:space="preserve">更换：由乙方承担所发生的全部费用。</w:t>
      </w:r>
      <w:r/>
    </w:p>
    <w:p>
      <w:pPr>
        <w:pStyle w:val="1020"/>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w:t>
      </w:r>
      <w:r>
        <w:rPr>
          <w:rFonts w:hAnsi="宋体"/>
          <w:color w:val="auto"/>
          <w:sz w:val="24"/>
          <w:szCs w:val="24"/>
          <w:highlight w:val="none"/>
        </w:rPr>
        <w:t xml:space="preserve">贬值处理：由甲乙双方合议定价。</w:t>
      </w:r>
      <w:r/>
    </w:p>
    <w:p>
      <w:pPr>
        <w:pStyle w:val="1020"/>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val="en-US" w:eastAsia="zh-CN"/>
        </w:rPr>
        <w:t xml:space="preserve">11</w:t>
      </w:r>
      <w:r>
        <w:rPr>
          <w:rFonts w:hAnsi="宋体"/>
          <w:color w:val="auto"/>
          <w:sz w:val="24"/>
          <w:szCs w:val="24"/>
          <w:highlight w:val="none"/>
        </w:rPr>
        <w:t xml:space="preserve">.3 如在使用过程中发生质量问题，乙方在</w:t>
      </w:r>
      <w:r>
        <w:rPr>
          <w:rFonts w:hint="eastAsia" w:hAnsi="宋体"/>
          <w:color w:val="auto"/>
          <w:sz w:val="24"/>
          <w:szCs w:val="24"/>
          <w:highlight w:val="none"/>
          <w:lang w:val="en-US" w:eastAsia="zh-CN"/>
        </w:rPr>
        <w:t xml:space="preserve">发现问题</w:t>
      </w:r>
      <w:r>
        <w:rPr>
          <w:rFonts w:hAnsi="宋体"/>
          <w:color w:val="auto"/>
          <w:sz w:val="24"/>
          <w:szCs w:val="24"/>
          <w:highlight w:val="none"/>
        </w:rPr>
        <w:t xml:space="preserve">后在</w:t>
      </w:r>
      <w:r>
        <w:rPr>
          <w:rFonts w:hint="eastAsia" w:hAnsi="宋体"/>
          <w:color w:val="auto"/>
          <w:sz w:val="24"/>
          <w:szCs w:val="24"/>
          <w:highlight w:val="none"/>
          <w:u w:val="single"/>
        </w:rPr>
        <w:t xml:space="preserve">     </w:t>
      </w:r>
      <w:r>
        <w:rPr>
          <w:rFonts w:hAnsi="宋体"/>
          <w:color w:val="auto"/>
          <w:sz w:val="24"/>
          <w:szCs w:val="24"/>
          <w:highlight w:val="none"/>
        </w:rPr>
        <w:t xml:space="preserve">小时内到达现场</w:t>
      </w:r>
      <w:r>
        <w:rPr>
          <w:rFonts w:hint="eastAsia" w:hAnsi="宋体"/>
          <w:b/>
          <w:color w:val="auto"/>
          <w:sz w:val="24"/>
          <w:szCs w:val="24"/>
          <w:highlight w:val="none"/>
        </w:rPr>
        <w:t xml:space="preserve">（以乙方在投标文件中承诺时间为准）</w:t>
      </w:r>
      <w:r>
        <w:rPr>
          <w:rFonts w:hAnsi="宋体"/>
          <w:color w:val="auto"/>
          <w:sz w:val="24"/>
          <w:szCs w:val="24"/>
          <w:highlight w:val="none"/>
        </w:rPr>
        <w:t xml:space="preserve">。</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.4 在质保期内，乙方应对货物出现的质量及安全问题负责处理解决并承担一切费用。</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.5</w:t>
      </w:r>
      <w:r>
        <w:rPr>
          <w:rFonts w:hint="eastAsia" w:hAnsi="宋体"/>
          <w:color w:val="auto"/>
          <w:sz w:val="24"/>
          <w:szCs w:val="24"/>
          <w:highlight w:val="none"/>
          <w:lang w:eastAsia="zh-CN"/>
        </w:rPr>
        <w:t xml:space="preserve">上述</w:t>
      </w:r>
      <w:r>
        <w:rPr>
          <w:rFonts w:hAnsi="宋体"/>
          <w:color w:val="auto"/>
          <w:sz w:val="24"/>
          <w:szCs w:val="24"/>
          <w:highlight w:val="none"/>
        </w:rPr>
        <w:t xml:space="preserve">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二</w:t>
      </w:r>
      <w:r>
        <w:rPr>
          <w:rFonts w:hAnsi="宋体"/>
          <w:b/>
          <w:color w:val="auto"/>
          <w:sz w:val="24"/>
          <w:szCs w:val="24"/>
          <w:highlight w:val="none"/>
        </w:rPr>
        <w:t xml:space="preserve">、调试和验收</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1020"/>
        <w:ind w:firstLine="480"/>
        <w:spacing w:before="120" w:after="120" w:line="440" w:lineRule="exact"/>
        <w:rPr>
          <w:rFonts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1020"/>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三</w:t>
      </w:r>
      <w:r>
        <w:rPr>
          <w:rFonts w:hAnsi="宋体"/>
          <w:b/>
          <w:color w:val="auto"/>
          <w:sz w:val="24"/>
          <w:szCs w:val="24"/>
          <w:highlight w:val="none"/>
        </w:rPr>
        <w:t xml:space="preserve">、货物包装、发运及运输</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1020"/>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四</w:t>
      </w:r>
      <w:r>
        <w:rPr>
          <w:rFonts w:hAnsi="宋体"/>
          <w:b/>
          <w:color w:val="auto"/>
          <w:sz w:val="24"/>
          <w:szCs w:val="24"/>
          <w:highlight w:val="none"/>
        </w:rPr>
        <w:t xml:space="preserve">、违约责任</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1020"/>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20"/>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.5乙方在</w:t>
      </w:r>
      <w:r>
        <w:rPr>
          <w:rFonts w:hint="eastAsia" w:hAnsi="宋体" w:cs="宋体"/>
          <w:color w:val="auto"/>
          <w:sz w:val="24"/>
          <w:highlight w:val="none"/>
          <w:lang w:eastAsia="zh-CN"/>
        </w:rPr>
        <w:t xml:space="preserve">发现问题于2小时内响应，4小时内到达现场，进行设备检修。因仪器故障超过48小时未能解决的，应采取应急处置方案。</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五</w:t>
      </w:r>
      <w:r>
        <w:rPr>
          <w:rFonts w:hAnsi="宋体"/>
          <w:b/>
          <w:color w:val="auto"/>
          <w:sz w:val="24"/>
          <w:szCs w:val="24"/>
          <w:highlight w:val="none"/>
        </w:rPr>
        <w:t xml:space="preserve">、不可抗力事件处理</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.2 不可抗力事件发生后，应立即通知对方，并寄送有关权威机构出具的证明。</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.3 不可抗力事件延续120天以上，双方应通过友好协商，确定是否继续履行合同。</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六</w:t>
      </w:r>
      <w:r>
        <w:rPr>
          <w:rFonts w:hAnsi="宋体"/>
          <w:b/>
          <w:color w:val="auto"/>
          <w:sz w:val="24"/>
          <w:szCs w:val="24"/>
          <w:highlight w:val="none"/>
        </w:rPr>
        <w:t xml:space="preserve">、诉讼</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1020"/>
        <w:spacing w:before="120" w:after="120" w:line="440" w:lineRule="exact"/>
        <w:rPr>
          <w:rFonts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w:t>
      </w:r>
      <w:r>
        <w:rPr>
          <w:rFonts w:hint="eastAsia" w:hAnsi="宋体"/>
          <w:color w:val="auto"/>
          <w:sz w:val="24"/>
          <w:szCs w:val="24"/>
          <w:highlight w:val="none"/>
          <w:lang w:val="en-US" w:eastAsia="zh-CN"/>
        </w:rPr>
        <w:t xml:space="preserve">方</w:t>
      </w:r>
      <w:r>
        <w:rPr>
          <w:rFonts w:hint="eastAsia" w:hAnsi="宋体"/>
          <w:color w:val="auto"/>
          <w:sz w:val="24"/>
          <w:szCs w:val="24"/>
          <w:highlight w:val="none"/>
        </w:rPr>
        <w:t xml:space="preserve">盖章</w:t>
      </w:r>
      <w:r>
        <w:rPr>
          <w:rFonts w:hAnsi="宋体"/>
          <w:color w:val="auto"/>
          <w:sz w:val="24"/>
          <w:szCs w:val="24"/>
          <w:highlight w:val="none"/>
        </w:rPr>
        <w:t xml:space="preserve">后生效。</w:t>
      </w:r>
      <w:r/>
    </w:p>
    <w:p>
      <w:pPr>
        <w:pStyle w:val="1020"/>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lang w:eastAsia="zh-CN"/>
        </w:rPr>
        <w:t xml:space="preserve">中华人民共和国民法典</w:t>
      </w:r>
      <w:r>
        <w:rPr>
          <w:rFonts w:hAnsi="宋体"/>
          <w:color w:val="auto"/>
          <w:sz w:val="24"/>
          <w:szCs w:val="24"/>
          <w:highlight w:val="none"/>
        </w:rPr>
        <w:t xml:space="preserve">》有关条文执行。</w:t>
      </w:r>
      <w:r/>
    </w:p>
    <w:p>
      <w:pPr>
        <w:pStyle w:val="1020"/>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五</w:t>
      </w:r>
      <w:r>
        <w:rPr>
          <w:rFonts w:hint="eastAsia" w:hAnsi="宋体"/>
          <w:color w:val="auto"/>
          <w:sz w:val="24"/>
          <w:szCs w:val="24"/>
          <w:highlight w:val="none"/>
          <w:u w:val="single"/>
        </w:rPr>
        <w:t xml:space="preserve"> </w:t>
      </w:r>
      <w:r>
        <w:rPr>
          <w:rFonts w:hAnsi="宋体"/>
          <w:color w:val="auto"/>
          <w:sz w:val="24"/>
          <w:szCs w:val="24"/>
          <w:highlight w:val="none"/>
        </w:rPr>
        <w:t xml:space="preserve">份，具有同等法律效力，甲乙</w:t>
      </w:r>
      <w:r>
        <w:rPr>
          <w:rFonts w:hint="eastAsia" w:hAnsi="宋体"/>
          <w:color w:val="auto"/>
          <w:sz w:val="24"/>
          <w:szCs w:val="24"/>
          <w:highlight w:val="none"/>
        </w:rPr>
        <w:t xml:space="preserve">双方各执</w:t>
      </w:r>
      <w:r>
        <w:rPr>
          <w:rFonts w:hint="eastAsia" w:hAnsi="宋体"/>
          <w:color w:val="auto"/>
          <w:sz w:val="24"/>
          <w:szCs w:val="24"/>
          <w:highlight w:val="none"/>
          <w:lang w:val="en-US" w:eastAsia="zh-CN"/>
        </w:rPr>
        <w:t xml:space="preserve">两</w:t>
      </w:r>
      <w:r>
        <w:rPr>
          <w:rFonts w:hint="eastAsia" w:hAnsi="宋体"/>
          <w:color w:val="auto"/>
          <w:sz w:val="24"/>
          <w:szCs w:val="24"/>
          <w:highlight w:val="none"/>
        </w:rPr>
        <w:t xml:space="preserve">份，见证方</w:t>
      </w:r>
      <w:r>
        <w:rPr>
          <w:rFonts w:hint="eastAsia" w:hAnsi="宋体"/>
          <w:color w:val="auto"/>
          <w:sz w:val="24"/>
          <w:szCs w:val="24"/>
          <w:highlight w:val="none"/>
          <w:lang w:val="en-US" w:eastAsia="zh-CN"/>
        </w:rPr>
        <w:t xml:space="preserve">执一</w:t>
      </w:r>
      <w:r>
        <w:rPr>
          <w:rFonts w:hint="eastAsia" w:hAnsi="宋体"/>
          <w:color w:val="auto"/>
          <w:sz w:val="24"/>
          <w:szCs w:val="24"/>
          <w:highlight w:val="none"/>
        </w:rPr>
        <w:t xml:space="preserve">份</w:t>
      </w:r>
      <w:r>
        <w:rPr>
          <w:rFonts w:hAnsi="宋体"/>
          <w:color w:val="auto"/>
          <w:sz w:val="24"/>
          <w:szCs w:val="24"/>
          <w:highlight w:val="none"/>
        </w:rPr>
        <w:t xml:space="preserve">。</w:t>
      </w:r>
      <w:r/>
    </w:p>
    <w:p>
      <w:pPr>
        <w:pStyle w:val="1020"/>
        <w:ind w:left="480" w:hanging="480"/>
        <w:spacing w:before="120" w:after="120" w:line="440" w:lineRule="exact"/>
        <w:rPr>
          <w:rFonts w:hAnsi="宋体"/>
          <w:color w:val="auto"/>
          <w:sz w:val="24"/>
          <w:szCs w:val="24"/>
          <w:highlight w:val="none"/>
        </w:rPr>
      </w:pPr>
      <w:r>
        <w:rPr>
          <w:rFonts w:hAnsi="宋体"/>
          <w:color w:val="auto"/>
          <w:sz w:val="24"/>
          <w:szCs w:val="24"/>
          <w:highlight w:val="none"/>
        </w:rPr>
        <w:t xml:space="preserve">  甲方：                                   乙方： </w:t>
      </w:r>
      <w:r/>
    </w:p>
    <w:p>
      <w:pPr>
        <w:pStyle w:val="1020"/>
        <w:spacing w:before="120" w:after="120" w:line="440" w:lineRule="exact"/>
        <w:rPr>
          <w:rFonts w:hAnsi="宋体"/>
          <w:color w:val="auto"/>
          <w:sz w:val="24"/>
          <w:szCs w:val="24"/>
          <w:highlight w:val="none"/>
        </w:rPr>
      </w:pPr>
      <w:r>
        <w:rPr>
          <w:rFonts w:hAnsi="宋体"/>
          <w:color w:val="auto"/>
          <w:sz w:val="24"/>
          <w:szCs w:val="24"/>
          <w:highlight w:val="none"/>
        </w:rPr>
        <w:t xml:space="preserve">  地址：                                   地址： </w:t>
      </w:r>
      <w:r/>
    </w:p>
    <w:p>
      <w:pPr>
        <w:pStyle w:val="1020"/>
        <w:spacing w:before="120" w:after="120" w:line="44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1020"/>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1020"/>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1020"/>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3731"/>
      <w:r>
        <w:rPr>
          <w:rFonts w:hint="eastAsia" w:ascii="宋体" w:hAnsi="宋体" w:cs="宋体"/>
          <w:b/>
          <w:color w:val="auto"/>
          <w:spacing w:val="-4"/>
          <w:sz w:val="24"/>
          <w:highlight w:val="none"/>
          <w:lang w:eastAsia="zh-CN"/>
        </w:rPr>
        <w:t xml:space="preserve">六、</w:t>
      </w:r>
      <w:r>
        <w:rPr>
          <w:rFonts w:hint="eastAsia" w:ascii="黑体" w:eastAsia="黑体"/>
          <w:bCs/>
          <w:color w:val="auto"/>
          <w:sz w:val="28"/>
          <w:szCs w:val="28"/>
          <w:highlight w:val="none"/>
        </w:rPr>
        <w:t xml:space="preserve">附件</w:t>
      </w:r>
      <w:bookmarkEnd w:id="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12</w:t>
      </w:r>
      <w:r>
        <w:rPr>
          <w:rFonts w:hint="eastAsia" w:ascii="宋体" w:hAnsi="宋体" w:cs="宋体"/>
          <w:b/>
          <w:color w:val="auto"/>
          <w:sz w:val="24"/>
          <w:highlight w:val="none"/>
        </w:rPr>
        <w:t xml:space="preserve">分</w:t>
      </w:r>
      <w:r/>
    </w:p>
    <w:p>
      <w:pPr>
        <w:ind w:firstLine="480"/>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技术参数</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8</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0分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1.投标报价（30分）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2"/>
        <w:spacing w:line="440" w:lineRule="exact"/>
        <w:rPr>
          <w:rStyle w:val="1069"/>
          <w:rFonts w:hint="eastAsia" w:ascii="宋体" w:hAnsi="宋体" w:eastAsia="宋体" w:cs="宋体"/>
          <w:b/>
          <w:bCs/>
          <w:color w:val="auto"/>
          <w:sz w:val="24"/>
          <w:szCs w:val="24"/>
          <w:highlight w:val="none"/>
          <w:lang w:val="en-US" w:eastAsia="zh-CN"/>
        </w:rPr>
      </w:pPr>
      <w:r>
        <w:rPr>
          <w:rStyle w:val="1069"/>
          <w:rFonts w:hint="eastAsia" w:ascii="宋体" w:hAnsi="宋体" w:eastAsia="宋体" w:cs="宋体"/>
          <w:b/>
          <w:bCs/>
          <w:color w:val="auto"/>
          <w:sz w:val="24"/>
          <w:szCs w:val="24"/>
          <w:highlight w:val="none"/>
          <w:lang w:val="en-US" w:eastAsia="zh-CN"/>
        </w:rPr>
        <w:t xml:space="preserve">（一）价格扣除：</w:t>
      </w:r>
      <w:r/>
    </w:p>
    <w:p>
      <w:pPr>
        <w:ind w:firstLine="482"/>
        <w:spacing w:line="440" w:lineRule="exact"/>
        <w:rPr>
          <w:rStyle w:val="1069"/>
          <w:rFonts w:hint="eastAsia" w:ascii="宋体" w:hAnsi="宋体" w:eastAsia="宋体" w:cs="宋体"/>
          <w:b/>
          <w:bCs/>
          <w:color w:val="auto"/>
          <w:sz w:val="24"/>
          <w:szCs w:val="24"/>
          <w:highlight w:val="none"/>
          <w:lang w:val="en-US" w:eastAsia="zh-CN"/>
        </w:rPr>
      </w:pPr>
      <w:r>
        <w:rPr>
          <w:rStyle w:val="1069"/>
          <w:rFonts w:hint="eastAsia" w:ascii="宋体" w:hAnsi="宋体" w:eastAsia="宋体" w:cs="宋体"/>
          <w:b/>
          <w:bCs/>
          <w:color w:val="auto"/>
          <w:sz w:val="24"/>
          <w:szCs w:val="24"/>
          <w:highlight w:val="none"/>
          <w:lang w:val="en-US" w:eastAsia="zh-CN"/>
        </w:rPr>
        <w:t xml:space="preserve">小微型企业价格扣除：专门面向中小/小微企业的项目不做价格扣除。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）对本国产品的支持政策：</w:t>
      </w:r>
      <w:r>
        <w:rPr>
          <w:rFonts w:hint="eastAsia" w:ascii="宋体" w:hAnsi="宋体" w:eastAsia="宋体" w:cs="宋体"/>
          <w:color w:val="auto"/>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宋体" w:hAnsi="宋体" w:eastAsia="宋体" w:cs="宋体"/>
          <w:color w:val="auto"/>
          <w:sz w:val="24"/>
          <w:szCs w:val="24"/>
          <w:highlight w:val="none"/>
          <w:lang w:val="en-US" w:eastAsia="zh-CN"/>
        </w:rPr>
        <w:t xml:space="preserve">给予</w:t>
      </w:r>
      <w:r>
        <w:rPr>
          <w:rFonts w:hint="eastAsia" w:ascii="宋体" w:hAnsi="宋体" w:eastAsia="宋体" w:cs="宋体"/>
          <w:color w:val="auto"/>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color w:val="auto"/>
          <w:sz w:val="24"/>
          <w:szCs w:val="24"/>
          <w:highlight w:val="none"/>
          <w:u w:val="single"/>
          <w:lang w:eastAsia="zh-CN"/>
        </w:rPr>
        <w:t xml:space="preserve">对于仅有本国产品参与竞争的政府采购项目或采购包，本国产品不享受价格扣除评审优惠。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.2注意事项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（1）提供本国产品进行投标（报价）的供应商需在其投标（响应）文件中提供《关于符合本国产品标准的声明函》（格式见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）或财政部门会同有关部门规定的有关证明文件。供应商提供的《关于符合本国产品标准的声明函》应按要求逐一、准确填写“产品名称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厂名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（2）当采购项目或者采购包中含有多种产品，除按上述要求提供《关于符合本国产品标准的声明函》外，供应商还应在《</w:t>
      </w:r>
      <w:r>
        <w:rPr>
          <w:rFonts w:hint="eastAsia" w:ascii="宋体" w:hAnsi="宋体" w:eastAsia="宋体" w:cs="宋体"/>
          <w:color w:val="auto"/>
          <w:sz w:val="24"/>
          <w:szCs w:val="24"/>
          <w:highlight w:val="none"/>
          <w:lang w:val="en-US" w:eastAsia="zh-CN"/>
        </w:rPr>
        <w:t xml:space="preserve">明细报价表</w:t>
      </w:r>
      <w:r>
        <w:rPr>
          <w:rFonts w:hint="eastAsia" w:ascii="宋体" w:hAnsi="宋体" w:eastAsia="宋体" w:cs="宋体"/>
          <w:color w:val="auto"/>
          <w:sz w:val="24"/>
          <w:szCs w:val="24"/>
          <w:highlight w:val="none"/>
          <w:lang w:eastAsia="zh-CN"/>
        </w:rPr>
        <w:t xml:space="preserve">》中进行承诺（格式见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lang w:eastAsia="zh-CN"/>
        </w:rPr>
        <w:t xml:space="preserve">《财政部关于进一步加大政府采购支持中小企业力度的通知</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lang w:eastAsia="zh-CN"/>
        </w:rPr>
        <w:t xml:space="preserve">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1000000×[1-（10%+20%）]=700000元</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（1）投标供应商</w:t>
      </w:r>
      <w:r>
        <w:rPr>
          <w:rFonts w:hint="eastAsia" w:ascii="宋体" w:hAnsi="宋体" w:cs="宋体"/>
          <w:bCs/>
          <w:color w:val="auto"/>
          <w:sz w:val="24"/>
          <w:szCs w:val="24"/>
          <w:highlight w:val="none"/>
          <w:lang w:val="en-US" w:eastAsia="zh-CN"/>
        </w:rPr>
        <w:t xml:space="preserve">自</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年1月1日以来具有类似项目业绩的，有</w:t>
      </w:r>
      <w:r>
        <w:rPr>
          <w:rFonts w:hint="eastAsia" w:ascii="宋体" w:hAnsi="宋体" w:cs="宋体"/>
          <w:color w:val="auto"/>
          <w:sz w:val="24"/>
          <w:highlight w:val="none"/>
          <w:lang w:val="en-US" w:eastAsia="zh-CN"/>
        </w:rPr>
        <w:t xml:space="preserve">1个</w:t>
      </w:r>
      <w:r>
        <w:rPr>
          <w:rFonts w:hint="eastAsia" w:ascii="宋体" w:hAnsi="宋体" w:cs="宋体"/>
          <w:bCs/>
          <w:color w:val="auto"/>
          <w:sz w:val="24"/>
          <w:szCs w:val="24"/>
          <w:highlight w:val="none"/>
        </w:rPr>
        <w:t xml:space="preserve">得2分，本项最高得6分【以合同签订时间为准，提供合同扫描件</w:t>
      </w:r>
      <w:r>
        <w:rPr>
          <w:rFonts w:hint="eastAsia" w:ascii="宋体" w:hAnsi="宋体" w:cs="宋体"/>
          <w:b w:val="0"/>
          <w:bCs/>
          <w:color w:val="auto"/>
          <w:sz w:val="24"/>
          <w:highlight w:val="none"/>
          <w:lang w:val="en-US" w:eastAsia="zh-CN"/>
        </w:rPr>
        <w:t xml:space="preserve">加盖投标供应商电子签章</w:t>
      </w:r>
      <w:r>
        <w:rPr>
          <w:rFonts w:hint="eastAsia" w:ascii="宋体" w:hAnsi="宋体" w:cs="宋体"/>
          <w:bCs/>
          <w:color w:val="auto"/>
          <w:sz w:val="24"/>
          <w:szCs w:val="24"/>
          <w:highlight w:val="none"/>
        </w:rPr>
        <w:t xml:space="preserve">上传至电子投标文件，未按要求提供不得分】</w:t>
      </w:r>
      <w:r/>
    </w:p>
    <w:p>
      <w:pPr>
        <w:ind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在满足招标文件响应时间：接到报修电话后2小时内响应，8小时内赶到报修现场，24小时内修理完毕的基础上，修理完毕时间每缩短6小时得2分，本项最高得4分</w:t>
      </w:r>
      <w:r>
        <w:rPr>
          <w:rFonts w:hint="eastAsia" w:ascii="宋体" w:hAnsi="宋体" w:cs="宋体"/>
          <w:bCs/>
          <w:color w:val="auto"/>
          <w:sz w:val="24"/>
          <w:szCs w:val="24"/>
          <w:highlight w:val="none"/>
        </w:rPr>
        <w:t xml:space="preserve">【提供</w:t>
      </w:r>
      <w:r>
        <w:rPr>
          <w:rFonts w:hint="eastAsia" w:ascii="宋体" w:hAnsi="宋体" w:cs="宋体"/>
          <w:bCs/>
          <w:color w:val="auto"/>
          <w:sz w:val="24"/>
          <w:szCs w:val="24"/>
          <w:highlight w:val="none"/>
          <w:lang w:val="en-US" w:eastAsia="zh-CN"/>
        </w:rPr>
        <w:t xml:space="preserve">承诺书（格式自拟）</w:t>
      </w:r>
      <w:r>
        <w:rPr>
          <w:rFonts w:hint="eastAsia" w:ascii="宋体" w:hAnsi="宋体" w:cs="宋体"/>
          <w:b w:val="0"/>
          <w:bCs/>
          <w:color w:val="auto"/>
          <w:sz w:val="24"/>
          <w:highlight w:val="none"/>
          <w:lang w:val="en-US" w:eastAsia="zh-CN"/>
        </w:rPr>
        <w:t xml:space="preserve">加盖投标供应商电子签章</w:t>
      </w:r>
      <w:r>
        <w:rPr>
          <w:rFonts w:hint="eastAsia" w:ascii="宋体" w:hAnsi="宋体" w:cs="宋体"/>
          <w:bCs/>
          <w:color w:val="auto"/>
          <w:sz w:val="24"/>
          <w:szCs w:val="24"/>
          <w:highlight w:val="none"/>
        </w:rPr>
        <w:t xml:space="preserve">上传至电子投标文件，未按要求提供不得分】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节能环保（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提供证明文件扫描件</w:t>
      </w:r>
      <w:r>
        <w:rPr>
          <w:rFonts w:hint="eastAsia" w:ascii="宋体" w:hAnsi="宋体" w:cs="宋体"/>
          <w:b w:val="0"/>
          <w:bCs/>
          <w:color w:val="auto"/>
          <w:sz w:val="24"/>
          <w:highlight w:val="none"/>
          <w:lang w:val="en-US" w:eastAsia="zh-CN"/>
        </w:rPr>
        <w:t xml:space="preserve">加盖投标供应商电子签章</w:t>
      </w:r>
      <w:r>
        <w:rPr>
          <w:rFonts w:hint="eastAsia" w:ascii="宋体" w:hAnsi="宋体" w:eastAsia="宋体" w:cs="宋体"/>
          <w:bCs/>
          <w:color w:val="auto"/>
          <w:sz w:val="24"/>
          <w:szCs w:val="24"/>
          <w:highlight w:val="none"/>
        </w:rPr>
        <w:t xml:space="preserve">上传至电子投标文件，未按要求提供不得分】</w:t>
      </w:r>
      <w:r/>
    </w:p>
    <w:p>
      <w:pPr>
        <w:ind w:firstLine="480"/>
        <w:jc w:val="left"/>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技术参数（8分）</w:t>
      </w:r>
      <w:r/>
    </w:p>
    <w:p>
      <w:pPr>
        <w:ind w:firstLine="480"/>
        <w:jc w:val="left"/>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采购需求中标注“△”的参数有一项正偏离加1分，本项最高得8分</w:t>
      </w:r>
      <w:r>
        <w:rPr>
          <w:rFonts w:hint="eastAsia" w:ascii="宋体" w:hAnsi="宋体" w:eastAsia="宋体" w:cs="宋体"/>
          <w:bCs/>
          <w:color w:val="auto"/>
          <w:sz w:val="24"/>
          <w:szCs w:val="24"/>
          <w:highlight w:val="none"/>
        </w:rPr>
        <w:t xml:space="preserve">【</w:t>
      </w:r>
      <w:r>
        <w:rPr>
          <w:rFonts w:hint="eastAsia" w:ascii="宋体" w:hAnsi="宋体" w:cs="宋体"/>
          <w:b w:val="0"/>
          <w:bCs/>
          <w:color w:val="auto"/>
          <w:sz w:val="24"/>
          <w:highlight w:val="none"/>
          <w:lang w:val="en-US" w:eastAsia="zh-CN"/>
        </w:rPr>
        <w:t xml:space="preserve">符合及正偏离的参数需将产品介绍、证明材料等内容原件扫描件加盖投标供应商电子签章上传至投标系统相应模块中，</w:t>
      </w:r>
      <w:r>
        <w:rPr>
          <w:rFonts w:hint="eastAsia" w:ascii="宋体" w:hAnsi="宋体" w:eastAsia="宋体" w:cs="宋体"/>
          <w:bCs/>
          <w:color w:val="auto"/>
          <w:sz w:val="24"/>
          <w:szCs w:val="24"/>
          <w:highlight w:val="none"/>
        </w:rPr>
        <w:t xml:space="preserve">未按要求提供不得分】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szCs w:val="24"/>
          <w:highlight w:val="none"/>
        </w:rPr>
        <w:t xml:space="preserve">技术文件（</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0分）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（1）项目实施方案（15分）：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1）原材料备货（8分）：备货充足，保障生产顺利进行的得8分；备货一般，基本能保障生产顺利进行的得5分；备货欠缺，只能保障基础生产进行的得3分；未提供不得分。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产品备货生产进度安排（7分）：进度计划合理、工期保证措施科学、工期滞后弥补办法措施切实可行的得7分；进度计划、工期保证措施、工期滞后弥补办法措施较为合理可行的得4分；进度计划及措施一般但基本可行的得2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（2）质量保证体系及措施（20分）：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1）货物生产质量保障措施（5分）：保障措施完整、自检流程清晰的得5分；保障措施基本完整、自检流程基本清晰的得3分；保障措施不完整、自检流程不清晰的得1分；未提供不得分。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2）货物运输保障措施（5分）：保障措施完整、自检流程清晰的得5分；保障措施基本完整、自检流程基本清晰的得3分；保障措施不完整、自检流程不清晰的得1分；未提供不得分。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3）货物交货保障措施（5分）：保障措施完整、自检流程清晰的得5分；保障措施基本完整、自检流程基本清晰的得3分；保障措施不完整、自检流程不清晰的得1分；未提供不得分。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4）应急措施（5分）：应急措施完整、自检流程清晰的得5分；应急措施基本完整、自检流程基本清晰的得3分；应急措施不完整、自检流程不清晰的得1分；未提供不得分。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安装调试验收方案（5分）：方案编制针对性强、科学、先进、完整全面的得5分；方案编制针对性、科学性、先进性、全面性欠缺但较为完整的得3分；方案编制针对性、科学性、先进性、全面性一般但基本完整的得1分；未提供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（4）其他售后服务计划（10分）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shd w:val="clear" w:color="auto" w:fill="ffffff"/>
          <w:lang w:val="en-US" w:eastAsia="zh-CN"/>
        </w:rPr>
        <w:t xml:space="preserve">保修</w:t>
      </w:r>
      <w:r>
        <w:rPr>
          <w:rFonts w:hint="eastAsia" w:ascii="宋体" w:hAnsi="宋体" w:cs="宋体"/>
          <w:color w:val="auto"/>
          <w:sz w:val="24"/>
          <w:highlight w:val="none"/>
          <w:shd w:val="clear" w:color="auto" w:fill="ffffff"/>
        </w:rPr>
        <w:t xml:space="preserve">期内的维修承诺（5分）：内容编写思路清晰、准确、全面、合理，可操作性、针对性强的，得5分；内容编写详细合理，可操作性、针对性准确较强的，得3分；内容编写一般，可操作性、针对性一般的，得1分；未提供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shd w:val="clear" w:color="auto" w:fill="ffffff"/>
          <w:lang w:val="en-US" w:eastAsia="zh-CN"/>
        </w:rPr>
        <w:t xml:space="preserve">保修</w:t>
      </w:r>
      <w:r>
        <w:rPr>
          <w:rFonts w:hint="eastAsia" w:ascii="宋体" w:hAnsi="宋体" w:cs="宋体"/>
          <w:color w:val="auto"/>
          <w:sz w:val="24"/>
          <w:highlight w:val="none"/>
          <w:shd w:val="clear" w:color="auto" w:fill="ffffff"/>
        </w:rPr>
        <w:t xml:space="preserve">期满后的维修承诺（5分）：内容编写思路清晰、准确、全面、合理，可操作性、针对性强的，得5分；内容编写详细合理，可操作性、针对性准确较强的，得3分；内容编写一般，可操作性、针对性一般的，得1分；未提供不得分。</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JSZC-320211-JSZH-G2026-0060</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2026年滨湖区室外全民健身设施采购项目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无锡市滨湖区文化体育和旅游局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JSZC-320211-JSZH-G2026-0060</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48"/>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无锡市滨湖区文化体育和旅游局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JSZC-320211-JSZH-G2026-0060</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JSZC-320211-JSZH-G2026-0060</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keepLines w:val="0"/>
        <w:keepNext w:val="0"/>
        <w:pageBreakBefore w:val="0"/>
        <w:spacing w:line="360" w:lineRule="auto"/>
        <w:widowControl w:val="off"/>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无锡市滨湖区文化体育和旅游局</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JSZC-320211-JSZH-G2026-0060</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3"/>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3"/>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keepLines w:val="0"/>
        <w:keepNext w:val="0"/>
        <w:pageBreakBefore w:val="0"/>
        <w:spacing w:line="360" w:lineRule="auto"/>
        <w:widowControl w:val="off"/>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无锡市滨湖区文化体育和旅游局</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我公司自愿参加贵单位（公司）项目的投标，并接受对我公司的资格审查，我公司承诺：本公</w:t>
      </w:r>
      <w:r>
        <w:rPr>
          <w:rFonts w:hint="eastAsia" w:ascii="宋体" w:hAnsi="宋体"/>
          <w:color w:val="auto"/>
          <w:sz w:val="24"/>
          <w:highlight w:val="none"/>
          <w:lang w:eastAsia="zh-CN"/>
        </w:rPr>
        <w:t xml:space="preserve">司在</w:t>
      </w:r>
      <w:r>
        <w:rPr>
          <w:rFonts w:hint="eastAsia" w:ascii="宋体" w:hAnsi="宋体"/>
          <w:color w:val="auto"/>
          <w:sz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63"/>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63"/>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keepLines w:val="0"/>
        <w:keepNext w:val="0"/>
        <w:pageBreakBefore w:val="0"/>
        <w:spacing w:line="360" w:lineRule="auto"/>
        <w:widowControl w:val="off"/>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不向设计招标的单位及个人购置或提供通讯工具、交通工具和高档办公用品等。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JSZC-320211-JSZH-G2026-0060</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81"/>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1527" w:type="dxa"/>
            <w:vAlign w:val="center"/>
            <w:textDirection w:val="lrTb"/>
            <w:noWrap w:val="false"/>
          </w:tcPr>
          <w:p>
            <w:pPr>
              <w:pStyle w:val="809"/>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809"/>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3472" w:type="dxa"/>
            <w:vAlign w:val="center"/>
            <w:textDirection w:val="lrTb"/>
            <w:noWrap w:val="false"/>
          </w:tcPr>
          <w:p>
            <w:pPr>
              <w:pStyle w:val="809"/>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809"/>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保修期</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ascii="宋体" w:hAnsi="宋体" w:cs="宋体"/>
                <w:color w:val="auto"/>
                <w:sz w:val="24"/>
                <w:szCs w:val="28"/>
                <w:highlight w:val="none"/>
              </w:rPr>
            </w:pPr>
            <w:r>
              <w:rPr>
                <w:rFonts w:hint="eastAsia" w:ascii="宋体" w:hAnsi="宋体" w:cs="宋体"/>
                <w:color w:val="auto"/>
                <w:sz w:val="24"/>
                <w:highlight w:val="none"/>
              </w:rPr>
              <w:t xml:space="preserve">维修响应时间</w:t>
            </w:r>
            <w:r/>
          </w:p>
        </w:tc>
        <w:tc>
          <w:tcPr>
            <w:tcW w:w="3472"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8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合计：</w:t>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rPr>
              <w:t xml:space="preserve">%。</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67"/>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w:t>
            </w:r>
            <w:r/>
          </w:p>
          <w:p>
            <w:pPr>
              <w:pStyle w:val="1067"/>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67"/>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务</w:t>
            </w:r>
            <w:r/>
          </w:p>
          <w:p>
            <w:pPr>
              <w:pStyle w:val="1067"/>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67"/>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承</w:t>
            </w:r>
            <w:r/>
          </w:p>
          <w:p>
            <w:pPr>
              <w:pStyle w:val="1067"/>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67"/>
              <w:ind w:firstLine="120"/>
              <w:spacing w:before="100" w:beforeAutospacing="1" w:line="40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4"/>
              </w:num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bidi="ar"/>
              </w:rPr>
              <w:t xml:space="preserve">质量 2.安装 3.“三包”（包修、包退、包换）4.其他承诺</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bidi="ar"/>
              </w:rPr>
              <w:t xml:space="preserve">（以上是主要承诺，供投标人参考，投标人应在满足招标文件要求的基础上，根据自己单位的情况</w:t>
            </w:r>
            <w:r>
              <w:rPr>
                <w:rFonts w:hint="eastAsia" w:asciiTheme="minorEastAsia" w:hAnsiTheme="minorEastAsia" w:eastAsiaTheme="minorEastAsia" w:cstheme="minorEastAsia"/>
                <w:bCs/>
                <w:color w:val="auto"/>
                <w:sz w:val="24"/>
                <w:szCs w:val="24"/>
                <w:highlight w:val="none"/>
                <w:lang w:eastAsia="zh-CN" w:bidi="ar"/>
              </w:rPr>
              <w:t xml:space="preserve">做出</w:t>
            </w:r>
            <w:r>
              <w:rPr>
                <w:rFonts w:hint="eastAsia" w:asciiTheme="minorEastAsia" w:hAnsiTheme="minorEastAsia" w:eastAsiaTheme="minorEastAsia" w:cstheme="minorEastAsia"/>
                <w:bCs/>
                <w:color w:val="auto"/>
                <w:sz w:val="24"/>
                <w:szCs w:val="24"/>
                <w:highlight w:val="none"/>
                <w:lang w:bidi="ar"/>
              </w:rPr>
              <w:t xml:space="preserve">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315"/>
        <w:spacing w:line="40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809"/>
        <w:rPr>
          <w:rFonts w:hint="eastAsia" w:ascii="宋体" w:hAnsi="宋体" w:cs="宋体"/>
          <w:color w:val="auto"/>
          <w:sz w:val="24"/>
          <w:highlight w:val="none"/>
        </w:rPr>
      </w:pPr>
      <w:r>
        <w:rPr>
          <w:rFonts w:hint="eastAsia" w:ascii="宋体" w:hAnsi="宋体" w:cs="宋体"/>
          <w:color w:val="auto"/>
          <w:sz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JSZC-320211-JSZH-G2026-0060</w:t>
      </w:r>
      <w:r/>
    </w:p>
    <w:tbl>
      <w:tblPr>
        <w:tblStyle w:val="781"/>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1007"/>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1007"/>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81"/>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90"/>
        <w:gridCol w:w="203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179"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179"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53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1007"/>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1007"/>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1007"/>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1007"/>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1007"/>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lang w:eastAsia="zh-CN"/>
        </w:rPr>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（十二）</w:t>
      </w:r>
      <w:r>
        <w:rPr>
          <w:rFonts w:hint="eastAsia" w:ascii="黑体" w:hAnsi="宋体" w:eastAsia="黑体"/>
          <w:bCs/>
          <w:color w:val="auto"/>
          <w:sz w:val="24"/>
          <w:szCs w:val="24"/>
          <w:highlight w:val="none"/>
          <w:lang w:eastAsia="zh-CN"/>
        </w:rPr>
        <w:t xml:space="preserve">关于符合本国产品标准的声明函</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r>
      <w:r/>
    </w:p>
    <w:p>
      <w:pPr>
        <w:ind w:firstLine="560"/>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关于符合本国产品标准的声明函</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 </w:t>
      </w:r>
      <w:r/>
    </w:p>
    <w:p>
      <w:pPr>
        <w:ind w:firstLine="480"/>
        <w:jc w:val="right"/>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hint="default"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default" w:ascii="宋体" w:hAnsi="宋体" w:eastAsia="宋体" w:cs="Times New Roman"/>
          <w:color w:val="auto"/>
          <w:sz w:val="18"/>
          <w:szCs w:val="18"/>
          <w:highlight w:val="none"/>
        </w:rPr>
      </w:pPr>
      <w:r>
        <w:rPr>
          <w:rFonts w:hint="default" w:ascii="宋体" w:hAnsi="宋体" w:eastAsia="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default"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注：划删除线的地方无需填写。</w:t>
      </w:r>
      <w:r/>
    </w:p>
    <w:p>
      <w:pPr>
        <w:ind w:firstLine="5760"/>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黑体" w:eastAsia="黑体" w:cs="黑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60"/>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60"/>
        <w:ind w:firstLine="0"/>
        <w:rPr>
          <w:color w:val="auto"/>
          <w:sz w:val="24"/>
          <w:highlight w:val="none"/>
        </w:rPr>
      </w:pPr>
      <w:r>
        <w:rPr>
          <w:color w:val="auto"/>
          <w:sz w:val="24"/>
          <w:highlight w:val="none"/>
        </w:rPr>
      </w:r>
      <w:r/>
    </w:p>
    <w:p>
      <w:pPr>
        <w:pStyle w:val="1059"/>
        <w:ind w:firstLine="0"/>
        <w:rPr>
          <w:rFonts w:hint="eastAsia" w:ascii="宋体" w:hAnsi="宋体"/>
          <w:bCs/>
          <w:color w:val="auto"/>
          <w:sz w:val="24"/>
          <w:szCs w:val="24"/>
          <w:highlight w:val="none"/>
        </w:rPr>
      </w:pPr>
      <w:r>
        <w:rPr>
          <w:b/>
          <w:bCs/>
          <w:color w:val="auto"/>
          <w:sz w:val="24"/>
          <w:highlight w:val="none"/>
        </w:rPr>
        <w:t xml:space="preserve">（格式自拟）</w:t>
      </w:r>
      <w:r/>
    </w:p>
    <w:sectPr>
      <w:headerReference w:type="default" r:id="rId10"/>
      <w:footerReference w:type="default" r:id="rId13"/>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华文中宋">
    <w:panose1 w:val="0201060004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right" w:pos="9921" w:leader="none"/>
      </w:tabs>
    </w:pPr>
    <w:r>
      <w:rPr>
        <w:rFonts w:hint="eastAsia" w:ascii="宋体" w:hAnsi="宋体"/>
        <w:lang w:eastAsia="zh-CN"/>
      </w:rPr>
      <w:t xml:space="preserve">JSZC-320211-JSZH-G2026-0060</w:t>
    </w:r>
    <w:r>
      <w:rPr>
        <w:rFonts w:ascii="宋体" w:hAnsi="宋体"/>
      </w:rPr>
      <w:t xml:space="preserve">         </w:t>
    </w:r>
    <w:r>
      <w:rPr>
        <w:rFonts w:hint="eastAsia" w:ascii="宋体" w:hAnsi="宋体"/>
      </w:rPr>
      <w:t xml:space="preserve">    </w:t>
    </w:r>
    <w:r>
      <w:rPr>
        <w:rFonts w:hint="eastAsia" w:ascii="宋体" w:hAnsi="宋体"/>
        <w:lang w:eastAsia="zh-CN"/>
      </w:rPr>
      <w:t xml:space="preserve">2026年滨湖区室外全民健身设施采购项目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right" w:pos="9921" w:leader="none"/>
      </w:tabs>
    </w:pPr>
    <w:r>
      <w:rPr>
        <w:rFonts w:hint="eastAsia" w:ascii="宋体" w:hAnsi="宋体"/>
        <w:lang w:eastAsia="zh-CN"/>
      </w:rPr>
      <w:t xml:space="preserve">JSZC-320211-JSZH-G2026-0060</w:t>
    </w:r>
    <w:r>
      <w:rPr>
        <w:rFonts w:ascii="宋体" w:hAnsi="宋体"/>
      </w:rPr>
      <w:t xml:space="preserve">         </w:t>
    </w:r>
    <w:r>
      <w:rPr>
        <w:rFonts w:hint="eastAsia" w:ascii="宋体" w:hAnsi="宋体"/>
      </w:rPr>
      <w:t xml:space="preserve">                         </w:t>
    </w:r>
    <w:r>
      <w:rPr>
        <w:rFonts w:hint="eastAsia" w:ascii="宋体" w:hAnsi="宋体"/>
        <w:lang w:eastAsia="zh-CN"/>
      </w:rPr>
      <w:t xml:space="preserve">2026年滨湖区室外全民健身设施采购项目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03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upperLetter"/>
      <w:pStyle w:val="99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6"/>
  </w:num>
  <w:num w:numId="2">
    <w:abstractNumId w:val="5"/>
  </w:num>
  <w:num w:numId="3">
    <w:abstractNumId w:val="3"/>
  </w:num>
  <w:num w:numId="4">
    <w:abstractNumId w:val="2"/>
  </w:num>
  <w:num w:numId="5">
    <w:abstractNumId w:val="8"/>
  </w:num>
  <w:num w:numId="6">
    <w:abstractNumId w:val="11"/>
  </w:num>
  <w:num w:numId="7">
    <w:abstractNumId w:val="13"/>
  </w:num>
  <w:num w:numId="8">
    <w:abstractNumId w:val="7"/>
  </w:num>
  <w:num w:numId="9">
    <w:abstractNumId w:val="1"/>
  </w:num>
  <w:num w:numId="10">
    <w:abstractNumId w:val="9"/>
  </w:num>
  <w:num w:numId="11">
    <w:abstractNumId w:val="0"/>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1">
    <w:name w:val="Heading 1"/>
    <w:basedOn w:val="770"/>
    <w:next w:val="770"/>
    <w:link w:val="848"/>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49"/>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50"/>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1"/>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2"/>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3"/>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55"/>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6"/>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uiPriority w:val="99"/>
    <w:unhideWhenUsed/>
    <w:qFormat/>
    <w:pPr>
      <w:ind w:firstLine="420"/>
    </w:pPr>
  </w:style>
  <w:style w:type="paragraph" w:styleId="784">
    <w:name w:val="Caption"/>
    <w:basedOn w:val="770"/>
    <w:next w:val="770"/>
    <w:uiPriority w:val="35"/>
    <w:semiHidden/>
    <w:unhideWhenUsed/>
    <w:qFormat/>
    <w:pPr>
      <w:spacing w:line="276" w:lineRule="auto"/>
    </w:pPr>
    <w:rPr>
      <w:b/>
      <w:bCs/>
      <w:color w:val="4f81bd"/>
      <w:sz w:val="18"/>
      <w:szCs w:val="18"/>
    </w:rPr>
  </w:style>
  <w:style w:type="paragraph" w:styleId="785">
    <w:name w:val="annotation text"/>
    <w:basedOn w:val="770"/>
    <w:uiPriority w:val="99"/>
    <w:semiHidden/>
    <w:unhideWhenUsed/>
    <w:qFormat/>
    <w:pPr>
      <w:jc w:val="left"/>
    </w:pPr>
  </w:style>
  <w:style w:type="paragraph" w:styleId="786">
    <w:name w:val="Body Text"/>
    <w:basedOn w:val="770"/>
    <w:uiPriority w:val="99"/>
    <w:qFormat/>
    <w:rPr>
      <w:rFonts w:ascii="华文中宋" w:eastAsia="华文中宋"/>
      <w:bCs/>
      <w:sz w:val="28"/>
      <w:lang w:val="zh-CN"/>
    </w:rPr>
  </w:style>
  <w:style w:type="paragraph" w:styleId="787">
    <w:name w:val="toc 5"/>
    <w:basedOn w:val="770"/>
    <w:next w:val="770"/>
    <w:uiPriority w:val="39"/>
    <w:unhideWhenUsed/>
    <w:qFormat/>
    <w:pPr>
      <w:ind w:left="1134"/>
      <w:spacing w:after="57"/>
    </w:pPr>
  </w:style>
  <w:style w:type="paragraph" w:styleId="788">
    <w:name w:val="toc 3"/>
    <w:basedOn w:val="770"/>
    <w:next w:val="770"/>
    <w:uiPriority w:val="39"/>
    <w:unhideWhenUsed/>
    <w:qFormat/>
    <w:pPr>
      <w:ind w:left="567"/>
      <w:spacing w:after="57"/>
    </w:pPr>
  </w:style>
  <w:style w:type="paragraph" w:styleId="789">
    <w:name w:val="toc 8"/>
    <w:basedOn w:val="770"/>
    <w:next w:val="770"/>
    <w:uiPriority w:val="39"/>
    <w:unhideWhenUsed/>
    <w:qFormat/>
    <w:pPr>
      <w:ind w:left="1984"/>
      <w:spacing w:after="57"/>
    </w:pPr>
  </w:style>
  <w:style w:type="paragraph" w:styleId="790">
    <w:name w:val="endnote text"/>
    <w:basedOn w:val="770"/>
    <w:link w:val="993"/>
    <w:uiPriority w:val="99"/>
    <w:semiHidden/>
    <w:unhideWhenUsed/>
    <w:qFormat/>
    <w:rPr>
      <w:sz w:val="20"/>
    </w:rPr>
  </w:style>
  <w:style w:type="paragraph" w:styleId="791">
    <w:name w:val="Footer"/>
    <w:basedOn w:val="770"/>
    <w:link w:val="866"/>
    <w:uiPriority w:val="99"/>
    <w:unhideWhenUsed/>
    <w:qFormat/>
    <w:pPr>
      <w:tabs>
        <w:tab w:val="center" w:pos="7143" w:leader="none"/>
        <w:tab w:val="right" w:pos="14287" w:leader="none"/>
      </w:tabs>
    </w:pPr>
  </w:style>
  <w:style w:type="paragraph" w:styleId="792">
    <w:name w:val="Header"/>
    <w:basedOn w:val="770"/>
    <w:link w:val="864"/>
    <w:uiPriority w:val="99"/>
    <w:unhideWhenUsed/>
    <w:qFormat/>
    <w:pPr>
      <w:tabs>
        <w:tab w:val="center" w:pos="7143" w:leader="none"/>
        <w:tab w:val="right" w:pos="14287" w:leader="none"/>
      </w:tabs>
    </w:pPr>
  </w:style>
  <w:style w:type="paragraph" w:styleId="793">
    <w:name w:val="toc 1"/>
    <w:basedOn w:val="770"/>
    <w:next w:val="770"/>
    <w:uiPriority w:val="39"/>
    <w:unhideWhenUsed/>
    <w:qFormat/>
    <w:pPr>
      <w:spacing w:after="57"/>
    </w:pPr>
  </w:style>
  <w:style w:type="paragraph" w:styleId="794">
    <w:name w:val="toc 4"/>
    <w:basedOn w:val="770"/>
    <w:next w:val="770"/>
    <w:uiPriority w:val="39"/>
    <w:unhideWhenUsed/>
    <w:qFormat/>
    <w:pPr>
      <w:ind w:left="850"/>
      <w:spacing w:after="57"/>
    </w:pPr>
  </w:style>
  <w:style w:type="paragraph" w:styleId="795">
    <w:name w:val="Subtitle"/>
    <w:basedOn w:val="770"/>
    <w:next w:val="770"/>
    <w:link w:val="859"/>
    <w:uiPriority w:val="11"/>
    <w:qFormat/>
    <w:pPr>
      <w:spacing w:before="200" w:after="200"/>
    </w:pPr>
    <w:rPr>
      <w:sz w:val="24"/>
      <w:szCs w:val="24"/>
    </w:rPr>
  </w:style>
  <w:style w:type="paragraph" w:styleId="796">
    <w:name w:val="footnote text"/>
    <w:basedOn w:val="770"/>
    <w:link w:val="992"/>
    <w:uiPriority w:val="99"/>
    <w:semiHidden/>
    <w:unhideWhenUsed/>
    <w:qFormat/>
    <w:pPr>
      <w:spacing w:after="40"/>
    </w:pPr>
    <w:rPr>
      <w:sz w:val="18"/>
    </w:rPr>
  </w:style>
  <w:style w:type="paragraph" w:styleId="797">
    <w:name w:val="toc 6"/>
    <w:basedOn w:val="770"/>
    <w:next w:val="770"/>
    <w:uiPriority w:val="39"/>
    <w:unhideWhenUsed/>
    <w:qFormat/>
    <w:pPr>
      <w:ind w:left="1417"/>
      <w:spacing w:after="57"/>
    </w:pPr>
  </w:style>
  <w:style w:type="paragraph" w:styleId="798">
    <w:name w:val="table of figures"/>
    <w:basedOn w:val="770"/>
    <w:next w:val="770"/>
    <w:uiPriority w:val="99"/>
    <w:unhideWhenUsed/>
    <w:qFormat/>
  </w:style>
  <w:style w:type="paragraph" w:styleId="799">
    <w:name w:val="toc 2"/>
    <w:basedOn w:val="770"/>
    <w:next w:val="770"/>
    <w:uiPriority w:val="39"/>
    <w:unhideWhenUsed/>
    <w:qFormat/>
    <w:pPr>
      <w:ind w:left="283"/>
      <w:spacing w:after="57"/>
    </w:pPr>
  </w:style>
  <w:style w:type="paragraph" w:styleId="800">
    <w:name w:val="toc 9"/>
    <w:basedOn w:val="770"/>
    <w:next w:val="770"/>
    <w:uiPriority w:val="39"/>
    <w:unhideWhenUsed/>
    <w:qFormat/>
    <w:pPr>
      <w:ind w:left="2268"/>
      <w:spacing w:after="57"/>
    </w:pPr>
  </w:style>
  <w:style w:type="paragraph" w:styleId="801">
    <w:name w:val="Normal (Web)"/>
    <w:basedOn w:val="770"/>
    <w:uiPriority w:val="0"/>
    <w:qFormat/>
    <w:pPr>
      <w:jc w:val="left"/>
      <w:spacing w:beforeAutospacing="1" w:afterAutospacing="1"/>
      <w:widowControl/>
    </w:pPr>
    <w:rPr>
      <w:rFonts w:ascii="宋体" w:hAnsi="宋体"/>
      <w:sz w:val="24"/>
      <w:szCs w:val="24"/>
    </w:rPr>
  </w:style>
  <w:style w:type="paragraph" w:styleId="802">
    <w:name w:val="Title"/>
    <w:basedOn w:val="770"/>
    <w:next w:val="770"/>
    <w:link w:val="858"/>
    <w:uiPriority w:val="10"/>
    <w:qFormat/>
    <w:pPr>
      <w:contextualSpacing/>
      <w:spacing w:before="300" w:after="200"/>
    </w:pPr>
    <w:rPr>
      <w:sz w:val="48"/>
      <w:szCs w:val="48"/>
    </w:rPr>
  </w:style>
  <w:style w:type="paragraph" w:styleId="803">
    <w:name w:val="Body Text First Indent"/>
    <w:basedOn w:val="786"/>
    <w:uiPriority w:val="0"/>
    <w:unhideWhenUsed/>
    <w:qFormat/>
    <w:pPr>
      <w:ind w:firstLine="420"/>
      <w:spacing w:after="120"/>
    </w:pPr>
    <w:rPr>
      <w:rFonts w:ascii="Times New Roman" w:eastAsia="宋体"/>
      <w:bCs w:val="0"/>
      <w:sz w:val="20"/>
      <w:lang w:val="en-US" w:bidi="mn-Mong-CN"/>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u w:val="single"/>
    </w:rPr>
  </w:style>
  <w:style w:type="character" w:styleId="807">
    <w:name w:val="footnote reference"/>
    <w:uiPriority w:val="99"/>
    <w:unhideWhenUsed/>
    <w:qFormat/>
    <w:rPr>
      <w:vertAlign w:val="superscript"/>
    </w:rPr>
  </w:style>
  <w:style w:type="paragraph" w:styleId="808" w:customStyle="1">
    <w:name w:val="正文首行缩进1"/>
    <w:basedOn w:val="809"/>
    <w:link w:val="1015"/>
    <w:uiPriority w:val="99"/>
    <w:unhideWhenUsed/>
    <w:qFormat/>
    <w:pPr>
      <w:ind w:firstLine="420"/>
      <w:spacing w:after="120"/>
    </w:pPr>
  </w:style>
  <w:style w:type="paragraph" w:styleId="809" w:customStyle="1">
    <w:name w:val="正文文本1"/>
    <w:basedOn w:val="770"/>
    <w:next w:val="808"/>
    <w:link w:val="1014"/>
    <w:uiPriority w:val="99"/>
    <w:qFormat/>
    <w:rPr>
      <w:rFonts w:ascii="华文中宋" w:eastAsia="华文中宋"/>
      <w:bCs/>
      <w:sz w:val="28"/>
    </w:rPr>
  </w:style>
  <w:style w:type="character" w:styleId="810" w:customStyle="1">
    <w:name w:val="Heading 1 Char"/>
    <w:basedOn w:val="780"/>
    <w:uiPriority w:val="9"/>
    <w:qFormat/>
    <w:rPr>
      <w:rFonts w:ascii="Arial" w:hAnsi="Arial" w:eastAsia="Arial" w:cs="Arial"/>
      <w:sz w:val="40"/>
      <w:szCs w:val="40"/>
    </w:rPr>
  </w:style>
  <w:style w:type="character" w:styleId="811" w:customStyle="1">
    <w:name w:val="Heading 2 Char"/>
    <w:basedOn w:val="780"/>
    <w:uiPriority w:val="9"/>
    <w:qFormat/>
    <w:rPr>
      <w:rFonts w:ascii="Arial" w:hAnsi="Arial" w:eastAsia="Arial" w:cs="Arial"/>
      <w:sz w:val="34"/>
    </w:rPr>
  </w:style>
  <w:style w:type="character" w:styleId="812" w:customStyle="1">
    <w:name w:val="Heading 3 Char"/>
    <w:basedOn w:val="780"/>
    <w:uiPriority w:val="9"/>
    <w:qFormat/>
    <w:rPr>
      <w:rFonts w:ascii="Arial" w:hAnsi="Arial" w:eastAsia="Arial" w:cs="Arial"/>
      <w:sz w:val="30"/>
      <w:szCs w:val="30"/>
    </w:rPr>
  </w:style>
  <w:style w:type="character" w:styleId="813" w:customStyle="1">
    <w:name w:val="Heading 4 Char"/>
    <w:basedOn w:val="780"/>
    <w:uiPriority w:val="9"/>
    <w:qFormat/>
    <w:rPr>
      <w:rFonts w:ascii="Arial" w:hAnsi="Arial" w:eastAsia="Arial" w:cs="Arial"/>
      <w:b/>
      <w:bCs/>
      <w:sz w:val="26"/>
      <w:szCs w:val="26"/>
    </w:rPr>
  </w:style>
  <w:style w:type="character" w:styleId="814" w:customStyle="1">
    <w:name w:val="Heading 5 Char"/>
    <w:basedOn w:val="780"/>
    <w:uiPriority w:val="9"/>
    <w:qFormat/>
    <w:rPr>
      <w:rFonts w:ascii="Arial" w:hAnsi="Arial" w:eastAsia="Arial" w:cs="Arial"/>
      <w:b/>
      <w:bCs/>
      <w:sz w:val="24"/>
      <w:szCs w:val="24"/>
    </w:rPr>
  </w:style>
  <w:style w:type="character" w:styleId="815" w:customStyle="1">
    <w:name w:val="Heading 6 Char"/>
    <w:basedOn w:val="780"/>
    <w:uiPriority w:val="9"/>
    <w:qFormat/>
    <w:rPr>
      <w:rFonts w:ascii="Arial" w:hAnsi="Arial" w:eastAsia="Arial" w:cs="Arial"/>
      <w:b/>
      <w:bCs/>
      <w:sz w:val="22"/>
      <w:szCs w:val="22"/>
    </w:rPr>
  </w:style>
  <w:style w:type="character" w:styleId="816" w:customStyle="1">
    <w:name w:val="Heading 7 Char"/>
    <w:basedOn w:val="780"/>
    <w:uiPriority w:val="9"/>
    <w:qFormat/>
    <w:rPr>
      <w:rFonts w:ascii="Arial" w:hAnsi="Arial" w:eastAsia="Arial" w:cs="Arial"/>
      <w:b/>
      <w:bCs/>
      <w:i/>
      <w:iCs/>
      <w:sz w:val="22"/>
      <w:szCs w:val="22"/>
    </w:rPr>
  </w:style>
  <w:style w:type="character" w:styleId="817" w:customStyle="1">
    <w:name w:val="Heading 8 Char"/>
    <w:basedOn w:val="780"/>
    <w:uiPriority w:val="9"/>
    <w:qFormat/>
    <w:rPr>
      <w:rFonts w:ascii="Arial" w:hAnsi="Arial" w:eastAsia="Arial" w:cs="Arial"/>
      <w:i/>
      <w:iCs/>
      <w:sz w:val="22"/>
      <w:szCs w:val="22"/>
    </w:rPr>
  </w:style>
  <w:style w:type="character" w:styleId="818" w:customStyle="1">
    <w:name w:val="Heading 9 Char"/>
    <w:basedOn w:val="780"/>
    <w:uiPriority w:val="9"/>
    <w:qFormat/>
    <w:rPr>
      <w:rFonts w:ascii="Arial" w:hAnsi="Arial" w:eastAsia="Arial" w:cs="Arial"/>
      <w:i/>
      <w:iCs/>
      <w:sz w:val="21"/>
      <w:szCs w:val="21"/>
    </w:rPr>
  </w:style>
  <w:style w:type="character" w:styleId="819" w:customStyle="1">
    <w:name w:val="Title Char"/>
    <w:basedOn w:val="780"/>
    <w:uiPriority w:val="10"/>
    <w:qFormat/>
    <w:rPr>
      <w:sz w:val="48"/>
      <w:szCs w:val="48"/>
    </w:rPr>
  </w:style>
  <w:style w:type="character" w:styleId="820" w:customStyle="1">
    <w:name w:val="Subtitle Char"/>
    <w:basedOn w:val="780"/>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80"/>
    <w:uiPriority w:val="99"/>
    <w:qFormat/>
  </w:style>
  <w:style w:type="character" w:styleId="824" w:customStyle="1">
    <w:name w:val="Caption Char"/>
    <w:uiPriority w:val="99"/>
    <w:qFormat/>
  </w:style>
  <w:style w:type="table" w:styleId="825"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列出段落1"/>
    <w:basedOn w:val="770"/>
    <w:uiPriority w:val="0"/>
    <w:qFormat/>
    <w:pPr>
      <w:ind w:firstLine="420"/>
    </w:pPr>
    <w:rPr>
      <w:szCs w:val="24"/>
    </w:rPr>
  </w:style>
  <w:style w:type="character" w:styleId="848" w:customStyle="1">
    <w:name w:val="标题 1 字符"/>
    <w:link w:val="771"/>
    <w:uiPriority w:val="9"/>
    <w:qFormat/>
    <w:rPr>
      <w:rFonts w:ascii="Arial" w:hAnsi="Arial" w:eastAsia="Arial" w:cs="Arial"/>
      <w:sz w:val="40"/>
      <w:szCs w:val="40"/>
    </w:rPr>
  </w:style>
  <w:style w:type="character" w:styleId="849" w:customStyle="1">
    <w:name w:val="标题 2 字符"/>
    <w:link w:val="772"/>
    <w:uiPriority w:val="9"/>
    <w:qFormat/>
    <w:rPr>
      <w:rFonts w:ascii="Arial" w:hAnsi="Arial" w:eastAsia="Arial" w:cs="Arial"/>
      <w:sz w:val="34"/>
    </w:rPr>
  </w:style>
  <w:style w:type="character" w:styleId="850" w:customStyle="1">
    <w:name w:val="标题 3 字符"/>
    <w:link w:val="773"/>
    <w:uiPriority w:val="9"/>
    <w:qFormat/>
    <w:rPr>
      <w:rFonts w:ascii="Arial" w:hAnsi="Arial" w:eastAsia="Arial" w:cs="Arial"/>
      <w:sz w:val="30"/>
      <w:szCs w:val="30"/>
    </w:rPr>
  </w:style>
  <w:style w:type="character" w:styleId="851" w:customStyle="1">
    <w:name w:val="标题 4 字符"/>
    <w:link w:val="774"/>
    <w:uiPriority w:val="9"/>
    <w:qFormat/>
    <w:rPr>
      <w:rFonts w:ascii="Arial" w:hAnsi="Arial" w:eastAsia="Arial" w:cs="Arial"/>
      <w:b/>
      <w:bCs/>
      <w:sz w:val="26"/>
      <w:szCs w:val="26"/>
    </w:rPr>
  </w:style>
  <w:style w:type="character" w:styleId="852" w:customStyle="1">
    <w:name w:val="标题 5 字符"/>
    <w:link w:val="775"/>
    <w:uiPriority w:val="9"/>
    <w:qFormat/>
    <w:rPr>
      <w:rFonts w:ascii="Arial" w:hAnsi="Arial" w:eastAsia="Arial" w:cs="Arial"/>
      <w:b/>
      <w:bCs/>
      <w:sz w:val="24"/>
      <w:szCs w:val="24"/>
    </w:rPr>
  </w:style>
  <w:style w:type="character" w:styleId="853" w:customStyle="1">
    <w:name w:val="标题 6 字符"/>
    <w:link w:val="776"/>
    <w:uiPriority w:val="9"/>
    <w:qFormat/>
    <w:rPr>
      <w:rFonts w:ascii="Arial" w:hAnsi="Arial" w:eastAsia="Arial" w:cs="Arial"/>
      <w:b/>
      <w:bCs/>
      <w:sz w:val="22"/>
      <w:szCs w:val="22"/>
    </w:rPr>
  </w:style>
  <w:style w:type="character" w:styleId="854" w:customStyle="1">
    <w:name w:val="标题 7 字符"/>
    <w:link w:val="777"/>
    <w:uiPriority w:val="9"/>
    <w:qFormat/>
    <w:rPr>
      <w:rFonts w:ascii="Arial" w:hAnsi="Arial" w:eastAsia="Arial" w:cs="Arial"/>
      <w:b/>
      <w:bCs/>
      <w:i/>
      <w:iCs/>
      <w:sz w:val="22"/>
      <w:szCs w:val="22"/>
    </w:rPr>
  </w:style>
  <w:style w:type="character" w:styleId="855" w:customStyle="1">
    <w:name w:val="标题 8 字符"/>
    <w:link w:val="778"/>
    <w:uiPriority w:val="9"/>
    <w:qFormat/>
    <w:rPr>
      <w:rFonts w:ascii="Arial" w:hAnsi="Arial" w:eastAsia="Arial" w:cs="Arial"/>
      <w:i/>
      <w:iCs/>
      <w:sz w:val="22"/>
      <w:szCs w:val="22"/>
    </w:rPr>
  </w:style>
  <w:style w:type="character" w:styleId="856" w:customStyle="1">
    <w:name w:val="标题 9 字符"/>
    <w:link w:val="779"/>
    <w:uiPriority w:val="9"/>
    <w:qFormat/>
    <w:rPr>
      <w:rFonts w:ascii="Arial" w:hAnsi="Arial" w:eastAsia="Arial" w:cs="Arial"/>
      <w:i/>
      <w:iCs/>
      <w:sz w:val="21"/>
      <w:szCs w:val="21"/>
    </w:rPr>
  </w:style>
  <w:style w:type="paragraph" w:styleId="857">
    <w:name w:val="No Spacing"/>
    <w:uiPriority w:val="1"/>
    <w:qFormat/>
    <w:rPr>
      <w:rFonts w:hint="default" w:ascii="Times New Roman" w:hAnsi="Times New Roman" w:eastAsia="宋体" w:cs="Times New Roman"/>
      <w:lang w:val="en-US" w:eastAsia="zh-CN" w:bidi="ar-SA"/>
    </w:rPr>
  </w:style>
  <w:style w:type="character" w:styleId="858" w:customStyle="1">
    <w:name w:val="标题 字符"/>
    <w:link w:val="802"/>
    <w:uiPriority w:val="10"/>
    <w:qFormat/>
    <w:rPr>
      <w:sz w:val="48"/>
      <w:szCs w:val="48"/>
    </w:rPr>
  </w:style>
  <w:style w:type="character" w:styleId="859" w:customStyle="1">
    <w:name w:val="副标题 字符"/>
    <w:link w:val="795"/>
    <w:uiPriority w:val="11"/>
    <w:qFormat/>
    <w:rPr>
      <w:sz w:val="24"/>
      <w:szCs w:val="24"/>
    </w:rPr>
  </w:style>
  <w:style w:type="paragraph" w:styleId="860">
    <w:name w:val="Quote"/>
    <w:basedOn w:val="770"/>
    <w:next w:val="770"/>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70"/>
    <w:next w:val="77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
    <w:link w:val="792"/>
    <w:uiPriority w:val="99"/>
    <w:qFormat/>
  </w:style>
  <w:style w:type="character" w:styleId="865" w:customStyle="1">
    <w:name w:val="Footer Char"/>
    <w:uiPriority w:val="99"/>
    <w:qFormat/>
  </w:style>
  <w:style w:type="character" w:styleId="866" w:customStyle="1">
    <w:name w:val="页脚 字符"/>
    <w:link w:val="791"/>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清单表 1 浅色1"/>
    <w:uiPriority w:val="99"/>
    <w:qFormat/>
    <w:tblPr>
      <w:tblCellMar>
        <w:left w:w="0" w:type="dxa"/>
        <w:top w:w="0" w:type="dxa"/>
        <w:right w:w="0" w:type="dxa"/>
        <w:bottom w:w="0" w:type="dxa"/>
      </w:tblCellMar>
    </w:tblPr>
  </w:style>
  <w:style w:type="table" w:styleId="923" w:customStyle="1">
    <w:name w:val="List Table 1 Light - Accent 1"/>
    <w:uiPriority w:val="99"/>
    <w:qFormat/>
    <w:tblPr>
      <w:tblCellMar>
        <w:left w:w="0" w:type="dxa"/>
        <w:top w:w="0" w:type="dxa"/>
        <w:right w:w="0" w:type="dxa"/>
        <w:bottom w:w="0" w:type="dxa"/>
      </w:tblCellMar>
    </w:tblPr>
  </w:style>
  <w:style w:type="table" w:styleId="924" w:customStyle="1">
    <w:name w:val="List Table 1 Light - Accent 2"/>
    <w:uiPriority w:val="99"/>
    <w:qFormat/>
    <w:tblPr>
      <w:tblCellMar>
        <w:left w:w="0" w:type="dxa"/>
        <w:top w:w="0" w:type="dxa"/>
        <w:right w:w="0" w:type="dxa"/>
        <w:bottom w:w="0" w:type="dxa"/>
      </w:tblCellMar>
    </w:tblPr>
  </w:style>
  <w:style w:type="table" w:styleId="925" w:customStyle="1">
    <w:name w:val="List Table 1 Light - Accent 3"/>
    <w:uiPriority w:val="99"/>
    <w:qFormat/>
    <w:tblPr>
      <w:tblCellMar>
        <w:left w:w="0" w:type="dxa"/>
        <w:top w:w="0" w:type="dxa"/>
        <w:right w:w="0" w:type="dxa"/>
        <w:bottom w:w="0" w:type="dxa"/>
      </w:tblCellMar>
    </w:tblPr>
  </w:style>
  <w:style w:type="table" w:styleId="926" w:customStyle="1">
    <w:name w:val="List Table 1 Light - Accent 4"/>
    <w:uiPriority w:val="99"/>
    <w:qFormat/>
    <w:tblPr>
      <w:tblCellMar>
        <w:left w:w="0" w:type="dxa"/>
        <w:top w:w="0" w:type="dxa"/>
        <w:right w:w="0" w:type="dxa"/>
        <w:bottom w:w="0" w:type="dxa"/>
      </w:tblCellMar>
    </w:tblPr>
  </w:style>
  <w:style w:type="table" w:styleId="927" w:customStyle="1">
    <w:name w:val="List Table 1 Light - Accent 5"/>
    <w:uiPriority w:val="99"/>
    <w:qFormat/>
    <w:tblPr>
      <w:tblCellMar>
        <w:left w:w="0" w:type="dxa"/>
        <w:top w:w="0" w:type="dxa"/>
        <w:right w:w="0" w:type="dxa"/>
        <w:bottom w:w="0" w:type="dxa"/>
      </w:tblCellMar>
    </w:tblPr>
  </w:style>
  <w:style w:type="table" w:styleId="928" w:customStyle="1">
    <w:name w:val="List Table 1 Light - Accent 6"/>
    <w:uiPriority w:val="99"/>
    <w:qFormat/>
    <w:tblPr>
      <w:tblCellMar>
        <w:left w:w="0" w:type="dxa"/>
        <w:top w:w="0" w:type="dxa"/>
        <w:right w:w="0" w:type="dxa"/>
        <w:bottom w:w="0" w:type="dxa"/>
      </w:tblCellMar>
    </w:tblPr>
  </w:style>
  <w:style w:type="table" w:styleId="9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796"/>
    <w:uiPriority w:val="99"/>
    <w:qFormat/>
    <w:rPr>
      <w:sz w:val="18"/>
    </w:rPr>
  </w:style>
  <w:style w:type="character" w:styleId="993" w:customStyle="1">
    <w:name w:val="尾注文本 字符"/>
    <w:link w:val="790"/>
    <w:uiPriority w:val="99"/>
    <w:qFormat/>
    <w:rPr>
      <w:sz w:val="20"/>
    </w:r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paragraph" w:styleId="995" w:customStyle="1">
    <w:name w:val="标题 11"/>
    <w:basedOn w:val="770"/>
    <w:next w:val="770"/>
    <w:link w:val="1002"/>
    <w:uiPriority w:val="99"/>
    <w:qFormat/>
    <w:pPr>
      <w:jc w:val="center"/>
      <w:keepNext/>
      <w:outlineLvl w:val="0"/>
    </w:pPr>
    <w:rPr>
      <w:rFonts w:ascii="楷体_GB2312" w:eastAsia="楷体_GB2312"/>
      <w:b/>
      <w:sz w:val="28"/>
    </w:rPr>
  </w:style>
  <w:style w:type="paragraph" w:styleId="996" w:customStyle="1">
    <w:name w:val="标题 21"/>
    <w:basedOn w:val="770"/>
    <w:next w:val="770"/>
    <w:link w:val="1003"/>
    <w:uiPriority w:val="99"/>
    <w:qFormat/>
    <w:pPr>
      <w:jc w:val="center"/>
      <w:keepNext/>
      <w:outlineLvl w:val="1"/>
    </w:pPr>
    <w:rPr>
      <w:rFonts w:ascii="楷体_GB2312" w:eastAsia="楷体_GB2312"/>
      <w:b/>
      <w:bCs/>
      <w:sz w:val="18"/>
    </w:rPr>
  </w:style>
  <w:style w:type="paragraph" w:styleId="997" w:customStyle="1">
    <w:name w:val="标题 31"/>
    <w:basedOn w:val="770"/>
    <w:next w:val="770"/>
    <w:link w:val="1004"/>
    <w:uiPriority w:val="99"/>
    <w:qFormat/>
    <w:pPr>
      <w:jc w:val="center"/>
      <w:keepNext/>
      <w:outlineLvl w:val="2"/>
    </w:pPr>
    <w:rPr>
      <w:rFonts w:eastAsia="楷体_GB2312"/>
      <w:b/>
      <w:bCs/>
      <w:sz w:val="15"/>
    </w:rPr>
  </w:style>
  <w:style w:type="paragraph" w:styleId="998" w:customStyle="1">
    <w:name w:val="标题 41"/>
    <w:basedOn w:val="770"/>
    <w:next w:val="770"/>
    <w:link w:val="1005"/>
    <w:uiPriority w:val="99"/>
    <w:qFormat/>
    <w:pPr>
      <w:jc w:val="center"/>
      <w:keepNext/>
      <w:outlineLvl w:val="3"/>
    </w:pPr>
    <w:rPr>
      <w:rFonts w:eastAsia="楷体_GB2312"/>
      <w:b/>
      <w:bCs/>
      <w:sz w:val="13"/>
    </w:rPr>
  </w:style>
  <w:style w:type="paragraph" w:styleId="999" w:customStyle="1">
    <w:name w:val="标题 51"/>
    <w:basedOn w:val="770"/>
    <w:next w:val="770"/>
    <w:link w:val="1006"/>
    <w:uiPriority w:val="99"/>
    <w:qFormat/>
    <w:pPr>
      <w:numPr>
        <w:ilvl w:val="0"/>
        <w:numId w:val="1"/>
      </w:numPr>
      <w:keepNext/>
      <w:outlineLvl w:val="4"/>
    </w:pPr>
    <w:rPr>
      <w:rFonts w:ascii="楷体_GB2312" w:eastAsia="楷体_GB2312"/>
      <w:bCs/>
      <w:sz w:val="28"/>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Char"/>
    <w:link w:val="995"/>
    <w:uiPriority w:val="99"/>
    <w:qFormat/>
    <w:rPr>
      <w:rFonts w:ascii="楷体_GB2312" w:hAnsi="Times New Roman" w:eastAsia="楷体_GB2312" w:cs="Times New Roman"/>
      <w:b/>
      <w:sz w:val="28"/>
      <w:szCs w:val="20"/>
    </w:rPr>
  </w:style>
  <w:style w:type="character" w:styleId="1003" w:customStyle="1">
    <w:name w:val="标题 2 Char"/>
    <w:link w:val="996"/>
    <w:uiPriority w:val="99"/>
    <w:qFormat/>
    <w:rPr>
      <w:rFonts w:ascii="楷体_GB2312" w:hAnsi="Times New Roman" w:eastAsia="楷体_GB2312" w:cs="Times New Roman"/>
      <w:b/>
      <w:bCs/>
      <w:sz w:val="18"/>
      <w:szCs w:val="20"/>
    </w:rPr>
  </w:style>
  <w:style w:type="character" w:styleId="1004" w:customStyle="1">
    <w:name w:val="标题 3 Char"/>
    <w:link w:val="997"/>
    <w:uiPriority w:val="99"/>
    <w:qFormat/>
    <w:rPr>
      <w:rFonts w:ascii="Times New Roman" w:hAnsi="Times New Roman" w:eastAsia="楷体_GB2312" w:cs="Times New Roman"/>
      <w:b/>
      <w:bCs/>
      <w:sz w:val="15"/>
      <w:szCs w:val="20"/>
    </w:rPr>
  </w:style>
  <w:style w:type="character" w:styleId="1005" w:customStyle="1">
    <w:name w:val="标题 4 Char"/>
    <w:link w:val="998"/>
    <w:uiPriority w:val="99"/>
    <w:qFormat/>
    <w:rPr>
      <w:rFonts w:ascii="Times New Roman" w:hAnsi="Times New Roman" w:eastAsia="楷体_GB2312" w:cs="Times New Roman"/>
      <w:b/>
      <w:bCs/>
      <w:sz w:val="13"/>
      <w:szCs w:val="20"/>
    </w:rPr>
  </w:style>
  <w:style w:type="character" w:styleId="1006" w:customStyle="1">
    <w:name w:val="标题 5 Char"/>
    <w:link w:val="999"/>
    <w:uiPriority w:val="99"/>
    <w:qFormat/>
    <w:rPr>
      <w:rFonts w:ascii="楷体_GB2312" w:hAnsi="Times New Roman" w:eastAsia="楷体_GB2312" w:cs="Times New Roman"/>
      <w:bCs/>
      <w:sz w:val="28"/>
      <w:szCs w:val="20"/>
    </w:rPr>
  </w:style>
  <w:style w:type="paragraph" w:styleId="1007" w:customStyle="1">
    <w:name w:val="正文缩进1"/>
    <w:basedOn w:val="770"/>
    <w:link w:val="1008"/>
    <w:uiPriority w:val="0"/>
    <w:unhideWhenUsed/>
    <w:qFormat/>
    <w:pPr>
      <w:ind w:firstLine="420"/>
    </w:pPr>
    <w:rPr>
      <w:szCs w:val="24"/>
    </w:rPr>
  </w:style>
  <w:style w:type="character" w:styleId="1008" w:customStyle="1">
    <w:name w:val="正文缩进 Char"/>
    <w:link w:val="1007"/>
    <w:uiPriority w:val="0"/>
    <w:qFormat/>
    <w:rPr>
      <w:rFonts w:ascii="Times New Roman" w:hAnsi="Times New Roman"/>
      <w:sz w:val="21"/>
      <w:szCs w:val="24"/>
    </w:rPr>
  </w:style>
  <w:style w:type="paragraph" w:styleId="1009" w:customStyle="1">
    <w:name w:val="索引 51"/>
    <w:basedOn w:val="770"/>
    <w:next w:val="770"/>
    <w:uiPriority w:val="99"/>
    <w:unhideWhenUsed/>
    <w:qFormat/>
    <w:pPr>
      <w:ind w:left="800"/>
    </w:pPr>
  </w:style>
  <w:style w:type="paragraph" w:styleId="1010" w:customStyle="1">
    <w:name w:val="文档结构图1"/>
    <w:basedOn w:val="770"/>
    <w:next w:val="770"/>
    <w:link w:val="1011"/>
    <w:uiPriority w:val="99"/>
    <w:semiHidden/>
    <w:qFormat/>
    <w:pPr>
      <w:shd w:val="clear" w:color="auto" w:fill="000080"/>
    </w:pPr>
    <w:rPr>
      <w:sz w:val="20"/>
    </w:rPr>
  </w:style>
  <w:style w:type="character" w:styleId="1011" w:customStyle="1">
    <w:name w:val="文档结构图 Char"/>
    <w:link w:val="1010"/>
    <w:uiPriority w:val="99"/>
    <w:semiHidden/>
    <w:qFormat/>
    <w:rPr>
      <w:rFonts w:ascii="Times New Roman" w:hAnsi="Times New Roman" w:eastAsia="宋体" w:cs="Times New Roman"/>
      <w:szCs w:val="20"/>
      <w:shd w:val="clear" w:color="auto" w:fill="000080"/>
    </w:rPr>
  </w:style>
  <w:style w:type="paragraph" w:styleId="1012" w:customStyle="1">
    <w:name w:val="批注文字1"/>
    <w:basedOn w:val="770"/>
    <w:link w:val="1013"/>
    <w:uiPriority w:val="0"/>
    <w:semiHidden/>
    <w:qFormat/>
    <w:pPr>
      <w:jc w:val="left"/>
    </w:pPr>
    <w:rPr>
      <w:sz w:val="20"/>
      <w:szCs w:val="24"/>
    </w:rPr>
  </w:style>
  <w:style w:type="character" w:styleId="1013" w:customStyle="1">
    <w:name w:val="批注文字 Char"/>
    <w:link w:val="1012"/>
    <w:uiPriority w:val="0"/>
    <w:semiHidden/>
    <w:qFormat/>
    <w:rPr>
      <w:rFonts w:ascii="Times New Roman" w:hAnsi="Times New Roman" w:eastAsia="宋体" w:cs="Times New Roman"/>
      <w:szCs w:val="24"/>
    </w:rPr>
  </w:style>
  <w:style w:type="character" w:styleId="1014" w:customStyle="1">
    <w:name w:val="正文文本 Char"/>
    <w:link w:val="809"/>
    <w:uiPriority w:val="99"/>
    <w:qFormat/>
    <w:rPr>
      <w:rFonts w:ascii="华文中宋" w:hAnsi="Times New Roman" w:eastAsia="华文中宋" w:cs="Times New Roman"/>
      <w:bCs/>
      <w:sz w:val="28"/>
      <w:szCs w:val="20"/>
    </w:rPr>
  </w:style>
  <w:style w:type="character" w:styleId="1015" w:customStyle="1">
    <w:name w:val="正文首行缩进 Char"/>
    <w:link w:val="808"/>
    <w:uiPriority w:val="99"/>
    <w:semiHidden/>
    <w:qFormat/>
    <w:rPr>
      <w:rFonts w:ascii="Times New Roman" w:hAnsi="Times New Roman" w:eastAsia="华文中宋" w:cs="Times New Roman"/>
      <w:sz w:val="21"/>
      <w:szCs w:val="20"/>
    </w:rPr>
  </w:style>
  <w:style w:type="paragraph" w:styleId="1016" w:customStyle="1">
    <w:name w:val="正文文本缩进1"/>
    <w:basedOn w:val="770"/>
    <w:next w:val="1017"/>
    <w:link w:val="1018"/>
    <w:uiPriority w:val="0"/>
    <w:qFormat/>
    <w:pPr>
      <w:ind w:firstLine="576"/>
    </w:pPr>
    <w:rPr>
      <w:b/>
      <w:sz w:val="30"/>
    </w:rPr>
  </w:style>
  <w:style w:type="paragraph" w:styleId="1017" w:customStyle="1">
    <w:name w:val="寄信人地址1"/>
    <w:basedOn w:val="770"/>
    <w:uiPriority w:val="99"/>
    <w:unhideWhenUsed/>
    <w:qFormat/>
    <w:rPr>
      <w:rFonts w:hint="eastAsia" w:ascii="Arial" w:hAnsi="Arial"/>
      <w:sz w:val="24"/>
      <w:szCs w:val="24"/>
    </w:rPr>
  </w:style>
  <w:style w:type="character" w:styleId="1018" w:customStyle="1">
    <w:name w:val="正文文本缩进 Char"/>
    <w:link w:val="1016"/>
    <w:uiPriority w:val="0"/>
    <w:qFormat/>
    <w:rPr>
      <w:rFonts w:ascii="Times New Roman" w:hAnsi="Times New Roman" w:eastAsia="宋体" w:cs="Times New Roman"/>
      <w:b/>
      <w:sz w:val="30"/>
      <w:szCs w:val="20"/>
    </w:rPr>
  </w:style>
  <w:style w:type="paragraph" w:styleId="1019" w:customStyle="1">
    <w:name w:val="索引 41"/>
    <w:basedOn w:val="770"/>
    <w:next w:val="770"/>
    <w:uiPriority w:val="0"/>
    <w:qFormat/>
    <w:pPr>
      <w:ind w:left="1260"/>
    </w:pPr>
    <w:rPr>
      <w:rFonts w:eastAsia="楷体_GB2312"/>
      <w:sz w:val="26"/>
    </w:rPr>
  </w:style>
  <w:style w:type="paragraph" w:styleId="1020" w:customStyle="1">
    <w:name w:val="纯文本1"/>
    <w:basedOn w:val="770"/>
    <w:link w:val="1021"/>
    <w:uiPriority w:val="0"/>
    <w:qFormat/>
    <w:rPr>
      <w:rFonts w:ascii="宋体" w:hAnsi="Courier New"/>
      <w:szCs w:val="21"/>
    </w:rPr>
  </w:style>
  <w:style w:type="character" w:styleId="1021" w:customStyle="1">
    <w:name w:val="纯文本 Char"/>
    <w:link w:val="1020"/>
    <w:uiPriority w:val="0"/>
    <w:qFormat/>
    <w:rPr>
      <w:rFonts w:ascii="宋体" w:hAnsi="Courier New"/>
      <w:sz w:val="21"/>
      <w:szCs w:val="21"/>
    </w:rPr>
  </w:style>
  <w:style w:type="paragraph" w:styleId="1022" w:customStyle="1">
    <w:name w:val="日期1"/>
    <w:basedOn w:val="770"/>
    <w:next w:val="770"/>
    <w:link w:val="1023"/>
    <w:uiPriority w:val="99"/>
    <w:qFormat/>
    <w:rPr>
      <w:rFonts w:eastAsia="黑体"/>
      <w:b/>
      <w:sz w:val="36"/>
    </w:rPr>
  </w:style>
  <w:style w:type="character" w:styleId="1023" w:customStyle="1">
    <w:name w:val="日期 Char"/>
    <w:link w:val="1022"/>
    <w:uiPriority w:val="99"/>
    <w:qFormat/>
    <w:rPr>
      <w:rFonts w:ascii="Times New Roman" w:hAnsi="Times New Roman" w:eastAsia="黑体" w:cs="Times New Roman"/>
      <w:b/>
      <w:sz w:val="36"/>
      <w:szCs w:val="20"/>
    </w:rPr>
  </w:style>
  <w:style w:type="paragraph" w:styleId="1024" w:customStyle="1">
    <w:name w:val="正文文本缩进 21"/>
    <w:basedOn w:val="770"/>
    <w:link w:val="1025"/>
    <w:uiPriority w:val="99"/>
    <w:qFormat/>
    <w:pPr>
      <w:ind w:left="900"/>
    </w:pPr>
    <w:rPr>
      <w:rFonts w:ascii="楷体_GB2312" w:eastAsia="楷体_GB2312"/>
      <w:b/>
      <w:sz w:val="28"/>
    </w:rPr>
  </w:style>
  <w:style w:type="character" w:styleId="1025" w:customStyle="1">
    <w:name w:val="正文文本缩进 2 Char"/>
    <w:link w:val="1024"/>
    <w:uiPriority w:val="99"/>
    <w:qFormat/>
    <w:rPr>
      <w:rFonts w:ascii="楷体_GB2312" w:hAnsi="Times New Roman" w:eastAsia="楷体_GB2312" w:cs="Times New Roman"/>
      <w:b/>
      <w:sz w:val="28"/>
      <w:szCs w:val="20"/>
    </w:rPr>
  </w:style>
  <w:style w:type="paragraph" w:styleId="1026" w:customStyle="1">
    <w:name w:val="批注框文本1"/>
    <w:basedOn w:val="770"/>
    <w:link w:val="1027"/>
    <w:uiPriority w:val="99"/>
    <w:unhideWhenUsed/>
    <w:qFormat/>
    <w:rPr>
      <w:sz w:val="18"/>
      <w:szCs w:val="18"/>
    </w:rPr>
  </w:style>
  <w:style w:type="character" w:styleId="1027" w:customStyle="1">
    <w:name w:val="批注框文本 Char"/>
    <w:link w:val="1026"/>
    <w:uiPriority w:val="99"/>
    <w:semiHidden/>
    <w:qFormat/>
    <w:rPr>
      <w:rFonts w:ascii="Times New Roman" w:hAnsi="Times New Roman" w:eastAsia="宋体" w:cs="Times New Roman"/>
      <w:sz w:val="18"/>
      <w:szCs w:val="18"/>
    </w:rPr>
  </w:style>
  <w:style w:type="paragraph" w:styleId="1028" w:customStyle="1">
    <w:name w:val="页脚1"/>
    <w:basedOn w:val="770"/>
    <w:link w:val="1029"/>
    <w:uiPriority w:val="99"/>
    <w:unhideWhenUsed/>
    <w:qFormat/>
    <w:pPr>
      <w:jc w:val="left"/>
      <w:tabs>
        <w:tab w:val="center" w:pos="4153" w:leader="none"/>
        <w:tab w:val="right" w:pos="8306" w:leader="none"/>
      </w:tabs>
    </w:pPr>
    <w:rPr>
      <w:sz w:val="18"/>
      <w:szCs w:val="18"/>
    </w:rPr>
  </w:style>
  <w:style w:type="character" w:styleId="1029" w:customStyle="1">
    <w:name w:val="页脚 Char"/>
    <w:link w:val="1028"/>
    <w:uiPriority w:val="99"/>
    <w:qFormat/>
    <w:rPr>
      <w:sz w:val="18"/>
      <w:szCs w:val="18"/>
    </w:rPr>
  </w:style>
  <w:style w:type="paragraph" w:styleId="1030" w:customStyle="1">
    <w:name w:val="页眉11"/>
    <w:basedOn w:val="770"/>
    <w:link w:val="103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31" w:customStyle="1">
    <w:name w:val="页眉 Char"/>
    <w:link w:val="1030"/>
    <w:uiPriority w:val="0"/>
    <w:qFormat/>
    <w:rPr>
      <w:sz w:val="18"/>
      <w:szCs w:val="18"/>
    </w:rPr>
  </w:style>
  <w:style w:type="paragraph" w:styleId="1032" w:customStyle="1">
    <w:name w:val="列表1"/>
    <w:basedOn w:val="770"/>
    <w:uiPriority w:val="0"/>
    <w:qFormat/>
    <w:pPr>
      <w:numPr>
        <w:ilvl w:val="0"/>
        <w:numId w:val="2"/>
      </w:numPr>
      <w:spacing w:after="20" w:line="288" w:lineRule="auto"/>
    </w:pPr>
    <w:rPr>
      <w:lang w:val="en-GB"/>
    </w:rPr>
  </w:style>
  <w:style w:type="paragraph" w:styleId="1033" w:customStyle="1">
    <w:name w:val="脚注文本1"/>
    <w:basedOn w:val="770"/>
    <w:next w:val="1009"/>
    <w:link w:val="1034"/>
    <w:uiPriority w:val="0"/>
    <w:qFormat/>
    <w:pPr>
      <w:ind w:firstLine="425"/>
      <w:jc w:val="left"/>
      <w:spacing w:before="120" w:line="360" w:lineRule="auto"/>
    </w:pPr>
    <w:rPr>
      <w:sz w:val="18"/>
    </w:rPr>
  </w:style>
  <w:style w:type="character" w:styleId="1034" w:customStyle="1">
    <w:name w:val="脚注文本 Char"/>
    <w:link w:val="1033"/>
    <w:uiPriority w:val="0"/>
    <w:qFormat/>
    <w:rPr>
      <w:rFonts w:ascii="Times New Roman" w:hAnsi="Times New Roman"/>
      <w:sz w:val="18"/>
    </w:rPr>
  </w:style>
  <w:style w:type="paragraph" w:styleId="1035" w:customStyle="1">
    <w:name w:val="正文文本缩进 31"/>
    <w:basedOn w:val="770"/>
    <w:link w:val="1036"/>
    <w:uiPriority w:val="99"/>
    <w:qFormat/>
    <w:pPr>
      <w:ind w:left="359" w:firstLine="359"/>
    </w:pPr>
    <w:rPr>
      <w:sz w:val="20"/>
    </w:rPr>
  </w:style>
  <w:style w:type="character" w:styleId="1036" w:customStyle="1">
    <w:name w:val="正文文本缩进 3 Char"/>
    <w:link w:val="1035"/>
    <w:uiPriority w:val="99"/>
    <w:qFormat/>
    <w:rPr>
      <w:rFonts w:ascii="Times New Roman" w:hAnsi="Times New Roman" w:eastAsia="宋体" w:cs="Times New Roman"/>
      <w:szCs w:val="20"/>
    </w:rPr>
  </w:style>
  <w:style w:type="paragraph" w:styleId="1037" w:customStyle="1">
    <w:name w:val="正文文本 211"/>
    <w:basedOn w:val="770"/>
    <w:link w:val="1038"/>
    <w:uiPriority w:val="99"/>
    <w:qFormat/>
    <w:pPr>
      <w:spacing w:after="120" w:line="480" w:lineRule="auto"/>
    </w:pPr>
    <w:rPr>
      <w:sz w:val="20"/>
    </w:rPr>
  </w:style>
  <w:style w:type="character" w:styleId="1038" w:customStyle="1">
    <w:name w:val="正文文本 2 Char"/>
    <w:link w:val="1037"/>
    <w:uiPriority w:val="99"/>
    <w:qFormat/>
    <w:rPr>
      <w:rFonts w:ascii="Times New Roman" w:hAnsi="Times New Roman" w:eastAsia="宋体" w:cs="Times New Roman"/>
      <w:szCs w:val="20"/>
    </w:rPr>
  </w:style>
  <w:style w:type="paragraph" w:styleId="1039" w:customStyle="1">
    <w:name w:val="普通(网站)1"/>
    <w:basedOn w:val="770"/>
    <w:link w:val="1040"/>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40" w:customStyle="1">
    <w:name w:val="普通(网站) Char"/>
    <w:link w:val="1039"/>
    <w:uiPriority w:val="0"/>
    <w:qFormat/>
    <w:rPr>
      <w:rFonts w:ascii="宋体" w:hAnsi="宋体"/>
      <w:sz w:val="24"/>
      <w:szCs w:val="24"/>
    </w:rPr>
  </w:style>
  <w:style w:type="paragraph" w:styleId="1041" w:customStyle="1">
    <w:name w:val="批注主题1"/>
    <w:basedOn w:val="1012"/>
    <w:next w:val="1012"/>
    <w:link w:val="1042"/>
    <w:uiPriority w:val="0"/>
    <w:semiHidden/>
    <w:qFormat/>
    <w:rPr>
      <w:b/>
      <w:bCs/>
    </w:rPr>
  </w:style>
  <w:style w:type="character" w:styleId="1042" w:customStyle="1">
    <w:name w:val="批注主题 Char"/>
    <w:link w:val="1041"/>
    <w:uiPriority w:val="0"/>
    <w:semiHidden/>
    <w:qFormat/>
    <w:rPr>
      <w:rFonts w:ascii="Times New Roman" w:hAnsi="Times New Roman" w:eastAsia="宋体" w:cs="Times New Roman"/>
      <w:b/>
      <w:bCs/>
      <w:szCs w:val="24"/>
    </w:rPr>
  </w:style>
  <w:style w:type="paragraph" w:styleId="1043" w:customStyle="1">
    <w:name w:val="正文首行缩进 21"/>
    <w:basedOn w:val="1016"/>
    <w:next w:val="770"/>
    <w:uiPriority w:val="0"/>
    <w:qFormat/>
    <w:pPr>
      <w:ind w:left="420" w:firstLine="420"/>
      <w:spacing w:after="120"/>
    </w:pPr>
    <w:rPr>
      <w:rFonts w:ascii="Cambria" w:hAnsi="Cambria" w:eastAsia="华文细黑"/>
      <w:sz w:val="21"/>
    </w:rPr>
  </w:style>
  <w:style w:type="table" w:styleId="1044" w:customStyle="1">
    <w:name w:val="网格型1"/>
    <w:basedOn w:val="1001"/>
    <w:uiPriority w:val="39"/>
    <w:qFormat/>
    <w:tblPr>
      <w:tblCellMar>
        <w:left w:w="0" w:type="dxa"/>
        <w:top w:w="0" w:type="dxa"/>
        <w:right w:w="0" w:type="dxa"/>
        <w:bottom w:w="0" w:type="dxa"/>
      </w:tblCellMar>
    </w:tblPr>
  </w:style>
  <w:style w:type="character" w:styleId="1045" w:customStyle="1">
    <w:name w:val="要点1"/>
    <w:uiPriority w:val="99"/>
    <w:qFormat/>
    <w:rPr>
      <w:rFonts w:cs="Times New Roman"/>
      <w:b/>
      <w:bCs/>
    </w:rPr>
  </w:style>
  <w:style w:type="character" w:styleId="1046" w:customStyle="1">
    <w:name w:val="页码1"/>
    <w:uiPriority w:val="0"/>
    <w:qFormat/>
    <w:rPr>
      <w:rFonts w:cs="Times New Roman"/>
    </w:rPr>
  </w:style>
  <w:style w:type="character" w:styleId="1047" w:customStyle="1">
    <w:name w:val="已访问的超链接1"/>
    <w:uiPriority w:val="99"/>
    <w:qFormat/>
    <w:rPr>
      <w:rFonts w:cs="Times New Roman"/>
      <w:color w:val="000000"/>
      <w:u w:val="none"/>
    </w:rPr>
  </w:style>
  <w:style w:type="character" w:styleId="1048" w:customStyle="1">
    <w:name w:val="HTML 打字机1"/>
    <w:uiPriority w:val="99"/>
    <w:qFormat/>
    <w:rPr>
      <w:rFonts w:ascii="宋体" w:hAnsi="宋体" w:eastAsia="宋体" w:cs="宋体"/>
      <w:sz w:val="24"/>
      <w:szCs w:val="24"/>
    </w:rPr>
  </w:style>
  <w:style w:type="character" w:styleId="1049" w:customStyle="1">
    <w:name w:val="超链接1"/>
    <w:uiPriority w:val="0"/>
    <w:qFormat/>
    <w:rPr>
      <w:color w:val="000000"/>
      <w:u w:val="none"/>
    </w:rPr>
  </w:style>
  <w:style w:type="character" w:styleId="1050" w:customStyle="1">
    <w:name w:val="批注引用1"/>
    <w:uiPriority w:val="0"/>
    <w:unhideWhenUsed/>
    <w:qFormat/>
    <w:rPr>
      <w:sz w:val="21"/>
      <w:szCs w:val="21"/>
    </w:rPr>
  </w:style>
  <w:style w:type="character" w:styleId="1051" w:customStyle="1">
    <w:name w:val="批注框文本 Char1"/>
    <w:uiPriority w:val="99"/>
    <w:semiHidden/>
    <w:qFormat/>
    <w:rPr>
      <w:rFonts w:ascii="Times New Roman" w:hAnsi="Times New Roman" w:eastAsia="宋体" w:cs="Times New Roman"/>
      <w:sz w:val="18"/>
      <w:szCs w:val="18"/>
    </w:rPr>
  </w:style>
  <w:style w:type="character" w:styleId="1052" w:customStyle="1">
    <w:name w:val="正文文本 2 Char1"/>
    <w:uiPriority w:val="99"/>
    <w:semiHidden/>
    <w:qFormat/>
    <w:rPr>
      <w:rFonts w:ascii="Times New Roman" w:hAnsi="Times New Roman" w:eastAsia="宋体" w:cs="Times New Roman"/>
      <w:szCs w:val="20"/>
    </w:rPr>
  </w:style>
  <w:style w:type="character" w:styleId="1053" w:customStyle="1">
    <w:name w:val="文档结构图 Char1"/>
    <w:uiPriority w:val="99"/>
    <w:semiHidden/>
    <w:qFormat/>
    <w:rPr>
      <w:rFonts w:ascii="宋体" w:hAnsi="Times New Roman" w:eastAsia="宋体" w:cs="Times New Roman"/>
      <w:sz w:val="18"/>
      <w:szCs w:val="18"/>
    </w:rPr>
  </w:style>
  <w:style w:type="character" w:styleId="1054" w:customStyle="1">
    <w:name w:val="正文文本缩进 Char1"/>
    <w:uiPriority w:val="99"/>
    <w:semiHidden/>
    <w:qFormat/>
    <w:rPr>
      <w:rFonts w:ascii="Times New Roman" w:hAnsi="Times New Roman" w:eastAsia="宋体" w:cs="Times New Roman"/>
      <w:szCs w:val="20"/>
    </w:rPr>
  </w:style>
  <w:style w:type="character" w:styleId="1055" w:customStyle="1">
    <w:name w:val="15"/>
    <w:uiPriority w:val="0"/>
    <w:qFormat/>
    <w:rPr>
      <w:rFonts w:ascii="Times New Roman" w:hAnsi="Times New Roman" w:cs="Times New Roman"/>
    </w:rPr>
  </w:style>
  <w:style w:type="character" w:styleId="1056" w:customStyle="1">
    <w:name w:val="正文文本缩进 2 Char1"/>
    <w:uiPriority w:val="99"/>
    <w:semiHidden/>
    <w:qFormat/>
    <w:rPr>
      <w:rFonts w:ascii="Times New Roman" w:hAnsi="Times New Roman" w:eastAsia="宋体" w:cs="Times New Roman"/>
      <w:szCs w:val="20"/>
    </w:rPr>
  </w:style>
  <w:style w:type="character" w:styleId="1057" w:customStyle="1">
    <w:name w:val="日期 Char1"/>
    <w:uiPriority w:val="99"/>
    <w:semiHidden/>
    <w:qFormat/>
    <w:rPr>
      <w:rFonts w:ascii="Times New Roman" w:hAnsi="Times New Roman" w:eastAsia="宋体" w:cs="Times New Roman"/>
      <w:szCs w:val="20"/>
    </w:rPr>
  </w:style>
  <w:style w:type="character" w:styleId="1058" w:customStyle="1">
    <w:name w:val="正文文本缩进 3 Char1"/>
    <w:uiPriority w:val="99"/>
    <w:semiHidden/>
    <w:qFormat/>
    <w:rPr>
      <w:rFonts w:ascii="Times New Roman" w:hAnsi="Times New Roman" w:eastAsia="宋体" w:cs="Times New Roman"/>
      <w:sz w:val="16"/>
      <w:szCs w:val="16"/>
    </w:rPr>
  </w:style>
  <w:style w:type="paragraph" w:styleId="1059" w:customStyle="1">
    <w:name w:val="列出段落"/>
    <w:basedOn w:val="770"/>
    <w:uiPriority w:val="0"/>
    <w:qFormat/>
    <w:pPr>
      <w:ind w:firstLine="420"/>
    </w:pPr>
  </w:style>
  <w:style w:type="paragraph" w:styleId="1060">
    <w:name w:val="List Paragraph"/>
    <w:basedOn w:val="770"/>
    <w:uiPriority w:val="0"/>
    <w:qFormat/>
    <w:pPr>
      <w:ind w:firstLine="420"/>
    </w:pPr>
    <w:rPr>
      <w:szCs w:val="21"/>
    </w:rPr>
  </w:style>
  <w:style w:type="paragraph" w:styleId="1061" w:customStyle="1">
    <w:name w:val="普通文字"/>
    <w:basedOn w:val="770"/>
    <w:next w:val="770"/>
    <w:uiPriority w:val="0"/>
    <w:qFormat/>
    <w:rPr>
      <w:rFonts w:ascii="宋体"/>
      <w:sz w:val="24"/>
    </w:rPr>
  </w:style>
  <w:style w:type="paragraph" w:styleId="1062" w:customStyle="1">
    <w:name w:val="样式 小四 段前: 5 磅 段后: 5 磅 首行缩进:  2 字符"/>
    <w:basedOn w:val="770"/>
    <w:uiPriority w:val="0"/>
    <w:qFormat/>
    <w:pPr>
      <w:jc w:val="center"/>
      <w:spacing w:line="360" w:lineRule="auto"/>
    </w:pPr>
    <w:rPr>
      <w:rFonts w:ascii="宋体" w:hAnsi="宋体"/>
      <w:bCs/>
      <w:color w:val="ff0000"/>
      <w:sz w:val="24"/>
      <w:szCs w:val="24"/>
    </w:rPr>
  </w:style>
  <w:style w:type="paragraph" w:styleId="1063" w:customStyle="1">
    <w:name w:val="段"/>
    <w:next w:val="770"/>
    <w:uiPriority w:val="0"/>
    <w:qFormat/>
    <w:pPr>
      <w:ind w:firstLine="200"/>
      <w:jc w:val="both"/>
    </w:pPr>
    <w:rPr>
      <w:rFonts w:hint="default" w:ascii="宋体" w:hAnsi="Times New Roman" w:eastAsia="宋体" w:cs="Times New Roman"/>
      <w:sz w:val="21"/>
      <w:lang w:val="en-US" w:eastAsia="zh-CN" w:bidi="ar-SA"/>
    </w:rPr>
  </w:style>
  <w:style w:type="paragraph" w:styleId="106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6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66" w:customStyle="1">
    <w:name w:val="页眉1"/>
    <w:basedOn w:val="770"/>
    <w:uiPriority w:val="99"/>
    <w:qFormat/>
    <w:pPr>
      <w:jc w:val="center"/>
      <w:tabs>
        <w:tab w:val="center" w:pos="4153" w:leader="none"/>
        <w:tab w:val="right" w:pos="8306" w:leader="none"/>
      </w:tabs>
      <w:pBdr>
        <w:bottom w:val="single" w:color="000000" w:sz="6" w:space="1"/>
      </w:pBdr>
    </w:pPr>
    <w:rPr>
      <w:sz w:val="18"/>
      <w:szCs w:val="18"/>
    </w:rPr>
  </w:style>
  <w:style w:type="paragraph" w:styleId="1067" w:customStyle="1">
    <w:name w:val="正文文本 21"/>
    <w:basedOn w:val="770"/>
    <w:uiPriority w:val="0"/>
    <w:qFormat/>
    <w:pPr>
      <w:spacing w:after="120" w:line="480" w:lineRule="auto"/>
    </w:pPr>
    <w:rPr>
      <w:sz w:val="20"/>
    </w:rPr>
  </w:style>
  <w:style w:type="paragraph" w:styleId="1068" w:customStyle="1">
    <w:name w:val="正文文本11"/>
    <w:next w:val="770"/>
    <w:uiPriority w:val="0"/>
    <w:qFormat/>
    <w:pPr>
      <w:jc w:val="both"/>
      <w:widowControl w:val="off"/>
    </w:pPr>
    <w:rPr>
      <w:rFonts w:hint="default" w:ascii="仿宋_GB2312" w:hAnsi="Times New Roman" w:eastAsia="仿宋_GB2312" w:cs="Times New Roman"/>
      <w:sz w:val="28"/>
      <w:szCs w:val="20"/>
      <w:lang w:val="en-US" w:eastAsia="zh-CN" w:bidi="ar-SA"/>
    </w:rPr>
  </w:style>
  <w:style w:type="character" w:styleId="1069" w:customStyle="1">
    <w:name w:val="NormalCharacter1"/>
    <w:link w:val="1070"/>
    <w:uiPriority w:val="99"/>
    <w:qFormat/>
    <w:rPr>
      <w:rFonts w:hint="default" w:ascii="Times New Roman" w:hAnsi="Times New Roman" w:eastAsia="宋体" w:cs="Times New Roman"/>
      <w:sz w:val="20"/>
      <w:szCs w:val="20"/>
      <w:lang w:val="en-US" w:eastAsia="zh-CN" w:bidi="ar-SA"/>
    </w:rPr>
  </w:style>
  <w:style w:type="paragraph" w:styleId="1070" w:customStyle="1">
    <w:name w:val="UserStyle_4"/>
    <w:link w:val="1069"/>
    <w:uiPriority w:val="99"/>
    <w:qFormat/>
    <w:pPr>
      <w:jc w:val="both"/>
      <w:widowControl w:val="off"/>
    </w:pPr>
    <w:rPr>
      <w:rFonts w:hint="default" w:ascii="Times New Roman" w:hAnsi="Times New Roman" w:eastAsia="宋体" w:cs="Times New Roman"/>
      <w:sz w:val="20"/>
      <w:szCs w:val="20"/>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d1810652-218a-401d-ba6d-18111ec7486a</errorID>
      <errorWord>（</errorWord>
      <group>L1_Word</group>
      <groupName>字词问题</groupName>
      <ability>L2_Typo</ability>
      <abilityName>字词错误</abilityName>
      <candidateList>
        <item>（在</item>
      </candidateList>
      <explain/>
      <paraID> A11DE5F</paraID>
      <start>90</start>
      <end>91</end>
      <status>unmodified</status>
      <modifiedWord/>
      <trackRevisions>false</trackRevisions>
    </reviewItem>
    <reviewItem>
      <errorID>6c413a19-dc82-48d8-8f14-b1c5e1c8184e</errorID>
      <errorWord>（</errorWord>
      <group>L1_Punc</group>
      <groupName>标点问题</groupName>
      <ability>L2_Punc_CN</ability>
      <abilityName>标点符号问题</abilityName>
      <candidateList/>
      <explain>同一形式括号套用。</explain>
      <paraID> A11DE5F</paraID>
      <start>116</start>
      <end>117</end>
      <status>unmodified</status>
      <modifiedWord/>
      <trackRevisions>false</trackRevisions>
    </reviewItem>
    <reviewItem>
      <errorID>eccc3d22-ef8d-4440-8859-a5e1ed7a9f44</errorID>
      <errorWord>）</errorWord>
      <group>L1_Punc</group>
      <groupName>标点问题</groupName>
      <ability>L2_Punc_CN</ability>
      <abilityName>标点符号问题</abilityName>
      <candidateList/>
      <explain>同一形式括号套用。</explain>
      <paraID> A11DE5F</paraID>
      <start>120</start>
      <end>121</end>
      <status>unmodified</status>
      <modifiedWord/>
      <trackRevisions>false</trackRevisions>
    </reviewItem>
    <reviewItem>
      <errorID>e8f21d8c-bf51-4732-948c-25b0d51a4866</errorID>
      <errorWord>（</errorWord>
      <group>L1_Punc</group>
      <groupName>标点问题</groupName>
      <ability>L2_Punc_CN</ability>
      <abilityName>标点符号问题</abilityName>
      <candidateList/>
      <explain>同一形式括号套用。</explain>
      <paraID> A11DE5F</paraID>
      <start>129</start>
      <end>130</end>
      <status>unmodified</status>
      <modifiedWord/>
      <trackRevisions>false</trackRevisions>
    </reviewItem>
    <reviewItem>
      <errorID>584b9e1a-50c8-4e17-b56d-70cb7262fa78</errorID>
      <errorWord>）</errorWord>
      <group>L1_Punc</group>
      <groupName>标点问题</groupName>
      <ability>L2_Punc_CN</ability>
      <abilityName>标点符号问题</abilityName>
      <candidateList/>
      <explain>同一形式括号套用。</explain>
      <paraID> A11DE5F</paraID>
      <start>176</start>
      <end>177</end>
      <status>unmodified</status>
      <modifiedWord/>
      <trackRevisions>false</trackRevisions>
    </reviewItem>
    <reviewItem>
      <errorID>492d9113-e467-437c-949f-7a34280da177</errorID>
      <errorWord>“.</errorWord>
      <group>L1_Punc</group>
      <groupName>标点问题</groupName>
      <ability>L2_Punc_CN</ability>
      <abilityName>标点符号问题</abilityName>
      <candidateList>
        <item>“</item>
      </candidateList>
      <explain/>
      <paraID> A11DE5F</paraID>
      <start>205</start>
      <end>207</end>
      <status>unmodified</status>
      <modifiedWord/>
      <trackRevisions>false</trackRevisions>
    </reviewItem>
    <reviewItem>
      <errorID>b3a8aefd-71c0-4868-bea3-95550f5fbda2</errorID>
      <errorWord>“.</errorWord>
      <group>L1_Punc</group>
      <groupName>标点问题</groupName>
      <ability>L2_Punc_CN</ability>
      <abilityName>标点符号问题</abilityName>
      <candidateList>
        <item>“</item>
      </candidateList>
      <explain/>
      <paraID>6836EA0D</paraID>
      <start>11</start>
      <end>13</end>
      <status>unmodified</status>
      <modifiedWord/>
      <trackRevisions>false</trackRevisions>
    </reviewItem>
    <reviewItem>
      <errorID>83798d42-32da-4c1e-9d5c-39f5de4ab457</errorID>
      <errorWord>截止至2026年</errorWord>
      <group>L1_Word</group>
      <groupName>字词问题</groupName>
      <ability>L2_Typo</ability>
      <abilityName>字词错误</abilityName>
      <candidateList>
        <item>截至2026年</item>
      </candidateList>
      <explain/>
      <paraID>592162BE</paraID>
      <start>47</start>
      <end>55</end>
      <status>unmodified</status>
      <modifiedWord/>
      <trackRevisions>false</trackRevisions>
    </reviewItem>
    <reviewItem>
      <errorID>1f0fc25f-e3b9-4fe7-8853-439b5d8496e4</errorID>
      <errorWord>-</errorWord>
      <group>L1_Format</group>
      <groupName>格式问题</groupName>
      <ability>L2_HalfPunc_CN</ability>
      <abilityName>全半角问题</abilityName>
      <candidateList>
        <item>－</item>
      </candidateList>
      <explain>文本全半角错误。</explain>
      <paraID>76623EDA</paraID>
      <start>25</start>
      <end>26</end>
      <status>unmodified</status>
      <modifiedWord/>
      <trackRevisions>false</trackRevisions>
    </reviewItem>
    <reviewItem>
      <errorID>cdd06adc-a49b-4d12-8c03-b3601313e4f4</errorID>
      <errorWord>-</errorWord>
      <group>L1_Format</group>
      <groupName>格式问题</groupName>
      <ability>L2_HalfPunc_CN</ability>
      <abilityName>全半角问题</abilityName>
      <candidateList>
        <item>－</item>
      </candidateList>
      <explain>文本全半角错误。</explain>
      <paraID>4DAE64BF</paraID>
      <start>31</start>
      <end>32</end>
      <status>unmodified</status>
      <modifiedWord/>
      <trackRevisions>false</trackRevisions>
    </reviewItem>
    <reviewItem>
      <errorID>1bd9cf30-ee6c-4b31-b58b-24ac00019cc1</errorID>
      <errorWord>二位</errorWord>
      <group>L1_Word</group>
      <groupName>字词问题</groupName>
      <ability>L2_Typo</ability>
      <abilityName>字词错误</abilityName>
      <candidateList>
        <item>二维</item>
      </candidateList>
      <explain>存在发音相同字词的误用。</explain>
      <paraID>10B984DC</paraID>
      <start>5</start>
      <end>7</end>
      <status>unmodified</status>
      <modifiedWord/>
      <trackRevisions>false</trackRevisions>
    </reviewItem>
    <reviewItem>
      <errorID>3dc03d39-66d0-4420-b451-c493e748cd91</errorID>
      <errorWord>二位</errorWord>
      <group>L1_Word</group>
      <groupName>字词问题</groupName>
      <ability>L2_Typo</ability>
      <abilityName>字词错误</abilityName>
      <candidateList>
        <item>二维</item>
      </candidateList>
      <explain>存在发音相同字词的误用。</explain>
      <paraID>5E43A27C</paraID>
      <start>0</start>
      <end>2</end>
      <status>unmodified</status>
      <modifiedWord/>
      <trackRevisions>false</trackRevisions>
    </reviewItem>
    <reviewItem>
      <errorID>2ad3c6ae-ae57-4903-b3fa-5c0ed7488220</errorID>
      <errorWord>二位</errorWord>
      <group>L1_Word</group>
      <groupName>字词问题</groupName>
      <ability>L2_Typo</ability>
      <abilityName>字词错误</abilityName>
      <candidateList>
        <item>二维</item>
      </candidateList>
      <explain>存在发音相同字词的误用。</explain>
      <paraID>2BB53012</paraID>
      <start>0</start>
      <end>2</end>
      <status>unmodified</status>
      <modifiedWord/>
      <trackRevisions>false</trackRevisions>
    </reviewItem>
    <reviewItem>
      <errorID>4a1b7d54-0732-4b8c-8a36-c9e8e9516943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E3CA3D5</paraID>
      <start>0</start>
      <end>2</end>
      <status>unmodified</status>
      <modifiedWord/>
      <trackRevisions>false</trackRevisions>
    </reviewItem>
    <reviewItem>
      <errorID>47b15565-fb03-49a3-8177-d5a8a02a410a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149454F5</paraID>
      <start>0</start>
      <end>2</end>
      <status>unmodified</status>
      <modifiedWord/>
      <trackRevisions>false</trackRevisions>
    </reviewItem>
    <reviewItem>
      <errorID>77e31ca7-80d1-4ddc-8858-13cf4ae3c3a0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6D7EA8D4</paraID>
      <start>0</start>
      <end>2</end>
      <status>unmodified</status>
      <modifiedWord/>
      <trackRevisions>false</trackRevisions>
    </reviewItem>
    <reviewItem>
      <errorID>a06e8481-bd63-495b-92b6-6faedafd6381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5991C9F4</paraID>
      <start>0</start>
      <end>2</end>
      <status>unmodified</status>
      <modifiedWord/>
      <trackRevisions>false</trackRevisions>
    </reviewItem>
    <reviewItem>
      <errorID>b1faf153-0a50-411b-b5de-15cf86163787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2CD6FA79</paraID>
      <start>0</start>
      <end>2</end>
      <status>unmodified</status>
      <modifiedWord/>
      <trackRevisions>false</trackRevisions>
    </reviewItem>
    <reviewItem>
      <errorID>00dc3e81-5fac-4b0b-8acc-98c37a8d7a7a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21503EDE</paraID>
      <start>0</start>
      <end>2</end>
      <status>unmodified</status>
      <modifiedWord/>
      <trackRevisions>false</trackRevisions>
    </reviewItem>
    <reviewItem>
      <errorID>462364e8-f6bc-4ba4-920b-14bd10e8683e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102761B</paraID>
      <start>0</start>
      <end>2</end>
      <status>unmodified</status>
      <modifiedWord/>
      <trackRevisions>false</trackRevisions>
    </reviewItem>
    <reviewItem>
      <errorID>fd82e231-7fab-44b2-96b3-06b20d71f9e1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10AE620B</paraID>
      <start>0</start>
      <end>2</end>
      <status>unmodified</status>
      <modifiedWord/>
      <trackRevisions>false</trackRevisions>
    </reviewItem>
    <reviewItem>
      <errorID>f3f71588-1123-464b-8024-227f078ea9bb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79F81B72</paraID>
      <start>0</start>
      <end>2</end>
      <status>unmodified</status>
      <modifiedWord/>
      <trackRevisions>false</trackRevisions>
    </reviewItem>
    <reviewItem>
      <errorID>b32e6de9-2bf5-43c3-bbd5-7034b7c42f23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34C4140B</paraID>
      <start>0</start>
      <end>2</end>
      <status>unmodified</status>
      <modifiedWord/>
      <trackRevisions>false</trackRevisions>
    </reviewItem>
    <reviewItem>
      <errorID>889b6753-7bd7-4c97-a0ae-7f33b4ef6aed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54C835BA</paraID>
      <start>0</start>
      <end>2</end>
      <status>unmodified</status>
      <modifiedWord/>
      <trackRevisions>false</trackRevisions>
    </reviewItem>
    <reviewItem>
      <errorID>f0b1bf08-66a6-447c-ae70-c4ad9f720268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6A695377</paraID>
      <start>0</start>
      <end>2</end>
      <status>unmodified</status>
      <modifiedWord/>
      <trackRevisions>false</trackRevisions>
    </reviewItem>
    <reviewItem>
      <errorID>9f7b83ae-74fb-408c-b780-da2545a88574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5E3E0EDA</paraID>
      <start>0</start>
      <end>2</end>
      <status>unmodified</status>
      <modifiedWord/>
      <trackRevisions>false</trackRevisions>
    </reviewItem>
    <reviewItem>
      <errorID>1ad9f735-cb75-49dc-9bf7-6f94c07a1cec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3D38A55A</paraID>
      <start>0</start>
      <end>2</end>
      <status>unmodified</status>
      <modifiedWord/>
      <trackRevisions>false</trackRevisions>
    </reviewItem>
    <reviewItem>
      <errorID>c3ee796f-063f-468b-91f8-ed9da519b788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7F3B5DAA</paraID>
      <start>0</start>
      <end>2</end>
      <status>unmodified</status>
      <modifiedWord/>
      <trackRevisions>false</trackRevisions>
    </reviewItem>
    <reviewItem>
      <errorID>6c4cbae4-b19a-46cb-8ebd-21c316417214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65471DB0</paraID>
      <start>0</start>
      <end>2</end>
      <status>unmodified</status>
      <modifiedWord/>
      <trackRevisions>false</trackRevisions>
    </reviewItem>
    <reviewItem>
      <errorID>33ed1b4d-4a06-4200-a4ff-17b350d60a9f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7F3AC2F3</paraID>
      <start>0</start>
      <end>2</end>
      <status>unmodified</status>
      <modifiedWord/>
      <trackRevisions>false</trackRevisions>
    </reviewItem>
    <reviewItem>
      <errorID>4889451d-d9c8-4edc-b2e2-53353f4e4530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58E0EE1E</paraID>
      <start>0</start>
      <end>2</end>
      <status>unmodified</status>
      <modifiedWord/>
      <trackRevisions>false</trackRevisions>
    </reviewItem>
    <reviewItem>
      <errorID>517d8813-c24c-4387-b95b-00cfa558fc9a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28F7BB84</paraID>
      <start>0</start>
      <end>2</end>
      <status>unmodified</status>
      <modifiedWord/>
      <trackRevisions>false</trackRevisions>
    </reviewItem>
    <reviewItem>
      <errorID>6e418a2d-0dd5-4b40-9579-7bc7e5a1866c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2B457993</paraID>
      <start>0</start>
      <end>2</end>
      <status>unmodified</status>
      <modifiedWord/>
      <trackRevisions>false</trackRevisions>
    </reviewItem>
    <reviewItem>
      <errorID>8b92f6a3-2fb9-46aa-b198-defd47b08999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24A6122C</paraID>
      <start>0</start>
      <end>2</end>
      <status>unmodified</status>
      <modifiedWord/>
      <trackRevisions>false</trackRevisions>
    </reviewItem>
    <reviewItem>
      <errorID>90b4a2f3-8dad-4e32-896b-27431a4edc8c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27791B90</paraID>
      <start>0</start>
      <end>2</end>
      <status>unmodified</status>
      <modifiedWord/>
      <trackRevisions>false</trackRevisions>
    </reviewItem>
    <reviewItem>
      <errorID>d2d8c41e-4065-4760-819c-5641588af144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5D4D8B38</paraID>
      <start>0</start>
      <end>2</end>
      <status>unmodified</status>
      <modifiedWord/>
      <trackRevisions>false</trackRevisions>
    </reviewItem>
    <reviewItem>
      <errorID>06580543-df28-4b88-9061-fb38946fa072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4F3017C6</paraID>
      <start>0</start>
      <end>2</end>
      <status>unmodified</status>
      <modifiedWord/>
      <trackRevisions>false</trackRevisions>
    </reviewItem>
    <reviewItem>
      <errorID>fb9f0f2d-988f-4d44-8a3a-d99dce72af75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16BF85B2</paraID>
      <start>0</start>
      <end>2</end>
      <status>unmodified</status>
      <modifiedWord/>
      <trackRevisions>false</trackRevisions>
    </reviewItem>
    <reviewItem>
      <errorID>e927289f-85a2-4d33-9514-44286a298646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706161D4</paraID>
      <start>0</start>
      <end>2</end>
      <status>unmodified</status>
      <modifiedWord/>
      <trackRevisions>false</trackRevisions>
    </reviewItem>
    <reviewItem>
      <errorID>6ffa4f86-a42b-408c-91ff-5e29053cd7f2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71F09C62</paraID>
      <start>0</start>
      <end>2</end>
      <status>unmodified</status>
      <modifiedWord/>
      <trackRevisions>false</trackRevisions>
    </reviewItem>
    <reviewItem>
      <errorID>9981d673-dbdf-471e-8dbc-71edd92d7a21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2EAD15D3</paraID>
      <start>0</start>
      <end>2</end>
      <status>unmodified</status>
      <modifiedWord/>
      <trackRevisions>false</trackRevisions>
    </reviewItem>
    <reviewItem>
      <errorID>d166d5ac-306b-43ee-9082-c3aff43b72f0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511BD976</paraID>
      <start>0</start>
      <end>2</end>
      <status>unmodified</status>
      <modifiedWord/>
      <trackRevisions>false</trackRevisions>
    </reviewItem>
    <reviewItem>
      <errorID>26f0e3f2-af19-4577-a9f8-0cdfadc2ce0e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6071C009</paraID>
      <start>0</start>
      <end>2</end>
      <status>unmodified</status>
      <modifiedWord/>
      <trackRevisions>false</trackRevisions>
    </reviewItem>
    <reviewItem>
      <errorID>e28af406-bbe3-4e0c-b6e1-c62729441e59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2FD736D2</paraID>
      <start>0</start>
      <end>2</end>
      <status>unmodified</status>
      <modifiedWord/>
      <trackRevisions>false</trackRevisions>
    </reviewItem>
    <reviewItem>
      <errorID>15cd81d9-6082-430b-8149-93ea46036d8d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57F36D77</paraID>
      <start>0</start>
      <end>2</end>
      <status>unmodified</status>
      <modifiedWord/>
      <trackRevisions>false</trackRevisions>
    </reviewItem>
    <reviewItem>
      <errorID>bdc1771c-a3ec-4213-9b4c-472159a9977e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CC64FB4</paraID>
      <start>0</start>
      <end>2</end>
      <status>unmodified</status>
      <modifiedWord/>
      <trackRevisions>false</trackRevisions>
    </reviewItem>
    <reviewItem>
      <errorID>67cb23dc-6a55-44f6-ba66-014a7b49b3ee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75C42190</paraID>
      <start>0</start>
      <end>2</end>
      <status>unmodified</status>
      <modifiedWord/>
      <trackRevisions>false</trackRevisions>
    </reviewItem>
    <reviewItem>
      <errorID>637bf2ae-3013-4634-bcc3-42cf6a1dd8f3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5381806</paraID>
      <start>0</start>
      <end>2</end>
      <status>unmodified</status>
      <modifiedWord/>
      <trackRevisions>false</trackRevisions>
    </reviewItem>
    <reviewItem>
      <errorID>1edbdaa8-98c0-4ae4-a7d6-73d9717841a7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3B6F4050</paraID>
      <start>0</start>
      <end>2</end>
      <status>unmodified</status>
      <modifiedWord/>
      <trackRevisions>false</trackRevisions>
    </reviewItem>
    <reviewItem>
      <errorID>a87117ed-9ddb-4806-a08c-c4f8ca1700ad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75011F74</paraID>
      <start>0</start>
      <end>2</end>
      <status>unmodified</status>
      <modifiedWord/>
      <trackRevisions>false</trackRevisions>
    </reviewItem>
    <reviewItem>
      <errorID>98d9fa5e-c982-4afa-94ad-aebfe6aaef3f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639E4691</paraID>
      <start>0</start>
      <end>2</end>
      <status>unmodified</status>
      <modifiedWord/>
      <trackRevisions>false</trackRevisions>
    </reviewItem>
    <reviewItem>
      <errorID>edf56c69-3ee2-4f37-8b58-ac6b6c50d9cd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1357ED50</paraID>
      <start>0</start>
      <end>2</end>
      <status>unmodified</status>
      <modifiedWord/>
      <trackRevisions>false</trackRevisions>
    </reviewItem>
    <reviewItem>
      <errorID>4f8bc4b3-5179-49c4-a3e7-b5eca79f3172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2EF52749</paraID>
      <start>0</start>
      <end>2</end>
      <status>unmodified</status>
      <modifiedWord/>
      <trackRevisions>false</trackRevisions>
    </reviewItem>
    <reviewItem>
      <errorID>5a1e405b-4da2-469d-8ece-f9fd636ea5bf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4BFA090B</paraID>
      <start>0</start>
      <end>2</end>
      <status>unmodified</status>
      <modifiedWord/>
      <trackRevisions>false</trackRevisions>
    </reviewItem>
    <reviewItem>
      <errorID>1b5acc53-4670-44cf-abb4-3b1ed5e0b7e3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49E7C99A</paraID>
      <start>0</start>
      <end>2</end>
      <status>unmodified</status>
      <modifiedWord/>
      <trackRevisions>false</trackRevisions>
    </reviewItem>
    <reviewItem>
      <errorID>f283d54d-a944-4605-a5a7-3f2e82310b3b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6080BA4D</paraID>
      <start>0</start>
      <end>2</end>
      <status>unmodified</status>
      <modifiedWord/>
      <trackRevisions>false</trackRevisions>
    </reviewItem>
    <reviewItem>
      <errorID>f16b3b4b-a117-40c7-93a2-6dd0abd31141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3835DD9D</paraID>
      <start>0</start>
      <end>2</end>
      <status>unmodified</status>
      <modifiedWord/>
      <trackRevisions>false</trackRevisions>
    </reviewItem>
    <reviewItem>
      <errorID>05280aed-a3f3-45bc-814b-9accd01a65f5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78B794C5</paraID>
      <start>0</start>
      <end>2</end>
      <status>unmodified</status>
      <modifiedWord/>
      <trackRevisions>false</trackRevisions>
    </reviewItem>
    <reviewItem>
      <errorID>17c78b34-b2f1-40e6-9def-606a9bd93aea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49C37282</paraID>
      <start>0</start>
      <end>2</end>
      <status>unmodified</status>
      <modifiedWord/>
      <trackRevisions>false</trackRevisions>
    </reviewItem>
    <reviewItem>
      <errorID>c25eab8d-b01e-443a-a11d-dd8e5c91e29b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34A086A1</paraID>
      <start>0</start>
      <end>2</end>
      <status>unmodified</status>
      <modifiedWord/>
      <trackRevisions>false</trackRevisions>
    </reviewItem>
    <reviewItem>
      <errorID>bb8d2c5d-20fc-499c-9ef6-d5ca41c07350</errorID>
      <errorWord>:</errorWord>
      <group>L1_Format</group>
      <groupName>格式问题</groupName>
      <ability>L2_HalfPunc_CN</ability>
      <abilityName>全半角问题</abilityName>
      <candidateList>
        <item>：</item>
      </candidateList>
      <explain>文本全半角错误。</explain>
      <paraID>34A086A1</paraID>
      <start>6</start>
      <end>7</end>
      <status>modified</status>
      <modifiedWord>：</modifiedWord>
      <trackRevisions>false</trackRevisions>
    </reviewItem>
    <reviewItem>
      <errorID>f87275de-c920-4f87-8523-9ca9ec79d9f7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568D7181</paraID>
      <start>0</start>
      <end>2</end>
      <status>unmodified</status>
      <modifiedWord/>
      <trackRevisions>false</trackRevisions>
    </reviewItem>
    <reviewItem>
      <errorID>2945f96b-405f-43fb-9dd7-d8248359cb91</errorID>
      <errorWord>)</errorWord>
      <group>L1_Format</group>
      <groupName>格式问题</groupName>
      <ability>L2_HalfPunc_CN</ability>
      <abilityName>全半角问题</abilityName>
      <candidateList>
        <item>）</item>
      </candidateList>
      <explain>文本全半角错误。</explain>
      <paraID>568D7181</paraID>
      <start>26</start>
      <end>27</end>
      <status>modified</status>
      <modifiedWord>）</modifiedWord>
      <trackRevisions>false</trackRevisions>
    </reviewItem>
    <reviewItem>
      <errorID>e0f38d50-6495-4a51-91b2-61a4a3b88462</errorID>
      <errorWord>)</errorWord>
      <group>L1_Format</group>
      <groupName>格式问题</groupName>
      <ability>L2_HalfPunc_CN</ability>
      <abilityName>全半角问题</abilityName>
      <candidateList>
        <item>）</item>
      </candidateList>
      <explain>文本全半角错误。</explain>
      <paraID>568D7181</paraID>
      <start>52</start>
      <end>53</end>
      <status>modified</status>
      <modifiedWord>）</modifiedWord>
      <trackRevisions>false</trackRevisions>
    </reviewItem>
    <reviewItem>
      <errorID>7f3b490e-1cf6-4f93-8020-6e245a14f874</errorID>
      <errorWord>)</errorWord>
      <group>L1_Format</group>
      <groupName>格式问题</groupName>
      <ability>L2_HalfPunc_CN</ability>
      <abilityName>全半角问题</abilityName>
      <candidateList>
        <item>）</item>
      </candidateList>
      <explain>文本全半角错误。</explain>
      <paraID>568D7181</paraID>
      <start>74</start>
      <end>75</end>
      <status>modified</status>
      <modifiedWord>）</modifiedWord>
      <trackRevisions>false</trackRevisions>
    </reviewItem>
    <reviewItem>
      <errorID>db1a3ba6-83c0-47e4-9b99-34a02156619f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5D2E3CF9</paraID>
      <start>0</start>
      <end>2</end>
      <status>unmodified</status>
      <modifiedWord/>
      <trackRevisions>false</trackRevisions>
    </reviewItem>
    <reviewItem>
      <errorID>345ba0ae-1a45-4e64-9d8f-6d151e5bfdc3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479A5505</paraID>
      <start>0</start>
      <end>2</end>
      <status>unmodified</status>
      <modifiedWord/>
      <trackRevisions>false</trackRevisions>
    </reviewItem>
    <reviewItem>
      <errorID>9ec70449-b7b1-4726-8f72-c7801f88800d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2825F675</paraID>
      <start>0</start>
      <end>2</end>
      <status>unmodified</status>
      <modifiedWord/>
      <trackRevisions>false</trackRevisions>
    </reviewItem>
    <reviewItem>
      <errorID>4ef63fb6-f1f7-4622-ab7e-f36c88c12e15</errorID>
      <errorWord>粘帖</errorWord>
      <group>L1_Word</group>
      <groupName>字词问题</groupName>
      <ability>L2_Typo</ability>
      <abilityName>字词错误</abilityName>
      <candidateList>
        <item>粘贴</item>
      </candidateList>
      <explain/>
      <paraID>2825F675</paraID>
      <start>30</start>
      <end>32</end>
      <status>unmodified</status>
      <modifiedWord/>
      <trackRevisions>false</trackRevisions>
    </reviewItem>
    <reviewItem>
      <errorID>b6cba862-3ecb-4d05-a6ec-ac17b2584cc0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4161F43B</paraID>
      <start>0</start>
      <end>2</end>
      <status>unmodified</status>
      <modifiedWord/>
      <trackRevisions>false</trackRevisions>
    </reviewItem>
    <reviewItem>
      <errorID>b367138b-0b5f-4a09-bf38-1f886d3ba5ab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360BB8C4</paraID>
      <start>0</start>
      <end>2</end>
      <status>unmodified</status>
      <modifiedWord/>
      <trackRevisions>false</trackRevisions>
    </reviewItem>
    <reviewItem>
      <errorID>6b2bd74a-c383-4fab-8d0c-fd7ee80a6cae</errorID>
      <errorWord>(</errorWord>
      <group>L1_Format</group>
      <groupName>格式问题</groupName>
      <ability>L2_HalfPunc_CN</ability>
      <abilityName>全半角问题</abilityName>
      <candidateList>
        <item>（</item>
      </candidateList>
      <explain>文本全半角错误。</explain>
      <paraID>16DF534E</paraID>
      <start>14</start>
      <end>15</end>
      <status>unmodified</status>
      <modifiedWord/>
      <trackRevisions>false</trackRevisions>
    </reviewItem>
    <reviewItem>
      <errorID>232d7eec-1517-4ba9-b7e9-5047fccc1e0e</errorID>
      <errorWord>)</errorWord>
      <group>L1_Format</group>
      <groupName>格式问题</groupName>
      <ability>L2_HalfPunc_CN</ability>
      <abilityName>全半角问题</abilityName>
      <candidateList>
        <item>）</item>
      </candidateList>
      <explain>文本全半角错误。</explain>
      <paraID>16DF534E</paraID>
      <start>17</start>
      <end>18</end>
      <status>modified</status>
      <modifiedWord>）</modifiedWord>
      <trackRevisions>false</trackRevisions>
    </reviewItem>
    <reviewItem>
      <errorID>2ef40509-2cca-4941-87b3-65a6e516714f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4B5A83AB</paraID>
      <start>0</start>
      <end>2</end>
      <status>unmodified</status>
      <modifiedWord/>
      <trackRevisions>false</trackRevisions>
    </reviewItem>
    <reviewItem>
      <errorID>7d34341d-e920-4bce-a15f-cd0b4f15cfaf</errorID>
      <errorWord>平</errorWord>
      <group>L1_Word</group>
      <groupName>字词问题</groupName>
      <ability>L2_Typo</ability>
      <abilityName>字词错误</abilityName>
      <candidateList>
        <item>平方</item>
      </candidateList>
      <explain/>
      <paraID>4B5A83AB</paraID>
      <start>21</start>
      <end>22</end>
      <status>unmodified</status>
      <modifiedWord/>
      <trackRevisions>false</trackRevisions>
    </reviewItem>
    <reviewItem>
      <errorID>3eeb3c23-46ae-43b7-b473-c5116b844ffb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1C23673C</paraID>
      <start>0</start>
      <end>2</end>
      <status>unmodified</status>
      <modifiedWord/>
      <trackRevisions>false</trackRevisions>
    </reviewItem>
    <reviewItem>
      <errorID>348256e4-f582-4286-a7a6-f57f6328ff36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785E0184</paraID>
      <start>0</start>
      <end>2</end>
      <status>unmodified</status>
      <modifiedWord/>
      <trackRevisions>false</trackRevisions>
    </reviewItem>
    <reviewItem>
      <errorID>aa5c8985-2807-4559-b79b-9d79a5ce6bb6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70186D8A</paraID>
      <start>0</start>
      <end>2</end>
      <status>unmodified</status>
      <modifiedWord/>
      <trackRevisions>false</trackRevisions>
    </reviewItem>
    <reviewItem>
      <errorID>b6d66d5b-c384-4a85-b6c4-9a1dbfe96888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64018380</paraID>
      <start>0</start>
      <end>2</end>
      <status>unmodified</status>
      <modifiedWord/>
      <trackRevisions>false</trackRevisions>
    </reviewItem>
    <reviewItem>
      <errorID>aa8221da-eb92-46c4-9305-ab0ef2fa531f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2544F7A7</paraID>
      <start>0</start>
      <end>2</end>
      <status>unmodified</status>
      <modifiedWord/>
      <trackRevisions>false</trackRevisions>
    </reviewItem>
    <reviewItem>
      <errorID>cd98cd19-abeb-42fe-b29a-afbb59de2d22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4B0E5D45</paraID>
      <start>0</start>
      <end>2</end>
      <status>unmodified</status>
      <modifiedWord/>
      <trackRevisions>false</trackRevisions>
    </reviewItem>
    <reviewItem>
      <errorID>31c36e66-4f7b-4993-b607-65a3def4e3df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7B13368C</paraID>
      <start>0</start>
      <end>2</end>
      <status>unmodified</status>
      <modifiedWord/>
      <trackRevisions>false</trackRevisions>
    </reviewItem>
    <reviewItem>
      <errorID>5c8c123d-87cd-4dd8-bb88-b436cc551443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2D1A111D</paraID>
      <start>0</start>
      <end>2</end>
      <status>unmodified</status>
      <modifiedWord/>
      <trackRevisions>false</trackRevisions>
    </reviewItem>
    <reviewItem>
      <errorID>3c46499c-4204-4340-8476-87827cd5f37b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38C89E8D</paraID>
      <start>0</start>
      <end>2</end>
      <status>unmodified</status>
      <modifiedWord/>
      <trackRevisions>false</trackRevisions>
    </reviewItem>
    <reviewItem>
      <errorID>cf224395-9362-4578-a63a-4c358ab94465</errorID>
      <errorWord>:</errorWord>
      <group>L1_Format</group>
      <groupName>格式问题</groupName>
      <ability>L2_HalfPunc_CN</ability>
      <abilityName>全半角问题</abilityName>
      <candidateList>
        <item>：</item>
      </candidateList>
      <explain>文本全半角错误。</explain>
      <paraID>38C89E8D</paraID>
      <start>6</start>
      <end>7</end>
      <status>modified</status>
      <modifiedWord>：</modifiedWord>
      <trackRevisions>false</trackRevisions>
    </reviewItem>
    <reviewItem>
      <errorID>384c2287-2fb8-4ce1-b9df-7ba0897a5cea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425C2783</paraID>
      <start>0</start>
      <end>2</end>
      <status>unmodified</status>
      <modifiedWord/>
      <trackRevisions>false</trackRevisions>
    </reviewItem>
    <reviewItem>
      <errorID>b1fd1cee-7fd0-4426-b66f-3cdb0ad00045</errorID>
      <errorWord>)</errorWord>
      <group>L1_Format</group>
      <groupName>格式问题</groupName>
      <ability>L2_HalfPunc_CN</ability>
      <abilityName>全半角问题</abilityName>
      <candidateList>
        <item>）</item>
      </candidateList>
      <explain>文本全半角错误。</explain>
      <paraID>425C2783</paraID>
      <start>26</start>
      <end>27</end>
      <status>modified</status>
      <modifiedWord>）</modifiedWord>
      <trackRevisions>false</trackRevisions>
    </reviewItem>
    <reviewItem>
      <errorID>492e9a8a-2d33-46ca-be21-58a8bd945841</errorID>
      <errorWord>)</errorWord>
      <group>L1_Format</group>
      <groupName>格式问题</groupName>
      <ability>L2_HalfPunc_CN</ability>
      <abilityName>全半角问题</abilityName>
      <candidateList>
        <item>）</item>
      </candidateList>
      <explain>文本全半角错误。</explain>
      <paraID>425C2783</paraID>
      <start>52</start>
      <end>53</end>
      <status>modified</status>
      <modifiedWord>）</modifiedWord>
      <trackRevisions>false</trackRevisions>
    </reviewItem>
    <reviewItem>
      <errorID>fec0c1fd-564e-470a-8339-a500105f53af</errorID>
      <errorWord>)</errorWord>
      <group>L1_Format</group>
      <groupName>格式问题</groupName>
      <ability>L2_HalfPunc_CN</ability>
      <abilityName>全半角问题</abilityName>
      <candidateList>
        <item>）</item>
      </candidateList>
      <explain>文本全半角错误。</explain>
      <paraID>425C2783</paraID>
      <start>74</start>
      <end>75</end>
      <status>modified</status>
      <modifiedWord>）</modifiedWord>
      <trackRevisions>false</trackRevisions>
    </reviewItem>
    <reviewItem>
      <errorID>0542c0a0-e69f-4598-a5c8-5fc7fc7d08ef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15D2CE6C</paraID>
      <start>0</start>
      <end>2</end>
      <status>unmodified</status>
      <modifiedWord/>
      <trackRevisions>false</trackRevisions>
    </reviewItem>
    <reviewItem>
      <errorID>2ffa2eb1-c36d-4985-ba8f-3d26dfdfbcb5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E3F9142</paraID>
      <start>0</start>
      <end>2</end>
      <status>unmodified</status>
      <modifiedWord/>
      <trackRevisions>false</trackRevisions>
    </reviewItem>
    <reviewItem>
      <errorID>958dd951-36a4-4a45-b7c8-0d5b24cc0b82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32645E28</paraID>
      <start>0</start>
      <end>2</end>
      <status>unmodified</status>
      <modifiedWord/>
      <trackRevisions>false</trackRevisions>
    </reviewItem>
    <reviewItem>
      <errorID>ffc124bb-3779-472a-9539-12e0d630d749</errorID>
      <errorWord>粘帖</errorWord>
      <group>L1_Word</group>
      <groupName>字词问题</groupName>
      <ability>L2_Typo</ability>
      <abilityName>字词错误</abilityName>
      <candidateList>
        <item>粘贴</item>
      </candidateList>
      <explain/>
      <paraID>32645E28</paraID>
      <start>30</start>
      <end>32</end>
      <status>unmodified</status>
      <modifiedWord/>
      <trackRevisions>false</trackRevisions>
    </reviewItem>
    <reviewItem>
      <errorID>96cfb4e5-99e6-4c1c-9558-34c19b9d38c9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BA36C5F</paraID>
      <start>0</start>
      <end>2</end>
      <status>unmodified</status>
      <modifiedWord/>
      <trackRevisions>false</trackRevisions>
    </reviewItem>
    <reviewItem>
      <errorID>cf7f0224-1e2e-4e70-b2c4-5b00dd59f1ff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1F46A4CB</paraID>
      <start>0</start>
      <end>2</end>
      <status>unmodified</status>
      <modifiedWord/>
      <trackRevisions>false</trackRevisions>
    </reviewItem>
    <reviewItem>
      <errorID>776bd68f-b3c4-46a9-a6e8-09f5b4cd6382</errorID>
      <errorWord>(</errorWord>
      <group>L1_Format</group>
      <groupName>格式问题</groupName>
      <ability>L2_HalfPunc_CN</ability>
      <abilityName>全半角问题</abilityName>
      <candidateList>
        <item>（</item>
      </candidateList>
      <explain>文本全半角错误。</explain>
      <paraID>204B4509</paraID>
      <start>14</start>
      <end>15</end>
      <status>unmodified</status>
      <modifiedWord/>
      <trackRevisions>false</trackRevisions>
    </reviewItem>
    <reviewItem>
      <errorID>2f6a110a-a3d8-4ff8-a771-44454f7e1167</errorID>
      <errorWord>)</errorWord>
      <group>L1_Format</group>
      <groupName>格式问题</groupName>
      <ability>L2_HalfPunc_CN</ability>
      <abilityName>全半角问题</abilityName>
      <candidateList>
        <item>）</item>
      </candidateList>
      <explain>文本全半角错误。</explain>
      <paraID>204B4509</paraID>
      <start>17</start>
      <end>18</end>
      <status>modified</status>
      <modifiedWord>）</modifiedWord>
      <trackRevisions>false</trackRevisions>
    </reviewItem>
    <reviewItem>
      <errorID>aa962ec6-ff8f-4599-bf55-a979130d423d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72FFE9C2</paraID>
      <start>0</start>
      <end>2</end>
      <status>unmodified</status>
      <modifiedWord/>
      <trackRevisions>false</trackRevisions>
    </reviewItem>
    <reviewItem>
      <errorID>1e963a66-ab5c-4b99-b3f6-cd2f7b315f59</errorID>
      <errorWord>平</errorWord>
      <group>L1_Word</group>
      <groupName>字词问题</groupName>
      <ability>L2_Typo</ability>
      <abilityName>字词错误</abilityName>
      <candidateList>
        <item>平方</item>
      </candidateList>
      <explain/>
      <paraID>72FFE9C2</paraID>
      <start>21</start>
      <end>22</end>
      <status>unmodified</status>
      <modifiedWord/>
      <trackRevisions>false</trackRevisions>
    </reviewItem>
    <reviewItem>
      <errorID>d7f8d61c-a826-436f-b596-ab94db7aaf49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6E0C815B</paraID>
      <start>0</start>
      <end>2</end>
      <status>unmodified</status>
      <modifiedWord/>
      <trackRevisions>false</trackRevisions>
    </reviewItem>
    <reviewItem>
      <errorID>9b04004f-7638-4add-b5ca-6d22889f2d63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2A34731E</paraID>
      <start>0</start>
      <end>2</end>
      <status>unmodified</status>
      <modifiedWord/>
      <trackRevisions>false</trackRevisions>
    </reviewItem>
    <reviewItem>
      <errorID>670c0128-b138-48b9-95cc-78c8dbedf3f9</errorID>
      <errorWord>（</errorWord>
      <group>L1_Punc</group>
      <groupName>标点问题</groupName>
      <ability>L2_Punc_CN</ability>
      <abilityName>标点符号问题</abilityName>
      <candidateList/>
      <explain>同一形式括号套用。</explain>
      <paraID>3577046B</paraID>
      <start>67</start>
      <end>68</end>
      <status>unmodified</status>
      <modifiedWord/>
      <trackRevisions>false</trackRevisions>
    </reviewItem>
    <reviewItem>
      <errorID>3edacddb-27d5-4fb0-b964-3a1ed2a1ecca</errorID>
      <errorWord>）</errorWord>
      <group>L1_Punc</group>
      <groupName>标点问题</groupName>
      <ability>L2_Punc_CN</ability>
      <abilityName>标点符号问题</abilityName>
      <candidateList/>
      <explain>同一形式括号套用。</explain>
      <paraID>3577046B</paraID>
      <start>70</start>
      <end>71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74FD2FB-9E6D-4F67-A9F9-F00B3AB6E6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19</cp:revision>
  <dcterms:created xsi:type="dcterms:W3CDTF">2024-04-09T01:41:00Z</dcterms:created>
  <dcterms:modified xsi:type="dcterms:W3CDTF">2026-07-29T08:25:26Z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0A3B6B76A2B24EEAAB673FC64BAEA8B4_13</vt:lpwstr>
  </property>
  <property fmtid="{D5CDD505-2E9C-101B-9397-08002B2CF9AE}" pid="4" name="KSOTemplateDocerSaveRecord">
    <vt:lpwstr>eyJoZGlkIjoiZGRiZWYzNTkzYmEwYTZmYjk3ZGQ3OGQwNTA0ZmI1YWIiLCJ1c2VySWQiOiIxMDI1MzcwNjcwIn0=</vt:lpwstr>
  </property>
</Properties>
</file>