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D93A7E">
      <w:pPr>
        <w:rPr>
          <w:rFonts w:ascii="黑体" w:hAnsi="黑体" w:eastAsia="黑体"/>
          <w:color w:val="auto"/>
          <w:sz w:val="36"/>
          <w:szCs w:val="36"/>
          <w:highlight w:val="none"/>
        </w:rPr>
      </w:pPr>
    </w:p>
    <w:p w14:paraId="45021A65">
      <w:pPr>
        <w:pStyle w:val="2"/>
        <w:spacing w:line="360" w:lineRule="auto"/>
        <w:jc w:val="center"/>
        <w:rPr>
          <w:color w:val="auto"/>
          <w:sz w:val="72"/>
          <w:szCs w:val="72"/>
          <w:highlight w:val="none"/>
        </w:rPr>
      </w:pPr>
      <w:r>
        <w:rPr>
          <w:rFonts w:hint="eastAsia"/>
          <w:color w:val="auto"/>
          <w:sz w:val="72"/>
          <w:szCs w:val="72"/>
          <w:highlight w:val="none"/>
        </w:rPr>
        <w:t>公开招标文件</w:t>
      </w:r>
    </w:p>
    <w:p w14:paraId="1ADD9B8D">
      <w:pPr>
        <w:pStyle w:val="2"/>
        <w:spacing w:line="360" w:lineRule="auto"/>
        <w:jc w:val="center"/>
        <w:rPr>
          <w:color w:val="auto"/>
          <w:sz w:val="72"/>
          <w:szCs w:val="72"/>
          <w:highlight w:val="none"/>
        </w:rPr>
      </w:pPr>
      <w:r>
        <w:rPr>
          <w:rFonts w:hint="eastAsia"/>
          <w:color w:val="auto"/>
          <w:sz w:val="72"/>
          <w:szCs w:val="72"/>
          <w:highlight w:val="none"/>
        </w:rPr>
        <w:t>（服务类）</w:t>
      </w:r>
    </w:p>
    <w:p w14:paraId="7B9C85FF">
      <w:pPr>
        <w:rPr>
          <w:rFonts w:ascii="黑体" w:hAnsi="宋体" w:eastAsia="黑体"/>
          <w:color w:val="auto"/>
          <w:sz w:val="72"/>
          <w:szCs w:val="56"/>
          <w:highlight w:val="none"/>
        </w:rPr>
      </w:pPr>
    </w:p>
    <w:tbl>
      <w:tblPr>
        <w:tblStyle w:val="36"/>
        <w:tblW w:w="9540" w:type="dxa"/>
        <w:tblInd w:w="105" w:type="dxa"/>
        <w:tblLayout w:type="fixed"/>
        <w:tblCellMar>
          <w:top w:w="0" w:type="dxa"/>
          <w:left w:w="108" w:type="dxa"/>
          <w:bottom w:w="0" w:type="dxa"/>
          <w:right w:w="108" w:type="dxa"/>
        </w:tblCellMar>
      </w:tblPr>
      <w:tblGrid>
        <w:gridCol w:w="9540"/>
      </w:tblGrid>
      <w:tr w14:paraId="5B6CFC29">
        <w:tblPrEx>
          <w:tblCellMar>
            <w:top w:w="0" w:type="dxa"/>
            <w:left w:w="108" w:type="dxa"/>
            <w:bottom w:w="0" w:type="dxa"/>
            <w:right w:w="108" w:type="dxa"/>
          </w:tblCellMar>
        </w:tblPrEx>
        <w:trPr>
          <w:trHeight w:val="1428" w:hRule="atLeast"/>
        </w:trPr>
        <w:tc>
          <w:tcPr>
            <w:tcW w:w="9540" w:type="dxa"/>
            <w:tcBorders>
              <w:top w:val="nil"/>
              <w:left w:val="nil"/>
              <w:bottom w:val="nil"/>
              <w:right w:val="nil"/>
            </w:tcBorders>
          </w:tcPr>
          <w:p w14:paraId="72B93F72">
            <w:pPr>
              <w:autoSpaceDE w:val="0"/>
              <w:snapToGrid w:val="0"/>
              <w:spacing w:line="360" w:lineRule="auto"/>
              <w:rPr>
                <w:rFonts w:ascii="黑体" w:hAnsi="宋体" w:eastAsia="黑体"/>
                <w:color w:val="auto"/>
                <w:sz w:val="40"/>
                <w:szCs w:val="36"/>
                <w:highlight w:val="none"/>
              </w:rPr>
            </w:pPr>
          </w:p>
          <w:p w14:paraId="1ADCF494">
            <w:pPr>
              <w:autoSpaceDE w:val="0"/>
              <w:snapToGrid w:val="0"/>
              <w:spacing w:line="360" w:lineRule="auto"/>
              <w:rPr>
                <w:rFonts w:hint="eastAsia" w:ascii="黑体" w:hAnsi="宋体" w:eastAsia="黑体"/>
                <w:color w:val="auto"/>
                <w:sz w:val="36"/>
                <w:szCs w:val="32"/>
                <w:highlight w:val="none"/>
                <w:lang w:eastAsia="zh-CN"/>
              </w:rPr>
            </w:pPr>
            <w:r>
              <w:rPr>
                <w:rFonts w:hint="eastAsia" w:ascii="黑体" w:hAnsi="宋体" w:eastAsia="黑体"/>
                <w:color w:val="auto"/>
                <w:sz w:val="36"/>
                <w:szCs w:val="32"/>
                <w:highlight w:val="none"/>
              </w:rPr>
              <w:t>项目编号：</w:t>
            </w:r>
            <w:r>
              <w:rPr>
                <w:rFonts w:hint="eastAsia" w:ascii="黑体" w:hAnsi="宋体" w:eastAsia="黑体"/>
                <w:color w:val="auto"/>
                <w:sz w:val="36"/>
                <w:szCs w:val="32"/>
                <w:highlight w:val="none"/>
                <w:lang w:eastAsia="zh-CN"/>
              </w:rPr>
              <w:t>JSZC-320100-HBGL-G2026-0010</w:t>
            </w:r>
          </w:p>
          <w:p w14:paraId="6E20DD74">
            <w:pPr>
              <w:autoSpaceDE w:val="0"/>
              <w:snapToGrid w:val="0"/>
              <w:spacing w:line="360" w:lineRule="auto"/>
              <w:rPr>
                <w:rFonts w:hint="eastAsia" w:ascii="黑体" w:hAnsi="宋体" w:eastAsia="黑体"/>
                <w:color w:val="auto"/>
                <w:sz w:val="36"/>
                <w:szCs w:val="32"/>
                <w:highlight w:val="none"/>
                <w:lang w:eastAsia="zh-CN"/>
              </w:rPr>
            </w:pPr>
            <w:r>
              <w:rPr>
                <w:rFonts w:hint="eastAsia" w:ascii="黑体" w:hAnsi="宋体" w:eastAsia="黑体"/>
                <w:color w:val="auto"/>
                <w:sz w:val="36"/>
                <w:szCs w:val="32"/>
                <w:highlight w:val="none"/>
              </w:rPr>
              <w:t>项目名称：</w:t>
            </w:r>
            <w:r>
              <w:rPr>
                <w:rFonts w:hint="eastAsia" w:ascii="黑体" w:hAnsi="宋体" w:eastAsia="黑体"/>
                <w:color w:val="auto"/>
                <w:sz w:val="36"/>
                <w:szCs w:val="32"/>
                <w:highlight w:val="none"/>
                <w:lang w:eastAsia="zh-CN"/>
              </w:rPr>
              <w:t>2026年南京市城市隧道土建结构定期检测项目</w:t>
            </w:r>
          </w:p>
          <w:p w14:paraId="0218F789">
            <w:pPr>
              <w:autoSpaceDE w:val="0"/>
              <w:snapToGrid w:val="0"/>
              <w:spacing w:line="360" w:lineRule="auto"/>
              <w:rPr>
                <w:rFonts w:ascii="黑体" w:hAnsi="宋体" w:eastAsia="黑体"/>
                <w:color w:val="auto"/>
                <w:sz w:val="40"/>
                <w:szCs w:val="36"/>
                <w:highlight w:val="none"/>
              </w:rPr>
            </w:pPr>
          </w:p>
        </w:tc>
      </w:tr>
    </w:tbl>
    <w:p w14:paraId="57D600C1">
      <w:pPr>
        <w:pStyle w:val="2"/>
        <w:spacing w:line="240" w:lineRule="auto"/>
        <w:rPr>
          <w:color w:val="auto"/>
          <w:highlight w:val="none"/>
        </w:rPr>
      </w:pPr>
    </w:p>
    <w:p w14:paraId="2856E8BA">
      <w:pPr>
        <w:rPr>
          <w:color w:val="auto"/>
          <w:highlight w:val="none"/>
        </w:rPr>
      </w:pPr>
    </w:p>
    <w:p w14:paraId="5A851F2F">
      <w:pPr>
        <w:jc w:val="center"/>
        <w:rPr>
          <w:rFonts w:ascii="黑体" w:hAnsi="宋体" w:eastAsia="黑体"/>
          <w:color w:val="auto"/>
          <w:sz w:val="48"/>
          <w:szCs w:val="44"/>
          <w:highlight w:val="none"/>
        </w:rPr>
      </w:pPr>
    </w:p>
    <w:p w14:paraId="013E74F5">
      <w:pPr>
        <w:spacing w:line="360" w:lineRule="auto"/>
        <w:jc w:val="center"/>
        <w:rPr>
          <w:rFonts w:hint="eastAsia" w:ascii="黑体" w:hAnsi="宋体" w:eastAsia="黑体"/>
          <w:color w:val="auto"/>
          <w:sz w:val="36"/>
          <w:szCs w:val="32"/>
          <w:highlight w:val="none"/>
          <w:lang w:eastAsia="zh-CN"/>
        </w:rPr>
      </w:pPr>
      <w:r>
        <w:rPr>
          <w:rFonts w:hint="eastAsia" w:ascii="黑体" w:hAnsi="宋体" w:eastAsia="黑体"/>
          <w:color w:val="auto"/>
          <w:sz w:val="36"/>
          <w:szCs w:val="32"/>
          <w:highlight w:val="none"/>
        </w:rPr>
        <w:t>采购人：</w:t>
      </w:r>
      <w:r>
        <w:rPr>
          <w:rFonts w:hint="eastAsia" w:ascii="黑体" w:hAnsi="宋体" w:eastAsia="黑体"/>
          <w:color w:val="auto"/>
          <w:sz w:val="36"/>
          <w:szCs w:val="32"/>
          <w:highlight w:val="none"/>
          <w:lang w:eastAsia="zh-CN"/>
        </w:rPr>
        <w:t>南京市城市道路管理中心</w:t>
      </w:r>
    </w:p>
    <w:p w14:paraId="661C3FB5">
      <w:pPr>
        <w:spacing w:line="360" w:lineRule="auto"/>
        <w:ind w:firstLine="1058" w:firstLineChars="294"/>
        <w:jc w:val="center"/>
        <w:rPr>
          <w:rFonts w:ascii="黑体" w:hAnsi="宋体" w:eastAsia="黑体"/>
          <w:color w:val="auto"/>
          <w:sz w:val="36"/>
          <w:szCs w:val="32"/>
          <w:highlight w:val="none"/>
        </w:rPr>
      </w:pPr>
      <w:r>
        <w:rPr>
          <w:rFonts w:hint="eastAsia" w:ascii="黑体" w:hAnsi="宋体" w:eastAsia="黑体"/>
          <w:color w:val="auto"/>
          <w:sz w:val="36"/>
          <w:szCs w:val="32"/>
          <w:highlight w:val="none"/>
        </w:rPr>
        <w:t>采购代理：江苏鸿标工程项目管理有限公司</w:t>
      </w:r>
    </w:p>
    <w:p w14:paraId="3E8E2871">
      <w:pPr>
        <w:spacing w:line="360" w:lineRule="auto"/>
        <w:jc w:val="center"/>
        <w:rPr>
          <w:rFonts w:ascii="黑体" w:hAnsi="宋体" w:eastAsia="黑体"/>
          <w:color w:val="auto"/>
          <w:sz w:val="36"/>
          <w:szCs w:val="32"/>
          <w:highlight w:val="none"/>
        </w:rPr>
      </w:pPr>
      <w:r>
        <w:rPr>
          <w:rFonts w:hint="eastAsia" w:ascii="黑体" w:hAnsi="宋体" w:eastAsia="黑体"/>
          <w:color w:val="auto"/>
          <w:sz w:val="36"/>
          <w:szCs w:val="32"/>
          <w:highlight w:val="none"/>
        </w:rPr>
        <w:t>二零二</w:t>
      </w:r>
      <w:r>
        <w:rPr>
          <w:rFonts w:hint="eastAsia" w:ascii="黑体" w:hAnsi="宋体" w:eastAsia="黑体"/>
          <w:color w:val="auto"/>
          <w:sz w:val="36"/>
          <w:szCs w:val="32"/>
          <w:highlight w:val="none"/>
          <w:lang w:val="en-US" w:eastAsia="zh-CN"/>
        </w:rPr>
        <w:t>六</w:t>
      </w:r>
      <w:r>
        <w:rPr>
          <w:rFonts w:hint="eastAsia" w:ascii="黑体" w:hAnsi="宋体" w:eastAsia="黑体"/>
          <w:color w:val="auto"/>
          <w:sz w:val="36"/>
          <w:szCs w:val="32"/>
          <w:highlight w:val="none"/>
        </w:rPr>
        <w:t>年</w:t>
      </w:r>
      <w:r>
        <w:rPr>
          <w:rFonts w:hint="eastAsia" w:ascii="黑体" w:hAnsi="宋体" w:eastAsia="黑体"/>
          <w:color w:val="auto"/>
          <w:sz w:val="36"/>
          <w:szCs w:val="32"/>
          <w:highlight w:val="none"/>
          <w:lang w:val="en-US" w:eastAsia="zh-CN"/>
        </w:rPr>
        <w:t>七</w:t>
      </w:r>
      <w:r>
        <w:rPr>
          <w:rFonts w:hint="eastAsia" w:ascii="黑体" w:hAnsi="宋体" w:eastAsia="黑体"/>
          <w:color w:val="auto"/>
          <w:sz w:val="36"/>
          <w:szCs w:val="32"/>
          <w:highlight w:val="none"/>
        </w:rPr>
        <w:t>月</w:t>
      </w:r>
    </w:p>
    <w:p w14:paraId="28839A00">
      <w:pPr>
        <w:autoSpaceDE w:val="0"/>
        <w:autoSpaceDN w:val="0"/>
        <w:adjustRightInd w:val="0"/>
        <w:snapToGrid w:val="0"/>
        <w:spacing w:line="460" w:lineRule="exact"/>
        <w:jc w:val="center"/>
        <w:rPr>
          <w:rFonts w:ascii="宋体" w:hAnsi="宋体" w:cs="宋体"/>
          <w:b/>
          <w:bCs/>
          <w:color w:val="auto"/>
          <w:spacing w:val="-10"/>
          <w:sz w:val="36"/>
          <w:szCs w:val="36"/>
          <w:highlight w:val="none"/>
        </w:rPr>
        <w:sectPr>
          <w:headerReference r:id="rId3" w:type="default"/>
          <w:footerReference r:id="rId4" w:type="even"/>
          <w:pgSz w:w="11906" w:h="16838"/>
          <w:pgMar w:top="1304" w:right="1304" w:bottom="1134" w:left="1531" w:header="851" w:footer="992" w:gutter="0"/>
          <w:pgNumType w:start="0"/>
          <w:cols w:space="720" w:num="1"/>
          <w:docGrid w:linePitch="312" w:charSpace="0"/>
        </w:sectPr>
      </w:pPr>
    </w:p>
    <w:p w14:paraId="532CD038">
      <w:pPr>
        <w:pStyle w:val="149"/>
        <w:jc w:val="center"/>
        <w:rPr>
          <w:rFonts w:ascii="宋体" w:hAnsi="宋体"/>
          <w:color w:val="auto"/>
          <w:sz w:val="44"/>
          <w:szCs w:val="44"/>
          <w:highlight w:val="none"/>
        </w:rPr>
      </w:pPr>
      <w:r>
        <w:rPr>
          <w:rFonts w:hint="eastAsia" w:ascii="宋体" w:hAnsi="宋体"/>
          <w:color w:val="auto"/>
          <w:sz w:val="44"/>
          <w:szCs w:val="44"/>
          <w:highlight w:val="none"/>
          <w:lang w:val="zh-CN"/>
        </w:rPr>
        <w:t>目   录</w:t>
      </w:r>
      <w:r>
        <w:rPr>
          <w:rFonts w:ascii="宋体" w:hAnsi="宋体"/>
          <w:caps/>
          <w:color w:val="auto"/>
          <w:highlight w:val="none"/>
        </w:rPr>
        <w:fldChar w:fldCharType="begin"/>
      </w:r>
      <w:r>
        <w:rPr>
          <w:rFonts w:ascii="宋体" w:hAnsi="宋体"/>
          <w:color w:val="auto"/>
          <w:highlight w:val="none"/>
        </w:rPr>
        <w:instrText xml:space="preserve"> TOC \o "1-3" \h \z \u </w:instrText>
      </w:r>
      <w:r>
        <w:rPr>
          <w:rFonts w:ascii="宋体" w:hAnsi="宋体"/>
          <w:caps/>
          <w:color w:val="auto"/>
          <w:highlight w:val="none"/>
        </w:rPr>
        <w:fldChar w:fldCharType="separate"/>
      </w:r>
    </w:p>
    <w:p w14:paraId="20BBD2B6">
      <w:pPr>
        <w:pStyle w:val="26"/>
        <w:tabs>
          <w:tab w:val="right" w:leader="dot" w:pos="8306"/>
        </w:tabs>
        <w:spacing w:line="360" w:lineRule="auto"/>
        <w:rPr>
          <w:b w:val="0"/>
          <w:color w:val="auto"/>
          <w:kern w:val="0"/>
          <w:sz w:val="28"/>
          <w:szCs w:val="28"/>
          <w:highlight w:val="none"/>
        </w:rPr>
      </w:pPr>
      <w:r>
        <w:rPr>
          <w:rFonts w:hint="eastAsia" w:ascii="宋体" w:hAnsi="宋体" w:cs="宋体"/>
          <w:b w:val="0"/>
          <w:color w:val="auto"/>
          <w:sz w:val="28"/>
          <w:szCs w:val="28"/>
          <w:highlight w:val="none"/>
        </w:rPr>
        <w:fldChar w:fldCharType="begin"/>
      </w:r>
      <w:r>
        <w:rPr>
          <w:rFonts w:hint="eastAsia" w:ascii="宋体" w:hAnsi="宋体" w:cs="宋体"/>
          <w:b w:val="0"/>
          <w:color w:val="auto"/>
          <w:sz w:val="28"/>
          <w:szCs w:val="28"/>
          <w:highlight w:val="none"/>
        </w:rPr>
        <w:instrText xml:space="preserve">TOC \o "1-1" \h \u </w:instrText>
      </w:r>
      <w:r>
        <w:rPr>
          <w:rFonts w:hint="eastAsia" w:ascii="宋体" w:hAnsi="宋体" w:cs="宋体"/>
          <w:b w:val="0"/>
          <w:color w:val="auto"/>
          <w:sz w:val="28"/>
          <w:szCs w:val="28"/>
          <w:highlight w:val="none"/>
        </w:rPr>
        <w:fldChar w:fldCharType="separate"/>
      </w:r>
      <w:r>
        <w:rPr>
          <w:color w:val="auto"/>
          <w:highlight w:val="none"/>
        </w:rPr>
        <w:fldChar w:fldCharType="begin"/>
      </w:r>
      <w:r>
        <w:rPr>
          <w:color w:val="auto"/>
          <w:highlight w:val="none"/>
        </w:rPr>
        <w:instrText xml:space="preserve"> HYPERLINK \l "_Toc29007" </w:instrText>
      </w:r>
      <w:r>
        <w:rPr>
          <w:color w:val="auto"/>
          <w:highlight w:val="none"/>
        </w:rPr>
        <w:fldChar w:fldCharType="separate"/>
      </w:r>
      <w:r>
        <w:rPr>
          <w:b w:val="0"/>
          <w:color w:val="auto"/>
          <w:kern w:val="0"/>
          <w:sz w:val="28"/>
          <w:szCs w:val="28"/>
          <w:highlight w:val="none"/>
        </w:rPr>
        <w:t>第一章</w:t>
      </w:r>
      <w:r>
        <w:rPr>
          <w:rFonts w:hint="eastAsia"/>
          <w:b w:val="0"/>
          <w:color w:val="auto"/>
          <w:kern w:val="0"/>
          <w:sz w:val="28"/>
          <w:szCs w:val="28"/>
          <w:highlight w:val="none"/>
        </w:rPr>
        <w:t xml:space="preserve"> 招标公告</w:t>
      </w:r>
      <w:r>
        <w:rPr>
          <w:rFonts w:hint="eastAsia"/>
          <w:b w:val="0"/>
          <w:color w:val="auto"/>
          <w:kern w:val="0"/>
          <w:sz w:val="28"/>
          <w:szCs w:val="28"/>
          <w:highlight w:val="none"/>
        </w:rPr>
        <w:fldChar w:fldCharType="end"/>
      </w:r>
    </w:p>
    <w:p w14:paraId="24FEA34D">
      <w:pPr>
        <w:pStyle w:val="26"/>
        <w:tabs>
          <w:tab w:val="right" w:leader="dot" w:pos="8306"/>
        </w:tabs>
        <w:spacing w:line="360" w:lineRule="auto"/>
        <w:rPr>
          <w:b w:val="0"/>
          <w:color w:val="auto"/>
          <w:kern w:val="0"/>
          <w:sz w:val="28"/>
          <w:szCs w:val="28"/>
          <w:highlight w:val="none"/>
        </w:rPr>
      </w:pPr>
      <w:r>
        <w:rPr>
          <w:color w:val="auto"/>
          <w:highlight w:val="none"/>
        </w:rPr>
        <w:fldChar w:fldCharType="begin"/>
      </w:r>
      <w:r>
        <w:rPr>
          <w:color w:val="auto"/>
          <w:highlight w:val="none"/>
        </w:rPr>
        <w:instrText xml:space="preserve"> HYPERLINK \l "_Toc7511" </w:instrText>
      </w:r>
      <w:r>
        <w:rPr>
          <w:color w:val="auto"/>
          <w:highlight w:val="none"/>
        </w:rPr>
        <w:fldChar w:fldCharType="separate"/>
      </w:r>
      <w:r>
        <w:rPr>
          <w:rFonts w:hint="eastAsia"/>
          <w:b w:val="0"/>
          <w:color w:val="auto"/>
          <w:kern w:val="0"/>
          <w:sz w:val="28"/>
          <w:szCs w:val="28"/>
          <w:highlight w:val="none"/>
        </w:rPr>
        <w:t>第二章 供应商须知</w:t>
      </w:r>
      <w:r>
        <w:rPr>
          <w:rFonts w:hint="eastAsia"/>
          <w:b w:val="0"/>
          <w:color w:val="auto"/>
          <w:kern w:val="0"/>
          <w:sz w:val="28"/>
          <w:szCs w:val="28"/>
          <w:highlight w:val="none"/>
        </w:rPr>
        <w:fldChar w:fldCharType="end"/>
      </w:r>
    </w:p>
    <w:p w14:paraId="514CDC37">
      <w:pPr>
        <w:pStyle w:val="26"/>
        <w:tabs>
          <w:tab w:val="right" w:leader="dot" w:pos="8306"/>
        </w:tabs>
        <w:spacing w:line="360" w:lineRule="auto"/>
        <w:rPr>
          <w:b w:val="0"/>
          <w:color w:val="auto"/>
          <w:kern w:val="0"/>
          <w:sz w:val="28"/>
          <w:szCs w:val="28"/>
          <w:highlight w:val="none"/>
        </w:rPr>
      </w:pPr>
      <w:r>
        <w:rPr>
          <w:color w:val="auto"/>
          <w:highlight w:val="none"/>
        </w:rPr>
        <w:fldChar w:fldCharType="begin"/>
      </w:r>
      <w:r>
        <w:rPr>
          <w:color w:val="auto"/>
          <w:highlight w:val="none"/>
        </w:rPr>
        <w:instrText xml:space="preserve"> HYPERLINK \l "_Toc2754" </w:instrText>
      </w:r>
      <w:r>
        <w:rPr>
          <w:color w:val="auto"/>
          <w:highlight w:val="none"/>
        </w:rPr>
        <w:fldChar w:fldCharType="separate"/>
      </w:r>
      <w:r>
        <w:rPr>
          <w:rFonts w:hint="eastAsia"/>
          <w:b w:val="0"/>
          <w:color w:val="auto"/>
          <w:kern w:val="0"/>
          <w:sz w:val="28"/>
          <w:szCs w:val="28"/>
          <w:highlight w:val="none"/>
        </w:rPr>
        <w:t>第三章 评标办法和标准</w:t>
      </w:r>
      <w:r>
        <w:rPr>
          <w:rFonts w:hint="eastAsia"/>
          <w:b w:val="0"/>
          <w:color w:val="auto"/>
          <w:kern w:val="0"/>
          <w:sz w:val="28"/>
          <w:szCs w:val="28"/>
          <w:highlight w:val="none"/>
        </w:rPr>
        <w:fldChar w:fldCharType="end"/>
      </w:r>
    </w:p>
    <w:p w14:paraId="0CC84DAE">
      <w:pPr>
        <w:pStyle w:val="26"/>
        <w:tabs>
          <w:tab w:val="right" w:leader="dot" w:pos="8306"/>
        </w:tabs>
        <w:spacing w:line="360" w:lineRule="auto"/>
        <w:rPr>
          <w:b w:val="0"/>
          <w:color w:val="auto"/>
          <w:kern w:val="0"/>
          <w:sz w:val="28"/>
          <w:szCs w:val="28"/>
          <w:highlight w:val="none"/>
        </w:rPr>
      </w:pPr>
      <w:r>
        <w:rPr>
          <w:color w:val="auto"/>
          <w:highlight w:val="none"/>
        </w:rPr>
        <w:fldChar w:fldCharType="begin"/>
      </w:r>
      <w:r>
        <w:rPr>
          <w:color w:val="auto"/>
          <w:highlight w:val="none"/>
        </w:rPr>
        <w:instrText xml:space="preserve"> HYPERLINK \l "_Toc14826" </w:instrText>
      </w:r>
      <w:r>
        <w:rPr>
          <w:color w:val="auto"/>
          <w:highlight w:val="none"/>
        </w:rPr>
        <w:fldChar w:fldCharType="separate"/>
      </w:r>
      <w:r>
        <w:rPr>
          <w:rFonts w:hint="eastAsia"/>
          <w:b w:val="0"/>
          <w:color w:val="auto"/>
          <w:kern w:val="0"/>
          <w:sz w:val="28"/>
          <w:szCs w:val="28"/>
          <w:highlight w:val="none"/>
        </w:rPr>
        <w:t>第四章 采购需求</w:t>
      </w:r>
      <w:r>
        <w:rPr>
          <w:rFonts w:hint="eastAsia"/>
          <w:b w:val="0"/>
          <w:color w:val="auto"/>
          <w:kern w:val="0"/>
          <w:sz w:val="28"/>
          <w:szCs w:val="28"/>
          <w:highlight w:val="none"/>
        </w:rPr>
        <w:fldChar w:fldCharType="end"/>
      </w:r>
    </w:p>
    <w:p w14:paraId="3AF129B9">
      <w:pPr>
        <w:pStyle w:val="26"/>
        <w:tabs>
          <w:tab w:val="right" w:leader="dot" w:pos="8306"/>
        </w:tabs>
        <w:spacing w:line="360" w:lineRule="auto"/>
        <w:rPr>
          <w:b w:val="0"/>
          <w:color w:val="auto"/>
          <w:kern w:val="0"/>
          <w:sz w:val="28"/>
          <w:szCs w:val="28"/>
          <w:highlight w:val="none"/>
        </w:rPr>
      </w:pPr>
      <w:r>
        <w:rPr>
          <w:color w:val="auto"/>
          <w:highlight w:val="none"/>
        </w:rPr>
        <w:fldChar w:fldCharType="begin"/>
      </w:r>
      <w:r>
        <w:rPr>
          <w:color w:val="auto"/>
          <w:highlight w:val="none"/>
        </w:rPr>
        <w:instrText xml:space="preserve"> HYPERLINK \l "_Toc8808" </w:instrText>
      </w:r>
      <w:r>
        <w:rPr>
          <w:color w:val="auto"/>
          <w:highlight w:val="none"/>
        </w:rPr>
        <w:fldChar w:fldCharType="separate"/>
      </w:r>
      <w:r>
        <w:rPr>
          <w:rFonts w:hint="eastAsia"/>
          <w:b w:val="0"/>
          <w:color w:val="auto"/>
          <w:kern w:val="0"/>
          <w:sz w:val="28"/>
          <w:szCs w:val="28"/>
          <w:highlight w:val="none"/>
        </w:rPr>
        <w:t>第五章 合同</w:t>
      </w:r>
      <w:r>
        <w:rPr>
          <w:rFonts w:hint="eastAsia"/>
          <w:b w:val="0"/>
          <w:color w:val="auto"/>
          <w:kern w:val="0"/>
          <w:sz w:val="28"/>
          <w:szCs w:val="28"/>
          <w:highlight w:val="none"/>
        </w:rPr>
        <w:fldChar w:fldCharType="end"/>
      </w:r>
      <w:r>
        <w:rPr>
          <w:rFonts w:hint="eastAsia"/>
          <w:b w:val="0"/>
          <w:color w:val="auto"/>
          <w:kern w:val="0"/>
          <w:sz w:val="28"/>
          <w:szCs w:val="28"/>
          <w:highlight w:val="none"/>
        </w:rPr>
        <w:t>条款</w:t>
      </w:r>
    </w:p>
    <w:p w14:paraId="10182A67">
      <w:pPr>
        <w:pStyle w:val="26"/>
        <w:tabs>
          <w:tab w:val="right" w:leader="dot" w:pos="8306"/>
        </w:tabs>
        <w:spacing w:line="360" w:lineRule="auto"/>
        <w:rPr>
          <w:b w:val="0"/>
          <w:color w:val="auto"/>
          <w:sz w:val="28"/>
          <w:szCs w:val="28"/>
          <w:highlight w:val="none"/>
        </w:rPr>
      </w:pPr>
      <w:r>
        <w:rPr>
          <w:color w:val="auto"/>
          <w:highlight w:val="none"/>
        </w:rPr>
        <w:fldChar w:fldCharType="begin"/>
      </w:r>
      <w:r>
        <w:rPr>
          <w:color w:val="auto"/>
          <w:highlight w:val="none"/>
        </w:rPr>
        <w:instrText xml:space="preserve"> HYPERLINK \l "_Toc12929" </w:instrText>
      </w:r>
      <w:r>
        <w:rPr>
          <w:color w:val="auto"/>
          <w:highlight w:val="none"/>
        </w:rPr>
        <w:fldChar w:fldCharType="separate"/>
      </w:r>
      <w:r>
        <w:rPr>
          <w:rFonts w:hint="eastAsia"/>
          <w:b w:val="0"/>
          <w:color w:val="auto"/>
          <w:sz w:val="28"/>
          <w:szCs w:val="28"/>
          <w:highlight w:val="none"/>
          <w:lang w:val="zh-CN"/>
        </w:rPr>
        <w:t>第六章</w:t>
      </w:r>
      <w:r>
        <w:rPr>
          <w:rFonts w:hint="eastAsia"/>
          <w:b w:val="0"/>
          <w:color w:val="auto"/>
          <w:sz w:val="28"/>
          <w:szCs w:val="28"/>
          <w:highlight w:val="none"/>
          <w:lang w:val="en-US" w:eastAsia="zh-CN"/>
        </w:rPr>
        <w:t xml:space="preserve"> </w:t>
      </w:r>
      <w:r>
        <w:rPr>
          <w:rFonts w:hint="eastAsia"/>
          <w:b w:val="0"/>
          <w:color w:val="auto"/>
          <w:sz w:val="28"/>
          <w:szCs w:val="28"/>
          <w:highlight w:val="none"/>
          <w:lang w:val="zh-CN"/>
        </w:rPr>
        <w:t>附件</w:t>
      </w:r>
      <w:r>
        <w:rPr>
          <w:rFonts w:hint="eastAsia"/>
          <w:b w:val="0"/>
          <w:color w:val="auto"/>
          <w:sz w:val="28"/>
          <w:szCs w:val="28"/>
          <w:highlight w:val="none"/>
          <w:lang w:val="zh-CN"/>
        </w:rPr>
        <w:fldChar w:fldCharType="end"/>
      </w:r>
    </w:p>
    <w:p w14:paraId="42A4A994">
      <w:pPr>
        <w:pStyle w:val="26"/>
        <w:tabs>
          <w:tab w:val="right" w:leader="dot" w:pos="8296"/>
        </w:tabs>
        <w:rPr>
          <w:rFonts w:ascii="宋体" w:hAnsi="宋体"/>
          <w:color w:val="auto"/>
          <w:szCs w:val="28"/>
          <w:highlight w:val="none"/>
        </w:rPr>
      </w:pPr>
      <w:r>
        <w:rPr>
          <w:rFonts w:hint="eastAsia" w:ascii="宋体" w:hAnsi="宋体" w:cs="宋体"/>
          <w:b w:val="0"/>
          <w:color w:val="auto"/>
          <w:sz w:val="28"/>
          <w:szCs w:val="28"/>
          <w:highlight w:val="none"/>
        </w:rPr>
        <w:fldChar w:fldCharType="end"/>
      </w:r>
      <w:r>
        <w:rPr>
          <w:rFonts w:ascii="宋体" w:hAnsi="宋体"/>
          <w:color w:val="auto"/>
          <w:szCs w:val="28"/>
          <w:highlight w:val="none"/>
        </w:rPr>
        <w:fldChar w:fldCharType="end"/>
      </w:r>
    </w:p>
    <w:p w14:paraId="5BE02007">
      <w:pPr>
        <w:pStyle w:val="2"/>
        <w:spacing w:line="240" w:lineRule="auto"/>
        <w:jc w:val="center"/>
        <w:rPr>
          <w:color w:val="auto"/>
          <w:sz w:val="36"/>
          <w:szCs w:val="36"/>
          <w:highlight w:val="none"/>
        </w:rPr>
        <w:sectPr>
          <w:headerReference r:id="rId5" w:type="default"/>
          <w:pgSz w:w="11906" w:h="16838"/>
          <w:pgMar w:top="1440" w:right="1134" w:bottom="1440" w:left="1440" w:header="851" w:footer="992" w:gutter="0"/>
          <w:cols w:space="720" w:num="1"/>
          <w:docGrid w:linePitch="312" w:charSpace="0"/>
        </w:sectPr>
      </w:pPr>
    </w:p>
    <w:p w14:paraId="2BAEFEED">
      <w:pPr>
        <w:pStyle w:val="2"/>
        <w:tabs>
          <w:tab w:val="left" w:pos="0"/>
          <w:tab w:val="left" w:pos="3165"/>
          <w:tab w:val="center" w:pos="4153"/>
        </w:tabs>
        <w:autoSpaceDE w:val="0"/>
        <w:autoSpaceDN w:val="0"/>
        <w:adjustRightInd w:val="0"/>
        <w:spacing w:before="0" w:after="0" w:line="360" w:lineRule="auto"/>
        <w:jc w:val="center"/>
        <w:rPr>
          <w:rFonts w:ascii="宋体" w:hAnsi="宋体"/>
          <w:color w:val="auto"/>
          <w:sz w:val="36"/>
          <w:szCs w:val="36"/>
          <w:highlight w:val="none"/>
        </w:rPr>
      </w:pPr>
      <w:bookmarkStart w:id="0" w:name="_Toc28359001"/>
      <w:bookmarkStart w:id="1" w:name="_Toc35393789"/>
      <w:r>
        <w:rPr>
          <w:rFonts w:hint="eastAsia" w:ascii="宋体" w:hAnsi="宋体"/>
          <w:color w:val="auto"/>
          <w:sz w:val="36"/>
          <w:szCs w:val="36"/>
          <w:highlight w:val="none"/>
        </w:rPr>
        <w:t xml:space="preserve">第一章 </w:t>
      </w:r>
      <w:bookmarkEnd w:id="0"/>
      <w:bookmarkEnd w:id="1"/>
      <w:r>
        <w:rPr>
          <w:rFonts w:hint="eastAsia" w:ascii="宋体" w:hAnsi="宋体"/>
          <w:color w:val="auto"/>
          <w:sz w:val="36"/>
          <w:szCs w:val="36"/>
          <w:highlight w:val="none"/>
        </w:rPr>
        <w:t>招标公告</w:t>
      </w:r>
    </w:p>
    <w:p w14:paraId="01997077">
      <w:pPr>
        <w:pBdr>
          <w:top w:val="single" w:color="auto" w:sz="4" w:space="1"/>
          <w:left w:val="single" w:color="auto" w:sz="4" w:space="4"/>
          <w:bottom w:val="single" w:color="auto" w:sz="4" w:space="1"/>
          <w:right w:val="single" w:color="auto" w:sz="4" w:space="4"/>
        </w:pBdr>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项目概况</w:t>
      </w:r>
    </w:p>
    <w:p w14:paraId="01DBE599">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lang w:eastAsia="zh-CN"/>
        </w:rPr>
        <w:t>2026年南京市城市隧道土建结构定期检测项目</w:t>
      </w:r>
      <w:r>
        <w:rPr>
          <w:rFonts w:hint="eastAsia" w:ascii="宋体" w:hAnsi="宋体"/>
          <w:color w:val="auto"/>
          <w:sz w:val="24"/>
          <w:szCs w:val="24"/>
          <w:highlight w:val="none"/>
        </w:rPr>
        <w:t>项目的潜在供应商应在</w:t>
      </w:r>
      <w:r>
        <w:rPr>
          <w:rFonts w:hint="eastAsia" w:ascii="宋体" w:hAnsi="宋体"/>
          <w:color w:val="auto"/>
          <w:sz w:val="24"/>
          <w:szCs w:val="28"/>
          <w:highlight w:val="none"/>
          <w:u w:val="single"/>
        </w:rPr>
        <w:t>苏采云电子交易平台</w:t>
      </w:r>
      <w:r>
        <w:rPr>
          <w:rFonts w:ascii="宋体" w:hAnsi="宋体"/>
          <w:color w:val="auto"/>
          <w:sz w:val="24"/>
          <w:szCs w:val="28"/>
          <w:highlight w:val="none"/>
          <w:u w:val="single"/>
        </w:rPr>
        <w:t>http://jszfcg.jscz.gov.cn/jszc/Login</w:t>
      </w:r>
      <w:r>
        <w:rPr>
          <w:rFonts w:hint="eastAsia" w:ascii="宋体" w:hAnsi="宋体"/>
          <w:color w:val="auto"/>
          <w:sz w:val="24"/>
          <w:szCs w:val="24"/>
          <w:highlight w:val="none"/>
        </w:rPr>
        <w:t>获取招标文件，并于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08</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05</w:t>
      </w:r>
      <w:r>
        <w:rPr>
          <w:rFonts w:hint="eastAsia" w:ascii="宋体" w:hAnsi="宋体"/>
          <w:bCs/>
          <w:color w:val="auto"/>
          <w:sz w:val="24"/>
          <w:szCs w:val="24"/>
          <w:highlight w:val="none"/>
          <w:u w:val="single"/>
        </w:rPr>
        <w:t>日14时30分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4EF202C0">
      <w:pPr>
        <w:bidi w:val="0"/>
      </w:pPr>
      <w:r>
        <w:rPr>
          <w:rFonts w:hint="eastAsia"/>
        </w:rPr>
        <w:t>一、项目基本情况</w:t>
      </w:r>
    </w:p>
    <w:p w14:paraId="5F9D113B">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JSZC-320100-HBGL-G2026-0010</w:t>
      </w:r>
    </w:p>
    <w:p w14:paraId="51D30220">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2026年南京市城市隧道土建结构定期检测项目</w:t>
      </w:r>
    </w:p>
    <w:p w14:paraId="4DAED16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预算金额：</w:t>
      </w:r>
      <w:r>
        <w:rPr>
          <w:rFonts w:hint="eastAsia" w:ascii="宋体" w:hAnsi="宋体"/>
          <w:color w:val="auto"/>
          <w:sz w:val="24"/>
          <w:szCs w:val="24"/>
          <w:highlight w:val="none"/>
          <w:lang w:val="en-US" w:eastAsia="zh-CN"/>
        </w:rPr>
        <w:t>200</w:t>
      </w:r>
      <w:r>
        <w:rPr>
          <w:rFonts w:hint="eastAsia" w:ascii="宋体" w:hAnsi="宋体"/>
          <w:color w:val="auto"/>
          <w:sz w:val="24"/>
          <w:szCs w:val="24"/>
          <w:highlight w:val="none"/>
        </w:rPr>
        <w:t>.0000万元</w:t>
      </w:r>
    </w:p>
    <w:p w14:paraId="20048AAB">
      <w:pPr>
        <w:autoSpaceDE w:val="0"/>
        <w:autoSpaceDN w:val="0"/>
        <w:adjustRightInd w:val="0"/>
        <w:snapToGrid w:val="0"/>
        <w:spacing w:line="360" w:lineRule="auto"/>
        <w:ind w:firstLine="480" w:firstLineChars="200"/>
        <w:rPr>
          <w:rFonts w:ascii="宋体" w:hAnsi="宋体" w:cs="宋体"/>
          <w:color w:val="auto"/>
          <w:spacing w:val="-6"/>
          <w:sz w:val="24"/>
          <w:highlight w:val="none"/>
          <w:lang w:val="zh-CN"/>
        </w:rPr>
      </w:pPr>
      <w:r>
        <w:rPr>
          <w:rFonts w:hint="eastAsia" w:ascii="宋体" w:hAnsi="宋体"/>
          <w:color w:val="auto"/>
          <w:sz w:val="24"/>
          <w:szCs w:val="24"/>
          <w:highlight w:val="none"/>
        </w:rPr>
        <w:t>最高限价：</w:t>
      </w:r>
      <w:r>
        <w:rPr>
          <w:rFonts w:hint="eastAsia" w:ascii="宋体" w:hAnsi="宋体"/>
          <w:color w:val="auto"/>
          <w:sz w:val="24"/>
          <w:szCs w:val="24"/>
          <w:highlight w:val="none"/>
          <w:lang w:val="en-US" w:eastAsia="zh-CN"/>
        </w:rPr>
        <w:t>200</w:t>
      </w:r>
      <w:r>
        <w:rPr>
          <w:rFonts w:hint="eastAsia" w:ascii="宋体" w:hAnsi="宋体"/>
          <w:color w:val="auto"/>
          <w:sz w:val="24"/>
          <w:szCs w:val="24"/>
          <w:highlight w:val="none"/>
        </w:rPr>
        <w:t>.0000万元</w:t>
      </w:r>
      <w:r>
        <w:rPr>
          <w:rFonts w:hint="eastAsia" w:ascii="宋体" w:hAnsi="宋体" w:cs="宋体"/>
          <w:color w:val="auto"/>
          <w:spacing w:val="-6"/>
          <w:sz w:val="24"/>
          <w:highlight w:val="none"/>
        </w:rPr>
        <w:t>，</w:t>
      </w:r>
      <w:r>
        <w:rPr>
          <w:rFonts w:hint="eastAsia" w:ascii="宋体" w:hAnsi="宋体" w:cs="宋体"/>
          <w:color w:val="auto"/>
          <w:spacing w:val="-6"/>
          <w:sz w:val="24"/>
          <w:highlight w:val="none"/>
          <w:lang w:val="zh-CN"/>
        </w:rPr>
        <w:t>超过限价</w:t>
      </w:r>
      <w:r>
        <w:rPr>
          <w:rFonts w:hint="eastAsia" w:ascii="宋体" w:hAnsi="宋体" w:cs="宋体"/>
          <w:color w:val="auto"/>
          <w:spacing w:val="-6"/>
          <w:sz w:val="24"/>
          <w:highlight w:val="none"/>
          <w:lang w:val="en-US" w:eastAsia="zh-CN"/>
        </w:rPr>
        <w:t>为无效投标</w:t>
      </w:r>
      <w:r>
        <w:rPr>
          <w:rFonts w:hint="eastAsia" w:ascii="宋体" w:hAnsi="宋体" w:cs="宋体"/>
          <w:color w:val="auto"/>
          <w:spacing w:val="-6"/>
          <w:sz w:val="24"/>
          <w:highlight w:val="none"/>
          <w:lang w:val="zh-CN"/>
        </w:rPr>
        <w:t>。</w:t>
      </w:r>
    </w:p>
    <w:p w14:paraId="69FB236F">
      <w:pPr>
        <w:spacing w:line="360" w:lineRule="auto"/>
        <w:ind w:firstLine="480" w:firstLineChars="200"/>
        <w:rPr>
          <w:color w:val="auto"/>
          <w:highlight w:val="none"/>
        </w:rPr>
      </w:pPr>
      <w:r>
        <w:rPr>
          <w:rFonts w:hint="eastAsia" w:ascii="宋体" w:hAnsi="宋体"/>
          <w:color w:val="auto"/>
          <w:sz w:val="24"/>
          <w:szCs w:val="24"/>
          <w:highlight w:val="none"/>
        </w:rPr>
        <w:t>采购需求：</w:t>
      </w:r>
      <w:r>
        <w:rPr>
          <w:rFonts w:hint="eastAsia" w:ascii="宋体" w:hAnsi="宋体" w:eastAsia="宋体" w:cs="Times New Roman"/>
          <w:color w:val="auto"/>
          <w:sz w:val="24"/>
          <w:szCs w:val="24"/>
          <w:highlight w:val="none"/>
          <w:lang w:val="en-US" w:eastAsia="zh-CN"/>
        </w:rPr>
        <w:t>对龙江隧道、北圩隧道、江东门隧道、龙蟠路隧道、红山南路隧道、红山南路人行隧道、晓庄广场隧道、宝船厂隧道、北河口隧道、万景园隧道、绿博园隧道、奥体新城隧道</w:t>
      </w:r>
      <w:r>
        <w:rPr>
          <w:rFonts w:hint="eastAsia" w:ascii="宋体" w:hAnsi="宋体" w:eastAsia="宋体" w:cs="Times New Roman"/>
          <w:color w:val="auto"/>
          <w:sz w:val="24"/>
          <w:szCs w:val="24"/>
          <w:highlight w:val="none"/>
        </w:rPr>
        <w:t>共计</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座</w:t>
      </w:r>
      <w:r>
        <w:rPr>
          <w:rFonts w:hint="eastAsia" w:ascii="宋体" w:hAnsi="宋体" w:eastAsia="宋体" w:cs="Times New Roman"/>
          <w:color w:val="auto"/>
          <w:sz w:val="24"/>
          <w:szCs w:val="24"/>
          <w:highlight w:val="none"/>
          <w:lang w:val="en-US" w:eastAsia="zh-CN"/>
        </w:rPr>
        <w:t>隧道</w:t>
      </w:r>
      <w:r>
        <w:rPr>
          <w:rFonts w:hint="eastAsia" w:ascii="宋体" w:hAnsi="宋体" w:eastAsia="宋体" w:cs="Times New Roman"/>
          <w:color w:val="auto"/>
          <w:sz w:val="24"/>
          <w:szCs w:val="24"/>
          <w:highlight w:val="none"/>
          <w:lang w:eastAsia="zh-CN"/>
        </w:rPr>
        <w:t>土建结构</w:t>
      </w:r>
      <w:r>
        <w:rPr>
          <w:rFonts w:hint="eastAsia" w:ascii="宋体" w:hAnsi="宋体" w:eastAsia="宋体" w:cs="Times New Roman"/>
          <w:color w:val="auto"/>
          <w:sz w:val="24"/>
          <w:szCs w:val="24"/>
          <w:highlight w:val="none"/>
          <w:lang w:val="en-US" w:eastAsia="zh-CN"/>
        </w:rPr>
        <w:t>进行</w:t>
      </w:r>
      <w:r>
        <w:rPr>
          <w:rFonts w:hint="eastAsia" w:ascii="宋体" w:hAnsi="宋体" w:eastAsia="宋体" w:cs="Times New Roman"/>
          <w:color w:val="auto"/>
          <w:sz w:val="24"/>
          <w:szCs w:val="24"/>
          <w:highlight w:val="none"/>
          <w:lang w:eastAsia="zh-CN"/>
        </w:rPr>
        <w:t>定期检测</w:t>
      </w:r>
      <w:r>
        <w:rPr>
          <w:rFonts w:hint="eastAsia" w:ascii="宋体" w:hAnsi="宋体" w:eastAsia="宋体" w:cs="Times New Roman"/>
          <w:color w:val="auto"/>
          <w:sz w:val="24"/>
          <w:szCs w:val="24"/>
          <w:highlight w:val="none"/>
          <w:lang w:val="en-US" w:eastAsia="zh-CN"/>
        </w:rPr>
        <w:t>。具体工作内容及桥梁明细详见招标文件《第四章 采购需求》。</w:t>
      </w:r>
    </w:p>
    <w:p w14:paraId="3E84655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服务期：</w:t>
      </w:r>
      <w:r>
        <w:rPr>
          <w:rFonts w:hint="eastAsia" w:ascii="宋体" w:hAnsi="宋体" w:eastAsia="宋体" w:cs="Times New Roman"/>
          <w:color w:val="auto"/>
          <w:sz w:val="24"/>
          <w:szCs w:val="24"/>
          <w:highlight w:val="none"/>
        </w:rPr>
        <w:t>自合同签订之日起90日历天。</w:t>
      </w:r>
    </w:p>
    <w:p w14:paraId="7FFBDC7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本项目不接受联合体投标。</w:t>
      </w:r>
    </w:p>
    <w:p w14:paraId="18A9EE4F">
      <w:pPr>
        <w:pStyle w:val="3"/>
        <w:spacing w:line="360" w:lineRule="auto"/>
        <w:rPr>
          <w:rFonts w:cs="宋体"/>
          <w:color w:val="auto"/>
          <w:sz w:val="24"/>
          <w:szCs w:val="24"/>
          <w:highlight w:val="none"/>
        </w:rPr>
      </w:pPr>
      <w:r>
        <w:rPr>
          <w:rFonts w:hint="eastAsia" w:cs="宋体"/>
          <w:color w:val="auto"/>
          <w:sz w:val="24"/>
          <w:szCs w:val="24"/>
          <w:highlight w:val="none"/>
        </w:rPr>
        <w:t>二、供应商的资格要求</w:t>
      </w:r>
    </w:p>
    <w:p w14:paraId="301270A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lang w:eastAsia="zh-CN"/>
        </w:rPr>
        <w:t>）</w:t>
      </w:r>
      <w:r>
        <w:rPr>
          <w:rFonts w:hint="eastAsia" w:ascii="宋体" w:hAnsi="宋体"/>
          <w:color w:val="auto"/>
          <w:sz w:val="24"/>
          <w:szCs w:val="24"/>
          <w:highlight w:val="none"/>
        </w:rPr>
        <w:t>满足《中华人民共和国政府采购法》第二十二条规定；</w:t>
      </w:r>
    </w:p>
    <w:p w14:paraId="6442ABBF">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供应商提供《南京市政府采购供应商信用记录表暨信用承诺书》（格式见投标文件格式模板，原件）。</w:t>
      </w:r>
    </w:p>
    <w:p w14:paraId="358AF993">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（1）具有独立承担民事责任的能力（</w:t>
      </w:r>
      <w:r>
        <w:rPr>
          <w:rFonts w:hint="eastAsia" w:ascii="宋体" w:hAnsi="宋体" w:eastAsia="宋体" w:cs="Times New Roman"/>
          <w:color w:val="auto"/>
          <w:sz w:val="24"/>
          <w:szCs w:val="24"/>
          <w:highlight w:val="none"/>
          <w:lang w:val="en-US" w:eastAsia="zh-CN"/>
        </w:rPr>
        <w:t>提供法人或者其他组织的营业执照;投标人为自然人的，提供其身份证</w:t>
      </w:r>
      <w:r>
        <w:rPr>
          <w:rFonts w:hint="eastAsia" w:ascii="宋体" w:hAnsi="宋体" w:eastAsia="宋体" w:cs="Times New Roman"/>
          <w:color w:val="auto"/>
          <w:sz w:val="24"/>
          <w:szCs w:val="24"/>
          <w:highlight w:val="none"/>
        </w:rPr>
        <w:t>）；</w:t>
      </w:r>
    </w:p>
    <w:p w14:paraId="2308210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（2）具有良好的商业信誉和健全的财务会计制度，有依法缴纳税收和社会保障资金的良好记录（</w:t>
      </w:r>
      <w:r>
        <w:rPr>
          <w:rFonts w:hint="eastAsia" w:ascii="宋体" w:hAnsi="宋体" w:eastAsia="宋体" w:cs="Times New Roman"/>
          <w:color w:val="auto"/>
          <w:sz w:val="24"/>
          <w:szCs w:val="24"/>
          <w:highlight w:val="none"/>
          <w:lang w:val="en-US" w:eastAsia="zh-CN"/>
        </w:rPr>
        <w:t>提供2024年度或2025年度财务报表或2024年度或2025年度经审计的财务报告，或投标文件提交截止时间前一年内银行出具的资信证明，成立不满一年无需提供</w:t>
      </w:r>
      <w:r>
        <w:rPr>
          <w:rFonts w:hint="eastAsia" w:ascii="宋体" w:hAnsi="宋体" w:eastAsia="宋体" w:cs="Times New Roman"/>
          <w:color w:val="auto"/>
          <w:sz w:val="24"/>
          <w:szCs w:val="24"/>
          <w:highlight w:val="none"/>
        </w:rPr>
        <w:t>）；</w:t>
      </w:r>
    </w:p>
    <w:p w14:paraId="7636501E">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（3）具有履行合同所必需的设备和专业技术能力（</w:t>
      </w:r>
      <w:r>
        <w:rPr>
          <w:rFonts w:hint="eastAsia" w:ascii="宋体" w:hAnsi="宋体" w:eastAsia="宋体" w:cs="Times New Roman"/>
          <w:color w:val="auto"/>
          <w:sz w:val="24"/>
          <w:szCs w:val="24"/>
          <w:highlight w:val="none"/>
          <w:lang w:val="en-US" w:eastAsia="zh-CN"/>
        </w:rPr>
        <w:t>投标人根据履行采购项目合同需要，提供履行合同所必需的设备和专业技术能力的证明材料</w:t>
      </w:r>
      <w:r>
        <w:rPr>
          <w:rFonts w:hint="eastAsia" w:ascii="宋体" w:hAnsi="宋体" w:eastAsia="宋体" w:cs="Times New Roman"/>
          <w:color w:val="auto"/>
          <w:sz w:val="24"/>
          <w:szCs w:val="24"/>
          <w:highlight w:val="none"/>
        </w:rPr>
        <w:t>）；</w:t>
      </w:r>
    </w:p>
    <w:p w14:paraId="52BC2462">
      <w:pPr>
        <w:spacing w:line="360" w:lineRule="auto"/>
        <w:ind w:firstLine="480" w:firstLineChars="200"/>
        <w:rPr>
          <w:rFonts w:hint="eastAsia" w:ascii="宋体" w:hAnsi="宋体" w:eastAsia="宋体" w:cs="Times New Roman"/>
          <w:color w:val="auto"/>
          <w:sz w:val="24"/>
          <w:szCs w:val="24"/>
          <w:highlight w:val="none"/>
        </w:rPr>
      </w:pPr>
      <w:bookmarkStart w:id="2" w:name="_Hlk169006514"/>
      <w:r>
        <w:rPr>
          <w:rFonts w:hint="eastAsia" w:ascii="宋体" w:hAnsi="宋体" w:eastAsia="宋体" w:cs="Times New Roman"/>
          <w:color w:val="auto"/>
          <w:sz w:val="24"/>
          <w:szCs w:val="24"/>
          <w:highlight w:val="none"/>
        </w:rPr>
        <w:t>（4）具有依法缴纳税收和社会保障资金的良好记录</w:t>
      </w:r>
      <w:bookmarkStart w:id="3" w:name="_Hlk168994408"/>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提供参加本次政府采购活动前半年内至少一个月缴纳增值税，或营业税，或企业所得税的凭据，以及缴纳社会保险登记证，或者缴纳社会保险的凭据（专用收据，或社会保险缴纳清单）等，依法享受缓缴、免税或不需要缴纳社会保障资金的投标人应提供相关证明材料</w:t>
      </w:r>
      <w:r>
        <w:rPr>
          <w:rFonts w:hint="eastAsia" w:ascii="宋体" w:hAnsi="宋体" w:eastAsia="宋体" w:cs="Times New Roman"/>
          <w:color w:val="auto"/>
          <w:sz w:val="24"/>
          <w:szCs w:val="24"/>
          <w:highlight w:val="none"/>
        </w:rPr>
        <w:t>）</w:t>
      </w:r>
      <w:bookmarkEnd w:id="3"/>
      <w:r>
        <w:rPr>
          <w:rFonts w:hint="eastAsia" w:ascii="宋体" w:hAnsi="宋体" w:eastAsia="宋体" w:cs="Times New Roman"/>
          <w:color w:val="auto"/>
          <w:sz w:val="24"/>
          <w:szCs w:val="24"/>
          <w:highlight w:val="none"/>
        </w:rPr>
        <w:t>；</w:t>
      </w:r>
      <w:bookmarkEnd w:id="2"/>
    </w:p>
    <w:p w14:paraId="199AE1B7">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p>
    <w:p w14:paraId="358B419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（6）法律、行政法规规定的其他条件：无 </w:t>
      </w:r>
    </w:p>
    <w:p w14:paraId="066A723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二</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落实政府采购政策需满足的资格要求：供应商如为小微型企业、监狱企业、残疾人福利性单位，提供的产品为国家认定的节能产品和环保产品的须按要求提供相关材料。</w:t>
      </w:r>
    </w:p>
    <w:p w14:paraId="40A238CF">
      <w:pPr>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本项目按照以下第（</w:t>
      </w:r>
      <w:r>
        <w:rPr>
          <w:rFonts w:hint="eastAsia" w:ascii="宋体" w:hAnsi="宋体"/>
          <w:bCs/>
          <w:color w:val="auto"/>
          <w:sz w:val="24"/>
          <w:szCs w:val="24"/>
          <w:highlight w:val="none"/>
        </w:rPr>
        <w:t>4</w:t>
      </w:r>
      <w:r>
        <w:rPr>
          <w:rFonts w:ascii="宋体" w:hAnsi="宋体"/>
          <w:bCs/>
          <w:color w:val="auto"/>
          <w:sz w:val="24"/>
          <w:szCs w:val="24"/>
          <w:highlight w:val="none"/>
        </w:rPr>
        <w:t xml:space="preserve">） 种方式落实政府采购促进中小企业发展的要求： </w:t>
      </w:r>
    </w:p>
    <w:p w14:paraId="6D834B48">
      <w:pPr>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（1）本项目整体专门面向中小企业采购货物。 </w:t>
      </w:r>
    </w:p>
    <w:p w14:paraId="45DB4BC8">
      <w:pPr>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（2）本项目整体专门面向小微企业采购货物。</w:t>
      </w:r>
    </w:p>
    <w:p w14:paraId="089B6997">
      <w:pPr>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（3）本项目通过以下第（） 种方式预留部分采购份额采购中小企业货物：</w:t>
      </w:r>
    </w:p>
    <w:p w14:paraId="4B69C126">
      <w:pPr>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 ①本项目要求</w:t>
      </w:r>
      <w:r>
        <w:rPr>
          <w:rFonts w:hint="eastAsia" w:ascii="宋体" w:hAnsi="宋体"/>
          <w:bCs/>
          <w:color w:val="auto"/>
          <w:sz w:val="24"/>
          <w:szCs w:val="24"/>
          <w:highlight w:val="none"/>
        </w:rPr>
        <w:t>供应商</w:t>
      </w:r>
      <w:r>
        <w:rPr>
          <w:rFonts w:ascii="宋体" w:hAnsi="宋体"/>
          <w:bCs/>
          <w:color w:val="auto"/>
          <w:sz w:val="24"/>
          <w:szCs w:val="24"/>
          <w:highlight w:val="none"/>
        </w:rPr>
        <w:t xml:space="preserve">以联合体形式参加，中小企业合同金额应当达到的比例为_%。 </w:t>
      </w:r>
    </w:p>
    <w:p w14:paraId="63AD6748">
      <w:pPr>
        <w:spacing w:line="360" w:lineRule="auto"/>
        <w:ind w:firstLine="600" w:firstLineChars="250"/>
        <w:rPr>
          <w:rFonts w:ascii="宋体" w:hAnsi="宋体"/>
          <w:bCs/>
          <w:color w:val="auto"/>
          <w:sz w:val="24"/>
          <w:szCs w:val="24"/>
          <w:highlight w:val="none"/>
        </w:rPr>
      </w:pPr>
      <w:r>
        <w:rPr>
          <w:rFonts w:ascii="宋体" w:hAnsi="宋体"/>
          <w:bCs/>
          <w:color w:val="auto"/>
          <w:sz w:val="24"/>
          <w:szCs w:val="24"/>
          <w:highlight w:val="none"/>
        </w:rPr>
        <w:t>②本项目要求</w:t>
      </w:r>
      <w:r>
        <w:rPr>
          <w:rFonts w:hint="eastAsia" w:ascii="宋体" w:hAnsi="宋体"/>
          <w:bCs/>
          <w:color w:val="auto"/>
          <w:sz w:val="24"/>
          <w:szCs w:val="24"/>
          <w:highlight w:val="none"/>
        </w:rPr>
        <w:t>供应商</w:t>
      </w:r>
      <w:r>
        <w:rPr>
          <w:rFonts w:ascii="宋体" w:hAnsi="宋体"/>
          <w:bCs/>
          <w:color w:val="auto"/>
          <w:sz w:val="24"/>
          <w:szCs w:val="24"/>
          <w:highlight w:val="none"/>
        </w:rPr>
        <w:t xml:space="preserve">进行合同分包，中小企业合同金额应当达到的比例为_%。 </w:t>
      </w:r>
    </w:p>
    <w:p w14:paraId="4917792A">
      <w:pPr>
        <w:spacing w:line="36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（4）本项目为非预留份额的采购项目或采购包，执行价格扣除优惠政策，具体详见第三章评标办法与标准。</w:t>
      </w:r>
    </w:p>
    <w:p w14:paraId="304F433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本项目的特定资格要求：</w:t>
      </w:r>
    </w:p>
    <w:p w14:paraId="3E652933">
      <w:pPr>
        <w:spacing w:line="360" w:lineRule="auto"/>
        <w:ind w:firstLine="482" w:firstLineChars="200"/>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供应商须满足以下任一资质（须提供资质证书原件的</w:t>
      </w:r>
      <w:r>
        <w:rPr>
          <w:rFonts w:hint="eastAsia" w:ascii="宋体" w:hAnsi="宋体" w:cs="Times New Roman"/>
          <w:b/>
          <w:bCs w:val="0"/>
          <w:color w:val="auto"/>
          <w:sz w:val="24"/>
          <w:szCs w:val="24"/>
          <w:highlight w:val="none"/>
          <w:lang w:val="en-US" w:eastAsia="zh-CN"/>
        </w:rPr>
        <w:t>扫描件</w:t>
      </w:r>
      <w:r>
        <w:rPr>
          <w:rFonts w:hint="eastAsia" w:ascii="宋体" w:hAnsi="宋体" w:eastAsia="宋体" w:cs="Times New Roman"/>
          <w:b/>
          <w:bCs w:val="0"/>
          <w:color w:val="auto"/>
          <w:sz w:val="24"/>
          <w:szCs w:val="24"/>
          <w:highlight w:val="none"/>
          <w:lang w:eastAsia="zh-CN"/>
        </w:rPr>
        <w:t>加盖公章）：</w:t>
      </w:r>
    </w:p>
    <w:p w14:paraId="2CB1A61B">
      <w:pPr>
        <w:spacing w:line="360" w:lineRule="auto"/>
        <w:ind w:firstLine="482" w:firstLineChars="200"/>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（1）资质要求一：</w:t>
      </w:r>
    </w:p>
    <w:p w14:paraId="3BAC9E65">
      <w:pPr>
        <w:spacing w:line="360" w:lineRule="auto"/>
        <w:ind w:firstLine="482" w:firstLineChars="200"/>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具备交通运输行政主管部门核发的有效的公路工程综合</w:t>
      </w:r>
      <w:r>
        <w:rPr>
          <w:rFonts w:hint="eastAsia" w:ascii="宋体" w:hAnsi="宋体" w:eastAsia="宋体" w:cs="Times New Roman"/>
          <w:b/>
          <w:bCs w:val="0"/>
          <w:color w:val="auto"/>
          <w:sz w:val="24"/>
          <w:szCs w:val="24"/>
          <w:highlight w:val="none"/>
          <w:lang w:val="en-US" w:eastAsia="zh-CN"/>
        </w:rPr>
        <w:t>甲</w:t>
      </w:r>
      <w:r>
        <w:rPr>
          <w:rFonts w:hint="eastAsia" w:ascii="宋体" w:hAnsi="宋体" w:eastAsia="宋体" w:cs="Times New Roman"/>
          <w:b/>
          <w:bCs w:val="0"/>
          <w:color w:val="auto"/>
          <w:sz w:val="24"/>
          <w:szCs w:val="24"/>
          <w:highlight w:val="none"/>
          <w:lang w:eastAsia="zh-CN"/>
        </w:rPr>
        <w:t>级试验检测机构等级证书（或公路工程</w:t>
      </w:r>
      <w:r>
        <w:rPr>
          <w:rFonts w:hint="eastAsia" w:ascii="宋体" w:hAnsi="宋体" w:eastAsia="宋体" w:cs="Times New Roman"/>
          <w:b/>
          <w:bCs w:val="0"/>
          <w:color w:val="auto"/>
          <w:sz w:val="24"/>
          <w:szCs w:val="24"/>
          <w:highlight w:val="none"/>
          <w:lang w:val="en-US" w:eastAsia="zh-CN"/>
        </w:rPr>
        <w:t>甲</w:t>
      </w:r>
      <w:r>
        <w:rPr>
          <w:rFonts w:hint="eastAsia" w:ascii="宋体" w:hAnsi="宋体" w:eastAsia="宋体" w:cs="Times New Roman"/>
          <w:b/>
          <w:bCs w:val="0"/>
          <w:color w:val="auto"/>
          <w:sz w:val="24"/>
          <w:szCs w:val="24"/>
          <w:highlight w:val="none"/>
          <w:lang w:eastAsia="zh-CN"/>
        </w:rPr>
        <w:t>级</w:t>
      </w:r>
      <w:r>
        <w:rPr>
          <w:rFonts w:hint="eastAsia" w:ascii="宋体" w:hAnsi="宋体" w:cs="Times New Roman"/>
          <w:b/>
          <w:bCs w:val="0"/>
          <w:color w:val="auto"/>
          <w:sz w:val="24"/>
          <w:szCs w:val="24"/>
          <w:highlight w:val="none"/>
          <w:lang w:val="en-US" w:eastAsia="zh-CN"/>
        </w:rPr>
        <w:t>质量</w:t>
      </w:r>
      <w:r>
        <w:rPr>
          <w:rFonts w:hint="eastAsia" w:ascii="宋体" w:hAnsi="宋体" w:eastAsia="宋体" w:cs="Times New Roman"/>
          <w:b/>
          <w:bCs w:val="0"/>
          <w:color w:val="auto"/>
          <w:sz w:val="24"/>
          <w:szCs w:val="24"/>
          <w:highlight w:val="none"/>
          <w:lang w:eastAsia="zh-CN"/>
        </w:rPr>
        <w:t>检测机构资质证书）</w:t>
      </w:r>
      <w:r>
        <w:rPr>
          <w:rFonts w:hint="eastAsia" w:ascii="宋体" w:hAnsi="宋体" w:eastAsia="宋体" w:cs="Times New Roman"/>
          <w:b/>
          <w:bCs w:val="0"/>
          <w:color w:val="auto"/>
          <w:sz w:val="24"/>
          <w:szCs w:val="24"/>
          <w:highlight w:val="none"/>
          <w:lang w:val="en-US" w:eastAsia="zh-CN"/>
        </w:rPr>
        <w:t>或</w:t>
      </w:r>
      <w:r>
        <w:rPr>
          <w:rFonts w:hint="eastAsia" w:ascii="宋体" w:hAnsi="宋体" w:eastAsia="宋体" w:cs="Times New Roman"/>
          <w:b/>
          <w:bCs w:val="0"/>
          <w:color w:val="auto"/>
          <w:sz w:val="24"/>
          <w:szCs w:val="24"/>
          <w:highlight w:val="none"/>
          <w:lang w:eastAsia="zh-CN"/>
        </w:rPr>
        <w:t>桥梁隧道工程专项试验检测机构等级证书（或公路工程桥梁隧道工程</w:t>
      </w:r>
      <w:r>
        <w:rPr>
          <w:rFonts w:hint="eastAsia" w:ascii="宋体" w:hAnsi="宋体" w:cs="Times New Roman"/>
          <w:b/>
          <w:bCs w:val="0"/>
          <w:color w:val="auto"/>
          <w:sz w:val="24"/>
          <w:szCs w:val="24"/>
          <w:highlight w:val="none"/>
          <w:lang w:val="en-US" w:eastAsia="zh-CN"/>
        </w:rPr>
        <w:t>质量</w:t>
      </w:r>
      <w:r>
        <w:rPr>
          <w:rFonts w:hint="eastAsia" w:ascii="宋体" w:hAnsi="宋体" w:eastAsia="宋体" w:cs="Times New Roman"/>
          <w:b/>
          <w:bCs w:val="0"/>
          <w:color w:val="auto"/>
          <w:sz w:val="24"/>
          <w:szCs w:val="24"/>
          <w:highlight w:val="none"/>
          <w:lang w:eastAsia="zh-CN"/>
        </w:rPr>
        <w:t>检测机构资质证书）；</w:t>
      </w:r>
    </w:p>
    <w:p w14:paraId="18E29401">
      <w:pPr>
        <w:spacing w:line="360" w:lineRule="auto"/>
        <w:ind w:firstLine="482" w:firstLineChars="200"/>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（2）资质要求二</w:t>
      </w:r>
      <w:r>
        <w:rPr>
          <w:rFonts w:hint="eastAsia" w:ascii="宋体" w:hAnsi="宋体" w:cs="Times New Roman"/>
          <w:b/>
          <w:bCs w:val="0"/>
          <w:color w:val="auto"/>
          <w:sz w:val="24"/>
          <w:szCs w:val="24"/>
          <w:highlight w:val="none"/>
          <w:lang w:eastAsia="zh-CN"/>
        </w:rPr>
        <w:t>（</w:t>
      </w:r>
      <w:r>
        <w:rPr>
          <w:rFonts w:hint="eastAsia" w:ascii="宋体" w:hAnsi="宋体" w:eastAsia="宋体" w:cs="宋体"/>
          <w:b/>
          <w:bCs/>
          <w:color w:val="auto"/>
          <w:spacing w:val="9"/>
          <w:sz w:val="24"/>
          <w:szCs w:val="24"/>
          <w:highlight w:val="none"/>
          <w:lang w:eastAsia="zh-CN"/>
        </w:rPr>
        <w:t>住建</w:t>
      </w:r>
      <w:r>
        <w:rPr>
          <w:rFonts w:hint="eastAsia" w:ascii="宋体" w:hAnsi="宋体" w:eastAsia="宋体" w:cs="宋体"/>
          <w:b/>
          <w:bCs/>
          <w:color w:val="auto"/>
          <w:spacing w:val="9"/>
          <w:sz w:val="24"/>
          <w:szCs w:val="24"/>
          <w:highlight w:val="none"/>
          <w:lang w:val="en-US" w:eastAsia="zh-CN"/>
        </w:rPr>
        <w:t>原</w:t>
      </w:r>
      <w:r>
        <w:rPr>
          <w:rFonts w:hint="eastAsia" w:ascii="宋体" w:hAnsi="宋体" w:eastAsia="宋体" w:cs="宋体"/>
          <w:b/>
          <w:bCs/>
          <w:color w:val="auto"/>
          <w:spacing w:val="9"/>
          <w:sz w:val="24"/>
          <w:szCs w:val="24"/>
          <w:highlight w:val="none"/>
          <w:lang w:eastAsia="zh-CN"/>
        </w:rPr>
        <w:t>版资质</w:t>
      </w:r>
      <w:r>
        <w:rPr>
          <w:rFonts w:hint="eastAsia" w:ascii="宋体" w:hAnsi="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lang w:eastAsia="zh-CN"/>
        </w:rPr>
        <w:t>：</w:t>
      </w:r>
    </w:p>
    <w:p w14:paraId="605FEC5A">
      <w:pPr>
        <w:spacing w:line="360" w:lineRule="auto"/>
        <w:ind w:firstLine="482" w:firstLineChars="200"/>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①具备建设主管部门颁发的有效的《建设工程质量检测机构资质证书》（原资质证书核定项目至少包括：</w:t>
      </w:r>
      <w:r>
        <w:rPr>
          <w:rFonts w:hint="eastAsia" w:ascii="宋体" w:hAnsi="宋体" w:cs="Times New Roman"/>
          <w:b/>
          <w:bCs w:val="0"/>
          <w:color w:val="auto"/>
          <w:sz w:val="24"/>
          <w:szCs w:val="24"/>
          <w:highlight w:val="none"/>
          <w:lang w:val="en-US" w:eastAsia="zh-CN"/>
        </w:rPr>
        <w:t>见证取样、市政</w:t>
      </w:r>
      <w:r>
        <w:rPr>
          <w:rFonts w:hint="eastAsia" w:ascii="宋体" w:hAnsi="宋体" w:eastAsia="宋体" w:cs="Times New Roman"/>
          <w:b/>
          <w:bCs w:val="0"/>
          <w:color w:val="auto"/>
          <w:sz w:val="24"/>
          <w:szCs w:val="24"/>
          <w:highlight w:val="none"/>
          <w:lang w:val="en-US" w:eastAsia="zh-CN"/>
        </w:rPr>
        <w:t>工程</w:t>
      </w:r>
      <w:r>
        <w:rPr>
          <w:rFonts w:hint="eastAsia" w:ascii="宋体" w:hAnsi="宋体" w:cs="Times New Roman"/>
          <w:b/>
          <w:bCs w:val="0"/>
          <w:color w:val="auto"/>
          <w:sz w:val="24"/>
          <w:szCs w:val="24"/>
          <w:highlight w:val="none"/>
          <w:lang w:val="en-US" w:eastAsia="zh-CN"/>
        </w:rPr>
        <w:t>检测</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lang w:val="en-US" w:eastAsia="zh-CN"/>
        </w:rPr>
        <w:t>备案类</w:t>
      </w:r>
      <w:r>
        <w:rPr>
          <w:rFonts w:hint="eastAsia" w:ascii="宋体" w:hAnsi="宋体" w:eastAsia="宋体" w:cs="Times New Roman"/>
          <w:b/>
          <w:bCs w:val="0"/>
          <w:color w:val="auto"/>
          <w:sz w:val="24"/>
          <w:szCs w:val="24"/>
          <w:highlight w:val="none"/>
          <w:lang w:eastAsia="zh-CN"/>
        </w:rPr>
        <w:t>）；原资质证书已经到期的提供延长资质有效期的证明材料）；</w:t>
      </w:r>
    </w:p>
    <w:p w14:paraId="1C27A4C5">
      <w:pPr>
        <w:spacing w:line="360" w:lineRule="auto"/>
        <w:ind w:firstLine="482" w:firstLineChars="200"/>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lang w:val="en-US" w:eastAsia="zh-CN"/>
        </w:rPr>
        <w:t>②</w:t>
      </w:r>
      <w:r>
        <w:rPr>
          <w:rFonts w:hint="eastAsia" w:ascii="宋体" w:hAnsi="宋体" w:eastAsia="宋体" w:cs="Times New Roman"/>
          <w:b/>
          <w:bCs w:val="0"/>
          <w:color w:val="auto"/>
          <w:sz w:val="24"/>
          <w:szCs w:val="24"/>
          <w:highlight w:val="none"/>
          <w:lang w:eastAsia="zh-CN"/>
        </w:rPr>
        <w:t>具备建设行政主管部门颁发的有效的建设工程质量检测机构备案证书。</w:t>
      </w:r>
    </w:p>
    <w:p w14:paraId="2763EFAF">
      <w:pPr>
        <w:spacing w:line="360" w:lineRule="auto"/>
        <w:ind w:firstLine="482" w:firstLineChars="200"/>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w:t>
      </w:r>
      <w:r>
        <w:rPr>
          <w:rFonts w:hint="eastAsia" w:ascii="宋体" w:hAnsi="宋体" w:cs="Times New Roman"/>
          <w:b/>
          <w:bCs w:val="0"/>
          <w:color w:val="auto"/>
          <w:sz w:val="24"/>
          <w:szCs w:val="24"/>
          <w:highlight w:val="none"/>
          <w:lang w:val="en-US" w:eastAsia="zh-CN"/>
        </w:rPr>
        <w:t>3</w:t>
      </w:r>
      <w:r>
        <w:rPr>
          <w:rFonts w:hint="eastAsia" w:ascii="宋体" w:hAnsi="宋体" w:eastAsia="宋体" w:cs="Times New Roman"/>
          <w:b/>
          <w:bCs w:val="0"/>
          <w:color w:val="auto"/>
          <w:sz w:val="24"/>
          <w:szCs w:val="24"/>
          <w:highlight w:val="none"/>
          <w:lang w:eastAsia="zh-CN"/>
        </w:rPr>
        <w:t>）资质要求</w:t>
      </w:r>
      <w:r>
        <w:rPr>
          <w:rFonts w:hint="eastAsia" w:ascii="宋体" w:hAnsi="宋体" w:cs="Times New Roman"/>
          <w:b/>
          <w:bCs w:val="0"/>
          <w:color w:val="auto"/>
          <w:sz w:val="24"/>
          <w:szCs w:val="24"/>
          <w:highlight w:val="none"/>
          <w:lang w:val="en-US" w:eastAsia="zh-CN"/>
        </w:rPr>
        <w:t>三（</w:t>
      </w:r>
      <w:r>
        <w:rPr>
          <w:rFonts w:hint="eastAsia" w:ascii="宋体" w:hAnsi="宋体" w:eastAsia="宋体" w:cs="宋体"/>
          <w:b/>
          <w:bCs/>
          <w:color w:val="auto"/>
          <w:spacing w:val="9"/>
          <w:sz w:val="24"/>
          <w:szCs w:val="24"/>
          <w:highlight w:val="none"/>
          <w:lang w:eastAsia="zh-CN"/>
        </w:rPr>
        <w:t>住建</w:t>
      </w:r>
      <w:r>
        <w:rPr>
          <w:rFonts w:hint="eastAsia" w:ascii="宋体" w:hAnsi="宋体" w:cs="宋体"/>
          <w:b/>
          <w:bCs/>
          <w:color w:val="auto"/>
          <w:spacing w:val="9"/>
          <w:sz w:val="24"/>
          <w:szCs w:val="24"/>
          <w:highlight w:val="none"/>
          <w:lang w:val="en-US" w:eastAsia="zh-CN"/>
        </w:rPr>
        <w:t>新</w:t>
      </w:r>
      <w:r>
        <w:rPr>
          <w:rFonts w:hint="eastAsia" w:ascii="宋体" w:hAnsi="宋体" w:eastAsia="宋体" w:cs="宋体"/>
          <w:b/>
          <w:bCs/>
          <w:color w:val="auto"/>
          <w:spacing w:val="9"/>
          <w:sz w:val="24"/>
          <w:szCs w:val="24"/>
          <w:highlight w:val="none"/>
          <w:lang w:eastAsia="zh-CN"/>
        </w:rPr>
        <w:t>版资质</w:t>
      </w:r>
      <w:r>
        <w:rPr>
          <w:rFonts w:hint="eastAsia" w:ascii="宋体" w:hAnsi="宋体" w:cs="Times New Roman"/>
          <w:b/>
          <w:bCs w:val="0"/>
          <w:color w:val="auto"/>
          <w:sz w:val="24"/>
          <w:szCs w:val="24"/>
          <w:highlight w:val="none"/>
          <w:lang w:val="en-US" w:eastAsia="zh-CN"/>
        </w:rPr>
        <w:t>）</w:t>
      </w:r>
      <w:r>
        <w:rPr>
          <w:rFonts w:hint="eastAsia" w:ascii="宋体" w:hAnsi="宋体" w:eastAsia="宋体" w:cs="Times New Roman"/>
          <w:b/>
          <w:bCs w:val="0"/>
          <w:color w:val="auto"/>
          <w:sz w:val="24"/>
          <w:szCs w:val="24"/>
          <w:highlight w:val="none"/>
          <w:lang w:eastAsia="zh-CN"/>
        </w:rPr>
        <w:t>：</w:t>
      </w:r>
    </w:p>
    <w:p w14:paraId="32B23F4B">
      <w:pPr>
        <w:autoSpaceDE w:val="0"/>
        <w:autoSpaceDN w:val="0"/>
        <w:adjustRightInd w:val="0"/>
        <w:snapToGrid w:val="0"/>
        <w:spacing w:line="360" w:lineRule="auto"/>
        <w:ind w:firstLine="482" w:firstLineChars="200"/>
        <w:rPr>
          <w:rFonts w:hint="eastAsia" w:ascii="宋体" w:hAnsi="宋体" w:cs="宋体"/>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具备建设主管部门颁发的有效的《建设工程质量检测机构资质证书》综合资质或建设主管部门颁发的有效的《建设工程质量检测机构资质证书》（新资质证书检测专项至少包括</w:t>
      </w:r>
      <w:r>
        <w:rPr>
          <w:rFonts w:hint="eastAsia" w:ascii="宋体" w:hAnsi="宋体" w:eastAsia="宋体" w:cs="Times New Roman"/>
          <w:b/>
          <w:bCs w:val="0"/>
          <w:color w:val="auto"/>
          <w:sz w:val="24"/>
          <w:szCs w:val="24"/>
          <w:highlight w:val="none"/>
          <w:lang w:val="en-US" w:eastAsia="zh-CN"/>
        </w:rPr>
        <w:t>桥梁与地下</w:t>
      </w:r>
      <w:r>
        <w:rPr>
          <w:rFonts w:hint="eastAsia" w:ascii="宋体" w:hAnsi="宋体" w:eastAsia="宋体" w:cs="Times New Roman"/>
          <w:b/>
          <w:bCs w:val="0"/>
          <w:color w:val="auto"/>
          <w:sz w:val="24"/>
          <w:szCs w:val="24"/>
          <w:highlight w:val="none"/>
          <w:lang w:eastAsia="zh-CN"/>
        </w:rPr>
        <w:t>工程）</w:t>
      </w:r>
      <w:r>
        <w:rPr>
          <w:rFonts w:hint="eastAsia" w:ascii="宋体" w:hAnsi="宋体" w:cs="Times New Roman"/>
          <w:b/>
          <w:bCs w:val="0"/>
          <w:color w:val="auto"/>
          <w:sz w:val="24"/>
          <w:szCs w:val="24"/>
          <w:highlight w:val="none"/>
          <w:lang w:eastAsia="zh-CN"/>
        </w:rPr>
        <w:t>。</w:t>
      </w:r>
    </w:p>
    <w:p w14:paraId="1E75D3F5">
      <w:pPr>
        <w:autoSpaceDE w:val="0"/>
        <w:autoSpaceDN w:val="0"/>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拒绝下述供应商参加本次采购活动（提供加盖公章的承诺书）：</w:t>
      </w:r>
    </w:p>
    <w:p w14:paraId="22D8F649">
      <w:pPr>
        <w:autoSpaceDE w:val="0"/>
        <w:autoSpaceDN w:val="0"/>
        <w:adjustRightInd w:val="0"/>
        <w:snapToGrid w:val="0"/>
        <w:spacing w:line="360" w:lineRule="auto"/>
        <w:ind w:firstLine="480" w:firstLineChars="200"/>
        <w:rPr>
          <w:color w:val="auto"/>
          <w:sz w:val="24"/>
          <w:highlight w:val="none"/>
        </w:rPr>
      </w:pPr>
      <w:r>
        <w:rPr>
          <w:rFonts w:hint="eastAsia" w:ascii="宋体" w:hAnsi="宋体" w:cs="宋体"/>
          <w:color w:val="auto"/>
          <w:sz w:val="24"/>
          <w:szCs w:val="24"/>
          <w:highlight w:val="none"/>
        </w:rPr>
        <w:t>（1）供应商单位负责人为同一人或者存在直接控股、管理关系的不同供应商，不得参加同一合同项下的政府采购活动；</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（2）除单一来源采购项目外，</w:t>
      </w:r>
      <w:r>
        <w:rPr>
          <w:color w:val="auto"/>
          <w:sz w:val="24"/>
          <w:highlight w:val="none"/>
        </w:rPr>
        <w:t>为采购项目提供整体设计、规范编制或者项目管理、监理、检测等服务的供应商，不得再参加该采购项目的其他采购活动</w:t>
      </w:r>
      <w:r>
        <w:rPr>
          <w:rFonts w:hint="eastAsia"/>
          <w:color w:val="auto"/>
          <w:sz w:val="24"/>
          <w:highlight w:val="none"/>
        </w:rPr>
        <w:t>；</w:t>
      </w:r>
      <w:r>
        <w:rPr>
          <w:rFonts w:hint="eastAsia"/>
          <w:color w:val="auto"/>
          <w:sz w:val="24"/>
          <w:highlight w:val="none"/>
        </w:rPr>
        <w:br w:type="textWrapping"/>
      </w:r>
      <w:r>
        <w:rPr>
          <w:rFonts w:hint="eastAsia"/>
          <w:color w:val="auto"/>
          <w:sz w:val="24"/>
          <w:highlight w:val="none"/>
        </w:rPr>
        <w:t xml:space="preserve">    （3）供应商被“信用中国”网站（www.creditchina.gov.cn）、“中国政府采购网”(www.ccgp.gov.cn)列入失信被执行人、重大税收违法案件当事人名单、政府采购严重违法失信行为记录名单；</w:t>
      </w:r>
      <w:r>
        <w:rPr>
          <w:rFonts w:hint="eastAsia"/>
          <w:color w:val="auto"/>
          <w:sz w:val="24"/>
          <w:highlight w:val="none"/>
        </w:rPr>
        <w:br w:type="textWrapping"/>
      </w:r>
      <w:r>
        <w:rPr>
          <w:rFonts w:hint="eastAsia"/>
          <w:color w:val="auto"/>
          <w:sz w:val="24"/>
          <w:highlight w:val="none"/>
        </w:rPr>
        <w:t xml:space="preserve">    （4）未提供《南京市政府采购供应商信用记录表暨信用承诺书》。</w:t>
      </w:r>
    </w:p>
    <w:p w14:paraId="61585135">
      <w:pPr>
        <w:pStyle w:val="3"/>
        <w:spacing w:line="360" w:lineRule="auto"/>
        <w:rPr>
          <w:rFonts w:cs="宋体"/>
          <w:color w:val="auto"/>
          <w:sz w:val="24"/>
          <w:szCs w:val="24"/>
          <w:highlight w:val="none"/>
        </w:rPr>
      </w:pPr>
      <w:r>
        <w:rPr>
          <w:rFonts w:hint="eastAsia" w:cs="宋体"/>
          <w:color w:val="auto"/>
          <w:sz w:val="24"/>
          <w:szCs w:val="24"/>
          <w:highlight w:val="none"/>
        </w:rPr>
        <w:t>三、获取招标文件</w:t>
      </w:r>
    </w:p>
    <w:p w14:paraId="100A8EA4">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时间：公告发布之日起5个工作日（北京时间）</w:t>
      </w:r>
    </w:p>
    <w:p w14:paraId="413A5C17">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获取方式：</w:t>
      </w:r>
    </w:p>
    <w:p w14:paraId="0125A32E">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1、潜在</w:t>
      </w:r>
      <w:r>
        <w:rPr>
          <w:rFonts w:hint="eastAsia" w:ascii="宋体" w:hAnsi="宋体"/>
          <w:color w:val="auto"/>
          <w:sz w:val="24"/>
          <w:szCs w:val="28"/>
          <w:highlight w:val="none"/>
          <w:lang w:val="en-US" w:eastAsia="zh-CN"/>
        </w:rPr>
        <w:t>供应商</w:t>
      </w:r>
      <w:r>
        <w:rPr>
          <w:rFonts w:hint="eastAsia" w:ascii="宋体" w:hAnsi="宋体"/>
          <w:color w:val="auto"/>
          <w:sz w:val="24"/>
          <w:szCs w:val="28"/>
          <w:highlight w:val="none"/>
        </w:rPr>
        <w:t>访问电子招标投标交易平台的网络地址和方法：</w:t>
      </w:r>
    </w:p>
    <w:p w14:paraId="1A24B07E">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（1）登录http：//jszfcg.jscz.gov.cn/jszc/login首页点击“苏采云”进入系统。</w:t>
      </w:r>
    </w:p>
    <w:p w14:paraId="2B8870B4">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（2）获取招标文件的方式：“苏采云”系统用户注册--获取“CA数字证书”--CA绑定与登录--网上报名--下载招标文件(后缀名为.kedt”)。</w:t>
      </w:r>
    </w:p>
    <w:p w14:paraId="01940184">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2、“CA数字证书”的获取：</w:t>
      </w:r>
      <w:r>
        <w:rPr>
          <w:rFonts w:hint="eastAsia" w:ascii="宋体" w:hAnsi="宋体"/>
          <w:color w:val="auto"/>
          <w:sz w:val="24"/>
          <w:szCs w:val="28"/>
          <w:highlight w:val="none"/>
          <w:lang w:val="en-US" w:eastAsia="zh-CN"/>
        </w:rPr>
        <w:t>供应商</w:t>
      </w:r>
      <w:r>
        <w:rPr>
          <w:rFonts w:hint="eastAsia" w:ascii="宋体" w:hAnsi="宋体"/>
          <w:color w:val="auto"/>
          <w:sz w:val="24"/>
          <w:szCs w:val="28"/>
          <w:highlight w:val="none"/>
        </w:rPr>
        <w:t>需办理CA锁，“苏采云”系统目前仅支持“苏采云”系统下的江苏省电子政务证书认证中心CA（由江苏意源科技有限公司提供服务），电子签章为方正国际软件（北京）有限公司，省内各地区办理的“苏采云”系统下的CA全省通用。</w:t>
      </w:r>
    </w:p>
    <w:p w14:paraId="21876751">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3、招标文件(后缀名为“.kedt”)、供应商操作手册及政府采购客户端工具可通过“苏采云”系统--已报名项目--报名详情页面内相应链接进行下载；供应商操作手册及政府采购客户端工具。</w:t>
      </w:r>
    </w:p>
    <w:p w14:paraId="737815FD">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4、采购代理机构将数据电文形式的招标文件加载至电子招标投标交易平台，供潜在</w:t>
      </w:r>
      <w:r>
        <w:rPr>
          <w:rFonts w:hint="eastAsia" w:ascii="宋体" w:hAnsi="宋体"/>
          <w:color w:val="auto"/>
          <w:sz w:val="24"/>
          <w:szCs w:val="28"/>
          <w:highlight w:val="none"/>
          <w:lang w:val="en-US" w:eastAsia="zh-CN"/>
        </w:rPr>
        <w:t>供应商</w:t>
      </w:r>
      <w:r>
        <w:rPr>
          <w:rFonts w:hint="eastAsia" w:ascii="宋体" w:hAnsi="宋体"/>
          <w:color w:val="auto"/>
          <w:sz w:val="24"/>
          <w:szCs w:val="28"/>
          <w:highlight w:val="none"/>
        </w:rPr>
        <w:t>下载或者查阅，各</w:t>
      </w:r>
      <w:r>
        <w:rPr>
          <w:rFonts w:hint="eastAsia" w:ascii="宋体" w:hAnsi="宋体"/>
          <w:color w:val="auto"/>
          <w:sz w:val="24"/>
          <w:szCs w:val="28"/>
          <w:highlight w:val="none"/>
          <w:lang w:val="en-US" w:eastAsia="zh-CN"/>
        </w:rPr>
        <w:t>供应商</w:t>
      </w:r>
      <w:r>
        <w:rPr>
          <w:rFonts w:hint="eastAsia" w:ascii="宋体" w:hAnsi="宋体"/>
          <w:color w:val="auto"/>
          <w:sz w:val="24"/>
          <w:szCs w:val="28"/>
          <w:highlight w:val="none"/>
        </w:rPr>
        <w:t>应在规定的时间内完成招标文件的下载，逾期可能会造成招标文件无法下载以及投标</w:t>
      </w:r>
      <w:r>
        <w:rPr>
          <w:rFonts w:hint="eastAsia" w:ascii="宋体" w:hAnsi="宋体"/>
          <w:color w:val="auto"/>
          <w:sz w:val="24"/>
          <w:szCs w:val="28"/>
          <w:highlight w:val="none"/>
          <w:lang w:eastAsia="zh-CN"/>
        </w:rPr>
        <w:t>投标文件</w:t>
      </w:r>
      <w:r>
        <w:rPr>
          <w:rFonts w:hint="eastAsia" w:ascii="宋体" w:hAnsi="宋体"/>
          <w:color w:val="auto"/>
          <w:sz w:val="24"/>
          <w:szCs w:val="28"/>
          <w:highlight w:val="none"/>
        </w:rPr>
        <w:t>无法上传的情形，由此导致的后果由各</w:t>
      </w:r>
      <w:r>
        <w:rPr>
          <w:rFonts w:hint="eastAsia" w:ascii="宋体" w:hAnsi="宋体"/>
          <w:color w:val="auto"/>
          <w:sz w:val="24"/>
          <w:szCs w:val="28"/>
          <w:highlight w:val="none"/>
          <w:lang w:val="en-US" w:eastAsia="zh-CN"/>
        </w:rPr>
        <w:t>供应商</w:t>
      </w:r>
      <w:r>
        <w:rPr>
          <w:rFonts w:hint="eastAsia" w:ascii="宋体" w:hAnsi="宋体"/>
          <w:color w:val="auto"/>
          <w:sz w:val="24"/>
          <w:szCs w:val="28"/>
          <w:highlight w:val="none"/>
        </w:rPr>
        <w:t>自行承担。</w:t>
      </w:r>
    </w:p>
    <w:p w14:paraId="757CA940">
      <w:pPr>
        <w:spacing w:line="360" w:lineRule="auto"/>
        <w:ind w:firstLine="540"/>
        <w:rPr>
          <w:rFonts w:ascii="宋体" w:hAnsi="宋体" w:cs="宋体"/>
          <w:b/>
          <w:bCs/>
          <w:color w:val="auto"/>
          <w:sz w:val="24"/>
          <w:szCs w:val="24"/>
          <w:highlight w:val="none"/>
          <w:u w:val="single"/>
        </w:rPr>
      </w:pPr>
      <w:r>
        <w:rPr>
          <w:rFonts w:hint="eastAsia" w:ascii="宋体" w:hAnsi="宋体"/>
          <w:color w:val="auto"/>
          <w:sz w:val="24"/>
          <w:szCs w:val="28"/>
          <w:highlight w:val="none"/>
        </w:rPr>
        <w:t>5、采购文件售价：</w:t>
      </w:r>
      <w:r>
        <w:rPr>
          <w:rFonts w:hint="eastAsia" w:cs="宋体"/>
          <w:color w:val="auto"/>
          <w:sz w:val="24"/>
          <w:szCs w:val="24"/>
          <w:highlight w:val="none"/>
        </w:rPr>
        <w:t>免费</w:t>
      </w:r>
      <w:r>
        <w:rPr>
          <w:rFonts w:hint="eastAsia" w:ascii="宋体" w:hAnsi="宋体"/>
          <w:color w:val="auto"/>
          <w:sz w:val="24"/>
          <w:szCs w:val="28"/>
          <w:highlight w:val="none"/>
        </w:rPr>
        <w:t>。</w:t>
      </w:r>
    </w:p>
    <w:p w14:paraId="233FE58E">
      <w:pPr>
        <w:pStyle w:val="3"/>
        <w:spacing w:line="360" w:lineRule="auto"/>
        <w:rPr>
          <w:rFonts w:cs="宋体"/>
          <w:color w:val="auto"/>
          <w:sz w:val="24"/>
          <w:szCs w:val="24"/>
          <w:highlight w:val="none"/>
        </w:rPr>
      </w:pPr>
      <w:r>
        <w:rPr>
          <w:rFonts w:hint="eastAsia" w:cs="宋体"/>
          <w:color w:val="auto"/>
          <w:sz w:val="24"/>
          <w:szCs w:val="24"/>
          <w:highlight w:val="none"/>
        </w:rPr>
        <w:t>四、提交投标文件截止时间、开标时间和地点</w:t>
      </w:r>
    </w:p>
    <w:p w14:paraId="0D218489">
      <w:pPr>
        <w:spacing w:line="360" w:lineRule="auto"/>
        <w:ind w:firstLine="480" w:firstLineChars="200"/>
        <w:rPr>
          <w:rFonts w:ascii="宋体" w:hAnsi="宋体" w:cs="宋体"/>
          <w:iCs/>
          <w:color w:val="auto"/>
          <w:sz w:val="24"/>
          <w:szCs w:val="24"/>
          <w:highlight w:val="none"/>
          <w:u w:val="single"/>
        </w:rPr>
      </w:pPr>
      <w:r>
        <w:rPr>
          <w:rFonts w:hint="eastAsia" w:cs="宋体"/>
          <w:color w:val="auto"/>
          <w:sz w:val="24"/>
          <w:szCs w:val="24"/>
          <w:highlight w:val="none"/>
        </w:rPr>
        <w:t>提交投标文件截止时间：</w:t>
      </w:r>
      <w:r>
        <w:rPr>
          <w:rFonts w:hint="eastAsia" w:ascii="宋体" w:hAnsi="宋体"/>
          <w:bCs/>
          <w:color w:val="auto"/>
          <w:sz w:val="24"/>
          <w:szCs w:val="24"/>
          <w:highlight w:val="none"/>
          <w:u w:val="single"/>
        </w:rPr>
        <w:t>202</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08</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05</w:t>
      </w:r>
      <w:r>
        <w:rPr>
          <w:rFonts w:hint="eastAsia" w:ascii="宋体" w:hAnsi="宋体"/>
          <w:bCs/>
          <w:color w:val="auto"/>
          <w:sz w:val="24"/>
          <w:szCs w:val="24"/>
          <w:highlight w:val="none"/>
          <w:u w:val="single"/>
        </w:rPr>
        <w:t>日14时30分</w:t>
      </w:r>
      <w:r>
        <w:rPr>
          <w:rFonts w:hint="eastAsia" w:ascii="宋体" w:hAnsi="宋体"/>
          <w:bCs/>
          <w:color w:val="auto"/>
          <w:sz w:val="24"/>
          <w:szCs w:val="24"/>
          <w:highlight w:val="none"/>
        </w:rPr>
        <w:t>（北京时间），</w:t>
      </w:r>
      <w:r>
        <w:rPr>
          <w:rFonts w:hint="eastAsia" w:ascii="宋体" w:hAnsi="宋体"/>
          <w:color w:val="auto"/>
          <w:sz w:val="24"/>
          <w:highlight w:val="none"/>
        </w:rPr>
        <w:t>在截止时间后送达及上传至“苏采云”系统的投标文件为无效文件，将被拒收。</w:t>
      </w:r>
    </w:p>
    <w:p w14:paraId="691C6405">
      <w:pPr>
        <w:spacing w:line="360" w:lineRule="auto"/>
        <w:ind w:firstLine="480" w:firstLineChars="200"/>
        <w:rPr>
          <w:rFonts w:ascii="宋体" w:hAnsi="宋体" w:cs="宋体"/>
          <w:iCs/>
          <w:color w:val="auto"/>
          <w:sz w:val="24"/>
          <w:szCs w:val="24"/>
          <w:highlight w:val="none"/>
          <w:u w:val="single"/>
        </w:rPr>
      </w:pPr>
      <w:r>
        <w:rPr>
          <w:rFonts w:hint="eastAsia" w:ascii="宋体" w:hAnsi="宋体"/>
          <w:color w:val="auto"/>
          <w:sz w:val="24"/>
          <w:szCs w:val="24"/>
          <w:highlight w:val="none"/>
        </w:rPr>
        <w:t>开标时间：</w:t>
      </w:r>
      <w:r>
        <w:rPr>
          <w:rFonts w:hint="eastAsia" w:ascii="宋体" w:hAnsi="宋体"/>
          <w:bCs/>
          <w:color w:val="auto"/>
          <w:sz w:val="24"/>
          <w:szCs w:val="24"/>
          <w:highlight w:val="none"/>
          <w:u w:val="single"/>
        </w:rPr>
        <w:t>202</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08</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05</w:t>
      </w:r>
      <w:r>
        <w:rPr>
          <w:rFonts w:hint="eastAsia" w:ascii="宋体" w:hAnsi="宋体"/>
          <w:bCs/>
          <w:color w:val="auto"/>
          <w:sz w:val="24"/>
          <w:szCs w:val="24"/>
          <w:highlight w:val="none"/>
          <w:u w:val="single"/>
        </w:rPr>
        <w:t>日14时30分</w:t>
      </w:r>
      <w:r>
        <w:rPr>
          <w:rFonts w:hint="eastAsia" w:ascii="宋体" w:hAnsi="宋体"/>
          <w:bCs/>
          <w:color w:val="auto"/>
          <w:sz w:val="24"/>
          <w:szCs w:val="24"/>
          <w:highlight w:val="none"/>
        </w:rPr>
        <w:t>（北京时间）；</w:t>
      </w:r>
    </w:p>
    <w:p w14:paraId="677A5BCD">
      <w:pPr>
        <w:spacing w:line="360" w:lineRule="auto"/>
        <w:ind w:firstLine="480"/>
        <w:rPr>
          <w:rFonts w:ascii="宋体" w:hAnsi="宋体"/>
          <w:color w:val="auto"/>
          <w:sz w:val="24"/>
          <w:highlight w:val="none"/>
        </w:rPr>
      </w:pPr>
      <w:r>
        <w:rPr>
          <w:rFonts w:hint="eastAsia" w:ascii="宋体" w:hAnsi="宋体"/>
          <w:color w:val="auto"/>
          <w:sz w:val="24"/>
          <w:highlight w:val="none"/>
        </w:rPr>
        <w:t>线上地点：将后缀名为“.kedt”的投标文件导入政府采购客户端工具--制作投标文件--导出加密的投标文件(后缀名为zip) --通过“苏采云”系统上传投标文件。具体详见《江苏省政府采购管理交易系统(苏采云)供应商操作手册》。</w:t>
      </w:r>
    </w:p>
    <w:p w14:paraId="68658A1D">
      <w:pPr>
        <w:spacing w:line="360" w:lineRule="auto"/>
        <w:ind w:firstLine="480"/>
        <w:rPr>
          <w:rFonts w:ascii="宋体" w:hAnsi="宋体"/>
          <w:color w:val="auto"/>
          <w:sz w:val="24"/>
          <w:highlight w:val="none"/>
        </w:rPr>
      </w:pPr>
      <w:r>
        <w:rPr>
          <w:rFonts w:hint="eastAsia" w:ascii="宋体" w:hAnsi="宋体"/>
          <w:color w:val="auto"/>
          <w:sz w:val="24"/>
          <w:highlight w:val="none"/>
        </w:rPr>
        <w:t>开标地点：“苏采云”系统（网址：http：//jszfcg.jsczt.cn/）“开标大厅”进入系统“开标大厅”。（苏采云系统使用稳定谷歌浏览器（100版本以下）或360安全浏览器（极速模式）参与不见面开标。）</w:t>
      </w:r>
    </w:p>
    <w:p w14:paraId="076E443F">
      <w:pPr>
        <w:spacing w:line="360" w:lineRule="auto"/>
        <w:ind w:firstLine="480"/>
        <w:rPr>
          <w:rFonts w:ascii="宋体" w:hAnsi="宋体"/>
          <w:color w:val="auto"/>
          <w:sz w:val="24"/>
          <w:highlight w:val="none"/>
        </w:rPr>
      </w:pPr>
      <w:r>
        <w:rPr>
          <w:rFonts w:hint="eastAsia" w:ascii="宋体" w:hAnsi="宋体"/>
          <w:color w:val="auto"/>
          <w:sz w:val="24"/>
          <w:highlight w:val="none"/>
        </w:rPr>
        <w:t>本项目采用远程不见面交易模式，通过不见面交易系统及相应的配套硬件设备（摄像头、话筒、麦克风等）完成远程解密、开标现场异议及回复、开标唱标等交互环节。</w:t>
      </w:r>
    </w:p>
    <w:p w14:paraId="2977969E">
      <w:pPr>
        <w:spacing w:line="360" w:lineRule="auto"/>
        <w:ind w:firstLine="480"/>
        <w:rPr>
          <w:rFonts w:ascii="宋体" w:hAnsi="宋体"/>
          <w:color w:val="auto"/>
          <w:sz w:val="24"/>
          <w:highlight w:val="none"/>
        </w:rPr>
      </w:pPr>
      <w:r>
        <w:rPr>
          <w:rFonts w:hint="eastAsia" w:ascii="宋体" w:hAnsi="宋体"/>
          <w:color w:val="auto"/>
          <w:sz w:val="24"/>
          <w:highlight w:val="none"/>
        </w:rPr>
        <w:t>不见面交易相关要求和说明如下：</w:t>
      </w:r>
    </w:p>
    <w:p w14:paraId="4C14A472">
      <w:pPr>
        <w:spacing w:line="360" w:lineRule="auto"/>
        <w:ind w:firstLine="480"/>
        <w:rPr>
          <w:rFonts w:ascii="宋体" w:hAnsi="宋体"/>
          <w:color w:val="auto"/>
          <w:sz w:val="24"/>
          <w:highlight w:val="none"/>
        </w:rPr>
      </w:pPr>
      <w:r>
        <w:rPr>
          <w:rFonts w:hint="eastAsia" w:ascii="宋体" w:hAnsi="宋体"/>
          <w:color w:val="auto"/>
          <w:sz w:val="24"/>
          <w:highlight w:val="none"/>
        </w:rPr>
        <w:t>（1）不见面开标项目的时间均以国家授时中心发布的时间为准；</w:t>
      </w:r>
    </w:p>
    <w:p w14:paraId="7D7F0DEB">
      <w:pPr>
        <w:spacing w:line="360" w:lineRule="auto"/>
        <w:ind w:firstLine="480"/>
        <w:rPr>
          <w:rFonts w:ascii="宋体" w:hAnsi="宋体"/>
          <w:color w:val="auto"/>
          <w:sz w:val="24"/>
          <w:highlight w:val="none"/>
        </w:rPr>
      </w:pPr>
      <w:r>
        <w:rPr>
          <w:rFonts w:hint="eastAsia" w:ascii="宋体" w:hAnsi="宋体"/>
          <w:color w:val="auto"/>
          <w:sz w:val="24"/>
          <w:highlight w:val="none"/>
        </w:rPr>
        <w:t>（2）开标当日，</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不必抵达开标现场，仅需在任意地点通过“苏采云”系统（网址：http：//jszfcg.jsczt.cn/）“开标大厅”进入系统“开标大厅”参与开标过程；</w:t>
      </w:r>
    </w:p>
    <w:p w14:paraId="46DEB5E4">
      <w:pPr>
        <w:spacing w:line="360" w:lineRule="auto"/>
        <w:ind w:firstLine="480"/>
        <w:rPr>
          <w:rFonts w:ascii="宋体" w:hAnsi="宋体"/>
          <w:color w:val="auto"/>
          <w:sz w:val="24"/>
          <w:highlight w:val="none"/>
        </w:rPr>
      </w:pPr>
      <w:r>
        <w:rPr>
          <w:rFonts w:hint="eastAsia" w:ascii="宋体" w:hAnsi="宋体"/>
          <w:color w:val="auto"/>
          <w:sz w:val="24"/>
          <w:highlight w:val="none"/>
        </w:rPr>
        <w:t>（3）未按时加入开标会议区并完成登录操作的或未能在开标会议区内全程参与交互的，视为放弃交互和放弃对开评标全过程提疑的权利，</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将无法看到解密指令、异议回复、唱标等实时情况，并承担由此导致的一切后果；</w:t>
      </w:r>
    </w:p>
    <w:p w14:paraId="2690E6A6">
      <w:pPr>
        <w:spacing w:line="360" w:lineRule="auto"/>
        <w:ind w:firstLine="480"/>
        <w:rPr>
          <w:rFonts w:ascii="宋体" w:hAnsi="宋体"/>
          <w:color w:val="auto"/>
          <w:sz w:val="24"/>
          <w:highlight w:val="none"/>
        </w:rPr>
      </w:pPr>
      <w:r>
        <w:rPr>
          <w:rFonts w:hint="eastAsia" w:ascii="宋体" w:hAnsi="宋体"/>
          <w:color w:val="auto"/>
          <w:sz w:val="24"/>
          <w:highlight w:val="none"/>
        </w:rPr>
        <w:t>（4）投标文件递交截止时间后，采购人或采购代理机构将在系统内公布</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名单然后通过开标会议区发出投标文件解密的指令，</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在各自地点按规定时间自行实施远程解密，</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解密限定在投标截止时间后30分钟之间完成。因</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撤销其投标文件；因网上平台发生故障，导致无法按时完成投标文件解密或开、评标工作无法进行的，可根据实际情况相应延迟解密时间或调整开、评标时间（友情提示：若</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已领取副锁（含多把副锁）请注意正副锁的使用差别）。本项目在限定的解密时间内，只要有一家</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解密成功，即视为网上招投标平台运行无故障。</w:t>
      </w:r>
    </w:p>
    <w:p w14:paraId="312DC5F6">
      <w:pPr>
        <w:spacing w:line="360" w:lineRule="auto"/>
        <w:ind w:firstLine="480" w:firstLineChars="200"/>
        <w:rPr>
          <w:rFonts w:ascii="宋体" w:hAnsi="宋体" w:cs="宋体"/>
          <w:color w:val="auto"/>
          <w:sz w:val="24"/>
          <w:szCs w:val="24"/>
          <w:highlight w:val="none"/>
        </w:rPr>
      </w:pPr>
      <w:r>
        <w:rPr>
          <w:rFonts w:hint="eastAsia" w:ascii="宋体" w:hAnsi="宋体"/>
          <w:color w:val="auto"/>
          <w:sz w:val="24"/>
          <w:highlight w:val="none"/>
        </w:rPr>
        <w:t>（5）因</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自身软硬件配备不齐全或发生故障等问题而导致在交互过程中出现不稳定或中断等情况的，由</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自身承担一切后果。</w:t>
      </w:r>
    </w:p>
    <w:p w14:paraId="63C6EC36">
      <w:pPr>
        <w:pStyle w:val="3"/>
        <w:spacing w:line="360" w:lineRule="auto"/>
        <w:rPr>
          <w:rFonts w:cs="宋体"/>
          <w:color w:val="auto"/>
          <w:sz w:val="24"/>
          <w:szCs w:val="24"/>
          <w:highlight w:val="none"/>
        </w:rPr>
      </w:pPr>
      <w:r>
        <w:rPr>
          <w:rFonts w:hint="eastAsia" w:cs="宋体"/>
          <w:color w:val="auto"/>
          <w:sz w:val="24"/>
          <w:szCs w:val="24"/>
          <w:highlight w:val="none"/>
        </w:rPr>
        <w:t>五、公告期限</w:t>
      </w:r>
    </w:p>
    <w:p w14:paraId="4F5BE44F">
      <w:pPr>
        <w:spacing w:line="360" w:lineRule="auto"/>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14:paraId="453ADB9E">
      <w:pPr>
        <w:pStyle w:val="3"/>
        <w:spacing w:line="360" w:lineRule="auto"/>
        <w:rPr>
          <w:rFonts w:cs="宋体"/>
          <w:color w:val="auto"/>
          <w:sz w:val="24"/>
          <w:szCs w:val="24"/>
          <w:highlight w:val="none"/>
        </w:rPr>
      </w:pPr>
      <w:r>
        <w:rPr>
          <w:rFonts w:hint="eastAsia" w:cs="宋体"/>
          <w:color w:val="auto"/>
          <w:sz w:val="24"/>
          <w:szCs w:val="24"/>
          <w:highlight w:val="none"/>
        </w:rPr>
        <w:t>六、其他补充事宜</w:t>
      </w:r>
    </w:p>
    <w:p w14:paraId="41A3F7C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6.1、供应商诚信档案注册登记管理</w:t>
      </w:r>
    </w:p>
    <w:p w14:paraId="041FABD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凡参加政府采购活动的供应商，应当事先登陆“信用南京”（www.njcredit.gov.cn）或“南京公共采购信息网”（https://njgc.jfh.com/）“政府采购供应商诚信档案”栏目进行注册登记。由于特殊原因未及时注册的供应商可先行获取采购文件，但必须在提交投标（响应）文件截止日2天前办理登记注册手续。</w:t>
      </w:r>
    </w:p>
    <w:p w14:paraId="72EF969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2、供应商申请网上注册应当按以下程序进行：</w:t>
      </w:r>
    </w:p>
    <w:p w14:paraId="4923466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（1）登陆“信用南京”（www.njcredit.gov.cn）或“南京公共采购信息网”（https://njgc.jfh.com/）网站，点击“南京政府采购供应商诚信档案管理系统”图标，在弹出的用户登录界面，点击“新用户注册”；</w:t>
      </w:r>
    </w:p>
    <w:p w14:paraId="19E18A7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（2）在“新用户注册”界面，供应商自行设置用户名、登录密码，如实填写《南京市政府采购供应商诚信档案注册登记表》，并进行信用承诺确认后，提交注册申请；</w:t>
      </w:r>
    </w:p>
    <w:p w14:paraId="0EDBB04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（3）系统审核后，供应商即可登录系统进行相关功能操作。</w:t>
      </w:r>
    </w:p>
    <w:p w14:paraId="33B8130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6.2、采购项目需要落实的政府采购政策：</w:t>
      </w:r>
    </w:p>
    <w:p w14:paraId="77DBB83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（1）政府采购促进中小企业发展</w:t>
      </w:r>
    </w:p>
    <w:p w14:paraId="533798C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（2）政府采购支持监狱企业发展</w:t>
      </w:r>
    </w:p>
    <w:p w14:paraId="7C8C72C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（3）政府采购促进残疾人就业</w:t>
      </w:r>
    </w:p>
    <w:p w14:paraId="4F2495F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（4）政府采购鼓励采购节能环保产品</w:t>
      </w:r>
    </w:p>
    <w:p w14:paraId="7F479BEC">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olor w:val="auto"/>
          <w:sz w:val="24"/>
          <w:szCs w:val="24"/>
          <w:highlight w:val="none"/>
        </w:rPr>
        <w:t>6.3、</w:t>
      </w:r>
      <w:r>
        <w:rPr>
          <w:rFonts w:hint="eastAsia" w:ascii="宋体" w:hAnsi="宋体" w:cs="宋体"/>
          <w:color w:val="auto"/>
          <w:sz w:val="24"/>
          <w:szCs w:val="24"/>
          <w:highlight w:val="none"/>
        </w:rPr>
        <w:t>根据《关于在政府采购活动中推行信用承诺制的通知》宁财购通〔2021〕5号规定，参加南京地区政府采购活动的</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，应向采购人或政府采购代理机构作出信用承诺。信用承诺以《南京市政府采购</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信用记录表暨信用承诺书》体现。</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应尽早做好承诺书</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工作，点击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南京公共采购信息网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首页（https://njgc.jfh.com/）</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南京市政府采购</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诚信档案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系统链接打开系统页面（http://180.101.238.212:8280/hodeframe2018_cxda/index.action;jsessionid=769BA9C8E1729422E7173B991C8EC1E5）登录（未注册的投标人应先点击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投标人注册点这里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并按要求完成注册），然后在“信用记录”模块页面点击“信用记录打印”下载本单位信用记录表，</w:t>
      </w:r>
      <w:r>
        <w:rPr>
          <w:rFonts w:hint="eastAsia" w:ascii="宋体" w:hAnsi="宋体" w:cs="宋体"/>
          <w:b/>
          <w:bCs/>
          <w:color w:val="auto"/>
          <w:sz w:val="24"/>
          <w:szCs w:val="24"/>
          <w:highlight w:val="none"/>
        </w:rPr>
        <w:t>由法</w:t>
      </w:r>
      <w:r>
        <w:rPr>
          <w:rFonts w:hint="eastAsia" w:ascii="宋体" w:hAnsi="宋体" w:cs="宋体"/>
          <w:b/>
          <w:bCs/>
          <w:color w:val="auto"/>
          <w:sz w:val="24"/>
          <w:szCs w:val="24"/>
          <w:highlight w:val="none"/>
          <w:lang w:val="en-US" w:eastAsia="zh-CN"/>
        </w:rPr>
        <w:t>定代表</w:t>
      </w:r>
      <w:r>
        <w:rPr>
          <w:rFonts w:hint="eastAsia" w:ascii="宋体" w:hAnsi="宋体" w:cs="宋体"/>
          <w:b/>
          <w:bCs/>
          <w:color w:val="auto"/>
          <w:sz w:val="24"/>
          <w:szCs w:val="24"/>
          <w:highlight w:val="none"/>
        </w:rPr>
        <w:t>人签字并</w:t>
      </w:r>
      <w:r>
        <w:rPr>
          <w:rFonts w:hint="eastAsia" w:ascii="宋体" w:hAnsi="宋体" w:cs="宋体"/>
          <w:b/>
          <w:bCs/>
          <w:color w:val="auto"/>
          <w:sz w:val="24"/>
          <w:szCs w:val="24"/>
          <w:highlight w:val="none"/>
          <w:lang w:val="en-US" w:eastAsia="zh-CN"/>
        </w:rPr>
        <w:t>加</w:t>
      </w:r>
      <w:r>
        <w:rPr>
          <w:rFonts w:hint="eastAsia" w:ascii="宋体" w:hAnsi="宋体" w:cs="宋体"/>
          <w:b/>
          <w:bCs/>
          <w:color w:val="auto"/>
          <w:sz w:val="24"/>
          <w:szCs w:val="24"/>
          <w:highlight w:val="none"/>
        </w:rPr>
        <w:t>盖单位公章。</w:t>
      </w:r>
      <w:r>
        <w:rPr>
          <w:rFonts w:hint="eastAsia" w:ascii="宋体" w:hAnsi="宋体" w:cs="宋体"/>
          <w:color w:val="auto"/>
          <w:sz w:val="24"/>
          <w:szCs w:val="24"/>
          <w:highlight w:val="none"/>
        </w:rPr>
        <w:t>信用记录表电子扫描件上传到</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文件指定位置。未按要求提供信用记录表的，响应文件将按照无效处理。</w:t>
      </w:r>
    </w:p>
    <w:p w14:paraId="4B16C499">
      <w:pPr>
        <w:pageBreakBefore w:val="0"/>
        <w:tabs>
          <w:tab w:val="left" w:pos="900"/>
        </w:tabs>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投标人仅提供信用承诺书而未提供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二、申请人的资格要求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第</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款</w:t>
      </w:r>
      <w:r>
        <w:rPr>
          <w:rFonts w:hint="eastAsia" w:ascii="宋体" w:hAnsi="宋体" w:cs="宋体"/>
          <w:color w:val="auto"/>
          <w:sz w:val="24"/>
          <w:szCs w:val="24"/>
          <w:highlight w:val="none"/>
        </w:rPr>
        <w:t>中涉及的证明材料的，须在中标后另行提供上述由信用承诺书替代的证明材料扫描件提交</w:t>
      </w:r>
      <w:r>
        <w:rPr>
          <w:rFonts w:hint="eastAsia" w:ascii="宋体" w:hAnsi="宋体" w:cs="宋体"/>
          <w:color w:val="auto"/>
          <w:sz w:val="24"/>
          <w:szCs w:val="24"/>
          <w:highlight w:val="none"/>
          <w:lang w:val="en-US" w:eastAsia="zh-CN"/>
        </w:rPr>
        <w:t>给</w:t>
      </w:r>
      <w:r>
        <w:rPr>
          <w:rFonts w:hint="eastAsia" w:ascii="宋体" w:hAnsi="宋体" w:cs="宋体"/>
          <w:color w:val="auto"/>
          <w:sz w:val="24"/>
          <w:szCs w:val="24"/>
          <w:highlight w:val="none"/>
        </w:rPr>
        <w:t>采购人或采购代理机构核验。经核验无误后，由采购人或采购代理机构发出中标通知书。</w:t>
      </w:r>
    </w:p>
    <w:p w14:paraId="4EDDB624">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在政府采购资格审查环节，投标人只需提供《南京市政府采购</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信用记录表暨信用承诺书》，即可替代以下证明材料：</w:t>
      </w:r>
    </w:p>
    <w:p w14:paraId="6DACA3AD">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（1）符合国家相关规定的财务状况报告；</w:t>
      </w:r>
    </w:p>
    <w:p w14:paraId="556EF27D">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（2）依法缴纳税收的证明材料；</w:t>
      </w:r>
    </w:p>
    <w:p w14:paraId="0332E8F2">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（3）依法缴纳社会保障资金的证明材料；</w:t>
      </w:r>
    </w:p>
    <w:p w14:paraId="7A0585ED">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（4）具备履行政府采购合同所必需的设备和专业技术能力的证明材料；</w:t>
      </w:r>
    </w:p>
    <w:p w14:paraId="1D4DA1D4">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（5）参加政府采购活动前三年内在经营活动中没有重大违法记录的证明材料。</w:t>
      </w:r>
    </w:p>
    <w:p w14:paraId="05DBF7F7">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投标人涉及以下情形的，不适用信用承诺，仍须提供上述证明材料：</w:t>
      </w:r>
    </w:p>
    <w:p w14:paraId="11A1A51E">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（1）投标人被列入严重失信主体名单；</w:t>
      </w:r>
    </w:p>
    <w:p w14:paraId="1A9D7584">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（2）被相关监管部门作出行政处罚且尚在处罚有效期内；</w:t>
      </w:r>
    </w:p>
    <w:p w14:paraId="58B54967">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（3）其他法律、行政法规规定的不适用信用承诺的情形。</w:t>
      </w:r>
    </w:p>
    <w:p w14:paraId="0DA620B8">
      <w:pPr>
        <w:pageBreakBefore w:val="0"/>
        <w:kinsoku/>
        <w:wordWrap/>
        <w:overflowPunct/>
        <w:topLinePunct w:val="0"/>
        <w:autoSpaceDE/>
        <w:autoSpaceDN/>
        <w:bidi w:val="0"/>
        <w:adjustRightInd/>
        <w:snapToGrid/>
        <w:spacing w:line="460" w:lineRule="exact"/>
        <w:ind w:firstLine="480"/>
        <w:jc w:val="left"/>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投标人对信用承诺内容的真实性、合法性、有效性负责。如作出虚假信用承诺，视同为“提供虚假材料谋取中标、成交”的违法行为。</w:t>
      </w:r>
    </w:p>
    <w:p w14:paraId="20B36249">
      <w:pPr>
        <w:spacing w:line="360" w:lineRule="auto"/>
        <w:ind w:firstLine="480"/>
        <w:rPr>
          <w:rFonts w:ascii="宋体" w:hAnsi="宋体" w:cs="宋体"/>
          <w:b/>
          <w:color w:val="auto"/>
          <w:sz w:val="24"/>
          <w:szCs w:val="24"/>
          <w:highlight w:val="none"/>
        </w:rPr>
      </w:pPr>
      <w:r>
        <w:rPr>
          <w:rFonts w:hint="eastAsia" w:ascii="宋体" w:hAnsi="宋体" w:cs="宋体"/>
          <w:b/>
          <w:color w:val="auto"/>
          <w:sz w:val="24"/>
          <w:szCs w:val="24"/>
          <w:highlight w:val="none"/>
        </w:rPr>
        <w:t>6.4、本项目仅接受本国产品。</w:t>
      </w:r>
    </w:p>
    <w:p w14:paraId="722466C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6.5.集中考察现场及答疑时间、地点：</w:t>
      </w:r>
      <w:r>
        <w:rPr>
          <w:rFonts w:hint="eastAsia" w:ascii="宋体" w:hAnsi="宋体" w:cs="宋体"/>
          <w:color w:val="auto"/>
          <w:sz w:val="24"/>
          <w:szCs w:val="24"/>
          <w:highlight w:val="none"/>
          <w:lang w:val="en-US" w:eastAsia="zh-CN"/>
        </w:rPr>
        <w:t>本项目不组织</w:t>
      </w:r>
      <w:r>
        <w:rPr>
          <w:rFonts w:hint="eastAsia" w:ascii="宋体" w:hAnsi="宋体" w:cs="宋体"/>
          <w:color w:val="auto"/>
          <w:sz w:val="24"/>
          <w:szCs w:val="24"/>
          <w:highlight w:val="none"/>
        </w:rPr>
        <w:t>。</w:t>
      </w:r>
    </w:p>
    <w:p w14:paraId="157E727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6.6公告媒体</w:t>
      </w:r>
    </w:p>
    <w:p w14:paraId="58ECC7D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（1）本公告在江苏省政府采购网（http://www.ccgp-jiangsu.gov.cn/）和南京公共采购信息网（https://njgc.jfh.com/）公示发布，敬请各供应商关注；</w:t>
      </w:r>
    </w:p>
    <w:p w14:paraId="5F33474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（2）若有关本次采购存在变动或修改，敬请各供应商及时关注江苏省政府采购网（http://www.ccgp-jiangsu.gov.cn/）和南京公共采购信息网（https://njgc.jfh.com/）发布的关于本项目的信息更正公告。</w:t>
      </w:r>
    </w:p>
    <w:p w14:paraId="0A692254">
      <w:pPr>
        <w:spacing w:line="360" w:lineRule="auto"/>
        <w:ind w:firstLine="480"/>
        <w:rPr>
          <w:rFonts w:ascii="宋体" w:hAnsi="宋体" w:cs="宋体"/>
          <w:color w:val="auto"/>
          <w:sz w:val="24"/>
          <w:szCs w:val="28"/>
          <w:highlight w:val="none"/>
        </w:rPr>
      </w:pPr>
      <w:r>
        <w:rPr>
          <w:rFonts w:hint="eastAsia" w:ascii="宋体" w:hAnsi="宋体" w:cs="宋体"/>
          <w:color w:val="auto"/>
          <w:sz w:val="24"/>
          <w:szCs w:val="24"/>
          <w:highlight w:val="none"/>
        </w:rPr>
        <w:t>6.7</w:t>
      </w:r>
      <w:r>
        <w:rPr>
          <w:rFonts w:hint="eastAsia" w:ascii="宋体" w:hAnsi="宋体" w:cs="宋体"/>
          <w:color w:val="auto"/>
          <w:sz w:val="24"/>
          <w:szCs w:val="28"/>
          <w:highlight w:val="none"/>
        </w:rPr>
        <w:t>“CA数字证书”的获取</w:t>
      </w:r>
    </w:p>
    <w:p w14:paraId="666EA50B">
      <w:pPr>
        <w:spacing w:line="360" w:lineRule="auto"/>
        <w:ind w:firstLine="480"/>
        <w:rPr>
          <w:rFonts w:ascii="宋体" w:hAnsi="宋体" w:cs="宋体"/>
          <w:color w:val="auto"/>
          <w:sz w:val="24"/>
          <w:szCs w:val="28"/>
          <w:highlight w:val="none"/>
        </w:rPr>
      </w:pPr>
      <w:r>
        <w:rPr>
          <w:rFonts w:hint="eastAsia" w:ascii="宋体" w:hAnsi="宋体"/>
          <w:color w:val="auto"/>
          <w:sz w:val="24"/>
          <w:szCs w:val="28"/>
          <w:highlight w:val="none"/>
          <w:lang w:val="en-US" w:eastAsia="zh-CN"/>
        </w:rPr>
        <w:t>供应商</w:t>
      </w:r>
      <w:r>
        <w:rPr>
          <w:rFonts w:hint="eastAsia" w:ascii="宋体" w:hAnsi="宋体" w:cs="宋体"/>
          <w:color w:val="auto"/>
          <w:sz w:val="24"/>
          <w:szCs w:val="28"/>
          <w:highlight w:val="none"/>
        </w:rPr>
        <w:t>需办理CA锁，“苏采云”系统目前仅支持“苏采云”系统下的政务CA（意源CA）、方正签章，省内各地区办理的“苏采云”系统下的政务CA（意源CA）、方正签章全省通用。（办理指南网址：</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Fonts w:hint="eastAsia" w:ascii="宋体" w:hAnsi="宋体" w:cs="宋体"/>
          <w:color w:val="auto"/>
          <w:sz w:val="24"/>
          <w:szCs w:val="28"/>
          <w:highlight w:val="none"/>
        </w:rPr>
        <w:t>http://jsxcmm.com/help/help.html</w:t>
      </w:r>
      <w:r>
        <w:rPr>
          <w:rFonts w:hint="eastAsia" w:ascii="宋体" w:hAnsi="宋体" w:cs="宋体"/>
          <w:color w:val="auto"/>
          <w:sz w:val="24"/>
          <w:szCs w:val="28"/>
          <w:highlight w:val="none"/>
        </w:rPr>
        <w:fldChar w:fldCharType="end"/>
      </w:r>
      <w:r>
        <w:rPr>
          <w:rFonts w:hint="eastAsia" w:ascii="宋体" w:hAnsi="宋体" w:cs="宋体"/>
          <w:color w:val="auto"/>
          <w:sz w:val="24"/>
          <w:szCs w:val="28"/>
          <w:highlight w:val="none"/>
        </w:rPr>
        <w:t>）</w:t>
      </w:r>
    </w:p>
    <w:p w14:paraId="6BD88DC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8"/>
          <w:highlight w:val="none"/>
        </w:rPr>
        <w:t>“苏采云”系统供应商操作指南详见江苏省政府采购网—办事指南—资料下载《江苏省政府采购管理交易系统 (苏采云)供应商操作指南》。</w:t>
      </w:r>
    </w:p>
    <w:p w14:paraId="6DEC8BFD">
      <w:pPr>
        <w:pStyle w:val="3"/>
        <w:spacing w:line="360" w:lineRule="auto"/>
        <w:rPr>
          <w:rFonts w:cs="宋体"/>
          <w:color w:val="auto"/>
          <w:sz w:val="24"/>
          <w:szCs w:val="24"/>
          <w:highlight w:val="none"/>
        </w:rPr>
      </w:pPr>
      <w:r>
        <w:rPr>
          <w:rFonts w:hint="eastAsia" w:cs="宋体"/>
          <w:color w:val="auto"/>
          <w:sz w:val="24"/>
          <w:szCs w:val="24"/>
          <w:highlight w:val="none"/>
        </w:rPr>
        <w:t>七、对本次招标提出询问，请按</w:t>
      </w:r>
      <w:r>
        <w:rPr>
          <w:rFonts w:cs="宋体"/>
          <w:color w:val="auto"/>
          <w:sz w:val="24"/>
          <w:szCs w:val="24"/>
          <w:highlight w:val="none"/>
        </w:rPr>
        <w:t>以下方式</w:t>
      </w:r>
      <w:r>
        <w:rPr>
          <w:rFonts w:hint="eastAsia" w:cs="宋体"/>
          <w:color w:val="auto"/>
          <w:sz w:val="24"/>
          <w:szCs w:val="24"/>
          <w:highlight w:val="none"/>
        </w:rPr>
        <w:t>联系</w:t>
      </w:r>
    </w:p>
    <w:p w14:paraId="2F76736D">
      <w:pPr>
        <w:widowControl/>
        <w:spacing w:line="440" w:lineRule="exact"/>
        <w:jc w:val="left"/>
        <w:rPr>
          <w:rFonts w:ascii="宋体" w:hAnsi="宋体"/>
          <w:color w:val="auto"/>
          <w:sz w:val="24"/>
          <w:szCs w:val="24"/>
          <w:highlight w:val="none"/>
        </w:rPr>
      </w:pPr>
      <w:r>
        <w:rPr>
          <w:rFonts w:hint="eastAsia" w:ascii="宋体" w:hAnsi="宋体" w:cs="宋体"/>
          <w:color w:val="auto"/>
          <w:sz w:val="24"/>
          <w:szCs w:val="24"/>
          <w:highlight w:val="none"/>
        </w:rPr>
        <w:t>　　　1.采购人信息</w:t>
      </w:r>
    </w:p>
    <w:p w14:paraId="6BFF7395">
      <w:pPr>
        <w:spacing w:line="440" w:lineRule="exact"/>
        <w:ind w:firstLine="720" w:firstLineChars="300"/>
        <w:jc w:val="left"/>
        <w:rPr>
          <w:rFonts w:hint="eastAsia" w:ascii="宋体" w:hAnsi="宋体" w:eastAsia="宋体"/>
          <w:color w:val="auto"/>
          <w:sz w:val="24"/>
          <w:highlight w:val="none"/>
          <w:u w:val="single"/>
          <w:lang w:eastAsia="zh-CN"/>
        </w:rPr>
      </w:pPr>
      <w:r>
        <w:rPr>
          <w:rFonts w:hint="eastAsia" w:ascii="宋体" w:hAnsi="宋体"/>
          <w:color w:val="auto"/>
          <w:sz w:val="24"/>
          <w:szCs w:val="24"/>
          <w:highlight w:val="none"/>
        </w:rPr>
        <w:t>名  称：</w:t>
      </w:r>
      <w:r>
        <w:rPr>
          <w:rFonts w:hint="eastAsia" w:ascii="宋体" w:hAnsi="宋体"/>
          <w:color w:val="auto"/>
          <w:sz w:val="24"/>
          <w:highlight w:val="none"/>
          <w:u w:val="single"/>
          <w:lang w:eastAsia="zh-CN"/>
        </w:rPr>
        <w:t>南京市城市道路管理中心</w:t>
      </w:r>
    </w:p>
    <w:p w14:paraId="0953ACED">
      <w:pPr>
        <w:shd w:val="clear" w:color="auto" w:fill="FFFFFF"/>
        <w:spacing w:line="460" w:lineRule="exact"/>
        <w:ind w:firstLine="720" w:firstLineChars="3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lang w:eastAsia="zh-CN"/>
        </w:rPr>
        <w:t>南京市太平门2-1号</w:t>
      </w:r>
    </w:p>
    <w:p w14:paraId="0B4F3C51">
      <w:pPr>
        <w:shd w:val="clear" w:color="auto" w:fill="FFFFFF"/>
        <w:spacing w:line="460" w:lineRule="exact"/>
        <w:ind w:firstLine="720" w:firstLineChars="3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联系人：</w:t>
      </w:r>
      <w:r>
        <w:rPr>
          <w:rFonts w:hint="eastAsia" w:ascii="宋体" w:hAnsi="宋体"/>
          <w:color w:val="auto"/>
          <w:sz w:val="24"/>
          <w:highlight w:val="none"/>
          <w:u w:val="single"/>
          <w:lang w:eastAsia="zh-CN"/>
        </w:rPr>
        <w:t>焦工</w:t>
      </w:r>
    </w:p>
    <w:p w14:paraId="1CD72F42">
      <w:pPr>
        <w:shd w:val="clear" w:color="auto" w:fill="FFFFFF"/>
        <w:spacing w:line="460" w:lineRule="exact"/>
        <w:ind w:firstLine="720" w:firstLineChars="300"/>
        <w:jc w:val="left"/>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联系方式：</w:t>
      </w:r>
      <w:r>
        <w:rPr>
          <w:rFonts w:hint="eastAsia" w:ascii="宋体" w:hAnsi="宋体" w:cs="宋体"/>
          <w:color w:val="auto"/>
          <w:sz w:val="24"/>
          <w:szCs w:val="24"/>
          <w:highlight w:val="none"/>
          <w:u w:val="single"/>
          <w:lang w:eastAsia="zh-CN"/>
        </w:rPr>
        <w:t>025-58066503</w:t>
      </w:r>
    </w:p>
    <w:p w14:paraId="39AF56EE">
      <w:pPr>
        <w:spacing w:line="440" w:lineRule="exact"/>
        <w:ind w:firstLine="480" w:firstLineChars="200"/>
        <w:jc w:val="left"/>
        <w:rPr>
          <w:rFonts w:ascii="宋体" w:hAnsi="宋体"/>
          <w:color w:val="auto"/>
          <w:sz w:val="24"/>
          <w:szCs w:val="24"/>
          <w:highlight w:val="none"/>
        </w:rPr>
      </w:pPr>
      <w:r>
        <w:rPr>
          <w:rFonts w:hint="eastAsia" w:ascii="宋体" w:hAnsi="宋体" w:cs="宋体"/>
          <w:color w:val="auto"/>
          <w:sz w:val="24"/>
          <w:szCs w:val="24"/>
          <w:highlight w:val="none"/>
        </w:rPr>
        <w:t>2.采购代理机构信息</w:t>
      </w:r>
    </w:p>
    <w:p w14:paraId="2585EECD">
      <w:pPr>
        <w:spacing w:line="440" w:lineRule="exact"/>
        <w:ind w:firstLine="720" w:firstLineChars="300"/>
        <w:rPr>
          <w:rFonts w:ascii="宋体" w:hAnsi="宋体" w:cs="宋体"/>
          <w:color w:val="auto"/>
          <w:sz w:val="24"/>
          <w:highlight w:val="none"/>
          <w:u w:val="single"/>
        </w:rPr>
      </w:pPr>
      <w:r>
        <w:rPr>
          <w:rFonts w:hint="eastAsia" w:ascii="宋体" w:hAnsi="宋体"/>
          <w:color w:val="auto"/>
          <w:sz w:val="24"/>
          <w:szCs w:val="24"/>
          <w:highlight w:val="none"/>
        </w:rPr>
        <w:t>名    称：</w:t>
      </w:r>
      <w:r>
        <w:rPr>
          <w:rFonts w:hint="eastAsia" w:ascii="宋体" w:hAnsi="宋体" w:cs="宋体"/>
          <w:color w:val="auto"/>
          <w:sz w:val="24"/>
          <w:highlight w:val="none"/>
          <w:u w:val="single"/>
        </w:rPr>
        <w:t>江苏鸿标工程项目管理有限公司</w:t>
      </w:r>
    </w:p>
    <w:p w14:paraId="547D5E41">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地  　址：</w:t>
      </w:r>
      <w:r>
        <w:rPr>
          <w:rFonts w:hint="eastAsia" w:ascii="宋体" w:hAnsi="宋体" w:cs="宋体"/>
          <w:bCs/>
          <w:color w:val="auto"/>
          <w:sz w:val="24"/>
          <w:highlight w:val="none"/>
          <w:u w:val="single"/>
        </w:rPr>
        <w:t>南京市雨花台区锦绣街5-8号C-4栋103室</w:t>
      </w:r>
    </w:p>
    <w:p w14:paraId="43328F21">
      <w:pPr>
        <w:shd w:val="clear" w:color="auto" w:fill="FFFFFF"/>
        <w:spacing w:line="440" w:lineRule="exact"/>
        <w:ind w:firstLine="720" w:firstLineChars="300"/>
        <w:rPr>
          <w:rFonts w:ascii="宋体" w:hAnsi="宋体" w:cs="宋体"/>
          <w:color w:val="auto"/>
          <w:sz w:val="24"/>
          <w:szCs w:val="24"/>
          <w:highlight w:val="none"/>
        </w:rPr>
      </w:pPr>
      <w:r>
        <w:rPr>
          <w:rFonts w:hint="eastAsia" w:ascii="宋体" w:hAnsi="宋体"/>
          <w:color w:val="auto"/>
          <w:sz w:val="24"/>
          <w:szCs w:val="24"/>
          <w:highlight w:val="none"/>
        </w:rPr>
        <w:t>联系方式：</w:t>
      </w:r>
      <w:r>
        <w:rPr>
          <w:rFonts w:hint="eastAsia" w:ascii="宋体" w:hAnsi="宋体"/>
          <w:color w:val="auto"/>
          <w:sz w:val="24"/>
          <w:szCs w:val="24"/>
          <w:highlight w:val="none"/>
          <w:u w:val="single"/>
        </w:rPr>
        <w:t>025-58780759</w:t>
      </w:r>
    </w:p>
    <w:p w14:paraId="33E212E3">
      <w:pPr>
        <w:shd w:val="clear" w:color="auto" w:fill="FFFFFF"/>
        <w:spacing w:line="440" w:lineRule="exact"/>
        <w:ind w:firstLine="480" w:firstLineChars="200"/>
        <w:rPr>
          <w:rFonts w:ascii="宋体" w:hAnsi="宋体"/>
          <w:color w:val="auto"/>
          <w:sz w:val="24"/>
          <w:szCs w:val="24"/>
          <w:highlight w:val="none"/>
          <w:u w:val="single"/>
        </w:rPr>
      </w:pPr>
      <w:r>
        <w:rPr>
          <w:rFonts w:hint="eastAsia" w:ascii="宋体" w:hAnsi="宋体" w:cs="宋体"/>
          <w:color w:val="auto"/>
          <w:sz w:val="24"/>
          <w:szCs w:val="24"/>
          <w:highlight w:val="none"/>
        </w:rPr>
        <w:t>3.项目</w:t>
      </w:r>
      <w:r>
        <w:rPr>
          <w:rFonts w:ascii="宋体" w:hAnsi="宋体" w:cs="宋体"/>
          <w:color w:val="auto"/>
          <w:sz w:val="24"/>
          <w:szCs w:val="24"/>
          <w:highlight w:val="none"/>
        </w:rPr>
        <w:t>联系方式</w:t>
      </w:r>
    </w:p>
    <w:p w14:paraId="16F23144">
      <w:pPr>
        <w:pStyle w:val="20"/>
        <w:spacing w:line="440" w:lineRule="exact"/>
        <w:ind w:firstLine="720" w:firstLineChars="300"/>
        <w:rPr>
          <w:rFonts w:hAnsi="宋体"/>
          <w:color w:val="auto"/>
          <w:sz w:val="24"/>
          <w:szCs w:val="24"/>
          <w:highlight w:val="none"/>
        </w:rPr>
      </w:pPr>
      <w:r>
        <w:rPr>
          <w:rFonts w:hint="eastAsia" w:hAnsi="宋体"/>
          <w:color w:val="auto"/>
          <w:sz w:val="24"/>
          <w:szCs w:val="24"/>
          <w:highlight w:val="none"/>
        </w:rPr>
        <w:t>项目联系人：</w:t>
      </w:r>
      <w:r>
        <w:rPr>
          <w:rFonts w:hint="eastAsia" w:hAnsi="宋体"/>
          <w:color w:val="auto"/>
          <w:sz w:val="24"/>
          <w:szCs w:val="24"/>
          <w:highlight w:val="none"/>
          <w:u w:val="single"/>
        </w:rPr>
        <w:t>董陈</w:t>
      </w:r>
    </w:p>
    <w:p w14:paraId="702F855C">
      <w:pPr>
        <w:spacing w:line="440" w:lineRule="exact"/>
        <w:ind w:firstLine="720" w:firstLineChars="300"/>
        <w:rPr>
          <w:color w:val="auto"/>
          <w:highlight w:val="none"/>
        </w:rPr>
      </w:pPr>
      <w:r>
        <w:rPr>
          <w:rFonts w:hint="eastAsia" w:ascii="宋体" w:hAnsi="宋体"/>
          <w:color w:val="auto"/>
          <w:sz w:val="24"/>
          <w:szCs w:val="24"/>
          <w:highlight w:val="none"/>
        </w:rPr>
        <w:t>电　    话：</w:t>
      </w:r>
      <w:r>
        <w:rPr>
          <w:rFonts w:hint="eastAsia" w:ascii="宋体" w:hAnsi="宋体"/>
          <w:color w:val="auto"/>
          <w:sz w:val="24"/>
          <w:szCs w:val="24"/>
          <w:highlight w:val="none"/>
          <w:u w:val="single"/>
        </w:rPr>
        <w:t>025-58780759</w:t>
      </w:r>
    </w:p>
    <w:p w14:paraId="4FB183A6">
      <w:pPr>
        <w:rPr>
          <w:b/>
          <w:bCs/>
          <w:color w:val="auto"/>
          <w:sz w:val="36"/>
          <w:szCs w:val="36"/>
          <w:highlight w:val="none"/>
          <w:lang w:val="zh-CN"/>
        </w:rPr>
      </w:pPr>
      <w:r>
        <w:rPr>
          <w:rFonts w:hint="eastAsia"/>
          <w:b/>
          <w:bCs/>
          <w:color w:val="auto"/>
          <w:sz w:val="36"/>
          <w:szCs w:val="36"/>
          <w:highlight w:val="none"/>
          <w:lang w:val="zh-CN"/>
        </w:rPr>
        <w:br w:type="page"/>
      </w:r>
    </w:p>
    <w:p w14:paraId="5B49F223">
      <w:pPr>
        <w:jc w:val="center"/>
        <w:rPr>
          <w:b/>
          <w:bCs/>
          <w:color w:val="auto"/>
          <w:sz w:val="36"/>
          <w:szCs w:val="36"/>
          <w:highlight w:val="none"/>
          <w:lang w:val="zh-CN"/>
        </w:rPr>
      </w:pPr>
      <w:r>
        <w:rPr>
          <w:rFonts w:hint="eastAsia"/>
          <w:b/>
          <w:bCs/>
          <w:color w:val="auto"/>
          <w:sz w:val="36"/>
          <w:szCs w:val="36"/>
          <w:highlight w:val="none"/>
          <w:lang w:val="zh-CN"/>
        </w:rPr>
        <w:t>第二章 供应商须知</w:t>
      </w:r>
    </w:p>
    <w:p w14:paraId="5BB4FAC6">
      <w:pPr>
        <w:pStyle w:val="196"/>
        <w:pageBreakBefore w:val="0"/>
        <w:kinsoku/>
        <w:wordWrap/>
        <w:overflowPunct/>
        <w:topLinePunct w:val="0"/>
        <w:autoSpaceDE/>
        <w:autoSpaceDN/>
        <w:bidi w:val="0"/>
        <w:adjustRightInd/>
        <w:snapToGrid/>
        <w:spacing w:before="0" w:after="0" w:line="440" w:lineRule="exact"/>
        <w:ind w:firstLine="482" w:firstLineChars="200"/>
        <w:textAlignment w:val="auto"/>
        <w:rPr>
          <w:rFonts w:cs="宋体"/>
          <w:b/>
          <w:bCs w:val="0"/>
          <w:color w:val="auto"/>
          <w:sz w:val="24"/>
          <w:highlight w:val="none"/>
        </w:rPr>
      </w:pPr>
      <w:r>
        <w:rPr>
          <w:rFonts w:hint="eastAsia" w:cs="宋体"/>
          <w:b/>
          <w:bCs w:val="0"/>
          <w:color w:val="auto"/>
          <w:sz w:val="24"/>
          <w:highlight w:val="none"/>
        </w:rPr>
        <w:t>一、总则</w:t>
      </w:r>
    </w:p>
    <w:p w14:paraId="3BA81800">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eastAsia="zh-CN"/>
        </w:rPr>
        <w:t>1.</w:t>
      </w:r>
      <w:r>
        <w:rPr>
          <w:rFonts w:hint="eastAsia" w:ascii="宋体" w:hAnsi="宋体" w:cs="宋体"/>
          <w:b/>
          <w:bCs/>
          <w:color w:val="auto"/>
          <w:sz w:val="24"/>
          <w:szCs w:val="24"/>
          <w:highlight w:val="none"/>
        </w:rPr>
        <w:t>适用法律</w:t>
      </w:r>
    </w:p>
    <w:p w14:paraId="15643DC1">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1.1 《中华人民共和国政府采购法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中华人民共和国政府采购法实施条例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政府采购货物和服务招标投标管理办法》等有关法律、规章和规定。</w:t>
      </w:r>
    </w:p>
    <w:p w14:paraId="5803E5D2">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2.</w:t>
      </w:r>
      <w:r>
        <w:rPr>
          <w:rFonts w:hint="eastAsia" w:ascii="宋体" w:hAnsi="宋体" w:cs="宋体"/>
          <w:b/>
          <w:bCs/>
          <w:color w:val="auto"/>
          <w:sz w:val="24"/>
          <w:szCs w:val="24"/>
          <w:highlight w:val="none"/>
        </w:rPr>
        <w:t>定义</w:t>
      </w:r>
    </w:p>
    <w:p w14:paraId="22C49A4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2.1“采购人”是指依法进行政府采购的国家机关、事业单位、团体组织。</w:t>
      </w:r>
    </w:p>
    <w:p w14:paraId="5C9D95EB">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2</w:t>
      </w:r>
      <w:r>
        <w:rPr>
          <w:rFonts w:hint="eastAsia" w:ascii="宋体" w:hAnsi="宋体" w:cs="宋体"/>
          <w:b w:val="0"/>
          <w:bCs w:val="0"/>
          <w:color w:val="auto"/>
          <w:sz w:val="24"/>
          <w:szCs w:val="24"/>
          <w:highlight w:val="none"/>
          <w:lang w:val="zh-CN"/>
        </w:rPr>
        <w:t>“投标人（供应商）”</w:t>
      </w:r>
      <w:r>
        <w:rPr>
          <w:rFonts w:hint="eastAsia" w:ascii="宋体" w:hAnsi="宋体" w:cs="宋体"/>
          <w:b w:val="0"/>
          <w:bCs w:val="0"/>
          <w:color w:val="auto"/>
          <w:sz w:val="24"/>
          <w:szCs w:val="24"/>
          <w:highlight w:val="none"/>
        </w:rPr>
        <w:t>是指参加</w:t>
      </w:r>
      <w:r>
        <w:rPr>
          <w:rFonts w:hint="eastAsia" w:ascii="宋体" w:hAnsi="宋体" w:cs="宋体"/>
          <w:color w:val="auto"/>
          <w:sz w:val="24"/>
          <w:szCs w:val="24"/>
          <w:highlight w:val="none"/>
        </w:rPr>
        <w:t>投标竞争，并符合招标文件规定资格条件的法人、其他组织或者自然人。</w:t>
      </w:r>
    </w:p>
    <w:p w14:paraId="742F4484">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2.3“采购代理机构”是指集中采购机构和集中采购机构以外的采购代理机构。集中采购机构以外的采购代理机构是从事采购代理业务的社会中介机构。</w:t>
      </w:r>
    </w:p>
    <w:p w14:paraId="396BCA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2.4“货物和服务”指本招标文件中所述产品及相关服务。</w:t>
      </w:r>
    </w:p>
    <w:p w14:paraId="2610433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2.5“用户或使用单位”是指使用货物，接受服务的单位。</w:t>
      </w:r>
    </w:p>
    <w:p w14:paraId="07022B38">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eastAsia="zh-CN"/>
        </w:rPr>
        <w:t>3.</w:t>
      </w:r>
      <w:r>
        <w:rPr>
          <w:rFonts w:hint="eastAsia" w:ascii="宋体" w:hAnsi="宋体" w:cs="宋体"/>
          <w:b/>
          <w:bCs/>
          <w:color w:val="auto"/>
          <w:sz w:val="24"/>
          <w:szCs w:val="24"/>
          <w:highlight w:val="none"/>
        </w:rPr>
        <w:t>政策功能</w:t>
      </w:r>
    </w:p>
    <w:p w14:paraId="5904F489">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lang w:eastAsia="zh-CN"/>
        </w:rPr>
      </w:pPr>
      <w:r>
        <w:rPr>
          <w:rFonts w:ascii="宋体" w:hAnsi="宋体" w:cs="宋体"/>
          <w:color w:val="auto"/>
          <w:sz w:val="24"/>
          <w:szCs w:val="24"/>
          <w:highlight w:val="none"/>
        </w:rPr>
        <w:t>3.1政府采购促进中小企业发展</w:t>
      </w:r>
      <w:r>
        <w:rPr>
          <w:rFonts w:hint="eastAsia" w:ascii="宋体" w:hAnsi="宋体" w:cs="宋体"/>
          <w:color w:val="auto"/>
          <w:sz w:val="24"/>
          <w:szCs w:val="24"/>
          <w:highlight w:val="none"/>
          <w:lang w:eastAsia="zh-CN"/>
        </w:rPr>
        <w:t>。</w:t>
      </w:r>
    </w:p>
    <w:p w14:paraId="06047C8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宋体" w:hAnsi="宋体" w:cs="宋体"/>
          <w:color w:val="auto"/>
          <w:sz w:val="24"/>
          <w:szCs w:val="24"/>
          <w:highlight w:val="none"/>
          <w:lang w:eastAsia="zh-CN"/>
        </w:rPr>
        <w:t>〉的通知》</w:t>
      </w:r>
      <w:r>
        <w:rPr>
          <w:rFonts w:ascii="宋体" w:hAnsi="宋体" w:cs="宋体"/>
          <w:color w:val="auto"/>
          <w:sz w:val="24"/>
          <w:szCs w:val="24"/>
          <w:highlight w:val="none"/>
        </w:rPr>
        <w:t>国统字〔2017〕213号）。</w:t>
      </w:r>
    </w:p>
    <w:p w14:paraId="2FEB47C9">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3.2对于接受投标人以联合体形式参加采购活动的项目，小型、微型企业联合体应当符合《政府采购促进中小企业发展管理办法》（财库〔2020〕46号）第九条的规定。联合协议中约定，小型、微型企业的协议合同金额</w:t>
      </w:r>
      <w:r>
        <w:rPr>
          <w:rFonts w:hint="eastAsia" w:ascii="宋体" w:hAnsi="宋体" w:cs="宋体"/>
          <w:color w:val="auto"/>
          <w:sz w:val="24"/>
          <w:szCs w:val="24"/>
          <w:highlight w:val="none"/>
          <w:lang w:eastAsia="zh-CN"/>
        </w:rPr>
        <w:t>占</w:t>
      </w:r>
      <w:r>
        <w:rPr>
          <w:rFonts w:ascii="宋体" w:hAnsi="宋体" w:cs="宋体"/>
          <w:color w:val="auto"/>
          <w:sz w:val="24"/>
          <w:szCs w:val="24"/>
          <w:highlight w:val="none"/>
        </w:rPr>
        <w:t>联合体协议合同总金额30%以上的，给予联合体4%的价格扣除。</w:t>
      </w:r>
    </w:p>
    <w:p w14:paraId="2677FF1B">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以联合体形式参加政府采购活动的，联合体各方均为中小企业的，联合体视同中小企业。其中，联合体各方均为小微企业的，联合体视同小微企业。</w:t>
      </w:r>
    </w:p>
    <w:p w14:paraId="0FB2C76D">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组成联合体的大中型企业和其他自然人、法人或者其他组织，与小型、微型企业之间不得存在投资关系。</w:t>
      </w:r>
    </w:p>
    <w:p w14:paraId="5E7540F9">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3.3政府采购支持监狱和戒毒企业发展政策</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3EAD2426">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4</w:t>
      </w:r>
      <w:r>
        <w:rPr>
          <w:rFonts w:ascii="宋体" w:hAnsi="宋体" w:cs="宋体"/>
          <w:color w:val="auto"/>
          <w:sz w:val="24"/>
          <w:szCs w:val="24"/>
          <w:highlight w:val="none"/>
        </w:rPr>
        <w:t>政府采购促进残疾人就业政策</w:t>
      </w:r>
      <w:r>
        <w:rPr>
          <w:rFonts w:hint="eastAsia" w:ascii="宋体" w:hAnsi="宋体" w:cs="宋体"/>
          <w:color w:val="auto"/>
          <w:sz w:val="24"/>
          <w:szCs w:val="24"/>
          <w:highlight w:val="none"/>
          <w:lang w:eastAsia="zh-CN"/>
        </w:rPr>
        <w:t>。</w:t>
      </w:r>
      <w:r>
        <w:rPr>
          <w:rFonts w:ascii="宋体" w:hAnsi="宋体" w:cs="宋体"/>
          <w:color w:val="auto"/>
          <w:sz w:val="24"/>
          <w:szCs w:val="24"/>
          <w:highlight w:val="none"/>
        </w:rPr>
        <w:t>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B9CB3F1">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5</w:t>
      </w:r>
      <w:r>
        <w:rPr>
          <w:rFonts w:ascii="宋体" w:hAnsi="宋体" w:cs="宋体"/>
          <w:color w:val="auto"/>
          <w:sz w:val="24"/>
          <w:szCs w:val="24"/>
          <w:highlight w:val="none"/>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0DC356C9">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6</w:t>
      </w:r>
      <w:r>
        <w:rPr>
          <w:rFonts w:ascii="宋体" w:hAnsi="宋体" w:cs="宋体"/>
          <w:color w:val="auto"/>
          <w:sz w:val="24"/>
          <w:szCs w:val="24"/>
          <w:highlight w:val="none"/>
        </w:rPr>
        <w:t>强制采购信息安全产品。参加政府采购活动的信息安全产品投标人应当选择经国家认证的信息安全产品投标，并提供由国家信息安全认证中心按国家标准认证颁发的有效认证证书。</w:t>
      </w:r>
    </w:p>
    <w:p w14:paraId="13BEA914">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7</w:t>
      </w:r>
      <w:r>
        <w:rPr>
          <w:rFonts w:ascii="宋体" w:hAnsi="宋体" w:cs="宋体"/>
          <w:color w:val="auto"/>
          <w:sz w:val="24"/>
          <w:szCs w:val="24"/>
          <w:highlight w:val="none"/>
        </w:rPr>
        <w:t>进口产品政策</w:t>
      </w:r>
    </w:p>
    <w:p w14:paraId="21925C18">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（1）除招标公告载明接受进口产品参加外，不允许进口产品参加。进口产品认定依照《财政部关于政府采购进口产品管理有关问题的通知》（财办库〔2008〕248号）的规定。</w:t>
      </w:r>
    </w:p>
    <w:p w14:paraId="048963B4">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（2）允许进口产品参加的，满足需求的国内产品可以参加。</w:t>
      </w:r>
    </w:p>
    <w:p w14:paraId="1AC76A5B">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（3）允许进口产品参加的，优先采购向我国企业转让技术、与我国企业签订消化吸收再创新方案的投标人的进口产品。</w:t>
      </w:r>
    </w:p>
    <w:p w14:paraId="75ADE74A">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8</w:t>
      </w:r>
      <w:r>
        <w:rPr>
          <w:rFonts w:ascii="宋体" w:hAnsi="宋体" w:cs="宋体"/>
          <w:color w:val="auto"/>
          <w:sz w:val="24"/>
          <w:szCs w:val="24"/>
          <w:highlight w:val="none"/>
        </w:rPr>
        <w:t>未按要求提供相关材料的，不享受相关政策。</w:t>
      </w:r>
    </w:p>
    <w:p w14:paraId="201C183C">
      <w:pPr>
        <w:pStyle w:val="196"/>
        <w:pageBreakBefore w:val="0"/>
        <w:kinsoku/>
        <w:wordWrap/>
        <w:overflowPunct/>
        <w:topLinePunct w:val="0"/>
        <w:autoSpaceDE/>
        <w:autoSpaceDN/>
        <w:bidi w:val="0"/>
        <w:adjustRightInd/>
        <w:snapToGrid/>
        <w:spacing w:before="0" w:after="0" w:line="440" w:lineRule="exact"/>
        <w:ind w:firstLine="482" w:firstLineChars="200"/>
        <w:textAlignment w:val="auto"/>
        <w:rPr>
          <w:rFonts w:cs="宋体"/>
          <w:b/>
          <w:bCs w:val="0"/>
          <w:color w:val="auto"/>
          <w:sz w:val="24"/>
          <w:highlight w:val="none"/>
        </w:rPr>
      </w:pPr>
      <w:r>
        <w:rPr>
          <w:rFonts w:hint="eastAsia" w:cs="宋体"/>
          <w:b/>
          <w:bCs w:val="0"/>
          <w:color w:val="auto"/>
          <w:sz w:val="24"/>
          <w:highlight w:val="none"/>
        </w:rPr>
        <w:t>二、招标文件</w:t>
      </w:r>
    </w:p>
    <w:p w14:paraId="12ADA07D">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eastAsia="zh-CN"/>
        </w:rPr>
        <w:t>4.</w:t>
      </w:r>
      <w:r>
        <w:rPr>
          <w:rFonts w:hint="eastAsia" w:ascii="宋体" w:hAnsi="宋体" w:cs="宋体"/>
          <w:b/>
          <w:bCs/>
          <w:color w:val="auto"/>
          <w:sz w:val="24"/>
          <w:szCs w:val="24"/>
          <w:highlight w:val="none"/>
        </w:rPr>
        <w:t>招标文件组成</w:t>
      </w:r>
    </w:p>
    <w:p w14:paraId="0C246156">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4.1招标文件包括以下主要内容：</w:t>
      </w:r>
    </w:p>
    <w:p w14:paraId="4F3B0460">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（1）招标公告；</w:t>
      </w:r>
    </w:p>
    <w:p w14:paraId="3499D287">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（2）投标人须知；</w:t>
      </w:r>
    </w:p>
    <w:p w14:paraId="4718EE2B">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（3）评标办法和标准；</w:t>
      </w:r>
    </w:p>
    <w:p w14:paraId="7BF98C23">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（4）采购需求；</w:t>
      </w:r>
    </w:p>
    <w:p w14:paraId="67F45F60">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zh-CN"/>
        </w:rPr>
        <w:t>合同条款及格式</w:t>
      </w:r>
      <w:r>
        <w:rPr>
          <w:rFonts w:hint="eastAsia" w:ascii="宋体" w:hAnsi="宋体" w:cs="宋体"/>
          <w:color w:val="auto"/>
          <w:sz w:val="24"/>
          <w:szCs w:val="24"/>
          <w:highlight w:val="none"/>
        </w:rPr>
        <w:t>；</w:t>
      </w:r>
    </w:p>
    <w:p w14:paraId="2854C04B">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（6）投标文件格式。</w:t>
      </w:r>
    </w:p>
    <w:p w14:paraId="03739024">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如标书制作工具</w:t>
      </w:r>
      <w:r>
        <w:rPr>
          <w:rFonts w:hint="eastAsia" w:ascii="宋体" w:hAnsi="宋体" w:cs="宋体"/>
          <w:color w:val="auto"/>
          <w:sz w:val="24"/>
          <w:szCs w:val="24"/>
          <w:highlight w:val="none"/>
          <w:lang w:eastAsia="zh-CN"/>
        </w:rPr>
        <w:t>中的</w:t>
      </w:r>
      <w:r>
        <w:rPr>
          <w:rFonts w:hint="eastAsia" w:ascii="宋体" w:hAnsi="宋体" w:cs="宋体"/>
          <w:color w:val="auto"/>
          <w:sz w:val="24"/>
          <w:szCs w:val="24"/>
          <w:highlight w:val="none"/>
        </w:rPr>
        <w:t>格式和内容与“南京公共采购信息网/江苏政府采购网/中国政府采购网”发布的招标文件不一致的，以上述网站发布的招标文件为准。</w:t>
      </w:r>
    </w:p>
    <w:p w14:paraId="60994C72">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4.2 招标的最小单位是标段。招标货物数量及技术要求中未分标段的，投标人对要求提供的货物和服务不得部分投标；招标货物数量及技术要求中已经分标段的，可以以标段为单位投标。</w:t>
      </w:r>
    </w:p>
    <w:p w14:paraId="7A3B6F0C">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4.3 采购代理机构如果要求投标人按照招标文件规定提交备选投标方案的，投标人可以提交备选方案；否则，备选方案将被拒绝。</w:t>
      </w:r>
    </w:p>
    <w:p w14:paraId="51909048">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4.4招标文件中要求的产品品牌或型号，是采购人根据项目所要实现的功能推荐的品牌或型号，仅供投标人参考，并不是限制条件。</w:t>
      </w:r>
    </w:p>
    <w:p w14:paraId="49591796">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5.招标文件的澄清修改</w:t>
      </w:r>
    </w:p>
    <w:p w14:paraId="0A70634D">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14601FE">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3FD047B">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5.3 投标人应在提交投标文件截止时间前，关注原公告媒体有关本项目的更正公告，根据更正公告内容自行决定是否需要重新制作和提交投标文件，并承担由此产生的相应责任</w:t>
      </w:r>
    </w:p>
    <w:p w14:paraId="3770B083">
      <w:pPr>
        <w:pageBreakBefore w:val="0"/>
        <w:widowControl/>
        <w:shd w:val="clear" w:color="auto" w:fill="FFFFFF"/>
        <w:kinsoku/>
        <w:wordWrap/>
        <w:overflowPunct/>
        <w:topLinePunct w:val="0"/>
        <w:autoSpaceDE/>
        <w:autoSpaceDN/>
        <w:bidi w:val="0"/>
        <w:adjustRightInd/>
        <w:snapToGrid/>
        <w:spacing w:line="440" w:lineRule="exact"/>
        <w:ind w:firstLine="482" w:firstLineChars="200"/>
        <w:textAlignment w:val="auto"/>
        <w:rPr>
          <w:rFonts w:ascii="宋体" w:hAnsi="宋体"/>
          <w:color w:val="auto"/>
          <w:kern w:val="0"/>
          <w:sz w:val="24"/>
          <w:szCs w:val="24"/>
          <w:highlight w:val="none"/>
        </w:rPr>
      </w:pPr>
      <w:r>
        <w:rPr>
          <w:rFonts w:hint="eastAsia" w:ascii="宋体" w:hAnsi="宋体"/>
          <w:b/>
          <w:bCs/>
          <w:color w:val="auto"/>
          <w:kern w:val="0"/>
          <w:sz w:val="24"/>
          <w:szCs w:val="24"/>
          <w:highlight w:val="none"/>
        </w:rPr>
        <w:t>三、投标文件的编制</w:t>
      </w:r>
    </w:p>
    <w:p w14:paraId="780C5908">
      <w:pPr>
        <w:pageBreakBefore w:val="0"/>
        <w:widowControl/>
        <w:shd w:val="clear" w:color="auto" w:fill="FFFFFF"/>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eastAsia="zh-CN"/>
        </w:rPr>
        <w:t>6.</w:t>
      </w:r>
      <w:r>
        <w:rPr>
          <w:rFonts w:hint="eastAsia" w:ascii="宋体" w:hAnsi="宋体" w:cs="宋体"/>
          <w:b/>
          <w:bCs/>
          <w:color w:val="auto"/>
          <w:sz w:val="24"/>
          <w:szCs w:val="24"/>
          <w:highlight w:val="none"/>
        </w:rPr>
        <w:t>投标文件的语言、计量单位、货币和编制</w:t>
      </w:r>
    </w:p>
    <w:p w14:paraId="525C6D38">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FDC61B">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6.2投标人所使用的计量单位应为国家法定计量单位。</w:t>
      </w:r>
    </w:p>
    <w:p w14:paraId="6E7060DD">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6.3投标人应用人民币报价。投标产品如果是进口产品的，应提供人民币与</w:t>
      </w:r>
      <w:r>
        <w:rPr>
          <w:rFonts w:hint="eastAsia" w:ascii="宋体" w:hAnsi="宋体" w:cs="宋体"/>
          <w:b/>
          <w:bCs/>
          <w:color w:val="auto"/>
          <w:sz w:val="24"/>
          <w:szCs w:val="24"/>
          <w:highlight w:val="none"/>
        </w:rPr>
        <w:t>外币之间的汇率。</w:t>
      </w:r>
    </w:p>
    <w:p w14:paraId="1D564D6C">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6.4投标文件应按照招标文件的规定编写并制作目录。</w:t>
      </w:r>
    </w:p>
    <w:p w14:paraId="54FE71BD">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6.5投标人应在投标文件中写清相应的项目编号、项目名称、投标人全称、地址、电话、传真等。</w:t>
      </w:r>
    </w:p>
    <w:p w14:paraId="696CDD48">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6.6</w:t>
      </w:r>
      <w:r>
        <w:rPr>
          <w:rFonts w:hint="eastAsia" w:ascii="宋体" w:hAnsi="宋体" w:cs="宋体"/>
          <w:color w:val="auto"/>
          <w:sz w:val="24"/>
          <w:szCs w:val="24"/>
          <w:highlight w:val="none"/>
        </w:rPr>
        <w:t>投标人根据招标文件载明的标的采购项目实际情况，拟在中标后将中标项目的非主体、非关键性工作交由他人完成的，应当在投标文件中载明。</w:t>
      </w:r>
    </w:p>
    <w:p w14:paraId="25519BAA">
      <w:pPr>
        <w:pageBreakBefore w:val="0"/>
        <w:widowControl/>
        <w:shd w:val="clear" w:color="auto" w:fill="FFFFFF"/>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7.</w:t>
      </w:r>
      <w:r>
        <w:rPr>
          <w:rFonts w:hint="default" w:ascii="宋体" w:hAnsi="宋体" w:cs="宋体"/>
          <w:b/>
          <w:bCs/>
          <w:color w:val="auto"/>
          <w:sz w:val="24"/>
          <w:szCs w:val="24"/>
          <w:highlight w:val="none"/>
        </w:rPr>
        <w:t>联合体投标</w:t>
      </w:r>
    </w:p>
    <w:p w14:paraId="6087A55A">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default" w:ascii="宋体" w:hAnsi="宋体" w:cs="宋体"/>
          <w:color w:val="auto"/>
          <w:sz w:val="24"/>
          <w:szCs w:val="24"/>
          <w:highlight w:val="none"/>
        </w:rPr>
        <w:t>7.1 两个以上的自然人、法人或者其他组织可以组成一个联合体，以一个投标人的身份共同参加政府采购。</w:t>
      </w:r>
    </w:p>
    <w:p w14:paraId="37ADEB57">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default" w:ascii="宋体" w:hAnsi="宋体" w:cs="宋体"/>
          <w:color w:val="auto"/>
          <w:sz w:val="24"/>
          <w:szCs w:val="24"/>
          <w:highlight w:val="none"/>
        </w:rPr>
        <w:t>7.2 联合体中有同类资质的投标人按照联合体分工承担相同工作的，按照资质等级较低的投标人确定资质等级。</w:t>
      </w:r>
    </w:p>
    <w:p w14:paraId="51E76503">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default" w:ascii="宋体" w:hAnsi="宋体" w:cs="宋体"/>
          <w:color w:val="auto"/>
          <w:sz w:val="24"/>
          <w:szCs w:val="24"/>
          <w:highlight w:val="none"/>
        </w:rPr>
        <w:t>7.3 联合体各方之间应当签订联合体协议，明确约定联合体各方承担的工作和相应的责任，并将联合体协议连同投标文件一同提交。</w:t>
      </w:r>
    </w:p>
    <w:p w14:paraId="09288F2F">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default" w:ascii="宋体" w:hAnsi="宋体" w:cs="宋体"/>
          <w:color w:val="auto"/>
          <w:sz w:val="24"/>
          <w:szCs w:val="24"/>
          <w:highlight w:val="none"/>
        </w:rPr>
        <w:t>7.4 以联合体形式参加政府采购活动的，联合体各方不得再单独参加或者与其他投标人另外组成联合体参加同一合同项下的政府采购活动。</w:t>
      </w:r>
    </w:p>
    <w:p w14:paraId="031D19E5">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b/>
          <w:bCs/>
          <w:color w:val="auto"/>
          <w:kern w:val="0"/>
          <w:sz w:val="24"/>
          <w:szCs w:val="24"/>
          <w:highlight w:val="none"/>
          <w:lang w:val="en-US" w:eastAsia="zh-CN"/>
        </w:rPr>
        <w:t>8</w:t>
      </w:r>
      <w:r>
        <w:rPr>
          <w:rFonts w:hint="eastAsia" w:ascii="宋体" w:hAnsi="宋体"/>
          <w:b/>
          <w:bCs/>
          <w:color w:val="auto"/>
          <w:kern w:val="0"/>
          <w:sz w:val="24"/>
          <w:szCs w:val="24"/>
          <w:highlight w:val="none"/>
          <w:lang w:eastAsia="zh-CN"/>
        </w:rPr>
        <w:t>.</w:t>
      </w:r>
      <w:r>
        <w:rPr>
          <w:rFonts w:hint="eastAsia" w:ascii="宋体" w:hAnsi="宋体" w:cs="宋体"/>
          <w:b/>
          <w:bCs/>
          <w:color w:val="auto"/>
          <w:sz w:val="24"/>
          <w:szCs w:val="24"/>
          <w:highlight w:val="none"/>
        </w:rPr>
        <w:t>投标文件组成</w:t>
      </w:r>
    </w:p>
    <w:p w14:paraId="41AD7CA5">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.1 投标人应当根据招标文件要求编制投标文件，投标文件应对招标文件提出的要求和条件作出实质性响应，并在《商务条款偏离表》和《技术条款偏离表》《资格性和符合性检查响应对照表》等处逐条标明满足与否。对带“★”的技术条款必须按文件要求编制，否则评审时不予认可。</w:t>
      </w:r>
    </w:p>
    <w:p w14:paraId="0FC4E7B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 投标人根据招标文件载明的采购项目实际情况，拟在中标后将中标项目的非主体、非关键性工作交由他人完成的，应当在投标文件中载明。</w:t>
      </w:r>
    </w:p>
    <w:p w14:paraId="42BE6C1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.3 投标文件由商务部分、技术部分、价格部分，以及其他部分组成。</w:t>
      </w:r>
    </w:p>
    <w:p w14:paraId="356F0FAA">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.投标文件的商务部分</w:t>
      </w:r>
    </w:p>
    <w:p w14:paraId="7593E70A">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.1 商务部分是证明投标人有资格参加投标和中标后有能力履行合同的文件，这些文件应能满足招标的要求，包括但不限于下列文件，其中加“★”项目不得有缺失或无效：</w:t>
      </w:r>
    </w:p>
    <w:p w14:paraId="1FCFCD75">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（1）★投标申请及声明</w:t>
      </w:r>
      <w:r>
        <w:rPr>
          <w:rFonts w:hint="eastAsia" w:ascii="宋体" w:hAnsi="宋体" w:cs="宋体"/>
          <w:color w:val="auto"/>
          <w:sz w:val="24"/>
          <w:szCs w:val="24"/>
          <w:highlight w:val="none"/>
          <w:lang w:val="en-US" w:eastAsia="zh-CN"/>
        </w:rPr>
        <w:t>；</w:t>
      </w:r>
    </w:p>
    <w:p w14:paraId="0C863D4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color w:val="auto"/>
          <w:sz w:val="24"/>
          <w:szCs w:val="24"/>
          <w:highlight w:val="none"/>
        </w:rPr>
        <w:t>法定代</w:t>
      </w:r>
      <w:r>
        <w:rPr>
          <w:rFonts w:hint="eastAsia" w:ascii="宋体" w:hAnsi="宋体" w:cs="宋体"/>
          <w:color w:val="auto"/>
          <w:sz w:val="24"/>
          <w:szCs w:val="24"/>
          <w:highlight w:val="none"/>
        </w:rPr>
        <w:t>表人授权书或法定代表人身份证明格式</w:t>
      </w:r>
      <w:r>
        <w:rPr>
          <w:rFonts w:hint="eastAsia" w:ascii="宋体" w:hAnsi="宋体" w:cs="宋体"/>
          <w:color w:val="auto"/>
          <w:sz w:val="24"/>
          <w:szCs w:val="24"/>
          <w:highlight w:val="none"/>
          <w:lang w:val="en-US" w:eastAsia="zh-CN"/>
        </w:rPr>
        <w:t>；</w:t>
      </w:r>
    </w:p>
    <w:p w14:paraId="01EF91B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开标</w:t>
      </w:r>
      <w:r>
        <w:rPr>
          <w:rFonts w:hint="eastAsia" w:ascii="宋体" w:hAnsi="宋体" w:cs="宋体"/>
          <w:color w:val="auto"/>
          <w:sz w:val="24"/>
          <w:szCs w:val="24"/>
          <w:highlight w:val="none"/>
        </w:rPr>
        <w:t>一览表</w:t>
      </w:r>
      <w:r>
        <w:rPr>
          <w:rFonts w:hint="eastAsia" w:ascii="宋体" w:hAnsi="宋体" w:cs="宋体"/>
          <w:color w:val="auto"/>
          <w:sz w:val="24"/>
          <w:szCs w:val="24"/>
          <w:highlight w:val="none"/>
          <w:lang w:val="en-US" w:eastAsia="zh-CN"/>
        </w:rPr>
        <w:t>；</w:t>
      </w:r>
    </w:p>
    <w:p w14:paraId="1EDC0973">
      <w:pPr>
        <w:pageBreakBefore w:val="0"/>
        <w:kinsoku/>
        <w:wordWrap/>
        <w:overflowPunct/>
        <w:topLinePunct w:val="0"/>
        <w:autoSpaceDE/>
        <w:autoSpaceDN/>
        <w:bidi w:val="0"/>
        <w:adjustRightInd/>
        <w:snapToGrid/>
        <w:spacing w:line="440" w:lineRule="exact"/>
        <w:ind w:firstLine="480" w:firstLineChars="200"/>
        <w:textAlignment w:val="auto"/>
        <w:rPr>
          <w:color w:val="auto"/>
          <w:sz w:val="24"/>
          <w:szCs w:val="24"/>
          <w:highlight w:val="none"/>
        </w:rPr>
      </w:pPr>
      <w:r>
        <w:rPr>
          <w:rFonts w:hint="eastAsia"/>
          <w:color w:val="auto"/>
          <w:sz w:val="24"/>
          <w:szCs w:val="24"/>
          <w:highlight w:val="none"/>
        </w:rPr>
        <w:t>（4）★第一章招标公告中二、申请人的资格要求：</w:t>
      </w:r>
      <w:r>
        <w:rPr>
          <w:rFonts w:hint="eastAsia"/>
          <w:color w:val="auto"/>
          <w:sz w:val="24"/>
          <w:szCs w:val="24"/>
          <w:highlight w:val="none"/>
          <w:lang w:eastAsia="zh-CN"/>
        </w:rPr>
        <w:t>（</w:t>
      </w:r>
      <w:r>
        <w:rPr>
          <w:rFonts w:hint="eastAsia"/>
          <w:color w:val="auto"/>
          <w:sz w:val="24"/>
          <w:szCs w:val="24"/>
          <w:highlight w:val="none"/>
          <w:lang w:val="en-US" w:eastAsia="zh-CN"/>
        </w:rPr>
        <w:t>一</w:t>
      </w:r>
      <w:r>
        <w:rPr>
          <w:rFonts w:hint="eastAsia"/>
          <w:color w:val="auto"/>
          <w:sz w:val="24"/>
          <w:szCs w:val="24"/>
          <w:highlight w:val="none"/>
          <w:lang w:eastAsia="zh-CN"/>
        </w:rPr>
        <w:t>）</w:t>
      </w:r>
      <w:r>
        <w:rPr>
          <w:rFonts w:hint="eastAsia"/>
          <w:color w:val="auto"/>
          <w:sz w:val="24"/>
          <w:szCs w:val="24"/>
          <w:highlight w:val="none"/>
        </w:rPr>
        <w:t>《中华人民共和国政府采购法》规定的资格条件证明文件</w:t>
      </w:r>
      <w:r>
        <w:rPr>
          <w:rFonts w:hint="eastAsia" w:ascii="宋体" w:hAnsi="宋体" w:cs="宋体"/>
          <w:color w:val="auto"/>
          <w:sz w:val="24"/>
          <w:szCs w:val="24"/>
          <w:highlight w:val="none"/>
          <w:lang w:val="en-US" w:eastAsia="zh-CN"/>
        </w:rPr>
        <w:t>；</w:t>
      </w:r>
    </w:p>
    <w:p w14:paraId="487EDF5D">
      <w:pPr>
        <w:pageBreakBefore w:val="0"/>
        <w:kinsoku/>
        <w:wordWrap/>
        <w:overflowPunct/>
        <w:topLinePunct w:val="0"/>
        <w:autoSpaceDE/>
        <w:autoSpaceDN/>
        <w:bidi w:val="0"/>
        <w:adjustRightInd/>
        <w:snapToGrid/>
        <w:spacing w:line="440" w:lineRule="exact"/>
        <w:ind w:firstLine="480" w:firstLineChars="200"/>
        <w:textAlignment w:val="auto"/>
        <w:rPr>
          <w:color w:val="auto"/>
          <w:sz w:val="24"/>
          <w:szCs w:val="24"/>
          <w:highlight w:val="none"/>
        </w:rPr>
      </w:pPr>
      <w:r>
        <w:rPr>
          <w:rFonts w:hint="eastAsia"/>
          <w:color w:val="auto"/>
          <w:sz w:val="24"/>
          <w:szCs w:val="24"/>
          <w:highlight w:val="none"/>
        </w:rPr>
        <w:t>（5）★第一章招标公告中二、申请人的资格要求：</w:t>
      </w:r>
      <w:r>
        <w:rPr>
          <w:rFonts w:hint="eastAsia"/>
          <w:color w:val="auto"/>
          <w:sz w:val="24"/>
          <w:szCs w:val="24"/>
          <w:highlight w:val="none"/>
          <w:lang w:eastAsia="zh-CN"/>
        </w:rPr>
        <w:t>（</w:t>
      </w:r>
      <w:r>
        <w:rPr>
          <w:rFonts w:hint="eastAsia"/>
          <w:color w:val="auto"/>
          <w:sz w:val="24"/>
          <w:szCs w:val="24"/>
          <w:highlight w:val="none"/>
          <w:lang w:val="en-US" w:eastAsia="zh-CN"/>
        </w:rPr>
        <w:t>三</w:t>
      </w:r>
      <w:r>
        <w:rPr>
          <w:rFonts w:hint="eastAsia"/>
          <w:color w:val="auto"/>
          <w:sz w:val="24"/>
          <w:szCs w:val="24"/>
          <w:highlight w:val="none"/>
          <w:lang w:eastAsia="zh-CN"/>
        </w:rPr>
        <w:t>）</w:t>
      </w:r>
      <w:r>
        <w:rPr>
          <w:rFonts w:hint="eastAsia" w:ascii="宋体" w:hAnsi="宋体"/>
          <w:color w:val="auto"/>
          <w:sz w:val="24"/>
          <w:szCs w:val="24"/>
          <w:highlight w:val="none"/>
        </w:rPr>
        <w:t>本项目的特定资格要求证明文件</w:t>
      </w:r>
      <w:r>
        <w:rPr>
          <w:rFonts w:hint="eastAsia"/>
          <w:color w:val="auto"/>
          <w:sz w:val="24"/>
          <w:szCs w:val="24"/>
          <w:highlight w:val="none"/>
        </w:rPr>
        <w:t>；</w:t>
      </w:r>
    </w:p>
    <w:p w14:paraId="7BB1F6DA">
      <w:pPr>
        <w:pageBreakBefore w:val="0"/>
        <w:kinsoku/>
        <w:wordWrap/>
        <w:overflowPunct/>
        <w:topLinePunct w:val="0"/>
        <w:autoSpaceDE/>
        <w:autoSpaceDN/>
        <w:bidi w:val="0"/>
        <w:adjustRightInd/>
        <w:snapToGrid/>
        <w:spacing w:line="440" w:lineRule="exact"/>
        <w:ind w:firstLine="480" w:firstLineChars="200"/>
        <w:textAlignment w:val="auto"/>
        <w:rPr>
          <w:color w:val="auto"/>
          <w:sz w:val="24"/>
          <w:szCs w:val="24"/>
          <w:highlight w:val="none"/>
        </w:rPr>
      </w:pPr>
      <w:r>
        <w:rPr>
          <w:rFonts w:hint="eastAsia"/>
          <w:color w:val="auto"/>
          <w:sz w:val="24"/>
          <w:szCs w:val="24"/>
          <w:highlight w:val="none"/>
        </w:rPr>
        <w:t>（6）★《南京市政府采购投标人信用记录表暨信用承诺书》</w:t>
      </w:r>
      <w:r>
        <w:rPr>
          <w:rFonts w:hint="eastAsia" w:ascii="宋体" w:hAnsi="宋体" w:cs="宋体"/>
          <w:color w:val="auto"/>
          <w:sz w:val="24"/>
          <w:szCs w:val="24"/>
          <w:highlight w:val="none"/>
          <w:lang w:val="en-US" w:eastAsia="zh-CN"/>
        </w:rPr>
        <w:t>；</w:t>
      </w:r>
    </w:p>
    <w:p w14:paraId="27478B62">
      <w:pPr>
        <w:pageBreakBefore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（7）★《商务条款偏离表》</w:t>
      </w:r>
      <w:r>
        <w:rPr>
          <w:rFonts w:hint="eastAsia" w:ascii="宋体" w:hAnsi="宋体" w:cs="宋体"/>
          <w:color w:val="auto"/>
          <w:sz w:val="24"/>
          <w:szCs w:val="24"/>
          <w:highlight w:val="none"/>
          <w:lang w:val="en-US" w:eastAsia="zh-CN"/>
        </w:rPr>
        <w:t>；</w:t>
      </w:r>
    </w:p>
    <w:p w14:paraId="04CBF070">
      <w:pPr>
        <w:pageBreakBefore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（8）</w:t>
      </w:r>
      <w:r>
        <w:rPr>
          <w:rFonts w:hint="eastAsia" w:ascii="宋体" w:hAnsi="宋体"/>
          <w:color w:val="auto"/>
          <w:sz w:val="24"/>
          <w:szCs w:val="24"/>
          <w:highlight w:val="none"/>
        </w:rPr>
        <w:t>中小企业声</w:t>
      </w:r>
      <w:r>
        <w:rPr>
          <w:rFonts w:hint="eastAsia"/>
          <w:color w:val="auto"/>
          <w:sz w:val="24"/>
          <w:szCs w:val="24"/>
          <w:highlight w:val="none"/>
        </w:rPr>
        <w:t>明函、残疾人福利性单位声明函、属于监狱企业的证明文件</w:t>
      </w:r>
      <w:r>
        <w:rPr>
          <w:rFonts w:hint="eastAsia" w:ascii="宋体" w:hAnsi="宋体" w:cs="宋体"/>
          <w:color w:val="auto"/>
          <w:sz w:val="24"/>
          <w:szCs w:val="24"/>
          <w:highlight w:val="none"/>
          <w:lang w:val="en-US" w:eastAsia="zh-CN"/>
        </w:rPr>
        <w:t>；</w:t>
      </w:r>
    </w:p>
    <w:p w14:paraId="17A851D8">
      <w:pPr>
        <w:pageBreakBefore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（9）投标人拟投入人员情况表</w:t>
      </w:r>
      <w:r>
        <w:rPr>
          <w:rFonts w:hint="eastAsia" w:ascii="宋体" w:hAnsi="宋体" w:cs="宋体"/>
          <w:color w:val="auto"/>
          <w:sz w:val="24"/>
          <w:szCs w:val="24"/>
          <w:highlight w:val="none"/>
          <w:lang w:val="en-US" w:eastAsia="zh-CN"/>
        </w:rPr>
        <w:t>；</w:t>
      </w:r>
    </w:p>
    <w:p w14:paraId="0C88B871">
      <w:pPr>
        <w:pageBreakBefore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（10）投标人主要人员业绩汇总表</w:t>
      </w:r>
      <w:r>
        <w:rPr>
          <w:rFonts w:hint="eastAsia" w:ascii="宋体" w:hAnsi="宋体" w:cs="宋体"/>
          <w:color w:val="auto"/>
          <w:sz w:val="24"/>
          <w:szCs w:val="24"/>
          <w:highlight w:val="none"/>
          <w:lang w:val="en-US" w:eastAsia="zh-CN"/>
        </w:rPr>
        <w:t>；</w:t>
      </w:r>
    </w:p>
    <w:p w14:paraId="4EDE37F0">
      <w:pPr>
        <w:pageBreakBefore w:val="0"/>
        <w:kinsoku/>
        <w:wordWrap/>
        <w:overflowPunct/>
        <w:topLinePunct w:val="0"/>
        <w:autoSpaceDE/>
        <w:autoSpaceDN/>
        <w:bidi w:val="0"/>
        <w:adjustRightInd/>
        <w:snapToGrid/>
        <w:spacing w:line="440" w:lineRule="exact"/>
        <w:ind w:firstLine="480" w:firstLineChars="200"/>
        <w:textAlignment w:val="auto"/>
        <w:rPr>
          <w:rFonts w:hint="eastAsia"/>
          <w:color w:val="auto"/>
          <w:sz w:val="24"/>
          <w:szCs w:val="24"/>
          <w:highlight w:val="none"/>
        </w:rPr>
      </w:pPr>
      <w:r>
        <w:rPr>
          <w:rFonts w:hint="eastAsia"/>
          <w:color w:val="auto"/>
          <w:sz w:val="24"/>
          <w:szCs w:val="24"/>
          <w:highlight w:val="none"/>
        </w:rPr>
        <w:t>（11）投标人主要业绩汇总表</w:t>
      </w:r>
      <w:r>
        <w:rPr>
          <w:rFonts w:hint="eastAsia" w:ascii="宋体" w:hAnsi="宋体" w:cs="宋体"/>
          <w:color w:val="auto"/>
          <w:sz w:val="24"/>
          <w:szCs w:val="24"/>
          <w:highlight w:val="none"/>
          <w:lang w:val="en-US" w:eastAsia="zh-CN"/>
        </w:rPr>
        <w:t>；</w:t>
      </w:r>
    </w:p>
    <w:p w14:paraId="0E8D5A9B">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color w:val="auto"/>
          <w:sz w:val="24"/>
          <w:szCs w:val="24"/>
          <w:highlight w:val="none"/>
        </w:rPr>
        <w:t>（12）投标人认为需要提</w:t>
      </w:r>
      <w:r>
        <w:rPr>
          <w:rFonts w:hint="eastAsia" w:ascii="宋体" w:hAnsi="宋体" w:cs="宋体"/>
          <w:color w:val="auto"/>
          <w:sz w:val="24"/>
          <w:szCs w:val="24"/>
          <w:highlight w:val="none"/>
        </w:rPr>
        <w:t>供的其他资格证明文件和商务资料。</w:t>
      </w:r>
    </w:p>
    <w:p w14:paraId="4520B70D">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10</w:t>
      </w:r>
      <w:r>
        <w:rPr>
          <w:rFonts w:hint="eastAsia" w:ascii="宋体" w:hAnsi="宋体" w:cs="宋体"/>
          <w:b/>
          <w:bCs/>
          <w:color w:val="auto"/>
          <w:sz w:val="24"/>
          <w:szCs w:val="24"/>
          <w:highlight w:val="none"/>
        </w:rPr>
        <w:t>.投标文件的技术部分</w:t>
      </w:r>
    </w:p>
    <w:p w14:paraId="60515BE6">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.1 技术部分是证明投标人提供的产品和服务是合格的、并符合招标文件要求的证明文件，以及对投标报价表中的服务的详细说明，这些文件可以是文字资料、图纸和数据等。</w:t>
      </w:r>
    </w:p>
    <w:p w14:paraId="1A132B88">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.2 若技术性能无特殊说明，则按国家有关部门最新颁布的标准及规范为准。</w:t>
      </w:r>
    </w:p>
    <w:p w14:paraId="34464D95">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.3 提供的技术如与招标文件要求有不符之处，应说明其差别之所在，并在《技术条款偏离表》中逐条予以说明。</w:t>
      </w:r>
    </w:p>
    <w:p w14:paraId="6C576CCB">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.4 投标文件应按照招标文件要求提供技术资料、文件和有关证明，其中加“★”项目不得有缺失或无效。</w:t>
      </w:r>
    </w:p>
    <w:p w14:paraId="61D349ED">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技术方案</w:t>
      </w:r>
      <w:r>
        <w:rPr>
          <w:rFonts w:hint="eastAsia" w:ascii="宋体" w:hAnsi="宋体" w:cs="宋体"/>
          <w:color w:val="auto"/>
          <w:sz w:val="24"/>
          <w:szCs w:val="24"/>
          <w:highlight w:val="none"/>
          <w:lang w:val="en-US" w:eastAsia="zh-CN"/>
        </w:rPr>
        <w:t>；</w:t>
      </w:r>
    </w:p>
    <w:p w14:paraId="6844FEF3">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color w:val="auto"/>
          <w:sz w:val="24"/>
          <w:szCs w:val="24"/>
          <w:highlight w:val="none"/>
        </w:rPr>
        <w:t>★</w:t>
      </w:r>
      <w:r>
        <w:rPr>
          <w:rFonts w:hint="eastAsia" w:ascii="宋体" w:hAnsi="宋体" w:cs="宋体"/>
          <w:color w:val="auto"/>
          <w:sz w:val="24"/>
          <w:szCs w:val="24"/>
          <w:highlight w:val="none"/>
        </w:rPr>
        <w:t>《技术条款偏离表》</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 </w:t>
      </w:r>
    </w:p>
    <w:p w14:paraId="44D8933F">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（3）服务承诺</w:t>
      </w:r>
      <w:r>
        <w:rPr>
          <w:rFonts w:hint="eastAsia" w:ascii="宋体" w:hAnsi="宋体" w:cs="宋体"/>
          <w:color w:val="auto"/>
          <w:sz w:val="24"/>
          <w:szCs w:val="24"/>
          <w:highlight w:val="none"/>
          <w:lang w:val="en-US" w:eastAsia="zh-CN"/>
        </w:rPr>
        <w:t>；</w:t>
      </w:r>
    </w:p>
    <w:p w14:paraId="4FA11693">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（4）投标人认为需要提供的其他技术资料</w:t>
      </w:r>
      <w:r>
        <w:rPr>
          <w:rFonts w:hint="eastAsia" w:ascii="宋体" w:hAnsi="宋体" w:cs="宋体"/>
          <w:color w:val="auto"/>
          <w:sz w:val="24"/>
          <w:szCs w:val="24"/>
          <w:highlight w:val="none"/>
          <w:lang w:eastAsia="zh-CN"/>
        </w:rPr>
        <w:t>。</w:t>
      </w:r>
    </w:p>
    <w:p w14:paraId="62C6E045">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.投标文件的价格部分</w:t>
      </w:r>
    </w:p>
    <w:p w14:paraId="5C2F4C77">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.1 价格部分是对投标服务价格构成的说明，每一项服务仅接受一个价格。</w:t>
      </w:r>
    </w:p>
    <w:p w14:paraId="766DF4DF">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.2 </w:t>
      </w:r>
      <w:r>
        <w:rPr>
          <w:rFonts w:ascii="宋体" w:hAnsi="宋体" w:cs="宋体"/>
          <w:color w:val="auto"/>
          <w:sz w:val="24"/>
          <w:highlight w:val="none"/>
        </w:rPr>
        <w:t>报价应包含本次</w:t>
      </w:r>
      <w:r>
        <w:rPr>
          <w:rFonts w:hint="eastAsia" w:ascii="宋体" w:hAnsi="宋体" w:cs="宋体"/>
          <w:color w:val="auto"/>
          <w:sz w:val="24"/>
          <w:highlight w:val="none"/>
          <w:lang w:eastAsia="zh-CN"/>
        </w:rPr>
        <w:t>招标</w:t>
      </w:r>
      <w:r>
        <w:rPr>
          <w:rFonts w:ascii="宋体" w:hAnsi="宋体" w:cs="宋体"/>
          <w:color w:val="auto"/>
          <w:sz w:val="24"/>
          <w:highlight w:val="none"/>
        </w:rPr>
        <w:t>有关的所有费用，</w:t>
      </w:r>
      <w:r>
        <w:rPr>
          <w:rFonts w:hint="eastAsia" w:ascii="宋体" w:hAnsi="宋体" w:cs="宋体"/>
          <w:color w:val="auto"/>
          <w:sz w:val="24"/>
          <w:highlight w:val="none"/>
        </w:rPr>
        <w:t>包含</w:t>
      </w:r>
      <w:r>
        <w:rPr>
          <w:rFonts w:ascii="宋体" w:hAnsi="宋体" w:cs="宋体"/>
          <w:color w:val="auto"/>
          <w:sz w:val="24"/>
          <w:highlight w:val="none"/>
        </w:rPr>
        <w:t>支付给员工的工资</w:t>
      </w:r>
      <w:r>
        <w:rPr>
          <w:rFonts w:hint="eastAsia" w:ascii="宋体" w:hAnsi="宋体" w:cs="宋体"/>
          <w:color w:val="auto"/>
          <w:sz w:val="24"/>
          <w:highlight w:val="none"/>
        </w:rPr>
        <w:t>、</w:t>
      </w:r>
      <w:r>
        <w:rPr>
          <w:rFonts w:ascii="宋体" w:hAnsi="宋体" w:cs="宋体"/>
          <w:color w:val="auto"/>
          <w:sz w:val="24"/>
          <w:highlight w:val="none"/>
        </w:rPr>
        <w:t>国家强制缴纳的各种社会保障资金</w:t>
      </w:r>
      <w:r>
        <w:rPr>
          <w:rFonts w:hint="eastAsia" w:ascii="宋体" w:hAnsi="宋体" w:cs="宋体"/>
          <w:color w:val="auto"/>
          <w:sz w:val="24"/>
          <w:highlight w:val="none"/>
        </w:rPr>
        <w:t>（含社保）、加班费、绩效奖金、员工福利、其他补贴等</w:t>
      </w:r>
      <w:r>
        <w:rPr>
          <w:rFonts w:ascii="宋体" w:hAnsi="宋体" w:cs="宋体"/>
          <w:color w:val="auto"/>
          <w:sz w:val="24"/>
          <w:highlight w:val="none"/>
        </w:rPr>
        <w:t>，以及投标人认为需要的其他费用等</w:t>
      </w:r>
      <w:r>
        <w:rPr>
          <w:rFonts w:ascii="宋体" w:hAnsi="宋体" w:cs="宋体"/>
          <w:b/>
          <w:bCs/>
          <w:color w:val="auto"/>
          <w:sz w:val="24"/>
          <w:highlight w:val="none"/>
        </w:rPr>
        <w:t>。</w:t>
      </w:r>
    </w:p>
    <w:p w14:paraId="1A88F963">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.3 投标人的任何错漏、优惠报价不得作为减轻责任、减少服务、增加收费、降低质量的理由。</w:t>
      </w:r>
    </w:p>
    <w:p w14:paraId="36DCAFD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 投标人应在《报价一览表》《分项报价表》等标明提供货物和服务的单价、总价以及分项报价。投标人系小企业（含小型、微型企业）、残疾人福利性单位、监狱企业，并提供本企业制造的货物、承担的工程或者服务，或者提供其他小企业、残疾人福利性单位、监狱企业制造的货物和服务的，须在《报价一览表》《分项报价表》中注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投标人应当如实申报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否则评标委员会有权取消其小微企业、残疾人福利性单位、监狱企业优惠政策。</w:t>
      </w:r>
    </w:p>
    <w:p w14:paraId="6736C14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firstLineChars="200"/>
        <w:jc w:val="both"/>
        <w:textAlignment w:val="auto"/>
        <w:rPr>
          <w:color w:val="auto"/>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olor w:val="auto"/>
          <w:kern w:val="0"/>
          <w:sz w:val="24"/>
          <w:szCs w:val="24"/>
          <w:highlight w:val="none"/>
        </w:rPr>
        <w:t>本项目预算</w:t>
      </w:r>
      <w:r>
        <w:rPr>
          <w:rFonts w:hint="eastAsia" w:ascii="宋体" w:hAnsi="宋体"/>
          <w:color w:val="auto"/>
          <w:sz w:val="24"/>
          <w:szCs w:val="24"/>
          <w:highlight w:val="none"/>
        </w:rPr>
        <w:t>或</w:t>
      </w:r>
      <w:r>
        <w:rPr>
          <w:rFonts w:hint="eastAsia" w:ascii="宋体" w:hAnsi="宋体"/>
          <w:color w:val="auto"/>
          <w:kern w:val="0"/>
          <w:sz w:val="24"/>
          <w:szCs w:val="24"/>
          <w:highlight w:val="none"/>
        </w:rPr>
        <w:t>最高限价：详见招标文件第一章。</w:t>
      </w:r>
    </w:p>
    <w:p w14:paraId="069BF4A0">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.投标文件的其他部分</w:t>
      </w:r>
    </w:p>
    <w:p w14:paraId="47520790">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投标人编制投标文件需要提供的其他相关文件。</w:t>
      </w:r>
    </w:p>
    <w:p w14:paraId="34158236">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.投标保证金</w:t>
      </w:r>
    </w:p>
    <w:p w14:paraId="0D96E5AC">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本项目不收取保证金。</w:t>
      </w:r>
    </w:p>
    <w:p w14:paraId="051BBA24">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.投标有效期</w:t>
      </w:r>
    </w:p>
    <w:p w14:paraId="46128655">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w:t>
      </w:r>
      <w:r>
        <w:rPr>
          <w:rFonts w:hint="eastAsia" w:ascii="宋体" w:hAnsi="宋体"/>
          <w:color w:val="auto"/>
          <w:kern w:val="0"/>
          <w:sz w:val="24"/>
          <w:szCs w:val="24"/>
          <w:highlight w:val="none"/>
          <w:lang w:val="en-US" w:eastAsia="zh-CN"/>
        </w:rPr>
        <w:t>4</w:t>
      </w:r>
      <w:r>
        <w:rPr>
          <w:rFonts w:hint="eastAsia" w:ascii="宋体" w:hAnsi="宋体"/>
          <w:color w:val="auto"/>
          <w:kern w:val="0"/>
          <w:sz w:val="24"/>
          <w:szCs w:val="24"/>
          <w:highlight w:val="none"/>
        </w:rPr>
        <w:t>.1自开标之日起</w:t>
      </w:r>
      <w:r>
        <w:rPr>
          <w:rFonts w:hint="eastAsia" w:ascii="宋体" w:hAnsi="宋体"/>
          <w:b/>
          <w:color w:val="auto"/>
          <w:kern w:val="0"/>
          <w:sz w:val="24"/>
          <w:szCs w:val="24"/>
          <w:highlight w:val="none"/>
        </w:rPr>
        <w:t>90</w:t>
      </w:r>
      <w:r>
        <w:rPr>
          <w:rFonts w:hint="eastAsia" w:ascii="宋体" w:hAnsi="宋体"/>
          <w:color w:val="auto"/>
          <w:kern w:val="0"/>
          <w:sz w:val="24"/>
          <w:szCs w:val="24"/>
          <w:highlight w:val="none"/>
        </w:rPr>
        <w:t>天内投标有效</w:t>
      </w:r>
      <w:r>
        <w:rPr>
          <w:rFonts w:hint="eastAsia" w:ascii="宋体" w:hAnsi="宋体"/>
          <w:b/>
          <w:color w:val="auto"/>
          <w:sz w:val="24"/>
          <w:szCs w:val="24"/>
          <w:highlight w:val="none"/>
        </w:rPr>
        <w:t>，投标有效期从提交投标文件的截止之日起算，投标文件中承诺的投标有效期应当不少于招标文件中载明的投标有效期。</w:t>
      </w:r>
    </w:p>
    <w:p w14:paraId="0CD01A4F">
      <w:pPr>
        <w:pageBreakBefore w:val="0"/>
        <w:widowControl/>
        <w:shd w:val="clear" w:color="auto" w:fill="FFFFFF"/>
        <w:kinsoku/>
        <w:wordWrap/>
        <w:overflowPunct/>
        <w:topLinePunct w:val="0"/>
        <w:autoSpaceDE/>
        <w:autoSpaceDN/>
        <w:bidi w:val="0"/>
        <w:adjustRightInd/>
        <w:snapToGrid/>
        <w:spacing w:line="440" w:lineRule="exact"/>
        <w:ind w:firstLine="480" w:firstLineChars="200"/>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1</w:t>
      </w:r>
      <w:r>
        <w:rPr>
          <w:rFonts w:hint="eastAsia" w:ascii="宋体" w:hAnsi="宋体"/>
          <w:color w:val="auto"/>
          <w:kern w:val="0"/>
          <w:sz w:val="24"/>
          <w:szCs w:val="24"/>
          <w:highlight w:val="none"/>
          <w:lang w:val="en-US" w:eastAsia="zh-CN"/>
        </w:rPr>
        <w:t>4</w:t>
      </w:r>
      <w:r>
        <w:rPr>
          <w:rFonts w:hint="eastAsia" w:ascii="宋体" w:hAnsi="宋体"/>
          <w:color w:val="auto"/>
          <w:kern w:val="0"/>
          <w:sz w:val="24"/>
          <w:szCs w:val="24"/>
          <w:highlight w:val="none"/>
        </w:rPr>
        <w:t>.2特殊情况下，在原投标有效期截止之前，采购代理机构可要求投标人同意延长投标有效期，这种要求与答复均应以书面形式提交。投标人</w:t>
      </w:r>
      <w:r>
        <w:rPr>
          <w:rFonts w:hint="eastAsia" w:ascii="宋体" w:hAnsi="宋体"/>
          <w:color w:val="auto"/>
          <w:kern w:val="0"/>
          <w:sz w:val="24"/>
          <w:szCs w:val="24"/>
          <w:highlight w:val="none"/>
          <w:lang w:eastAsia="zh-CN"/>
        </w:rPr>
        <w:t>可以</w:t>
      </w:r>
      <w:r>
        <w:rPr>
          <w:rFonts w:hint="eastAsia" w:ascii="宋体" w:hAnsi="宋体"/>
          <w:color w:val="auto"/>
          <w:kern w:val="0"/>
          <w:sz w:val="24"/>
          <w:szCs w:val="24"/>
          <w:highlight w:val="none"/>
        </w:rPr>
        <w:t>拒绝这种要求，并且不影响投标保证金的退还（如有）。接受延长投标有效期的投标人将不会要求和允许修正其投标，而只会被要求相应地延长其投标保证金（如有）的有效期。在这种情况下，有关投标保证金（如有）的退还规定在延长了的有效期内继续有效。</w:t>
      </w:r>
    </w:p>
    <w:p w14:paraId="4C3ED273">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15</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投标文件的签署</w:t>
      </w:r>
    </w:p>
    <w:p w14:paraId="691B25E1">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.1 投标人应按照招标文件要求，对需要加盖公章放入投标文件中的资格证明文件和有关资料加盖公章扫描后放置电子投标文件中。</w:t>
      </w:r>
    </w:p>
    <w:p w14:paraId="1F43FB6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rPr>
        <w:t>.2 投标人应在投标文件指定位置加盖单位公章。</w:t>
      </w:r>
    </w:p>
    <w:p w14:paraId="2C100FE3">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16</w:t>
      </w:r>
      <w:r>
        <w:rPr>
          <w:rFonts w:hint="eastAsia" w:ascii="宋体" w:hAnsi="宋体" w:cs="宋体"/>
          <w:b/>
          <w:bCs/>
          <w:color w:val="auto"/>
          <w:sz w:val="24"/>
          <w:szCs w:val="24"/>
          <w:highlight w:val="none"/>
        </w:rPr>
        <w:t>.投标费用</w:t>
      </w:r>
    </w:p>
    <w:p w14:paraId="7A696AF6">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.1 投标人应承担所有与准备和参加投标有关的费用，无论采购结果如何，采购代理机构和采购人在任何情况下均无义务和责任承担这些费用。</w:t>
      </w:r>
    </w:p>
    <w:p w14:paraId="2A485FD4">
      <w:pPr>
        <w:spacing w:line="360" w:lineRule="auto"/>
        <w:ind w:firstLine="480" w:firstLineChars="200"/>
        <w:rPr>
          <w:rFonts w:ascii="宋体" w:hAnsi="宋体" w:cs="宋体"/>
          <w:color w:val="auto"/>
          <w:sz w:val="24"/>
          <w:szCs w:val="24"/>
          <w:highlight w:val="none"/>
        </w:rPr>
      </w:pPr>
      <w:r>
        <w:rPr>
          <w:rFonts w:hint="eastAsia" w:ascii="宋体" w:hAnsi="宋体" w:cs="宋体"/>
          <w:b w:val="0"/>
          <w:bCs w:val="0"/>
          <w:color w:val="auto"/>
          <w:sz w:val="24"/>
          <w:szCs w:val="24"/>
          <w:highlight w:val="none"/>
          <w:lang w:val="en-US" w:eastAsia="zh-CN"/>
        </w:rPr>
        <w:t>16</w:t>
      </w:r>
      <w:r>
        <w:rPr>
          <w:rFonts w:hint="eastAsia" w:ascii="宋体" w:hAnsi="宋体" w:cs="宋体"/>
          <w:b w:val="0"/>
          <w:bCs w:val="0"/>
          <w:color w:val="auto"/>
          <w:sz w:val="24"/>
          <w:szCs w:val="24"/>
          <w:highlight w:val="none"/>
        </w:rPr>
        <w:t>.2 中标人在收到中标通知书之前须交纳采购代理服务费</w:t>
      </w:r>
      <w:r>
        <w:rPr>
          <w:rFonts w:hint="eastAsia" w:ascii="宋体" w:hAnsi="宋体" w:cs="宋体"/>
          <w:b w:val="0"/>
          <w:bCs w:val="0"/>
          <w:color w:val="auto"/>
          <w:sz w:val="24"/>
          <w:szCs w:val="24"/>
          <w:highlight w:val="none"/>
          <w:lang w:eastAsia="zh-CN"/>
        </w:rPr>
        <w:t>，</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金额为基数，参照《江苏省政府采购代理服务收费指导意见》(苏政采协[2024]20号)收费标准</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%计取。</w:t>
      </w:r>
      <w:r>
        <w:rPr>
          <w:rFonts w:hint="eastAsia" w:ascii="宋体" w:hAnsi="宋体" w:eastAsia="宋体" w:cs="宋体"/>
          <w:color w:val="auto"/>
          <w:sz w:val="24"/>
          <w:szCs w:val="24"/>
          <w:highlight w:val="none"/>
          <w:lang w:val="en-US" w:eastAsia="zh-CN"/>
        </w:rPr>
        <w:t>该</w:t>
      </w:r>
      <w:r>
        <w:rPr>
          <w:rFonts w:hint="eastAsia" w:ascii="宋体" w:hAnsi="宋体" w:eastAsia="宋体" w:cs="宋体"/>
          <w:color w:val="auto"/>
          <w:sz w:val="24"/>
          <w:szCs w:val="24"/>
          <w:highlight w:val="none"/>
          <w:lang w:val="zh-CN"/>
        </w:rPr>
        <w:t>费用不单独计列，计入</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rPr>
        <w:t>报价中，采购人不另行支付。</w:t>
      </w:r>
    </w:p>
    <w:p w14:paraId="11F6B101">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四、投标文件的递交</w:t>
      </w:r>
    </w:p>
    <w:p w14:paraId="3016B738">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投标文件的递交</w:t>
      </w:r>
    </w:p>
    <w:p w14:paraId="26AD69B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.1 投标人应当按照《操作手册》规定，在招标公告规定的投标截止时间前制作并上传电子投标文件。招标代理机构拒绝接收提交投标文件截止时间后上传的任何电子投标文件。</w:t>
      </w:r>
    </w:p>
    <w:p w14:paraId="27831FB8">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rPr>
        <w:t>投标文件的解密</w:t>
      </w:r>
    </w:p>
    <w:p w14:paraId="2B1C213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8</w:t>
      </w:r>
      <w:r>
        <w:rPr>
          <w:rFonts w:hint="eastAsia" w:ascii="宋体" w:hAnsi="宋体" w:cs="宋体"/>
          <w:b w:val="0"/>
          <w:bCs w:val="0"/>
          <w:color w:val="auto"/>
          <w:sz w:val="24"/>
          <w:szCs w:val="24"/>
          <w:highlight w:val="none"/>
        </w:rPr>
        <w:t>.1 投标人应当按照《操作手册》规定，在“苏采云”系统规定的时间内对投标文件进行解密。</w:t>
      </w:r>
    </w:p>
    <w:p w14:paraId="1FAC5479">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8</w:t>
      </w:r>
      <w:r>
        <w:rPr>
          <w:rFonts w:hint="eastAsia" w:ascii="宋体" w:hAnsi="宋体" w:cs="宋体"/>
          <w:b w:val="0"/>
          <w:bCs w:val="0"/>
          <w:color w:val="auto"/>
          <w:sz w:val="24"/>
          <w:szCs w:val="24"/>
          <w:highlight w:val="none"/>
        </w:rPr>
        <w:t>.2 投标人应充分考虑网络环境、网络宽带等因素可能对投标产生的影响，如因投标人自身原因造成的电子投标文件解密不成功的，做无效投标处理。</w:t>
      </w:r>
    </w:p>
    <w:p w14:paraId="15146423">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19.</w:t>
      </w:r>
      <w:r>
        <w:rPr>
          <w:rFonts w:hint="eastAsia" w:ascii="宋体" w:hAnsi="宋体" w:cs="宋体"/>
          <w:b/>
          <w:bCs/>
          <w:color w:val="auto"/>
          <w:sz w:val="24"/>
          <w:szCs w:val="24"/>
          <w:highlight w:val="none"/>
        </w:rPr>
        <w:t>有下列情形之一的投标文件将拒收：</w:t>
      </w:r>
    </w:p>
    <w:p w14:paraId="70236591">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.1 投标截止时间后上传的任何投标文件将被拒绝。</w:t>
      </w:r>
    </w:p>
    <w:p w14:paraId="4BC30643">
      <w:pPr>
        <w:pageBreakBefore w:val="0"/>
        <w:kinsoku/>
        <w:wordWrap/>
        <w:overflowPunct/>
        <w:topLinePunct w:val="0"/>
        <w:autoSpaceDE/>
        <w:autoSpaceDN/>
        <w:bidi w:val="0"/>
        <w:adjustRightInd/>
        <w:snapToGrid/>
        <w:spacing w:line="440" w:lineRule="exact"/>
        <w:ind w:firstLine="482" w:firstLineChars="20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0</w:t>
      </w:r>
      <w:r>
        <w:rPr>
          <w:rFonts w:hint="eastAsia" w:ascii="宋体" w:hAnsi="宋体" w:cs="宋体"/>
          <w:b/>
          <w:bCs/>
          <w:color w:val="auto"/>
          <w:sz w:val="24"/>
          <w:szCs w:val="24"/>
          <w:highlight w:val="none"/>
        </w:rPr>
        <w:t>.投标文件的修改和撤回</w:t>
      </w:r>
    </w:p>
    <w:p w14:paraId="397B76A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.1 投标文件的撤回</w:t>
      </w:r>
    </w:p>
    <w:p w14:paraId="71D8CE3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.1.1 投标人可在投标截止时间前撤回其电子投标文件，具体操作方法见《操作手册》。</w:t>
      </w:r>
    </w:p>
    <w:p w14:paraId="0B7DFF5A">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.1.2 投标人撤回电子投标文件，则认为其不再参与本项目投标活动。</w:t>
      </w:r>
    </w:p>
    <w:p w14:paraId="3B99134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.2 投标文件的修改</w:t>
      </w:r>
    </w:p>
    <w:p w14:paraId="161CFB8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.2.1 投标人可在投标截止时间前对其电子投标文件进行修改，具体操作方法见《操作手册》。</w:t>
      </w:r>
    </w:p>
    <w:p w14:paraId="4CC6204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.2.2 投标截止时间之后，投标人不得对其电子投标文件作任何修改。</w:t>
      </w:r>
    </w:p>
    <w:p w14:paraId="4C9DD5A6">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.3 在投标截止时间至招标文件中规定的投标有效期满之间的这段时间内，投标人不得撤回其投标。</w:t>
      </w:r>
    </w:p>
    <w:p w14:paraId="34C7B3B0">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w:t>
      </w:r>
      <w:r>
        <w:rPr>
          <w:rFonts w:hint="eastAsia" w:ascii="宋体" w:hAnsi="宋体"/>
          <w:b/>
          <w:bCs/>
          <w:color w:val="auto"/>
          <w:sz w:val="24"/>
          <w:szCs w:val="24"/>
          <w:highlight w:val="none"/>
        </w:rPr>
        <w:t>诚实信用</w:t>
      </w:r>
    </w:p>
    <w:p w14:paraId="084C4B0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21</w:t>
      </w:r>
      <w:r>
        <w:rPr>
          <w:rFonts w:hint="eastAsia" w:ascii="宋体" w:hAnsi="宋体"/>
          <w:b w:val="0"/>
          <w:bCs w:val="0"/>
          <w:color w:val="auto"/>
          <w:sz w:val="24"/>
          <w:szCs w:val="24"/>
          <w:highlight w:val="none"/>
        </w:rPr>
        <w:t>.1投标人应当遵循公平竞争的原则，不得恶意串通，不得妨碍其他投标人的竞争行为，不得损害采购人或者其他投标人的合法权益。</w:t>
      </w:r>
    </w:p>
    <w:p w14:paraId="68A5F70A">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21</w:t>
      </w:r>
      <w:r>
        <w:rPr>
          <w:rFonts w:hint="eastAsia" w:ascii="宋体" w:hAnsi="宋体"/>
          <w:b w:val="0"/>
          <w:bCs w:val="0"/>
          <w:color w:val="auto"/>
          <w:sz w:val="24"/>
          <w:szCs w:val="24"/>
          <w:highlight w:val="none"/>
        </w:rPr>
        <w:t>.2在评标过程中发现投标人有上述情形的，评标委员会应当认定其投标无效，并书面报告本级财政部门。</w:t>
      </w:r>
    </w:p>
    <w:p w14:paraId="42B3588F">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五、开标、评标与定标</w:t>
      </w:r>
    </w:p>
    <w:p w14:paraId="2A4637B3">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开标</w:t>
      </w:r>
    </w:p>
    <w:p w14:paraId="5528218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rPr>
        <w:t>.1 代理机构在招标公告中规定的时间和地点组织公开开标。投标人按照《操作手册》规定参加开标活动，并在“苏采云”系统规定的时间内对投标文件进行解密。“苏采云”系统公布各投标人名称和投标价格。</w:t>
      </w:r>
    </w:p>
    <w:p w14:paraId="7F39403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rPr>
        <w:t>.2 投标人在开标过程中涉及到的投标文件解密、开标结果确认等工作，应按照《操作手册》规定执行。</w:t>
      </w:r>
    </w:p>
    <w:p w14:paraId="037B3BE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rPr>
        <w:t>.3投标人不足3家的，不得开标。</w:t>
      </w:r>
    </w:p>
    <w:p w14:paraId="50FA92D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rPr>
        <w:t>.4 投标人如果对开标过程和开标结果有疑义，应当根据《操作手册》规定提出，“苏采云”系统中《开标记录表》公布后5分钟内未提出的，视同认可开标结果。</w:t>
      </w:r>
    </w:p>
    <w:p w14:paraId="2E1CBA4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rPr>
        <w:t>.5公开招标数额标准以上的采购项目，投标截止后投标人不足3家或者通过资格审查或符合性审查的投标人不足3家的，除采购任务取消情形外，按照以下方式处理：</w:t>
      </w:r>
    </w:p>
    <w:p w14:paraId="130B444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（1）招标文件存在不合理条款或者招标程序不符合规定的，采购人、采购代理机构改正后依法重新招标；</w:t>
      </w:r>
    </w:p>
    <w:p w14:paraId="208B02E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（2）招标文件没有不合理条款、招标程序符合规定，需要采用其他采购方式采购的，采购人依法报财政部门批准，经批准后，可变更为其他采购方式采购。</w:t>
      </w:r>
    </w:p>
    <w:p w14:paraId="45CA491E">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23.</w:t>
      </w:r>
      <w:r>
        <w:rPr>
          <w:rFonts w:hint="eastAsia" w:ascii="宋体" w:hAnsi="宋体"/>
          <w:b/>
          <w:bCs/>
          <w:color w:val="auto"/>
          <w:sz w:val="24"/>
          <w:szCs w:val="24"/>
          <w:highlight w:val="none"/>
        </w:rPr>
        <w:t xml:space="preserve">评标 </w:t>
      </w:r>
    </w:p>
    <w:p w14:paraId="4FF8CAEC">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val="0"/>
          <w:bCs w:val="0"/>
          <w:color w:val="auto"/>
          <w:sz w:val="24"/>
          <w:szCs w:val="24"/>
          <w:highlight w:val="none"/>
        </w:rPr>
      </w:pPr>
      <w:r>
        <w:rPr>
          <w:rFonts w:hint="eastAsia" w:ascii="宋体" w:hAnsi="宋体"/>
          <w:b/>
          <w:bCs/>
          <w:color w:val="auto"/>
          <w:sz w:val="24"/>
          <w:szCs w:val="24"/>
          <w:highlight w:val="none"/>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.1 评标委员会</w:t>
      </w:r>
      <w:r>
        <w:rPr>
          <w:rFonts w:hint="eastAsia" w:ascii="宋体" w:hAnsi="宋体"/>
          <w:b w:val="0"/>
          <w:bCs w:val="0"/>
          <w:color w:val="auto"/>
          <w:sz w:val="24"/>
          <w:szCs w:val="24"/>
          <w:highlight w:val="none"/>
        </w:rPr>
        <w:t xml:space="preserve"> </w:t>
      </w:r>
    </w:p>
    <w:p w14:paraId="465D6D5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rPr>
        <w:t>.1.1评标委员会负责具体评标事务，并独立履行下列职责：</w:t>
      </w:r>
    </w:p>
    <w:p w14:paraId="3242DEA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（1）审查、评价投标文件是否符合招标文件的商务、技术等实质性要求；</w:t>
      </w:r>
    </w:p>
    <w:p w14:paraId="23CC597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（2）要求投标人对投标文件有关事项作出澄清或者说明；</w:t>
      </w:r>
    </w:p>
    <w:p w14:paraId="1D249C6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（3）对投标文件进行比较和评价；</w:t>
      </w:r>
    </w:p>
    <w:p w14:paraId="3888F7B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（4）确定中标候选人名单，以及根据采购人委托直接确定中标人；</w:t>
      </w:r>
    </w:p>
    <w:p w14:paraId="6B7F2332">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（5）向采购人、采购代理机构或者有关部门报告评标中发现的违法行为。</w:t>
      </w:r>
    </w:p>
    <w:p w14:paraId="6EC0F973">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rPr>
        <w:t>.1.2 评标委员会由采购人代表和有关技术、经济等方面的专家组成，独立开展评审工作。</w:t>
      </w:r>
    </w:p>
    <w:p w14:paraId="48D1498D">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.2  评标程序</w:t>
      </w:r>
    </w:p>
    <w:p w14:paraId="448FC954">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val="0"/>
          <w:bCs w:val="0"/>
          <w:color w:val="auto"/>
          <w:sz w:val="24"/>
          <w:szCs w:val="24"/>
          <w:highlight w:val="none"/>
        </w:rPr>
      </w:pPr>
      <w:r>
        <w:rPr>
          <w:rFonts w:hint="eastAsia" w:ascii="宋体" w:hAnsi="宋体"/>
          <w:b/>
          <w:bCs/>
          <w:color w:val="auto"/>
          <w:sz w:val="24"/>
          <w:szCs w:val="24"/>
          <w:highlight w:val="none"/>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.2.1 投标文件的资格性检查。</w:t>
      </w:r>
      <w:r>
        <w:rPr>
          <w:rFonts w:hint="eastAsia" w:ascii="宋体" w:hAnsi="宋体"/>
          <w:b w:val="0"/>
          <w:bCs w:val="0"/>
          <w:color w:val="auto"/>
          <w:sz w:val="24"/>
          <w:szCs w:val="24"/>
          <w:highlight w:val="none"/>
        </w:rPr>
        <w:t>公开招标采购项目开标结束后，采购人或者采购代理机构应当依法对投标人的资格进行审查。合格投标人不足3家的，不得评标。</w:t>
      </w:r>
    </w:p>
    <w:p w14:paraId="65529DBC">
      <w:pPr>
        <w:pageBreakBefore w:val="0"/>
        <w:kinsoku/>
        <w:wordWrap/>
        <w:overflowPunct/>
        <w:topLinePunct w:val="0"/>
        <w:autoSpaceDE/>
        <w:autoSpaceDN/>
        <w:bidi w:val="0"/>
        <w:adjustRightInd/>
        <w:snapToGrid/>
        <w:spacing w:line="440" w:lineRule="exact"/>
        <w:ind w:firstLine="482" w:firstLineChars="200"/>
        <w:textAlignment w:val="auto"/>
        <w:rPr>
          <w:color w:val="auto"/>
          <w:highlight w:val="none"/>
        </w:rPr>
      </w:pPr>
      <w:r>
        <w:rPr>
          <w:rFonts w:hint="eastAsia" w:ascii="宋体" w:hAnsi="宋体"/>
          <w:b/>
          <w:bCs/>
          <w:color w:val="auto"/>
          <w:sz w:val="24"/>
          <w:szCs w:val="24"/>
          <w:highlight w:val="none"/>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.2.2投标文件的符合性审查。</w:t>
      </w:r>
      <w:r>
        <w:rPr>
          <w:rFonts w:hint="eastAsia" w:ascii="宋体" w:hAnsi="宋体"/>
          <w:b w:val="0"/>
          <w:bCs w:val="0"/>
          <w:color w:val="auto"/>
          <w:sz w:val="24"/>
          <w:szCs w:val="24"/>
          <w:highlight w:val="none"/>
        </w:rPr>
        <w:t>评标委员会对通过资格性检查的投标人的投标文件进行符合性审查，以确定其</w:t>
      </w:r>
      <w:r>
        <w:rPr>
          <w:rFonts w:hint="eastAsia"/>
          <w:color w:val="auto"/>
          <w:highlight w:val="none"/>
        </w:rPr>
        <w:t>是否满足招标文件的实质性要求。投标文件有下列情况之一的，在符合性检查时按照无效投标处理：</w:t>
      </w:r>
    </w:p>
    <w:p w14:paraId="3CE10FF3">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（1）投标人在“苏采云”系统规定的时间内未成功解密电子投标文件的；</w:t>
      </w:r>
    </w:p>
    <w:p w14:paraId="2F44880B">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（2）投标人未按照招标文件要求上传电子投标文件的；</w:t>
      </w:r>
    </w:p>
    <w:p w14:paraId="1E9369DA">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（3）同一投标人提交两个（含两个）以上不同的投标报价的；</w:t>
      </w:r>
    </w:p>
    <w:p w14:paraId="67067433">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（4）投标文件未按照招标文件要求加盖公章的；</w:t>
      </w:r>
    </w:p>
    <w:p w14:paraId="5A24242D">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（5）报价超过招标文件中规定的最高限价的；</w:t>
      </w:r>
    </w:p>
    <w:p w14:paraId="684D5A8F">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（6）投标文件含有采购人不能接受的附加条件的；</w:t>
      </w:r>
    </w:p>
    <w:p w14:paraId="2D5649EF">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（7）投标文件内容不全或不符合招标文件中规定的其他实质性要求的；</w:t>
      </w:r>
    </w:p>
    <w:p w14:paraId="62E94597">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（8）现行法律、法规、规章和招标文件规定的其他无效情形。</w:t>
      </w:r>
    </w:p>
    <w:p w14:paraId="00C48D7F">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23.2.3</w:t>
      </w:r>
      <w:r>
        <w:rPr>
          <w:rFonts w:hint="eastAsia" w:ascii="宋体" w:hAnsi="宋体"/>
          <w:b/>
          <w:bCs/>
          <w:color w:val="auto"/>
          <w:sz w:val="24"/>
          <w:szCs w:val="24"/>
          <w:highlight w:val="none"/>
        </w:rPr>
        <w:t>强化政府采购异常低价审查</w:t>
      </w:r>
      <w:r>
        <w:rPr>
          <w:rFonts w:hint="eastAsia" w:ascii="宋体" w:hAnsi="宋体"/>
          <w:b/>
          <w:bCs/>
          <w:color w:val="auto"/>
          <w:sz w:val="24"/>
          <w:szCs w:val="24"/>
          <w:highlight w:val="none"/>
          <w:lang w:val="en-US" w:eastAsia="zh-CN"/>
        </w:rPr>
        <w:t>。</w:t>
      </w:r>
    </w:p>
    <w:p w14:paraId="35266563">
      <w:pPr>
        <w:autoSpaceDE w:val="0"/>
        <w:autoSpaceDN w:val="0"/>
        <w:adjustRightInd w:val="0"/>
        <w:snapToGrid w:val="0"/>
        <w:spacing w:line="360" w:lineRule="auto"/>
        <w:ind w:firstLine="360" w:firstLineChars="150"/>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（一）评审过程中出现下列情形之一的，评审小组应当启动异常低价响应审查程序：</w:t>
      </w:r>
    </w:p>
    <w:p w14:paraId="59772096">
      <w:pPr>
        <w:autoSpaceDE w:val="0"/>
        <w:autoSpaceDN w:val="0"/>
        <w:adjustRightInd w:val="0"/>
        <w:snapToGrid w:val="0"/>
        <w:spacing w:line="360" w:lineRule="auto"/>
        <w:ind w:firstLine="360" w:firstLineChars="150"/>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①</w:t>
      </w:r>
      <w:r>
        <w:rPr>
          <w:rFonts w:hint="eastAsia" w:ascii="宋体" w:hAnsi="宋体" w:cs="宋体"/>
          <w:color w:val="auto"/>
          <w:sz w:val="24"/>
          <w:szCs w:val="24"/>
          <w:highlight w:val="none"/>
          <w:lang w:val="zh-CN" w:eastAsia="zh-CN"/>
        </w:rPr>
        <w:t>投标（响应）报价低于全部通过符合性审查供应商投标（响应）报价平均值50%的，即投标（响应）报价&lt;全部通过符合性审查供应商投标（响应）报价平均值×50%；</w:t>
      </w:r>
    </w:p>
    <w:p w14:paraId="4EF1BCE7">
      <w:pPr>
        <w:autoSpaceDE w:val="0"/>
        <w:autoSpaceDN w:val="0"/>
        <w:adjustRightInd w:val="0"/>
        <w:snapToGrid w:val="0"/>
        <w:spacing w:line="360" w:lineRule="auto"/>
        <w:ind w:firstLine="360" w:firstLineChars="150"/>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②投标（响应）报价低于通过符合性审查的次低报价供应商投标（响应）报价50%的，即投标（响应）报价&lt;通过符合性审查的次低报价供应商投标（响应）报价×50%；</w:t>
      </w:r>
    </w:p>
    <w:p w14:paraId="75A53E3C">
      <w:pPr>
        <w:autoSpaceDE w:val="0"/>
        <w:autoSpaceDN w:val="0"/>
        <w:adjustRightInd w:val="0"/>
        <w:snapToGrid w:val="0"/>
        <w:spacing w:line="360" w:lineRule="auto"/>
        <w:ind w:firstLine="360" w:firstLineChars="150"/>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③投标（响应）报价低于采购项目最高限价45%的，即投标（响应）报价&lt;采购项目最高限价×45%；</w:t>
      </w:r>
    </w:p>
    <w:p w14:paraId="7E0C0B56">
      <w:pPr>
        <w:autoSpaceDE w:val="0"/>
        <w:autoSpaceDN w:val="0"/>
        <w:adjustRightInd w:val="0"/>
        <w:snapToGrid w:val="0"/>
        <w:spacing w:line="360" w:lineRule="auto"/>
        <w:ind w:firstLine="360" w:firstLineChars="15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④评审小组基于专业判断，认为供应商报价过低，有可能影响产品质量或者不能诚信履约的其他情形。</w:t>
      </w:r>
    </w:p>
    <w:p w14:paraId="20A06CD6">
      <w:pPr>
        <w:autoSpaceDE w:val="0"/>
        <w:autoSpaceDN w:val="0"/>
        <w:adjustRightInd w:val="0"/>
        <w:snapToGrid w:val="0"/>
        <w:spacing w:line="360" w:lineRule="auto"/>
        <w:ind w:firstLine="360" w:firstLineChars="15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二）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49BF84D">
      <w:pPr>
        <w:autoSpaceDE w:val="0"/>
        <w:autoSpaceDN w:val="0"/>
        <w:adjustRightInd w:val="0"/>
        <w:snapToGrid w:val="0"/>
        <w:spacing w:line="360" w:lineRule="auto"/>
        <w:ind w:firstLine="360" w:firstLineChars="15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34C01555">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lang w:val="zh-CN" w:eastAsia="zh-CN"/>
        </w:rPr>
        <w:t xml:space="preserve"> 实质性要求是指本招标文件中用带星号（“*”）、“必须”或“应（应当）”等其他文字说明的商务和技术要求。</w:t>
      </w:r>
    </w:p>
    <w:p w14:paraId="1A1FA8CF">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5</w:t>
      </w:r>
      <w:r>
        <w:rPr>
          <w:rFonts w:hint="eastAsia" w:ascii="宋体" w:hAnsi="宋体"/>
          <w:b/>
          <w:bCs/>
          <w:color w:val="auto"/>
          <w:sz w:val="24"/>
          <w:szCs w:val="24"/>
          <w:highlight w:val="none"/>
          <w:lang w:val="zh-CN" w:eastAsia="zh-CN"/>
        </w:rPr>
        <w:t>未通过资格审查或符合性审查的投标人，代理机构将通过“苏采云”系统告知其具体原因，评标结束后不再接受有关询问。</w:t>
      </w:r>
    </w:p>
    <w:p w14:paraId="3D2A2BA0">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6</w:t>
      </w:r>
      <w:r>
        <w:rPr>
          <w:rFonts w:hint="eastAsia" w:ascii="宋体" w:hAnsi="宋体"/>
          <w:b/>
          <w:bCs/>
          <w:color w:val="auto"/>
          <w:sz w:val="24"/>
          <w:szCs w:val="24"/>
          <w:highlight w:val="none"/>
          <w:lang w:val="zh-CN" w:eastAsia="zh-CN"/>
        </w:rPr>
        <w:t>有下列情形之一的予以废标：</w:t>
      </w:r>
    </w:p>
    <w:p w14:paraId="0B0FC132">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（1）符合专业条件的投标人或者对招标文件作实质性响应的投标人不足三家的；</w:t>
      </w:r>
    </w:p>
    <w:p w14:paraId="127D825A">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（2）出现影响采购公正的违法、违规行为的；</w:t>
      </w:r>
    </w:p>
    <w:p w14:paraId="7C81C45B">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（3）投标人的报价均超过了采购预算，采购人不能支付的；</w:t>
      </w:r>
    </w:p>
    <w:p w14:paraId="7600B1EE">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（4）因苏采云系统故障造成开标不成功的；</w:t>
      </w:r>
    </w:p>
    <w:p w14:paraId="7B31C24F">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（5）因重大变故，采购任务取消的。</w:t>
      </w:r>
    </w:p>
    <w:p w14:paraId="1B2DCB13">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7</w:t>
      </w:r>
      <w:r>
        <w:rPr>
          <w:rFonts w:hint="eastAsia" w:ascii="宋体" w:hAnsi="宋体"/>
          <w:b/>
          <w:bCs/>
          <w:color w:val="auto"/>
          <w:sz w:val="24"/>
          <w:szCs w:val="24"/>
          <w:highlight w:val="none"/>
          <w:lang w:val="zh-CN" w:eastAsia="zh-CN"/>
        </w:rPr>
        <w:t>澄清有关问题。</w:t>
      </w:r>
    </w:p>
    <w:p w14:paraId="6F33D12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.1 评标期间，评委会对投标文件中含义不明确、同类问题表述不一致或者有明显文字和计算错误的内容，有权要求投标人作出必要的澄清、说明或者补正。</w:t>
      </w:r>
    </w:p>
    <w:p w14:paraId="49136C2A">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投标人的澄清、说明或者补正不得超出投标文件的范围或者改变投标文件的实质性内容。</w:t>
      </w:r>
    </w:p>
    <w:p w14:paraId="755CC81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评委会并非对每个投标人都做澄清要求。</w:t>
      </w:r>
    </w:p>
    <w:p w14:paraId="6EBD5C1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.2 需要投标人进行澄清、说明和补正的，评委会将通过苏采云系统向投标人发出《澄清要求函》，接到《澄清要求函》的投标人应当按照要求在苏采云系统中提交《澄清响应函》并加盖公章。澄清、说明和补正的内容作为投标文件的补充部分，具体操作方式见《操作手册》。</w:t>
      </w:r>
    </w:p>
    <w:p w14:paraId="38FFFDEE">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.3 接到评委会澄清、说明和补正要求的，投标人如未按规定作出澄清、说明和补正，其风险由投标人自行承担。</w:t>
      </w:r>
    </w:p>
    <w:p w14:paraId="6D96899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.4投标文件报价出现前后不一致的，除招标文件另有规定外，按照下列规定修正：</w:t>
      </w:r>
    </w:p>
    <w:p w14:paraId="272E967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（1）投标文件中开标一览表（报价表）内容与投标文件中相应内容不一致的，以开标一览表（报价表）为准；</w:t>
      </w:r>
    </w:p>
    <w:p w14:paraId="670B5064">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（2）大写金额和小写金额不一致的，以大写金额为准；</w:t>
      </w:r>
    </w:p>
    <w:p w14:paraId="0FDAD36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（3）单价金额小数点或者百分比有明显错位的，以开标一览表的总价为准，并修改单价；</w:t>
      </w:r>
    </w:p>
    <w:p w14:paraId="51488F7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（4）总价金额与按单价汇总金额不一致的，以单价金额计算结果为准。</w:t>
      </w:r>
    </w:p>
    <w:p w14:paraId="278F08B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DFCA01D">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w:t>
      </w:r>
      <w:r>
        <w:rPr>
          <w:rFonts w:hint="eastAsia" w:ascii="宋体" w:hAnsi="宋体"/>
          <w:b w:val="0"/>
          <w:bCs w:val="0"/>
          <w:color w:val="auto"/>
          <w:sz w:val="24"/>
          <w:szCs w:val="24"/>
          <w:highlight w:val="none"/>
          <w:lang w:val="en-US" w:eastAsia="zh-CN"/>
        </w:rPr>
        <w:t>2.7</w:t>
      </w:r>
      <w:r>
        <w:rPr>
          <w:rFonts w:hint="eastAsia" w:ascii="宋体" w:hAnsi="宋体"/>
          <w:b w:val="0"/>
          <w:bCs w:val="0"/>
          <w:color w:val="auto"/>
          <w:sz w:val="24"/>
          <w:szCs w:val="24"/>
          <w:highlight w:val="none"/>
          <w:lang w:val="zh-CN" w:eastAsia="zh-CN"/>
        </w:rPr>
        <w:t>.5投标人在开、评标全过程中应保持通信畅通，及时登录苏采云系统查阅、答复相关信息，并安排专人与代理机构及评委会联系。</w:t>
      </w:r>
    </w:p>
    <w:p w14:paraId="045031A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8</w:t>
      </w:r>
      <w:r>
        <w:rPr>
          <w:rFonts w:hint="eastAsia" w:ascii="宋体" w:hAnsi="宋体"/>
          <w:b w:val="0"/>
          <w:bCs w:val="0"/>
          <w:color w:val="auto"/>
          <w:sz w:val="24"/>
          <w:szCs w:val="24"/>
          <w:highlight w:val="none"/>
          <w:lang w:val="zh-CN" w:eastAsia="zh-CN"/>
        </w:rPr>
        <w:t>比较与评价。评标委员会应当按照招标文件中规定的评标方法和标准，对符合性审查合格的投标文件进行商务和技术评估，综合比较与评价。</w:t>
      </w:r>
    </w:p>
    <w:p w14:paraId="6B99C33A">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val="0"/>
          <w:bCs w:val="0"/>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lang w:val="zh-CN" w:eastAsia="zh-CN"/>
        </w:rPr>
        <w:t>.3 评标方法和标准</w:t>
      </w:r>
    </w:p>
    <w:p w14:paraId="3461A5B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.3.1本次采购采用综合评分法，评标方法和标准，详见本招标文件第三章。</w:t>
      </w:r>
    </w:p>
    <w:p w14:paraId="1836F31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.3.2综合评分法，是指投标文件满足招标文件全部实质性要求，且按照评审因素的量化指标评审得分最高的投标人为中标候选人的评标方法。</w:t>
      </w:r>
    </w:p>
    <w:p w14:paraId="5C585E8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评标时，评标委员会各成员应当独立对每个投标人的投标文件进行评价，并汇总每个投标人的得分。</w:t>
      </w:r>
    </w:p>
    <w:p w14:paraId="14E668E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价格分采用低价优先法计算，即满足招标文件要求且投标价格最低的投标报价为评标基准价，其价格分为满分。</w:t>
      </w:r>
    </w:p>
    <w:p w14:paraId="5AEA3C7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 xml:space="preserve">评标总得分＝F1×A1＋F2×A2＋……＋Fn×An </w:t>
      </w:r>
    </w:p>
    <w:p w14:paraId="48DB9C1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F1、F2……Fn分别为各项评审因素的得分；</w:t>
      </w:r>
    </w:p>
    <w:p w14:paraId="50062E64">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A1、A2、……An 分别为各项评审因素所占的权重（A1＋A2＋……＋An＝1）。</w:t>
      </w:r>
    </w:p>
    <w:p w14:paraId="71D34DF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因落实政府采购政策进行价格调整的，以调整后的价格计算评标基准价和投标报价。</w:t>
      </w:r>
    </w:p>
    <w:p w14:paraId="55D106F3">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lang w:val="zh-CN" w:eastAsia="zh-CN"/>
        </w:rPr>
        <w:t>.确定中标人</w:t>
      </w:r>
    </w:p>
    <w:p w14:paraId="15A11DB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4</w:t>
      </w:r>
      <w:r>
        <w:rPr>
          <w:rFonts w:hint="eastAsia" w:ascii="宋体" w:hAnsi="宋体"/>
          <w:b w:val="0"/>
          <w:bCs w:val="0"/>
          <w:color w:val="auto"/>
          <w:sz w:val="24"/>
          <w:szCs w:val="24"/>
          <w:highlight w:val="none"/>
          <w:lang w:val="zh-CN" w:eastAsia="zh-CN"/>
        </w:rPr>
        <w:t>.1</w:t>
      </w:r>
      <w:r>
        <w:rPr>
          <w:rFonts w:hint="eastAsia" w:ascii="宋体" w:hAnsi="宋体"/>
          <w:b/>
          <w:bCs/>
          <w:color w:val="auto"/>
          <w:sz w:val="24"/>
          <w:szCs w:val="24"/>
          <w:highlight w:val="none"/>
          <w:lang w:val="zh-CN" w:eastAsia="zh-CN"/>
        </w:rPr>
        <w:t>采用综合评分法的，评标结果按评审后得分由高到低顺序排列。得分相同，</w:t>
      </w:r>
      <w:r>
        <w:rPr>
          <w:rFonts w:hint="eastAsia" w:ascii="宋体" w:hAnsi="宋体"/>
          <w:b/>
          <w:bCs/>
          <w:color w:val="auto"/>
          <w:sz w:val="24"/>
          <w:szCs w:val="24"/>
          <w:highlight w:val="none"/>
          <w:lang w:val="en-US" w:eastAsia="zh-CN"/>
        </w:rPr>
        <w:t>取</w:t>
      </w:r>
      <w:r>
        <w:rPr>
          <w:rFonts w:hint="eastAsia" w:ascii="宋体" w:hAnsi="宋体"/>
          <w:b/>
          <w:bCs/>
          <w:color w:val="auto"/>
          <w:sz w:val="24"/>
          <w:szCs w:val="24"/>
          <w:highlight w:val="none"/>
          <w:lang w:val="zh-CN" w:eastAsia="zh-CN"/>
        </w:rPr>
        <w:t>投标报价低的投标人排名在前</w:t>
      </w:r>
      <w:r>
        <w:rPr>
          <w:rFonts w:hint="eastAsia" w:ascii="宋体" w:hAnsi="宋体"/>
          <w:b/>
          <w:bCs/>
          <w:color w:val="auto"/>
          <w:sz w:val="24"/>
          <w:szCs w:val="24"/>
          <w:highlight w:val="none"/>
          <w:lang w:val="en-US" w:eastAsia="zh-CN"/>
        </w:rPr>
        <w:t>；</w:t>
      </w:r>
      <w:r>
        <w:rPr>
          <w:rFonts w:hint="eastAsia" w:ascii="宋体" w:hAnsi="宋体"/>
          <w:b/>
          <w:bCs/>
          <w:color w:val="auto"/>
          <w:sz w:val="24"/>
          <w:szCs w:val="24"/>
          <w:highlight w:val="none"/>
          <w:lang w:val="zh-CN" w:eastAsia="zh-CN"/>
        </w:rPr>
        <w:t>投标报价仍相同，取</w:t>
      </w:r>
      <w:r>
        <w:rPr>
          <w:rFonts w:hint="eastAsia" w:ascii="宋体" w:hAnsi="宋体"/>
          <w:b/>
          <w:bCs/>
          <w:color w:val="auto"/>
          <w:sz w:val="24"/>
          <w:szCs w:val="24"/>
          <w:highlight w:val="none"/>
          <w:lang w:val="en-US" w:eastAsia="zh-CN"/>
        </w:rPr>
        <w:t>技术</w:t>
      </w:r>
      <w:r>
        <w:rPr>
          <w:rFonts w:hint="eastAsia" w:ascii="宋体" w:hAnsi="宋体"/>
          <w:b/>
          <w:bCs/>
          <w:color w:val="auto"/>
          <w:sz w:val="24"/>
          <w:szCs w:val="24"/>
          <w:highlight w:val="none"/>
          <w:lang w:val="zh-CN" w:eastAsia="zh-CN"/>
        </w:rPr>
        <w:t>方案得分较高者排名在前</w:t>
      </w:r>
      <w:r>
        <w:rPr>
          <w:rFonts w:hint="eastAsia" w:ascii="宋体" w:hAnsi="宋体"/>
          <w:b/>
          <w:bCs/>
          <w:color w:val="auto"/>
          <w:sz w:val="24"/>
          <w:szCs w:val="24"/>
          <w:highlight w:val="none"/>
          <w:lang w:val="en-US" w:eastAsia="zh-CN"/>
        </w:rPr>
        <w:t>；</w:t>
      </w:r>
      <w:r>
        <w:rPr>
          <w:rFonts w:hint="eastAsia" w:ascii="宋体" w:hAnsi="宋体"/>
          <w:b/>
          <w:bCs/>
          <w:color w:val="auto"/>
          <w:sz w:val="24"/>
          <w:szCs w:val="24"/>
          <w:highlight w:val="none"/>
          <w:lang w:val="zh-CN" w:eastAsia="zh-CN"/>
        </w:rPr>
        <w:t>若</w:t>
      </w:r>
      <w:r>
        <w:rPr>
          <w:rFonts w:hint="eastAsia" w:ascii="宋体" w:hAnsi="宋体"/>
          <w:b/>
          <w:bCs/>
          <w:color w:val="auto"/>
          <w:sz w:val="24"/>
          <w:szCs w:val="24"/>
          <w:highlight w:val="none"/>
          <w:lang w:val="en-US" w:eastAsia="zh-CN"/>
        </w:rPr>
        <w:t>技术</w:t>
      </w:r>
      <w:r>
        <w:rPr>
          <w:rFonts w:hint="eastAsia" w:ascii="宋体" w:hAnsi="宋体"/>
          <w:b/>
          <w:bCs/>
          <w:color w:val="auto"/>
          <w:sz w:val="24"/>
          <w:szCs w:val="24"/>
          <w:highlight w:val="none"/>
          <w:lang w:val="zh-CN" w:eastAsia="zh-CN"/>
        </w:rPr>
        <w:t>方案得分仍相同，由评标委员会从其拟派的人员、业绩等方面，通过集体讨论确定其排名先后。</w:t>
      </w:r>
    </w:p>
    <w:p w14:paraId="07B73E4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4</w:t>
      </w:r>
      <w:r>
        <w:rPr>
          <w:rFonts w:hint="eastAsia" w:ascii="宋体" w:hAnsi="宋体"/>
          <w:b w:val="0"/>
          <w:bCs w:val="0"/>
          <w:color w:val="auto"/>
          <w:sz w:val="24"/>
          <w:szCs w:val="24"/>
          <w:highlight w:val="none"/>
          <w:lang w:val="zh-CN" w:eastAsia="zh-CN"/>
        </w:rPr>
        <w:t>.</w:t>
      </w: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lang w:val="zh-CN" w:eastAsia="zh-CN"/>
        </w:rPr>
        <w:t>按以下第（2）种方式确定中标人：</w:t>
      </w:r>
    </w:p>
    <w:p w14:paraId="4AE0F889">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（1）评委会直接确定排名第一的中标候选人为中标人；</w:t>
      </w:r>
    </w:p>
    <w:p w14:paraId="4F2C45E7">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（2）采购人在评委会推荐的中标候选人中按顺序确定中标人。</w:t>
      </w:r>
    </w:p>
    <w:p w14:paraId="3FB8645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按第二种方式确定中标人的，采购代理自评审结束之日起两个工作日内将评审报告送达采购人，采购人自收到评审报告之日起五个工作日内，在评审报告推荐的中标候选人中按顺序确定中标人。</w:t>
      </w:r>
    </w:p>
    <w:p w14:paraId="4AE9DD8C">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4</w:t>
      </w:r>
      <w:r>
        <w:rPr>
          <w:rFonts w:hint="eastAsia" w:ascii="宋体" w:hAnsi="宋体"/>
          <w:b w:val="0"/>
          <w:bCs w:val="0"/>
          <w:color w:val="auto"/>
          <w:sz w:val="24"/>
          <w:szCs w:val="24"/>
          <w:highlight w:val="none"/>
          <w:lang w:val="zh-CN" w:eastAsia="zh-CN"/>
        </w:rPr>
        <w:t>.</w:t>
      </w:r>
      <w:r>
        <w:rPr>
          <w:rFonts w:hint="eastAsia" w:ascii="宋体" w:hAnsi="宋体"/>
          <w:b w:val="0"/>
          <w:bCs w:val="0"/>
          <w:color w:val="auto"/>
          <w:sz w:val="24"/>
          <w:szCs w:val="24"/>
          <w:highlight w:val="none"/>
          <w:lang w:val="en-US" w:eastAsia="zh-CN"/>
        </w:rPr>
        <w:t>3</w:t>
      </w:r>
      <w:r>
        <w:rPr>
          <w:rFonts w:hint="eastAsia" w:ascii="宋体" w:hAnsi="宋体"/>
          <w:b w:val="0"/>
          <w:bCs w:val="0"/>
          <w:color w:val="auto"/>
          <w:sz w:val="24"/>
          <w:szCs w:val="24"/>
          <w:highlight w:val="none"/>
          <w:lang w:val="zh-CN" w:eastAsia="zh-CN"/>
        </w:rPr>
        <w:t>中标人确定后，在省级以上财政部门指定的媒体上公告中标结果，中标公告期为1个工作日，在公告的同时向中标人发出中标通知书。</w:t>
      </w:r>
    </w:p>
    <w:p w14:paraId="0A4DE73A">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4</w:t>
      </w:r>
      <w:r>
        <w:rPr>
          <w:rFonts w:hint="eastAsia" w:ascii="宋体" w:hAnsi="宋体"/>
          <w:b w:val="0"/>
          <w:bCs w:val="0"/>
          <w:color w:val="auto"/>
          <w:sz w:val="24"/>
          <w:szCs w:val="24"/>
          <w:highlight w:val="none"/>
          <w:lang w:val="zh-CN" w:eastAsia="zh-CN"/>
        </w:rPr>
        <w:t>.</w:t>
      </w:r>
      <w:r>
        <w:rPr>
          <w:rFonts w:hint="eastAsia" w:ascii="宋体" w:hAnsi="宋体"/>
          <w:b w:val="0"/>
          <w:bCs w:val="0"/>
          <w:color w:val="auto"/>
          <w:sz w:val="24"/>
          <w:szCs w:val="24"/>
          <w:highlight w:val="none"/>
          <w:lang w:val="en-US" w:eastAsia="zh-CN"/>
        </w:rPr>
        <w:t>4</w:t>
      </w:r>
      <w:r>
        <w:rPr>
          <w:rFonts w:hint="eastAsia" w:ascii="宋体" w:hAnsi="宋体"/>
          <w:b w:val="0"/>
          <w:bCs w:val="0"/>
          <w:color w:val="auto"/>
          <w:sz w:val="24"/>
          <w:szCs w:val="24"/>
          <w:highlight w:val="none"/>
          <w:lang w:val="zh-CN" w:eastAsia="zh-CN"/>
        </w:rPr>
        <w:t>中标通知书对采购人和中标人具有同等法律效力。中标通知书发出后，采购人不得违法改变中标结果，中标人无正当理由不得放弃中标。</w:t>
      </w:r>
    </w:p>
    <w:p w14:paraId="68025155">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4</w:t>
      </w:r>
      <w:r>
        <w:rPr>
          <w:rFonts w:hint="eastAsia" w:ascii="宋体" w:hAnsi="宋体"/>
          <w:b w:val="0"/>
          <w:bCs w:val="0"/>
          <w:color w:val="auto"/>
          <w:sz w:val="24"/>
          <w:szCs w:val="24"/>
          <w:highlight w:val="none"/>
          <w:lang w:val="zh-CN" w:eastAsia="zh-CN"/>
        </w:rPr>
        <w:t>.</w:t>
      </w:r>
      <w:r>
        <w:rPr>
          <w:rFonts w:hint="eastAsia" w:ascii="宋体" w:hAnsi="宋体"/>
          <w:b w:val="0"/>
          <w:bCs w:val="0"/>
          <w:color w:val="auto"/>
          <w:sz w:val="24"/>
          <w:szCs w:val="24"/>
          <w:highlight w:val="none"/>
          <w:lang w:val="en-US" w:eastAsia="zh-CN"/>
        </w:rPr>
        <w:t>5</w:t>
      </w:r>
      <w:r>
        <w:rPr>
          <w:rFonts w:hint="eastAsia" w:ascii="宋体" w:hAnsi="宋体"/>
          <w:b w:val="0"/>
          <w:bCs w:val="0"/>
          <w:color w:val="auto"/>
          <w:sz w:val="24"/>
          <w:szCs w:val="24"/>
          <w:highlight w:val="none"/>
          <w:lang w:val="zh-CN" w:eastAsia="zh-CN"/>
        </w:rPr>
        <w:t>所有投标文件不论中标与否，均不退回。</w:t>
      </w:r>
    </w:p>
    <w:p w14:paraId="27BC0522">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val="0"/>
          <w:bCs w:val="0"/>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5</w:t>
      </w:r>
      <w:r>
        <w:rPr>
          <w:rFonts w:hint="eastAsia" w:ascii="宋体" w:hAnsi="宋体"/>
          <w:b/>
          <w:bCs/>
          <w:color w:val="auto"/>
          <w:sz w:val="24"/>
          <w:szCs w:val="24"/>
          <w:highlight w:val="none"/>
          <w:lang w:val="zh-CN" w:eastAsia="zh-CN"/>
        </w:rPr>
        <w:t>.编写评标报告</w:t>
      </w:r>
    </w:p>
    <w:p w14:paraId="28A7A5E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5</w:t>
      </w:r>
      <w:r>
        <w:rPr>
          <w:rFonts w:hint="eastAsia" w:ascii="宋体" w:hAnsi="宋体"/>
          <w:b w:val="0"/>
          <w:bCs w:val="0"/>
          <w:color w:val="auto"/>
          <w:sz w:val="24"/>
          <w:szCs w:val="24"/>
          <w:highlight w:val="none"/>
          <w:lang w:val="zh-CN" w:eastAsia="zh-CN"/>
        </w:rPr>
        <w:t>.1评标委员会根据全体评标成员签字的原始评标记录和评标结果编写评标报告。</w:t>
      </w:r>
    </w:p>
    <w:p w14:paraId="0D7E4DE3">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val="0"/>
          <w:bCs w:val="0"/>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6</w:t>
      </w:r>
      <w:r>
        <w:rPr>
          <w:rFonts w:hint="eastAsia" w:ascii="宋体" w:hAnsi="宋体"/>
          <w:b/>
          <w:bCs/>
          <w:color w:val="auto"/>
          <w:sz w:val="24"/>
          <w:szCs w:val="24"/>
          <w:highlight w:val="none"/>
          <w:lang w:val="zh-CN" w:eastAsia="zh-CN"/>
        </w:rPr>
        <w:t>.评标过程的保密性</w:t>
      </w:r>
    </w:p>
    <w:p w14:paraId="568E4FC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6</w:t>
      </w:r>
      <w:r>
        <w:rPr>
          <w:rFonts w:hint="eastAsia" w:ascii="宋体" w:hAnsi="宋体"/>
          <w:b w:val="0"/>
          <w:bCs w:val="0"/>
          <w:color w:val="auto"/>
          <w:sz w:val="24"/>
          <w:szCs w:val="24"/>
          <w:highlight w:val="none"/>
          <w:lang w:val="zh-CN" w:eastAsia="zh-CN"/>
        </w:rPr>
        <w:t>.1采购人和采购代理机构将采取必要措施，保证评标在严格保密的情况下进行。</w:t>
      </w:r>
    </w:p>
    <w:p w14:paraId="1A63BC5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6</w:t>
      </w:r>
      <w:r>
        <w:rPr>
          <w:rFonts w:hint="eastAsia" w:ascii="宋体" w:hAnsi="宋体"/>
          <w:b w:val="0"/>
          <w:bCs w:val="0"/>
          <w:color w:val="auto"/>
          <w:sz w:val="24"/>
          <w:szCs w:val="24"/>
          <w:highlight w:val="none"/>
          <w:lang w:val="zh-CN" w:eastAsia="zh-CN"/>
        </w:rPr>
        <w:t>.2任何单位和个人不得非法干预、影响评标办法的确定，以及评标过程和结果。</w:t>
      </w:r>
    </w:p>
    <w:p w14:paraId="1F084EB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6</w:t>
      </w:r>
      <w:r>
        <w:rPr>
          <w:rFonts w:hint="eastAsia" w:ascii="宋体" w:hAnsi="宋体"/>
          <w:b w:val="0"/>
          <w:bCs w:val="0"/>
          <w:color w:val="auto"/>
          <w:sz w:val="24"/>
          <w:szCs w:val="24"/>
          <w:highlight w:val="none"/>
          <w:lang w:val="zh-CN" w:eastAsia="zh-CN"/>
        </w:rPr>
        <w:t>.3凡是与审查、澄清、评价和比较投标的有关资料等，均不向投标人及与评标无关的其他人员透露。</w:t>
      </w:r>
    </w:p>
    <w:p w14:paraId="0C7D5BCB">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bCs/>
          <w:color w:val="auto"/>
          <w:sz w:val="24"/>
          <w:szCs w:val="24"/>
          <w:highlight w:val="none"/>
          <w:lang w:val="zh-CN" w:eastAsia="zh-CN"/>
        </w:rPr>
      </w:pPr>
      <w:r>
        <w:rPr>
          <w:rFonts w:hint="eastAsia" w:ascii="宋体" w:hAnsi="宋体"/>
          <w:b/>
          <w:bCs/>
          <w:color w:val="auto"/>
          <w:sz w:val="24"/>
          <w:szCs w:val="24"/>
          <w:highlight w:val="none"/>
          <w:lang w:val="zh-CN" w:eastAsia="zh-CN"/>
        </w:rPr>
        <w:t>六、签订合同</w:t>
      </w:r>
    </w:p>
    <w:p w14:paraId="6DC3DA2B">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val="0"/>
          <w:bCs w:val="0"/>
          <w:color w:val="auto"/>
          <w:sz w:val="24"/>
          <w:szCs w:val="24"/>
          <w:highlight w:val="none"/>
          <w:lang w:val="zh-CN" w:eastAsia="zh-CN"/>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7.</w:t>
      </w:r>
      <w:r>
        <w:rPr>
          <w:rFonts w:hint="eastAsia" w:ascii="宋体" w:hAnsi="宋体"/>
          <w:b/>
          <w:bCs/>
          <w:color w:val="auto"/>
          <w:sz w:val="24"/>
          <w:szCs w:val="24"/>
          <w:highlight w:val="none"/>
          <w:lang w:val="zh-CN" w:eastAsia="zh-CN"/>
        </w:rPr>
        <w:t>签订合同</w:t>
      </w:r>
    </w:p>
    <w:p w14:paraId="699380A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.1采购人与中标人应当自中标通知书发出之日起30日内，按照招标文件和中标人投标文件的规定，签订书面合同。所签订的合同不得对招标文件确定的事项和中标人投标文件作实质性修改。</w:t>
      </w:r>
    </w:p>
    <w:p w14:paraId="57662C8B">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.2除继续履行将损害国家利益和社会公众利益的，政府采购合同的双方当事人不得擅自变更、中止或者终止合同。</w:t>
      </w:r>
      <w:r>
        <w:rPr>
          <w:rFonts w:hint="eastAsia" w:ascii="宋体" w:hAnsi="宋体"/>
          <w:b/>
          <w:bCs/>
          <w:color w:val="auto"/>
          <w:sz w:val="24"/>
          <w:szCs w:val="24"/>
          <w:highlight w:val="none"/>
          <w:lang w:val="zh-CN" w:eastAsia="zh-CN"/>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18A2856">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.3采购人不得向中标人提出任何不合理的要求作为签订合同的条件。</w:t>
      </w:r>
    </w:p>
    <w:p w14:paraId="0BE06BD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lang w:val="zh-CN" w:eastAsia="zh-CN"/>
        </w:rPr>
      </w:pPr>
      <w:r>
        <w:rPr>
          <w:rFonts w:hint="eastAsia" w:ascii="宋体" w:hAnsi="宋体"/>
          <w:b w:val="0"/>
          <w:bCs w:val="0"/>
          <w:color w:val="auto"/>
          <w:sz w:val="24"/>
          <w:szCs w:val="24"/>
          <w:highlight w:val="none"/>
          <w:lang w:val="zh-CN" w:eastAsia="zh-CN"/>
        </w:rPr>
        <w:t>2</w:t>
      </w:r>
      <w:r>
        <w:rPr>
          <w:rFonts w:hint="eastAsia" w:ascii="宋体" w:hAnsi="宋体"/>
          <w:b w:val="0"/>
          <w:bCs w:val="0"/>
          <w:color w:val="auto"/>
          <w:sz w:val="24"/>
          <w:szCs w:val="24"/>
          <w:highlight w:val="none"/>
          <w:lang w:val="en-US" w:eastAsia="zh-CN"/>
        </w:rPr>
        <w:t>7</w:t>
      </w:r>
      <w:r>
        <w:rPr>
          <w:rFonts w:hint="eastAsia" w:ascii="宋体" w:hAnsi="宋体"/>
          <w:b w:val="0"/>
          <w:bCs w:val="0"/>
          <w:color w:val="auto"/>
          <w:sz w:val="24"/>
          <w:szCs w:val="24"/>
          <w:highlight w:val="none"/>
          <w:lang w:val="zh-CN" w:eastAsia="zh-CN"/>
        </w:rPr>
        <w:t>.4中标人拒绝与采购人签订合同的，采购人可以按照评审报告推荐的中标或者成交候选人名单排序，确定下一候选人为中标或者成交供应商，也可以重新开展政府采购活动。</w:t>
      </w:r>
    </w:p>
    <w:p w14:paraId="4C21C735">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b w:val="0"/>
          <w:bCs w:val="0"/>
          <w:color w:val="auto"/>
          <w:sz w:val="24"/>
          <w:szCs w:val="24"/>
          <w:highlight w:val="none"/>
          <w:lang w:val="zh-CN" w:eastAsia="en-US"/>
        </w:rPr>
      </w:pPr>
      <w:r>
        <w:rPr>
          <w:rFonts w:hint="eastAsia" w:ascii="宋体" w:hAnsi="宋体"/>
          <w:b/>
          <w:bCs/>
          <w:color w:val="auto"/>
          <w:sz w:val="24"/>
          <w:szCs w:val="24"/>
          <w:highlight w:val="none"/>
          <w:lang w:val="zh-CN" w:eastAsia="zh-CN"/>
        </w:rPr>
        <w:t>2</w:t>
      </w:r>
      <w:r>
        <w:rPr>
          <w:rFonts w:hint="eastAsia" w:ascii="宋体" w:hAnsi="宋体"/>
          <w:b/>
          <w:bCs/>
          <w:color w:val="auto"/>
          <w:sz w:val="24"/>
          <w:szCs w:val="24"/>
          <w:highlight w:val="none"/>
          <w:lang w:val="en-US" w:eastAsia="zh-CN"/>
        </w:rPr>
        <w:t>7</w:t>
      </w:r>
      <w:r>
        <w:rPr>
          <w:rFonts w:hint="eastAsia" w:ascii="宋体" w:hAnsi="宋体"/>
          <w:b/>
          <w:bCs/>
          <w:color w:val="auto"/>
          <w:sz w:val="24"/>
          <w:szCs w:val="24"/>
          <w:highlight w:val="none"/>
          <w:lang w:val="zh-CN" w:eastAsia="zh-CN"/>
        </w:rPr>
        <w:t xml:space="preserve">.5 </w:t>
      </w:r>
      <w:r>
        <w:rPr>
          <w:rFonts w:hint="eastAsia" w:ascii="宋体" w:hAnsi="宋体"/>
          <w:b/>
          <w:bCs/>
          <w:color w:val="auto"/>
          <w:sz w:val="24"/>
          <w:szCs w:val="24"/>
          <w:highlight w:val="none"/>
          <w:lang w:val="zh-CN" w:eastAsia="en-US"/>
        </w:rPr>
        <w:t>本项目严禁转包、</w:t>
      </w:r>
      <w:r>
        <w:rPr>
          <w:rFonts w:hint="eastAsia" w:ascii="宋体" w:hAnsi="宋体"/>
          <w:b/>
          <w:bCs/>
          <w:color w:val="auto"/>
          <w:sz w:val="24"/>
          <w:szCs w:val="24"/>
          <w:highlight w:val="none"/>
          <w:lang w:val="en-US" w:eastAsia="zh-CN"/>
        </w:rPr>
        <w:t>违法</w:t>
      </w:r>
      <w:r>
        <w:rPr>
          <w:rFonts w:hint="eastAsia" w:ascii="宋体" w:hAnsi="宋体"/>
          <w:b/>
          <w:bCs/>
          <w:color w:val="auto"/>
          <w:sz w:val="24"/>
          <w:szCs w:val="24"/>
          <w:highlight w:val="none"/>
          <w:lang w:val="zh-CN" w:eastAsia="en-US"/>
        </w:rPr>
        <w:t>分包，一经发现，视其情节严重程度严肃处理，直至清退出场</w:t>
      </w:r>
      <w:r>
        <w:rPr>
          <w:rFonts w:hint="eastAsia" w:ascii="宋体" w:hAnsi="宋体"/>
          <w:b/>
          <w:bCs/>
          <w:color w:val="auto"/>
          <w:sz w:val="24"/>
          <w:szCs w:val="24"/>
          <w:highlight w:val="none"/>
          <w:lang w:val="zh-CN" w:eastAsia="zh-CN"/>
        </w:rPr>
        <w:t>、</w:t>
      </w:r>
      <w:r>
        <w:rPr>
          <w:rFonts w:hint="eastAsia" w:ascii="宋体" w:hAnsi="宋体"/>
          <w:b/>
          <w:bCs/>
          <w:color w:val="auto"/>
          <w:sz w:val="24"/>
          <w:szCs w:val="24"/>
          <w:highlight w:val="none"/>
          <w:lang w:val="zh-CN" w:eastAsia="en-US"/>
        </w:rPr>
        <w:t>解除合同。</w:t>
      </w:r>
    </w:p>
    <w:p w14:paraId="289D82FC">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6 本采购项目严禁中标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将任何政府采购合同义务转包。本项目所称转包，是指</w:t>
      </w:r>
      <w:r>
        <w:rPr>
          <w:rFonts w:hint="eastAsia" w:ascii="宋体" w:hAnsi="宋体" w:cs="宋体"/>
          <w:color w:val="auto"/>
          <w:sz w:val="24"/>
          <w:szCs w:val="24"/>
          <w:highlight w:val="none"/>
          <w:lang w:val="zh-CN"/>
        </w:rPr>
        <w:t>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将政府采购合同义务转让给第三人，并退出现有政府采购合同当事人双方的权利义务关系，受让人（即第三人）实质成为政府采购合同的另一方当事人的行为。</w:t>
      </w:r>
      <w:r>
        <w:rPr>
          <w:rFonts w:hint="eastAsia" w:ascii="宋体" w:hAnsi="宋体" w:cs="宋体"/>
          <w:color w:val="auto"/>
          <w:sz w:val="24"/>
          <w:szCs w:val="24"/>
          <w:highlight w:val="none"/>
          <w:lang w:val="zh-CN"/>
        </w:rPr>
        <w:t>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转包的，视同拒绝履行政府采购合同义务，将依法追究法律责任。</w:t>
      </w:r>
    </w:p>
    <w:p w14:paraId="4380739D">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采购合同履行过程中，采购人需要追加与合同标的相同的工程、货物或者服务的，在不改变合同其他条款的前提下，可以与</w:t>
      </w:r>
      <w:r>
        <w:rPr>
          <w:rFonts w:hint="eastAsia" w:ascii="宋体" w:hAnsi="宋体" w:cs="宋体"/>
          <w:color w:val="auto"/>
          <w:sz w:val="24"/>
          <w:szCs w:val="24"/>
          <w:highlight w:val="none"/>
          <w:lang w:val="zh-CN"/>
        </w:rPr>
        <w:t>中标</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协商签订补充合同，但所有补充合同的采购金额不得超过原合同采购金额的百分之十，该补充合同应当在原政府采购合同履行过程中，不得在原政府采购合同履行结束后，且采购工程、货物和服务的名称、价格、履约方式、验收标准等必须与原政府采购合同一致。</w:t>
      </w:r>
    </w:p>
    <w:p w14:paraId="0A4F09C5">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 采购人与中标人应当根据合同的约定依法履行合同义务。</w:t>
      </w:r>
    </w:p>
    <w:p w14:paraId="287C43CA">
      <w:pPr>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七、质疑和投诉</w:t>
      </w:r>
    </w:p>
    <w:p w14:paraId="00BF3AF4">
      <w:pPr>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28.</w:t>
      </w:r>
      <w:r>
        <w:rPr>
          <w:rFonts w:hint="eastAsia" w:ascii="宋体" w:hAnsi="宋体" w:cs="宋体"/>
          <w:b/>
          <w:bCs/>
          <w:color w:val="auto"/>
          <w:sz w:val="24"/>
          <w:szCs w:val="24"/>
          <w:highlight w:val="none"/>
        </w:rPr>
        <w:t>质疑</w:t>
      </w:r>
    </w:p>
    <w:p w14:paraId="71C05B4F">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.1投标人对招标活动事项有疑问的，可以向采购代理机构提出询问，采购代理机构将依法作出答复，但答复的内容不涉及商业秘密。</w:t>
      </w:r>
    </w:p>
    <w:p w14:paraId="167BFFB1">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.2提出质疑的投标人应当是参与所质疑项目采购活动的投标人。潜在投标人已依法获取其可质疑的采购文件的，可以对该文件提出质疑。</w:t>
      </w:r>
    </w:p>
    <w:p w14:paraId="607EA5F9">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.3投标人认为采购文件、采购过程和中标结果使自己的合法权益受到损害的，可以在知道或者应知其权益受到损害之日起七个工作日内，将质疑文件原件送达采购人或采购代理机构。</w:t>
      </w:r>
    </w:p>
    <w:p w14:paraId="42348CAF">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FCDAACA">
      <w:pPr>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投标人必须在法定质疑期内一次性提出针对同一采购程序环节的质疑。</w:t>
      </w:r>
    </w:p>
    <w:p w14:paraId="40569ACA">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.4 投标人提出质疑应当提交质疑函和必要的证明材料。质疑函应当包括下列内容：</w:t>
      </w:r>
    </w:p>
    <w:p w14:paraId="6751BCB5">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（一）投标人的姓名或者名称、地址、邮编、联系人及联系电话；</w:t>
      </w:r>
    </w:p>
    <w:p w14:paraId="3CD1DEA8">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（二）质疑项目的名称、编号；</w:t>
      </w:r>
    </w:p>
    <w:p w14:paraId="306C4DE0">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（三）具体、明确的质疑事项和与质疑事项相关的请求（具体条款）；</w:t>
      </w:r>
    </w:p>
    <w:p w14:paraId="305AC834">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（四）事实依据（具体条款）；</w:t>
      </w:r>
    </w:p>
    <w:p w14:paraId="0E9DE678">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（五）必要的法律依据（具体条款）；</w:t>
      </w:r>
    </w:p>
    <w:p w14:paraId="1D823C69">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（六）提出质疑的日期。</w:t>
      </w:r>
    </w:p>
    <w:p w14:paraId="7DCB3A1D">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人为自然人的，应当由本人签字；投标人为法人或者其他组织的，应当由法定代表人、主要负责人，或者其授权代表签字或者盖章，并加盖公章。代理人提出质疑和投诉，应当提交投标人签署的授权委托书。其授权委托书应当载明代理人的姓名或者名称、代理事项、具体权限、期限和相关事项。</w:t>
      </w:r>
    </w:p>
    <w:p w14:paraId="7A848501">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质疑函应当使用中文。相关当事人提供外文书证或者外国语视听资料的，应当附有中文译本，由翻译机构盖章或者翻译人员签名。</w:t>
      </w:r>
    </w:p>
    <w:p w14:paraId="293DAFB4">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.5质疑函应当现场提交至采购代理机构联系人处，提交时应出示有效身份证明。未按上述要求提交质疑函的，质疑不予受理。</w:t>
      </w:r>
    </w:p>
    <w:p w14:paraId="4F150D3D">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78D759B">
      <w:pPr>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.7采购代理机构在收到投标人的书面质疑后将及时组织调查核实，在</w:t>
      </w:r>
      <w:r>
        <w:rPr>
          <w:rFonts w:hint="eastAsia" w:ascii="宋体" w:hAnsi="宋体" w:cs="宋体"/>
          <w:b/>
          <w:bCs/>
          <w:color w:val="auto"/>
          <w:sz w:val="24"/>
          <w:szCs w:val="24"/>
          <w:highlight w:val="none"/>
        </w:rPr>
        <w:t>七个工作日</w:t>
      </w:r>
      <w:r>
        <w:rPr>
          <w:rFonts w:hint="eastAsia" w:ascii="宋体" w:hAnsi="宋体" w:cs="宋体"/>
          <w:color w:val="auto"/>
          <w:sz w:val="24"/>
          <w:szCs w:val="24"/>
          <w:highlight w:val="none"/>
        </w:rPr>
        <w:t>内作出答复，并以书面或在网站公告形式通知质疑投标人和其他有关投标人，答复的内容不涉及商业秘密。</w:t>
      </w:r>
    </w:p>
    <w:p w14:paraId="32645C99">
      <w:pPr>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29</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投诉</w:t>
      </w:r>
    </w:p>
    <w:p w14:paraId="1D8612FD">
      <w:pPr>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29</w:t>
      </w:r>
      <w:r>
        <w:rPr>
          <w:rFonts w:hint="eastAsia" w:ascii="宋体" w:hAnsi="宋体" w:cs="宋体"/>
          <w:color w:val="auto"/>
          <w:sz w:val="24"/>
          <w:szCs w:val="24"/>
          <w:highlight w:val="none"/>
        </w:rPr>
        <w:t>.1质疑投标人对采购代理机构的答复不满意或者采购代理机构未在规定的时间内作出答复的，可以在答复期满后十五个工作日内向同级政府采购监督管理部门投诉。</w:t>
      </w:r>
    </w:p>
    <w:p w14:paraId="072244EE">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29</w:t>
      </w:r>
      <w:r>
        <w:rPr>
          <w:rFonts w:hint="eastAsia" w:ascii="宋体" w:hAnsi="宋体" w:cs="宋体"/>
          <w:color w:val="auto"/>
          <w:sz w:val="24"/>
          <w:szCs w:val="24"/>
          <w:highlight w:val="none"/>
        </w:rPr>
        <w:t>.2投标人投诉应当有明确的请求和必要的证明材料。投标人投诉的事项不得超出已质疑事项的范围。</w:t>
      </w:r>
    </w:p>
    <w:p w14:paraId="5B253758">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29</w:t>
      </w:r>
      <w:r>
        <w:rPr>
          <w:rFonts w:hint="eastAsia" w:ascii="宋体" w:hAnsi="宋体" w:cs="宋体"/>
          <w:color w:val="auto"/>
          <w:sz w:val="24"/>
          <w:szCs w:val="24"/>
          <w:highlight w:val="none"/>
        </w:rPr>
        <w:t>.3投诉人对政府采购监督管理部门的投诉处理决定不服或者政府采购监督管理部门逾期未作处理的，可以依法申请行政复议或者向人民法院提起行政诉讼。</w:t>
      </w:r>
    </w:p>
    <w:p w14:paraId="492C4E52">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29</w:t>
      </w:r>
      <w:r>
        <w:rPr>
          <w:rFonts w:hint="eastAsia" w:ascii="宋体" w:hAnsi="宋体" w:cs="宋体"/>
          <w:color w:val="auto"/>
          <w:sz w:val="24"/>
          <w:szCs w:val="24"/>
          <w:highlight w:val="none"/>
        </w:rPr>
        <w:t>.4 投诉人有下列行为之一的，属于严重失信行为，由财政部门列入不良行为记录名单，禁止其一至三年内参加政府采购活动。</w:t>
      </w:r>
    </w:p>
    <w:p w14:paraId="5295FA51">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（1）投诉人在全国范围12个月内三次以上投诉查无实据的；</w:t>
      </w:r>
    </w:p>
    <w:p w14:paraId="353BA851">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（2）采用捏造事实、提供虚假材料或者以非法手段取得证明材料等方式进行虚假、恶意投诉。</w:t>
      </w:r>
    </w:p>
    <w:p w14:paraId="1B4DEB50">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证据来源的合法性存在明显疑问，投诉人无法证明其取得方式合法的，视为以非法手段取得证明材料。</w:t>
      </w:r>
    </w:p>
    <w:p w14:paraId="75CF3800">
      <w:pPr>
        <w:pageBreakBefore w:val="0"/>
        <w:kinsoku/>
        <w:wordWrap/>
        <w:overflowPunct/>
        <w:topLinePunct w:val="0"/>
        <w:autoSpaceDE/>
        <w:autoSpaceDN/>
        <w:bidi w:val="0"/>
        <w:adjustRightInd/>
        <w:snapToGrid/>
        <w:spacing w:line="44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其他</w:t>
      </w:r>
    </w:p>
    <w:p w14:paraId="76838C3F">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.1本项目根据江苏省财政厅关于加强政府绿色采购有关事项的通知（苏财购〔2023〕65号）规定，执行绿色采购需求标准。</w:t>
      </w:r>
    </w:p>
    <w:p w14:paraId="11CAECE2">
      <w:pPr>
        <w:pStyle w:val="53"/>
        <w:ind w:firstLine="400"/>
        <w:rPr>
          <w:color w:val="auto"/>
          <w:highlight w:val="none"/>
        </w:rPr>
      </w:pPr>
    </w:p>
    <w:p w14:paraId="76E81906">
      <w:pPr>
        <w:pStyle w:val="53"/>
        <w:ind w:firstLine="400"/>
        <w:rPr>
          <w:color w:val="auto"/>
          <w:highlight w:val="none"/>
        </w:rPr>
      </w:pPr>
    </w:p>
    <w:p w14:paraId="465B13C7">
      <w:pPr>
        <w:pStyle w:val="53"/>
        <w:ind w:firstLine="400"/>
        <w:rPr>
          <w:color w:val="auto"/>
          <w:highlight w:val="none"/>
        </w:rPr>
      </w:pPr>
    </w:p>
    <w:p w14:paraId="0B710572">
      <w:pPr>
        <w:jc w:val="center"/>
        <w:rPr>
          <w:b/>
          <w:bCs/>
          <w:color w:val="auto"/>
          <w:sz w:val="36"/>
          <w:szCs w:val="36"/>
          <w:highlight w:val="none"/>
          <w:lang w:val="zh-CN"/>
        </w:rPr>
      </w:pPr>
      <w:r>
        <w:rPr>
          <w:rFonts w:ascii="Cambria" w:hAnsi="Cambria" w:eastAsia="华文细黑"/>
          <w:b/>
          <w:color w:val="auto"/>
          <w:sz w:val="28"/>
          <w:szCs w:val="20"/>
          <w:highlight w:val="none"/>
        </w:rPr>
        <w:br w:type="page"/>
      </w:r>
      <w:bookmarkStart w:id="4" w:name="_Toc479586164"/>
      <w:bookmarkStart w:id="5" w:name="_Toc29064"/>
      <w:r>
        <w:rPr>
          <w:rFonts w:hint="eastAsia"/>
          <w:b/>
          <w:bCs/>
          <w:color w:val="auto"/>
          <w:sz w:val="36"/>
          <w:szCs w:val="36"/>
          <w:highlight w:val="none"/>
          <w:lang w:val="zh-CN"/>
        </w:rPr>
        <w:t>第三章 评标办法和标准</w:t>
      </w:r>
    </w:p>
    <w:p w14:paraId="3F4D9BDB">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本项目采用综合评分法，总分100分</w:t>
      </w:r>
    </w:p>
    <w:tbl>
      <w:tblPr>
        <w:tblStyle w:val="36"/>
        <w:tblW w:w="9121" w:type="dxa"/>
        <w:tblInd w:w="-233" w:type="dxa"/>
        <w:tblLayout w:type="fixed"/>
        <w:tblCellMar>
          <w:top w:w="0" w:type="dxa"/>
          <w:left w:w="108" w:type="dxa"/>
          <w:bottom w:w="0" w:type="dxa"/>
          <w:right w:w="108" w:type="dxa"/>
        </w:tblCellMar>
      </w:tblPr>
      <w:tblGrid>
        <w:gridCol w:w="570"/>
        <w:gridCol w:w="1086"/>
        <w:gridCol w:w="5700"/>
        <w:gridCol w:w="663"/>
        <w:gridCol w:w="1102"/>
      </w:tblGrid>
      <w:tr w14:paraId="4E7BA1D7">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F51D3">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864C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评分</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DED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评分标准</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7746">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分值</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C4E9">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分值类型</w:t>
            </w:r>
          </w:p>
        </w:tc>
      </w:tr>
      <w:tr w14:paraId="4587D7EC">
        <w:tblPrEx>
          <w:tblCellMar>
            <w:top w:w="0" w:type="dxa"/>
            <w:left w:w="108" w:type="dxa"/>
            <w:bottom w:w="0" w:type="dxa"/>
            <w:right w:w="108" w:type="dxa"/>
          </w:tblCellMar>
        </w:tblPrEx>
        <w:trPr>
          <w:trHeight w:val="1085" w:hRule="atLeast"/>
        </w:trPr>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7647">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37F7">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w:t>
            </w:r>
          </w:p>
          <w:p w14:paraId="42E710BC">
            <w:pPr>
              <w:widowControl/>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分）</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EF11">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采用低价优先法计算，即满足采购文件要求且投标价格最低的投标报价为评标基准价，其价格分为满分。其他供应商的价格分统一按照下列公式计算（小数点保留两位）：投标报价得分=（评标基准价/投标报价）×1</w:t>
            </w:r>
            <w:r>
              <w:rPr>
                <w:rFonts w:hint="eastAsia" w:ascii="宋体" w:hAnsi="宋体" w:cs="宋体"/>
                <w:color w:val="auto"/>
                <w:kern w:val="0"/>
                <w:sz w:val="24"/>
                <w:szCs w:val="24"/>
                <w:highlight w:val="none"/>
                <w:lang w:val="en-US" w:eastAsia="zh-CN"/>
              </w:rPr>
              <w:t>5</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0AA70">
            <w:pPr>
              <w:widowControl/>
              <w:jc w:val="center"/>
              <w:textAlignment w:val="center"/>
              <w:rPr>
                <w:rFonts w:hint="default" w:ascii="宋体" w:hAnsi="宋体" w:eastAsia="宋体" w:cs="宋体"/>
                <w:color w:val="auto"/>
                <w:sz w:val="24"/>
                <w:szCs w:val="24"/>
                <w:highlight w:val="none"/>
                <w:lang w:val="en-US"/>
              </w:rPr>
            </w:pPr>
            <w:r>
              <w:rPr>
                <w:rFonts w:hint="eastAsia" w:ascii="宋体" w:hAnsi="宋体" w:cs="宋体"/>
                <w:color w:val="auto"/>
                <w:kern w:val="0"/>
                <w:sz w:val="24"/>
                <w:szCs w:val="24"/>
                <w:highlight w:val="none"/>
                <w:lang w:val="en-US" w:eastAsia="zh-CN"/>
              </w:rPr>
              <w:t>15</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09CB">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计算</w:t>
            </w:r>
          </w:p>
        </w:tc>
      </w:tr>
      <w:tr w14:paraId="4A0B925B">
        <w:tblPrEx>
          <w:tblCellMar>
            <w:top w:w="0" w:type="dxa"/>
            <w:left w:w="108" w:type="dxa"/>
            <w:bottom w:w="0" w:type="dxa"/>
            <w:right w:w="108" w:type="dxa"/>
          </w:tblCellMar>
        </w:tblPrEx>
        <w:trPr>
          <w:trHeight w:val="90" w:hRule="atLeast"/>
        </w:trPr>
        <w:tc>
          <w:tcPr>
            <w:tcW w:w="570" w:type="dxa"/>
            <w:vMerge w:val="restart"/>
            <w:tcBorders>
              <w:top w:val="single" w:color="000000" w:sz="4" w:space="0"/>
              <w:left w:val="single" w:color="000000" w:sz="4" w:space="0"/>
              <w:right w:val="single" w:color="000000" w:sz="4" w:space="0"/>
            </w:tcBorders>
            <w:shd w:val="clear" w:color="auto" w:fill="auto"/>
            <w:vAlign w:val="center"/>
          </w:tcPr>
          <w:p w14:paraId="2606D58B">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086" w:type="dxa"/>
            <w:vMerge w:val="restart"/>
            <w:tcBorders>
              <w:top w:val="single" w:color="000000" w:sz="4" w:space="0"/>
              <w:left w:val="single" w:color="000000" w:sz="4" w:space="0"/>
              <w:right w:val="single" w:color="000000" w:sz="4" w:space="0"/>
            </w:tcBorders>
            <w:shd w:val="clear" w:color="auto" w:fill="auto"/>
            <w:vAlign w:val="center"/>
          </w:tcPr>
          <w:p w14:paraId="16D830A5">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检测大纲</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39</w:t>
            </w:r>
            <w:r>
              <w:rPr>
                <w:rFonts w:hint="eastAsia" w:ascii="宋体" w:hAnsi="宋体" w:eastAsia="宋体" w:cs="宋体"/>
                <w:color w:val="auto"/>
                <w:kern w:val="0"/>
                <w:sz w:val="24"/>
                <w:szCs w:val="24"/>
                <w:highlight w:val="none"/>
              </w:rPr>
              <w:t>分）</w:t>
            </w:r>
          </w:p>
          <w:p w14:paraId="074DC5B7">
            <w:pPr>
              <w:widowControl/>
              <w:jc w:val="center"/>
              <w:textAlignment w:val="center"/>
              <w:rPr>
                <w:rFonts w:hint="default" w:ascii="宋体" w:hAnsi="宋体" w:eastAsia="宋体" w:cs="宋体"/>
                <w:color w:val="auto"/>
                <w:kern w:val="0"/>
                <w:sz w:val="24"/>
                <w:szCs w:val="24"/>
                <w:highlight w:val="none"/>
                <w:lang w:val="en-US" w:eastAsia="zh-CN"/>
              </w:rPr>
            </w:pPr>
          </w:p>
        </w:tc>
        <w:tc>
          <w:tcPr>
            <w:tcW w:w="5700" w:type="dxa"/>
            <w:tcBorders>
              <w:top w:val="single" w:color="000000" w:sz="4" w:space="0"/>
              <w:left w:val="single" w:color="000000" w:sz="4" w:space="0"/>
              <w:bottom w:val="nil"/>
              <w:right w:val="single" w:color="000000" w:sz="4" w:space="0"/>
            </w:tcBorders>
            <w:shd w:val="clear" w:color="auto" w:fill="auto"/>
            <w:vAlign w:val="center"/>
          </w:tcPr>
          <w:p w14:paraId="4914A646">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评委根据投标人提供的总体检测方案（包括项目概况、检测目的、检测依据、检测内容等）进行综合评分：</w:t>
            </w:r>
          </w:p>
          <w:p w14:paraId="4269B3B8">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方案内容全面、完整，符合规范要求，得8分；</w:t>
            </w:r>
          </w:p>
          <w:p w14:paraId="1069D4B9">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方案内容较全面、完整，基本符合规范要求，得6分；</w:t>
            </w:r>
          </w:p>
          <w:p w14:paraId="4C53C942">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方案内容片面，针对性有欠缺，得4分；</w:t>
            </w:r>
          </w:p>
          <w:p w14:paraId="0569C934">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方案内容不完整，不合理，得2分；</w:t>
            </w:r>
          </w:p>
          <w:p w14:paraId="1ED4E345">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无此项内容的不得分。</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83B9">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102" w:type="dxa"/>
            <w:vMerge w:val="restart"/>
            <w:tcBorders>
              <w:top w:val="single" w:color="000000" w:sz="4" w:space="0"/>
              <w:left w:val="single" w:color="000000" w:sz="4" w:space="0"/>
              <w:right w:val="single" w:color="000000" w:sz="4" w:space="0"/>
            </w:tcBorders>
            <w:shd w:val="clear" w:color="auto" w:fill="auto"/>
            <w:vAlign w:val="center"/>
          </w:tcPr>
          <w:p w14:paraId="3B9329B4">
            <w:pPr>
              <w:widowControl/>
              <w:jc w:val="center"/>
              <w:textAlignment w:val="center"/>
              <w:rPr>
                <w:rFonts w:hint="eastAsia" w:ascii="宋体" w:hAnsi="宋体" w:eastAsia="宋体" w:cs="宋体"/>
                <w:color w:val="auto"/>
                <w:kern w:val="0"/>
                <w:sz w:val="24"/>
                <w:szCs w:val="24"/>
                <w:highlight w:val="none"/>
              </w:rPr>
            </w:pPr>
          </w:p>
          <w:p w14:paraId="3712F4E2">
            <w:pPr>
              <w:widowControl/>
              <w:jc w:val="both"/>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主观分</w:t>
            </w:r>
          </w:p>
        </w:tc>
      </w:tr>
      <w:tr w14:paraId="27ED394B">
        <w:tblPrEx>
          <w:tblCellMar>
            <w:top w:w="0" w:type="dxa"/>
            <w:left w:w="108" w:type="dxa"/>
            <w:bottom w:w="0" w:type="dxa"/>
            <w:right w:w="108" w:type="dxa"/>
          </w:tblCellMar>
        </w:tblPrEx>
        <w:trPr>
          <w:trHeight w:val="720" w:hRule="atLeast"/>
        </w:trPr>
        <w:tc>
          <w:tcPr>
            <w:tcW w:w="570" w:type="dxa"/>
            <w:vMerge w:val="continue"/>
            <w:tcBorders>
              <w:left w:val="single" w:color="000000" w:sz="4" w:space="0"/>
              <w:right w:val="single" w:color="000000" w:sz="4" w:space="0"/>
            </w:tcBorders>
            <w:shd w:val="clear" w:color="auto" w:fill="auto"/>
            <w:vAlign w:val="center"/>
          </w:tcPr>
          <w:p w14:paraId="61C8A953">
            <w:pPr>
              <w:jc w:val="center"/>
              <w:rPr>
                <w:rFonts w:hint="eastAsia" w:ascii="宋体" w:hAnsi="宋体" w:eastAsia="宋体" w:cs="宋体"/>
                <w:color w:val="auto"/>
                <w:sz w:val="24"/>
                <w:szCs w:val="24"/>
                <w:highlight w:val="none"/>
              </w:rPr>
            </w:pPr>
          </w:p>
        </w:tc>
        <w:tc>
          <w:tcPr>
            <w:tcW w:w="1086" w:type="dxa"/>
            <w:vMerge w:val="continue"/>
            <w:tcBorders>
              <w:left w:val="single" w:color="000000" w:sz="4" w:space="0"/>
              <w:right w:val="single" w:color="000000" w:sz="4" w:space="0"/>
            </w:tcBorders>
            <w:shd w:val="clear" w:color="auto" w:fill="auto"/>
            <w:vAlign w:val="center"/>
          </w:tcPr>
          <w:p w14:paraId="2EFC5B9B">
            <w:pPr>
              <w:jc w:val="center"/>
              <w:rPr>
                <w:rFonts w:hint="eastAsia" w:ascii="宋体" w:hAnsi="宋体" w:eastAsia="宋体" w:cs="宋体"/>
                <w:color w:val="auto"/>
                <w:sz w:val="24"/>
                <w:szCs w:val="24"/>
                <w:highlight w:val="none"/>
              </w:rPr>
            </w:pP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D38C">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评委根据投标人提供的检测工作程序</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包括现场踏勘、现场检测、数据分析等</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和对不同工程项目针对</w:t>
            </w:r>
            <w:r>
              <w:rPr>
                <w:rFonts w:hint="eastAsia" w:ascii="宋体" w:hAnsi="宋体" w:cs="宋体"/>
                <w:color w:val="auto"/>
                <w:kern w:val="0"/>
                <w:sz w:val="24"/>
                <w:szCs w:val="24"/>
                <w:highlight w:val="none"/>
              </w:rPr>
              <w:t>检测内容</w:t>
            </w:r>
            <w:r>
              <w:rPr>
                <w:rFonts w:hint="eastAsia" w:ascii="宋体" w:hAnsi="宋体" w:cs="宋体"/>
                <w:color w:val="auto"/>
                <w:kern w:val="0"/>
                <w:sz w:val="24"/>
                <w:szCs w:val="24"/>
                <w:highlight w:val="none"/>
                <w:lang w:val="en-US" w:eastAsia="zh-CN"/>
              </w:rPr>
              <w:t>/</w:t>
            </w:r>
            <w:r>
              <w:rPr>
                <w:rFonts w:hint="eastAsia" w:ascii="宋体" w:hAnsi="宋体" w:cs="宋体"/>
                <w:color w:val="auto"/>
                <w:kern w:val="0"/>
                <w:sz w:val="24"/>
                <w:szCs w:val="24"/>
                <w:highlight w:val="none"/>
              </w:rPr>
              <w:t>方法进行综合评分：</w:t>
            </w:r>
          </w:p>
          <w:p w14:paraId="141BBD93">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检测内容全面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工作程序符合规范要求</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检测方法</w:t>
            </w:r>
            <w:r>
              <w:rPr>
                <w:rFonts w:hint="eastAsia" w:ascii="宋体" w:hAnsi="宋体" w:cs="宋体"/>
                <w:color w:val="auto"/>
                <w:kern w:val="0"/>
                <w:sz w:val="24"/>
                <w:szCs w:val="24"/>
                <w:highlight w:val="none"/>
                <w:lang w:val="en-US" w:eastAsia="zh-CN"/>
              </w:rPr>
              <w:t>合理可行</w:t>
            </w:r>
            <w:r>
              <w:rPr>
                <w:rFonts w:hint="eastAsia" w:ascii="宋体" w:hAnsi="宋体" w:cs="宋体"/>
                <w:color w:val="auto"/>
                <w:kern w:val="0"/>
                <w:sz w:val="24"/>
                <w:szCs w:val="24"/>
                <w:highlight w:val="none"/>
              </w:rPr>
              <w:t>，满足本项目需求，得</w:t>
            </w:r>
            <w:r>
              <w:rPr>
                <w:rFonts w:hint="eastAsia" w:ascii="宋体" w:hAnsi="宋体" w:cs="宋体"/>
                <w:color w:val="auto"/>
                <w:kern w:val="0"/>
                <w:sz w:val="24"/>
                <w:szCs w:val="24"/>
                <w:highlight w:val="none"/>
                <w:lang w:val="en-US" w:eastAsia="zh-CN"/>
              </w:rPr>
              <w:t>8</w:t>
            </w:r>
            <w:r>
              <w:rPr>
                <w:rFonts w:hint="eastAsia" w:ascii="宋体" w:hAnsi="宋体" w:cs="宋体"/>
                <w:color w:val="auto"/>
                <w:kern w:val="0"/>
                <w:sz w:val="24"/>
                <w:szCs w:val="24"/>
                <w:highlight w:val="none"/>
              </w:rPr>
              <w:t>分；</w:t>
            </w:r>
          </w:p>
          <w:p w14:paraId="1AD3AF5A">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检测内容较全面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工作程序基本符合规范要求</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检测方法</w:t>
            </w:r>
            <w:r>
              <w:rPr>
                <w:rFonts w:hint="eastAsia" w:ascii="宋体" w:hAnsi="宋体" w:cs="宋体"/>
                <w:color w:val="auto"/>
                <w:kern w:val="0"/>
                <w:sz w:val="24"/>
                <w:szCs w:val="24"/>
                <w:highlight w:val="none"/>
                <w:lang w:val="en-US" w:eastAsia="zh-CN"/>
              </w:rPr>
              <w:t>较合理</w:t>
            </w:r>
            <w:r>
              <w:rPr>
                <w:rFonts w:hint="eastAsia" w:ascii="宋体" w:hAnsi="宋体" w:cs="宋体"/>
                <w:color w:val="auto"/>
                <w:kern w:val="0"/>
                <w:sz w:val="24"/>
                <w:szCs w:val="24"/>
                <w:highlight w:val="none"/>
              </w:rPr>
              <w:t>，基本满足本项目需求，得</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分；</w:t>
            </w:r>
          </w:p>
          <w:p w14:paraId="6EBCEABD">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检测内容片面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工作程序</w:t>
            </w:r>
            <w:r>
              <w:rPr>
                <w:rFonts w:hint="eastAsia" w:ascii="宋体" w:hAnsi="宋体" w:cs="宋体"/>
                <w:color w:val="auto"/>
                <w:kern w:val="0"/>
                <w:sz w:val="24"/>
                <w:szCs w:val="24"/>
                <w:highlight w:val="none"/>
                <w:lang w:val="en-US" w:eastAsia="zh-CN"/>
              </w:rPr>
              <w:t>及</w:t>
            </w:r>
            <w:r>
              <w:rPr>
                <w:rFonts w:hint="eastAsia" w:ascii="宋体" w:hAnsi="宋体" w:cs="宋体"/>
                <w:color w:val="auto"/>
                <w:kern w:val="0"/>
                <w:sz w:val="24"/>
                <w:szCs w:val="24"/>
                <w:highlight w:val="none"/>
              </w:rPr>
              <w:t>检测方法</w:t>
            </w:r>
            <w:r>
              <w:rPr>
                <w:rFonts w:hint="eastAsia" w:ascii="宋体" w:hAnsi="宋体" w:cs="宋体"/>
                <w:color w:val="auto"/>
                <w:kern w:val="0"/>
                <w:sz w:val="24"/>
                <w:szCs w:val="24"/>
                <w:highlight w:val="none"/>
                <w:lang w:val="en-US" w:eastAsia="zh-CN"/>
              </w:rPr>
              <w:t>的合理性、</w:t>
            </w:r>
            <w:r>
              <w:rPr>
                <w:rFonts w:hint="eastAsia" w:ascii="宋体" w:hAnsi="宋体" w:cs="宋体"/>
                <w:color w:val="auto"/>
                <w:kern w:val="0"/>
                <w:sz w:val="24"/>
                <w:szCs w:val="24"/>
                <w:highlight w:val="none"/>
              </w:rPr>
              <w:t>针对性有欠缺，得</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分；</w:t>
            </w:r>
          </w:p>
          <w:p w14:paraId="72273C66">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w:t>
            </w:r>
            <w:r>
              <w:rPr>
                <w:rFonts w:hint="eastAsia" w:ascii="宋体" w:hAnsi="宋体" w:cs="宋体"/>
                <w:color w:val="auto"/>
                <w:kern w:val="0"/>
                <w:sz w:val="24"/>
                <w:szCs w:val="24"/>
                <w:highlight w:val="none"/>
                <w:lang w:val="en-US" w:eastAsia="zh-CN"/>
              </w:rPr>
              <w:t>内容</w:t>
            </w:r>
            <w:r>
              <w:rPr>
                <w:rFonts w:hint="eastAsia" w:ascii="宋体" w:hAnsi="宋体" w:cs="宋体"/>
                <w:color w:val="auto"/>
                <w:kern w:val="0"/>
                <w:sz w:val="24"/>
                <w:szCs w:val="24"/>
                <w:highlight w:val="none"/>
              </w:rPr>
              <w:t>不完整</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工作程序</w:t>
            </w:r>
            <w:r>
              <w:rPr>
                <w:rFonts w:hint="eastAsia" w:ascii="宋体" w:hAnsi="宋体" w:cs="宋体"/>
                <w:color w:val="auto"/>
                <w:kern w:val="0"/>
                <w:sz w:val="24"/>
                <w:szCs w:val="24"/>
                <w:highlight w:val="none"/>
                <w:lang w:val="en-US" w:eastAsia="zh-CN"/>
              </w:rPr>
              <w:t>及</w:t>
            </w:r>
            <w:r>
              <w:rPr>
                <w:rFonts w:hint="eastAsia" w:ascii="宋体" w:hAnsi="宋体" w:cs="宋体"/>
                <w:color w:val="auto"/>
                <w:kern w:val="0"/>
                <w:sz w:val="24"/>
                <w:szCs w:val="24"/>
                <w:highlight w:val="none"/>
              </w:rPr>
              <w:t>检测方法</w:t>
            </w:r>
            <w:r>
              <w:rPr>
                <w:rFonts w:hint="eastAsia" w:ascii="宋体" w:hAnsi="宋体" w:cs="宋体"/>
                <w:color w:val="auto"/>
                <w:kern w:val="0"/>
                <w:sz w:val="24"/>
                <w:szCs w:val="24"/>
                <w:highlight w:val="none"/>
                <w:lang w:val="en-US" w:eastAsia="zh-CN"/>
              </w:rPr>
              <w:t>不合理</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分；</w:t>
            </w:r>
          </w:p>
          <w:p w14:paraId="720534FA">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无此项内容的不得分。</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081C">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102" w:type="dxa"/>
            <w:vMerge w:val="continue"/>
            <w:tcBorders>
              <w:left w:val="single" w:color="000000" w:sz="4" w:space="0"/>
              <w:right w:val="single" w:color="000000" w:sz="4" w:space="0"/>
            </w:tcBorders>
            <w:shd w:val="clear" w:color="auto" w:fill="auto"/>
            <w:vAlign w:val="center"/>
          </w:tcPr>
          <w:p w14:paraId="0940EFAF">
            <w:pPr>
              <w:widowControl/>
              <w:jc w:val="center"/>
              <w:textAlignment w:val="center"/>
              <w:rPr>
                <w:rFonts w:hint="eastAsia" w:ascii="宋体" w:hAnsi="宋体" w:eastAsia="宋体" w:cs="宋体"/>
                <w:color w:val="auto"/>
                <w:kern w:val="0"/>
                <w:sz w:val="24"/>
                <w:szCs w:val="24"/>
                <w:highlight w:val="none"/>
              </w:rPr>
            </w:pPr>
          </w:p>
        </w:tc>
      </w:tr>
      <w:tr w14:paraId="5CAB1A79">
        <w:tblPrEx>
          <w:tblCellMar>
            <w:top w:w="0" w:type="dxa"/>
            <w:left w:w="108" w:type="dxa"/>
            <w:bottom w:w="0" w:type="dxa"/>
            <w:right w:w="108" w:type="dxa"/>
          </w:tblCellMar>
        </w:tblPrEx>
        <w:trPr>
          <w:trHeight w:val="595" w:hRule="atLeast"/>
        </w:trPr>
        <w:tc>
          <w:tcPr>
            <w:tcW w:w="570" w:type="dxa"/>
            <w:vMerge w:val="continue"/>
            <w:tcBorders>
              <w:left w:val="single" w:color="000000" w:sz="4" w:space="0"/>
              <w:right w:val="single" w:color="000000" w:sz="4" w:space="0"/>
            </w:tcBorders>
            <w:shd w:val="clear" w:color="auto" w:fill="auto"/>
            <w:vAlign w:val="center"/>
          </w:tcPr>
          <w:p w14:paraId="4A9BDEB4">
            <w:pPr>
              <w:jc w:val="center"/>
              <w:rPr>
                <w:rFonts w:hint="eastAsia" w:ascii="宋体" w:hAnsi="宋体" w:eastAsia="宋体" w:cs="宋体"/>
                <w:color w:val="auto"/>
                <w:sz w:val="24"/>
                <w:szCs w:val="24"/>
                <w:highlight w:val="none"/>
              </w:rPr>
            </w:pPr>
          </w:p>
        </w:tc>
        <w:tc>
          <w:tcPr>
            <w:tcW w:w="1086" w:type="dxa"/>
            <w:vMerge w:val="continue"/>
            <w:tcBorders>
              <w:left w:val="single" w:color="000000" w:sz="4" w:space="0"/>
              <w:right w:val="single" w:color="000000" w:sz="4" w:space="0"/>
            </w:tcBorders>
            <w:shd w:val="clear" w:color="auto" w:fill="auto"/>
            <w:vAlign w:val="center"/>
          </w:tcPr>
          <w:p w14:paraId="03DC91B2">
            <w:pPr>
              <w:jc w:val="center"/>
              <w:rPr>
                <w:rFonts w:hint="eastAsia" w:ascii="宋体" w:hAnsi="宋体" w:eastAsia="宋体" w:cs="宋体"/>
                <w:color w:val="auto"/>
                <w:sz w:val="24"/>
                <w:szCs w:val="24"/>
                <w:highlight w:val="none"/>
              </w:rPr>
            </w:pPr>
          </w:p>
        </w:tc>
        <w:tc>
          <w:tcPr>
            <w:tcW w:w="5700" w:type="dxa"/>
            <w:tcBorders>
              <w:top w:val="single" w:color="000000" w:sz="4" w:space="0"/>
              <w:left w:val="single" w:color="000000" w:sz="4" w:space="0"/>
              <w:bottom w:val="nil"/>
              <w:right w:val="single" w:color="000000" w:sz="4" w:space="0"/>
            </w:tcBorders>
            <w:shd w:val="clear" w:color="auto" w:fill="auto"/>
            <w:vAlign w:val="center"/>
          </w:tcPr>
          <w:p w14:paraId="143FBF1A">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评委根据投标人提供的检测工作质量与服务保证措施</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包括标准规范、样品管理、数据审核、沟通机制、进度反馈、现场配合、问题处理等</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进行综合评分：</w:t>
            </w:r>
          </w:p>
          <w:p w14:paraId="7F2CBFFF">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检测工作质量与服务保证措施内容全面、合理</w:t>
            </w:r>
            <w:r>
              <w:rPr>
                <w:rFonts w:hint="eastAsia" w:ascii="宋体" w:hAnsi="宋体" w:cs="宋体"/>
                <w:color w:val="auto"/>
                <w:kern w:val="0"/>
                <w:sz w:val="24"/>
                <w:szCs w:val="24"/>
                <w:highlight w:val="none"/>
                <w:lang w:eastAsia="zh-CN"/>
              </w:rPr>
              <w:t>、具有</w:t>
            </w:r>
            <w:r>
              <w:rPr>
                <w:rFonts w:hint="eastAsia" w:ascii="宋体" w:hAnsi="宋体" w:cs="宋体"/>
                <w:color w:val="auto"/>
                <w:kern w:val="0"/>
                <w:sz w:val="24"/>
                <w:szCs w:val="24"/>
                <w:highlight w:val="none"/>
              </w:rPr>
              <w:t>针对性</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得8分；</w:t>
            </w:r>
          </w:p>
          <w:p w14:paraId="0799E18D">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检测工作质量与服务保证措施内容较全面、基本合理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具有一定</w:t>
            </w:r>
            <w:r>
              <w:rPr>
                <w:rFonts w:hint="eastAsia" w:ascii="宋体" w:hAnsi="宋体" w:cs="宋体"/>
                <w:color w:val="auto"/>
                <w:kern w:val="0"/>
                <w:sz w:val="24"/>
                <w:szCs w:val="24"/>
                <w:highlight w:val="none"/>
              </w:rPr>
              <w:t>针对性</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得6分；</w:t>
            </w:r>
          </w:p>
          <w:p w14:paraId="544AEB31">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检测工作质量与服务保证措施内容片面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合理性和</w:t>
            </w:r>
            <w:r>
              <w:rPr>
                <w:rFonts w:hint="eastAsia" w:ascii="宋体" w:hAnsi="宋体" w:cs="宋体"/>
                <w:color w:val="auto"/>
                <w:kern w:val="0"/>
                <w:sz w:val="24"/>
                <w:szCs w:val="24"/>
                <w:highlight w:val="none"/>
              </w:rPr>
              <w:t>针对性欠缺</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分；</w:t>
            </w:r>
          </w:p>
          <w:p w14:paraId="5ACC62B8">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检测工作质量与服务保证措施</w:t>
            </w:r>
            <w:r>
              <w:rPr>
                <w:rFonts w:hint="eastAsia" w:ascii="宋体" w:hAnsi="宋体" w:cs="宋体"/>
                <w:color w:val="auto"/>
                <w:kern w:val="0"/>
                <w:sz w:val="24"/>
                <w:szCs w:val="24"/>
                <w:highlight w:val="none"/>
                <w:lang w:val="en-US" w:eastAsia="zh-CN"/>
              </w:rPr>
              <w:t>内容</w:t>
            </w:r>
            <w:r>
              <w:rPr>
                <w:rFonts w:hint="eastAsia" w:ascii="宋体" w:hAnsi="宋体" w:cs="宋体"/>
                <w:color w:val="auto"/>
                <w:kern w:val="0"/>
                <w:sz w:val="24"/>
                <w:szCs w:val="24"/>
                <w:highlight w:val="none"/>
              </w:rPr>
              <w:t>不完整，</w:t>
            </w:r>
            <w:r>
              <w:rPr>
                <w:rFonts w:hint="eastAsia" w:ascii="宋体" w:hAnsi="宋体" w:cs="宋体"/>
                <w:color w:val="auto"/>
                <w:kern w:val="0"/>
                <w:sz w:val="24"/>
                <w:szCs w:val="24"/>
                <w:highlight w:val="none"/>
                <w:lang w:val="en-US" w:eastAsia="zh-CN"/>
              </w:rPr>
              <w:t>不合理</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分；</w:t>
            </w:r>
          </w:p>
          <w:p w14:paraId="33F25BB1">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无此项内容的不得分。</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DDF74">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102" w:type="dxa"/>
            <w:vMerge w:val="continue"/>
            <w:tcBorders>
              <w:left w:val="single" w:color="000000" w:sz="4" w:space="0"/>
              <w:right w:val="single" w:color="000000" w:sz="4" w:space="0"/>
            </w:tcBorders>
            <w:shd w:val="clear" w:color="auto" w:fill="auto"/>
            <w:vAlign w:val="center"/>
          </w:tcPr>
          <w:p w14:paraId="7ED40DBA">
            <w:pPr>
              <w:widowControl/>
              <w:jc w:val="center"/>
              <w:textAlignment w:val="center"/>
              <w:rPr>
                <w:rFonts w:hint="eastAsia" w:ascii="宋体" w:hAnsi="宋体" w:eastAsia="宋体" w:cs="宋体"/>
                <w:color w:val="auto"/>
                <w:kern w:val="0"/>
                <w:sz w:val="24"/>
                <w:szCs w:val="24"/>
                <w:highlight w:val="none"/>
              </w:rPr>
            </w:pPr>
          </w:p>
        </w:tc>
      </w:tr>
      <w:tr w14:paraId="409DC952">
        <w:tblPrEx>
          <w:tblCellMar>
            <w:top w:w="0" w:type="dxa"/>
            <w:left w:w="108" w:type="dxa"/>
            <w:bottom w:w="0" w:type="dxa"/>
            <w:right w:w="108" w:type="dxa"/>
          </w:tblCellMar>
        </w:tblPrEx>
        <w:trPr>
          <w:trHeight w:val="295" w:hRule="atLeast"/>
        </w:trPr>
        <w:tc>
          <w:tcPr>
            <w:tcW w:w="570" w:type="dxa"/>
            <w:vMerge w:val="continue"/>
            <w:tcBorders>
              <w:left w:val="single" w:color="000000" w:sz="4" w:space="0"/>
              <w:right w:val="single" w:color="000000" w:sz="4" w:space="0"/>
            </w:tcBorders>
            <w:shd w:val="clear" w:color="auto" w:fill="auto"/>
            <w:vAlign w:val="center"/>
          </w:tcPr>
          <w:p w14:paraId="5F58FEAD">
            <w:pPr>
              <w:jc w:val="center"/>
              <w:rPr>
                <w:rFonts w:hint="eastAsia" w:ascii="宋体" w:hAnsi="宋体" w:eastAsia="宋体" w:cs="宋体"/>
                <w:color w:val="auto"/>
                <w:sz w:val="24"/>
                <w:szCs w:val="24"/>
                <w:highlight w:val="none"/>
              </w:rPr>
            </w:pPr>
          </w:p>
        </w:tc>
        <w:tc>
          <w:tcPr>
            <w:tcW w:w="1086" w:type="dxa"/>
            <w:vMerge w:val="continue"/>
            <w:tcBorders>
              <w:left w:val="single" w:color="000000" w:sz="4" w:space="0"/>
              <w:right w:val="single" w:color="000000" w:sz="4" w:space="0"/>
            </w:tcBorders>
            <w:shd w:val="clear" w:color="auto" w:fill="auto"/>
            <w:vAlign w:val="center"/>
          </w:tcPr>
          <w:p w14:paraId="598E3A12">
            <w:pPr>
              <w:jc w:val="center"/>
              <w:rPr>
                <w:rFonts w:hint="eastAsia" w:ascii="宋体" w:hAnsi="宋体" w:eastAsia="宋体" w:cs="宋体"/>
                <w:color w:val="auto"/>
                <w:sz w:val="24"/>
                <w:szCs w:val="24"/>
                <w:highlight w:val="none"/>
              </w:rPr>
            </w:pPr>
          </w:p>
        </w:tc>
        <w:tc>
          <w:tcPr>
            <w:tcW w:w="5700" w:type="dxa"/>
            <w:tcBorders>
              <w:top w:val="single" w:color="000000" w:sz="4" w:space="0"/>
              <w:left w:val="single" w:color="000000" w:sz="4" w:space="0"/>
              <w:bottom w:val="single" w:color="auto" w:sz="4" w:space="0"/>
              <w:right w:val="single" w:color="000000" w:sz="4" w:space="0"/>
            </w:tcBorders>
            <w:shd w:val="clear" w:color="auto" w:fill="auto"/>
            <w:vAlign w:val="center"/>
          </w:tcPr>
          <w:p w14:paraId="4ED92C36">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评委根据投标人提供的检测设备</w:t>
            </w:r>
            <w:r>
              <w:rPr>
                <w:rFonts w:hint="eastAsia" w:ascii="宋体" w:hAnsi="宋体" w:cs="宋体"/>
                <w:color w:val="auto"/>
                <w:kern w:val="0"/>
                <w:sz w:val="24"/>
                <w:szCs w:val="24"/>
                <w:highlight w:val="none"/>
                <w:lang w:val="en-US" w:eastAsia="zh-CN"/>
              </w:rPr>
              <w:t>和作业情况（包括设备明细、针对项目现场实际情况的设备校准、操作方式等）</w:t>
            </w:r>
            <w:r>
              <w:rPr>
                <w:rFonts w:hint="eastAsia" w:ascii="宋体" w:hAnsi="宋体" w:cs="宋体"/>
                <w:color w:val="auto"/>
                <w:kern w:val="0"/>
                <w:sz w:val="24"/>
                <w:szCs w:val="24"/>
                <w:highlight w:val="none"/>
              </w:rPr>
              <w:t>进行综合评分：</w:t>
            </w:r>
          </w:p>
          <w:p w14:paraId="22C20E6B">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设备配置全面、合理，得</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分；</w:t>
            </w:r>
          </w:p>
          <w:p w14:paraId="0363C149">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设备配置较全面、基本合理，得</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分；</w:t>
            </w:r>
          </w:p>
          <w:p w14:paraId="36CFAE32">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配置不全面、</w:t>
            </w:r>
            <w:r>
              <w:rPr>
                <w:rFonts w:hint="eastAsia" w:ascii="宋体" w:hAnsi="宋体" w:cs="宋体"/>
                <w:color w:val="auto"/>
                <w:kern w:val="0"/>
                <w:sz w:val="24"/>
                <w:szCs w:val="24"/>
                <w:highlight w:val="none"/>
                <w:lang w:val="en-US" w:eastAsia="zh-CN"/>
              </w:rPr>
              <w:t>不合理，</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分；</w:t>
            </w:r>
          </w:p>
          <w:p w14:paraId="2E21E280">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无此项内容的不得分。</w:t>
            </w:r>
          </w:p>
        </w:tc>
        <w:tc>
          <w:tcPr>
            <w:tcW w:w="663" w:type="dxa"/>
            <w:tcBorders>
              <w:top w:val="single" w:color="000000" w:sz="4" w:space="0"/>
              <w:left w:val="single" w:color="000000" w:sz="4" w:space="0"/>
              <w:bottom w:val="nil"/>
              <w:right w:val="single" w:color="000000" w:sz="4" w:space="0"/>
            </w:tcBorders>
            <w:shd w:val="clear" w:color="auto" w:fill="auto"/>
            <w:vAlign w:val="center"/>
          </w:tcPr>
          <w:p w14:paraId="2AF4860E">
            <w:pPr>
              <w:widowControl/>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02" w:type="dxa"/>
            <w:vMerge w:val="continue"/>
            <w:tcBorders>
              <w:left w:val="single" w:color="000000" w:sz="4" w:space="0"/>
              <w:right w:val="single" w:color="000000" w:sz="4" w:space="0"/>
            </w:tcBorders>
            <w:shd w:val="clear" w:color="auto" w:fill="auto"/>
            <w:vAlign w:val="center"/>
          </w:tcPr>
          <w:p w14:paraId="7E86CF7F">
            <w:pPr>
              <w:widowControl/>
              <w:jc w:val="center"/>
              <w:textAlignment w:val="center"/>
              <w:rPr>
                <w:rFonts w:hint="eastAsia" w:ascii="宋体" w:hAnsi="宋体" w:eastAsia="宋体" w:cs="宋体"/>
                <w:color w:val="auto"/>
                <w:kern w:val="0"/>
                <w:sz w:val="24"/>
                <w:szCs w:val="24"/>
                <w:highlight w:val="none"/>
              </w:rPr>
            </w:pPr>
          </w:p>
        </w:tc>
      </w:tr>
      <w:tr w14:paraId="733B4399">
        <w:tblPrEx>
          <w:tblCellMar>
            <w:top w:w="0" w:type="dxa"/>
            <w:left w:w="108" w:type="dxa"/>
            <w:bottom w:w="0" w:type="dxa"/>
            <w:right w:w="108" w:type="dxa"/>
          </w:tblCellMar>
        </w:tblPrEx>
        <w:trPr>
          <w:trHeight w:val="295" w:hRule="atLeast"/>
        </w:trPr>
        <w:tc>
          <w:tcPr>
            <w:tcW w:w="570" w:type="dxa"/>
            <w:vMerge w:val="continue"/>
            <w:tcBorders>
              <w:left w:val="single" w:color="000000" w:sz="4" w:space="0"/>
              <w:right w:val="single" w:color="000000" w:sz="4" w:space="0"/>
            </w:tcBorders>
            <w:shd w:val="clear" w:color="auto" w:fill="auto"/>
            <w:vAlign w:val="center"/>
          </w:tcPr>
          <w:p w14:paraId="43B2BA1E">
            <w:pPr>
              <w:jc w:val="center"/>
              <w:rPr>
                <w:rFonts w:hint="eastAsia" w:ascii="宋体" w:hAnsi="宋体" w:eastAsia="宋体" w:cs="宋体"/>
                <w:color w:val="auto"/>
                <w:sz w:val="24"/>
                <w:szCs w:val="24"/>
                <w:highlight w:val="none"/>
              </w:rPr>
            </w:pPr>
          </w:p>
        </w:tc>
        <w:tc>
          <w:tcPr>
            <w:tcW w:w="1086" w:type="dxa"/>
            <w:vMerge w:val="continue"/>
            <w:tcBorders>
              <w:left w:val="single" w:color="000000" w:sz="4" w:space="0"/>
              <w:right w:val="single" w:color="000000" w:sz="4" w:space="0"/>
            </w:tcBorders>
            <w:shd w:val="clear" w:color="auto" w:fill="auto"/>
            <w:vAlign w:val="center"/>
          </w:tcPr>
          <w:p w14:paraId="3E84A823">
            <w:pPr>
              <w:jc w:val="center"/>
              <w:rPr>
                <w:rFonts w:hint="eastAsia" w:ascii="宋体" w:hAnsi="宋体" w:eastAsia="宋体" w:cs="宋体"/>
                <w:color w:val="auto"/>
                <w:sz w:val="24"/>
                <w:szCs w:val="24"/>
                <w:highlight w:val="none"/>
              </w:rPr>
            </w:pPr>
          </w:p>
        </w:tc>
        <w:tc>
          <w:tcPr>
            <w:tcW w:w="5700" w:type="dxa"/>
            <w:tcBorders>
              <w:top w:val="single" w:color="000000" w:sz="4" w:space="0"/>
              <w:left w:val="single" w:color="000000" w:sz="4" w:space="0"/>
              <w:bottom w:val="single" w:color="auto" w:sz="4" w:space="0"/>
              <w:right w:val="single" w:color="000000" w:sz="4" w:space="0"/>
            </w:tcBorders>
            <w:shd w:val="clear" w:color="auto" w:fill="auto"/>
            <w:vAlign w:val="center"/>
          </w:tcPr>
          <w:p w14:paraId="34A4AE60">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评委根据投标人提供的项目报告大纲及思路</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包括技术方案、重难点分析等</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进行综合评分：</w:t>
            </w:r>
          </w:p>
          <w:p w14:paraId="75E8049E">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项目报告大纲及思路内容全面、合理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可行，满足本项目需求的，得</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分；</w:t>
            </w:r>
          </w:p>
          <w:p w14:paraId="7E9E4A55">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项目报告大纲及思路内容较片面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合理</w:t>
            </w:r>
            <w:r>
              <w:rPr>
                <w:rFonts w:hint="eastAsia" w:ascii="宋体" w:hAnsi="宋体" w:cs="宋体"/>
                <w:color w:val="auto"/>
                <w:kern w:val="0"/>
                <w:sz w:val="24"/>
                <w:szCs w:val="24"/>
                <w:highlight w:val="none"/>
                <w:lang w:val="en-US" w:eastAsia="zh-CN"/>
              </w:rPr>
              <w:t>性、</w:t>
            </w:r>
            <w:r>
              <w:rPr>
                <w:rFonts w:hint="eastAsia" w:ascii="宋体" w:hAnsi="宋体" w:cs="宋体"/>
                <w:color w:val="auto"/>
                <w:kern w:val="0"/>
                <w:sz w:val="24"/>
                <w:szCs w:val="24"/>
                <w:highlight w:val="none"/>
              </w:rPr>
              <w:t>可行</w:t>
            </w:r>
            <w:r>
              <w:rPr>
                <w:rFonts w:hint="eastAsia" w:ascii="宋体" w:hAnsi="宋体" w:cs="宋体"/>
                <w:color w:val="auto"/>
                <w:kern w:val="0"/>
                <w:sz w:val="24"/>
                <w:szCs w:val="24"/>
                <w:highlight w:val="none"/>
                <w:lang w:val="en-US" w:eastAsia="zh-CN"/>
              </w:rPr>
              <w:t>性一般</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分；</w:t>
            </w:r>
          </w:p>
          <w:p w14:paraId="4F0F0965">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项目报告大纲及思路</w:t>
            </w:r>
            <w:r>
              <w:rPr>
                <w:rFonts w:hint="eastAsia" w:ascii="宋体" w:hAnsi="宋体" w:cs="宋体"/>
                <w:color w:val="auto"/>
                <w:kern w:val="0"/>
                <w:sz w:val="24"/>
                <w:szCs w:val="24"/>
                <w:highlight w:val="none"/>
                <w:lang w:val="en-US" w:eastAsia="zh-CN"/>
              </w:rPr>
              <w:t>内容不完整</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不合理</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分；</w:t>
            </w:r>
          </w:p>
          <w:p w14:paraId="17D97669">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无此项内容的不得分。</w:t>
            </w:r>
          </w:p>
        </w:tc>
        <w:tc>
          <w:tcPr>
            <w:tcW w:w="663" w:type="dxa"/>
            <w:tcBorders>
              <w:top w:val="single" w:color="000000" w:sz="4" w:space="0"/>
              <w:left w:val="single" w:color="000000" w:sz="4" w:space="0"/>
              <w:bottom w:val="nil"/>
              <w:right w:val="single" w:color="000000" w:sz="4" w:space="0"/>
            </w:tcBorders>
            <w:shd w:val="clear" w:color="auto" w:fill="auto"/>
            <w:vAlign w:val="center"/>
          </w:tcPr>
          <w:p w14:paraId="5C235803">
            <w:pPr>
              <w:widowControl/>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02" w:type="dxa"/>
            <w:vMerge w:val="continue"/>
            <w:tcBorders>
              <w:left w:val="single" w:color="000000" w:sz="4" w:space="0"/>
              <w:right w:val="single" w:color="000000" w:sz="4" w:space="0"/>
            </w:tcBorders>
            <w:shd w:val="clear" w:color="auto" w:fill="auto"/>
            <w:vAlign w:val="center"/>
          </w:tcPr>
          <w:p w14:paraId="458E4E69">
            <w:pPr>
              <w:widowControl/>
              <w:jc w:val="center"/>
              <w:textAlignment w:val="center"/>
              <w:rPr>
                <w:rFonts w:hint="eastAsia" w:ascii="宋体" w:hAnsi="宋体" w:eastAsia="宋体" w:cs="宋体"/>
                <w:color w:val="auto"/>
                <w:kern w:val="0"/>
                <w:sz w:val="24"/>
                <w:szCs w:val="24"/>
                <w:highlight w:val="none"/>
              </w:rPr>
            </w:pPr>
          </w:p>
        </w:tc>
      </w:tr>
      <w:tr w14:paraId="10A87A97">
        <w:tblPrEx>
          <w:tblCellMar>
            <w:top w:w="0" w:type="dxa"/>
            <w:left w:w="108" w:type="dxa"/>
            <w:bottom w:w="0" w:type="dxa"/>
            <w:right w:w="108" w:type="dxa"/>
          </w:tblCellMar>
        </w:tblPrEx>
        <w:trPr>
          <w:trHeight w:val="295" w:hRule="atLeast"/>
        </w:trPr>
        <w:tc>
          <w:tcPr>
            <w:tcW w:w="570" w:type="dxa"/>
            <w:vMerge w:val="continue"/>
            <w:tcBorders>
              <w:left w:val="single" w:color="000000" w:sz="4" w:space="0"/>
              <w:right w:val="single" w:color="000000" w:sz="4" w:space="0"/>
            </w:tcBorders>
            <w:shd w:val="clear" w:color="auto" w:fill="auto"/>
            <w:vAlign w:val="center"/>
          </w:tcPr>
          <w:p w14:paraId="77EFAAA1">
            <w:pPr>
              <w:jc w:val="center"/>
              <w:rPr>
                <w:rFonts w:hint="eastAsia" w:ascii="宋体" w:hAnsi="宋体" w:eastAsia="宋体" w:cs="宋体"/>
                <w:color w:val="auto"/>
                <w:sz w:val="24"/>
                <w:szCs w:val="24"/>
                <w:highlight w:val="none"/>
              </w:rPr>
            </w:pPr>
          </w:p>
        </w:tc>
        <w:tc>
          <w:tcPr>
            <w:tcW w:w="1086" w:type="dxa"/>
            <w:vMerge w:val="continue"/>
            <w:tcBorders>
              <w:left w:val="single" w:color="000000" w:sz="4" w:space="0"/>
              <w:right w:val="single" w:color="000000" w:sz="4" w:space="0"/>
            </w:tcBorders>
            <w:shd w:val="clear" w:color="auto" w:fill="auto"/>
            <w:vAlign w:val="center"/>
          </w:tcPr>
          <w:p w14:paraId="47354F9E">
            <w:pPr>
              <w:jc w:val="center"/>
              <w:rPr>
                <w:rFonts w:hint="eastAsia" w:ascii="宋体" w:hAnsi="宋体" w:eastAsia="宋体" w:cs="宋体"/>
                <w:color w:val="auto"/>
                <w:sz w:val="24"/>
                <w:szCs w:val="24"/>
                <w:highlight w:val="none"/>
              </w:rPr>
            </w:pPr>
          </w:p>
        </w:tc>
        <w:tc>
          <w:tcPr>
            <w:tcW w:w="5700" w:type="dxa"/>
            <w:tcBorders>
              <w:top w:val="single" w:color="000000" w:sz="4" w:space="0"/>
              <w:left w:val="single" w:color="000000" w:sz="4" w:space="0"/>
              <w:bottom w:val="single" w:color="auto" w:sz="4" w:space="0"/>
              <w:right w:val="single" w:color="000000" w:sz="4" w:space="0"/>
            </w:tcBorders>
            <w:shd w:val="clear" w:color="auto" w:fill="auto"/>
            <w:vAlign w:val="center"/>
          </w:tcPr>
          <w:p w14:paraId="796B333E">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评委根据投标人提供的检测工作安全</w:t>
            </w:r>
            <w:r>
              <w:rPr>
                <w:rFonts w:hint="eastAsia" w:ascii="宋体" w:hAnsi="宋体" w:cs="宋体"/>
                <w:color w:val="auto"/>
                <w:kern w:val="0"/>
                <w:sz w:val="24"/>
                <w:szCs w:val="24"/>
                <w:highlight w:val="none"/>
                <w:lang w:val="en-US" w:eastAsia="zh-CN"/>
              </w:rPr>
              <w:t>保证</w:t>
            </w:r>
            <w:r>
              <w:rPr>
                <w:rFonts w:hint="eastAsia" w:ascii="宋体" w:hAnsi="宋体" w:cs="宋体"/>
                <w:color w:val="auto"/>
                <w:kern w:val="0"/>
                <w:sz w:val="24"/>
                <w:szCs w:val="24"/>
                <w:highlight w:val="none"/>
              </w:rPr>
              <w:t>措施</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包括个安全管理制度、人防护用品配备、对成品保护、文明作业、应急预案等</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进行综合评分。</w:t>
            </w:r>
          </w:p>
          <w:p w14:paraId="48BDD21E">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安全生产目标明确</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安全管理方案全面准确</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安全防范措施合理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可行，得</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分</w:t>
            </w:r>
            <w:r>
              <w:rPr>
                <w:rFonts w:hint="eastAsia" w:ascii="宋体" w:hAnsi="宋体" w:cs="宋体"/>
                <w:color w:val="auto"/>
                <w:kern w:val="0"/>
                <w:sz w:val="24"/>
                <w:szCs w:val="24"/>
                <w:highlight w:val="none"/>
                <w:lang w:val="en-US" w:eastAsia="zh-CN"/>
              </w:rPr>
              <w:t>；</w:t>
            </w:r>
          </w:p>
          <w:p w14:paraId="2D1BAA54">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安全生产目标基本明确</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安全管理方案较全面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安全防范措施基本合理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可行</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分</w:t>
            </w:r>
            <w:r>
              <w:rPr>
                <w:rFonts w:hint="eastAsia" w:ascii="宋体" w:hAnsi="宋体" w:cs="宋体"/>
                <w:color w:val="auto"/>
                <w:kern w:val="0"/>
                <w:sz w:val="24"/>
                <w:szCs w:val="24"/>
                <w:highlight w:val="none"/>
                <w:lang w:val="en-US" w:eastAsia="zh-CN"/>
              </w:rPr>
              <w:t>；</w:t>
            </w:r>
          </w:p>
          <w:p w14:paraId="1CB6AA18">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安全生产目标</w:t>
            </w:r>
            <w:r>
              <w:rPr>
                <w:rFonts w:hint="eastAsia" w:ascii="宋体" w:hAnsi="宋体" w:cs="宋体"/>
                <w:color w:val="auto"/>
                <w:kern w:val="0"/>
                <w:sz w:val="24"/>
                <w:szCs w:val="24"/>
                <w:highlight w:val="none"/>
                <w:lang w:val="en-US" w:eastAsia="zh-CN"/>
              </w:rPr>
              <w:t>不</w:t>
            </w:r>
            <w:r>
              <w:rPr>
                <w:rFonts w:hint="eastAsia" w:ascii="宋体" w:hAnsi="宋体" w:cs="宋体"/>
                <w:color w:val="auto"/>
                <w:kern w:val="0"/>
                <w:sz w:val="24"/>
                <w:szCs w:val="24"/>
                <w:highlight w:val="none"/>
              </w:rPr>
              <w:t>明确</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安全管理方案</w:t>
            </w:r>
            <w:r>
              <w:rPr>
                <w:rFonts w:hint="eastAsia" w:ascii="宋体" w:hAnsi="宋体" w:cs="宋体"/>
                <w:color w:val="auto"/>
                <w:kern w:val="0"/>
                <w:sz w:val="24"/>
                <w:szCs w:val="24"/>
                <w:highlight w:val="none"/>
                <w:lang w:val="en-US" w:eastAsia="zh-CN"/>
              </w:rPr>
              <w:t>和</w:t>
            </w:r>
            <w:r>
              <w:rPr>
                <w:rFonts w:hint="eastAsia" w:ascii="宋体" w:hAnsi="宋体" w:cs="宋体"/>
                <w:color w:val="auto"/>
                <w:kern w:val="0"/>
                <w:sz w:val="24"/>
                <w:szCs w:val="24"/>
                <w:highlight w:val="none"/>
              </w:rPr>
              <w:t>安全防范措施</w:t>
            </w:r>
            <w:r>
              <w:rPr>
                <w:rFonts w:hint="eastAsia" w:ascii="宋体" w:hAnsi="宋体" w:cs="宋体"/>
                <w:color w:val="auto"/>
                <w:kern w:val="0"/>
                <w:sz w:val="24"/>
                <w:szCs w:val="24"/>
                <w:highlight w:val="none"/>
                <w:lang w:val="en-US" w:eastAsia="zh-CN"/>
              </w:rPr>
              <w:t>不合理</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rPr>
              <w:t>分</w:t>
            </w:r>
            <w:r>
              <w:rPr>
                <w:rFonts w:hint="eastAsia" w:ascii="宋体" w:hAnsi="宋体" w:cs="宋体"/>
                <w:color w:val="auto"/>
                <w:kern w:val="0"/>
                <w:sz w:val="24"/>
                <w:szCs w:val="24"/>
                <w:highlight w:val="none"/>
                <w:lang w:val="en-US" w:eastAsia="zh-CN"/>
              </w:rPr>
              <w:t>；</w:t>
            </w:r>
          </w:p>
          <w:p w14:paraId="1FC59ECF">
            <w:pPr>
              <w:keepNext w:val="0"/>
              <w:keepLines w:val="0"/>
              <w:pageBreakBefore w:val="0"/>
              <w:suppressLineNumbers w:val="0"/>
              <w:kinsoku/>
              <w:wordWrap/>
              <w:overflowPunct/>
              <w:topLinePunct w:val="0"/>
              <w:autoSpaceDE/>
              <w:autoSpaceDN/>
              <w:bidi w:val="0"/>
              <w:spacing w:before="0" w:beforeAutospacing="0" w:after="0" w:afterAutospacing="0" w:line="360" w:lineRule="exact"/>
              <w:ind w:left="0" w:right="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无此项内容的不得分。</w:t>
            </w:r>
          </w:p>
        </w:tc>
        <w:tc>
          <w:tcPr>
            <w:tcW w:w="663" w:type="dxa"/>
            <w:tcBorders>
              <w:top w:val="single" w:color="000000" w:sz="4" w:space="0"/>
              <w:left w:val="single" w:color="000000" w:sz="4" w:space="0"/>
              <w:bottom w:val="nil"/>
              <w:right w:val="single" w:color="000000" w:sz="4" w:space="0"/>
            </w:tcBorders>
            <w:shd w:val="clear" w:color="auto" w:fill="auto"/>
            <w:vAlign w:val="center"/>
          </w:tcPr>
          <w:p w14:paraId="329B140F">
            <w:pPr>
              <w:widowControl/>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02" w:type="dxa"/>
            <w:vMerge w:val="continue"/>
            <w:tcBorders>
              <w:left w:val="single" w:color="000000" w:sz="4" w:space="0"/>
              <w:right w:val="single" w:color="000000" w:sz="4" w:space="0"/>
            </w:tcBorders>
            <w:shd w:val="clear" w:color="auto" w:fill="auto"/>
            <w:vAlign w:val="center"/>
          </w:tcPr>
          <w:p w14:paraId="24106F2D">
            <w:pPr>
              <w:widowControl/>
              <w:jc w:val="center"/>
              <w:textAlignment w:val="center"/>
              <w:rPr>
                <w:rFonts w:hint="eastAsia" w:ascii="宋体" w:hAnsi="宋体" w:eastAsia="宋体" w:cs="宋体"/>
                <w:color w:val="auto"/>
                <w:kern w:val="0"/>
                <w:sz w:val="24"/>
                <w:szCs w:val="24"/>
                <w:highlight w:val="none"/>
              </w:rPr>
            </w:pPr>
          </w:p>
        </w:tc>
      </w:tr>
      <w:tr w14:paraId="635F09C3">
        <w:tblPrEx>
          <w:tblCellMar>
            <w:top w:w="0" w:type="dxa"/>
            <w:left w:w="108" w:type="dxa"/>
            <w:bottom w:w="0" w:type="dxa"/>
            <w:right w:w="108" w:type="dxa"/>
          </w:tblCellMar>
        </w:tblPrEx>
        <w:trPr>
          <w:trHeight w:val="90" w:hRule="atLeast"/>
        </w:trPr>
        <w:tc>
          <w:tcPr>
            <w:tcW w:w="570" w:type="dxa"/>
            <w:tcBorders>
              <w:top w:val="single" w:color="auto" w:sz="4" w:space="0"/>
              <w:left w:val="single" w:color="auto" w:sz="4" w:space="0"/>
              <w:bottom w:val="single" w:color="auto" w:sz="4" w:space="0"/>
              <w:right w:val="single" w:color="auto" w:sz="4" w:space="0"/>
            </w:tcBorders>
            <w:shd w:val="clear" w:color="auto" w:fill="auto"/>
            <w:vAlign w:val="center"/>
          </w:tcPr>
          <w:p w14:paraId="6A5E5F5E">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2AC07FDD">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企业业绩</w:t>
            </w:r>
          </w:p>
          <w:p w14:paraId="74EA73AE">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tc>
        <w:tc>
          <w:tcPr>
            <w:tcW w:w="5700" w:type="dxa"/>
            <w:tcBorders>
              <w:top w:val="single" w:color="auto" w:sz="4" w:space="0"/>
              <w:left w:val="single" w:color="auto" w:sz="4" w:space="0"/>
              <w:bottom w:val="single" w:color="auto" w:sz="4" w:space="0"/>
              <w:right w:val="single" w:color="auto" w:sz="4" w:space="0"/>
            </w:tcBorders>
            <w:shd w:val="clear" w:color="auto" w:fill="auto"/>
            <w:vAlign w:val="center"/>
          </w:tcPr>
          <w:p w14:paraId="04285FBE">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年1月1日（含）以来承担过隧道专项检测项目，有1个得3分，</w:t>
            </w:r>
            <w:r>
              <w:rPr>
                <w:rFonts w:hint="eastAsia" w:ascii="宋体" w:hAnsi="宋体" w:cs="宋体"/>
                <w:color w:val="auto"/>
                <w:sz w:val="24"/>
                <w:szCs w:val="24"/>
                <w:highlight w:val="none"/>
                <w:lang w:val="en-US" w:eastAsia="zh-CN"/>
              </w:rPr>
              <w:t>本项最高</w:t>
            </w:r>
            <w:r>
              <w:rPr>
                <w:rFonts w:hint="eastAsia" w:ascii="宋体" w:hAnsi="宋体" w:eastAsia="宋体" w:cs="宋体"/>
                <w:color w:val="auto"/>
                <w:sz w:val="24"/>
                <w:szCs w:val="24"/>
                <w:highlight w:val="none"/>
              </w:rPr>
              <w:t>得9分。</w:t>
            </w:r>
          </w:p>
          <w:p w14:paraId="78A5D454">
            <w:pPr>
              <w:widowControl/>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lang w:val="en-US" w:eastAsia="zh-CN" w:bidi="ar"/>
              </w:rPr>
              <w:t>须提供加盖投标人公章的合同扫描件；若合同无法体现项目服务内容等评审要素，应另行补充有效佐证材料。材料未能体现评审要求的，该项业绩不计分。</w:t>
            </w:r>
            <w:r>
              <w:rPr>
                <w:rFonts w:hint="eastAsia" w:ascii="宋体" w:hAnsi="宋体" w:eastAsia="宋体" w:cs="宋体"/>
                <w:color w:val="auto"/>
                <w:sz w:val="24"/>
                <w:szCs w:val="24"/>
                <w:highlight w:val="none"/>
                <w:lang w:eastAsia="zh-CN"/>
              </w:rPr>
              <w:t>）</w:t>
            </w:r>
          </w:p>
        </w:tc>
        <w:tc>
          <w:tcPr>
            <w:tcW w:w="663" w:type="dxa"/>
            <w:tcBorders>
              <w:top w:val="single" w:color="000000" w:sz="4" w:space="0"/>
              <w:left w:val="single" w:color="auto" w:sz="4" w:space="0"/>
              <w:bottom w:val="single" w:color="000000" w:sz="4" w:space="0"/>
              <w:right w:val="single" w:color="000000" w:sz="4" w:space="0"/>
            </w:tcBorders>
            <w:shd w:val="clear" w:color="auto" w:fill="auto"/>
            <w:vAlign w:val="center"/>
          </w:tcPr>
          <w:p w14:paraId="0A556ABD">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rPr>
              <w:t>9</w:t>
            </w:r>
          </w:p>
        </w:tc>
        <w:tc>
          <w:tcPr>
            <w:tcW w:w="1102" w:type="dxa"/>
            <w:tcBorders>
              <w:top w:val="single" w:color="000000" w:sz="4" w:space="0"/>
              <w:left w:val="single" w:color="000000" w:sz="4" w:space="0"/>
              <w:right w:val="single" w:color="000000" w:sz="4" w:space="0"/>
            </w:tcBorders>
            <w:shd w:val="clear" w:color="auto" w:fill="auto"/>
            <w:vAlign w:val="center"/>
          </w:tcPr>
          <w:p w14:paraId="6386E3D4">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客观分</w:t>
            </w:r>
          </w:p>
        </w:tc>
      </w:tr>
      <w:tr w14:paraId="19D9E2ED">
        <w:tblPrEx>
          <w:tblCellMar>
            <w:top w:w="0" w:type="dxa"/>
            <w:left w:w="108" w:type="dxa"/>
            <w:bottom w:w="0" w:type="dxa"/>
            <w:right w:w="108" w:type="dxa"/>
          </w:tblCellMar>
        </w:tblPrEx>
        <w:trPr>
          <w:trHeight w:val="506" w:hRule="atLeast"/>
        </w:trPr>
        <w:tc>
          <w:tcPr>
            <w:tcW w:w="570" w:type="dxa"/>
            <w:tcBorders>
              <w:top w:val="single" w:color="auto" w:sz="4" w:space="0"/>
              <w:left w:val="single" w:color="auto" w:sz="4" w:space="0"/>
              <w:bottom w:val="single" w:color="auto" w:sz="4" w:space="0"/>
              <w:right w:val="single" w:color="auto" w:sz="4" w:space="0"/>
            </w:tcBorders>
            <w:shd w:val="clear" w:color="auto" w:fill="auto"/>
            <w:vAlign w:val="center"/>
          </w:tcPr>
          <w:p w14:paraId="4024FE95">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4885449D">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项目组成员（</w:t>
            </w:r>
            <w:r>
              <w:rPr>
                <w:rFonts w:hint="eastAsia" w:ascii="宋体" w:hAnsi="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rPr>
              <w:t>分）</w:t>
            </w:r>
          </w:p>
          <w:p w14:paraId="218D96EA">
            <w:pPr>
              <w:widowControl/>
              <w:jc w:val="center"/>
              <w:textAlignment w:val="center"/>
              <w:rPr>
                <w:rFonts w:hint="default" w:ascii="宋体" w:hAnsi="宋体" w:eastAsia="宋体" w:cs="宋体"/>
                <w:color w:val="auto"/>
                <w:kern w:val="0"/>
                <w:sz w:val="24"/>
                <w:szCs w:val="24"/>
                <w:highlight w:val="none"/>
                <w:lang w:val="en-US" w:eastAsia="zh-CN" w:bidi="ar-SA"/>
              </w:rPr>
            </w:pPr>
          </w:p>
        </w:tc>
        <w:tc>
          <w:tcPr>
            <w:tcW w:w="5700" w:type="dxa"/>
            <w:tcBorders>
              <w:top w:val="single" w:color="auto" w:sz="4" w:space="0"/>
              <w:left w:val="single" w:color="auto" w:sz="4" w:space="0"/>
              <w:bottom w:val="single" w:color="auto" w:sz="4" w:space="0"/>
              <w:right w:val="single" w:color="auto" w:sz="4" w:space="0"/>
            </w:tcBorders>
            <w:shd w:val="clear" w:color="auto" w:fill="auto"/>
            <w:vAlign w:val="center"/>
          </w:tcPr>
          <w:p w14:paraId="5F189F48">
            <w:pPr>
              <w:widowControl/>
              <w:jc w:val="left"/>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项目负责人</w:t>
            </w:r>
          </w:p>
          <w:p w14:paraId="7E8B8389">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eastAsia="zh-CN"/>
              </w:rPr>
              <w:t>项目负责人具有工程类</w:t>
            </w:r>
            <w:r>
              <w:rPr>
                <w:rFonts w:hint="eastAsia" w:ascii="宋体" w:hAnsi="宋体" w:cs="宋体"/>
                <w:color w:val="auto"/>
                <w:sz w:val="24"/>
                <w:szCs w:val="24"/>
                <w:highlight w:val="none"/>
                <w:lang w:val="en-US" w:eastAsia="zh-CN"/>
              </w:rPr>
              <w:t>中级职称的得1分，具有</w:t>
            </w:r>
            <w:r>
              <w:rPr>
                <w:rFonts w:hint="eastAsia" w:ascii="宋体" w:hAnsi="宋体" w:eastAsia="宋体" w:cs="宋体"/>
                <w:color w:val="auto"/>
                <w:sz w:val="24"/>
                <w:szCs w:val="24"/>
                <w:highlight w:val="none"/>
                <w:lang w:eastAsia="zh-CN"/>
              </w:rPr>
              <w:t>高级及以上职称的得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4EC74A7B">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②项目负责人具</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lang w:eastAsia="zh-CN"/>
              </w:rPr>
              <w:t>主管部门核发</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《公路工程试验检测工程师证书》(隧道专业)或《公路水运工程试验检测师证书》(桥梁隧道工程专业)证书或</w:t>
            </w:r>
            <w:r>
              <w:rPr>
                <w:rFonts w:hint="eastAsia" w:ascii="宋体" w:hAnsi="宋体" w:eastAsia="宋体" w:cs="宋体"/>
                <w:color w:val="auto"/>
                <w:sz w:val="24"/>
                <w:szCs w:val="24"/>
                <w:highlight w:val="none"/>
                <w:lang w:val="zh-CN" w:eastAsia="zh-CN"/>
              </w:rPr>
              <w:t>建设工程质量检测培训合格证书</w:t>
            </w:r>
            <w:r>
              <w:rPr>
                <w:rFonts w:hint="eastAsia" w:ascii="宋体" w:hAnsi="宋体" w:eastAsia="宋体" w:cs="宋体"/>
                <w:color w:val="auto"/>
                <w:sz w:val="24"/>
                <w:szCs w:val="24"/>
                <w:highlight w:val="none"/>
                <w:lang w:eastAsia="zh-CN"/>
              </w:rPr>
              <w:t>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0567DD35">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eastAsia="zh-CN"/>
              </w:rPr>
              <w:t>项目负责人具有注册岩土工程师或注册结构工程师执业资格的得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28977132">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拟投入的</w:t>
            </w:r>
            <w:r>
              <w:rPr>
                <w:rFonts w:hint="eastAsia" w:ascii="宋体" w:hAnsi="宋体" w:eastAsia="宋体" w:cs="宋体"/>
                <w:color w:val="auto"/>
                <w:sz w:val="24"/>
                <w:szCs w:val="24"/>
                <w:highlight w:val="none"/>
                <w:lang w:val="en-US" w:eastAsia="zh-CN"/>
              </w:rPr>
              <w:t>其他人员</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lang w:val="en-US" w:eastAsia="zh-CN"/>
              </w:rPr>
              <w:t>除外</w:t>
            </w:r>
            <w:r>
              <w:rPr>
                <w:rFonts w:hint="eastAsia" w:ascii="宋体" w:hAnsi="宋体" w:eastAsia="宋体" w:cs="宋体"/>
                <w:color w:val="auto"/>
                <w:sz w:val="24"/>
                <w:szCs w:val="24"/>
                <w:highlight w:val="none"/>
                <w:lang w:eastAsia="zh-CN"/>
              </w:rPr>
              <w:t>）：</w:t>
            </w:r>
          </w:p>
          <w:p w14:paraId="1B55DB03">
            <w:pPr>
              <w:widowControl/>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其他人员</w:t>
            </w:r>
            <w:r>
              <w:rPr>
                <w:rFonts w:hint="eastAsia" w:ascii="宋体" w:hAnsi="宋体" w:eastAsia="宋体" w:cs="宋体"/>
                <w:color w:val="auto"/>
                <w:sz w:val="24"/>
                <w:szCs w:val="24"/>
                <w:highlight w:val="none"/>
                <w:lang w:eastAsia="zh-CN"/>
              </w:rPr>
              <w:t>具有相关主管部门核发的《公路工程试验检测工程师证书》(隧道专业)或《公路水运工程试验检测师证书》(桥梁隧道工程专业)证书或</w:t>
            </w:r>
            <w:r>
              <w:rPr>
                <w:rFonts w:hint="eastAsia" w:ascii="宋体" w:hAnsi="宋体" w:eastAsia="宋体" w:cs="宋体"/>
                <w:color w:val="auto"/>
                <w:sz w:val="24"/>
                <w:szCs w:val="24"/>
                <w:highlight w:val="none"/>
                <w:lang w:val="zh-CN" w:eastAsia="zh-CN"/>
              </w:rPr>
              <w:t>建设工程质量检测培训合格证书</w:t>
            </w:r>
            <w:r>
              <w:rPr>
                <w:rFonts w:hint="eastAsia" w:ascii="宋体" w:hAnsi="宋体" w:eastAsia="宋体" w:cs="宋体"/>
                <w:color w:val="auto"/>
                <w:sz w:val="24"/>
                <w:szCs w:val="24"/>
                <w:highlight w:val="none"/>
                <w:lang w:eastAsia="zh-CN"/>
              </w:rPr>
              <w:t>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同时具有</w:t>
            </w:r>
            <w:r>
              <w:rPr>
                <w:rFonts w:hint="eastAsia" w:ascii="宋体" w:hAnsi="宋体" w:eastAsia="宋体" w:cs="宋体"/>
                <w:color w:val="auto"/>
                <w:sz w:val="24"/>
                <w:szCs w:val="24"/>
                <w:highlight w:val="none"/>
                <w:lang w:eastAsia="zh-CN"/>
              </w:rPr>
              <w:t>工程类</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lang w:eastAsia="zh-CN"/>
              </w:rPr>
              <w:t>级职称的</w:t>
            </w:r>
            <w:r>
              <w:rPr>
                <w:rFonts w:hint="eastAsia" w:ascii="宋体" w:hAnsi="宋体" w:eastAsia="宋体" w:cs="宋体"/>
                <w:color w:val="auto"/>
                <w:sz w:val="24"/>
                <w:szCs w:val="24"/>
                <w:highlight w:val="none"/>
                <w:lang w:val="en-US" w:eastAsia="zh-CN"/>
              </w:rPr>
              <w:t>加1</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同时具有</w:t>
            </w:r>
            <w:r>
              <w:rPr>
                <w:rFonts w:hint="eastAsia" w:ascii="宋体" w:hAnsi="宋体" w:eastAsia="宋体" w:cs="宋体"/>
                <w:color w:val="auto"/>
                <w:sz w:val="24"/>
                <w:szCs w:val="24"/>
                <w:highlight w:val="none"/>
                <w:lang w:eastAsia="zh-CN"/>
              </w:rPr>
              <w:t>工程类高级及以上职称的</w:t>
            </w:r>
            <w:r>
              <w:rPr>
                <w:rFonts w:hint="eastAsia" w:ascii="宋体" w:hAnsi="宋体" w:eastAsia="宋体" w:cs="宋体"/>
                <w:color w:val="auto"/>
                <w:sz w:val="24"/>
                <w:szCs w:val="24"/>
                <w:highlight w:val="none"/>
                <w:lang w:val="en-US" w:eastAsia="zh-CN"/>
              </w:rPr>
              <w:t>加</w:t>
            </w:r>
            <w:r>
              <w:rPr>
                <w:rFonts w:hint="eastAsia" w:ascii="宋体" w:hAnsi="宋体" w:eastAsia="宋体" w:cs="宋体"/>
                <w:color w:val="auto"/>
                <w:sz w:val="24"/>
                <w:szCs w:val="24"/>
                <w:highlight w:val="none"/>
                <w:lang w:eastAsia="zh-CN"/>
              </w:rPr>
              <w:t>2分</w:t>
            </w:r>
            <w:r>
              <w:rPr>
                <w:rFonts w:hint="eastAsia" w:ascii="宋体" w:hAnsi="宋体" w:eastAsia="宋体" w:cs="宋体"/>
                <w:color w:val="auto"/>
                <w:sz w:val="24"/>
                <w:szCs w:val="24"/>
                <w:highlight w:val="none"/>
                <w:lang w:val="en-US" w:eastAsia="zh-CN"/>
              </w:rPr>
              <w:t>/人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本项最高得17分。</w:t>
            </w:r>
            <w:r>
              <w:rPr>
                <w:rFonts w:hint="eastAsia" w:ascii="宋体" w:hAnsi="宋体" w:eastAsia="宋体" w:cs="宋体"/>
                <w:color w:val="auto"/>
                <w:sz w:val="24"/>
                <w:szCs w:val="24"/>
                <w:highlight w:val="none"/>
                <w:lang w:eastAsia="zh-CN"/>
              </w:rPr>
              <w:t>（须提供证书复印件加盖公章，否则不得分）</w:t>
            </w:r>
          </w:p>
          <w:p w14:paraId="5B7616F2">
            <w:pPr>
              <w:widowControl/>
              <w:jc w:val="left"/>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p>
          <w:p w14:paraId="0E87901E">
            <w:pPr>
              <w:widowControl/>
              <w:jc w:val="left"/>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①项目组成员须提供社保机构出具的近半年任意一个月</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val="en-US" w:eastAsia="zh-CN"/>
              </w:rPr>
              <w:t>为其缴纳的社保缴费证明；社保证明须明确缴费月份、个人姓名、缴费单位，且加盖社保中心章或社保中心参保缴费证明电子专用章，若相关人员属企业退休人员、现役军人等客观原因无法提供养老保险金缴费证明，退休人员必须出具退休证及劳务合同，若事业编制人员需要提供所在单位上级人事主管部门的人事证明材料。</w:t>
            </w:r>
          </w:p>
          <w:p w14:paraId="0D23F0E9">
            <w:pPr>
              <w:widowControl/>
              <w:jc w:val="left"/>
              <w:textAlignment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②提供人员证书扫描件加盖公章，项目组人员不得重复计分，同一人不同职称以最高职称计分。</w:t>
            </w:r>
          </w:p>
        </w:tc>
        <w:tc>
          <w:tcPr>
            <w:tcW w:w="663" w:type="dxa"/>
            <w:tcBorders>
              <w:top w:val="single" w:color="000000" w:sz="4" w:space="0"/>
              <w:left w:val="single" w:color="auto" w:sz="4" w:space="0"/>
              <w:bottom w:val="single" w:color="000000" w:sz="4" w:space="0"/>
              <w:right w:val="single" w:color="000000" w:sz="4" w:space="0"/>
            </w:tcBorders>
            <w:shd w:val="clear" w:color="auto" w:fill="auto"/>
            <w:vAlign w:val="center"/>
          </w:tcPr>
          <w:p w14:paraId="4428148A">
            <w:pPr>
              <w:widowControl/>
              <w:jc w:val="center"/>
              <w:textAlignment w:val="center"/>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25</w:t>
            </w:r>
          </w:p>
        </w:tc>
        <w:tc>
          <w:tcPr>
            <w:tcW w:w="1102" w:type="dxa"/>
            <w:tcBorders>
              <w:top w:val="single" w:color="000000" w:sz="4" w:space="0"/>
              <w:left w:val="single" w:color="000000" w:sz="4" w:space="0"/>
              <w:right w:val="single" w:color="000000" w:sz="4" w:space="0"/>
            </w:tcBorders>
            <w:shd w:val="clear" w:color="auto" w:fill="auto"/>
            <w:vAlign w:val="center"/>
          </w:tcPr>
          <w:p w14:paraId="586A5477">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客观分</w:t>
            </w:r>
          </w:p>
        </w:tc>
      </w:tr>
      <w:tr w14:paraId="688FEFF3">
        <w:tblPrEx>
          <w:tblCellMar>
            <w:top w:w="0" w:type="dxa"/>
            <w:left w:w="108" w:type="dxa"/>
            <w:bottom w:w="0" w:type="dxa"/>
            <w:right w:w="108" w:type="dxa"/>
          </w:tblCellMar>
        </w:tblPrEx>
        <w:trPr>
          <w:trHeight w:val="369" w:hRule="atLeast"/>
        </w:trPr>
        <w:tc>
          <w:tcPr>
            <w:tcW w:w="570" w:type="dxa"/>
            <w:tcBorders>
              <w:top w:val="single" w:color="auto" w:sz="4" w:space="0"/>
              <w:left w:val="single" w:color="auto" w:sz="4" w:space="0"/>
              <w:bottom w:val="single" w:color="auto" w:sz="4" w:space="0"/>
              <w:right w:val="single" w:color="auto" w:sz="4" w:space="0"/>
            </w:tcBorders>
            <w:shd w:val="clear" w:color="auto" w:fill="auto"/>
            <w:vAlign w:val="center"/>
          </w:tcPr>
          <w:p w14:paraId="36E50DD1">
            <w:pPr>
              <w:widowControl/>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5CC26C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仪器设备（</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tc>
        <w:tc>
          <w:tcPr>
            <w:tcW w:w="5700" w:type="dxa"/>
            <w:tcBorders>
              <w:top w:val="single" w:color="auto" w:sz="4" w:space="0"/>
              <w:left w:val="single" w:color="auto" w:sz="4" w:space="0"/>
              <w:bottom w:val="single" w:color="auto" w:sz="4" w:space="0"/>
              <w:right w:val="single" w:color="auto" w:sz="4" w:space="0"/>
            </w:tcBorders>
            <w:shd w:val="clear" w:color="auto" w:fill="auto"/>
            <w:vAlign w:val="center"/>
          </w:tcPr>
          <w:p w14:paraId="13C53A05">
            <w:pPr>
              <w:widowControl/>
              <w:jc w:val="left"/>
              <w:textAlignment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供应商为本项目配备地质雷达（频率涵盖20MHz-2000 MHz）的得3分；</w:t>
            </w:r>
          </w:p>
          <w:p w14:paraId="33975485">
            <w:pPr>
              <w:widowControl/>
              <w:jc w:val="left"/>
              <w:textAlignment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供应商为本项目配备激光断面检测仪（精度±1mm）得3分；</w:t>
            </w:r>
          </w:p>
          <w:p w14:paraId="559965FA">
            <w:pPr>
              <w:widowControl/>
              <w:jc w:val="left"/>
              <w:textAlignment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供应商为本项目配备裂缝综合检测仪（宽度测量精度0.01mm，深度测量精度5%H）的得3分。</w:t>
            </w:r>
          </w:p>
          <w:p w14:paraId="36660B2D">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本项最多得9分。</w:t>
            </w:r>
          </w:p>
          <w:p w14:paraId="2EDDF177">
            <w:pPr>
              <w:widowControl/>
              <w:jc w:val="left"/>
              <w:textAlignment w:val="center"/>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(提供供应商购买设备发票</w:t>
            </w:r>
            <w:r>
              <w:rPr>
                <w:rFonts w:hint="eastAsia" w:ascii="宋体" w:hAnsi="宋体" w:eastAsia="宋体" w:cs="宋体"/>
                <w:color w:val="auto"/>
                <w:kern w:val="0"/>
                <w:sz w:val="24"/>
                <w:szCs w:val="24"/>
                <w:highlight w:val="none"/>
                <w:lang w:val="en-US" w:eastAsia="zh-CN"/>
              </w:rPr>
              <w:t>扫描件</w:t>
            </w:r>
            <w:r>
              <w:rPr>
                <w:rFonts w:hint="eastAsia" w:ascii="宋体" w:hAnsi="宋体" w:eastAsia="宋体" w:cs="宋体"/>
                <w:color w:val="auto"/>
                <w:kern w:val="0"/>
                <w:sz w:val="24"/>
                <w:szCs w:val="24"/>
                <w:highlight w:val="none"/>
                <w:lang w:eastAsia="zh-CN"/>
              </w:rPr>
              <w:t>或租赁合同</w:t>
            </w:r>
            <w:r>
              <w:rPr>
                <w:rFonts w:hint="eastAsia" w:ascii="宋体" w:hAnsi="宋体" w:eastAsia="宋体" w:cs="宋体"/>
                <w:color w:val="auto"/>
                <w:kern w:val="0"/>
                <w:sz w:val="24"/>
                <w:szCs w:val="24"/>
                <w:highlight w:val="none"/>
                <w:lang w:val="en-US" w:eastAsia="zh-CN"/>
              </w:rPr>
              <w:t>扫描件加盖公章，</w:t>
            </w:r>
            <w:r>
              <w:rPr>
                <w:rFonts w:hint="eastAsia" w:ascii="宋体" w:hAnsi="宋体" w:eastAsia="宋体" w:cs="宋体"/>
                <w:color w:val="auto"/>
                <w:kern w:val="0"/>
                <w:sz w:val="24"/>
                <w:szCs w:val="24"/>
                <w:highlight w:val="none"/>
                <w:lang w:eastAsia="zh-CN"/>
              </w:rPr>
              <w:t>发票</w:t>
            </w:r>
            <w:r>
              <w:rPr>
                <w:rFonts w:hint="eastAsia" w:ascii="宋体" w:hAnsi="宋体" w:eastAsia="宋体" w:cs="宋体"/>
                <w:color w:val="auto"/>
                <w:kern w:val="0"/>
                <w:sz w:val="24"/>
                <w:szCs w:val="24"/>
                <w:highlight w:val="none"/>
                <w:lang w:val="en-US" w:eastAsia="zh-CN"/>
              </w:rPr>
              <w:t>或租赁合同如不能反映规格参数，提供相关证明材料，</w:t>
            </w:r>
            <w:r>
              <w:rPr>
                <w:rFonts w:hint="eastAsia" w:ascii="宋体" w:hAnsi="宋体" w:eastAsia="宋体" w:cs="宋体"/>
                <w:color w:val="auto"/>
                <w:kern w:val="0"/>
                <w:sz w:val="24"/>
                <w:szCs w:val="24"/>
                <w:highlight w:val="none"/>
                <w:lang w:eastAsia="zh-CN"/>
              </w:rPr>
              <w:t>否则不得分)</w:t>
            </w:r>
            <w:r>
              <w:rPr>
                <w:rFonts w:hint="eastAsia" w:ascii="宋体" w:hAnsi="宋体" w:eastAsia="宋体" w:cs="宋体"/>
                <w:color w:val="auto"/>
                <w:kern w:val="0"/>
                <w:sz w:val="24"/>
                <w:szCs w:val="24"/>
                <w:highlight w:val="none"/>
              </w:rPr>
              <w:t>。</w:t>
            </w:r>
          </w:p>
        </w:tc>
        <w:tc>
          <w:tcPr>
            <w:tcW w:w="663" w:type="dxa"/>
            <w:tcBorders>
              <w:top w:val="single" w:color="000000" w:sz="4" w:space="0"/>
              <w:left w:val="single" w:color="auto" w:sz="4" w:space="0"/>
              <w:bottom w:val="single" w:color="000000" w:sz="4" w:space="0"/>
              <w:right w:val="single" w:color="000000" w:sz="4" w:space="0"/>
            </w:tcBorders>
            <w:shd w:val="clear" w:color="auto" w:fill="auto"/>
            <w:vAlign w:val="center"/>
          </w:tcPr>
          <w:p w14:paraId="6685E993">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p>
        </w:tc>
        <w:tc>
          <w:tcPr>
            <w:tcW w:w="1102" w:type="dxa"/>
            <w:tcBorders>
              <w:top w:val="single" w:color="000000" w:sz="4" w:space="0"/>
              <w:left w:val="single" w:color="000000" w:sz="4" w:space="0"/>
              <w:right w:val="single" w:color="000000" w:sz="4" w:space="0"/>
            </w:tcBorders>
            <w:shd w:val="clear" w:color="auto" w:fill="auto"/>
            <w:vAlign w:val="center"/>
          </w:tcPr>
          <w:p w14:paraId="6620E4EA">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客观分</w:t>
            </w:r>
          </w:p>
        </w:tc>
      </w:tr>
      <w:tr w14:paraId="429F2A38">
        <w:tblPrEx>
          <w:tblCellMar>
            <w:top w:w="0" w:type="dxa"/>
            <w:left w:w="108" w:type="dxa"/>
            <w:bottom w:w="0" w:type="dxa"/>
            <w:right w:w="108" w:type="dxa"/>
          </w:tblCellMar>
        </w:tblPrEx>
        <w:trPr>
          <w:trHeight w:val="369" w:hRule="atLeast"/>
        </w:trPr>
        <w:tc>
          <w:tcPr>
            <w:tcW w:w="570" w:type="dxa"/>
            <w:tcBorders>
              <w:top w:val="single" w:color="auto" w:sz="4" w:space="0"/>
              <w:left w:val="single" w:color="auto" w:sz="4" w:space="0"/>
              <w:bottom w:val="single" w:color="auto" w:sz="4" w:space="0"/>
              <w:right w:val="single" w:color="auto" w:sz="4" w:space="0"/>
            </w:tcBorders>
            <w:shd w:val="clear" w:color="auto" w:fill="auto"/>
            <w:vAlign w:val="center"/>
          </w:tcPr>
          <w:p w14:paraId="7476AFC2">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2355AF32">
            <w:pPr>
              <w:pBdr>
                <w:top w:val="none" w:color="000000" w:sz="0" w:space="0"/>
                <w:left w:val="none" w:color="000000" w:sz="0" w:space="0"/>
                <w:bottom w:val="none" w:color="000000" w:sz="0" w:space="0"/>
                <w:right w:val="none" w:color="000000" w:sz="0" w:space="0"/>
              </w:pBdr>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承诺</w:t>
            </w:r>
          </w:p>
          <w:p w14:paraId="1F7CF379">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tc>
        <w:tc>
          <w:tcPr>
            <w:tcW w:w="5700" w:type="dxa"/>
            <w:tcBorders>
              <w:top w:val="single" w:color="auto" w:sz="4" w:space="0"/>
              <w:left w:val="single" w:color="auto" w:sz="4" w:space="0"/>
              <w:bottom w:val="single" w:color="auto" w:sz="4" w:space="0"/>
              <w:right w:val="single" w:color="auto" w:sz="4" w:space="0"/>
            </w:tcBorders>
            <w:shd w:val="clear" w:color="auto" w:fill="auto"/>
            <w:vAlign w:val="center"/>
          </w:tcPr>
          <w:p w14:paraId="54A67BAA">
            <w:pPr>
              <w:widowControl/>
              <w:jc w:val="left"/>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承诺在采购人提出技术咨询或现场出现问题后，1小时内给予电话回复，12小时内书面回复并承诺48小时内专业技术人员到达问题现场的，得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w:t>
            </w:r>
          </w:p>
          <w:p w14:paraId="0BF4576D">
            <w:pPr>
              <w:widowControl/>
              <w:jc w:val="left"/>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2小时内给予电话回复，24小时内书面回复并承诺72小时内专业技术人员到达问题现场的，得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76207E4B">
            <w:pPr>
              <w:widowControl/>
              <w:jc w:val="left"/>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未承诺或承诺超时限的不得分。</w:t>
            </w:r>
          </w:p>
          <w:p w14:paraId="454B681E">
            <w:pPr>
              <w:widowControl/>
              <w:jc w:val="left"/>
              <w:textAlignment w:val="center"/>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sz w:val="24"/>
                <w:szCs w:val="24"/>
                <w:highlight w:val="none"/>
              </w:rPr>
              <w:t>（提供承诺函原件加盖公章）</w:t>
            </w:r>
          </w:p>
        </w:tc>
        <w:tc>
          <w:tcPr>
            <w:tcW w:w="663" w:type="dxa"/>
            <w:tcBorders>
              <w:top w:val="single" w:color="000000" w:sz="4" w:space="0"/>
              <w:left w:val="single" w:color="auto" w:sz="4" w:space="0"/>
              <w:bottom w:val="single" w:color="000000" w:sz="4" w:space="0"/>
              <w:right w:val="single" w:color="000000" w:sz="4" w:space="0"/>
            </w:tcBorders>
            <w:shd w:val="clear" w:color="auto" w:fill="auto"/>
            <w:vAlign w:val="center"/>
          </w:tcPr>
          <w:p w14:paraId="3A90633F">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1102" w:type="dxa"/>
            <w:tcBorders>
              <w:top w:val="single" w:color="000000" w:sz="4" w:space="0"/>
              <w:left w:val="single" w:color="000000" w:sz="4" w:space="0"/>
              <w:right w:val="single" w:color="000000" w:sz="4" w:space="0"/>
            </w:tcBorders>
            <w:shd w:val="clear" w:color="auto" w:fill="auto"/>
            <w:vAlign w:val="center"/>
          </w:tcPr>
          <w:p w14:paraId="12055B12">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客观分</w:t>
            </w:r>
          </w:p>
        </w:tc>
      </w:tr>
      <w:tr w14:paraId="5F7906CD">
        <w:tblPrEx>
          <w:tblCellMar>
            <w:top w:w="0" w:type="dxa"/>
            <w:left w:w="108" w:type="dxa"/>
            <w:bottom w:w="0" w:type="dxa"/>
            <w:right w:w="108" w:type="dxa"/>
          </w:tblCellMar>
        </w:tblPrEx>
        <w:trPr>
          <w:trHeight w:val="414" w:hRule="atLeast"/>
        </w:trPr>
        <w:tc>
          <w:tcPr>
            <w:tcW w:w="7356" w:type="dxa"/>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6C967CBD">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合计</w:t>
            </w:r>
          </w:p>
        </w:tc>
        <w:tc>
          <w:tcPr>
            <w:tcW w:w="663" w:type="dxa"/>
            <w:tcBorders>
              <w:top w:val="single" w:color="000000" w:sz="4" w:space="0"/>
              <w:left w:val="single" w:color="auto" w:sz="4" w:space="0"/>
              <w:bottom w:val="single" w:color="000000" w:sz="4" w:space="0"/>
              <w:right w:val="single" w:color="000000" w:sz="4" w:space="0"/>
            </w:tcBorders>
            <w:shd w:val="clear" w:color="auto" w:fill="auto"/>
            <w:vAlign w:val="center"/>
          </w:tcPr>
          <w:p w14:paraId="6633F3FE">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w:t>
            </w:r>
          </w:p>
        </w:tc>
        <w:tc>
          <w:tcPr>
            <w:tcW w:w="1102" w:type="dxa"/>
            <w:tcBorders>
              <w:top w:val="single" w:color="000000" w:sz="4" w:space="0"/>
              <w:left w:val="single" w:color="auto" w:sz="4" w:space="0"/>
              <w:bottom w:val="single" w:color="000000" w:sz="4" w:space="0"/>
              <w:right w:val="single" w:color="000000" w:sz="4" w:space="0"/>
            </w:tcBorders>
            <w:shd w:val="clear" w:color="auto" w:fill="auto"/>
            <w:vAlign w:val="center"/>
          </w:tcPr>
          <w:p w14:paraId="2D70403B">
            <w:pPr>
              <w:widowControl/>
              <w:jc w:val="left"/>
              <w:textAlignment w:val="center"/>
              <w:rPr>
                <w:rFonts w:hint="eastAsia" w:ascii="宋体" w:hAnsi="宋体" w:eastAsia="宋体" w:cs="宋体"/>
                <w:color w:val="auto"/>
                <w:kern w:val="0"/>
                <w:sz w:val="24"/>
                <w:szCs w:val="24"/>
                <w:highlight w:val="none"/>
              </w:rPr>
            </w:pPr>
          </w:p>
        </w:tc>
      </w:tr>
    </w:tbl>
    <w:p w14:paraId="5B27774A">
      <w:pPr>
        <w:adjustRightInd w:val="0"/>
        <w:snapToGrid w:val="0"/>
        <w:spacing w:line="360" w:lineRule="auto"/>
        <w:jc w:val="left"/>
        <w:rPr>
          <w:rFonts w:ascii="宋体" w:hAnsi="宋体"/>
          <w:b/>
          <w:color w:val="auto"/>
          <w:sz w:val="24"/>
          <w:szCs w:val="24"/>
          <w:highlight w:val="none"/>
        </w:rPr>
      </w:pPr>
    </w:p>
    <w:p w14:paraId="43AE13D3">
      <w:pPr>
        <w:adjustRightInd w:val="0"/>
        <w:snapToGrid w:val="0"/>
        <w:spacing w:line="360" w:lineRule="auto"/>
        <w:jc w:val="left"/>
        <w:rPr>
          <w:rFonts w:ascii="宋体" w:hAnsi="宋体"/>
          <w:b/>
          <w:color w:val="auto"/>
          <w:sz w:val="24"/>
          <w:szCs w:val="24"/>
          <w:highlight w:val="none"/>
        </w:rPr>
      </w:pPr>
      <w:r>
        <w:rPr>
          <w:rFonts w:hint="eastAsia" w:ascii="宋体" w:hAnsi="宋体"/>
          <w:b/>
          <w:color w:val="auto"/>
          <w:sz w:val="24"/>
          <w:szCs w:val="24"/>
          <w:highlight w:val="none"/>
        </w:rPr>
        <w:t>注：</w:t>
      </w:r>
    </w:p>
    <w:p w14:paraId="6A132C51">
      <w:pPr>
        <w:widowControl/>
        <w:jc w:val="left"/>
        <w:rPr>
          <w:rFonts w:ascii="宋体" w:hAnsi="宋体"/>
          <w:b/>
          <w:color w:val="auto"/>
          <w:sz w:val="24"/>
          <w:szCs w:val="24"/>
          <w:highlight w:val="none"/>
        </w:rPr>
      </w:pPr>
      <w:r>
        <w:rPr>
          <w:rFonts w:hint="eastAsia" w:ascii="宋体" w:hAnsi="宋体"/>
          <w:b/>
          <w:color w:val="auto"/>
          <w:sz w:val="24"/>
          <w:szCs w:val="24"/>
          <w:highlight w:val="none"/>
        </w:rPr>
        <w:t>1、</w:t>
      </w:r>
      <w:r>
        <w:rPr>
          <w:rFonts w:hint="eastAsia" w:ascii="宋体" w:hAnsi="宋体" w:eastAsia="宋体" w:cs="Times New Roman"/>
          <w:b/>
          <w:color w:val="auto"/>
          <w:sz w:val="24"/>
          <w:szCs w:val="24"/>
          <w:highlight w:val="none"/>
          <w:lang w:val="en-US" w:eastAsia="zh-CN"/>
        </w:rPr>
        <w:t>评标委员会按各投标人综合得分从高到低顺序确定投标人排名，推荐排名第一的投标人为中标候选人，排名第二、第三的依次为后备的中标候选人。若综合得分相同时，按照以下的优先次序进行推荐</w:t>
      </w:r>
      <w:r>
        <w:rPr>
          <w:rFonts w:hint="eastAsia" w:ascii="宋体" w:hAnsi="宋体" w:eastAsia="宋体" w:cs="Times New Roman"/>
          <w:b/>
          <w:color w:val="auto"/>
          <w:sz w:val="24"/>
          <w:szCs w:val="24"/>
          <w:highlight w:val="none"/>
          <w:lang w:val="zh-CN" w:eastAsia="zh-CN"/>
        </w:rPr>
        <w:t>：</w:t>
      </w:r>
      <w:bookmarkStart w:id="6" w:name="_Toc506212457"/>
      <w:r>
        <w:rPr>
          <w:rFonts w:hint="eastAsia" w:ascii="宋体" w:hAnsi="宋体" w:eastAsia="宋体" w:cs="Times New Roman"/>
          <w:b/>
          <w:color w:val="auto"/>
          <w:sz w:val="24"/>
          <w:szCs w:val="24"/>
          <w:highlight w:val="none"/>
          <w:lang w:val="zh-CN" w:eastAsia="zh-CN"/>
        </w:rPr>
        <w:t>（</w:t>
      </w:r>
      <w:r>
        <w:rPr>
          <w:rFonts w:hint="eastAsia" w:ascii="宋体" w:hAnsi="宋体" w:eastAsia="宋体" w:cs="Times New Roman"/>
          <w:b/>
          <w:color w:val="auto"/>
          <w:sz w:val="24"/>
          <w:szCs w:val="24"/>
          <w:highlight w:val="none"/>
          <w:lang w:val="en-US" w:eastAsia="zh-CN"/>
        </w:rPr>
        <w:t>1</w:t>
      </w:r>
      <w:r>
        <w:rPr>
          <w:rFonts w:hint="eastAsia" w:ascii="宋体" w:hAnsi="宋体" w:eastAsia="宋体" w:cs="Times New Roman"/>
          <w:b/>
          <w:color w:val="auto"/>
          <w:sz w:val="24"/>
          <w:szCs w:val="24"/>
          <w:highlight w:val="none"/>
          <w:lang w:val="zh-CN" w:eastAsia="zh-CN"/>
        </w:rPr>
        <w:t>）取投标报价低的投标人排名在前</w:t>
      </w:r>
      <w:bookmarkStart w:id="7" w:name="_Hlk76396883"/>
      <w:r>
        <w:rPr>
          <w:rFonts w:hint="eastAsia" w:ascii="宋体" w:hAnsi="宋体" w:eastAsia="宋体" w:cs="Times New Roman"/>
          <w:b/>
          <w:color w:val="auto"/>
          <w:sz w:val="24"/>
          <w:szCs w:val="24"/>
          <w:highlight w:val="none"/>
          <w:lang w:val="zh-CN" w:eastAsia="zh-CN"/>
        </w:rPr>
        <w:t>；（</w:t>
      </w:r>
      <w:r>
        <w:rPr>
          <w:rFonts w:hint="eastAsia" w:ascii="宋体" w:hAnsi="宋体" w:eastAsia="宋体" w:cs="Times New Roman"/>
          <w:b/>
          <w:color w:val="auto"/>
          <w:sz w:val="24"/>
          <w:szCs w:val="24"/>
          <w:highlight w:val="none"/>
          <w:lang w:val="en-US" w:eastAsia="zh-CN"/>
        </w:rPr>
        <w:t>2</w:t>
      </w:r>
      <w:r>
        <w:rPr>
          <w:rFonts w:hint="eastAsia" w:ascii="宋体" w:hAnsi="宋体" w:eastAsia="宋体" w:cs="Times New Roman"/>
          <w:b/>
          <w:color w:val="auto"/>
          <w:sz w:val="24"/>
          <w:szCs w:val="24"/>
          <w:highlight w:val="none"/>
          <w:lang w:val="zh-CN" w:eastAsia="zh-CN"/>
        </w:rPr>
        <w:t>）投标报价仍相同，取技术方案得分较高者排名在前；（</w:t>
      </w:r>
      <w:r>
        <w:rPr>
          <w:rFonts w:hint="eastAsia" w:ascii="宋体" w:hAnsi="宋体" w:eastAsia="宋体" w:cs="Times New Roman"/>
          <w:b/>
          <w:color w:val="auto"/>
          <w:sz w:val="24"/>
          <w:szCs w:val="24"/>
          <w:highlight w:val="none"/>
          <w:lang w:val="en-US" w:eastAsia="zh-CN"/>
        </w:rPr>
        <w:t>3</w:t>
      </w:r>
      <w:r>
        <w:rPr>
          <w:rFonts w:hint="eastAsia" w:ascii="宋体" w:hAnsi="宋体" w:eastAsia="宋体" w:cs="Times New Roman"/>
          <w:b/>
          <w:color w:val="auto"/>
          <w:sz w:val="24"/>
          <w:szCs w:val="24"/>
          <w:highlight w:val="none"/>
          <w:lang w:val="zh-CN" w:eastAsia="zh-CN"/>
        </w:rPr>
        <w:t>）若技术方案得分仍相同，由评标委员会从其拟派的人员、业绩等方面，通过集体讨论确定其排名先后。</w:t>
      </w:r>
      <w:bookmarkEnd w:id="6"/>
      <w:bookmarkEnd w:id="7"/>
    </w:p>
    <w:p w14:paraId="42446C3B">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、小微企业的价格扣除</w:t>
      </w:r>
    </w:p>
    <w:p w14:paraId="5B55E56C">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%的扣除，用扣除后的价格参加评审。联合体各方均为小微企业的，联合体视同为小微企业，享受10%的价格扣除。</w:t>
      </w:r>
    </w:p>
    <w:p w14:paraId="7DA9CE7F">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.2.价格扣除比例或者价格分加分比例对小型企业和微型企业同等对待，不作区分。</w:t>
      </w:r>
    </w:p>
    <w:p w14:paraId="3FAF30E9">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、监狱和戒毒企业的价格扣除</w:t>
      </w:r>
    </w:p>
    <w:p w14:paraId="1EECB6AC">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.1. 本项目对监狱和戒毒企业（简称监狱企业），给予10%的价格扣除，用扣除后的价格参与评审。</w:t>
      </w:r>
    </w:p>
    <w:p w14:paraId="17999F1A">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.2. 监狱企业需提供由省级以上监狱管理局、戒毒管理局（含新疆生产建设兵团）出具的属于监狱企业的证明文件。</w:t>
      </w:r>
    </w:p>
    <w:p w14:paraId="7B1A08C8">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.3. 监狱企业标准请参照《关于政府采购支持监狱企业发展有关问题的通知》（财库[2014]68号）。</w:t>
      </w:r>
    </w:p>
    <w:p w14:paraId="440F5C1F">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、残疾人福利性单位的价格扣除</w:t>
      </w:r>
    </w:p>
    <w:p w14:paraId="17EB1F28">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.1. 本项目对残疾人福利性单位，给予10%的价格扣除，用扣除后的价格参与评审。</w:t>
      </w:r>
    </w:p>
    <w:p w14:paraId="54E92E20">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.2. 残疾人福利单位需按照招标文件的要求提供《残疾人福利性单位声明函》。</w:t>
      </w:r>
    </w:p>
    <w:p w14:paraId="1BB349D7">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.3. 残疾人福利单位标准请参照《关于促进残疾人就业政府采购政策的通知》（财库〔2017〕141号）。</w:t>
      </w:r>
    </w:p>
    <w:p w14:paraId="6B2A6A9C">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5</w:t>
      </w:r>
      <w:r>
        <w:rPr>
          <w:rFonts w:hint="eastAsia" w:ascii="宋体" w:hAnsi="宋体"/>
          <w:b/>
          <w:color w:val="auto"/>
          <w:sz w:val="24"/>
          <w:szCs w:val="24"/>
          <w:highlight w:val="none"/>
        </w:rPr>
        <w:t>、监狱企业、残疾人福利单位属于小型、微型企业的，不重复享受政策。</w:t>
      </w:r>
    </w:p>
    <w:p w14:paraId="425894D7">
      <w:pPr>
        <w:widowControl/>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6</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所有认证、证明和业绩均以有效的证明文件</w:t>
      </w:r>
      <w:r>
        <w:rPr>
          <w:rFonts w:hint="eastAsia" w:ascii="宋体" w:hAnsi="宋体"/>
          <w:b/>
          <w:color w:val="auto"/>
          <w:sz w:val="24"/>
          <w:szCs w:val="24"/>
          <w:highlight w:val="none"/>
          <w:lang w:val="en-US" w:eastAsia="zh-CN"/>
        </w:rPr>
        <w:t>扫描件</w:t>
      </w:r>
      <w:r>
        <w:rPr>
          <w:rFonts w:hint="eastAsia" w:ascii="宋体" w:hAnsi="宋体"/>
          <w:b/>
          <w:color w:val="auto"/>
          <w:sz w:val="24"/>
          <w:szCs w:val="24"/>
          <w:highlight w:val="none"/>
        </w:rPr>
        <w:t>加盖单位公章为依据。</w:t>
      </w:r>
    </w:p>
    <w:p w14:paraId="626E66D6">
      <w:pPr>
        <w:widowControl/>
        <w:jc w:val="left"/>
        <w:rPr>
          <w:rFonts w:ascii="宋体" w:hAnsi="宋体"/>
          <w:b/>
          <w:color w:val="auto"/>
          <w:sz w:val="24"/>
          <w:szCs w:val="24"/>
          <w:highlight w:val="none"/>
        </w:rPr>
      </w:pPr>
    </w:p>
    <w:p w14:paraId="02FD39E2">
      <w:pPr>
        <w:spacing w:line="380" w:lineRule="exact"/>
        <w:ind w:firstLine="412"/>
        <w:rPr>
          <w:b/>
          <w:bCs/>
          <w:color w:val="auto"/>
          <w:sz w:val="36"/>
          <w:szCs w:val="36"/>
          <w:highlight w:val="none"/>
          <w:lang w:val="zh-CN"/>
        </w:rPr>
      </w:pPr>
    </w:p>
    <w:p w14:paraId="05BFBC9F">
      <w:pPr>
        <w:spacing w:line="380" w:lineRule="exact"/>
        <w:ind w:firstLine="412"/>
        <w:jc w:val="center"/>
        <w:rPr>
          <w:rFonts w:ascii="宋体" w:hAnsi="宋体" w:cs="Arial"/>
          <w:b/>
          <w:bCs/>
          <w:color w:val="auto"/>
          <w:sz w:val="24"/>
          <w:highlight w:val="none"/>
        </w:rPr>
      </w:pPr>
      <w:r>
        <w:rPr>
          <w:rFonts w:hint="eastAsia"/>
          <w:b/>
          <w:bCs/>
          <w:color w:val="auto"/>
          <w:sz w:val="36"/>
          <w:szCs w:val="36"/>
          <w:highlight w:val="none"/>
          <w:lang w:val="zh-CN"/>
        </w:rPr>
        <w:br w:type="page"/>
      </w:r>
    </w:p>
    <w:p w14:paraId="2C3D8D0B">
      <w:pPr>
        <w:spacing w:line="360" w:lineRule="auto"/>
        <w:jc w:val="center"/>
        <w:rPr>
          <w:b/>
          <w:bCs/>
          <w:color w:val="auto"/>
          <w:sz w:val="36"/>
          <w:szCs w:val="36"/>
          <w:highlight w:val="none"/>
          <w:lang w:val="zh-CN"/>
        </w:rPr>
      </w:pPr>
      <w:r>
        <w:rPr>
          <w:rFonts w:hint="eastAsia"/>
          <w:b/>
          <w:bCs/>
          <w:color w:val="auto"/>
          <w:sz w:val="36"/>
          <w:szCs w:val="36"/>
          <w:highlight w:val="none"/>
          <w:lang w:val="zh-CN"/>
        </w:rPr>
        <w:t>第四章 采购需求</w:t>
      </w:r>
    </w:p>
    <w:p w14:paraId="64A04820">
      <w:pPr>
        <w:widowControl/>
        <w:spacing w:line="360" w:lineRule="auto"/>
        <w:ind w:firstLine="482" w:firstLineChars="200"/>
        <w:jc w:val="left"/>
        <w:rPr>
          <w:rFonts w:ascii="宋体" w:hAnsi="宋体"/>
          <w:color w:val="auto"/>
          <w:sz w:val="24"/>
          <w:szCs w:val="24"/>
          <w:highlight w:val="none"/>
        </w:rPr>
      </w:pPr>
      <w:bookmarkStart w:id="8" w:name="_Toc56586908"/>
      <w:r>
        <w:rPr>
          <w:rFonts w:hint="eastAsia" w:ascii="宋体" w:hAnsi="宋体" w:cs="宋体"/>
          <w:b/>
          <w:bCs/>
          <w:color w:val="auto"/>
          <w:sz w:val="24"/>
          <w:highlight w:val="none"/>
        </w:rPr>
        <w:t>一、项目名称：</w:t>
      </w:r>
      <w:r>
        <w:rPr>
          <w:rFonts w:hint="eastAsia" w:ascii="宋体" w:hAnsi="宋体"/>
          <w:color w:val="auto"/>
          <w:sz w:val="24"/>
          <w:szCs w:val="24"/>
          <w:highlight w:val="none"/>
          <w:lang w:val="zh-CN"/>
        </w:rPr>
        <w:t>2026年南京市城市隧道土建结构定期检测项目</w:t>
      </w:r>
    </w:p>
    <w:p w14:paraId="313353AF">
      <w:pPr>
        <w:spacing w:line="360" w:lineRule="auto"/>
        <w:ind w:firstLine="482" w:firstLineChars="200"/>
        <w:rPr>
          <w:rFonts w:ascii="宋体" w:hAnsi="宋体"/>
          <w:color w:val="auto"/>
          <w:sz w:val="24"/>
          <w:szCs w:val="24"/>
          <w:highlight w:val="none"/>
        </w:rPr>
      </w:pPr>
      <w:r>
        <w:rPr>
          <w:rFonts w:hint="eastAsia" w:ascii="宋体" w:hAnsi="宋体"/>
          <w:b/>
          <w:bCs/>
          <w:color w:val="auto"/>
          <w:sz w:val="24"/>
          <w:szCs w:val="24"/>
          <w:highlight w:val="none"/>
          <w:lang w:val="en-US" w:eastAsia="zh-CN"/>
        </w:rPr>
        <w:t>二</w:t>
      </w:r>
      <w:r>
        <w:rPr>
          <w:rFonts w:hint="eastAsia" w:ascii="宋体" w:hAnsi="宋体"/>
          <w:b/>
          <w:bCs/>
          <w:color w:val="auto"/>
          <w:sz w:val="24"/>
          <w:szCs w:val="24"/>
          <w:highlight w:val="none"/>
        </w:rPr>
        <w:t>、预算金额：</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00.0000万元</w:t>
      </w:r>
    </w:p>
    <w:p w14:paraId="6A8E07AE">
      <w:pPr>
        <w:widowControl/>
        <w:spacing w:line="360" w:lineRule="auto"/>
        <w:ind w:firstLine="482" w:firstLineChars="200"/>
        <w:jc w:val="left"/>
        <w:rPr>
          <w:rFonts w:ascii="宋体" w:hAnsi="宋体" w:cs="宋体"/>
          <w:color w:val="auto"/>
          <w:sz w:val="24"/>
          <w:highlight w:val="none"/>
        </w:rPr>
      </w:pP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、最高限价：</w:t>
      </w:r>
      <w:r>
        <w:rPr>
          <w:rFonts w:hint="eastAsia" w:ascii="宋体" w:hAnsi="宋体"/>
          <w:color w:val="auto"/>
          <w:sz w:val="24"/>
          <w:szCs w:val="24"/>
          <w:highlight w:val="none"/>
          <w:lang w:val="en-US" w:eastAsia="zh-CN"/>
        </w:rPr>
        <w:t>200</w:t>
      </w:r>
      <w:r>
        <w:rPr>
          <w:rFonts w:hint="eastAsia" w:ascii="宋体" w:hAnsi="宋体"/>
          <w:color w:val="auto"/>
          <w:sz w:val="24"/>
          <w:szCs w:val="24"/>
          <w:highlight w:val="none"/>
        </w:rPr>
        <w:t>.0000万元</w:t>
      </w:r>
      <w:r>
        <w:rPr>
          <w:rFonts w:hint="eastAsia" w:ascii="宋体" w:hAnsi="宋体" w:cs="宋体"/>
          <w:color w:val="auto"/>
          <w:spacing w:val="-6"/>
          <w:sz w:val="24"/>
          <w:highlight w:val="none"/>
        </w:rPr>
        <w:t>，</w:t>
      </w:r>
      <w:r>
        <w:rPr>
          <w:rFonts w:hint="eastAsia" w:ascii="宋体" w:hAnsi="宋体" w:cs="宋体"/>
          <w:color w:val="auto"/>
          <w:spacing w:val="-6"/>
          <w:sz w:val="24"/>
          <w:highlight w:val="none"/>
          <w:lang w:val="zh-CN"/>
        </w:rPr>
        <w:t>超过限价均为废标。</w:t>
      </w:r>
    </w:p>
    <w:p w14:paraId="085649A5">
      <w:pPr>
        <w:widowControl/>
        <w:spacing w:line="360" w:lineRule="auto"/>
        <w:ind w:firstLine="482" w:firstLineChars="200"/>
        <w:jc w:val="left"/>
        <w:rPr>
          <w:rFonts w:ascii="宋体" w:hAnsi="宋体" w:cs="宋体"/>
          <w:color w:val="auto"/>
          <w:sz w:val="24"/>
          <w:highlight w:val="none"/>
        </w:rPr>
      </w:pPr>
      <w:r>
        <w:rPr>
          <w:rFonts w:hint="eastAsia" w:ascii="宋体" w:hAnsi="宋体"/>
          <w:b/>
          <w:bCs/>
          <w:color w:val="auto"/>
          <w:sz w:val="24"/>
          <w:szCs w:val="24"/>
          <w:highlight w:val="none"/>
          <w:lang w:val="en-US" w:eastAsia="zh-CN"/>
        </w:rPr>
        <w:t>四</w:t>
      </w:r>
      <w:r>
        <w:rPr>
          <w:rFonts w:hint="eastAsia" w:ascii="宋体" w:hAnsi="宋体"/>
          <w:b/>
          <w:bCs/>
          <w:color w:val="auto"/>
          <w:sz w:val="24"/>
          <w:szCs w:val="24"/>
          <w:highlight w:val="none"/>
        </w:rPr>
        <w:t>、服</w:t>
      </w:r>
      <w:r>
        <w:rPr>
          <w:rFonts w:hint="eastAsia" w:ascii="宋体" w:hAnsi="宋体" w:cs="宋体"/>
          <w:b/>
          <w:bCs/>
          <w:color w:val="auto"/>
          <w:sz w:val="24"/>
          <w:highlight w:val="none"/>
        </w:rPr>
        <w:t>务期：</w:t>
      </w:r>
      <w:r>
        <w:rPr>
          <w:rFonts w:hint="eastAsia" w:ascii="宋体" w:hAnsi="宋体" w:eastAsia="宋体" w:cs="Times New Roman"/>
          <w:color w:val="auto"/>
          <w:sz w:val="24"/>
          <w:szCs w:val="24"/>
          <w:highlight w:val="none"/>
        </w:rPr>
        <w:t>自合同签订之日起90日历天。</w:t>
      </w:r>
    </w:p>
    <w:p w14:paraId="37C32A61">
      <w:pPr>
        <w:pStyle w:val="250"/>
        <w:ind w:firstLine="422"/>
        <w:rPr>
          <w:b/>
          <w:color w:val="auto"/>
          <w:highlight w:val="none"/>
        </w:rPr>
      </w:pPr>
      <w:r>
        <w:rPr>
          <w:rFonts w:hint="eastAsia"/>
          <w:b/>
          <w:bCs/>
          <w:color w:val="auto"/>
          <w:sz w:val="24"/>
          <w:szCs w:val="24"/>
          <w:highlight w:val="none"/>
          <w:lang w:val="en-US" w:eastAsia="zh-CN"/>
        </w:rPr>
        <w:t>五</w:t>
      </w:r>
      <w:r>
        <w:rPr>
          <w:rFonts w:hint="eastAsia" w:ascii="宋体" w:hAnsi="宋体"/>
          <w:b/>
          <w:bCs/>
          <w:color w:val="auto"/>
          <w:sz w:val="24"/>
          <w:szCs w:val="24"/>
          <w:highlight w:val="none"/>
          <w:lang w:val="en-US" w:eastAsia="zh-CN"/>
        </w:rPr>
        <w:t>、项目</w:t>
      </w:r>
      <w:r>
        <w:rPr>
          <w:rFonts w:hint="eastAsia"/>
          <w:b/>
          <w:bCs/>
          <w:color w:val="auto"/>
          <w:sz w:val="24"/>
          <w:szCs w:val="24"/>
          <w:highlight w:val="none"/>
          <w:lang w:val="en-US" w:eastAsia="zh-CN"/>
        </w:rPr>
        <w:t>概况</w:t>
      </w:r>
      <w:r>
        <w:rPr>
          <w:rFonts w:hint="eastAsia" w:ascii="宋体" w:hAnsi="宋体"/>
          <w:b/>
          <w:bCs/>
          <w:color w:val="auto"/>
          <w:sz w:val="24"/>
          <w:szCs w:val="24"/>
          <w:highlight w:val="none"/>
          <w:lang w:val="en-US" w:eastAsia="zh-CN"/>
        </w:rPr>
        <w:t>：</w:t>
      </w:r>
    </w:p>
    <w:p w14:paraId="4DD50578">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1.项目概况：</w:t>
      </w:r>
    </w:p>
    <w:p w14:paraId="6BDF2853">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为切实做好城市隧道设施维护管理工作，根据《城市桥梁检测和养护维修管理办法》（住建部118号令）、《城市桥梁养护技术标准》（CJJ99—2017）、《江苏省城市隧道建设、运行与维护指南（试行）》（苏城建〔2019〕32号）等相关规定，组织开展2025年南京市城市隧道土建结构定期检测工作。</w:t>
      </w:r>
    </w:p>
    <w:p w14:paraId="0A5DD690">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本次针对隧道土建结构进行专项检测，通过对隧道病害和服役状态进行详细诊断，提出针对性维修处置建议，进一步提高养护管理的科学性。本次共检测隧道</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座，隧道总长度</w:t>
      </w:r>
      <w:r>
        <w:rPr>
          <w:rFonts w:hint="eastAsia" w:ascii="宋体" w:hAnsi="宋体" w:eastAsia="宋体" w:cs="Times New Roman"/>
          <w:color w:val="auto"/>
          <w:sz w:val="24"/>
          <w:szCs w:val="24"/>
          <w:highlight w:val="none"/>
          <w:lang w:val="en-US" w:eastAsia="zh-CN"/>
        </w:rPr>
        <w:t>6.8</w:t>
      </w:r>
      <w:r>
        <w:rPr>
          <w:rFonts w:hint="eastAsia" w:ascii="宋体" w:hAnsi="宋体" w:eastAsia="宋体" w:cs="Times New Roman"/>
          <w:color w:val="auto"/>
          <w:sz w:val="24"/>
          <w:szCs w:val="24"/>
          <w:highlight w:val="none"/>
        </w:rPr>
        <w:t>km，其中暗埋段总长度约</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km。</w:t>
      </w:r>
    </w:p>
    <w:p w14:paraId="0284E7AC">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 xml:space="preserve"> 定期检测隧道明细表</w:t>
      </w:r>
    </w:p>
    <w:p w14:paraId="42D8F638">
      <w:pPr>
        <w:pBdr>
          <w:top w:val="none" w:color="000000" w:sz="0" w:space="0"/>
          <w:left w:val="none" w:color="000000" w:sz="0" w:space="0"/>
          <w:bottom w:val="none" w:color="000000" w:sz="0" w:space="0"/>
          <w:right w:val="none" w:color="000000" w:sz="0" w:space="0"/>
        </w:pBdr>
        <w:jc w:val="center"/>
        <w:rPr>
          <w:rFonts w:ascii="宋体" w:hAnsi="宋体" w:cs="宋体"/>
          <w:b/>
          <w:color w:val="auto"/>
          <w:highlight w:val="none"/>
        </w:rPr>
      </w:pPr>
      <w:r>
        <w:rPr>
          <w:rFonts w:eastAsia="Times New Roman"/>
          <w:b/>
          <w:color w:val="auto"/>
          <w:highlight w:val="none"/>
        </w:rPr>
        <w:t>202</w:t>
      </w:r>
      <w:r>
        <w:rPr>
          <w:rFonts w:hint="eastAsia"/>
          <w:b/>
          <w:color w:val="auto"/>
          <w:highlight w:val="none"/>
          <w:lang w:val="en-US" w:eastAsia="zh-CN"/>
        </w:rPr>
        <w:t>6</w:t>
      </w:r>
      <w:r>
        <w:rPr>
          <w:rFonts w:ascii="宋体" w:hAnsi="宋体" w:cs="宋体"/>
          <w:b/>
          <w:color w:val="auto"/>
          <w:highlight w:val="none"/>
        </w:rPr>
        <w:t>隧道</w:t>
      </w:r>
      <w:r>
        <w:rPr>
          <w:rFonts w:hint="eastAsia" w:ascii="宋体" w:hAnsi="宋体" w:cs="宋体"/>
          <w:b/>
          <w:color w:val="auto"/>
          <w:highlight w:val="none"/>
          <w:lang w:eastAsia="zh-CN"/>
        </w:rPr>
        <w:t>土建</w:t>
      </w:r>
      <w:r>
        <w:rPr>
          <w:rFonts w:ascii="宋体" w:hAnsi="宋体" w:cs="宋体"/>
          <w:b/>
          <w:color w:val="auto"/>
          <w:highlight w:val="none"/>
        </w:rPr>
        <w:t>检测情况一览表</w:t>
      </w:r>
    </w:p>
    <w:tbl>
      <w:tblPr>
        <w:tblStyle w:val="36"/>
        <w:tblpPr w:leftFromText="180" w:rightFromText="180" w:vertAnchor="text" w:horzAnchor="page" w:tblpX="1203" w:tblpY="363"/>
        <w:tblW w:w="4997" w:type="pct"/>
        <w:tblInd w:w="0" w:type="dxa"/>
        <w:tblLayout w:type="autofit"/>
        <w:tblCellMar>
          <w:top w:w="0" w:type="dxa"/>
          <w:left w:w="108" w:type="dxa"/>
          <w:bottom w:w="0" w:type="dxa"/>
          <w:right w:w="108" w:type="dxa"/>
        </w:tblCellMar>
      </w:tblPr>
      <w:tblGrid>
        <w:gridCol w:w="514"/>
        <w:gridCol w:w="1363"/>
        <w:gridCol w:w="901"/>
        <w:gridCol w:w="1022"/>
        <w:gridCol w:w="785"/>
        <w:gridCol w:w="1453"/>
        <w:gridCol w:w="1236"/>
        <w:gridCol w:w="1174"/>
        <w:gridCol w:w="1094"/>
      </w:tblGrid>
      <w:tr w14:paraId="0428D8F4">
        <w:tblPrEx>
          <w:tblCellMar>
            <w:top w:w="0" w:type="dxa"/>
            <w:left w:w="108" w:type="dxa"/>
            <w:bottom w:w="0" w:type="dxa"/>
            <w:right w:w="108" w:type="dxa"/>
          </w:tblCellMar>
        </w:tblPrEx>
        <w:trPr>
          <w:trHeight w:val="810"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5297DC7">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10B739">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设施名称</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8EF6A9">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总长度（m）</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721E33">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总面积（m</w:t>
            </w:r>
            <w:r>
              <w:rPr>
                <w:rFonts w:hint="eastAsia" w:ascii="宋体" w:hAnsi="宋体" w:eastAsia="宋体" w:cs="宋体"/>
                <w:b/>
                <w:bCs/>
                <w:color w:val="auto"/>
                <w:sz w:val="21"/>
                <w:szCs w:val="21"/>
                <w:highlight w:val="none"/>
                <w:vertAlign w:val="superscript"/>
              </w:rPr>
              <w:t>2</w:t>
            </w:r>
            <w:r>
              <w:rPr>
                <w:rFonts w:hint="eastAsia" w:ascii="宋体" w:hAnsi="宋体" w:eastAsia="宋体" w:cs="宋体"/>
                <w:b/>
                <w:bCs/>
                <w:color w:val="auto"/>
                <w:sz w:val="21"/>
                <w:szCs w:val="21"/>
                <w:highlight w:val="none"/>
              </w:rPr>
              <w:t>）</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F86ABE">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暗埋段长度（m）</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4365A1F">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建成时间</w:t>
            </w:r>
          </w:p>
        </w:tc>
        <w:tc>
          <w:tcPr>
            <w:tcW w:w="64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59505B">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装饰板材质</w:t>
            </w:r>
          </w:p>
        </w:tc>
        <w:tc>
          <w:tcPr>
            <w:tcW w:w="6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D10BF4">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装饰板面积（平方米）</w:t>
            </w:r>
          </w:p>
        </w:tc>
        <w:tc>
          <w:tcPr>
            <w:tcW w:w="57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24AAF8F">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装饰板拆除要求</w:t>
            </w:r>
          </w:p>
        </w:tc>
      </w:tr>
      <w:tr w14:paraId="02830C1E">
        <w:tblPrEx>
          <w:tblCellMar>
            <w:top w:w="0" w:type="dxa"/>
            <w:left w:w="108" w:type="dxa"/>
            <w:bottom w:w="0" w:type="dxa"/>
            <w:right w:w="108" w:type="dxa"/>
          </w:tblCellMar>
        </w:tblPrEx>
        <w:trPr>
          <w:trHeight w:val="434"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B00F8C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09E674">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龙江隧道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D7FFB3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471</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CCBAC1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10079</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BD7546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156</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AFB38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2012</w:t>
            </w:r>
          </w:p>
        </w:tc>
        <w:tc>
          <w:tcPr>
            <w:tcW w:w="64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E29C0F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搪瓷钢板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246160">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2286.66</w:t>
            </w:r>
          </w:p>
        </w:tc>
        <w:tc>
          <w:tcPr>
            <w:tcW w:w="573" w:type="pct"/>
            <w:vMerge w:val="restart"/>
            <w:tcBorders>
              <w:top w:val="single" w:color="auto" w:sz="4" w:space="0"/>
              <w:left w:val="single" w:color="auto" w:sz="4" w:space="0"/>
              <w:right w:val="single" w:color="auto" w:sz="4" w:space="0"/>
            </w:tcBorders>
            <w:shd w:val="clear" w:color="auto" w:fill="auto"/>
            <w:noWrap w:val="0"/>
            <w:vAlign w:val="center"/>
          </w:tcPr>
          <w:p w14:paraId="76FD86DE">
            <w:pPr>
              <w:widowControl/>
              <w:tabs>
                <w:tab w:val="left" w:pos="340"/>
              </w:tabs>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变形缝、渗漏水、结构异常处等拆除</w:t>
            </w:r>
          </w:p>
        </w:tc>
      </w:tr>
      <w:tr w14:paraId="1CA7839D">
        <w:tblPrEx>
          <w:tblCellMar>
            <w:top w:w="0" w:type="dxa"/>
            <w:left w:w="108" w:type="dxa"/>
            <w:bottom w:w="0" w:type="dxa"/>
            <w:right w:w="108" w:type="dxa"/>
          </w:tblCellMar>
        </w:tblPrEx>
        <w:trPr>
          <w:trHeight w:val="417"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79F048">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21BB8A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北圩隧道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BA5C0D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425</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2230A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8928</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91B4D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122</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F6B7ABF">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2012</w:t>
            </w:r>
          </w:p>
        </w:tc>
        <w:tc>
          <w:tcPr>
            <w:tcW w:w="64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D96681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搪瓷钢板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FB809E">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1895</w:t>
            </w:r>
          </w:p>
        </w:tc>
        <w:tc>
          <w:tcPr>
            <w:tcW w:w="573" w:type="pct"/>
            <w:vMerge w:val="continue"/>
            <w:tcBorders>
              <w:left w:val="single" w:color="auto" w:sz="4" w:space="0"/>
              <w:right w:val="single" w:color="auto" w:sz="4" w:space="0"/>
            </w:tcBorders>
            <w:noWrap w:val="0"/>
            <w:vAlign w:val="center"/>
          </w:tcPr>
          <w:p w14:paraId="09118BA9">
            <w:pPr>
              <w:widowControl/>
              <w:jc w:val="left"/>
              <w:rPr>
                <w:rFonts w:hint="eastAsia" w:ascii="宋体" w:hAnsi="宋体" w:eastAsia="宋体" w:cs="宋体"/>
                <w:color w:val="auto"/>
                <w:sz w:val="21"/>
                <w:szCs w:val="21"/>
                <w:highlight w:val="none"/>
              </w:rPr>
            </w:pPr>
          </w:p>
        </w:tc>
      </w:tr>
      <w:tr w14:paraId="7B83A1DF">
        <w:tblPrEx>
          <w:tblCellMar>
            <w:top w:w="0" w:type="dxa"/>
            <w:left w:w="108" w:type="dxa"/>
            <w:bottom w:w="0" w:type="dxa"/>
            <w:right w:w="108" w:type="dxa"/>
          </w:tblCellMar>
        </w:tblPrEx>
        <w:trPr>
          <w:trHeight w:val="404"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37C0C83">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1AEE3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江东门隧道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DE3164">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405</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B084F9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8050</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F40640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134</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D13037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2012</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31A23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搪瓷钢板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67784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2287</w:t>
            </w:r>
          </w:p>
        </w:tc>
        <w:tc>
          <w:tcPr>
            <w:tcW w:w="573" w:type="pct"/>
            <w:vMerge w:val="continue"/>
            <w:tcBorders>
              <w:left w:val="single" w:color="auto" w:sz="4" w:space="0"/>
              <w:right w:val="single" w:color="auto" w:sz="4" w:space="0"/>
            </w:tcBorders>
            <w:noWrap w:val="0"/>
            <w:vAlign w:val="center"/>
          </w:tcPr>
          <w:p w14:paraId="291A4CF3">
            <w:pPr>
              <w:widowControl/>
              <w:jc w:val="left"/>
              <w:rPr>
                <w:rFonts w:hint="eastAsia" w:ascii="宋体" w:hAnsi="宋体" w:eastAsia="宋体" w:cs="宋体"/>
                <w:color w:val="auto"/>
                <w:sz w:val="21"/>
                <w:szCs w:val="21"/>
                <w:highlight w:val="none"/>
              </w:rPr>
            </w:pPr>
          </w:p>
        </w:tc>
      </w:tr>
      <w:tr w14:paraId="0337E1DC">
        <w:tblPrEx>
          <w:tblCellMar>
            <w:top w:w="0" w:type="dxa"/>
            <w:left w:w="108" w:type="dxa"/>
            <w:bottom w:w="0" w:type="dxa"/>
            <w:right w:w="108" w:type="dxa"/>
          </w:tblCellMar>
        </w:tblPrEx>
        <w:trPr>
          <w:trHeight w:val="440" w:hRule="atLeast"/>
        </w:trPr>
        <w:tc>
          <w:tcPr>
            <w:tcW w:w="269" w:type="pct"/>
            <w:vMerge w:val="restart"/>
            <w:tcBorders>
              <w:top w:val="single" w:color="auto" w:sz="4" w:space="0"/>
              <w:left w:val="single" w:color="auto" w:sz="4" w:space="0"/>
              <w:right w:val="single" w:color="auto" w:sz="4" w:space="0"/>
            </w:tcBorders>
            <w:shd w:val="clear" w:color="auto" w:fill="auto"/>
            <w:noWrap w:val="0"/>
            <w:vAlign w:val="center"/>
          </w:tcPr>
          <w:p w14:paraId="2BBE3908">
            <w:pPr>
              <w:widowControl/>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714" w:type="pct"/>
            <w:vMerge w:val="restart"/>
            <w:tcBorders>
              <w:top w:val="single" w:color="auto" w:sz="4" w:space="0"/>
              <w:left w:val="single" w:color="auto" w:sz="4" w:space="0"/>
              <w:right w:val="single" w:color="auto" w:sz="4" w:space="0"/>
            </w:tcBorders>
            <w:shd w:val="clear" w:color="auto" w:fill="auto"/>
            <w:noWrap w:val="0"/>
            <w:vAlign w:val="center"/>
          </w:tcPr>
          <w:p w14:paraId="29986000">
            <w:pPr>
              <w:widowControl/>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龙蟠路隧道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6207D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571</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92083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5142</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D1282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235</w:t>
            </w:r>
          </w:p>
        </w:tc>
        <w:tc>
          <w:tcPr>
            <w:tcW w:w="761" w:type="pct"/>
            <w:vMerge w:val="restart"/>
            <w:tcBorders>
              <w:top w:val="single" w:color="auto" w:sz="4" w:space="0"/>
              <w:left w:val="single" w:color="auto" w:sz="4" w:space="0"/>
              <w:right w:val="single" w:color="auto" w:sz="4" w:space="0"/>
            </w:tcBorders>
            <w:shd w:val="clear" w:color="auto" w:fill="auto"/>
            <w:noWrap w:val="0"/>
            <w:vAlign w:val="center"/>
          </w:tcPr>
          <w:p w14:paraId="729B5910">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2003</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2B961A5">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卡索板</w:t>
            </w:r>
          </w:p>
        </w:tc>
        <w:tc>
          <w:tcPr>
            <w:tcW w:w="615" w:type="pct"/>
            <w:vMerge w:val="restart"/>
            <w:tcBorders>
              <w:top w:val="single" w:color="auto" w:sz="4" w:space="0"/>
              <w:left w:val="single" w:color="auto" w:sz="4" w:space="0"/>
              <w:right w:val="single" w:color="auto" w:sz="4" w:space="0"/>
            </w:tcBorders>
            <w:shd w:val="clear" w:color="auto" w:fill="auto"/>
            <w:noWrap/>
            <w:vAlign w:val="center"/>
          </w:tcPr>
          <w:p w14:paraId="7BA0353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7731</w:t>
            </w:r>
          </w:p>
        </w:tc>
        <w:tc>
          <w:tcPr>
            <w:tcW w:w="573" w:type="pct"/>
            <w:vMerge w:val="continue"/>
            <w:tcBorders>
              <w:left w:val="single" w:color="auto" w:sz="4" w:space="0"/>
              <w:right w:val="single" w:color="auto" w:sz="4" w:space="0"/>
            </w:tcBorders>
            <w:noWrap w:val="0"/>
            <w:vAlign w:val="center"/>
          </w:tcPr>
          <w:p w14:paraId="404B9D49">
            <w:pPr>
              <w:widowControl/>
              <w:jc w:val="left"/>
              <w:rPr>
                <w:rFonts w:hint="eastAsia" w:ascii="宋体" w:hAnsi="宋体" w:eastAsia="宋体" w:cs="宋体"/>
                <w:color w:val="auto"/>
                <w:sz w:val="21"/>
                <w:szCs w:val="21"/>
                <w:highlight w:val="none"/>
              </w:rPr>
            </w:pPr>
          </w:p>
        </w:tc>
      </w:tr>
      <w:tr w14:paraId="00D67045">
        <w:tblPrEx>
          <w:tblCellMar>
            <w:top w:w="0" w:type="dxa"/>
            <w:left w:w="108" w:type="dxa"/>
            <w:bottom w:w="0" w:type="dxa"/>
            <w:right w:w="108" w:type="dxa"/>
          </w:tblCellMar>
        </w:tblPrEx>
        <w:trPr>
          <w:trHeight w:val="402" w:hRule="atLeast"/>
        </w:trPr>
        <w:tc>
          <w:tcPr>
            <w:tcW w:w="269" w:type="pct"/>
            <w:vMerge w:val="continue"/>
            <w:tcBorders>
              <w:left w:val="single" w:color="auto" w:sz="4" w:space="0"/>
              <w:bottom w:val="single" w:color="auto" w:sz="4" w:space="0"/>
              <w:right w:val="single" w:color="auto" w:sz="4" w:space="0"/>
            </w:tcBorders>
            <w:shd w:val="clear" w:color="auto" w:fill="auto"/>
            <w:noWrap w:val="0"/>
            <w:vAlign w:val="center"/>
          </w:tcPr>
          <w:p w14:paraId="6912027A">
            <w:pPr>
              <w:widowControl/>
              <w:jc w:val="left"/>
              <w:rPr>
                <w:rFonts w:hint="eastAsia" w:ascii="宋体" w:hAnsi="宋体" w:eastAsia="宋体" w:cs="宋体"/>
                <w:color w:val="auto"/>
                <w:sz w:val="21"/>
                <w:szCs w:val="21"/>
                <w:highlight w:val="none"/>
              </w:rPr>
            </w:pPr>
          </w:p>
        </w:tc>
        <w:tc>
          <w:tcPr>
            <w:tcW w:w="714" w:type="pct"/>
            <w:vMerge w:val="continue"/>
            <w:tcBorders>
              <w:left w:val="single" w:color="auto" w:sz="4" w:space="0"/>
              <w:bottom w:val="single" w:color="auto" w:sz="4" w:space="0"/>
              <w:right w:val="single" w:color="auto" w:sz="4" w:space="0"/>
            </w:tcBorders>
            <w:shd w:val="clear" w:color="auto" w:fill="auto"/>
            <w:noWrap w:val="0"/>
            <w:vAlign w:val="center"/>
          </w:tcPr>
          <w:p w14:paraId="653F283F">
            <w:pPr>
              <w:widowControl/>
              <w:jc w:val="left"/>
              <w:rPr>
                <w:rFonts w:hint="eastAsia" w:ascii="宋体" w:hAnsi="宋体" w:eastAsia="宋体" w:cs="宋体"/>
                <w:color w:val="auto"/>
                <w:sz w:val="21"/>
                <w:szCs w:val="21"/>
                <w:highlight w:val="none"/>
              </w:rPr>
            </w:pP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A6D25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572</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68B2A84">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5142</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EF70F3A">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260</w:t>
            </w:r>
          </w:p>
        </w:tc>
        <w:tc>
          <w:tcPr>
            <w:tcW w:w="761" w:type="pct"/>
            <w:vMerge w:val="continue"/>
            <w:tcBorders>
              <w:left w:val="single" w:color="auto" w:sz="4" w:space="0"/>
              <w:bottom w:val="single" w:color="auto" w:sz="4" w:space="0"/>
              <w:right w:val="single" w:color="auto" w:sz="4" w:space="0"/>
            </w:tcBorders>
            <w:shd w:val="clear" w:color="auto" w:fill="auto"/>
            <w:noWrap w:val="0"/>
            <w:vAlign w:val="center"/>
          </w:tcPr>
          <w:p w14:paraId="5A6F8B1B">
            <w:pPr>
              <w:widowControl/>
              <w:jc w:val="center"/>
              <w:rPr>
                <w:rFonts w:hint="eastAsia" w:ascii="宋体" w:hAnsi="宋体" w:eastAsia="宋体" w:cs="宋体"/>
                <w:color w:val="auto"/>
                <w:sz w:val="21"/>
                <w:szCs w:val="21"/>
                <w:highlight w:val="none"/>
              </w:rPr>
            </w:pP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BD0642">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卡索板</w:t>
            </w:r>
          </w:p>
        </w:tc>
        <w:tc>
          <w:tcPr>
            <w:tcW w:w="615" w:type="pct"/>
            <w:vMerge w:val="continue"/>
            <w:tcBorders>
              <w:left w:val="single" w:color="auto" w:sz="4" w:space="0"/>
              <w:bottom w:val="single" w:color="auto" w:sz="4" w:space="0"/>
              <w:right w:val="single" w:color="auto" w:sz="4" w:space="0"/>
            </w:tcBorders>
            <w:shd w:val="clear" w:color="auto" w:fill="auto"/>
            <w:noWrap/>
            <w:vAlign w:val="center"/>
          </w:tcPr>
          <w:p w14:paraId="5AAC4416">
            <w:pPr>
              <w:widowControl/>
              <w:jc w:val="center"/>
              <w:rPr>
                <w:rFonts w:hint="eastAsia" w:ascii="宋体" w:hAnsi="宋体" w:eastAsia="宋体" w:cs="宋体"/>
                <w:color w:val="auto"/>
                <w:sz w:val="21"/>
                <w:szCs w:val="21"/>
                <w:highlight w:val="none"/>
              </w:rPr>
            </w:pPr>
          </w:p>
        </w:tc>
        <w:tc>
          <w:tcPr>
            <w:tcW w:w="573" w:type="pct"/>
            <w:vMerge w:val="continue"/>
            <w:tcBorders>
              <w:left w:val="single" w:color="auto" w:sz="4" w:space="0"/>
              <w:right w:val="single" w:color="auto" w:sz="4" w:space="0"/>
            </w:tcBorders>
            <w:noWrap w:val="0"/>
            <w:vAlign w:val="center"/>
          </w:tcPr>
          <w:p w14:paraId="7D2DC983">
            <w:pPr>
              <w:widowControl/>
              <w:jc w:val="left"/>
              <w:rPr>
                <w:rFonts w:hint="eastAsia" w:ascii="宋体" w:hAnsi="宋体" w:eastAsia="宋体" w:cs="宋体"/>
                <w:color w:val="auto"/>
                <w:sz w:val="21"/>
                <w:szCs w:val="21"/>
                <w:highlight w:val="none"/>
              </w:rPr>
            </w:pPr>
          </w:p>
        </w:tc>
      </w:tr>
      <w:tr w14:paraId="77A2F721">
        <w:tblPrEx>
          <w:tblCellMar>
            <w:top w:w="0" w:type="dxa"/>
            <w:left w:w="108" w:type="dxa"/>
            <w:bottom w:w="0" w:type="dxa"/>
            <w:right w:w="108" w:type="dxa"/>
          </w:tblCellMar>
        </w:tblPrEx>
        <w:trPr>
          <w:trHeight w:val="540"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965845E">
            <w:pPr>
              <w:widowControl/>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9247A5D">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红山南路隧道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8E1996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640</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026EC5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9600</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435DC7">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405</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C8B48F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2010</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A75352">
            <w:pPr>
              <w:widowControl/>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卡利板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53C3D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9429.07</w:t>
            </w:r>
          </w:p>
        </w:tc>
        <w:tc>
          <w:tcPr>
            <w:tcW w:w="573" w:type="pct"/>
            <w:vMerge w:val="continue"/>
            <w:tcBorders>
              <w:left w:val="single" w:color="auto" w:sz="4" w:space="0"/>
              <w:right w:val="single" w:color="auto" w:sz="4" w:space="0"/>
            </w:tcBorders>
            <w:noWrap w:val="0"/>
            <w:vAlign w:val="center"/>
          </w:tcPr>
          <w:p w14:paraId="2B567926">
            <w:pPr>
              <w:widowControl/>
              <w:jc w:val="left"/>
              <w:rPr>
                <w:rFonts w:hint="eastAsia" w:ascii="宋体" w:hAnsi="宋体" w:eastAsia="宋体" w:cs="宋体"/>
                <w:color w:val="auto"/>
                <w:sz w:val="21"/>
                <w:szCs w:val="21"/>
                <w:highlight w:val="none"/>
              </w:rPr>
            </w:pPr>
          </w:p>
        </w:tc>
      </w:tr>
      <w:tr w14:paraId="01623266">
        <w:tblPrEx>
          <w:tblCellMar>
            <w:top w:w="0" w:type="dxa"/>
            <w:left w:w="108" w:type="dxa"/>
            <w:bottom w:w="0" w:type="dxa"/>
            <w:right w:w="108" w:type="dxa"/>
          </w:tblCellMar>
        </w:tblPrEx>
        <w:trPr>
          <w:trHeight w:val="540"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01EB65E">
            <w:pPr>
              <w:widowControl/>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0FE6D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红山南路人行隧道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0D8300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140</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6F468F">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640</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34904B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140</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FE17DB5">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2010</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7A35AC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卡利板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CC02E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646.38</w:t>
            </w:r>
          </w:p>
        </w:tc>
        <w:tc>
          <w:tcPr>
            <w:tcW w:w="573" w:type="pct"/>
            <w:vMerge w:val="continue"/>
            <w:tcBorders>
              <w:left w:val="single" w:color="auto" w:sz="4" w:space="0"/>
              <w:right w:val="single" w:color="auto" w:sz="4" w:space="0"/>
            </w:tcBorders>
            <w:noWrap w:val="0"/>
            <w:vAlign w:val="center"/>
          </w:tcPr>
          <w:p w14:paraId="72CF0744">
            <w:pPr>
              <w:widowControl/>
              <w:jc w:val="left"/>
              <w:rPr>
                <w:rFonts w:hint="eastAsia" w:ascii="宋体" w:hAnsi="宋体" w:eastAsia="宋体" w:cs="宋体"/>
                <w:color w:val="auto"/>
                <w:sz w:val="21"/>
                <w:szCs w:val="21"/>
                <w:highlight w:val="none"/>
              </w:rPr>
            </w:pPr>
          </w:p>
        </w:tc>
      </w:tr>
      <w:tr w14:paraId="7EC58FB6">
        <w:tblPrEx>
          <w:tblCellMar>
            <w:top w:w="0" w:type="dxa"/>
            <w:left w:w="108" w:type="dxa"/>
            <w:bottom w:w="0" w:type="dxa"/>
            <w:right w:w="108" w:type="dxa"/>
          </w:tblCellMar>
        </w:tblPrEx>
        <w:trPr>
          <w:trHeight w:val="540"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B138D0">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7662CB">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晓庄广场隧道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5FCD591">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744</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849090">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18144</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88D38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228</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385E37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2009</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256B5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卡利板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A88FB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6995</w:t>
            </w:r>
          </w:p>
        </w:tc>
        <w:tc>
          <w:tcPr>
            <w:tcW w:w="573" w:type="pct"/>
            <w:vMerge w:val="continue"/>
            <w:tcBorders>
              <w:left w:val="single" w:color="auto" w:sz="4" w:space="0"/>
              <w:right w:val="single" w:color="auto" w:sz="4" w:space="0"/>
            </w:tcBorders>
            <w:noWrap w:val="0"/>
            <w:vAlign w:val="center"/>
          </w:tcPr>
          <w:p w14:paraId="311F061F">
            <w:pPr>
              <w:widowControl/>
              <w:jc w:val="left"/>
              <w:rPr>
                <w:rFonts w:hint="eastAsia" w:ascii="宋体" w:hAnsi="宋体" w:eastAsia="宋体" w:cs="宋体"/>
                <w:color w:val="auto"/>
                <w:sz w:val="21"/>
                <w:szCs w:val="21"/>
                <w:highlight w:val="none"/>
              </w:rPr>
            </w:pPr>
          </w:p>
        </w:tc>
      </w:tr>
      <w:tr w14:paraId="359913A3">
        <w:tblPrEx>
          <w:tblCellMar>
            <w:top w:w="0" w:type="dxa"/>
            <w:left w:w="108" w:type="dxa"/>
            <w:bottom w:w="0" w:type="dxa"/>
            <w:right w:w="108" w:type="dxa"/>
          </w:tblCellMar>
        </w:tblPrEx>
        <w:trPr>
          <w:trHeight w:val="418"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C539F8">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A22B94">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宝船厂隧道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D3E41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555</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F04C9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11655</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E6732E0">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160</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24358E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2018</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4A367B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搪瓷钢板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42EB53">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3976.5</w:t>
            </w:r>
          </w:p>
        </w:tc>
        <w:tc>
          <w:tcPr>
            <w:tcW w:w="573" w:type="pct"/>
            <w:vMerge w:val="continue"/>
            <w:tcBorders>
              <w:left w:val="single" w:color="auto" w:sz="4" w:space="0"/>
              <w:right w:val="single" w:color="auto" w:sz="4" w:space="0"/>
            </w:tcBorders>
            <w:noWrap w:val="0"/>
            <w:vAlign w:val="center"/>
          </w:tcPr>
          <w:p w14:paraId="7627613D">
            <w:pPr>
              <w:widowControl/>
              <w:jc w:val="left"/>
              <w:rPr>
                <w:rFonts w:hint="eastAsia" w:ascii="宋体" w:hAnsi="宋体" w:eastAsia="宋体" w:cs="宋体"/>
                <w:color w:val="auto"/>
                <w:sz w:val="21"/>
                <w:szCs w:val="21"/>
                <w:highlight w:val="none"/>
              </w:rPr>
            </w:pPr>
          </w:p>
        </w:tc>
      </w:tr>
      <w:tr w14:paraId="157B42DA">
        <w:tblPrEx>
          <w:tblCellMar>
            <w:top w:w="0" w:type="dxa"/>
            <w:left w:w="108" w:type="dxa"/>
            <w:bottom w:w="0" w:type="dxa"/>
            <w:right w:w="108" w:type="dxa"/>
          </w:tblCellMar>
        </w:tblPrEx>
        <w:trPr>
          <w:trHeight w:val="430"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219BF5">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3B922E">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北河口隧道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5AD88D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865</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663A05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18165</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DFFCBBE">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570</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6ECE831">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2018</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19341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搪瓷钢板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B34B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9165.4</w:t>
            </w:r>
          </w:p>
        </w:tc>
        <w:tc>
          <w:tcPr>
            <w:tcW w:w="573" w:type="pct"/>
            <w:vMerge w:val="continue"/>
            <w:tcBorders>
              <w:left w:val="single" w:color="auto" w:sz="4" w:space="0"/>
              <w:right w:val="single" w:color="auto" w:sz="4" w:space="0"/>
            </w:tcBorders>
            <w:noWrap w:val="0"/>
            <w:vAlign w:val="center"/>
          </w:tcPr>
          <w:p w14:paraId="4F1015BC">
            <w:pPr>
              <w:widowControl/>
              <w:jc w:val="left"/>
              <w:rPr>
                <w:rFonts w:hint="eastAsia" w:ascii="宋体" w:hAnsi="宋体" w:eastAsia="宋体" w:cs="宋体"/>
                <w:color w:val="auto"/>
                <w:sz w:val="21"/>
                <w:szCs w:val="21"/>
                <w:highlight w:val="none"/>
              </w:rPr>
            </w:pPr>
          </w:p>
        </w:tc>
      </w:tr>
      <w:tr w14:paraId="07DB4EF0">
        <w:tblPrEx>
          <w:tblCellMar>
            <w:top w:w="0" w:type="dxa"/>
            <w:left w:w="108" w:type="dxa"/>
            <w:bottom w:w="0" w:type="dxa"/>
            <w:right w:w="108" w:type="dxa"/>
          </w:tblCellMar>
        </w:tblPrEx>
        <w:trPr>
          <w:trHeight w:val="444"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A7B4635">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8DB8B0A">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万景园隧道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56D23E">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600</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79E563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13022</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F1705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180</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19ACC7E">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2018</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5087B9F">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搪瓷钢板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032C77">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3903.77</w:t>
            </w:r>
          </w:p>
        </w:tc>
        <w:tc>
          <w:tcPr>
            <w:tcW w:w="573" w:type="pct"/>
            <w:vMerge w:val="continue"/>
            <w:tcBorders>
              <w:left w:val="single" w:color="auto" w:sz="4" w:space="0"/>
              <w:right w:val="single" w:color="auto" w:sz="4" w:space="0"/>
            </w:tcBorders>
            <w:noWrap w:val="0"/>
            <w:vAlign w:val="center"/>
          </w:tcPr>
          <w:p w14:paraId="2FE5F192">
            <w:pPr>
              <w:widowControl/>
              <w:jc w:val="left"/>
              <w:rPr>
                <w:rFonts w:hint="eastAsia" w:ascii="宋体" w:hAnsi="宋体" w:eastAsia="宋体" w:cs="宋体"/>
                <w:color w:val="auto"/>
                <w:sz w:val="21"/>
                <w:szCs w:val="21"/>
                <w:highlight w:val="none"/>
              </w:rPr>
            </w:pPr>
          </w:p>
        </w:tc>
      </w:tr>
      <w:tr w14:paraId="382D4945">
        <w:tblPrEx>
          <w:tblCellMar>
            <w:top w:w="0" w:type="dxa"/>
            <w:left w:w="108" w:type="dxa"/>
            <w:bottom w:w="0" w:type="dxa"/>
            <w:right w:w="108" w:type="dxa"/>
          </w:tblCellMar>
        </w:tblPrEx>
        <w:trPr>
          <w:trHeight w:val="457"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0E1682">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029F6E0">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绿博园隧道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D9E021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560</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8EE11E1">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15447</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D7F682">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180</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1F98804">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2018</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3BA8526">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搪瓷钢板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EAC34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3588.08</w:t>
            </w:r>
          </w:p>
        </w:tc>
        <w:tc>
          <w:tcPr>
            <w:tcW w:w="573" w:type="pct"/>
            <w:vMerge w:val="continue"/>
            <w:tcBorders>
              <w:left w:val="single" w:color="auto" w:sz="4" w:space="0"/>
              <w:right w:val="single" w:color="auto" w:sz="4" w:space="0"/>
            </w:tcBorders>
            <w:noWrap w:val="0"/>
            <w:vAlign w:val="center"/>
          </w:tcPr>
          <w:p w14:paraId="4699B9F5">
            <w:pPr>
              <w:widowControl/>
              <w:jc w:val="left"/>
              <w:rPr>
                <w:rFonts w:hint="eastAsia" w:ascii="宋体" w:hAnsi="宋体" w:eastAsia="宋体" w:cs="宋体"/>
                <w:color w:val="auto"/>
                <w:sz w:val="21"/>
                <w:szCs w:val="21"/>
                <w:highlight w:val="none"/>
              </w:rPr>
            </w:pPr>
          </w:p>
        </w:tc>
      </w:tr>
      <w:tr w14:paraId="31F4458D">
        <w:tblPrEx>
          <w:tblCellMar>
            <w:top w:w="0" w:type="dxa"/>
            <w:left w:w="108" w:type="dxa"/>
            <w:bottom w:w="0" w:type="dxa"/>
            <w:right w:w="108" w:type="dxa"/>
          </w:tblCellMar>
        </w:tblPrEx>
        <w:trPr>
          <w:trHeight w:val="540"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39050F">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EDECAC">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奥体新城隧道</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9E4ED7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249</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A39C8D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7500</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177F1AD">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249</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4CCCDAC">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2006</w:t>
            </w: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9BC8EB">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卡索板</w:t>
            </w: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9DA458">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4686</w:t>
            </w:r>
          </w:p>
        </w:tc>
        <w:tc>
          <w:tcPr>
            <w:tcW w:w="573" w:type="pct"/>
            <w:vMerge w:val="continue"/>
            <w:tcBorders>
              <w:left w:val="single" w:color="auto" w:sz="4" w:space="0"/>
              <w:bottom w:val="single" w:color="auto" w:sz="4" w:space="0"/>
              <w:right w:val="single" w:color="auto" w:sz="4" w:space="0"/>
            </w:tcBorders>
            <w:noWrap w:val="0"/>
            <w:vAlign w:val="center"/>
          </w:tcPr>
          <w:p w14:paraId="65F57CE7">
            <w:pPr>
              <w:widowControl/>
              <w:jc w:val="left"/>
              <w:rPr>
                <w:rFonts w:hint="eastAsia" w:ascii="宋体" w:hAnsi="宋体" w:eastAsia="宋体" w:cs="宋体"/>
                <w:color w:val="auto"/>
                <w:sz w:val="21"/>
                <w:szCs w:val="21"/>
                <w:highlight w:val="none"/>
              </w:rPr>
            </w:pPr>
          </w:p>
        </w:tc>
      </w:tr>
      <w:tr w14:paraId="348E6C8D">
        <w:tblPrEx>
          <w:tblCellMar>
            <w:top w:w="0" w:type="dxa"/>
            <w:left w:w="108" w:type="dxa"/>
            <w:bottom w:w="0" w:type="dxa"/>
            <w:right w:w="108" w:type="dxa"/>
          </w:tblCellMar>
        </w:tblPrEx>
        <w:trPr>
          <w:trHeight w:val="540" w:hRule="atLeast"/>
        </w:trPr>
        <w:tc>
          <w:tcPr>
            <w:tcW w:w="2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CE2031">
            <w:pPr>
              <w:widowControl/>
              <w:jc w:val="left"/>
              <w:rPr>
                <w:rFonts w:hint="eastAsia" w:ascii="宋体" w:hAnsi="宋体" w:eastAsia="宋体" w:cs="宋体"/>
                <w:color w:val="auto"/>
                <w:sz w:val="21"/>
                <w:szCs w:val="21"/>
                <w:highlight w:val="none"/>
                <w:lang w:val="en-US" w:eastAsia="zh-CN"/>
              </w:rPr>
            </w:pPr>
          </w:p>
        </w:tc>
        <w:tc>
          <w:tcPr>
            <w:tcW w:w="71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29E4F5">
            <w:pPr>
              <w:widowControl/>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合计</w:t>
            </w:r>
          </w:p>
        </w:tc>
        <w:tc>
          <w:tcPr>
            <w:tcW w:w="47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C6D9F5">
            <w:pPr>
              <w:widowControl/>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6797</w:t>
            </w:r>
          </w:p>
        </w:tc>
        <w:tc>
          <w:tcPr>
            <w:tcW w:w="5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30AB89E">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131514</w:t>
            </w:r>
          </w:p>
        </w:tc>
        <w:tc>
          <w:tcPr>
            <w:tcW w:w="41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F402CE2">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3019</w:t>
            </w:r>
          </w:p>
        </w:tc>
        <w:tc>
          <w:tcPr>
            <w:tcW w:w="76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4A025A">
            <w:pPr>
              <w:widowControl/>
              <w:jc w:val="center"/>
              <w:rPr>
                <w:rFonts w:hint="eastAsia" w:ascii="宋体" w:hAnsi="宋体" w:eastAsia="宋体" w:cs="宋体"/>
                <w:color w:val="auto"/>
                <w:sz w:val="21"/>
                <w:szCs w:val="21"/>
                <w:highlight w:val="none"/>
              </w:rPr>
            </w:pPr>
          </w:p>
        </w:tc>
        <w:tc>
          <w:tcPr>
            <w:tcW w:w="6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68ED9E">
            <w:pPr>
              <w:widowControl/>
              <w:jc w:val="center"/>
              <w:rPr>
                <w:rFonts w:hint="eastAsia" w:ascii="宋体" w:hAnsi="宋体" w:eastAsia="宋体" w:cs="宋体"/>
                <w:color w:val="auto"/>
                <w:sz w:val="21"/>
                <w:szCs w:val="21"/>
                <w:highlight w:val="none"/>
              </w:rPr>
            </w:pPr>
          </w:p>
        </w:tc>
        <w:tc>
          <w:tcPr>
            <w:tcW w:w="6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56E517">
            <w:pPr>
              <w:widowControl/>
              <w:jc w:val="center"/>
              <w:rPr>
                <w:rFonts w:hint="eastAsia" w:ascii="宋体" w:hAnsi="宋体" w:eastAsia="宋体" w:cs="宋体"/>
                <w:color w:val="auto"/>
                <w:sz w:val="21"/>
                <w:szCs w:val="21"/>
                <w:highlight w:val="none"/>
              </w:rPr>
            </w:pPr>
          </w:p>
        </w:tc>
        <w:tc>
          <w:tcPr>
            <w:tcW w:w="573" w:type="pct"/>
            <w:tcBorders>
              <w:top w:val="single" w:color="auto" w:sz="4" w:space="0"/>
              <w:left w:val="single" w:color="auto" w:sz="4" w:space="0"/>
              <w:bottom w:val="single" w:color="auto" w:sz="4" w:space="0"/>
              <w:right w:val="single" w:color="auto" w:sz="4" w:space="0"/>
            </w:tcBorders>
            <w:noWrap w:val="0"/>
            <w:vAlign w:val="center"/>
          </w:tcPr>
          <w:p w14:paraId="615C5033">
            <w:pPr>
              <w:widowControl/>
              <w:jc w:val="left"/>
              <w:rPr>
                <w:rFonts w:hint="eastAsia" w:ascii="宋体" w:hAnsi="宋体" w:eastAsia="宋体" w:cs="宋体"/>
                <w:color w:val="auto"/>
                <w:sz w:val="21"/>
                <w:szCs w:val="21"/>
                <w:highlight w:val="none"/>
              </w:rPr>
            </w:pPr>
          </w:p>
        </w:tc>
      </w:tr>
    </w:tbl>
    <w:p w14:paraId="069ED84C">
      <w:pPr>
        <w:rPr>
          <w:rFonts w:ascii="宋体" w:hAnsi="宋体" w:cs="宋体"/>
          <w:b/>
          <w:color w:val="auto"/>
          <w:highlight w:val="none"/>
        </w:rPr>
      </w:pPr>
    </w:p>
    <w:p w14:paraId="5F818E93">
      <w:pPr>
        <w:pStyle w:val="250"/>
        <w:ind w:firstLine="422"/>
        <w:rPr>
          <w:rFonts w:hint="eastAsia" w:ascii="宋体" w:hAnsi="宋体"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六</w:t>
      </w:r>
      <w:r>
        <w:rPr>
          <w:rFonts w:hint="eastAsia" w:ascii="宋体" w:hAnsi="宋体" w:eastAsia="宋体" w:cs="Times New Roman"/>
          <w:b/>
          <w:bCs/>
          <w:color w:val="auto"/>
          <w:sz w:val="24"/>
          <w:szCs w:val="24"/>
          <w:highlight w:val="none"/>
          <w:lang w:val="en-US" w:eastAsia="zh-CN"/>
        </w:rPr>
        <w:t>、检测内容：</w:t>
      </w:r>
    </w:p>
    <w:p w14:paraId="2415B056">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依据《城市桥梁养护技术标准》（CJJ99-2017）、 《公路隧道养护技术规范》（JTG H12-2015）和《江苏省城市隧道建设、运行与维护指南（试行）》（苏城建〔2019〕32号）对隧道土建结构进行技术状况评定和专项检测，具体要求如下：</w:t>
      </w:r>
    </w:p>
    <w:p w14:paraId="71340472">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 xml:space="preserve"> 在进行土建结构技术状况评定时，先逐洞、逐段进行评定，再进行总的技术状况评定。</w:t>
      </w:r>
    </w:p>
    <w:p w14:paraId="65E10259">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 隧道专项检测应包含以下内容：</w:t>
      </w:r>
    </w:p>
    <w:p w14:paraId="7515B247">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（1）结构变形检查：包括道路线形、横坡、纵坡、隧道净空变化检查等。</w:t>
      </w:r>
    </w:p>
    <w:p w14:paraId="53A55ADA">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（2）裂缝检查：包括裂缝位置、宽度、长度、深度、开展范围、变化趋势及速度等。</w:t>
      </w:r>
    </w:p>
    <w:p w14:paraId="48CFF816">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（3）漏水检查：漏水位置、水量及排水系统检查；水温、PH值检查、电导度检测等。</w:t>
      </w:r>
    </w:p>
    <w:p w14:paraId="3227D452">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（4）材质检查：包括衬砌强度、表面病害、混凝土碳化深度、钢筋锈蚀等检查。</w:t>
      </w:r>
    </w:p>
    <w:p w14:paraId="3E987867">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（5）衬砌及围岩状况检查：包括衬砌厚度、空洞、裂缝、渗漏水、钢筋保护层厚度等无损检查。</w:t>
      </w:r>
    </w:p>
    <w:p w14:paraId="29306B44">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 xml:space="preserve"> 隧道横断面测量，原则上测量间距不超过60米，两条施工变形缝之间至少测一个断面，对于小于60米的隧道，至少要测量两个断面。横断面测量完成后，与设计横断面或完好断面进行比较，分析隧道衬砌的变形情况。</w:t>
      </w:r>
    </w:p>
    <w:p w14:paraId="07740BD7">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 xml:space="preserve"> 专项检查完成后，应提交土建结构专项检查报告，内容应包括：</w:t>
      </w:r>
    </w:p>
    <w:p w14:paraId="6BF52323">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（1）检查的主要经过，包括检查的组织实施、时间和主要工作过程等；</w:t>
      </w:r>
    </w:p>
    <w:p w14:paraId="3FB360D6">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（2）所检查结构的技术状况，包括检查方法、试验与检测项目及内容、检测数据与结果分析以及缺损状态评价等；</w:t>
      </w:r>
    </w:p>
    <w:p w14:paraId="3D64634B">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（3）对缺损或病害的成因、范围、程度等情况的分析，及其维修处治对策、技术以及所需工程量和费用等建议；</w:t>
      </w:r>
    </w:p>
    <w:p w14:paraId="6D071627">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（4）隧道上一年度沉降观测数据。</w:t>
      </w:r>
    </w:p>
    <w:p w14:paraId="7CBF3F39">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 xml:space="preserve"> 拆除和安装装饰板要求</w:t>
      </w:r>
    </w:p>
    <w:p w14:paraId="652DAEC4">
      <w:pPr>
        <w:widowControl/>
        <w:spacing w:line="360" w:lineRule="auto"/>
        <w:ind w:firstLine="480" w:firstLineChars="200"/>
        <w:jc w:val="left"/>
        <w:rPr>
          <w:color w:val="auto"/>
          <w:highlight w:val="none"/>
        </w:rPr>
      </w:pPr>
      <w:r>
        <w:rPr>
          <w:rFonts w:hint="eastAsia" w:ascii="宋体" w:hAnsi="宋体" w:eastAsia="宋体" w:cs="Times New Roman"/>
          <w:color w:val="auto"/>
          <w:sz w:val="24"/>
          <w:szCs w:val="24"/>
          <w:highlight w:val="none"/>
        </w:rPr>
        <w:t>考虑到城市隧道的美观要求和拆除装饰板的社会影响，在检测时，应逐条开展，一次只拆除一条隧道装饰板，立即进行检测，结束后立即恢复该条隧道装饰板，再进行下一条隧道检测，严禁将所有隧道装饰板全部拆除后进行流水检测。</w:t>
      </w:r>
    </w:p>
    <w:p w14:paraId="1E8E100B">
      <w:pPr>
        <w:pStyle w:val="250"/>
        <w:ind w:firstLine="42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八、隧道结构定期检测的人员和服务期要求</w:t>
      </w:r>
    </w:p>
    <w:p w14:paraId="56767410">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按要求配备齐全满足本项目检测要求的项目负责人、各类专业技术人员，并保持相对稳定，如果需要更换项目负责人或项目技术负责人，应事先报请</w:t>
      </w:r>
      <w:r>
        <w:rPr>
          <w:rFonts w:hint="eastAsia" w:ascii="宋体" w:hAnsi="宋体" w:eastAsia="宋体" w:cs="Times New Roman"/>
          <w:color w:val="auto"/>
          <w:sz w:val="24"/>
          <w:szCs w:val="24"/>
          <w:highlight w:val="none"/>
          <w:lang w:val="en-US" w:eastAsia="zh-CN"/>
        </w:rPr>
        <w:t>采购人</w:t>
      </w:r>
      <w:r>
        <w:rPr>
          <w:rFonts w:hint="eastAsia" w:ascii="宋体" w:hAnsi="宋体" w:eastAsia="宋体" w:cs="Times New Roman"/>
          <w:color w:val="auto"/>
          <w:sz w:val="24"/>
          <w:szCs w:val="24"/>
          <w:highlight w:val="none"/>
        </w:rPr>
        <w:t>同意;按照甲方要求撤换不能胜任工作或玩忽职守、不负责的工作人员。</w:t>
      </w:r>
    </w:p>
    <w:p w14:paraId="421AF941">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cs="Times New Roman"/>
          <w:color w:val="auto"/>
          <w:sz w:val="24"/>
          <w:szCs w:val="24"/>
          <w:highlight w:val="none"/>
          <w:lang w:val="en-US" w:eastAsia="zh-CN"/>
        </w:rPr>
        <w:t>中标人</w:t>
      </w:r>
      <w:r>
        <w:rPr>
          <w:rFonts w:hint="eastAsia" w:ascii="宋体" w:hAnsi="宋体" w:eastAsia="宋体" w:cs="Times New Roman"/>
          <w:color w:val="auto"/>
          <w:sz w:val="24"/>
          <w:szCs w:val="24"/>
          <w:highlight w:val="none"/>
        </w:rPr>
        <w:t>必须配备齐全满足本项目检测要求的检测设备，配备的检测设备的性能和技术指标须满足现行行业规范标准及采购人要求。</w:t>
      </w:r>
    </w:p>
    <w:p w14:paraId="5B21A685">
      <w:pPr>
        <w:widowControl/>
        <w:spacing w:line="360" w:lineRule="auto"/>
        <w:ind w:firstLine="480" w:firstLineChars="200"/>
        <w:jc w:val="left"/>
        <w:rPr>
          <w:color w:val="auto"/>
          <w:highlight w:val="none"/>
        </w:rPr>
      </w:pPr>
      <w:r>
        <w:rPr>
          <w:rFonts w:hint="eastAsia" w:ascii="宋体" w:hAnsi="宋体" w:eastAsia="宋体" w:cs="Times New Roman"/>
          <w:color w:val="auto"/>
          <w:sz w:val="24"/>
          <w:szCs w:val="24"/>
          <w:highlight w:val="none"/>
          <w:lang w:val="en-US" w:eastAsia="zh-CN"/>
        </w:rPr>
        <w:t>3.服务</w:t>
      </w:r>
      <w:r>
        <w:rPr>
          <w:rFonts w:hint="eastAsia" w:ascii="宋体" w:hAnsi="宋体" w:eastAsia="宋体" w:cs="Times New Roman"/>
          <w:color w:val="auto"/>
          <w:sz w:val="24"/>
          <w:szCs w:val="24"/>
          <w:highlight w:val="none"/>
        </w:rPr>
        <w:t>期要求：自合同签订之日起90日历天。</w:t>
      </w:r>
    </w:p>
    <w:p w14:paraId="1E54B73F">
      <w:pPr>
        <w:pStyle w:val="250"/>
        <w:ind w:firstLine="42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九、技术（检测）成果</w:t>
      </w:r>
    </w:p>
    <w:p w14:paraId="6B095A26">
      <w:pPr>
        <w:widowControl/>
        <w:spacing w:line="360" w:lineRule="auto"/>
        <w:ind w:firstLine="480" w:firstLineChars="200"/>
        <w:jc w:val="left"/>
        <w:rPr>
          <w:rFonts w:hint="eastAsia" w:ascii="宋体" w:hAnsi="宋体"/>
          <w:b/>
          <w:bCs/>
          <w:color w:val="auto"/>
          <w:sz w:val="24"/>
          <w:szCs w:val="24"/>
          <w:highlight w:val="none"/>
        </w:rPr>
      </w:pPr>
      <w:r>
        <w:rPr>
          <w:rFonts w:hint="eastAsia" w:ascii="宋体" w:hAnsi="宋体" w:eastAsia="宋体" w:cs="Times New Roman"/>
          <w:color w:val="auto"/>
          <w:sz w:val="24"/>
          <w:szCs w:val="24"/>
          <w:highlight w:val="none"/>
        </w:rPr>
        <w:t>隧道定期检测完成后检测单位应提供的资料：提供隧道定期检测报告文本4套，电子文件1套（PDF格式）。</w:t>
      </w:r>
    </w:p>
    <w:p w14:paraId="635DCD8B">
      <w:pPr>
        <w:widowControl/>
        <w:spacing w:line="360" w:lineRule="auto"/>
        <w:ind w:firstLine="482" w:firstLineChars="200"/>
        <w:jc w:val="left"/>
        <w:rPr>
          <w:rFonts w:ascii="宋体" w:hAnsi="宋体" w:cs="宋体"/>
          <w:color w:val="auto"/>
          <w:sz w:val="24"/>
          <w:highlight w:val="none"/>
        </w:rPr>
      </w:pPr>
      <w:r>
        <w:rPr>
          <w:rFonts w:hint="eastAsia" w:ascii="宋体" w:hAnsi="宋体"/>
          <w:b/>
          <w:bCs/>
          <w:color w:val="auto"/>
          <w:sz w:val="24"/>
          <w:szCs w:val="24"/>
          <w:highlight w:val="none"/>
          <w:lang w:val="en-US" w:eastAsia="zh-CN"/>
        </w:rPr>
        <w:t>十</w:t>
      </w:r>
      <w:r>
        <w:rPr>
          <w:rFonts w:hint="eastAsia" w:ascii="宋体" w:hAnsi="宋体"/>
          <w:b/>
          <w:bCs/>
          <w:color w:val="auto"/>
          <w:sz w:val="24"/>
          <w:szCs w:val="24"/>
          <w:highlight w:val="none"/>
        </w:rPr>
        <w:t>、报价须</w:t>
      </w:r>
      <w:r>
        <w:rPr>
          <w:rFonts w:hint="eastAsia" w:ascii="宋体" w:hAnsi="宋体" w:cs="宋体"/>
          <w:b/>
          <w:bCs/>
          <w:color w:val="auto"/>
          <w:sz w:val="24"/>
          <w:highlight w:val="none"/>
        </w:rPr>
        <w:t>知</w:t>
      </w:r>
      <w:r>
        <w:rPr>
          <w:rFonts w:hint="eastAsia" w:ascii="宋体" w:hAnsi="宋体" w:cs="宋体"/>
          <w:color w:val="auto"/>
          <w:sz w:val="24"/>
          <w:highlight w:val="none"/>
        </w:rPr>
        <w:t>：</w:t>
      </w:r>
    </w:p>
    <w:p w14:paraId="56498453">
      <w:pPr>
        <w:widowControl/>
        <w:spacing w:line="360" w:lineRule="auto"/>
        <w:ind w:firstLine="480" w:firstLineChars="200"/>
        <w:jc w:val="left"/>
        <w:rPr>
          <w:rFonts w:ascii="宋体" w:hAnsi="宋体"/>
          <w:color w:val="auto"/>
          <w:sz w:val="24"/>
          <w:szCs w:val="24"/>
          <w:highlight w:val="none"/>
          <w:lang w:val="zh-CN"/>
        </w:rPr>
      </w:pPr>
      <w:r>
        <w:rPr>
          <w:rFonts w:hint="eastAsia" w:ascii="宋体" w:hAnsi="宋体"/>
          <w:color w:val="auto"/>
          <w:sz w:val="24"/>
          <w:szCs w:val="24"/>
          <w:highlight w:val="none"/>
          <w:lang w:val="zh-CN"/>
        </w:rPr>
        <w:t>（</w:t>
      </w:r>
      <w:r>
        <w:rPr>
          <w:rFonts w:hint="eastAsia" w:ascii="宋体" w:hAnsi="宋体"/>
          <w:color w:val="auto"/>
          <w:sz w:val="24"/>
          <w:szCs w:val="24"/>
          <w:highlight w:val="none"/>
        </w:rPr>
        <w:t>1</w:t>
      </w:r>
      <w:r>
        <w:rPr>
          <w:rFonts w:hint="eastAsia" w:ascii="宋体" w:hAnsi="宋体"/>
          <w:color w:val="auto"/>
          <w:sz w:val="24"/>
          <w:szCs w:val="24"/>
          <w:highlight w:val="none"/>
          <w:lang w:val="zh-CN"/>
        </w:rPr>
        <w:t>）</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lang w:val="zh-CN"/>
        </w:rPr>
        <w:t>报价时应充分考虑到可能由于工作量变化导致的价格变化的风险，该风险由供应商自行考虑，供应商不得因此要求采购人给予额外费用补偿。</w:t>
      </w:r>
    </w:p>
    <w:p w14:paraId="779AB821">
      <w:pPr>
        <w:widowControl/>
        <w:spacing w:line="360" w:lineRule="auto"/>
        <w:ind w:firstLine="480" w:firstLineChars="200"/>
        <w:jc w:val="left"/>
        <w:rPr>
          <w:rFonts w:ascii="宋体" w:hAnsi="宋体"/>
          <w:color w:val="auto"/>
          <w:sz w:val="24"/>
          <w:szCs w:val="24"/>
          <w:highlight w:val="none"/>
          <w:lang w:val="zh-CN"/>
        </w:rPr>
      </w:pPr>
      <w:r>
        <w:rPr>
          <w:rFonts w:hint="eastAsia" w:ascii="宋体" w:hAnsi="宋体"/>
          <w:color w:val="auto"/>
          <w:sz w:val="24"/>
          <w:szCs w:val="24"/>
          <w:highlight w:val="none"/>
        </w:rPr>
        <w:t>（2）</w:t>
      </w:r>
      <w:r>
        <w:rPr>
          <w:rFonts w:hint="eastAsia" w:ascii="宋体" w:hAnsi="宋体" w:eastAsia="宋体" w:cs="Times New Roman"/>
          <w:color w:val="auto"/>
          <w:sz w:val="24"/>
          <w:szCs w:val="24"/>
          <w:highlight w:val="none"/>
          <w:lang w:val="zh-CN"/>
        </w:rPr>
        <w:t>本项目为固定</w:t>
      </w:r>
      <w:r>
        <w:rPr>
          <w:rFonts w:hint="eastAsia" w:ascii="宋体" w:hAnsi="宋体" w:eastAsia="宋体" w:cs="Times New Roman"/>
          <w:color w:val="auto"/>
          <w:sz w:val="24"/>
          <w:szCs w:val="24"/>
          <w:highlight w:val="none"/>
          <w:lang w:val="en-US" w:eastAsia="zh-CN"/>
        </w:rPr>
        <w:t>总</w:t>
      </w:r>
      <w:r>
        <w:rPr>
          <w:rFonts w:hint="eastAsia" w:ascii="宋体" w:hAnsi="宋体" w:eastAsia="宋体" w:cs="Times New Roman"/>
          <w:color w:val="auto"/>
          <w:sz w:val="24"/>
          <w:szCs w:val="24"/>
          <w:highlight w:val="none"/>
          <w:lang w:val="zh-CN"/>
        </w:rPr>
        <w:t>价合同，应包含但不限于</w:t>
      </w:r>
      <w:r>
        <w:rPr>
          <w:rFonts w:hint="eastAsia" w:ascii="宋体" w:hAnsi="宋体" w:eastAsia="宋体" w:cs="Times New Roman"/>
          <w:color w:val="auto"/>
          <w:sz w:val="24"/>
          <w:szCs w:val="24"/>
          <w:highlight w:val="none"/>
          <w:lang w:val="en-US" w:eastAsia="zh-CN"/>
        </w:rPr>
        <w:t>检测服务费、</w:t>
      </w:r>
      <w:r>
        <w:rPr>
          <w:rFonts w:hint="eastAsia" w:ascii="宋体" w:hAnsi="宋体" w:eastAsia="宋体" w:cs="Times New Roman"/>
          <w:color w:val="auto"/>
          <w:sz w:val="24"/>
          <w:szCs w:val="24"/>
          <w:highlight w:val="none"/>
          <w:lang w:val="zh-CN"/>
        </w:rPr>
        <w:t>人工、材料、机械、管理、利润、措施、设备、规费、税金、成品维护、国家强制缴纳的各种社会保障资金等所有含税费用及项目实施过程中涉及到的一切费用。</w:t>
      </w:r>
    </w:p>
    <w:p w14:paraId="5CB648C6">
      <w:pPr>
        <w:widowControl/>
        <w:spacing w:line="360" w:lineRule="auto"/>
        <w:ind w:firstLine="480" w:firstLineChars="200"/>
        <w:jc w:val="left"/>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（3）</w:t>
      </w:r>
      <w:r>
        <w:rPr>
          <w:rFonts w:hint="eastAsia" w:ascii="宋体" w:hAnsi="宋体" w:eastAsia="宋体" w:cs="Times New Roman"/>
          <w:color w:val="auto"/>
          <w:sz w:val="24"/>
          <w:szCs w:val="24"/>
          <w:highlight w:val="none"/>
          <w:lang w:val="en-US" w:eastAsia="zh-CN"/>
        </w:rPr>
        <w:t>报价</w:t>
      </w:r>
      <w:r>
        <w:rPr>
          <w:rFonts w:hint="eastAsia" w:ascii="宋体" w:hAnsi="宋体" w:eastAsia="宋体" w:cs="Times New Roman"/>
          <w:color w:val="auto"/>
          <w:sz w:val="24"/>
          <w:szCs w:val="24"/>
          <w:highlight w:val="none"/>
          <w:lang w:val="zh-CN"/>
        </w:rPr>
        <w:t>主要包含两部分，一是隧道检测费用；二是隧道装饰板拆除和安装费用（装饰板允许损耗率：搪瓷钢板1%以内，其他材质5%以内。超出允许损耗率部分费用由中标单位承担），具体数量见附表。</w:t>
      </w:r>
    </w:p>
    <w:p w14:paraId="1E676052">
      <w:pPr>
        <w:widowControl/>
        <w:spacing w:line="360" w:lineRule="auto"/>
        <w:ind w:firstLine="482" w:firstLineChars="200"/>
        <w:jc w:val="left"/>
        <w:rPr>
          <w:rFonts w:ascii="宋体" w:hAnsi="宋体" w:cs="宋体"/>
          <w:b/>
          <w:bCs/>
          <w:color w:val="auto"/>
          <w:sz w:val="24"/>
          <w:highlight w:val="none"/>
        </w:rPr>
      </w:pPr>
      <w:r>
        <w:rPr>
          <w:rFonts w:hint="eastAsia" w:ascii="宋体" w:hAnsi="宋体"/>
          <w:b/>
          <w:bCs/>
          <w:color w:val="auto"/>
          <w:sz w:val="24"/>
          <w:szCs w:val="24"/>
          <w:highlight w:val="none"/>
          <w:lang w:val="en-US" w:eastAsia="zh-CN"/>
        </w:rPr>
        <w:t>十一</w:t>
      </w:r>
      <w:r>
        <w:rPr>
          <w:rFonts w:hint="eastAsia" w:ascii="宋体" w:hAnsi="宋体"/>
          <w:b/>
          <w:bCs/>
          <w:color w:val="auto"/>
          <w:sz w:val="24"/>
          <w:szCs w:val="24"/>
          <w:highlight w:val="none"/>
        </w:rPr>
        <w:t>、付款</w:t>
      </w:r>
      <w:r>
        <w:rPr>
          <w:rFonts w:hint="eastAsia" w:ascii="宋体" w:hAnsi="宋体" w:cs="宋体"/>
          <w:b/>
          <w:bCs/>
          <w:color w:val="auto"/>
          <w:sz w:val="24"/>
          <w:highlight w:val="none"/>
        </w:rPr>
        <w:t>条件：</w:t>
      </w:r>
    </w:p>
    <w:p w14:paraId="6A085BDB">
      <w:pPr>
        <w:widowControl/>
        <w:spacing w:line="360" w:lineRule="auto"/>
        <w:ind w:firstLine="480" w:firstLineChars="200"/>
        <w:jc w:val="left"/>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1、甲方应当在合同签订后30个工作日内，向乙方支付合同总价的30%;</w:t>
      </w:r>
    </w:p>
    <w:p w14:paraId="3B8B3531">
      <w:pPr>
        <w:widowControl/>
        <w:spacing w:line="360" w:lineRule="auto"/>
        <w:ind w:firstLine="480" w:firstLineChars="200"/>
        <w:jc w:val="left"/>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2、甲方应当在乙方形成隧道检测报告最终成果并经验收合格后30个工作日内，向乙方支付至结算总价的100%。</w:t>
      </w:r>
    </w:p>
    <w:p w14:paraId="07F1DA39">
      <w:pPr>
        <w:widowControl/>
        <w:spacing w:line="360" w:lineRule="auto"/>
        <w:ind w:firstLine="480" w:firstLineChars="200"/>
        <w:jc w:val="left"/>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3、最终结算金额以财政资金实际下达情况为准。</w:t>
      </w:r>
    </w:p>
    <w:p w14:paraId="205669B6">
      <w:pPr>
        <w:rPr>
          <w:rFonts w:ascii="宋体" w:hAnsi="宋体"/>
          <w:color w:val="auto"/>
          <w:sz w:val="24"/>
          <w:szCs w:val="24"/>
          <w:highlight w:val="none"/>
        </w:rPr>
        <w:sectPr>
          <w:headerReference r:id="rId6" w:type="default"/>
          <w:footerReference r:id="rId7" w:type="default"/>
          <w:pgSz w:w="11906" w:h="16838"/>
          <w:pgMar w:top="1440" w:right="1134" w:bottom="1440" w:left="1440" w:header="851" w:footer="992" w:gutter="0"/>
          <w:pgNumType w:start="1"/>
          <w:cols w:space="720" w:num="1"/>
          <w:docGrid w:linePitch="312" w:charSpace="0"/>
        </w:sectPr>
      </w:pPr>
      <w:r>
        <w:rPr>
          <w:rFonts w:hint="eastAsia" w:ascii="宋体" w:hAnsi="宋体"/>
          <w:color w:val="auto"/>
          <w:sz w:val="24"/>
          <w:szCs w:val="24"/>
          <w:highlight w:val="none"/>
        </w:rPr>
        <w:br w:type="page"/>
      </w:r>
    </w:p>
    <w:bookmarkEnd w:id="4"/>
    <w:bookmarkEnd w:id="5"/>
    <w:bookmarkEnd w:id="8"/>
    <w:p w14:paraId="208E4121">
      <w:pPr>
        <w:spacing w:line="380" w:lineRule="exact"/>
        <w:jc w:val="center"/>
        <w:rPr>
          <w:b/>
          <w:bCs/>
          <w:color w:val="auto"/>
          <w:sz w:val="36"/>
          <w:szCs w:val="36"/>
          <w:highlight w:val="none"/>
          <w:lang w:val="zh-CN"/>
        </w:rPr>
      </w:pPr>
      <w:bookmarkStart w:id="9" w:name="_Toc479586165"/>
      <w:bookmarkStart w:id="10" w:name="_Toc56586909"/>
      <w:bookmarkStart w:id="11" w:name="_Toc26539"/>
      <w:r>
        <w:rPr>
          <w:rFonts w:hint="eastAsia"/>
          <w:b/>
          <w:bCs/>
          <w:color w:val="auto"/>
          <w:sz w:val="36"/>
          <w:szCs w:val="36"/>
          <w:highlight w:val="none"/>
          <w:lang w:val="zh-CN"/>
        </w:rPr>
        <w:t>第五章 合  同</w:t>
      </w:r>
    </w:p>
    <w:p w14:paraId="7C56A49D">
      <w:pPr>
        <w:spacing w:line="380" w:lineRule="exact"/>
        <w:ind w:firstLine="412"/>
        <w:jc w:val="center"/>
        <w:rPr>
          <w:b/>
          <w:bCs/>
          <w:color w:val="auto"/>
          <w:sz w:val="36"/>
          <w:szCs w:val="36"/>
          <w:highlight w:val="none"/>
          <w:lang w:val="zh-CN"/>
        </w:rPr>
      </w:pPr>
    </w:p>
    <w:p w14:paraId="45D8B01F">
      <w:pPr>
        <w:pStyle w:val="53"/>
        <w:ind w:firstLine="400"/>
        <w:rPr>
          <w:color w:val="auto"/>
          <w:highlight w:val="none"/>
          <w:lang w:val="zh-CN"/>
        </w:rPr>
      </w:pPr>
    </w:p>
    <w:p w14:paraId="683FADAF">
      <w:pPr>
        <w:widowControl/>
        <w:shd w:val="clear" w:color="auto" w:fill="FFFFFF"/>
        <w:spacing w:line="360" w:lineRule="auto"/>
        <w:jc w:val="center"/>
        <w:rPr>
          <w:rFonts w:ascii="宋体" w:hAnsi="宋体" w:cs="宋体"/>
          <w:color w:val="auto"/>
          <w:sz w:val="44"/>
          <w:szCs w:val="44"/>
          <w:highlight w:val="none"/>
        </w:rPr>
      </w:pPr>
      <w:bookmarkStart w:id="12" w:name="_Toc20823315"/>
      <w:bookmarkStart w:id="13" w:name="_Toc16938559"/>
      <w:bookmarkStart w:id="14" w:name="_Toc513029243"/>
      <w:r>
        <w:rPr>
          <w:rFonts w:hint="eastAsia" w:ascii="宋体" w:hAnsi="宋体" w:cs="宋体"/>
          <w:color w:val="auto"/>
          <w:sz w:val="44"/>
          <w:szCs w:val="44"/>
          <w:highlight w:val="none"/>
        </w:rPr>
        <w:t>南京市政府采购合同</w:t>
      </w:r>
    </w:p>
    <w:p w14:paraId="05896D69">
      <w:pPr>
        <w:widowControl/>
        <w:shd w:val="clear" w:color="auto" w:fill="FFFFFF"/>
        <w:spacing w:line="360" w:lineRule="auto"/>
        <w:ind w:firstLine="315"/>
        <w:rPr>
          <w:rFonts w:ascii="宋体" w:hAnsi="宋体" w:cs="宋体"/>
          <w:color w:val="auto"/>
          <w:szCs w:val="21"/>
          <w:highlight w:val="none"/>
        </w:rPr>
      </w:pPr>
      <w:r>
        <w:rPr>
          <w:rFonts w:hint="eastAsia" w:ascii="宋体" w:hAnsi="宋体" w:cs="宋体"/>
          <w:b/>
          <w:bCs/>
          <w:color w:val="auto"/>
          <w:sz w:val="32"/>
          <w:szCs w:val="32"/>
          <w:highlight w:val="none"/>
        </w:rPr>
        <w:t>           </w:t>
      </w:r>
      <w:r>
        <w:rPr>
          <w:rFonts w:hint="eastAsia" w:ascii="宋体" w:hAnsi="宋体" w:cs="宋体"/>
          <w:b/>
          <w:bCs/>
          <w:color w:val="auto"/>
          <w:sz w:val="32"/>
          <w:highlight w:val="none"/>
        </w:rPr>
        <w:t> </w:t>
      </w:r>
      <w:r>
        <w:rPr>
          <w:rFonts w:hint="eastAsia" w:ascii="宋体" w:hAnsi="宋体" w:cs="宋体"/>
          <w:color w:val="auto"/>
          <w:sz w:val="32"/>
          <w:szCs w:val="32"/>
          <w:highlight w:val="none"/>
        </w:rPr>
        <w:t> </w:t>
      </w:r>
    </w:p>
    <w:p w14:paraId="73C0C0AC">
      <w:pPr>
        <w:widowControl/>
        <w:shd w:val="clear" w:color="auto" w:fill="FFFFFF"/>
        <w:spacing w:line="360" w:lineRule="auto"/>
        <w:ind w:firstLine="315"/>
        <w:rPr>
          <w:rFonts w:ascii="宋体" w:hAnsi="宋体" w:cs="宋体"/>
          <w:color w:val="auto"/>
          <w:szCs w:val="21"/>
          <w:highlight w:val="none"/>
        </w:rPr>
      </w:pPr>
      <w:r>
        <w:rPr>
          <w:rFonts w:hint="eastAsia" w:ascii="宋体" w:hAnsi="宋体" w:cs="宋体"/>
          <w:color w:val="auto"/>
          <w:sz w:val="32"/>
          <w:szCs w:val="32"/>
          <w:highlight w:val="none"/>
        </w:rPr>
        <w:t> </w:t>
      </w:r>
    </w:p>
    <w:p w14:paraId="63103692">
      <w:pPr>
        <w:widowControl/>
        <w:shd w:val="clear" w:color="auto" w:fill="FFFFFF"/>
        <w:spacing w:line="360" w:lineRule="auto"/>
        <w:ind w:firstLine="315"/>
        <w:rPr>
          <w:rFonts w:ascii="宋体" w:hAnsi="宋体" w:cs="宋体"/>
          <w:color w:val="auto"/>
          <w:szCs w:val="21"/>
          <w:highlight w:val="none"/>
        </w:rPr>
      </w:pPr>
      <w:r>
        <w:rPr>
          <w:rFonts w:hint="eastAsia" w:ascii="宋体" w:hAnsi="宋体" w:cs="宋体"/>
          <w:b/>
          <w:bCs/>
          <w:color w:val="auto"/>
          <w:sz w:val="36"/>
          <w:szCs w:val="36"/>
          <w:highlight w:val="none"/>
        </w:rPr>
        <w:t> </w:t>
      </w:r>
    </w:p>
    <w:p w14:paraId="6F10090D">
      <w:pPr>
        <w:widowControl/>
        <w:shd w:val="clear" w:color="auto" w:fill="FFFFFF"/>
        <w:spacing w:line="360" w:lineRule="auto"/>
        <w:ind w:firstLine="315"/>
        <w:rPr>
          <w:rFonts w:ascii="宋体" w:hAnsi="宋体" w:cs="宋体"/>
          <w:b/>
          <w:bCs/>
          <w:color w:val="auto"/>
          <w:sz w:val="36"/>
          <w:szCs w:val="36"/>
          <w:highlight w:val="none"/>
        </w:rPr>
      </w:pPr>
      <w:r>
        <w:rPr>
          <w:rFonts w:hint="eastAsia" w:ascii="宋体" w:hAnsi="宋体" w:cs="宋体"/>
          <w:b/>
          <w:bCs/>
          <w:color w:val="auto"/>
          <w:sz w:val="36"/>
          <w:szCs w:val="36"/>
          <w:highlight w:val="none"/>
        </w:rPr>
        <w:t> </w:t>
      </w:r>
    </w:p>
    <w:p w14:paraId="2347B262">
      <w:pPr>
        <w:widowControl/>
        <w:shd w:val="clear" w:color="auto" w:fill="FFFFFF"/>
        <w:spacing w:line="360" w:lineRule="auto"/>
        <w:ind w:firstLine="315"/>
        <w:rPr>
          <w:rFonts w:ascii="宋体" w:hAnsi="宋体" w:cs="宋体"/>
          <w:color w:val="auto"/>
          <w:sz w:val="32"/>
          <w:szCs w:val="32"/>
          <w:highlight w:val="none"/>
        </w:rPr>
      </w:pPr>
    </w:p>
    <w:p w14:paraId="0E714504">
      <w:pPr>
        <w:widowControl/>
        <w:shd w:val="clear" w:color="auto" w:fill="FFFFFF"/>
        <w:spacing w:line="360" w:lineRule="auto"/>
        <w:rPr>
          <w:rFonts w:ascii="宋体" w:hAnsi="宋体" w:cs="宋体"/>
          <w:color w:val="auto"/>
          <w:sz w:val="32"/>
          <w:szCs w:val="32"/>
          <w:highlight w:val="none"/>
        </w:rPr>
      </w:pPr>
    </w:p>
    <w:p w14:paraId="7D290517">
      <w:pPr>
        <w:widowControl/>
        <w:shd w:val="clear" w:color="auto" w:fill="FFFFFF"/>
        <w:spacing w:line="360" w:lineRule="auto"/>
        <w:ind w:firstLine="1918"/>
        <w:rPr>
          <w:rFonts w:ascii="宋体" w:hAnsi="宋体" w:cs="宋体"/>
          <w:color w:val="auto"/>
          <w:sz w:val="32"/>
          <w:szCs w:val="32"/>
          <w:highlight w:val="none"/>
        </w:rPr>
      </w:pPr>
      <w:r>
        <w:rPr>
          <w:rFonts w:hint="eastAsia" w:ascii="宋体" w:hAnsi="宋体" w:cs="宋体"/>
          <w:b/>
          <w:bCs/>
          <w:color w:val="auto"/>
          <w:sz w:val="32"/>
          <w:szCs w:val="32"/>
          <w:highlight w:val="none"/>
        </w:rPr>
        <w:t>合同编号 ：</w:t>
      </w:r>
      <w:r>
        <w:rPr>
          <w:rFonts w:hint="eastAsia" w:ascii="宋体" w:hAnsi="宋体" w:cs="宋体"/>
          <w:b/>
          <w:bCs/>
          <w:color w:val="auto"/>
          <w:sz w:val="32"/>
          <w:szCs w:val="32"/>
          <w:highlight w:val="none"/>
          <w:u w:val="single"/>
        </w:rPr>
        <w:t>          </w:t>
      </w:r>
    </w:p>
    <w:p w14:paraId="02C15D1F">
      <w:pPr>
        <w:widowControl/>
        <w:shd w:val="clear" w:color="auto" w:fill="FFFFFF"/>
        <w:spacing w:line="360" w:lineRule="auto"/>
        <w:ind w:firstLine="1918"/>
        <w:rPr>
          <w:rFonts w:ascii="宋体" w:hAnsi="宋体" w:cs="宋体"/>
          <w:color w:val="auto"/>
          <w:sz w:val="32"/>
          <w:szCs w:val="32"/>
          <w:highlight w:val="none"/>
        </w:rPr>
      </w:pPr>
      <w:r>
        <w:rPr>
          <w:rFonts w:hint="eastAsia" w:ascii="宋体" w:hAnsi="宋体" w:cs="宋体"/>
          <w:b/>
          <w:bCs/>
          <w:color w:val="auto"/>
          <w:sz w:val="32"/>
          <w:szCs w:val="32"/>
          <w:highlight w:val="none"/>
        </w:rPr>
        <w:t>项目名称 ：</w:t>
      </w:r>
      <w:r>
        <w:rPr>
          <w:rFonts w:hint="eastAsia" w:ascii="宋体" w:hAnsi="宋体" w:cs="宋体"/>
          <w:b/>
          <w:bCs/>
          <w:color w:val="auto"/>
          <w:sz w:val="32"/>
          <w:szCs w:val="32"/>
          <w:highlight w:val="none"/>
          <w:u w:val="single"/>
        </w:rPr>
        <w:t>          </w:t>
      </w:r>
    </w:p>
    <w:p w14:paraId="0915DEAD">
      <w:pPr>
        <w:widowControl/>
        <w:shd w:val="clear" w:color="auto" w:fill="FFFFFF"/>
        <w:spacing w:line="360" w:lineRule="auto"/>
        <w:ind w:firstLine="1918"/>
        <w:rPr>
          <w:rFonts w:ascii="宋体" w:hAnsi="宋体" w:cs="宋体"/>
          <w:color w:val="auto"/>
          <w:sz w:val="32"/>
          <w:szCs w:val="32"/>
          <w:highlight w:val="none"/>
        </w:rPr>
      </w:pPr>
      <w:r>
        <w:rPr>
          <w:rFonts w:hint="eastAsia" w:ascii="宋体" w:hAnsi="宋体" w:cs="宋体"/>
          <w:b/>
          <w:bCs/>
          <w:color w:val="auto"/>
          <w:sz w:val="32"/>
          <w:szCs w:val="32"/>
          <w:highlight w:val="none"/>
        </w:rPr>
        <w:t>使用单位 ：</w:t>
      </w:r>
      <w:r>
        <w:rPr>
          <w:rFonts w:hint="eastAsia" w:ascii="宋体" w:hAnsi="宋体" w:cs="宋体"/>
          <w:b/>
          <w:bCs/>
          <w:color w:val="auto"/>
          <w:sz w:val="32"/>
          <w:szCs w:val="32"/>
          <w:highlight w:val="none"/>
          <w:u w:val="single"/>
        </w:rPr>
        <w:t>          </w:t>
      </w:r>
    </w:p>
    <w:p w14:paraId="3692103F">
      <w:pPr>
        <w:widowControl/>
        <w:shd w:val="clear" w:color="auto" w:fill="FFFFFF"/>
        <w:spacing w:line="360" w:lineRule="auto"/>
        <w:ind w:firstLine="1916"/>
        <w:rPr>
          <w:rFonts w:ascii="宋体" w:hAnsi="宋体" w:cs="宋体"/>
          <w:color w:val="auto"/>
          <w:sz w:val="32"/>
          <w:szCs w:val="32"/>
          <w:highlight w:val="none"/>
        </w:rPr>
      </w:pPr>
      <w:r>
        <w:rPr>
          <w:rFonts w:hint="eastAsia" w:ascii="宋体" w:hAnsi="宋体" w:cs="宋体"/>
          <w:b/>
          <w:bCs/>
          <w:color w:val="auto"/>
          <w:sz w:val="32"/>
          <w:szCs w:val="32"/>
          <w:highlight w:val="none"/>
        </w:rPr>
        <w:t>供货单位 ：</w:t>
      </w:r>
      <w:r>
        <w:rPr>
          <w:rFonts w:hint="eastAsia" w:ascii="宋体" w:hAnsi="宋体" w:cs="宋体"/>
          <w:b/>
          <w:bCs/>
          <w:color w:val="auto"/>
          <w:sz w:val="32"/>
          <w:szCs w:val="32"/>
          <w:highlight w:val="none"/>
          <w:u w:val="single"/>
        </w:rPr>
        <w:t>          </w:t>
      </w:r>
    </w:p>
    <w:p w14:paraId="16CA6E53">
      <w:pPr>
        <w:widowControl/>
        <w:shd w:val="clear" w:color="auto" w:fill="FFFFFF"/>
        <w:spacing w:line="360" w:lineRule="auto"/>
        <w:ind w:firstLine="1916"/>
        <w:rPr>
          <w:rFonts w:ascii="宋体" w:hAnsi="宋体" w:cs="宋体"/>
          <w:color w:val="auto"/>
          <w:sz w:val="32"/>
          <w:szCs w:val="32"/>
          <w:highlight w:val="none"/>
        </w:rPr>
      </w:pPr>
      <w:r>
        <w:rPr>
          <w:rFonts w:hint="eastAsia" w:ascii="宋体" w:hAnsi="宋体" w:cs="宋体"/>
          <w:b/>
          <w:bCs/>
          <w:color w:val="auto"/>
          <w:sz w:val="32"/>
          <w:szCs w:val="32"/>
          <w:highlight w:val="none"/>
        </w:rPr>
        <w:t>签订日期 ：</w:t>
      </w:r>
      <w:r>
        <w:rPr>
          <w:rFonts w:hint="eastAsia" w:ascii="宋体" w:hAnsi="宋体" w:cs="宋体"/>
          <w:b/>
          <w:bCs/>
          <w:color w:val="auto"/>
          <w:sz w:val="32"/>
          <w:szCs w:val="32"/>
          <w:highlight w:val="none"/>
          <w:u w:val="single"/>
        </w:rPr>
        <w:t>          </w:t>
      </w:r>
    </w:p>
    <w:p w14:paraId="07E9A292">
      <w:pPr>
        <w:widowControl/>
        <w:shd w:val="clear" w:color="auto" w:fill="FFFFFF"/>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w:t>
      </w:r>
      <w:r>
        <w:rPr>
          <w:rFonts w:hint="eastAsia" w:ascii="宋体" w:hAnsi="宋体" w:cs="宋体"/>
          <w:b/>
          <w:bCs/>
          <w:color w:val="auto"/>
          <w:sz w:val="32"/>
          <w:szCs w:val="32"/>
          <w:highlight w:val="none"/>
        </w:rPr>
        <w:t>   </w:t>
      </w:r>
    </w:p>
    <w:p w14:paraId="410BB282">
      <w:pPr>
        <w:widowControl/>
        <w:shd w:val="clear" w:color="auto" w:fill="FFFFFF"/>
        <w:spacing w:line="360" w:lineRule="auto"/>
        <w:ind w:firstLine="2984"/>
        <w:rPr>
          <w:rFonts w:ascii="宋体" w:hAnsi="宋体" w:cs="宋体"/>
          <w:color w:val="auto"/>
          <w:sz w:val="32"/>
          <w:szCs w:val="32"/>
          <w:highlight w:val="none"/>
        </w:rPr>
      </w:pPr>
      <w:r>
        <w:rPr>
          <w:rFonts w:hint="eastAsia" w:ascii="宋体" w:hAnsi="宋体" w:cs="宋体"/>
          <w:b/>
          <w:bCs/>
          <w:color w:val="auto"/>
          <w:sz w:val="32"/>
          <w:szCs w:val="32"/>
          <w:highlight w:val="none"/>
        </w:rPr>
        <w:t> </w:t>
      </w:r>
    </w:p>
    <w:p w14:paraId="01C3CAB1">
      <w:pPr>
        <w:widowControl/>
        <w:shd w:val="clear" w:color="auto" w:fill="FFFFFF"/>
        <w:spacing w:line="360" w:lineRule="auto"/>
        <w:rPr>
          <w:rFonts w:ascii="宋体" w:hAnsi="宋体" w:cs="宋体"/>
          <w:color w:val="auto"/>
          <w:sz w:val="32"/>
          <w:szCs w:val="32"/>
          <w:highlight w:val="none"/>
        </w:rPr>
      </w:pPr>
    </w:p>
    <w:p w14:paraId="50B91956">
      <w:pPr>
        <w:widowControl/>
        <w:shd w:val="clear" w:color="auto" w:fill="FFFFFF"/>
        <w:spacing w:line="360" w:lineRule="auto"/>
        <w:jc w:val="center"/>
        <w:rPr>
          <w:rFonts w:ascii="宋体" w:hAnsi="宋体" w:cs="宋体"/>
          <w:color w:val="auto"/>
          <w:sz w:val="32"/>
          <w:szCs w:val="32"/>
          <w:highlight w:val="none"/>
        </w:rPr>
      </w:pPr>
      <w:r>
        <w:rPr>
          <w:rFonts w:hint="eastAsia" w:ascii="宋体" w:hAnsi="宋体" w:cs="宋体"/>
          <w:b/>
          <w:bCs/>
          <w:color w:val="auto"/>
          <w:sz w:val="32"/>
          <w:szCs w:val="32"/>
          <w:highlight w:val="none"/>
        </w:rPr>
        <w:t>南京市工商行政管理局</w:t>
      </w:r>
    </w:p>
    <w:p w14:paraId="56890103">
      <w:pPr>
        <w:widowControl/>
        <w:shd w:val="clear" w:color="auto" w:fill="FFFFFF"/>
        <w:spacing w:line="360" w:lineRule="auto"/>
        <w:jc w:val="center"/>
        <w:rPr>
          <w:rFonts w:ascii="宋体" w:hAnsi="宋体" w:cs="宋体"/>
          <w:color w:val="auto"/>
          <w:sz w:val="32"/>
          <w:szCs w:val="32"/>
          <w:highlight w:val="none"/>
        </w:rPr>
      </w:pPr>
      <w:r>
        <w:rPr>
          <w:rFonts w:hint="eastAsia" w:ascii="宋体" w:hAnsi="宋体" w:cs="宋体"/>
          <w:b/>
          <w:bCs/>
          <w:color w:val="auto"/>
          <w:sz w:val="32"/>
          <w:szCs w:val="32"/>
          <w:highlight w:val="none"/>
        </w:rPr>
        <w:t>南 京 市 财 政 局 监 制</w:t>
      </w:r>
    </w:p>
    <w:p w14:paraId="362F8F0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highlight w:val="none"/>
        </w:rPr>
        <w:br w:type="page" w:clear="all"/>
      </w:r>
      <w:bookmarkEnd w:id="12"/>
      <w:bookmarkEnd w:id="13"/>
      <w:bookmarkEnd w:id="14"/>
      <w:r>
        <w:rPr>
          <w:rFonts w:hint="eastAsia" w:asciiTheme="majorEastAsia" w:hAnsiTheme="majorEastAsia" w:eastAsiaTheme="majorEastAsia" w:cstheme="majorEastAsia"/>
          <w:color w:val="auto"/>
          <w:sz w:val="24"/>
          <w:szCs w:val="24"/>
          <w:highlight w:val="none"/>
        </w:rPr>
        <w:t>合同编号：</w:t>
      </w:r>
    </w:p>
    <w:p w14:paraId="38DAB3F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政府采购计划号：</w:t>
      </w:r>
    </w:p>
    <w:p w14:paraId="6E3B1538">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根据《中华人民共和国政府采购法》、《中华人民共和国民法典》等法律法规的规定，甲乙双方按照中标结果签订本合同。</w:t>
      </w:r>
    </w:p>
    <w:p w14:paraId="48601D2A">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第一条合同标的</w:t>
      </w:r>
      <w:r>
        <w:rPr>
          <w:rFonts w:hint="eastAsia" w:asciiTheme="majorEastAsia" w:hAnsiTheme="majorEastAsia" w:eastAsiaTheme="majorEastAsia" w:cstheme="majorEastAsia"/>
          <w:color w:val="auto"/>
          <w:sz w:val="24"/>
          <w:szCs w:val="24"/>
          <w:highlight w:val="none"/>
        </w:rPr>
        <w:t> </w:t>
      </w:r>
    </w:p>
    <w:p w14:paraId="067F891F">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乙方根据甲方要求提供下列服务：</w:t>
      </w:r>
      <w:r>
        <w:rPr>
          <w:rFonts w:hint="eastAsia" w:asciiTheme="majorEastAsia" w:hAnsiTheme="majorEastAsia" w:eastAsiaTheme="majorEastAsia" w:cstheme="majorEastAsia"/>
          <w:b/>
          <w:color w:val="auto"/>
          <w:sz w:val="24"/>
          <w:szCs w:val="24"/>
          <w:highlight w:val="none"/>
          <w:u w:val="single"/>
        </w:rPr>
        <w:t>202</w:t>
      </w:r>
      <w:r>
        <w:rPr>
          <w:rFonts w:hint="eastAsia" w:asciiTheme="majorEastAsia" w:hAnsiTheme="majorEastAsia" w:eastAsiaTheme="majorEastAsia" w:cstheme="majorEastAsia"/>
          <w:b/>
          <w:color w:val="auto"/>
          <w:sz w:val="24"/>
          <w:szCs w:val="24"/>
          <w:highlight w:val="none"/>
          <w:u w:val="single"/>
          <w:lang w:val="en-US" w:eastAsia="zh-CN"/>
        </w:rPr>
        <w:t>6</w:t>
      </w:r>
      <w:r>
        <w:rPr>
          <w:rFonts w:hint="eastAsia" w:asciiTheme="majorEastAsia" w:hAnsiTheme="majorEastAsia" w:eastAsiaTheme="majorEastAsia" w:cstheme="majorEastAsia"/>
          <w:b/>
          <w:color w:val="auto"/>
          <w:sz w:val="24"/>
          <w:szCs w:val="24"/>
          <w:highlight w:val="none"/>
          <w:u w:val="single"/>
        </w:rPr>
        <w:t>年南京市城市隧道土建结构定期检测项目</w:t>
      </w:r>
      <w:r>
        <w:rPr>
          <w:rFonts w:hint="eastAsia" w:asciiTheme="majorEastAsia" w:hAnsiTheme="majorEastAsia" w:eastAsiaTheme="majorEastAsia" w:cstheme="majorEastAsia"/>
          <w:color w:val="auto"/>
          <w:sz w:val="24"/>
          <w:szCs w:val="24"/>
          <w:highlight w:val="none"/>
        </w:rPr>
        <w:t>服务内容详见招标文件及乙方投标文件等。</w:t>
      </w:r>
    </w:p>
    <w:p w14:paraId="36EA4DE7">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第二条合同总价款</w:t>
      </w:r>
      <w:r>
        <w:rPr>
          <w:rFonts w:hint="eastAsia" w:asciiTheme="majorEastAsia" w:hAnsiTheme="majorEastAsia" w:eastAsiaTheme="majorEastAsia" w:cstheme="majorEastAsia"/>
          <w:color w:val="auto"/>
          <w:sz w:val="24"/>
          <w:szCs w:val="24"/>
          <w:highlight w:val="none"/>
        </w:rPr>
        <w:t> </w:t>
      </w:r>
    </w:p>
    <w:p w14:paraId="57DE07A8">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本合同项下服务总价款为___________（大写）人民币。</w:t>
      </w:r>
    </w:p>
    <w:p w14:paraId="02060142">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甲方就本合同不再向乙方支付合同总价款之外的任何其他款项。</w:t>
      </w:r>
    </w:p>
    <w:p w14:paraId="28446220">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第三条组成本合同的有关文件</w:t>
      </w:r>
    </w:p>
    <w:p w14:paraId="3768A2B4">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招标文件和有关附件是本合同不可分割的组成部分，与本合同具有同等法律效力。</w:t>
      </w:r>
    </w:p>
    <w:p w14:paraId="17630185">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第四条权利保证</w:t>
      </w:r>
    </w:p>
    <w:p w14:paraId="4F87CCDD">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乙方应保证为甲方提供货物和服务任何一部分时不受第三方提出侵犯其专利权、版权、商标权或其他权利的起诉。一旦出现侵权，乙方应承担全部责任。</w:t>
      </w:r>
    </w:p>
    <w:p w14:paraId="4D40CA63">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第五条质量保证</w:t>
      </w:r>
    </w:p>
    <w:p w14:paraId="2C6CFA1D">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乙方提供的服务必须全部达到采购文件各项要求，国家或行业有规定的，还要符合相应规定。</w:t>
      </w:r>
    </w:p>
    <w:p w14:paraId="1128D2B1">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第六条交付使用和验收</w:t>
      </w:r>
    </w:p>
    <w:p w14:paraId="6ACF83AC">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1、乙方应当在合同签订后XX天内完成采购文件规定的项目并交付甲方使用。采购文件有约定的，从其约定。</w:t>
      </w:r>
    </w:p>
    <w:p w14:paraId="4C93D58D">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2、甲方自行组织或视情邀请相关专家或国家认可的质量检测机构参加验收，乙方提供的服务不符合采购文件和合同规定的，甲方有权拒收，并承担验收费用等。</w:t>
      </w:r>
    </w:p>
    <w:p w14:paraId="77DFF60D">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第七条履约保证金</w:t>
      </w:r>
    </w:p>
    <w:p w14:paraId="1EE9D407">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第八条合同款支付</w:t>
      </w:r>
    </w:p>
    <w:p w14:paraId="63DDCB1E">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1、本合同项下所有款项均以人民币支付。</w:t>
      </w:r>
    </w:p>
    <w:p w14:paraId="080C2BB7">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2、本合同项下的采购资金由甲方自行支付，乙方向甲方开具发票。</w:t>
      </w:r>
    </w:p>
    <w:p w14:paraId="1AAAC61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3、付款条件：</w:t>
      </w:r>
    </w:p>
    <w:p w14:paraId="2D17C3C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（1）甲方应当在合同签订后30个工作日内，向乙方支付合同总价的30%；</w:t>
      </w:r>
    </w:p>
    <w:p w14:paraId="7AC16DA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（2）甲方应当在乙方形成隧道检测报告最终成果并经验收合格后30个工作日内，向乙方支付至结算总价的100%。</w:t>
      </w:r>
    </w:p>
    <w:p w14:paraId="725EFE28">
      <w:pPr>
        <w:pStyle w:val="16"/>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（3）最终结算金额以财政资金实际下达情况为准。</w:t>
      </w:r>
    </w:p>
    <w:p w14:paraId="6EF732AE">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第九条违约责任</w:t>
      </w:r>
    </w:p>
    <w:p w14:paraId="50451D10">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１、甲方无正当理由拒绝验收或拒付款的，甲方向乙方偿付合同总价的5%违约金。</w:t>
      </w:r>
    </w:p>
    <w:p w14:paraId="45FCC0DB">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２、甲方无正当理由未按合同规定的期限向乙方支付合同款的（有正当拒付理由如财政资金拨付延迟等情况除外），每逾期1天甲方向乙方偿付欠款总额的5‰滞纳金，但累计滞纳金总额不超过欠款总额的5%。</w:t>
      </w:r>
    </w:p>
    <w:p w14:paraId="6D477841">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３、如乙方不能按期交付服务的，乙方应向甲方支付合同总价5%的违约金。</w:t>
      </w:r>
    </w:p>
    <w:p w14:paraId="07D210C8">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４、乙方逾期交付的，每逾期1天，乙方向甲方偿付合同总额的5‰的滞纳金。如乙方逾期交付达10天，甲方有权解除合同，解除合同的通知自到达乙方时生效。乙方逾期交付的，今后参加政府采购信誉将受到影响。</w:t>
      </w:r>
    </w:p>
    <w:p w14:paraId="4C664840">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5、乙方在承担违约责任后，仍应继续履行合同规定的义务（甲方解除合同的除外）。甲方未能及时追究乙方的任何一项违约责任并不表明甲方放弃追究乙方该项或其他违约责任。</w:t>
      </w:r>
    </w:p>
    <w:p w14:paraId="4DBE09FA">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6、乙方虚假承诺，或经权威部门检测提供的货物和服务不能满足采购文件要求，或是由于乙方的过错造成合同无法继续履行的，乙方应向甲方支付不少于合同总价30%赔偿金。</w:t>
      </w:r>
    </w:p>
    <w:p w14:paraId="5F72C134">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第十条合同的变更和终止</w:t>
      </w:r>
    </w:p>
    <w:p w14:paraId="5A7E2FAA">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1、除《政府采购法》第50条第二款规定的情形外，本合同一经签订，甲乙双方不得擅自变更、中止或终止合同。</w:t>
      </w:r>
    </w:p>
    <w:p w14:paraId="17AC87EC">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除发生法律规定的不能预见、不能避免并不能克服的客观情况外，甲乙双方不得放弃或拒绝履行合同。乙方放弃或拒绝履行合同，保证金不予退还，情节严重的，由财政部门将其列入不良行为记录名单，在一年内禁止参加本采购人组织的政府采购活动，并予以通报。</w:t>
      </w:r>
    </w:p>
    <w:p w14:paraId="5100A571">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第十一条合同的转让</w:t>
      </w:r>
    </w:p>
    <w:p w14:paraId="4A893A62">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乙方不得擅自部分或全部转让其应履行的合同义务。</w:t>
      </w:r>
    </w:p>
    <w:p w14:paraId="39B5B96B">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第十二条争议的解决</w:t>
      </w:r>
    </w:p>
    <w:p w14:paraId="195C662A">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1、因履行本合同引起的或与本合同有关的争议，甲、乙双方应首先通过友好协商解决，如果协商不能解决争议，则采取以下第（1）种方式解决争议：</w:t>
      </w:r>
    </w:p>
    <w:p w14:paraId="3C2D8D41">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（1）向甲方所在地有管辖权的人民法院提起诉讼；</w:t>
      </w:r>
    </w:p>
    <w:p w14:paraId="5E87ADDA">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（2）向南京仲裁委员会按其仲裁规则申请仲裁。</w:t>
      </w:r>
    </w:p>
    <w:p w14:paraId="0B96EB97">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3、在仲裁期间，本合同应继续履行。</w:t>
      </w:r>
    </w:p>
    <w:p w14:paraId="352EF553">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第十三条诚实信用</w:t>
      </w:r>
    </w:p>
    <w:p w14:paraId="23584C9F">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乙方应诚实信用，严格按照采购文件要求和承诺履行合同，不向甲方进行商业贿赂或者提供不正当利益。</w:t>
      </w:r>
    </w:p>
    <w:p w14:paraId="1C560F7A">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第十四条合同生效及其他</w:t>
      </w:r>
    </w:p>
    <w:p w14:paraId="1D925DCE">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1、本合同自签订之日起生效。</w:t>
      </w:r>
    </w:p>
    <w:p w14:paraId="2531656D">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2、本合同一式</w:t>
      </w:r>
      <w:r>
        <w:rPr>
          <w:rFonts w:hint="eastAsia" w:asciiTheme="majorEastAsia" w:hAnsiTheme="majorEastAsia" w:eastAsiaTheme="majorEastAsia" w:cstheme="majorEastAsia"/>
          <w:color w:val="auto"/>
          <w:sz w:val="24"/>
          <w:szCs w:val="24"/>
          <w:highlight w:val="none"/>
          <w:lang w:val="en-US" w:eastAsia="zh-CN"/>
        </w:rPr>
        <w:t>陆</w:t>
      </w:r>
      <w:r>
        <w:rPr>
          <w:rFonts w:hint="eastAsia" w:asciiTheme="majorEastAsia" w:hAnsiTheme="majorEastAsia" w:eastAsiaTheme="majorEastAsia" w:cstheme="majorEastAsia"/>
          <w:color w:val="auto"/>
          <w:sz w:val="24"/>
          <w:szCs w:val="24"/>
          <w:highlight w:val="none"/>
        </w:rPr>
        <w:t>份，甲乙双方各执叁份。</w:t>
      </w:r>
    </w:p>
    <w:p w14:paraId="1B39664E">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3、本合同应按照中华人民共和国的现行法律进行解释。</w:t>
      </w:r>
    </w:p>
    <w:p w14:paraId="4B8500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p>
    <w:tbl>
      <w:tblPr>
        <w:tblStyle w:val="36"/>
        <w:tblW w:w="9286" w:type="dxa"/>
        <w:tblInd w:w="0" w:type="dxa"/>
        <w:tblLayout w:type="fixed"/>
        <w:tblCellMar>
          <w:top w:w="0" w:type="dxa"/>
          <w:left w:w="108" w:type="dxa"/>
          <w:bottom w:w="0" w:type="dxa"/>
          <w:right w:w="108" w:type="dxa"/>
        </w:tblCellMar>
      </w:tblPr>
      <w:tblGrid>
        <w:gridCol w:w="4643"/>
        <w:gridCol w:w="4643"/>
      </w:tblGrid>
      <w:tr w14:paraId="4C18CCBA">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noWrap/>
            <w:vAlign w:val="center"/>
          </w:tcPr>
          <w:p w14:paraId="0CAEB55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甲方（委托方）：（盖章）</w:t>
            </w:r>
          </w:p>
        </w:tc>
        <w:tc>
          <w:tcPr>
            <w:tcW w:w="4643" w:type="dxa"/>
            <w:tcBorders>
              <w:top w:val="nil"/>
              <w:left w:val="nil"/>
              <w:bottom w:val="nil"/>
              <w:right w:val="nil"/>
            </w:tcBorders>
            <w:noWrap/>
            <w:vAlign w:val="center"/>
          </w:tcPr>
          <w:p w14:paraId="6FD68E2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乙方：（盖章）</w:t>
            </w:r>
          </w:p>
        </w:tc>
      </w:tr>
      <w:tr w14:paraId="7BB3B95C">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noWrap/>
            <w:vAlign w:val="center"/>
          </w:tcPr>
          <w:p w14:paraId="539DA5D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法定或委托代表人：</w:t>
            </w:r>
          </w:p>
        </w:tc>
        <w:tc>
          <w:tcPr>
            <w:tcW w:w="4643" w:type="dxa"/>
            <w:tcBorders>
              <w:top w:val="nil"/>
              <w:left w:val="nil"/>
              <w:bottom w:val="nil"/>
              <w:right w:val="nil"/>
            </w:tcBorders>
            <w:noWrap/>
            <w:vAlign w:val="center"/>
          </w:tcPr>
          <w:p w14:paraId="0E56C09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法定或委托代表人：</w:t>
            </w:r>
          </w:p>
        </w:tc>
      </w:tr>
      <w:tr w14:paraId="2CF3C570">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noWrap/>
            <w:vAlign w:val="center"/>
          </w:tcPr>
          <w:p w14:paraId="2213A32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电话：</w:t>
            </w:r>
          </w:p>
        </w:tc>
        <w:tc>
          <w:tcPr>
            <w:tcW w:w="4643" w:type="dxa"/>
            <w:tcBorders>
              <w:top w:val="nil"/>
              <w:left w:val="nil"/>
              <w:bottom w:val="nil"/>
              <w:right w:val="nil"/>
            </w:tcBorders>
            <w:noWrap/>
            <w:vAlign w:val="center"/>
          </w:tcPr>
          <w:p w14:paraId="22ABC1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电话：</w:t>
            </w:r>
          </w:p>
        </w:tc>
      </w:tr>
      <w:tr w14:paraId="2505E472">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noWrap/>
            <w:vAlign w:val="center"/>
          </w:tcPr>
          <w:p w14:paraId="51746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开户银行：</w:t>
            </w:r>
          </w:p>
        </w:tc>
        <w:tc>
          <w:tcPr>
            <w:tcW w:w="4643" w:type="dxa"/>
            <w:tcBorders>
              <w:top w:val="nil"/>
              <w:left w:val="nil"/>
              <w:bottom w:val="nil"/>
              <w:right w:val="nil"/>
            </w:tcBorders>
            <w:noWrap/>
            <w:vAlign w:val="center"/>
          </w:tcPr>
          <w:p w14:paraId="642A42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开户银行：</w:t>
            </w:r>
          </w:p>
        </w:tc>
      </w:tr>
      <w:tr w14:paraId="52B587BF">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noWrap/>
            <w:vAlign w:val="center"/>
          </w:tcPr>
          <w:p w14:paraId="5453A32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账号：</w:t>
            </w:r>
          </w:p>
        </w:tc>
        <w:tc>
          <w:tcPr>
            <w:tcW w:w="4643" w:type="dxa"/>
            <w:tcBorders>
              <w:top w:val="nil"/>
              <w:left w:val="nil"/>
              <w:bottom w:val="nil"/>
              <w:right w:val="nil"/>
            </w:tcBorders>
            <w:noWrap/>
            <w:vAlign w:val="center"/>
          </w:tcPr>
          <w:p w14:paraId="2910AE0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账号：</w:t>
            </w:r>
          </w:p>
        </w:tc>
      </w:tr>
      <w:tr w14:paraId="102AEFB4">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noWrap/>
            <w:vAlign w:val="center"/>
          </w:tcPr>
          <w:p w14:paraId="6E41810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日</w:t>
            </w:r>
          </w:p>
        </w:tc>
        <w:tc>
          <w:tcPr>
            <w:tcW w:w="4643" w:type="dxa"/>
            <w:tcBorders>
              <w:top w:val="nil"/>
              <w:left w:val="nil"/>
              <w:bottom w:val="nil"/>
              <w:right w:val="nil"/>
            </w:tcBorders>
            <w:noWrap/>
            <w:vAlign w:val="center"/>
          </w:tcPr>
          <w:p w14:paraId="5768121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日</w:t>
            </w:r>
          </w:p>
        </w:tc>
      </w:tr>
    </w:tbl>
    <w:p w14:paraId="67B9516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br w:type="page" w:clear="all"/>
      </w:r>
    </w:p>
    <w:p w14:paraId="4D993A72">
      <w:pPr>
        <w:pStyle w:val="53"/>
        <w:ind w:firstLine="0" w:firstLineChars="0"/>
        <w:jc w:val="center"/>
        <w:rPr>
          <w:rFonts w:ascii="黑体" w:eastAsia="黑体"/>
          <w:bCs/>
          <w:color w:val="auto"/>
          <w:sz w:val="36"/>
          <w:szCs w:val="36"/>
          <w:highlight w:val="none"/>
          <w:lang w:val="zh-CN"/>
        </w:rPr>
      </w:pPr>
      <w:r>
        <w:rPr>
          <w:rFonts w:hint="eastAsia" w:ascii="黑体" w:eastAsia="黑体"/>
          <w:bCs/>
          <w:color w:val="auto"/>
          <w:sz w:val="36"/>
          <w:szCs w:val="36"/>
          <w:highlight w:val="none"/>
          <w:lang w:val="zh-CN"/>
        </w:rPr>
        <w:t xml:space="preserve">第六章  </w:t>
      </w:r>
      <w:r>
        <w:rPr>
          <w:rFonts w:ascii="黑体" w:eastAsia="黑体"/>
          <w:bCs/>
          <w:color w:val="auto"/>
          <w:sz w:val="36"/>
          <w:szCs w:val="36"/>
          <w:highlight w:val="none"/>
          <w:lang w:val="zh-CN"/>
        </w:rPr>
        <w:t>投标文件格式</w:t>
      </w:r>
      <w:r>
        <w:rPr>
          <w:rFonts w:hint="eastAsia" w:ascii="黑体" w:eastAsia="黑体"/>
          <w:bCs/>
          <w:color w:val="auto"/>
          <w:sz w:val="36"/>
          <w:szCs w:val="36"/>
          <w:highlight w:val="none"/>
          <w:lang w:val="zh-CN"/>
        </w:rPr>
        <w:t>及附件</w:t>
      </w:r>
    </w:p>
    <w:p w14:paraId="30ED88EC">
      <w:pPr>
        <w:autoSpaceDE w:val="0"/>
        <w:autoSpaceDN w:val="0"/>
        <w:adjustRightInd w:val="0"/>
        <w:spacing w:line="240" w:lineRule="atLeast"/>
        <w:ind w:left="560"/>
        <w:jc w:val="center"/>
        <w:outlineLvl w:val="0"/>
        <w:rPr>
          <w:rFonts w:ascii="黑体" w:eastAsia="黑体"/>
          <w:b/>
          <w:bCs/>
          <w:color w:val="auto"/>
          <w:sz w:val="36"/>
          <w:szCs w:val="36"/>
          <w:highlight w:val="none"/>
          <w:lang w:val="zh-CN"/>
        </w:rPr>
      </w:pPr>
    </w:p>
    <w:p w14:paraId="69434D54">
      <w:pPr>
        <w:jc w:val="center"/>
        <w:rPr>
          <w:rFonts w:ascii="宋体" w:hAnsi="宋体"/>
          <w:b/>
          <w:color w:val="auto"/>
          <w:sz w:val="72"/>
          <w:highlight w:val="none"/>
        </w:rPr>
      </w:pPr>
      <w:r>
        <w:rPr>
          <w:rFonts w:hint="eastAsia" w:ascii="宋体" w:hAnsi="宋体"/>
          <w:b/>
          <w:color w:val="auto"/>
          <w:sz w:val="72"/>
          <w:highlight w:val="none"/>
        </w:rPr>
        <w:t>投  标  文  件</w:t>
      </w:r>
    </w:p>
    <w:p w14:paraId="3B9FA694">
      <w:pPr>
        <w:ind w:firstLine="3708" w:firstLineChars="1026"/>
        <w:rPr>
          <w:rFonts w:ascii="宋体" w:hAnsi="宋体"/>
          <w:b/>
          <w:color w:val="auto"/>
          <w:sz w:val="36"/>
          <w:highlight w:val="none"/>
        </w:rPr>
      </w:pPr>
    </w:p>
    <w:p w14:paraId="26DFC20A">
      <w:pPr>
        <w:jc w:val="center"/>
        <w:rPr>
          <w:rFonts w:ascii="宋体" w:hAnsi="宋体"/>
          <w:b/>
          <w:color w:val="auto"/>
          <w:sz w:val="72"/>
          <w:highlight w:val="none"/>
        </w:rPr>
      </w:pPr>
    </w:p>
    <w:p w14:paraId="1F900263">
      <w:pPr>
        <w:jc w:val="center"/>
        <w:rPr>
          <w:rFonts w:ascii="宋体" w:hAnsi="宋体"/>
          <w:b/>
          <w:color w:val="auto"/>
          <w:sz w:val="36"/>
          <w:highlight w:val="none"/>
        </w:rPr>
      </w:pPr>
    </w:p>
    <w:p w14:paraId="4486C386">
      <w:pPr>
        <w:jc w:val="center"/>
        <w:rPr>
          <w:rFonts w:ascii="宋体" w:hAnsi="宋体"/>
          <w:b/>
          <w:color w:val="auto"/>
          <w:sz w:val="36"/>
          <w:highlight w:val="none"/>
        </w:rPr>
      </w:pPr>
    </w:p>
    <w:p w14:paraId="42DA8F91">
      <w:pPr>
        <w:jc w:val="center"/>
        <w:rPr>
          <w:rFonts w:ascii="宋体" w:hAnsi="宋体"/>
          <w:b/>
          <w:color w:val="auto"/>
          <w:sz w:val="36"/>
          <w:highlight w:val="none"/>
        </w:rPr>
      </w:pPr>
    </w:p>
    <w:p w14:paraId="20B009A2">
      <w:pPr>
        <w:ind w:firstLine="1265" w:firstLineChars="350"/>
        <w:rPr>
          <w:rFonts w:ascii="宋体" w:hAnsi="宋体"/>
          <w:b/>
          <w:color w:val="auto"/>
          <w:sz w:val="36"/>
          <w:highlight w:val="none"/>
        </w:rPr>
      </w:pPr>
      <w:r>
        <w:rPr>
          <w:rFonts w:hint="eastAsia" w:ascii="宋体" w:hAnsi="宋体"/>
          <w:b/>
          <w:color w:val="auto"/>
          <w:sz w:val="36"/>
          <w:highlight w:val="none"/>
        </w:rPr>
        <w:t xml:space="preserve">项 目 编号： </w:t>
      </w:r>
    </w:p>
    <w:p w14:paraId="41B50D42">
      <w:pPr>
        <w:ind w:firstLine="1265" w:firstLineChars="350"/>
        <w:rPr>
          <w:rFonts w:ascii="宋体" w:hAnsi="宋体"/>
          <w:b/>
          <w:color w:val="auto"/>
          <w:sz w:val="36"/>
          <w:highlight w:val="none"/>
          <w:u w:val="single"/>
        </w:rPr>
      </w:pPr>
      <w:r>
        <w:rPr>
          <w:rFonts w:hint="eastAsia" w:ascii="宋体" w:hAnsi="宋体"/>
          <w:b/>
          <w:color w:val="auto"/>
          <w:sz w:val="36"/>
          <w:highlight w:val="none"/>
        </w:rPr>
        <w:t xml:space="preserve">项 目 名称： </w:t>
      </w:r>
    </w:p>
    <w:p w14:paraId="342F6F38">
      <w:pPr>
        <w:rPr>
          <w:rFonts w:ascii="宋体" w:hAnsi="宋体"/>
          <w:b/>
          <w:color w:val="auto"/>
          <w:sz w:val="36"/>
          <w:highlight w:val="none"/>
        </w:rPr>
      </w:pPr>
    </w:p>
    <w:p w14:paraId="301B5201">
      <w:pPr>
        <w:rPr>
          <w:rFonts w:ascii="宋体" w:hAnsi="宋体"/>
          <w:b/>
          <w:color w:val="auto"/>
          <w:sz w:val="36"/>
          <w:highlight w:val="none"/>
        </w:rPr>
      </w:pPr>
    </w:p>
    <w:p w14:paraId="272B525C">
      <w:pPr>
        <w:rPr>
          <w:rFonts w:ascii="宋体" w:hAnsi="宋体"/>
          <w:b/>
          <w:color w:val="auto"/>
          <w:sz w:val="36"/>
          <w:highlight w:val="none"/>
        </w:rPr>
      </w:pPr>
    </w:p>
    <w:p w14:paraId="42F5B327">
      <w:pPr>
        <w:rPr>
          <w:rFonts w:ascii="宋体" w:hAnsi="宋体"/>
          <w:b/>
          <w:color w:val="auto"/>
          <w:sz w:val="36"/>
          <w:highlight w:val="none"/>
        </w:rPr>
      </w:pPr>
    </w:p>
    <w:p w14:paraId="5E9402EC">
      <w:pPr>
        <w:rPr>
          <w:rFonts w:ascii="宋体" w:hAnsi="宋体"/>
          <w:b/>
          <w:color w:val="auto"/>
          <w:sz w:val="36"/>
          <w:highlight w:val="none"/>
        </w:rPr>
      </w:pPr>
    </w:p>
    <w:p w14:paraId="5597F0EF">
      <w:pPr>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eastAsia="zh-CN"/>
        </w:rPr>
        <w:t>供应商</w:t>
      </w:r>
      <w:r>
        <w:rPr>
          <w:rFonts w:hint="eastAsia" w:ascii="宋体" w:hAnsi="宋体"/>
          <w:b/>
          <w:color w:val="auto"/>
          <w:sz w:val="36"/>
          <w:highlight w:val="none"/>
        </w:rPr>
        <w:t>名称 ：</w:t>
      </w:r>
    </w:p>
    <w:p w14:paraId="3D8D0A03">
      <w:pPr>
        <w:rPr>
          <w:rFonts w:ascii="宋体" w:hAnsi="宋体"/>
          <w:b/>
          <w:color w:val="auto"/>
          <w:sz w:val="36"/>
          <w:highlight w:val="none"/>
        </w:rPr>
      </w:pPr>
      <w:r>
        <w:rPr>
          <w:rFonts w:hint="eastAsia" w:ascii="宋体" w:hAnsi="宋体"/>
          <w:b/>
          <w:color w:val="auto"/>
          <w:sz w:val="36"/>
          <w:highlight w:val="none"/>
        </w:rPr>
        <w:t xml:space="preserve">       日      期 ：</w:t>
      </w:r>
    </w:p>
    <w:p w14:paraId="3ABDBA15">
      <w:pPr>
        <w:pStyle w:val="52"/>
        <w:rPr>
          <w:color w:val="auto"/>
          <w:highlight w:val="none"/>
        </w:rPr>
      </w:pPr>
      <w:r>
        <w:rPr>
          <w:rFonts w:ascii="宋体" w:hAnsi="宋体"/>
          <w:b/>
          <w:bCs/>
          <w:color w:val="auto"/>
          <w:sz w:val="36"/>
          <w:highlight w:val="none"/>
        </w:rPr>
        <w:br w:type="page"/>
      </w:r>
    </w:p>
    <w:bookmarkEnd w:id="9"/>
    <w:bookmarkEnd w:id="10"/>
    <w:bookmarkEnd w:id="11"/>
    <w:p w14:paraId="0FC22F7D">
      <w:pPr>
        <w:jc w:val="center"/>
        <w:rPr>
          <w:rFonts w:hint="eastAsia" w:ascii="方正黑体_GBK" w:hAnsi="方正黑体_GBK" w:eastAsia="方正黑体_GBK" w:cs="方正黑体_GBK"/>
          <w:color w:val="auto"/>
          <w:sz w:val="32"/>
          <w:szCs w:val="32"/>
          <w:highlight w:val="none"/>
        </w:rPr>
      </w:pPr>
    </w:p>
    <w:p w14:paraId="1F48E943">
      <w:pPr>
        <w:jc w:val="center"/>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t>投标文件目录</w:t>
      </w:r>
    </w:p>
    <w:p w14:paraId="3E579C8C">
      <w:pPr>
        <w:jc w:val="center"/>
        <w:rPr>
          <w:rFonts w:hint="eastAsia" w:ascii="方正黑体_GBK" w:hAnsi="方正黑体_GBK" w:eastAsia="方正黑体_GBK" w:cs="方正黑体_GBK"/>
          <w:color w:val="auto"/>
          <w:sz w:val="32"/>
          <w:szCs w:val="32"/>
          <w:highlight w:val="none"/>
        </w:rPr>
      </w:pPr>
    </w:p>
    <w:p w14:paraId="06B75BCB">
      <w:pPr>
        <w:widowControl/>
        <w:spacing w:line="360" w:lineRule="auto"/>
        <w:ind w:firstLine="720"/>
        <w:jc w:val="left"/>
        <w:rPr>
          <w:rFonts w:hint="eastAsia" w:ascii="宋体" w:hAnsi="宋体" w:cs="宋体"/>
          <w:b/>
          <w:bCs/>
          <w:color w:val="auto"/>
          <w:sz w:val="28"/>
          <w:szCs w:val="28"/>
          <w:highlight w:val="none"/>
        </w:rPr>
      </w:pPr>
      <w:r>
        <w:rPr>
          <w:rFonts w:ascii="宋体" w:hAnsi="宋体" w:cs="宋体"/>
          <w:b/>
          <w:bCs/>
          <w:color w:val="auto"/>
          <w:sz w:val="24"/>
          <w:highlight w:val="none"/>
        </w:rPr>
        <w:t>（注：为方便评审，可在系统对应模块内进行响应，其他内容按本章格式在“投标文件格式”模块进行响应。标书制作工具中格式和内容与招标文件不一致的，以招标文件为准。</w:t>
      </w:r>
      <w:r>
        <w:rPr>
          <w:rFonts w:hint="eastAsia" w:ascii="宋体" w:hAnsi="宋体" w:cs="宋体"/>
          <w:b/>
          <w:bCs/>
          <w:color w:val="auto"/>
          <w:sz w:val="24"/>
          <w:highlight w:val="none"/>
        </w:rPr>
        <w:t>）</w:t>
      </w:r>
    </w:p>
    <w:p w14:paraId="1FA1556A">
      <w:pPr>
        <w:rPr>
          <w:rFonts w:hint="eastAsia"/>
          <w:color w:val="auto"/>
          <w:sz w:val="24"/>
          <w:szCs w:val="24"/>
          <w:highlight w:val="none"/>
        </w:rPr>
      </w:pPr>
      <w:r>
        <w:rPr>
          <w:rFonts w:hint="eastAsia"/>
          <w:color w:val="auto"/>
          <w:sz w:val="24"/>
          <w:szCs w:val="24"/>
          <w:highlight w:val="none"/>
        </w:rPr>
        <w:br w:type="page"/>
      </w:r>
    </w:p>
    <w:p w14:paraId="375F8FE0">
      <w:pPr>
        <w:pStyle w:val="196"/>
        <w:rPr>
          <w:color w:val="auto"/>
          <w:sz w:val="24"/>
          <w:szCs w:val="24"/>
          <w:highlight w:val="none"/>
        </w:rPr>
      </w:pPr>
      <w:r>
        <w:rPr>
          <w:rFonts w:hint="eastAsia"/>
          <w:color w:val="auto"/>
          <w:sz w:val="24"/>
          <w:szCs w:val="24"/>
          <w:highlight w:val="none"/>
        </w:rPr>
        <w:t>附件一：</w:t>
      </w:r>
      <w:r>
        <w:rPr>
          <w:rFonts w:hint="eastAsia" w:ascii="Calibri" w:hAnsi="Calibri"/>
          <w:color w:val="auto"/>
          <w:sz w:val="24"/>
          <w:szCs w:val="24"/>
          <w:highlight w:val="none"/>
        </w:rPr>
        <w:t>投标申请及声明格式</w:t>
      </w:r>
    </w:p>
    <w:p w14:paraId="7D50C2CB">
      <w:pPr>
        <w:spacing w:line="360" w:lineRule="auto"/>
        <w:jc w:val="center"/>
        <w:rPr>
          <w:b/>
          <w:bCs/>
          <w:color w:val="auto"/>
          <w:sz w:val="30"/>
          <w:szCs w:val="30"/>
          <w:highlight w:val="none"/>
        </w:rPr>
      </w:pPr>
      <w:r>
        <w:rPr>
          <w:rFonts w:hint="eastAsia"/>
          <w:b/>
          <w:bCs/>
          <w:color w:val="auto"/>
          <w:sz w:val="30"/>
          <w:szCs w:val="30"/>
          <w:highlight w:val="none"/>
        </w:rPr>
        <w:t>投标申请及声明</w:t>
      </w:r>
    </w:p>
    <w:p w14:paraId="4A4BD9BA">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b/>
          <w:bCs/>
          <w:color w:val="auto"/>
          <w:kern w:val="0"/>
          <w:sz w:val="24"/>
          <w:szCs w:val="24"/>
          <w:highlight w:val="none"/>
          <w:lang w:eastAsia="zh-CN"/>
        </w:rPr>
      </w:pPr>
      <w:r>
        <w:rPr>
          <w:rFonts w:hint="eastAsia" w:ascii="宋体" w:hAnsi="宋体"/>
          <w:b/>
          <w:bCs/>
          <w:color w:val="auto"/>
          <w:kern w:val="0"/>
          <w:sz w:val="24"/>
          <w:szCs w:val="24"/>
          <w:highlight w:val="none"/>
        </w:rPr>
        <w:t>致：</w:t>
      </w:r>
      <w:r>
        <w:rPr>
          <w:rFonts w:hint="eastAsia" w:ascii="宋体" w:hAnsi="宋体"/>
          <w:b/>
          <w:bCs/>
          <w:color w:val="auto"/>
          <w:kern w:val="0"/>
          <w:sz w:val="24"/>
          <w:szCs w:val="24"/>
          <w:highlight w:val="none"/>
          <w:lang w:eastAsia="zh-CN"/>
        </w:rPr>
        <w:t xml:space="preserve">  南京市城市道路管理中心</w:t>
      </w:r>
    </w:p>
    <w:p w14:paraId="480D722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根据贵方</w:t>
      </w:r>
      <w:r>
        <w:rPr>
          <w:rFonts w:hint="eastAsia" w:ascii="宋体" w:hAnsi="宋体"/>
          <w:color w:val="auto"/>
          <w:kern w:val="0"/>
          <w:sz w:val="24"/>
          <w:szCs w:val="24"/>
          <w:highlight w:val="none"/>
          <w:u w:val="single"/>
        </w:rPr>
        <w:t>           </w:t>
      </w:r>
      <w:r>
        <w:rPr>
          <w:rFonts w:hint="eastAsia" w:ascii="宋体" w:hAnsi="宋体"/>
          <w:bCs/>
          <w:color w:val="auto"/>
          <w:kern w:val="0"/>
          <w:sz w:val="24"/>
          <w:szCs w:val="24"/>
          <w:highlight w:val="none"/>
          <w:u w:val="single"/>
        </w:rPr>
        <w:t>（</w:t>
      </w:r>
      <w:r>
        <w:rPr>
          <w:rFonts w:hint="eastAsia" w:ascii="宋体" w:hAnsi="宋体"/>
          <w:color w:val="auto"/>
          <w:kern w:val="0"/>
          <w:sz w:val="24"/>
          <w:szCs w:val="24"/>
          <w:highlight w:val="none"/>
        </w:rPr>
        <w:t>项目名称）</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（项目编号）投标邀请，正式授权下述签字人</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u w:val="single"/>
          <w:lang w:eastAsia="zh-CN"/>
        </w:rPr>
        <w:t>（</w:t>
      </w:r>
      <w:r>
        <w:rPr>
          <w:rFonts w:hint="eastAsia" w:ascii="宋体" w:hAnsi="宋体"/>
          <w:color w:val="auto"/>
          <w:kern w:val="0"/>
          <w:sz w:val="24"/>
          <w:szCs w:val="24"/>
          <w:highlight w:val="none"/>
        </w:rPr>
        <w:t>姓名和职务</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rPr>
        <w:t>代表投标人</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（投标人名称），提交投标文件。</w:t>
      </w:r>
    </w:p>
    <w:p w14:paraId="40E306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color w:val="auto"/>
          <w:kern w:val="0"/>
          <w:sz w:val="24"/>
          <w:szCs w:val="24"/>
          <w:highlight w:val="none"/>
        </w:rPr>
      </w:pPr>
      <w:r>
        <w:rPr>
          <w:rFonts w:hint="eastAsia" w:ascii="宋体" w:hAnsi="宋体"/>
          <w:color w:val="auto"/>
          <w:kern w:val="0"/>
          <w:sz w:val="24"/>
          <w:szCs w:val="24"/>
          <w:highlight w:val="none"/>
        </w:rPr>
        <w:t>据此函，签字人兹宣布声明和承诺如下：</w:t>
      </w:r>
    </w:p>
    <w:p w14:paraId="12C849D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b w:val="0"/>
          <w:bCs w:val="0"/>
          <w:color w:val="auto"/>
          <w:kern w:val="0"/>
          <w:sz w:val="24"/>
          <w:szCs w:val="24"/>
          <w:highlight w:val="none"/>
        </w:rPr>
      </w:pPr>
      <w:r>
        <w:rPr>
          <w:rFonts w:hint="eastAsia" w:ascii="宋体" w:hAnsi="宋体"/>
          <w:b w:val="0"/>
          <w:bCs w:val="0"/>
          <w:color w:val="auto"/>
          <w:kern w:val="0"/>
          <w:sz w:val="24"/>
          <w:szCs w:val="24"/>
          <w:highlight w:val="none"/>
        </w:rPr>
        <w:t>1</w:t>
      </w:r>
      <w:r>
        <w:rPr>
          <w:rFonts w:hint="eastAsia" w:ascii="宋体" w:hAnsi="宋体"/>
          <w:b w:val="0"/>
          <w:bCs w:val="0"/>
          <w:color w:val="auto"/>
          <w:kern w:val="0"/>
          <w:sz w:val="24"/>
          <w:szCs w:val="24"/>
          <w:highlight w:val="none"/>
          <w:lang w:eastAsia="zh-CN"/>
        </w:rPr>
        <w:t>.</w:t>
      </w:r>
      <w:r>
        <w:rPr>
          <w:rFonts w:hint="eastAsia" w:ascii="宋体" w:hAnsi="宋体"/>
          <w:b w:val="0"/>
          <w:bCs w:val="0"/>
          <w:color w:val="auto"/>
          <w:kern w:val="0"/>
          <w:sz w:val="24"/>
          <w:szCs w:val="24"/>
          <w:highlight w:val="none"/>
        </w:rPr>
        <w:t>我们的资格条件完全符合政府采购法和本次采购要求，我们同意并向贵方提供了与投标有关的所有证据和资料。</w:t>
      </w:r>
    </w:p>
    <w:p w14:paraId="774F340B">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b w:val="0"/>
          <w:bCs w:val="0"/>
          <w:color w:val="auto"/>
          <w:sz w:val="24"/>
          <w:szCs w:val="24"/>
          <w:highlight w:val="none"/>
          <w:lang w:val="zh-CN"/>
        </w:rPr>
      </w:pPr>
      <w:r>
        <w:rPr>
          <w:rFonts w:ascii="宋体" w:hAnsi="宋体"/>
          <w:b w:val="0"/>
          <w:bCs w:val="0"/>
          <w:color w:val="auto"/>
          <w:kern w:val="0"/>
          <w:sz w:val="24"/>
          <w:szCs w:val="24"/>
          <w:highlight w:val="none"/>
        </w:rPr>
        <w:t>2</w:t>
      </w:r>
      <w:r>
        <w:rPr>
          <w:rFonts w:hint="eastAsia" w:ascii="宋体" w:hAnsi="宋体"/>
          <w:b w:val="0"/>
          <w:bCs w:val="0"/>
          <w:color w:val="auto"/>
          <w:kern w:val="0"/>
          <w:sz w:val="24"/>
          <w:szCs w:val="24"/>
          <w:highlight w:val="none"/>
          <w:lang w:eastAsia="zh-CN"/>
        </w:rPr>
        <w:t>.</w:t>
      </w:r>
      <w:r>
        <w:rPr>
          <w:rFonts w:hint="eastAsia" w:ascii="宋体" w:hAnsi="宋体"/>
          <w:b w:val="0"/>
          <w:bCs w:val="0"/>
          <w:color w:val="auto"/>
          <w:kern w:val="0"/>
          <w:sz w:val="24"/>
          <w:szCs w:val="24"/>
          <w:highlight w:val="none"/>
        </w:rPr>
        <w:t>按</w:t>
      </w:r>
      <w:r>
        <w:rPr>
          <w:rFonts w:hint="eastAsia" w:ascii="宋体" w:hAnsi="宋体"/>
          <w:b w:val="0"/>
          <w:bCs w:val="0"/>
          <w:color w:val="auto"/>
          <w:sz w:val="24"/>
          <w:szCs w:val="24"/>
          <w:highlight w:val="none"/>
        </w:rPr>
        <w:t>采购</w:t>
      </w:r>
      <w:r>
        <w:rPr>
          <w:rFonts w:hint="eastAsia" w:ascii="宋体" w:hAnsi="宋体"/>
          <w:b w:val="0"/>
          <w:bCs w:val="0"/>
          <w:color w:val="auto"/>
          <w:kern w:val="0"/>
          <w:sz w:val="24"/>
          <w:szCs w:val="24"/>
          <w:highlight w:val="none"/>
        </w:rPr>
        <w:t>要求，我们投标报价为</w:t>
      </w:r>
      <w:r>
        <w:rPr>
          <w:rFonts w:hint="eastAsia" w:ascii="宋体"/>
          <w:b w:val="0"/>
          <w:bCs w:val="0"/>
          <w:color w:val="auto"/>
          <w:sz w:val="24"/>
          <w:szCs w:val="24"/>
          <w:highlight w:val="none"/>
          <w:lang w:val="zh-CN"/>
        </w:rPr>
        <w:t>人民币</w:t>
      </w:r>
      <w:r>
        <w:rPr>
          <w:rFonts w:hint="eastAsia" w:ascii="宋体" w:hAnsi="宋体" w:eastAsia="Calibri" w:cs="宋体"/>
          <w:b w:val="0"/>
          <w:bCs w:val="0"/>
          <w:color w:val="auto"/>
          <w:sz w:val="24"/>
          <w:szCs w:val="24"/>
          <w:highlight w:val="none"/>
          <w:lang w:val="zh-CN"/>
        </w:rPr>
        <w:t>（大写）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元</w:t>
      </w:r>
      <w:r>
        <w:rPr>
          <w:rFonts w:hint="eastAsia" w:ascii="宋体" w:hAnsi="宋体" w:eastAsia="Calibri" w:cs="宋体"/>
          <w:b w:val="0"/>
          <w:bCs w:val="0"/>
          <w:color w:val="auto"/>
          <w:sz w:val="24"/>
          <w:szCs w:val="24"/>
          <w:highlight w:val="none"/>
          <w:lang w:val="zh-CN"/>
        </w:rPr>
        <w:t>（¥</w:t>
      </w:r>
      <w:r>
        <w:rPr>
          <w:rFonts w:hint="eastAsia" w:ascii="宋体" w:hAnsi="宋体" w:eastAsia="Calibri" w:cs="宋体"/>
          <w:b w:val="0"/>
          <w:bCs w:val="0"/>
          <w:color w:val="auto"/>
          <w:sz w:val="24"/>
          <w:szCs w:val="24"/>
          <w:highlight w:val="none"/>
          <w:u w:val="single"/>
          <w:lang w:val="zh-CN"/>
        </w:rPr>
        <w:t xml:space="preserve"> </w:t>
      </w:r>
      <w:r>
        <w:rPr>
          <w:rFonts w:ascii="宋体" w:hAnsi="宋体" w:eastAsia="Calibri"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元</w:t>
      </w:r>
      <w:r>
        <w:rPr>
          <w:rFonts w:hint="eastAsia" w:ascii="宋体" w:hAnsi="宋体" w:eastAsia="Calibri" w:cs="宋体"/>
          <w:b w:val="0"/>
          <w:bCs w:val="0"/>
          <w:color w:val="auto"/>
          <w:sz w:val="24"/>
          <w:szCs w:val="24"/>
          <w:highlight w:val="none"/>
          <w:u w:val="none"/>
          <w:lang w:val="zh-CN"/>
        </w:rPr>
        <w:t>）</w:t>
      </w:r>
      <w:r>
        <w:rPr>
          <w:rFonts w:hint="eastAsia" w:ascii="宋体" w:hAnsi="宋体" w:cs="宋体"/>
          <w:b w:val="0"/>
          <w:bCs w:val="0"/>
          <w:color w:val="auto"/>
          <w:sz w:val="24"/>
          <w:szCs w:val="24"/>
          <w:highlight w:val="none"/>
        </w:rPr>
        <w:t>。</w:t>
      </w:r>
    </w:p>
    <w:p w14:paraId="29D465B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b w:val="0"/>
          <w:bCs w:val="0"/>
          <w:color w:val="auto"/>
          <w:sz w:val="24"/>
          <w:szCs w:val="24"/>
          <w:highlight w:val="none"/>
        </w:rPr>
      </w:pPr>
      <w:r>
        <w:rPr>
          <w:rFonts w:ascii="宋体" w:hAnsi="宋体" w:cs="宋体"/>
          <w:b w:val="0"/>
          <w:bCs w:val="0"/>
          <w:color w:val="auto"/>
          <w:sz w:val="24"/>
          <w:szCs w:val="24"/>
          <w:highlight w:val="none"/>
        </w:rPr>
        <w:t>3</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我方拟</w:t>
      </w:r>
      <w:r>
        <w:rPr>
          <w:rFonts w:hint="eastAsia" w:ascii="宋体" w:hAnsi="宋体" w:cs="宋体"/>
          <w:b w:val="0"/>
          <w:bCs w:val="0"/>
          <w:color w:val="auto"/>
          <w:sz w:val="24"/>
          <w:szCs w:val="24"/>
          <w:highlight w:val="none"/>
          <w:lang w:eastAsia="zh-CN"/>
        </w:rPr>
        <w:t>委派</w:t>
      </w:r>
      <w:r>
        <w:rPr>
          <w:rFonts w:hint="eastAsia" w:ascii="宋体" w:hAnsi="宋体" w:cs="宋体"/>
          <w:b w:val="0"/>
          <w:bCs w:val="0"/>
          <w:color w:val="auto"/>
          <w:sz w:val="24"/>
          <w:szCs w:val="24"/>
          <w:highlight w:val="none"/>
        </w:rPr>
        <w:t>的项目负责人姓名：</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p>
    <w:p w14:paraId="37CFEAB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color w:val="auto"/>
          <w:sz w:val="24"/>
          <w:szCs w:val="24"/>
          <w:highlight w:val="none"/>
          <w:lang w:eastAsia="zh-CN"/>
        </w:rPr>
      </w:pPr>
      <w:r>
        <w:rPr>
          <w:rFonts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质量要求：</w:t>
      </w:r>
      <w:r>
        <w:rPr>
          <w:rFonts w:hint="eastAsia" w:ascii="宋体" w:hAnsi="宋体" w:cs="宋体"/>
          <w:b w:val="0"/>
          <w:bCs w:val="0"/>
          <w:color w:val="auto"/>
          <w:sz w:val="24"/>
          <w:szCs w:val="24"/>
          <w:highlight w:val="none"/>
          <w:u w:val="single"/>
        </w:rPr>
        <w:t>符合</w:t>
      </w:r>
      <w:r>
        <w:rPr>
          <w:rFonts w:hint="eastAsia" w:ascii="宋体" w:hAnsi="宋体" w:cs="宋体"/>
          <w:b w:val="0"/>
          <w:bCs w:val="0"/>
          <w:color w:val="auto"/>
          <w:sz w:val="24"/>
          <w:szCs w:val="24"/>
          <w:highlight w:val="none"/>
          <w:u w:val="single"/>
          <w:lang w:val="en-US" w:eastAsia="zh-CN"/>
        </w:rPr>
        <w:t>招标文件</w:t>
      </w:r>
      <w:r>
        <w:rPr>
          <w:rFonts w:hint="eastAsia" w:ascii="宋体" w:hAnsi="宋体" w:cs="宋体"/>
          <w:b w:val="0"/>
          <w:bCs w:val="0"/>
          <w:color w:val="auto"/>
          <w:sz w:val="24"/>
          <w:szCs w:val="24"/>
          <w:highlight w:val="none"/>
          <w:u w:val="single"/>
        </w:rPr>
        <w:t>要求</w:t>
      </w:r>
      <w:r>
        <w:rPr>
          <w:rFonts w:hint="eastAsia" w:ascii="宋体" w:hAnsi="宋体" w:cs="宋体"/>
          <w:b w:val="0"/>
          <w:bCs w:val="0"/>
          <w:color w:val="auto"/>
          <w:sz w:val="24"/>
          <w:szCs w:val="24"/>
          <w:highlight w:val="none"/>
        </w:rPr>
        <w:t>，服务期限：</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none"/>
          <w:lang w:eastAsia="zh-CN"/>
        </w:rPr>
        <w:t>。</w:t>
      </w:r>
    </w:p>
    <w:p w14:paraId="170A5E7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b w:val="0"/>
          <w:bCs w:val="0"/>
          <w:color w:val="auto"/>
          <w:kern w:val="0"/>
          <w:sz w:val="24"/>
          <w:szCs w:val="24"/>
          <w:highlight w:val="none"/>
        </w:rPr>
      </w:pPr>
      <w:r>
        <w:rPr>
          <w:rFonts w:hint="eastAsia" w:ascii="宋体" w:hAnsi="宋体"/>
          <w:b w:val="0"/>
          <w:bCs w:val="0"/>
          <w:color w:val="auto"/>
          <w:kern w:val="0"/>
          <w:sz w:val="24"/>
          <w:szCs w:val="24"/>
          <w:highlight w:val="none"/>
          <w:lang w:val="en-US" w:eastAsia="zh-CN"/>
        </w:rPr>
        <w:t>5</w:t>
      </w:r>
      <w:r>
        <w:rPr>
          <w:rFonts w:hint="eastAsia" w:ascii="宋体" w:hAnsi="宋体"/>
          <w:b w:val="0"/>
          <w:bCs w:val="0"/>
          <w:color w:val="auto"/>
          <w:kern w:val="0"/>
          <w:sz w:val="24"/>
          <w:szCs w:val="24"/>
          <w:highlight w:val="none"/>
          <w:lang w:eastAsia="zh-CN"/>
        </w:rPr>
        <w:t>.</w:t>
      </w:r>
      <w:r>
        <w:rPr>
          <w:rFonts w:hint="eastAsia" w:ascii="宋体" w:hAnsi="宋体"/>
          <w:b w:val="0"/>
          <w:bCs w:val="0"/>
          <w:color w:val="auto"/>
          <w:kern w:val="0"/>
          <w:sz w:val="24"/>
          <w:szCs w:val="24"/>
          <w:highlight w:val="none"/>
        </w:rPr>
        <w:t>我们已详细阅读全部招标文件及其有效补充文件，我们放弃对招标文件任何误解的权利</w:t>
      </w:r>
      <w:r>
        <w:rPr>
          <w:rFonts w:hint="eastAsia" w:ascii="宋体" w:hAnsi="宋体"/>
          <w:b w:val="0"/>
          <w:bCs w:val="0"/>
          <w:color w:val="auto"/>
          <w:kern w:val="0"/>
          <w:sz w:val="24"/>
          <w:szCs w:val="24"/>
          <w:highlight w:val="none"/>
          <w:lang w:eastAsia="zh-CN"/>
        </w:rPr>
        <w:t>，在</w:t>
      </w:r>
      <w:r>
        <w:rPr>
          <w:rFonts w:hint="eastAsia" w:ascii="宋体" w:hAnsi="宋体"/>
          <w:b w:val="0"/>
          <w:bCs w:val="0"/>
          <w:color w:val="auto"/>
          <w:kern w:val="0"/>
          <w:sz w:val="24"/>
          <w:szCs w:val="24"/>
          <w:highlight w:val="none"/>
        </w:rPr>
        <w:t>提交投标文件后，不对招标文件本身提出质疑。</w:t>
      </w:r>
    </w:p>
    <w:p w14:paraId="6672FB3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6.</w:t>
      </w:r>
      <w:r>
        <w:rPr>
          <w:rFonts w:hint="eastAsia" w:ascii="宋体" w:hAnsi="宋体"/>
          <w:color w:val="auto"/>
          <w:kern w:val="0"/>
          <w:sz w:val="24"/>
          <w:szCs w:val="24"/>
          <w:highlight w:val="none"/>
        </w:rPr>
        <w:t>我们同意从规定的开标日期起遵循本投标文件，并在规定的投标有效期期满之前均具有约束力。</w:t>
      </w:r>
    </w:p>
    <w:p w14:paraId="19FFE8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7.</w:t>
      </w:r>
      <w:r>
        <w:rPr>
          <w:rFonts w:hint="eastAsia" w:ascii="宋体" w:hAnsi="宋体"/>
          <w:color w:val="auto"/>
          <w:kern w:val="0"/>
          <w:sz w:val="24"/>
          <w:szCs w:val="24"/>
          <w:highlight w:val="none"/>
        </w:rPr>
        <w:t>投标截止时间结束后参加投标的投标人不足三家的，或在评标期间出现符合专业条件的投标人或者对招标文件作出实质响应的投标人不足三家情形的，我</w:t>
      </w:r>
      <w:r>
        <w:rPr>
          <w:rFonts w:hint="eastAsia" w:ascii="宋体" w:hAnsi="宋体"/>
          <w:color w:val="auto"/>
          <w:kern w:val="0"/>
          <w:sz w:val="24"/>
          <w:szCs w:val="24"/>
          <w:highlight w:val="none"/>
          <w:lang w:eastAsia="zh-CN"/>
        </w:rPr>
        <w:t>们将</w:t>
      </w:r>
      <w:r>
        <w:rPr>
          <w:rFonts w:hint="eastAsia" w:ascii="宋体" w:hAnsi="宋体"/>
          <w:color w:val="auto"/>
          <w:kern w:val="0"/>
          <w:sz w:val="24"/>
          <w:szCs w:val="24"/>
          <w:highlight w:val="none"/>
        </w:rPr>
        <w:t>酌情决定是否参加当场变更的</w:t>
      </w:r>
      <w:r>
        <w:rPr>
          <w:rFonts w:hint="eastAsia" w:ascii="宋体" w:hAnsi="宋体"/>
          <w:color w:val="auto"/>
          <w:kern w:val="0"/>
          <w:sz w:val="24"/>
          <w:szCs w:val="24"/>
          <w:highlight w:val="none"/>
          <w:lang w:eastAsia="zh-CN"/>
        </w:rPr>
        <w:t>其他</w:t>
      </w:r>
      <w:r>
        <w:rPr>
          <w:rFonts w:hint="eastAsia" w:ascii="宋体" w:hAnsi="宋体"/>
          <w:color w:val="auto"/>
          <w:kern w:val="0"/>
          <w:sz w:val="24"/>
          <w:szCs w:val="24"/>
          <w:highlight w:val="none"/>
        </w:rPr>
        <w:t>采购方式采购。</w:t>
      </w:r>
    </w:p>
    <w:p w14:paraId="7858A70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8.</w:t>
      </w:r>
      <w:r>
        <w:rPr>
          <w:rFonts w:hint="eastAsia" w:ascii="宋体" w:hAnsi="宋体"/>
          <w:color w:val="auto"/>
          <w:kern w:val="0"/>
          <w:sz w:val="24"/>
          <w:szCs w:val="24"/>
          <w:highlight w:val="none"/>
        </w:rPr>
        <w:t>一旦我方中标，我方将根据招标文件的规定严格履行合同，并保证于承诺的时间完成相关服务，交付采购人验收、使用。</w:t>
      </w:r>
    </w:p>
    <w:p w14:paraId="49540C1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9.</w:t>
      </w:r>
      <w:r>
        <w:rPr>
          <w:rFonts w:hint="eastAsia" w:ascii="宋体" w:hAnsi="宋体"/>
          <w:color w:val="auto"/>
          <w:kern w:val="0"/>
          <w:sz w:val="24"/>
          <w:szCs w:val="24"/>
          <w:highlight w:val="none"/>
        </w:rPr>
        <w:t>我方决不提供虚假材料谋取中标、决不采取不正当手段诋毁、排挤其他投标人、决不与采购人、</w:t>
      </w:r>
      <w:r>
        <w:rPr>
          <w:rFonts w:hint="eastAsia" w:ascii="宋体" w:hAnsi="宋体"/>
          <w:color w:val="auto"/>
          <w:kern w:val="0"/>
          <w:sz w:val="24"/>
          <w:szCs w:val="24"/>
          <w:highlight w:val="none"/>
          <w:lang w:eastAsia="zh-CN"/>
        </w:rPr>
        <w:t>其他</w:t>
      </w:r>
      <w:r>
        <w:rPr>
          <w:rFonts w:hint="eastAsia" w:ascii="宋体" w:hAnsi="宋体"/>
          <w:color w:val="auto"/>
          <w:kern w:val="0"/>
          <w:sz w:val="24"/>
          <w:szCs w:val="24"/>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580106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10.</w:t>
      </w:r>
      <w:r>
        <w:rPr>
          <w:rFonts w:hint="eastAsia" w:ascii="宋体" w:hAnsi="宋体"/>
          <w:color w:val="auto"/>
          <w:kern w:val="0"/>
          <w:sz w:val="24"/>
          <w:szCs w:val="24"/>
          <w:highlight w:val="none"/>
        </w:rPr>
        <w:t>与</w:t>
      </w:r>
      <w:r>
        <w:rPr>
          <w:rFonts w:hint="eastAsia" w:ascii="宋体" w:hAnsi="宋体"/>
          <w:color w:val="auto"/>
          <w:kern w:val="0"/>
          <w:sz w:val="24"/>
          <w:szCs w:val="24"/>
          <w:highlight w:val="none"/>
          <w:lang w:eastAsia="zh-CN"/>
        </w:rPr>
        <w:t>本次</w:t>
      </w:r>
      <w:r>
        <w:rPr>
          <w:rFonts w:hint="eastAsia" w:ascii="宋体" w:hAnsi="宋体"/>
          <w:color w:val="auto"/>
          <w:kern w:val="0"/>
          <w:sz w:val="24"/>
          <w:szCs w:val="24"/>
          <w:highlight w:val="none"/>
        </w:rPr>
        <w:t>投标有关的正式联系方式为：</w:t>
      </w:r>
    </w:p>
    <w:p w14:paraId="44B233E0">
      <w:pPr>
        <w:widowControl/>
        <w:shd w:val="clear" w:color="auto" w:fill="FFFFFF"/>
        <w:spacing w:line="360" w:lineRule="auto"/>
        <w:ind w:firstLine="420"/>
        <w:rPr>
          <w:rFonts w:hint="eastAsia" w:ascii="宋体" w:hAnsi="宋体"/>
          <w:color w:val="auto"/>
          <w:kern w:val="0"/>
          <w:sz w:val="24"/>
          <w:szCs w:val="24"/>
          <w:highlight w:val="none"/>
        </w:rPr>
      </w:pPr>
    </w:p>
    <w:p w14:paraId="4F841A19">
      <w:pPr>
        <w:widowControl/>
        <w:shd w:val="clear" w:color="auto" w:fill="FFFFFF"/>
        <w:spacing w:line="360" w:lineRule="auto"/>
        <w:ind w:firstLine="420"/>
        <w:rPr>
          <w:rFonts w:ascii="宋体" w:hAnsi="宋体"/>
          <w:color w:val="auto"/>
          <w:kern w:val="0"/>
          <w:sz w:val="24"/>
          <w:szCs w:val="24"/>
          <w:highlight w:val="none"/>
        </w:rPr>
      </w:pPr>
      <w:r>
        <w:rPr>
          <w:rFonts w:hint="eastAsia" w:ascii="宋体" w:hAnsi="宋体"/>
          <w:color w:val="auto"/>
          <w:kern w:val="0"/>
          <w:sz w:val="24"/>
          <w:szCs w:val="24"/>
          <w:highlight w:val="none"/>
        </w:rPr>
        <w:t>地   址：</w:t>
      </w:r>
      <w:r>
        <w:rPr>
          <w:rFonts w:hint="eastAsia" w:ascii="宋体" w:hAnsi="宋体"/>
          <w:color w:val="auto"/>
          <w:kern w:val="0"/>
          <w:sz w:val="24"/>
          <w:szCs w:val="24"/>
          <w:highlight w:val="none"/>
          <w:u w:val="single"/>
        </w:rPr>
        <w:t>                    </w:t>
      </w:r>
      <w:r>
        <w:rPr>
          <w:rFonts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rPr>
        <w:t>  </w:t>
      </w:r>
    </w:p>
    <w:p w14:paraId="365520DD">
      <w:pPr>
        <w:widowControl/>
        <w:shd w:val="clear" w:color="auto" w:fill="FFFFFF"/>
        <w:spacing w:line="360" w:lineRule="auto"/>
        <w:ind w:firstLine="420"/>
        <w:rPr>
          <w:rFonts w:ascii="宋体" w:hAnsi="宋体"/>
          <w:color w:val="auto"/>
          <w:kern w:val="0"/>
          <w:sz w:val="24"/>
          <w:szCs w:val="24"/>
          <w:highlight w:val="none"/>
        </w:rPr>
      </w:pPr>
      <w:r>
        <w:rPr>
          <w:rFonts w:hint="eastAsia" w:ascii="宋体" w:hAnsi="宋体"/>
          <w:color w:val="auto"/>
          <w:kern w:val="0"/>
          <w:sz w:val="24"/>
          <w:szCs w:val="24"/>
          <w:highlight w:val="none"/>
        </w:rPr>
        <w:t>电   话：</w:t>
      </w:r>
      <w:r>
        <w:rPr>
          <w:rFonts w:hint="eastAsia" w:ascii="宋体" w:hAnsi="宋体"/>
          <w:color w:val="auto"/>
          <w:kern w:val="0"/>
          <w:sz w:val="24"/>
          <w:szCs w:val="24"/>
          <w:highlight w:val="none"/>
          <w:u w:val="single"/>
        </w:rPr>
        <w:t>                    </w:t>
      </w:r>
      <w:r>
        <w:rPr>
          <w:rFonts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rPr>
        <w:t>  </w:t>
      </w:r>
    </w:p>
    <w:p w14:paraId="0BE21B03">
      <w:pPr>
        <w:widowControl/>
        <w:shd w:val="clear" w:color="auto" w:fill="FFFFFF"/>
        <w:spacing w:line="360" w:lineRule="auto"/>
        <w:ind w:firstLine="420"/>
        <w:rPr>
          <w:rFonts w:ascii="宋体" w:hAnsi="宋体"/>
          <w:color w:val="auto"/>
          <w:kern w:val="0"/>
          <w:sz w:val="24"/>
          <w:szCs w:val="24"/>
          <w:highlight w:val="none"/>
        </w:rPr>
      </w:pPr>
      <w:r>
        <w:rPr>
          <w:rFonts w:hint="eastAsia" w:ascii="宋体" w:hAnsi="宋体"/>
          <w:color w:val="auto"/>
          <w:kern w:val="0"/>
          <w:sz w:val="24"/>
          <w:szCs w:val="24"/>
          <w:highlight w:val="none"/>
        </w:rPr>
        <w:t>传   真：</w:t>
      </w:r>
      <w:r>
        <w:rPr>
          <w:rFonts w:hint="eastAsia" w:ascii="宋体" w:hAnsi="宋体"/>
          <w:color w:val="auto"/>
          <w:kern w:val="0"/>
          <w:sz w:val="24"/>
          <w:szCs w:val="24"/>
          <w:highlight w:val="none"/>
          <w:u w:val="single"/>
        </w:rPr>
        <w:t>                    </w:t>
      </w:r>
      <w:r>
        <w:rPr>
          <w:rFonts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rPr>
        <w:t>  </w:t>
      </w:r>
    </w:p>
    <w:p w14:paraId="3E202C54">
      <w:pPr>
        <w:widowControl/>
        <w:shd w:val="clear" w:color="auto" w:fill="FFFFFF"/>
        <w:spacing w:line="360" w:lineRule="auto"/>
        <w:ind w:firstLine="420"/>
        <w:rPr>
          <w:rFonts w:ascii="宋体" w:hAnsi="宋体"/>
          <w:color w:val="auto"/>
          <w:kern w:val="0"/>
          <w:sz w:val="24"/>
          <w:szCs w:val="24"/>
          <w:highlight w:val="none"/>
          <w:u w:val="single"/>
        </w:rPr>
      </w:pPr>
      <w:r>
        <w:rPr>
          <w:rFonts w:hint="eastAsia" w:ascii="宋体" w:hAnsi="宋体"/>
          <w:color w:val="auto"/>
          <w:kern w:val="0"/>
          <w:sz w:val="24"/>
          <w:szCs w:val="24"/>
          <w:highlight w:val="none"/>
        </w:rPr>
        <w:t>开户银行：</w:t>
      </w:r>
      <w:r>
        <w:rPr>
          <w:rFonts w:hint="eastAsia" w:ascii="宋体" w:hAnsi="宋体"/>
          <w:color w:val="auto"/>
          <w:kern w:val="0"/>
          <w:sz w:val="24"/>
          <w:szCs w:val="24"/>
          <w:highlight w:val="none"/>
          <w:u w:val="single"/>
        </w:rPr>
        <w:t xml:space="preserve"> </w:t>
      </w:r>
      <w:r>
        <w:rPr>
          <w:rFonts w:ascii="宋体" w:hAnsi="宋体"/>
          <w:color w:val="auto"/>
          <w:kern w:val="0"/>
          <w:sz w:val="24"/>
          <w:szCs w:val="24"/>
          <w:highlight w:val="none"/>
          <w:u w:val="single"/>
        </w:rPr>
        <w:t xml:space="preserve">                                              </w:t>
      </w:r>
    </w:p>
    <w:p w14:paraId="51724E93">
      <w:pPr>
        <w:widowControl/>
        <w:shd w:val="clear" w:color="auto" w:fill="FFFFFF"/>
        <w:spacing w:line="360" w:lineRule="auto"/>
        <w:ind w:firstLine="420"/>
        <w:rPr>
          <w:rFonts w:ascii="宋体" w:hAnsi="宋体"/>
          <w:color w:val="auto"/>
          <w:kern w:val="0"/>
          <w:sz w:val="24"/>
          <w:szCs w:val="24"/>
          <w:highlight w:val="none"/>
          <w:u w:val="single"/>
        </w:rPr>
      </w:pPr>
      <w:r>
        <w:rPr>
          <w:rFonts w:hint="eastAsia" w:ascii="宋体" w:hAnsi="宋体"/>
          <w:color w:val="auto"/>
          <w:kern w:val="0"/>
          <w:sz w:val="24"/>
          <w:szCs w:val="24"/>
          <w:highlight w:val="none"/>
        </w:rPr>
        <w:t>银行账号：</w:t>
      </w:r>
      <w:r>
        <w:rPr>
          <w:rFonts w:hint="eastAsia" w:ascii="宋体" w:hAnsi="宋体"/>
          <w:color w:val="auto"/>
          <w:kern w:val="0"/>
          <w:sz w:val="24"/>
          <w:szCs w:val="24"/>
          <w:highlight w:val="none"/>
          <w:u w:val="single"/>
        </w:rPr>
        <w:t xml:space="preserve"> </w:t>
      </w:r>
      <w:r>
        <w:rPr>
          <w:rFonts w:ascii="宋体" w:hAnsi="宋体"/>
          <w:color w:val="auto"/>
          <w:kern w:val="0"/>
          <w:sz w:val="24"/>
          <w:szCs w:val="24"/>
          <w:highlight w:val="none"/>
          <w:u w:val="single"/>
        </w:rPr>
        <w:t xml:space="preserve">                                              </w:t>
      </w:r>
    </w:p>
    <w:p w14:paraId="0DAA066C">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olor w:val="auto"/>
          <w:kern w:val="0"/>
          <w:sz w:val="24"/>
          <w:szCs w:val="24"/>
          <w:highlight w:val="none"/>
        </w:rPr>
        <w:t>投标人名称</w:t>
      </w:r>
      <w:r>
        <w:rPr>
          <w:rFonts w:hint="eastAsia" w:ascii="宋体" w:hAnsi="宋体" w:cs="宋体"/>
          <w:color w:val="auto"/>
          <w:sz w:val="24"/>
          <w:szCs w:val="24"/>
          <w:highlight w:val="none"/>
        </w:rPr>
        <w:t>（加盖公章）</w:t>
      </w:r>
      <w:r>
        <w:rPr>
          <w:rFonts w:hint="eastAsia" w:ascii="宋体" w:hAnsi="宋体"/>
          <w:color w:val="auto"/>
          <w:kern w:val="0"/>
          <w:sz w:val="24"/>
          <w:szCs w:val="24"/>
          <w:highlight w:val="none"/>
        </w:rPr>
        <w:t>：</w:t>
      </w:r>
      <w:r>
        <w:rPr>
          <w:rFonts w:hint="eastAsia" w:ascii="宋体" w:hAnsi="宋体"/>
          <w:color w:val="auto"/>
          <w:kern w:val="0"/>
          <w:sz w:val="24"/>
          <w:szCs w:val="24"/>
          <w:highlight w:val="none"/>
          <w:u w:val="single"/>
        </w:rPr>
        <w:t>              </w:t>
      </w:r>
      <w:r>
        <w:rPr>
          <w:rFonts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rPr>
        <w:t> </w:t>
      </w:r>
    </w:p>
    <w:p w14:paraId="57F46B45">
      <w:pPr>
        <w:widowControl/>
        <w:shd w:val="clear" w:color="auto" w:fill="FFFFFF"/>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法定代表人或其委托代理人（</w:t>
      </w:r>
      <w:r>
        <w:rPr>
          <w:rFonts w:hint="eastAsia" w:ascii="宋体" w:hAnsi="宋体"/>
          <w:color w:val="auto"/>
          <w:kern w:val="0"/>
          <w:sz w:val="24"/>
          <w:szCs w:val="24"/>
          <w:highlight w:val="none"/>
        </w:rPr>
        <w:t>签字或签章</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  </w:t>
      </w:r>
    </w:p>
    <w:p w14:paraId="7A6E7DC2">
      <w:pPr>
        <w:widowControl/>
        <w:shd w:val="clear" w:color="auto" w:fill="FFFFFF"/>
        <w:spacing w:line="360" w:lineRule="auto"/>
        <w:ind w:firstLine="420"/>
        <w:rPr>
          <w:rFonts w:ascii="宋体" w:hAnsi="宋体"/>
          <w:color w:val="auto"/>
          <w:kern w:val="0"/>
          <w:sz w:val="24"/>
          <w:szCs w:val="24"/>
          <w:highlight w:val="none"/>
        </w:rPr>
      </w:pPr>
      <w:r>
        <w:rPr>
          <w:rFonts w:hint="eastAsia" w:ascii="宋体" w:hAnsi="宋体"/>
          <w:color w:val="auto"/>
          <w:kern w:val="0"/>
          <w:sz w:val="24"/>
          <w:szCs w:val="24"/>
          <w:highlight w:val="none"/>
        </w:rPr>
        <w:t>日    期：</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年</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u w:val="single"/>
          <w:lang w:val="en-US" w:eastAsia="zh-CN"/>
        </w:rPr>
        <w:t xml:space="preserve"> </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月</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u w:val="single"/>
          <w:lang w:val="en-US" w:eastAsia="zh-CN"/>
        </w:rPr>
        <w:t xml:space="preserve"> </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日</w:t>
      </w:r>
    </w:p>
    <w:p w14:paraId="1FA35FFB">
      <w:pPr>
        <w:pStyle w:val="53"/>
        <w:ind w:firstLine="400"/>
        <w:rPr>
          <w:color w:val="auto"/>
          <w:highlight w:val="none"/>
        </w:rPr>
      </w:pPr>
    </w:p>
    <w:p w14:paraId="20EF5959">
      <w:pPr>
        <w:pStyle w:val="196"/>
        <w:rPr>
          <w:color w:val="auto"/>
          <w:sz w:val="24"/>
          <w:szCs w:val="24"/>
          <w:highlight w:val="none"/>
        </w:rPr>
      </w:pPr>
      <w:r>
        <w:rPr>
          <w:rFonts w:hint="eastAsia"/>
          <w:color w:val="auto"/>
          <w:sz w:val="24"/>
          <w:szCs w:val="24"/>
          <w:highlight w:val="none"/>
        </w:rPr>
        <w:br w:type="page" w:clear="all"/>
      </w:r>
      <w:r>
        <w:rPr>
          <w:rFonts w:hint="eastAsia"/>
          <w:color w:val="auto"/>
          <w:sz w:val="24"/>
          <w:szCs w:val="24"/>
          <w:highlight w:val="none"/>
        </w:rPr>
        <w:t>附件二、法定代表人授权书或法定代表人身份证明格式</w:t>
      </w:r>
    </w:p>
    <w:p w14:paraId="737987F7">
      <w:pPr>
        <w:spacing w:line="360" w:lineRule="auto"/>
        <w:jc w:val="center"/>
        <w:rPr>
          <w:rFonts w:hint="eastAsia" w:ascii="宋体" w:hAnsi="宋体"/>
          <w:b/>
          <w:bCs/>
          <w:color w:val="auto"/>
          <w:sz w:val="30"/>
          <w:szCs w:val="30"/>
          <w:highlight w:val="none"/>
        </w:rPr>
      </w:pPr>
      <w:r>
        <w:rPr>
          <w:rFonts w:hint="eastAsia" w:ascii="宋体" w:hAnsi="宋体"/>
          <w:b/>
          <w:bCs/>
          <w:color w:val="auto"/>
          <w:sz w:val="30"/>
          <w:szCs w:val="30"/>
          <w:highlight w:val="none"/>
        </w:rPr>
        <w:t>法定代表人授权书</w:t>
      </w:r>
    </w:p>
    <w:p w14:paraId="622DF79A">
      <w:pPr>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  南京市城市道路管理中心</w:t>
      </w:r>
      <w:r>
        <w:rPr>
          <w:rFonts w:hint="eastAsia" w:ascii="宋体" w:hAnsi="宋体"/>
          <w:b/>
          <w:color w:val="auto"/>
          <w:sz w:val="24"/>
          <w:szCs w:val="24"/>
          <w:highlight w:val="none"/>
        </w:rPr>
        <w:t>：</w:t>
      </w:r>
    </w:p>
    <w:p w14:paraId="623F95E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本授权书声明：注册于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住址）的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名称）法定代表人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（法定代表人姓名、职务）代表本公司授权在下面签字的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代表姓名、职务）为本公司的合法代理人，就贵方组织的</w:t>
      </w:r>
      <w:r>
        <w:rPr>
          <w:rFonts w:hint="eastAsia" w:ascii="宋体" w:hAnsi="宋体"/>
          <w:b/>
          <w:bCs/>
          <w:color w:val="auto"/>
          <w:kern w:val="0"/>
          <w:sz w:val="24"/>
          <w:szCs w:val="24"/>
          <w:highlight w:val="none"/>
          <w:u w:val="single"/>
        </w:rPr>
        <w:t>      </w:t>
      </w:r>
      <w:r>
        <w:rPr>
          <w:rFonts w:hint="eastAsia" w:ascii="宋体" w:hAnsi="宋体"/>
          <w:b/>
          <w:bCs/>
          <w:color w:val="auto"/>
          <w:kern w:val="0"/>
          <w:sz w:val="24"/>
          <w:szCs w:val="24"/>
          <w:highlight w:val="none"/>
          <w:u w:val="single"/>
          <w:lang w:val="en-US" w:eastAsia="zh-CN"/>
        </w:rPr>
        <w:t xml:space="preserve">         </w:t>
      </w:r>
      <w:r>
        <w:rPr>
          <w:rFonts w:hint="eastAsia" w:ascii="宋体" w:hAnsi="宋体"/>
          <w:b/>
          <w:bCs/>
          <w:color w:val="auto"/>
          <w:kern w:val="0"/>
          <w:sz w:val="24"/>
          <w:szCs w:val="24"/>
          <w:highlight w:val="none"/>
          <w:u w:val="single"/>
        </w:rPr>
        <w:t> </w:t>
      </w:r>
      <w:r>
        <w:rPr>
          <w:rFonts w:hint="eastAsia" w:ascii="宋体" w:hAnsi="宋体"/>
          <w:color w:val="auto"/>
          <w:kern w:val="0"/>
          <w:sz w:val="24"/>
          <w:szCs w:val="24"/>
          <w:highlight w:val="none"/>
        </w:rPr>
        <w:t>（项目名称），</w:t>
      </w:r>
      <w:r>
        <w:rPr>
          <w:rFonts w:hint="eastAsia" w:ascii="宋体" w:hAnsi="宋体"/>
          <w:color w:val="auto"/>
          <w:kern w:val="0"/>
          <w:sz w:val="24"/>
          <w:szCs w:val="24"/>
          <w:highlight w:val="none"/>
          <w:u w:val="single"/>
        </w:rPr>
        <w:t>      </w:t>
      </w:r>
      <w:r>
        <w:rPr>
          <w:rFonts w:hint="eastAsia" w:ascii="宋体" w:hAnsi="宋体"/>
          <w:color w:val="auto"/>
          <w:kern w:val="0"/>
          <w:sz w:val="24"/>
          <w:szCs w:val="24"/>
          <w:highlight w:val="none"/>
        </w:rPr>
        <w:t>（项目编号）</w:t>
      </w:r>
      <w:r>
        <w:rPr>
          <w:rFonts w:hint="eastAsia" w:ascii="宋体" w:hAnsi="宋体"/>
          <w:color w:val="auto"/>
          <w:kern w:val="0"/>
          <w:sz w:val="24"/>
          <w:szCs w:val="24"/>
          <w:highlight w:val="none"/>
          <w:lang w:val="en-US" w:eastAsia="zh-CN"/>
        </w:rPr>
        <w:t>投标</w:t>
      </w:r>
      <w:r>
        <w:rPr>
          <w:rFonts w:hint="eastAsia" w:ascii="宋体" w:hAnsi="宋体"/>
          <w:color w:val="auto"/>
          <w:sz w:val="24"/>
          <w:szCs w:val="24"/>
          <w:highlight w:val="none"/>
        </w:rPr>
        <w:t>，以本公司名义处理一切与之有关的事务。</w:t>
      </w:r>
    </w:p>
    <w:p w14:paraId="41AE303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本授权书于    年   月  日签字生效，特此声明。</w:t>
      </w:r>
    </w:p>
    <w:p w14:paraId="130D747A">
      <w:pPr>
        <w:widowControl/>
        <w:shd w:val="clear" w:color="auto" w:fill="FFFFFF"/>
        <w:spacing w:line="360" w:lineRule="auto"/>
        <w:ind w:firstLine="482" w:firstLineChars="200"/>
        <w:jc w:val="left"/>
        <w:rPr>
          <w:rFonts w:ascii="宋体" w:hAnsi="宋体"/>
          <w:b/>
          <w:bCs/>
          <w:color w:val="auto"/>
          <w:kern w:val="0"/>
          <w:sz w:val="24"/>
          <w:szCs w:val="24"/>
          <w:highlight w:val="none"/>
        </w:rPr>
      </w:pPr>
      <w:r>
        <w:rPr>
          <w:rFonts w:hint="eastAsia" w:ascii="宋体" w:hAnsi="宋体"/>
          <w:b/>
          <w:bCs/>
          <w:color w:val="auto"/>
          <w:kern w:val="0"/>
          <w:sz w:val="24"/>
          <w:szCs w:val="24"/>
          <w:highlight w:val="none"/>
        </w:rPr>
        <w:t>法定代表人签字或签章：</w:t>
      </w:r>
    </w:p>
    <w:p w14:paraId="3F4F2306">
      <w:pPr>
        <w:widowControl/>
        <w:shd w:val="clear" w:color="auto" w:fill="FFFFFF"/>
        <w:spacing w:line="360" w:lineRule="auto"/>
        <w:ind w:firstLine="482" w:firstLineChars="200"/>
        <w:jc w:val="left"/>
        <w:rPr>
          <w:rFonts w:ascii="宋体" w:hAnsi="宋体"/>
          <w:color w:val="auto"/>
          <w:kern w:val="0"/>
          <w:sz w:val="24"/>
          <w:szCs w:val="24"/>
          <w:highlight w:val="none"/>
        </w:rPr>
      </w:pPr>
      <w:r>
        <w:rPr>
          <w:rFonts w:hint="eastAsia" w:ascii="宋体" w:hAnsi="宋体"/>
          <w:b/>
          <w:bCs/>
          <w:color w:val="auto"/>
          <w:kern w:val="0"/>
          <w:sz w:val="24"/>
          <w:szCs w:val="24"/>
          <w:highlight w:val="none"/>
        </w:rPr>
        <w:t>委托代理人签字或签章：</w:t>
      </w:r>
      <w:r>
        <w:rPr>
          <w:rFonts w:hint="eastAsia" w:ascii="宋体" w:hAnsi="宋体"/>
          <w:color w:val="auto"/>
          <w:kern w:val="0"/>
          <w:sz w:val="24"/>
          <w:szCs w:val="24"/>
          <w:highlight w:val="none"/>
        </w:rPr>
        <w:t>                   </w:t>
      </w:r>
    </w:p>
    <w:p w14:paraId="7E3F704C">
      <w:pPr>
        <w:widowControl/>
        <w:shd w:val="clear" w:color="auto" w:fill="FFFFFF"/>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日期：    年  月  日</w:t>
      </w:r>
    </w:p>
    <w:p w14:paraId="59456357">
      <w:pPr>
        <w:widowControl/>
        <w:shd w:val="clear" w:color="auto" w:fill="FFFFFF"/>
        <w:spacing w:line="360" w:lineRule="auto"/>
        <w:ind w:firstLine="480" w:firstLineChars="200"/>
        <w:jc w:val="left"/>
        <w:rPr>
          <w:rFonts w:hint="eastAsia" w:ascii="宋体" w:hAnsi="宋体"/>
          <w:color w:val="auto"/>
          <w:kern w:val="0"/>
          <w:sz w:val="24"/>
          <w:szCs w:val="24"/>
          <w:highlight w:val="none"/>
        </w:rPr>
      </w:pPr>
    </w:p>
    <w:p w14:paraId="58C07E4A">
      <w:pPr>
        <w:widowControl/>
        <w:shd w:val="clear" w:color="auto" w:fill="FFFFFF"/>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法定代表人身份证的扫描件</w:t>
      </w:r>
      <w:r>
        <w:rPr>
          <w:rFonts w:hint="eastAsia" w:ascii="宋体" w:hAnsi="宋体"/>
          <w:color w:val="auto"/>
          <w:kern w:val="0"/>
          <w:sz w:val="24"/>
          <w:szCs w:val="24"/>
          <w:highlight w:val="none"/>
          <w:lang w:eastAsia="zh-CN"/>
        </w:rPr>
        <w:t>：</w:t>
      </w:r>
    </w:p>
    <w:p w14:paraId="2EA0F158">
      <w:pPr>
        <w:widowControl/>
        <w:shd w:val="clear" w:color="auto" w:fill="FFFFFF"/>
        <w:spacing w:line="360" w:lineRule="auto"/>
        <w:ind w:firstLine="960" w:firstLineChars="400"/>
        <w:jc w:val="left"/>
        <w:rPr>
          <w:rFonts w:ascii="宋体" w:hAnsi="宋体"/>
          <w:color w:val="auto"/>
          <w:kern w:val="0"/>
          <w:sz w:val="24"/>
          <w:szCs w:val="24"/>
          <w:highlight w:val="none"/>
        </w:rPr>
      </w:pPr>
    </w:p>
    <w:p w14:paraId="3B0E0424">
      <w:pPr>
        <w:widowControl/>
        <w:shd w:val="clear" w:color="auto" w:fill="FFFFFF"/>
        <w:spacing w:line="360" w:lineRule="auto"/>
        <w:ind w:firstLine="960" w:firstLineChars="400"/>
        <w:jc w:val="left"/>
        <w:rPr>
          <w:rFonts w:ascii="宋体" w:hAnsi="宋体"/>
          <w:color w:val="auto"/>
          <w:kern w:val="0"/>
          <w:sz w:val="24"/>
          <w:szCs w:val="24"/>
          <w:highlight w:val="none"/>
        </w:rPr>
      </w:pPr>
    </w:p>
    <w:p w14:paraId="7126496A">
      <w:pPr>
        <w:widowControl/>
        <w:shd w:val="clear" w:color="auto" w:fill="FFFFFF"/>
        <w:spacing w:line="360" w:lineRule="auto"/>
        <w:ind w:firstLine="960" w:firstLineChars="400"/>
        <w:jc w:val="left"/>
        <w:rPr>
          <w:rFonts w:ascii="宋体" w:hAnsi="宋体"/>
          <w:color w:val="auto"/>
          <w:kern w:val="0"/>
          <w:sz w:val="24"/>
          <w:szCs w:val="24"/>
          <w:highlight w:val="none"/>
        </w:rPr>
      </w:pPr>
    </w:p>
    <w:p w14:paraId="7ABD1709">
      <w:pPr>
        <w:widowControl/>
        <w:shd w:val="clear" w:color="auto" w:fill="FFFFFF"/>
        <w:spacing w:line="360" w:lineRule="auto"/>
        <w:ind w:firstLine="960" w:firstLineChars="400"/>
        <w:jc w:val="left"/>
        <w:rPr>
          <w:rFonts w:ascii="宋体" w:hAnsi="宋体"/>
          <w:color w:val="auto"/>
          <w:kern w:val="0"/>
          <w:sz w:val="24"/>
          <w:szCs w:val="24"/>
          <w:highlight w:val="none"/>
        </w:rPr>
      </w:pPr>
    </w:p>
    <w:p w14:paraId="613BA425">
      <w:pPr>
        <w:widowControl/>
        <w:shd w:val="clear" w:color="auto" w:fill="FFFFFF"/>
        <w:spacing w:line="360" w:lineRule="auto"/>
        <w:ind w:firstLine="960" w:firstLineChars="400"/>
        <w:jc w:val="left"/>
        <w:rPr>
          <w:rFonts w:ascii="宋体" w:hAnsi="宋体"/>
          <w:color w:val="auto"/>
          <w:kern w:val="0"/>
          <w:sz w:val="24"/>
          <w:szCs w:val="24"/>
          <w:highlight w:val="none"/>
        </w:rPr>
      </w:pPr>
    </w:p>
    <w:p w14:paraId="754EDF5F">
      <w:pPr>
        <w:widowControl/>
        <w:shd w:val="clear" w:color="auto" w:fill="FFFFFF"/>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委托代理人的身份证的扫描件</w:t>
      </w:r>
      <w:r>
        <w:rPr>
          <w:rFonts w:hint="eastAsia" w:ascii="宋体" w:hAnsi="宋体"/>
          <w:color w:val="auto"/>
          <w:kern w:val="0"/>
          <w:sz w:val="24"/>
          <w:szCs w:val="24"/>
          <w:highlight w:val="none"/>
          <w:lang w:eastAsia="zh-CN"/>
        </w:rPr>
        <w:t>：</w:t>
      </w:r>
    </w:p>
    <w:p w14:paraId="32895989">
      <w:pPr>
        <w:spacing w:line="360" w:lineRule="auto"/>
        <w:ind w:firstLine="480" w:firstLineChars="200"/>
        <w:rPr>
          <w:rFonts w:hint="eastAsia" w:ascii="宋体" w:hAnsi="宋体"/>
          <w:color w:val="auto"/>
          <w:sz w:val="24"/>
          <w:szCs w:val="24"/>
          <w:highlight w:val="none"/>
        </w:rPr>
      </w:pPr>
    </w:p>
    <w:p w14:paraId="5073D5A8">
      <w:pPr>
        <w:pStyle w:val="251"/>
        <w:spacing w:line="360" w:lineRule="auto"/>
        <w:rPr>
          <w:rFonts w:hint="eastAsia"/>
          <w:b/>
          <w:color w:val="auto"/>
          <w:highlight w:val="none"/>
        </w:rPr>
      </w:pPr>
    </w:p>
    <w:p w14:paraId="391F5032">
      <w:pPr>
        <w:pStyle w:val="251"/>
        <w:spacing w:line="360" w:lineRule="auto"/>
        <w:rPr>
          <w:rFonts w:hint="eastAsia"/>
          <w:b/>
          <w:color w:val="auto"/>
          <w:highlight w:val="none"/>
        </w:rPr>
      </w:pPr>
    </w:p>
    <w:p w14:paraId="5F70AFDF">
      <w:pPr>
        <w:pStyle w:val="251"/>
        <w:spacing w:line="360" w:lineRule="auto"/>
        <w:rPr>
          <w:rFonts w:hint="eastAsia"/>
          <w:b/>
          <w:color w:val="auto"/>
          <w:highlight w:val="none"/>
        </w:rPr>
      </w:pPr>
    </w:p>
    <w:p w14:paraId="648EE22C">
      <w:pPr>
        <w:pStyle w:val="251"/>
        <w:spacing w:line="360" w:lineRule="auto"/>
        <w:rPr>
          <w:b/>
          <w:color w:val="auto"/>
          <w:highlight w:val="none"/>
        </w:rPr>
      </w:pPr>
      <w:r>
        <w:rPr>
          <w:rFonts w:hint="eastAsia"/>
          <w:b/>
          <w:color w:val="auto"/>
          <w:highlight w:val="none"/>
        </w:rPr>
        <w:t>注：1.附法定代表人身份证明扫描件及委托代理人身份证扫描件</w:t>
      </w:r>
    </w:p>
    <w:p w14:paraId="3BAECB51">
      <w:pPr>
        <w:pStyle w:val="251"/>
        <w:spacing w:line="360" w:lineRule="auto"/>
        <w:ind w:firstLine="422"/>
        <w:rPr>
          <w:rFonts w:hint="eastAsia"/>
          <w:b/>
          <w:color w:val="auto"/>
          <w:highlight w:val="none"/>
        </w:rPr>
      </w:pPr>
      <w:r>
        <w:rPr>
          <w:rFonts w:hint="eastAsia"/>
          <w:b/>
          <w:color w:val="auto"/>
          <w:highlight w:val="none"/>
        </w:rPr>
        <w:t>2.如果由</w:t>
      </w:r>
      <w:r>
        <w:rPr>
          <w:rFonts w:hint="eastAsia"/>
          <w:b/>
          <w:color w:val="auto"/>
          <w:highlight w:val="none"/>
          <w:lang w:val="en-US" w:eastAsia="zh-CN"/>
        </w:rPr>
        <w:t>投标人</w:t>
      </w:r>
      <w:r>
        <w:rPr>
          <w:rFonts w:hint="eastAsia"/>
          <w:b/>
          <w:color w:val="auto"/>
          <w:highlight w:val="none"/>
        </w:rPr>
        <w:t>的法定代表人签署</w:t>
      </w:r>
      <w:r>
        <w:rPr>
          <w:rFonts w:hint="eastAsia"/>
          <w:b/>
          <w:color w:val="auto"/>
          <w:highlight w:val="none"/>
          <w:lang w:val="en-US" w:eastAsia="zh-CN"/>
        </w:rPr>
        <w:t>投标</w:t>
      </w:r>
      <w:r>
        <w:rPr>
          <w:rFonts w:hint="eastAsia"/>
          <w:b/>
          <w:color w:val="auto"/>
          <w:highlight w:val="none"/>
        </w:rPr>
        <w:t>文件，则无须提交法定代表人授权书，但需要提交法定代表人身份证明。</w:t>
      </w:r>
    </w:p>
    <w:p w14:paraId="71E454D6">
      <w:pPr>
        <w:pStyle w:val="251"/>
        <w:spacing w:line="360" w:lineRule="auto"/>
        <w:ind w:firstLine="422"/>
        <w:rPr>
          <w:rFonts w:hint="eastAsia"/>
          <w:b/>
          <w:color w:val="auto"/>
          <w:highlight w:val="none"/>
        </w:rPr>
      </w:pPr>
      <w:r>
        <w:rPr>
          <w:rFonts w:hint="eastAsia"/>
          <w:b/>
          <w:color w:val="auto"/>
          <w:highlight w:val="none"/>
        </w:rPr>
        <w:t>3. 如果由</w:t>
      </w:r>
      <w:r>
        <w:rPr>
          <w:rFonts w:hint="eastAsia"/>
          <w:b/>
          <w:color w:val="auto"/>
          <w:highlight w:val="none"/>
          <w:lang w:val="en-US" w:eastAsia="zh-CN"/>
        </w:rPr>
        <w:t>投标人</w:t>
      </w:r>
      <w:r>
        <w:rPr>
          <w:rFonts w:hint="eastAsia"/>
          <w:b/>
          <w:color w:val="auto"/>
          <w:highlight w:val="none"/>
        </w:rPr>
        <w:t>的被授权人签字或签章的，则须提供授权书和法定代表人身份证明。</w:t>
      </w:r>
    </w:p>
    <w:p w14:paraId="13F64193">
      <w:pPr>
        <w:pStyle w:val="251"/>
        <w:ind w:firstLine="422"/>
        <w:rPr>
          <w:rFonts w:hint="eastAsia"/>
          <w:b/>
          <w:color w:val="auto"/>
          <w:highlight w:val="none"/>
        </w:rPr>
      </w:pPr>
    </w:p>
    <w:p w14:paraId="1EAE856F">
      <w:pPr>
        <w:pStyle w:val="251"/>
        <w:rPr>
          <w:b/>
          <w:color w:val="auto"/>
          <w:highlight w:val="none"/>
        </w:rPr>
      </w:pPr>
    </w:p>
    <w:p w14:paraId="5DA47A1C">
      <w:pPr>
        <w:spacing w:before="61"/>
        <w:ind w:left="2881"/>
        <w:rPr>
          <w:rFonts w:ascii="宋体" w:hAnsi="宋体"/>
          <w:b/>
          <w:bCs/>
          <w:color w:val="auto"/>
          <w:sz w:val="32"/>
          <w:szCs w:val="32"/>
          <w:highlight w:val="none"/>
        </w:rPr>
      </w:pPr>
      <w:r>
        <w:rPr>
          <w:rFonts w:hint="eastAsia" w:ascii="宋体" w:hAnsi="宋体"/>
          <w:color w:val="auto"/>
          <w:sz w:val="24"/>
          <w:szCs w:val="24"/>
          <w:highlight w:val="none"/>
        </w:rPr>
        <w:br w:type="page" w:clear="all"/>
      </w:r>
      <w:r>
        <w:rPr>
          <w:rFonts w:hint="eastAsia" w:ascii="宋体" w:hAnsi="宋体"/>
          <w:b/>
          <w:bCs/>
          <w:color w:val="auto"/>
          <w:sz w:val="32"/>
          <w:szCs w:val="32"/>
          <w:highlight w:val="none"/>
        </w:rPr>
        <w:t>法定代表人身份证明</w:t>
      </w:r>
    </w:p>
    <w:p w14:paraId="4C0E2061">
      <w:pPr>
        <w:pStyle w:val="252"/>
        <w:spacing w:before="1"/>
        <w:rPr>
          <w:rFonts w:ascii="黑体"/>
          <w:color w:val="auto"/>
          <w:sz w:val="34"/>
          <w:highlight w:val="none"/>
        </w:rPr>
      </w:pPr>
    </w:p>
    <w:p w14:paraId="6A34B634">
      <w:pPr>
        <w:pStyle w:val="252"/>
        <w:tabs>
          <w:tab w:val="left" w:pos="5080"/>
        </w:tabs>
        <w:spacing w:line="480" w:lineRule="auto"/>
        <w:rPr>
          <w:rFonts w:ascii="Times New Roman" w:eastAsia="Times New Roman"/>
          <w:color w:val="auto"/>
          <w:sz w:val="24"/>
          <w:szCs w:val="24"/>
          <w:highlight w:val="none"/>
        </w:rPr>
      </w:pPr>
      <w:r>
        <w:rPr>
          <w:rFonts w:hint="eastAsia"/>
          <w:color w:val="auto"/>
          <w:spacing w:val="-1"/>
          <w:sz w:val="24"/>
          <w:szCs w:val="24"/>
          <w:highlight w:val="none"/>
        </w:rPr>
        <w:t>供应商</w:t>
      </w:r>
      <w:r>
        <w:rPr>
          <w:color w:val="auto"/>
          <w:sz w:val="24"/>
          <w:szCs w:val="24"/>
          <w:highlight w:val="none"/>
        </w:rPr>
        <w:t>名称：</w:t>
      </w:r>
      <w:r>
        <w:rPr>
          <w:rFonts w:ascii="Times New Roman" w:eastAsia="Times New Roman"/>
          <w:color w:val="auto"/>
          <w:sz w:val="24"/>
          <w:szCs w:val="24"/>
          <w:highlight w:val="none"/>
          <w:u w:val="single"/>
        </w:rPr>
        <w:tab/>
      </w:r>
    </w:p>
    <w:p w14:paraId="7E75A406">
      <w:pPr>
        <w:pStyle w:val="252"/>
        <w:spacing w:line="480" w:lineRule="auto"/>
        <w:rPr>
          <w:color w:val="auto"/>
          <w:sz w:val="24"/>
          <w:szCs w:val="24"/>
          <w:highlight w:val="none"/>
        </w:rPr>
      </w:pPr>
      <w:r>
        <w:rPr>
          <w:rFonts w:hint="eastAsia"/>
          <w:color w:val="auto"/>
          <w:sz w:val="24"/>
          <w:szCs w:val="24"/>
          <w:highlight w:val="none"/>
        </w:rPr>
        <w:t>姓名：</w:t>
      </w:r>
      <w:r>
        <w:rPr>
          <w:rFonts w:hint="eastAsia"/>
          <w:color w:val="auto"/>
          <w:sz w:val="24"/>
          <w:szCs w:val="24"/>
          <w:highlight w:val="none"/>
          <w:lang w:eastAsia="zh-CN"/>
        </w:rPr>
        <w:t>（</w:t>
      </w:r>
      <w:r>
        <w:rPr>
          <w:rFonts w:hint="eastAsia"/>
          <w:b/>
          <w:bCs/>
          <w:color w:val="auto"/>
          <w:sz w:val="28"/>
          <w:szCs w:val="28"/>
          <w:highlight w:val="none"/>
          <w:u w:val="single"/>
        </w:rPr>
        <w:t>法定代表人签字或签章</w:t>
      </w:r>
      <w:r>
        <w:rPr>
          <w:rFonts w:hint="eastAsia"/>
          <w:b/>
          <w:bCs/>
          <w:color w:val="auto"/>
          <w:sz w:val="28"/>
          <w:szCs w:val="28"/>
          <w:highlight w:val="none"/>
          <w:u w:val="single"/>
          <w:lang w:eastAsia="zh-CN"/>
        </w:rPr>
        <w:t>）</w:t>
      </w:r>
      <w:r>
        <w:rPr>
          <w:rFonts w:hint="eastAsia"/>
          <w:color w:val="auto"/>
          <w:sz w:val="24"/>
          <w:szCs w:val="24"/>
          <w:highlight w:val="none"/>
        </w:rPr>
        <w:t>性别：____年龄：_____职务：_____系_________</w:t>
      </w:r>
      <w:r>
        <w:rPr>
          <w:rFonts w:hint="eastAsia"/>
          <w:color w:val="auto"/>
          <w:sz w:val="24"/>
          <w:szCs w:val="24"/>
          <w:highlight w:val="none"/>
          <w:lang w:eastAsia="zh-CN"/>
        </w:rPr>
        <w:t>（</w:t>
      </w:r>
      <w:r>
        <w:rPr>
          <w:rFonts w:hint="eastAsia"/>
          <w:color w:val="auto"/>
          <w:sz w:val="24"/>
          <w:szCs w:val="24"/>
          <w:highlight w:val="none"/>
        </w:rPr>
        <w:t>供应商名称</w:t>
      </w:r>
      <w:r>
        <w:rPr>
          <w:rFonts w:hint="eastAsia"/>
          <w:color w:val="auto"/>
          <w:sz w:val="24"/>
          <w:szCs w:val="24"/>
          <w:highlight w:val="none"/>
          <w:lang w:eastAsia="zh-CN"/>
        </w:rPr>
        <w:t>）</w:t>
      </w:r>
      <w:r>
        <w:rPr>
          <w:rFonts w:hint="eastAsia"/>
          <w:color w:val="auto"/>
          <w:sz w:val="24"/>
          <w:szCs w:val="24"/>
          <w:highlight w:val="none"/>
        </w:rPr>
        <w:t>的法定代表人。</w:t>
      </w:r>
    </w:p>
    <w:p w14:paraId="2F2DA8EF">
      <w:pPr>
        <w:pStyle w:val="252"/>
        <w:spacing w:line="480" w:lineRule="auto"/>
        <w:rPr>
          <w:color w:val="auto"/>
          <w:sz w:val="24"/>
          <w:szCs w:val="24"/>
          <w:highlight w:val="none"/>
        </w:rPr>
      </w:pPr>
      <w:r>
        <w:rPr>
          <w:color w:val="auto"/>
          <w:sz w:val="24"/>
          <w:szCs w:val="24"/>
          <w:highlight w:val="none"/>
        </w:rPr>
        <w:t>特此证明。</w:t>
      </w:r>
    </w:p>
    <w:p w14:paraId="3741909C">
      <w:pPr>
        <w:pStyle w:val="252"/>
        <w:spacing w:before="1"/>
        <w:rPr>
          <w:color w:val="auto"/>
          <w:sz w:val="24"/>
          <w:szCs w:val="24"/>
          <w:highlight w:val="none"/>
        </w:rPr>
      </w:pPr>
    </w:p>
    <w:p w14:paraId="45DCB916">
      <w:pPr>
        <w:ind w:left="224"/>
        <w:rPr>
          <w:color w:val="auto"/>
          <w:sz w:val="24"/>
          <w:szCs w:val="24"/>
          <w:highlight w:val="none"/>
        </w:rPr>
      </w:pPr>
      <w:r>
        <w:rPr>
          <w:color w:val="auto"/>
          <w:sz w:val="24"/>
          <w:szCs w:val="24"/>
          <w:highlight w:val="none"/>
        </w:rPr>
        <w:t>附：法定代表人身份证</w:t>
      </w:r>
      <w:r>
        <w:rPr>
          <w:rFonts w:hint="eastAsia"/>
          <w:color w:val="auto"/>
          <w:sz w:val="24"/>
          <w:szCs w:val="24"/>
          <w:highlight w:val="none"/>
        </w:rPr>
        <w:t>扫描件</w:t>
      </w:r>
      <w:r>
        <w:rPr>
          <w:color w:val="auto"/>
          <w:sz w:val="24"/>
          <w:szCs w:val="24"/>
          <w:highlight w:val="none"/>
        </w:rPr>
        <w:t>。</w:t>
      </w:r>
    </w:p>
    <w:p w14:paraId="007161FE">
      <w:pPr>
        <w:pStyle w:val="252"/>
        <w:rPr>
          <w:color w:val="auto"/>
          <w:sz w:val="24"/>
          <w:szCs w:val="24"/>
          <w:highlight w:val="none"/>
        </w:rPr>
      </w:pPr>
    </w:p>
    <w:p w14:paraId="1578F10D">
      <w:pPr>
        <w:pStyle w:val="252"/>
        <w:spacing w:before="9"/>
        <w:rPr>
          <w:color w:val="auto"/>
          <w:sz w:val="24"/>
          <w:szCs w:val="24"/>
          <w:highlight w:val="none"/>
        </w:rPr>
      </w:pPr>
    </w:p>
    <w:p w14:paraId="102111E6">
      <w:pPr>
        <w:pStyle w:val="252"/>
        <w:tabs>
          <w:tab w:val="left" w:pos="6345"/>
        </w:tabs>
        <w:ind w:left="3345"/>
        <w:rPr>
          <w:color w:val="auto"/>
          <w:sz w:val="24"/>
          <w:szCs w:val="24"/>
          <w:highlight w:val="none"/>
        </w:rPr>
      </w:pPr>
      <w:r>
        <w:rPr>
          <w:rFonts w:hint="eastAsia"/>
          <w:color w:val="auto"/>
          <w:sz w:val="24"/>
          <w:szCs w:val="24"/>
          <w:highlight w:val="none"/>
        </w:rPr>
        <w:t>供应商</w:t>
      </w:r>
      <w:r>
        <w:rPr>
          <w:color w:val="auto"/>
          <w:sz w:val="24"/>
          <w:szCs w:val="24"/>
          <w:highlight w:val="none"/>
        </w:rPr>
        <w:t>：</w:t>
      </w:r>
      <w:r>
        <w:rPr>
          <w:color w:val="auto"/>
          <w:sz w:val="24"/>
          <w:szCs w:val="24"/>
          <w:highlight w:val="none"/>
          <w:u w:val="single"/>
        </w:rPr>
        <w:tab/>
      </w:r>
      <w:r>
        <w:rPr>
          <w:color w:val="auto"/>
          <w:sz w:val="24"/>
          <w:szCs w:val="24"/>
          <w:highlight w:val="none"/>
        </w:rPr>
        <w:t>（盖单位章）</w:t>
      </w:r>
    </w:p>
    <w:p w14:paraId="06CAA108">
      <w:pPr>
        <w:pStyle w:val="252"/>
        <w:tabs>
          <w:tab w:val="left" w:pos="5625"/>
          <w:tab w:val="left" w:pos="6585"/>
          <w:tab w:val="left" w:pos="7240"/>
        </w:tabs>
        <w:spacing w:before="131"/>
        <w:ind w:left="4545" w:firstLine="240"/>
        <w:rPr>
          <w:color w:val="auto"/>
          <w:sz w:val="24"/>
          <w:szCs w:val="24"/>
          <w:highlight w:val="none"/>
        </w:rPr>
      </w:pPr>
      <w:r>
        <w:rPr>
          <w:color w:val="auto"/>
          <w:sz w:val="24"/>
          <w:szCs w:val="24"/>
          <w:highlight w:val="none"/>
          <w:u w:val="single"/>
        </w:rPr>
        <w:tab/>
      </w:r>
      <w:r>
        <w:rPr>
          <w:color w:val="auto"/>
          <w:sz w:val="24"/>
          <w:szCs w:val="24"/>
          <w:highlight w:val="none"/>
        </w:rPr>
        <w:t>年</w:t>
      </w:r>
      <w:r>
        <w:rPr>
          <w:color w:val="auto"/>
          <w:sz w:val="24"/>
          <w:szCs w:val="24"/>
          <w:highlight w:val="none"/>
          <w:u w:val="single"/>
        </w:rPr>
        <w:tab/>
      </w:r>
      <w:r>
        <w:rPr>
          <w:color w:val="auto"/>
          <w:sz w:val="24"/>
          <w:szCs w:val="24"/>
          <w:highlight w:val="none"/>
        </w:rPr>
        <w:t>月</w:t>
      </w:r>
      <w:r>
        <w:rPr>
          <w:color w:val="auto"/>
          <w:sz w:val="24"/>
          <w:szCs w:val="24"/>
          <w:highlight w:val="none"/>
          <w:u w:val="single"/>
        </w:rPr>
        <w:tab/>
      </w:r>
      <w:r>
        <w:rPr>
          <w:rFonts w:hint="eastAsia"/>
          <w:color w:val="auto"/>
          <w:sz w:val="24"/>
          <w:szCs w:val="24"/>
          <w:highlight w:val="none"/>
          <w:u w:val="single"/>
        </w:rPr>
        <w:t xml:space="preserve">  </w:t>
      </w:r>
      <w:r>
        <w:rPr>
          <w:color w:val="auto"/>
          <w:sz w:val="24"/>
          <w:szCs w:val="24"/>
          <w:highlight w:val="none"/>
        </w:rPr>
        <w:t>日</w:t>
      </w:r>
    </w:p>
    <w:p w14:paraId="5F964A0E">
      <w:pPr>
        <w:rPr>
          <w:rFonts w:hint="eastAsia"/>
          <w:color w:val="auto"/>
          <w:sz w:val="24"/>
          <w:szCs w:val="24"/>
          <w:highlight w:val="none"/>
        </w:rPr>
      </w:pPr>
      <w:r>
        <w:rPr>
          <w:rFonts w:hint="eastAsia"/>
          <w:color w:val="auto"/>
          <w:sz w:val="24"/>
          <w:szCs w:val="24"/>
          <w:highlight w:val="none"/>
        </w:rPr>
        <w:br w:type="page"/>
      </w:r>
    </w:p>
    <w:p w14:paraId="2D7B57B9">
      <w:pPr>
        <w:pStyle w:val="196"/>
        <w:rPr>
          <w:color w:val="auto"/>
          <w:sz w:val="24"/>
          <w:szCs w:val="24"/>
          <w:highlight w:val="none"/>
        </w:rPr>
      </w:pPr>
      <w:r>
        <w:rPr>
          <w:rFonts w:hint="eastAsia"/>
          <w:color w:val="auto"/>
          <w:sz w:val="24"/>
          <w:szCs w:val="24"/>
          <w:highlight w:val="none"/>
        </w:rPr>
        <w:t>附件三：报价一览表格式</w:t>
      </w:r>
    </w:p>
    <w:p w14:paraId="335E9534">
      <w:pPr>
        <w:widowControl/>
        <w:numPr>
          <w:ilvl w:val="0"/>
          <w:numId w:val="2"/>
        </w:numPr>
        <w:spacing w:line="360" w:lineRule="auto"/>
        <w:jc w:val="center"/>
        <w:rPr>
          <w:rFonts w:hint="eastAsia" w:ascii="黑体" w:hAnsi="宋体" w:eastAsia="黑体" w:cs="宋体"/>
          <w:color w:val="auto"/>
          <w:sz w:val="30"/>
          <w:szCs w:val="30"/>
          <w:highlight w:val="none"/>
          <w:lang w:val="zh-CN"/>
        </w:rPr>
      </w:pPr>
      <w:r>
        <w:rPr>
          <w:rFonts w:hint="eastAsia" w:ascii="黑体" w:hAnsi="宋体" w:eastAsia="黑体" w:cs="宋体"/>
          <w:color w:val="auto"/>
          <w:sz w:val="30"/>
          <w:szCs w:val="30"/>
          <w:highlight w:val="none"/>
          <w:lang w:val="en-US" w:eastAsia="zh-CN"/>
        </w:rPr>
        <w:t>开标</w:t>
      </w:r>
      <w:r>
        <w:rPr>
          <w:rFonts w:hint="eastAsia" w:ascii="黑体" w:hAnsi="宋体" w:eastAsia="黑体" w:cs="宋体"/>
          <w:color w:val="auto"/>
          <w:sz w:val="30"/>
          <w:szCs w:val="30"/>
          <w:highlight w:val="none"/>
          <w:lang w:val="zh-CN"/>
        </w:rPr>
        <w:t>一览表</w:t>
      </w:r>
    </w:p>
    <w:p w14:paraId="65EC0B81">
      <w:pPr>
        <w:pStyle w:val="53"/>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w:t>
      </w:r>
    </w:p>
    <w:tbl>
      <w:tblPr>
        <w:tblStyle w:val="36"/>
        <w:tblW w:w="9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3"/>
        <w:gridCol w:w="7011"/>
      </w:tblGrid>
      <w:tr w14:paraId="24E84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2663" w:type="dxa"/>
            <w:noWrap w:val="0"/>
            <w:vAlign w:val="center"/>
          </w:tcPr>
          <w:p w14:paraId="1455A8FF">
            <w:pPr>
              <w:keepNext w:val="0"/>
              <w:keepLines w:val="0"/>
              <w:widowControl/>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7011" w:type="dxa"/>
            <w:noWrap w:val="0"/>
            <w:vAlign w:val="center"/>
          </w:tcPr>
          <w:p w14:paraId="7B2D60DB">
            <w:pPr>
              <w:keepNext/>
              <w:keepLines/>
              <w:suppressLineNumbers w:val="0"/>
              <w:spacing w:before="0" w:beforeAutospacing="0" w:after="0" w:afterAutospacing="0"/>
              <w:ind w:left="0" w:right="0"/>
              <w:jc w:val="both"/>
              <w:outlineLvl w:val="3"/>
              <w:rPr>
                <w:rFonts w:hint="eastAsia" w:ascii="宋体" w:hAnsi="宋体" w:cs="宋体"/>
                <w:color w:val="auto"/>
                <w:sz w:val="24"/>
                <w:szCs w:val="24"/>
                <w:highlight w:val="none"/>
              </w:rPr>
            </w:pPr>
            <w:r>
              <w:rPr>
                <w:rFonts w:hint="eastAsia" w:ascii="宋体" w:hAnsi="宋体" w:eastAsia="Calibri" w:cs="宋体"/>
                <w:b w:val="0"/>
                <w:bCs w:val="0"/>
                <w:color w:val="auto"/>
                <w:sz w:val="24"/>
                <w:szCs w:val="24"/>
                <w:highlight w:val="none"/>
                <w:lang w:val="zh-CN"/>
              </w:rPr>
              <w:t>（大写）</w:t>
            </w:r>
            <w:r>
              <w:rPr>
                <w:rFonts w:hint="eastAsia" w:ascii="宋体" w:hAnsi="宋体" w:eastAsia="宋体" w:cs="宋体"/>
                <w:b w:val="0"/>
                <w:bCs w:val="0"/>
                <w:color w:val="auto"/>
                <w:sz w:val="24"/>
                <w:szCs w:val="24"/>
                <w:highlight w:val="none"/>
                <w:u w:val="single"/>
                <w:lang w:val="en-US" w:eastAsia="zh-CN"/>
              </w:rPr>
              <w:t xml:space="preserve">         元</w:t>
            </w:r>
            <w:r>
              <w:rPr>
                <w:rFonts w:hint="eastAsia" w:ascii="宋体" w:hAnsi="宋体" w:eastAsia="Calibri" w:cs="宋体"/>
                <w:b w:val="0"/>
                <w:bCs w:val="0"/>
                <w:color w:val="auto"/>
                <w:sz w:val="24"/>
                <w:szCs w:val="24"/>
                <w:highlight w:val="none"/>
                <w:lang w:val="zh-CN"/>
              </w:rPr>
              <w:t>（¥</w:t>
            </w:r>
            <w:r>
              <w:rPr>
                <w:rFonts w:hint="eastAsia" w:ascii="宋体" w:hAnsi="宋体" w:eastAsia="Calibri" w:cs="宋体"/>
                <w:b w:val="0"/>
                <w:bCs w:val="0"/>
                <w:color w:val="auto"/>
                <w:sz w:val="24"/>
                <w:szCs w:val="24"/>
                <w:highlight w:val="none"/>
                <w:u w:val="single"/>
                <w:lang w:val="zh-CN"/>
              </w:rPr>
              <w:t xml:space="preserve"> </w:t>
            </w:r>
            <w:r>
              <w:rPr>
                <w:rFonts w:ascii="宋体" w:hAnsi="宋体" w:eastAsia="Calibri" w:cs="宋体"/>
                <w:b w:val="0"/>
                <w:bCs w:val="0"/>
                <w:color w:val="auto"/>
                <w:sz w:val="24"/>
                <w:szCs w:val="24"/>
                <w:highlight w:val="none"/>
                <w:u w:val="single"/>
                <w:lang w:val="zh-CN"/>
              </w:rPr>
              <w:t xml:space="preserve">       </w:t>
            </w:r>
            <w:r>
              <w:rPr>
                <w:rFonts w:hint="eastAsia" w:ascii="宋体" w:hAnsi="宋体" w:eastAsia="宋体" w:cs="宋体"/>
                <w:b w:val="0"/>
                <w:bCs w:val="0"/>
                <w:color w:val="auto"/>
                <w:sz w:val="24"/>
                <w:szCs w:val="24"/>
                <w:highlight w:val="none"/>
                <w:u w:val="single"/>
                <w:lang w:val="en-US" w:eastAsia="zh-CN"/>
              </w:rPr>
              <w:t>元</w:t>
            </w:r>
            <w:r>
              <w:rPr>
                <w:rFonts w:hint="eastAsia" w:ascii="宋体" w:hAnsi="宋体" w:eastAsia="Calibri" w:cs="宋体"/>
                <w:b w:val="0"/>
                <w:bCs w:val="0"/>
                <w:color w:val="auto"/>
                <w:sz w:val="24"/>
                <w:szCs w:val="24"/>
                <w:highlight w:val="none"/>
                <w:u w:val="none"/>
                <w:lang w:val="zh-CN"/>
              </w:rPr>
              <w:t>）</w:t>
            </w:r>
          </w:p>
        </w:tc>
      </w:tr>
      <w:tr w14:paraId="2A97E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663" w:type="dxa"/>
            <w:noWrap w:val="0"/>
            <w:vAlign w:val="center"/>
          </w:tcPr>
          <w:p w14:paraId="7C457E1F">
            <w:pPr>
              <w:keepNext w:val="0"/>
              <w:keepLines w:val="0"/>
              <w:widowControl/>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项目负责人</w:t>
            </w:r>
          </w:p>
        </w:tc>
        <w:tc>
          <w:tcPr>
            <w:tcW w:w="7011" w:type="dxa"/>
            <w:noWrap w:val="0"/>
            <w:vAlign w:val="center"/>
          </w:tcPr>
          <w:p w14:paraId="14148450">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u w:val="single"/>
                <w:lang w:val="en-US" w:eastAsia="zh-CN"/>
              </w:rPr>
              <w:t xml:space="preserve">             </w:t>
            </w:r>
          </w:p>
        </w:tc>
      </w:tr>
      <w:tr w14:paraId="16DAA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663" w:type="dxa"/>
            <w:shd w:val="clear" w:color="auto" w:fill="auto"/>
            <w:noWrap w:val="0"/>
            <w:vAlign w:val="center"/>
          </w:tcPr>
          <w:p w14:paraId="15E17EE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合同履行期限</w:t>
            </w:r>
          </w:p>
        </w:tc>
        <w:tc>
          <w:tcPr>
            <w:tcW w:w="7011" w:type="dxa"/>
            <w:shd w:val="clear" w:color="auto" w:fill="auto"/>
            <w:noWrap w:val="0"/>
            <w:vAlign w:val="center"/>
          </w:tcPr>
          <w:p w14:paraId="61D06DC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lang w:val="en-US" w:eastAsia="zh-CN" w:bidi="ar-SA"/>
              </w:rPr>
            </w:pPr>
            <w:r>
              <w:rPr>
                <w:rFonts w:hint="eastAsia" w:ascii="宋体" w:hAnsi="宋体" w:cs="宋体"/>
                <w:b w:val="0"/>
                <w:bCs/>
                <w:color w:val="auto"/>
                <w:sz w:val="24"/>
                <w:szCs w:val="24"/>
                <w:highlight w:val="none"/>
                <w:u w:val="none"/>
              </w:rPr>
              <w:t>满足招标文件要求</w:t>
            </w:r>
          </w:p>
        </w:tc>
      </w:tr>
      <w:tr w14:paraId="6D4C6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663" w:type="dxa"/>
            <w:noWrap w:val="0"/>
            <w:vAlign w:val="center"/>
          </w:tcPr>
          <w:p w14:paraId="4665A33B">
            <w:pPr>
              <w:keepNext w:val="0"/>
              <w:keepLines w:val="0"/>
              <w:widowControl/>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Verdana"/>
                <w:color w:val="auto"/>
                <w:sz w:val="24"/>
                <w:szCs w:val="24"/>
                <w:highlight w:val="none"/>
                <w:lang w:val="zh-CN"/>
              </w:rPr>
              <w:t>是否属于小微型企业</w:t>
            </w:r>
          </w:p>
        </w:tc>
        <w:tc>
          <w:tcPr>
            <w:tcW w:w="7011" w:type="dxa"/>
            <w:noWrap w:val="0"/>
            <w:vAlign w:val="center"/>
          </w:tcPr>
          <w:p w14:paraId="493A302D">
            <w:pPr>
              <w:keepNext w:val="0"/>
              <w:keepLines w:val="0"/>
              <w:widowControl/>
              <w:suppressLineNumbers w:val="0"/>
              <w:spacing w:before="0" w:beforeAutospacing="0" w:after="0" w:afterAutospacing="0"/>
              <w:ind w:left="0" w:right="0"/>
              <w:jc w:val="left"/>
              <w:rPr>
                <w:rFonts w:hint="eastAsia" w:ascii="宋体" w:hAnsi="宋体" w:cs="宋体"/>
                <w:b/>
                <w:color w:val="auto"/>
                <w:sz w:val="24"/>
                <w:szCs w:val="24"/>
                <w:highlight w:val="none"/>
                <w:u w:val="single"/>
              </w:rPr>
            </w:pPr>
            <w:r>
              <w:rPr>
                <w:rFonts w:hint="eastAsia" w:ascii="宋体" w:hAnsi="宋体" w:cs="Verdana"/>
                <w:color w:val="auto"/>
                <w:sz w:val="24"/>
                <w:szCs w:val="24"/>
                <w:highlight w:val="none"/>
                <w:lang w:val="zh-CN"/>
              </w:rPr>
              <w:t xml:space="preserve">是 </w:t>
            </w:r>
            <w:r>
              <w:rPr>
                <w:rFonts w:hint="eastAsia" w:ascii="宋体" w:hAnsi="宋体" w:cs="Verdana"/>
                <w:color w:val="auto"/>
                <w:sz w:val="24"/>
                <w:szCs w:val="24"/>
                <w:highlight w:val="none"/>
              </w:rPr>
              <w:t xml:space="preserve"> </w:t>
            </w:r>
            <w:r>
              <w:rPr>
                <w:rFonts w:hint="eastAsia" w:ascii="宋体" w:hAnsi="宋体" w:cs="Verdana"/>
                <w:color w:val="auto"/>
                <w:sz w:val="24"/>
                <w:szCs w:val="24"/>
                <w:highlight w:val="none"/>
                <w:lang w:val="zh-CN"/>
              </w:rPr>
              <w:t xml:space="preserve">□  </w:t>
            </w:r>
            <w:r>
              <w:rPr>
                <w:rFonts w:hint="eastAsia" w:ascii="宋体" w:hAnsi="宋体" w:cs="Verdana"/>
                <w:color w:val="auto"/>
                <w:sz w:val="24"/>
                <w:szCs w:val="24"/>
                <w:highlight w:val="none"/>
              </w:rPr>
              <w:t xml:space="preserve">   </w:t>
            </w:r>
            <w:r>
              <w:rPr>
                <w:rFonts w:hint="eastAsia" w:ascii="宋体" w:hAnsi="宋体" w:cs="Verdana"/>
                <w:color w:val="auto"/>
                <w:sz w:val="24"/>
                <w:szCs w:val="24"/>
                <w:highlight w:val="none"/>
                <w:lang w:val="zh-CN"/>
              </w:rPr>
              <w:t>否</w:t>
            </w:r>
            <w:r>
              <w:rPr>
                <w:rFonts w:hint="eastAsia" w:ascii="宋体" w:hAnsi="宋体" w:cs="Verdana"/>
                <w:color w:val="auto"/>
                <w:sz w:val="24"/>
                <w:szCs w:val="24"/>
                <w:highlight w:val="none"/>
              </w:rPr>
              <w:t xml:space="preserve">  </w:t>
            </w:r>
            <w:r>
              <w:rPr>
                <w:rFonts w:hint="eastAsia" w:ascii="宋体" w:hAnsi="宋体" w:cs="Verdana"/>
                <w:color w:val="auto"/>
                <w:sz w:val="24"/>
                <w:szCs w:val="24"/>
                <w:highlight w:val="none"/>
                <w:lang w:val="zh-CN"/>
              </w:rPr>
              <w:t>□</w:t>
            </w:r>
          </w:p>
        </w:tc>
      </w:tr>
      <w:tr w14:paraId="2629A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663" w:type="dxa"/>
            <w:noWrap w:val="0"/>
            <w:vAlign w:val="center"/>
          </w:tcPr>
          <w:p w14:paraId="575F0906">
            <w:pPr>
              <w:keepNext w:val="0"/>
              <w:keepLines w:val="0"/>
              <w:widowControl/>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Verdana"/>
                <w:color w:val="auto"/>
                <w:sz w:val="24"/>
                <w:szCs w:val="24"/>
                <w:highlight w:val="none"/>
                <w:lang w:val="zh-CN"/>
              </w:rPr>
              <w:t>是否全部属于残疾人福利性单位产品</w:t>
            </w:r>
          </w:p>
        </w:tc>
        <w:tc>
          <w:tcPr>
            <w:tcW w:w="7011" w:type="dxa"/>
            <w:noWrap w:val="0"/>
            <w:vAlign w:val="center"/>
          </w:tcPr>
          <w:p w14:paraId="539A49A6">
            <w:pPr>
              <w:keepNext w:val="0"/>
              <w:keepLines w:val="0"/>
              <w:widowControl/>
              <w:suppressLineNumbers w:val="0"/>
              <w:spacing w:before="0" w:beforeAutospacing="0" w:after="0" w:afterAutospacing="0"/>
              <w:ind w:left="0" w:right="0"/>
              <w:jc w:val="left"/>
              <w:rPr>
                <w:rFonts w:hint="eastAsia" w:ascii="宋体" w:hAnsi="宋体" w:cs="宋体"/>
                <w:b/>
                <w:color w:val="auto"/>
                <w:sz w:val="24"/>
                <w:szCs w:val="24"/>
                <w:highlight w:val="none"/>
                <w:u w:val="single"/>
              </w:rPr>
            </w:pPr>
            <w:r>
              <w:rPr>
                <w:rFonts w:hint="eastAsia" w:ascii="宋体" w:hAnsi="宋体" w:cs="Verdana"/>
                <w:color w:val="auto"/>
                <w:sz w:val="24"/>
                <w:szCs w:val="24"/>
                <w:highlight w:val="none"/>
                <w:lang w:val="zh-CN"/>
              </w:rPr>
              <w:t>是  □     否</w:t>
            </w:r>
            <w:r>
              <w:rPr>
                <w:rFonts w:hint="eastAsia" w:ascii="宋体" w:hAnsi="宋体" w:cs="Verdana"/>
                <w:color w:val="auto"/>
                <w:sz w:val="24"/>
                <w:szCs w:val="24"/>
                <w:highlight w:val="none"/>
              </w:rPr>
              <w:t xml:space="preserve">  </w:t>
            </w:r>
            <w:r>
              <w:rPr>
                <w:rFonts w:hint="eastAsia" w:ascii="宋体" w:hAnsi="宋体" w:cs="Verdana"/>
                <w:color w:val="auto"/>
                <w:sz w:val="24"/>
                <w:szCs w:val="24"/>
                <w:highlight w:val="none"/>
                <w:lang w:val="zh-CN"/>
              </w:rPr>
              <w:t>□</w:t>
            </w:r>
          </w:p>
        </w:tc>
      </w:tr>
      <w:tr w14:paraId="7D526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663" w:type="dxa"/>
            <w:noWrap w:val="0"/>
            <w:vAlign w:val="center"/>
          </w:tcPr>
          <w:p w14:paraId="06A97D05">
            <w:pPr>
              <w:keepNext w:val="0"/>
              <w:keepLines w:val="0"/>
              <w:widowControl/>
              <w:suppressLineNumbers w:val="0"/>
              <w:spacing w:before="0" w:beforeAutospacing="0" w:after="0" w:afterAutospacing="0"/>
              <w:ind w:left="0" w:right="0"/>
              <w:jc w:val="center"/>
              <w:rPr>
                <w:rFonts w:ascii="宋体" w:hAnsi="宋体" w:cs="Verdana"/>
                <w:color w:val="auto"/>
                <w:sz w:val="24"/>
                <w:szCs w:val="24"/>
                <w:highlight w:val="none"/>
                <w:lang w:val="zh-CN"/>
              </w:rPr>
            </w:pPr>
            <w:r>
              <w:rPr>
                <w:rFonts w:hint="eastAsia" w:ascii="宋体" w:hAnsi="宋体" w:cs="Verdana"/>
                <w:color w:val="auto"/>
                <w:sz w:val="24"/>
                <w:szCs w:val="24"/>
                <w:highlight w:val="none"/>
                <w:lang w:val="zh-CN"/>
              </w:rPr>
              <w:t>是否全部属于监狱企业</w:t>
            </w:r>
          </w:p>
          <w:p w14:paraId="7DB16715">
            <w:pPr>
              <w:keepNext w:val="0"/>
              <w:keepLines w:val="0"/>
              <w:widowControl/>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Verdana"/>
                <w:color w:val="auto"/>
                <w:sz w:val="24"/>
                <w:szCs w:val="24"/>
                <w:highlight w:val="none"/>
                <w:lang w:val="zh-CN"/>
              </w:rPr>
              <w:t>产品</w:t>
            </w:r>
          </w:p>
        </w:tc>
        <w:tc>
          <w:tcPr>
            <w:tcW w:w="7011" w:type="dxa"/>
            <w:noWrap w:val="0"/>
            <w:vAlign w:val="center"/>
          </w:tcPr>
          <w:p w14:paraId="3037048D">
            <w:pPr>
              <w:keepNext w:val="0"/>
              <w:keepLines w:val="0"/>
              <w:widowControl/>
              <w:suppressLineNumbers w:val="0"/>
              <w:spacing w:before="0" w:beforeAutospacing="0" w:after="0" w:afterAutospacing="0"/>
              <w:ind w:left="0" w:right="0"/>
              <w:jc w:val="left"/>
              <w:rPr>
                <w:rFonts w:hint="eastAsia" w:ascii="宋体" w:hAnsi="宋体" w:cs="宋体"/>
                <w:b/>
                <w:color w:val="auto"/>
                <w:sz w:val="24"/>
                <w:szCs w:val="24"/>
                <w:highlight w:val="none"/>
                <w:u w:val="single"/>
              </w:rPr>
            </w:pPr>
            <w:r>
              <w:rPr>
                <w:rFonts w:hint="eastAsia" w:ascii="宋体" w:hAnsi="宋体" w:cs="Verdana"/>
                <w:color w:val="auto"/>
                <w:sz w:val="24"/>
                <w:szCs w:val="24"/>
                <w:highlight w:val="none"/>
                <w:lang w:val="zh-CN"/>
              </w:rPr>
              <w:t>是</w:t>
            </w:r>
            <w:r>
              <w:rPr>
                <w:rFonts w:hint="eastAsia" w:ascii="宋体" w:hAnsi="宋体" w:cs="Verdana"/>
                <w:color w:val="auto"/>
                <w:sz w:val="24"/>
                <w:szCs w:val="24"/>
                <w:highlight w:val="none"/>
              </w:rPr>
              <w:t xml:space="preserve"> </w:t>
            </w:r>
            <w:r>
              <w:rPr>
                <w:rFonts w:hint="eastAsia" w:ascii="宋体" w:hAnsi="宋体" w:cs="Verdana"/>
                <w:color w:val="auto"/>
                <w:sz w:val="24"/>
                <w:szCs w:val="24"/>
                <w:highlight w:val="none"/>
                <w:lang w:val="zh-CN"/>
              </w:rPr>
              <w:t xml:space="preserve"> □     否</w:t>
            </w:r>
            <w:r>
              <w:rPr>
                <w:rFonts w:hint="eastAsia" w:ascii="宋体" w:hAnsi="宋体" w:cs="Verdana"/>
                <w:color w:val="auto"/>
                <w:sz w:val="24"/>
                <w:szCs w:val="24"/>
                <w:highlight w:val="none"/>
              </w:rPr>
              <w:t xml:space="preserve">  </w:t>
            </w:r>
            <w:r>
              <w:rPr>
                <w:rFonts w:hint="eastAsia" w:ascii="宋体" w:hAnsi="宋体" w:cs="Verdana"/>
                <w:color w:val="auto"/>
                <w:sz w:val="24"/>
                <w:szCs w:val="24"/>
                <w:highlight w:val="none"/>
                <w:lang w:val="zh-CN"/>
              </w:rPr>
              <w:t>□</w:t>
            </w:r>
          </w:p>
        </w:tc>
      </w:tr>
      <w:tr w14:paraId="225C3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663" w:type="dxa"/>
            <w:noWrap w:val="0"/>
            <w:vAlign w:val="center"/>
          </w:tcPr>
          <w:p w14:paraId="352A03BB">
            <w:pPr>
              <w:keepNext w:val="0"/>
              <w:keepLines w:val="0"/>
              <w:widowControl/>
              <w:suppressLineNumbers w:val="0"/>
              <w:spacing w:before="0" w:beforeAutospacing="0" w:after="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c>
          <w:tcPr>
            <w:tcW w:w="7011" w:type="dxa"/>
            <w:noWrap w:val="0"/>
            <w:vAlign w:val="center"/>
          </w:tcPr>
          <w:p w14:paraId="2701963F">
            <w:pPr>
              <w:keepNext w:val="0"/>
              <w:keepLines w:val="0"/>
              <w:widowControl/>
              <w:suppressLineNumbers w:val="0"/>
              <w:spacing w:before="0" w:beforeAutospacing="0" w:after="0" w:afterAutospacing="0"/>
              <w:ind w:left="0" w:right="0"/>
              <w:jc w:val="left"/>
              <w:rPr>
                <w:rFonts w:hint="eastAsia" w:ascii="宋体" w:hAnsi="宋体" w:cs="宋体"/>
                <w:b/>
                <w:bCs/>
                <w:color w:val="auto"/>
                <w:sz w:val="24"/>
                <w:szCs w:val="24"/>
                <w:highlight w:val="none"/>
              </w:rPr>
            </w:pPr>
          </w:p>
        </w:tc>
      </w:tr>
    </w:tbl>
    <w:p w14:paraId="0AF852B0">
      <w:pPr>
        <w:widowControl/>
        <w:spacing w:line="360" w:lineRule="auto"/>
        <w:jc w:val="left"/>
        <w:rPr>
          <w:rFonts w:ascii="宋体" w:hAnsi="宋体" w:cs="宋体"/>
          <w:color w:val="auto"/>
          <w:sz w:val="24"/>
          <w:szCs w:val="24"/>
          <w:highlight w:val="none"/>
          <w:lang w:val="zh-CN"/>
        </w:rPr>
      </w:pPr>
    </w:p>
    <w:p w14:paraId="7718CF60">
      <w:pPr>
        <w:widowControl/>
        <w:shd w:val="clear" w:color="auto" w:fill="FFFFFF"/>
        <w:spacing w:line="360" w:lineRule="auto"/>
        <w:jc w:val="left"/>
        <w:rPr>
          <w:rFonts w:ascii="宋体"/>
          <w:color w:val="auto"/>
          <w:kern w:val="0"/>
          <w:sz w:val="24"/>
          <w:szCs w:val="24"/>
          <w:highlight w:val="none"/>
        </w:rPr>
      </w:pPr>
      <w:r>
        <w:rPr>
          <w:rFonts w:hint="eastAsia" w:ascii="宋体" w:hAnsi="宋体" w:cs="宋体"/>
          <w:color w:val="auto"/>
          <w:kern w:val="0"/>
          <w:sz w:val="24"/>
          <w:szCs w:val="24"/>
          <w:highlight w:val="none"/>
        </w:rPr>
        <w:t>投标人</w:t>
      </w:r>
      <w:r>
        <w:rPr>
          <w:rFonts w:hint="eastAsia" w:ascii="宋体" w:hAnsi="宋体"/>
          <w:color w:val="auto"/>
          <w:sz w:val="24"/>
          <w:szCs w:val="24"/>
          <w:highlight w:val="none"/>
        </w:rPr>
        <w:t>（加盖公章）</w:t>
      </w:r>
      <w:r>
        <w:rPr>
          <w:rFonts w:hint="eastAsia" w:ascii="宋体" w:hAnsi="宋体" w:cs="宋体"/>
          <w:color w:val="auto"/>
          <w:kern w:val="0"/>
          <w:sz w:val="24"/>
          <w:szCs w:val="24"/>
          <w:highlight w:val="none"/>
        </w:rPr>
        <w:t>：</w:t>
      </w:r>
      <w:r>
        <w:rPr>
          <w:rFonts w:ascii="宋体"/>
          <w:color w:val="auto"/>
          <w:kern w:val="0"/>
          <w:sz w:val="24"/>
          <w:szCs w:val="24"/>
          <w:highlight w:val="none"/>
          <w:u w:val="single"/>
        </w:rPr>
        <w:t xml:space="preserve">                   </w:t>
      </w:r>
    </w:p>
    <w:p w14:paraId="7DBA45EC">
      <w:pPr>
        <w:widowControl/>
        <w:spacing w:line="360" w:lineRule="auto"/>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说明：如行数不够，可自行增加表格</w:t>
      </w:r>
    </w:p>
    <w:p w14:paraId="45DCBDDA">
      <w:pPr>
        <w:widowControl/>
        <w:spacing w:line="360" w:lineRule="auto"/>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1.在“是否全部属于小微型企业产品”栏后“是”或“否”</w:t>
      </w:r>
      <w:r>
        <w:rPr>
          <w:rFonts w:hint="eastAsia" w:ascii="宋体" w:hAnsi="宋体" w:cs="Verdana"/>
          <w:color w:val="auto"/>
          <w:sz w:val="24"/>
          <w:szCs w:val="24"/>
          <w:highlight w:val="none"/>
          <w:lang w:val="zh-CN"/>
        </w:rPr>
        <w:t xml:space="preserve"> □</w:t>
      </w:r>
      <w:r>
        <w:rPr>
          <w:rFonts w:hint="eastAsia" w:ascii="宋体" w:hAnsi="宋体" w:cs="宋体"/>
          <w:b/>
          <w:color w:val="auto"/>
          <w:sz w:val="24"/>
          <w:szCs w:val="24"/>
          <w:highlight w:val="none"/>
          <w:lang w:val="zh-CN"/>
        </w:rPr>
        <w:t>上打“√”。</w:t>
      </w:r>
    </w:p>
    <w:p w14:paraId="7A18BAEF">
      <w:pPr>
        <w:widowControl/>
        <w:spacing w:line="360" w:lineRule="auto"/>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rPr>
        <w:t>2</w:t>
      </w:r>
      <w:r>
        <w:rPr>
          <w:rFonts w:hint="eastAsia" w:ascii="宋体" w:hAnsi="宋体" w:cs="宋体"/>
          <w:b/>
          <w:color w:val="auto"/>
          <w:sz w:val="24"/>
          <w:szCs w:val="24"/>
          <w:highlight w:val="none"/>
          <w:lang w:val="zh-CN"/>
        </w:rPr>
        <w:t>.在“是否全部属于残疾人福利性单位产品”栏后“是”或“否”</w:t>
      </w:r>
      <w:r>
        <w:rPr>
          <w:rFonts w:hint="eastAsia" w:ascii="宋体" w:hAnsi="宋体" w:cs="Verdana"/>
          <w:color w:val="auto"/>
          <w:sz w:val="24"/>
          <w:szCs w:val="24"/>
          <w:highlight w:val="none"/>
          <w:lang w:val="zh-CN"/>
        </w:rPr>
        <w:t xml:space="preserve"> □</w:t>
      </w:r>
      <w:r>
        <w:rPr>
          <w:rFonts w:hint="eastAsia" w:ascii="宋体" w:hAnsi="宋体" w:cs="宋体"/>
          <w:b/>
          <w:color w:val="auto"/>
          <w:sz w:val="24"/>
          <w:szCs w:val="24"/>
          <w:highlight w:val="none"/>
          <w:lang w:val="zh-CN"/>
        </w:rPr>
        <w:t>上打“√”。</w:t>
      </w:r>
    </w:p>
    <w:p w14:paraId="0505E454">
      <w:pPr>
        <w:widowControl/>
        <w:spacing w:line="360" w:lineRule="auto"/>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rPr>
        <w:t>3</w:t>
      </w:r>
      <w:r>
        <w:rPr>
          <w:rFonts w:hint="eastAsia" w:ascii="宋体" w:hAnsi="宋体" w:cs="宋体"/>
          <w:b/>
          <w:color w:val="auto"/>
          <w:sz w:val="24"/>
          <w:szCs w:val="24"/>
          <w:highlight w:val="none"/>
          <w:lang w:val="zh-CN"/>
        </w:rPr>
        <w:t>.在“是否全部属于监狱企业产品”栏后“是”或“否”</w:t>
      </w:r>
      <w:r>
        <w:rPr>
          <w:rFonts w:hint="eastAsia" w:ascii="宋体" w:hAnsi="宋体" w:cs="Verdana"/>
          <w:color w:val="auto"/>
          <w:sz w:val="24"/>
          <w:szCs w:val="24"/>
          <w:highlight w:val="none"/>
          <w:lang w:val="zh-CN"/>
        </w:rPr>
        <w:t xml:space="preserve"> □</w:t>
      </w:r>
      <w:r>
        <w:rPr>
          <w:rFonts w:hint="eastAsia" w:ascii="宋体" w:hAnsi="宋体" w:cs="宋体"/>
          <w:b/>
          <w:color w:val="auto"/>
          <w:sz w:val="24"/>
          <w:szCs w:val="24"/>
          <w:highlight w:val="none"/>
          <w:lang w:val="zh-CN"/>
        </w:rPr>
        <w:t>上打“√”。</w:t>
      </w:r>
    </w:p>
    <w:p w14:paraId="7CE9B601">
      <w:pPr>
        <w:widowControl/>
        <w:spacing w:line="240" w:lineRule="atLeast"/>
        <w:jc w:val="left"/>
        <w:rPr>
          <w:rFonts w:ascii="宋体" w:hAnsi="宋体" w:cs="宋体"/>
          <w:color w:val="auto"/>
          <w:highlight w:val="none"/>
          <w:lang w:val="zh-CN"/>
        </w:rPr>
      </w:pPr>
    </w:p>
    <w:p w14:paraId="1BC2D2C6">
      <w:pPr>
        <w:rPr>
          <w:rStyle w:val="253"/>
          <w:color w:val="auto"/>
          <w:highlight w:val="none"/>
        </w:rPr>
      </w:pPr>
    </w:p>
    <w:p w14:paraId="1E706D68">
      <w:pPr>
        <w:rPr>
          <w:rStyle w:val="253"/>
          <w:color w:val="auto"/>
          <w:highlight w:val="none"/>
        </w:rPr>
      </w:pPr>
    </w:p>
    <w:p w14:paraId="05527861">
      <w:pPr>
        <w:pStyle w:val="254"/>
        <w:rPr>
          <w:color w:val="auto"/>
          <w:highlight w:val="none"/>
        </w:rPr>
      </w:pPr>
    </w:p>
    <w:p w14:paraId="30ABA3D7">
      <w:pPr>
        <w:rPr>
          <w:rStyle w:val="253"/>
          <w:color w:val="auto"/>
          <w:highlight w:val="none"/>
        </w:rPr>
      </w:pPr>
    </w:p>
    <w:p w14:paraId="2DE3BA5A">
      <w:pPr>
        <w:rPr>
          <w:rFonts w:hint="eastAsia" w:ascii="黑体" w:eastAsia="黑体" w:cs="宋体"/>
          <w:b/>
          <w:bCs/>
          <w:color w:val="auto"/>
          <w:kern w:val="0"/>
          <w:sz w:val="36"/>
          <w:szCs w:val="36"/>
          <w:highlight w:val="none"/>
          <w:lang w:val="zh-CN"/>
        </w:rPr>
      </w:pPr>
      <w:r>
        <w:rPr>
          <w:rFonts w:hint="eastAsia" w:ascii="黑体" w:eastAsia="黑体" w:cs="宋体"/>
          <w:b/>
          <w:bCs/>
          <w:color w:val="auto"/>
          <w:kern w:val="0"/>
          <w:sz w:val="36"/>
          <w:szCs w:val="36"/>
          <w:highlight w:val="none"/>
          <w:lang w:val="zh-CN"/>
        </w:rPr>
        <w:br w:type="page"/>
      </w:r>
    </w:p>
    <w:p w14:paraId="5E1C3ED5">
      <w:pPr>
        <w:widowControl/>
        <w:numPr>
          <w:ilvl w:val="0"/>
          <w:numId w:val="0"/>
        </w:numPr>
        <w:spacing w:line="360" w:lineRule="auto"/>
        <w:jc w:val="center"/>
        <w:rPr>
          <w:rFonts w:hint="eastAsia" w:ascii="黑体" w:hAnsi="宋体" w:eastAsia="黑体" w:cs="宋体"/>
          <w:color w:val="auto"/>
          <w:sz w:val="30"/>
          <w:szCs w:val="30"/>
          <w:highlight w:val="none"/>
          <w:lang w:val="zh-CN" w:eastAsia="zh-CN"/>
        </w:rPr>
      </w:pPr>
      <w:r>
        <w:rPr>
          <w:rFonts w:hint="eastAsia" w:ascii="黑体" w:hAnsi="宋体" w:eastAsia="黑体" w:cs="宋体"/>
          <w:color w:val="auto"/>
          <w:sz w:val="30"/>
          <w:szCs w:val="30"/>
          <w:highlight w:val="none"/>
          <w:lang w:val="zh-CN" w:eastAsia="zh-CN"/>
        </w:rPr>
        <w:t>（</w:t>
      </w:r>
      <w:r>
        <w:rPr>
          <w:rFonts w:hint="eastAsia" w:ascii="黑体" w:hAnsi="宋体" w:eastAsia="黑体" w:cs="宋体"/>
          <w:color w:val="auto"/>
          <w:sz w:val="30"/>
          <w:szCs w:val="30"/>
          <w:highlight w:val="none"/>
          <w:lang w:val="en-US" w:eastAsia="zh-CN"/>
        </w:rPr>
        <w:t>二</w:t>
      </w:r>
      <w:r>
        <w:rPr>
          <w:rFonts w:hint="eastAsia" w:ascii="黑体" w:hAnsi="宋体" w:eastAsia="黑体" w:cs="宋体"/>
          <w:color w:val="auto"/>
          <w:sz w:val="30"/>
          <w:szCs w:val="30"/>
          <w:highlight w:val="none"/>
          <w:lang w:val="zh-CN" w:eastAsia="zh-CN"/>
        </w:rPr>
        <w:t>）分项报价表</w:t>
      </w:r>
    </w:p>
    <w:p w14:paraId="736E8574">
      <w:pPr>
        <w:pStyle w:val="5"/>
        <w:rPr>
          <w:rFonts w:hint="eastAsia" w:ascii="宋体" w:hAnsi="宋体" w:eastAsia="宋体"/>
          <w:b w:val="0"/>
          <w:color w:val="auto"/>
          <w:sz w:val="24"/>
          <w:szCs w:val="24"/>
          <w:highlight w:val="none"/>
          <w:lang w:val="zh-CN"/>
        </w:rPr>
      </w:pPr>
      <w:r>
        <w:rPr>
          <w:rFonts w:hint="eastAsia" w:ascii="宋体" w:hAnsi="宋体" w:eastAsia="宋体"/>
          <w:b w:val="0"/>
          <w:color w:val="auto"/>
          <w:sz w:val="24"/>
          <w:szCs w:val="24"/>
          <w:highlight w:val="none"/>
          <w:lang w:val="zh-CN"/>
        </w:rPr>
        <w:t>项目名称：                                    项目编号：</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941"/>
        <w:gridCol w:w="2648"/>
        <w:gridCol w:w="1039"/>
        <w:gridCol w:w="1407"/>
        <w:gridCol w:w="1761"/>
        <w:gridCol w:w="935"/>
      </w:tblGrid>
      <w:tr w14:paraId="621D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5E37150B">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Style w:val="253"/>
                <w:rFonts w:hint="eastAsia"/>
                <w:b w:val="0"/>
                <w:color w:val="auto"/>
                <w:sz w:val="24"/>
                <w:szCs w:val="24"/>
                <w:highlight w:val="none"/>
              </w:rPr>
              <w:t>序号</w:t>
            </w:r>
          </w:p>
        </w:tc>
        <w:tc>
          <w:tcPr>
            <w:tcW w:w="941" w:type="dxa"/>
            <w:noWrap w:val="0"/>
            <w:vAlign w:val="center"/>
          </w:tcPr>
          <w:p w14:paraId="2FBB2E8B">
            <w:pPr>
              <w:keepNext w:val="0"/>
              <w:keepLines w:val="0"/>
              <w:widowControl/>
              <w:suppressLineNumbers w:val="0"/>
              <w:adjustRightInd w:val="0"/>
              <w:spacing w:before="0" w:beforeAutospacing="0" w:after="0" w:afterAutospacing="0" w:line="360" w:lineRule="auto"/>
              <w:ind w:left="0" w:right="0"/>
              <w:jc w:val="center"/>
              <w:rPr>
                <w:rStyle w:val="253"/>
                <w:rFonts w:hint="default" w:eastAsia="宋体"/>
                <w:b w:val="0"/>
                <w:color w:val="auto"/>
                <w:sz w:val="24"/>
                <w:szCs w:val="24"/>
                <w:highlight w:val="none"/>
                <w:lang w:val="en-US" w:eastAsia="zh-CN"/>
              </w:rPr>
            </w:pPr>
            <w:r>
              <w:rPr>
                <w:rStyle w:val="253"/>
                <w:rFonts w:hint="eastAsia"/>
                <w:b w:val="0"/>
                <w:color w:val="auto"/>
                <w:sz w:val="24"/>
                <w:szCs w:val="24"/>
                <w:highlight w:val="none"/>
                <w:lang w:val="en-US" w:eastAsia="zh-CN"/>
              </w:rPr>
              <w:t>名称</w:t>
            </w:r>
          </w:p>
        </w:tc>
        <w:tc>
          <w:tcPr>
            <w:tcW w:w="2648" w:type="dxa"/>
            <w:noWrap w:val="0"/>
            <w:vAlign w:val="center"/>
          </w:tcPr>
          <w:p w14:paraId="1D8FD48F">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Style w:val="253"/>
                <w:rFonts w:hint="eastAsia"/>
                <w:b w:val="0"/>
                <w:color w:val="auto"/>
                <w:sz w:val="24"/>
                <w:szCs w:val="24"/>
                <w:highlight w:val="none"/>
              </w:rPr>
              <w:t>工作内容</w:t>
            </w:r>
          </w:p>
        </w:tc>
        <w:tc>
          <w:tcPr>
            <w:tcW w:w="1039" w:type="dxa"/>
            <w:noWrap w:val="0"/>
            <w:vAlign w:val="center"/>
          </w:tcPr>
          <w:p w14:paraId="03E16728">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Style w:val="253"/>
                <w:rFonts w:hint="eastAsia"/>
                <w:b w:val="0"/>
                <w:color w:val="auto"/>
                <w:sz w:val="24"/>
                <w:szCs w:val="24"/>
                <w:highlight w:val="none"/>
              </w:rPr>
              <w:t>单位</w:t>
            </w:r>
          </w:p>
        </w:tc>
        <w:tc>
          <w:tcPr>
            <w:tcW w:w="1407" w:type="dxa"/>
            <w:noWrap w:val="0"/>
            <w:vAlign w:val="center"/>
          </w:tcPr>
          <w:p w14:paraId="05AA6E97">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Style w:val="253"/>
                <w:rFonts w:hint="eastAsia"/>
                <w:b w:val="0"/>
                <w:color w:val="auto"/>
                <w:sz w:val="24"/>
                <w:szCs w:val="24"/>
                <w:highlight w:val="none"/>
              </w:rPr>
              <w:t>单价（元）</w:t>
            </w:r>
          </w:p>
        </w:tc>
        <w:tc>
          <w:tcPr>
            <w:tcW w:w="1761" w:type="dxa"/>
            <w:noWrap w:val="0"/>
            <w:vAlign w:val="center"/>
          </w:tcPr>
          <w:p w14:paraId="01EACCF5">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Style w:val="253"/>
                <w:rFonts w:hint="eastAsia"/>
                <w:b w:val="0"/>
                <w:color w:val="auto"/>
                <w:sz w:val="24"/>
                <w:szCs w:val="24"/>
                <w:highlight w:val="none"/>
              </w:rPr>
              <w:t>合计（元）</w:t>
            </w:r>
          </w:p>
        </w:tc>
        <w:tc>
          <w:tcPr>
            <w:tcW w:w="935" w:type="dxa"/>
            <w:noWrap w:val="0"/>
            <w:vAlign w:val="center"/>
          </w:tcPr>
          <w:p w14:paraId="182F48ED">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Style w:val="253"/>
                <w:rFonts w:hint="eastAsia"/>
                <w:b w:val="0"/>
                <w:color w:val="auto"/>
                <w:sz w:val="24"/>
                <w:szCs w:val="24"/>
                <w:highlight w:val="none"/>
              </w:rPr>
              <w:t>备注</w:t>
            </w:r>
          </w:p>
        </w:tc>
      </w:tr>
      <w:tr w14:paraId="1DE4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6" w:hRule="atLeast"/>
        </w:trPr>
        <w:tc>
          <w:tcPr>
            <w:tcW w:w="816" w:type="dxa"/>
            <w:noWrap w:val="0"/>
            <w:vAlign w:val="center"/>
          </w:tcPr>
          <w:p w14:paraId="67789CF9">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Style w:val="253"/>
                <w:rFonts w:hint="eastAsia"/>
                <w:b w:val="0"/>
                <w:color w:val="auto"/>
                <w:sz w:val="24"/>
                <w:szCs w:val="24"/>
                <w:highlight w:val="none"/>
              </w:rPr>
              <w:t>1</w:t>
            </w:r>
          </w:p>
        </w:tc>
        <w:tc>
          <w:tcPr>
            <w:tcW w:w="941" w:type="dxa"/>
            <w:noWrap w:val="0"/>
            <w:vAlign w:val="center"/>
          </w:tcPr>
          <w:p w14:paraId="38A8D6DB">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r>
              <w:rPr>
                <w:rFonts w:hint="eastAsia" w:ascii="宋体" w:hAnsi="宋体"/>
                <w:color w:val="auto"/>
                <w:sz w:val="22"/>
                <w:szCs w:val="22"/>
                <w:highlight w:val="none"/>
                <w:lang w:val="zh-CN"/>
              </w:rPr>
              <w:t>2026年南京市城市隧道土建结构定期检测项目</w:t>
            </w:r>
          </w:p>
        </w:tc>
        <w:tc>
          <w:tcPr>
            <w:tcW w:w="2648" w:type="dxa"/>
            <w:noWrap w:val="0"/>
            <w:vAlign w:val="center"/>
          </w:tcPr>
          <w:p w14:paraId="5E4C0149">
            <w:pPr>
              <w:widowControl/>
              <w:spacing w:line="360" w:lineRule="auto"/>
              <w:ind w:firstLine="400" w:firstLineChars="200"/>
              <w:jc w:val="lef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（1）结构变形检查：包括道路线形、横坡、纵坡、隧道净空变化检查等。</w:t>
            </w:r>
          </w:p>
          <w:p w14:paraId="6B87BF97">
            <w:pPr>
              <w:widowControl/>
              <w:spacing w:line="360" w:lineRule="auto"/>
              <w:ind w:firstLine="400" w:firstLineChars="200"/>
              <w:jc w:val="lef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（2）裂缝检查：包括裂缝位置、宽度、长度、深度、开展范围、变化趋势及速度等。</w:t>
            </w:r>
          </w:p>
          <w:p w14:paraId="59B553D6">
            <w:pPr>
              <w:widowControl/>
              <w:spacing w:line="360" w:lineRule="auto"/>
              <w:ind w:firstLine="400" w:firstLineChars="200"/>
              <w:jc w:val="lef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（3）漏水检查：漏水位置、水量及排水系统检查；水温、PH值检查、电导度检测等。</w:t>
            </w:r>
            <w:bookmarkStart w:id="39" w:name="_GoBack"/>
            <w:bookmarkEnd w:id="39"/>
          </w:p>
          <w:p w14:paraId="4D39355A">
            <w:pPr>
              <w:widowControl/>
              <w:spacing w:line="360" w:lineRule="auto"/>
              <w:ind w:firstLine="400" w:firstLineChars="200"/>
              <w:jc w:val="lef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（4）材质检查：包括衬砌强度、表面病害、混凝土碳化深度、钢筋锈蚀等检查。</w:t>
            </w:r>
          </w:p>
          <w:p w14:paraId="163B87DC">
            <w:pPr>
              <w:widowControl/>
              <w:spacing w:line="360" w:lineRule="auto"/>
              <w:ind w:firstLine="400" w:firstLineChars="200"/>
              <w:jc w:val="left"/>
              <w:rPr>
                <w:rStyle w:val="253"/>
                <w:rFonts w:hint="eastAsia"/>
                <w:b w:val="0"/>
                <w:color w:val="auto"/>
                <w:sz w:val="24"/>
                <w:szCs w:val="24"/>
                <w:highlight w:val="none"/>
              </w:rPr>
            </w:pPr>
            <w:r>
              <w:rPr>
                <w:rFonts w:hint="eastAsia" w:ascii="宋体" w:hAnsi="宋体" w:eastAsia="宋体" w:cs="Times New Roman"/>
                <w:color w:val="auto"/>
                <w:sz w:val="20"/>
                <w:szCs w:val="20"/>
                <w:highlight w:val="none"/>
              </w:rPr>
              <w:t>（5）衬砌及围岩状况检查：包括衬砌厚度、空洞、裂缝、渗漏水、钢筋保护层厚度等无损检查。</w:t>
            </w:r>
          </w:p>
        </w:tc>
        <w:tc>
          <w:tcPr>
            <w:tcW w:w="1039" w:type="dxa"/>
            <w:noWrap w:val="0"/>
            <w:vAlign w:val="center"/>
          </w:tcPr>
          <w:p w14:paraId="5CD80E5A">
            <w:pPr>
              <w:keepNext w:val="0"/>
              <w:keepLines w:val="0"/>
              <w:widowControl/>
              <w:suppressLineNumbers w:val="0"/>
              <w:adjustRightInd w:val="0"/>
              <w:spacing w:before="0" w:beforeAutospacing="0" w:after="0" w:afterAutospacing="0" w:line="360" w:lineRule="auto"/>
              <w:ind w:left="0" w:right="0"/>
              <w:jc w:val="center"/>
              <w:rPr>
                <w:rStyle w:val="253"/>
                <w:rFonts w:hint="eastAsia" w:eastAsia="宋体"/>
                <w:b w:val="0"/>
                <w:color w:val="auto"/>
                <w:sz w:val="24"/>
                <w:szCs w:val="24"/>
                <w:highlight w:val="none"/>
                <w:lang w:val="en-US" w:eastAsia="zh-CN"/>
              </w:rPr>
            </w:pPr>
            <w:r>
              <w:rPr>
                <w:rStyle w:val="253"/>
                <w:rFonts w:hint="eastAsia"/>
                <w:b w:val="0"/>
                <w:color w:val="auto"/>
                <w:sz w:val="24"/>
                <w:szCs w:val="24"/>
                <w:highlight w:val="none"/>
                <w:lang w:val="en-US" w:eastAsia="zh-CN"/>
              </w:rPr>
              <w:t>项</w:t>
            </w:r>
          </w:p>
        </w:tc>
        <w:tc>
          <w:tcPr>
            <w:tcW w:w="1407" w:type="dxa"/>
            <w:noWrap w:val="0"/>
            <w:vAlign w:val="center"/>
          </w:tcPr>
          <w:p w14:paraId="03D45780">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p>
        </w:tc>
        <w:tc>
          <w:tcPr>
            <w:tcW w:w="1761" w:type="dxa"/>
            <w:noWrap w:val="0"/>
            <w:vAlign w:val="center"/>
          </w:tcPr>
          <w:p w14:paraId="580C6368">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p>
        </w:tc>
        <w:tc>
          <w:tcPr>
            <w:tcW w:w="935" w:type="dxa"/>
            <w:noWrap w:val="0"/>
            <w:vAlign w:val="center"/>
          </w:tcPr>
          <w:p w14:paraId="235F786C">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p>
        </w:tc>
      </w:tr>
      <w:tr w14:paraId="077B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E0B9DA3">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p>
        </w:tc>
        <w:tc>
          <w:tcPr>
            <w:tcW w:w="6035" w:type="dxa"/>
            <w:gridSpan w:val="4"/>
            <w:noWrap w:val="0"/>
            <w:vAlign w:val="center"/>
          </w:tcPr>
          <w:p w14:paraId="2C26FC2C">
            <w:pPr>
              <w:keepNext w:val="0"/>
              <w:keepLines w:val="0"/>
              <w:widowControl/>
              <w:suppressLineNumbers w:val="0"/>
              <w:adjustRightInd w:val="0"/>
              <w:spacing w:before="0" w:beforeAutospacing="0" w:after="0" w:afterAutospacing="0" w:line="360" w:lineRule="auto"/>
              <w:ind w:left="0" w:right="0"/>
              <w:jc w:val="center"/>
              <w:rPr>
                <w:rStyle w:val="253"/>
                <w:rFonts w:hint="eastAsia"/>
                <w:color w:val="auto"/>
                <w:sz w:val="24"/>
                <w:szCs w:val="24"/>
                <w:highlight w:val="none"/>
              </w:rPr>
            </w:pPr>
            <w:r>
              <w:rPr>
                <w:rStyle w:val="253"/>
                <w:rFonts w:hint="eastAsia"/>
                <w:color w:val="auto"/>
                <w:sz w:val="24"/>
                <w:szCs w:val="24"/>
                <w:highlight w:val="none"/>
              </w:rPr>
              <w:t>合计</w:t>
            </w:r>
          </w:p>
        </w:tc>
        <w:tc>
          <w:tcPr>
            <w:tcW w:w="1761" w:type="dxa"/>
            <w:noWrap w:val="0"/>
            <w:vAlign w:val="center"/>
          </w:tcPr>
          <w:p w14:paraId="7716CF5C">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p>
        </w:tc>
        <w:tc>
          <w:tcPr>
            <w:tcW w:w="935" w:type="dxa"/>
            <w:noWrap w:val="0"/>
            <w:vAlign w:val="center"/>
          </w:tcPr>
          <w:p w14:paraId="43570F4D">
            <w:pPr>
              <w:keepNext w:val="0"/>
              <w:keepLines w:val="0"/>
              <w:widowControl/>
              <w:suppressLineNumbers w:val="0"/>
              <w:adjustRightInd w:val="0"/>
              <w:spacing w:before="0" w:beforeAutospacing="0" w:after="0" w:afterAutospacing="0" w:line="360" w:lineRule="auto"/>
              <w:ind w:left="0" w:right="0"/>
              <w:jc w:val="center"/>
              <w:rPr>
                <w:rStyle w:val="253"/>
                <w:rFonts w:hint="eastAsia"/>
                <w:b w:val="0"/>
                <w:color w:val="auto"/>
                <w:sz w:val="24"/>
                <w:szCs w:val="24"/>
                <w:highlight w:val="none"/>
              </w:rPr>
            </w:pPr>
          </w:p>
        </w:tc>
      </w:tr>
    </w:tbl>
    <w:p w14:paraId="1C89A032">
      <w:pPr>
        <w:widowControl/>
        <w:adjustRightInd w:val="0"/>
        <w:spacing w:line="360" w:lineRule="auto"/>
        <w:jc w:val="left"/>
        <w:rPr>
          <w:rFonts w:hint="eastAsia" w:ascii="宋体" w:hAnsi="宋体" w:cs="宋体"/>
          <w:color w:val="auto"/>
          <w:kern w:val="0"/>
          <w:sz w:val="24"/>
          <w:szCs w:val="24"/>
          <w:highlight w:val="none"/>
          <w:lang w:val="zh-CN"/>
        </w:rPr>
      </w:pPr>
    </w:p>
    <w:p w14:paraId="301E269F">
      <w:pPr>
        <w:widowControl/>
        <w:shd w:val="clear" w:color="auto" w:fill="FFFFFF"/>
        <w:spacing w:line="360" w:lineRule="auto"/>
        <w:jc w:val="left"/>
        <w:rPr>
          <w:rFonts w:ascii="宋体"/>
          <w:color w:val="auto"/>
          <w:kern w:val="0"/>
          <w:sz w:val="24"/>
          <w:szCs w:val="24"/>
          <w:highlight w:val="none"/>
        </w:rPr>
      </w:pPr>
      <w:r>
        <w:rPr>
          <w:rFonts w:hint="eastAsia" w:ascii="宋体" w:hAnsi="宋体" w:cs="宋体"/>
          <w:color w:val="auto"/>
          <w:kern w:val="0"/>
          <w:sz w:val="24"/>
          <w:szCs w:val="24"/>
          <w:highlight w:val="none"/>
        </w:rPr>
        <w:t>投标人</w:t>
      </w:r>
      <w:r>
        <w:rPr>
          <w:rFonts w:hint="eastAsia" w:ascii="宋体" w:hAnsi="宋体"/>
          <w:color w:val="auto"/>
          <w:sz w:val="24"/>
          <w:szCs w:val="24"/>
          <w:highlight w:val="none"/>
        </w:rPr>
        <w:t>（加盖公章）</w:t>
      </w:r>
      <w:r>
        <w:rPr>
          <w:rFonts w:hint="eastAsia" w:ascii="宋体" w:hAnsi="宋体" w:cs="宋体"/>
          <w:color w:val="auto"/>
          <w:kern w:val="0"/>
          <w:sz w:val="24"/>
          <w:szCs w:val="24"/>
          <w:highlight w:val="none"/>
        </w:rPr>
        <w:t>：</w:t>
      </w:r>
      <w:r>
        <w:rPr>
          <w:rFonts w:ascii="宋体"/>
          <w:color w:val="auto"/>
          <w:kern w:val="0"/>
          <w:sz w:val="24"/>
          <w:szCs w:val="24"/>
          <w:highlight w:val="none"/>
          <w:u w:val="single"/>
        </w:rPr>
        <w:t xml:space="preserve">                   </w:t>
      </w:r>
    </w:p>
    <w:p w14:paraId="26F5EFDA">
      <w:pPr>
        <w:widowControl/>
        <w:adjustRightInd w:val="0"/>
        <w:spacing w:line="360" w:lineRule="auto"/>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说明：如行数不够，可自行增加表格</w:t>
      </w:r>
    </w:p>
    <w:p w14:paraId="171BBBA3">
      <w:pPr>
        <w:rPr>
          <w:rFonts w:hint="eastAsia"/>
          <w:b/>
          <w:bCs/>
          <w:color w:val="auto"/>
          <w:sz w:val="24"/>
          <w:szCs w:val="24"/>
          <w:highlight w:val="none"/>
        </w:rPr>
      </w:pPr>
      <w:r>
        <w:rPr>
          <w:rFonts w:hint="eastAsia"/>
          <w:b/>
          <w:bCs/>
          <w:color w:val="auto"/>
          <w:sz w:val="24"/>
          <w:szCs w:val="24"/>
          <w:highlight w:val="none"/>
        </w:rPr>
        <w:br w:type="page"/>
      </w:r>
    </w:p>
    <w:p w14:paraId="5FCC1E86">
      <w:pPr>
        <w:pStyle w:val="3"/>
        <w:rPr>
          <w:b/>
          <w:bCs/>
          <w:color w:val="auto"/>
          <w:sz w:val="24"/>
          <w:szCs w:val="24"/>
          <w:highlight w:val="none"/>
        </w:rPr>
      </w:pPr>
      <w:r>
        <w:rPr>
          <w:rFonts w:hint="eastAsia"/>
          <w:b/>
          <w:bCs/>
          <w:color w:val="auto"/>
          <w:sz w:val="24"/>
          <w:szCs w:val="24"/>
          <w:highlight w:val="none"/>
        </w:rPr>
        <w:t>附件</w:t>
      </w:r>
      <w:r>
        <w:rPr>
          <w:rFonts w:hint="eastAsia" w:eastAsia="宋体"/>
          <w:b/>
          <w:bCs/>
          <w:color w:val="auto"/>
          <w:sz w:val="24"/>
          <w:szCs w:val="24"/>
          <w:highlight w:val="none"/>
          <w:lang w:val="en-US" w:eastAsia="zh-CN"/>
        </w:rPr>
        <w:t>四</w:t>
      </w:r>
      <w:r>
        <w:rPr>
          <w:rFonts w:hint="eastAsia"/>
          <w:b/>
          <w:bCs/>
          <w:color w:val="auto"/>
          <w:sz w:val="24"/>
          <w:szCs w:val="24"/>
          <w:highlight w:val="none"/>
        </w:rPr>
        <w:t>、 资格证明文件</w:t>
      </w:r>
    </w:p>
    <w:p w14:paraId="3D0CE829">
      <w:pPr>
        <w:pStyle w:val="3"/>
        <w:jc w:val="center"/>
        <w:rPr>
          <w:rFonts w:hint="eastAsia" w:ascii="宋体" w:hAnsi="宋体" w:eastAsia="宋体" w:cs="宋体"/>
          <w:b/>
          <w:bCs/>
          <w:color w:val="auto"/>
          <w:sz w:val="30"/>
          <w:szCs w:val="30"/>
          <w:highlight w:val="none"/>
        </w:rPr>
      </w:pPr>
      <w:bookmarkStart w:id="15" w:name="_Hlk81574079"/>
      <w:r>
        <w:rPr>
          <w:rFonts w:hint="eastAsia" w:ascii="宋体" w:hAnsi="宋体" w:eastAsia="宋体" w:cs="宋体"/>
          <w:b/>
          <w:bCs/>
          <w:color w:val="auto"/>
          <w:sz w:val="30"/>
          <w:szCs w:val="30"/>
          <w:highlight w:val="none"/>
        </w:rPr>
        <w:t>资格证明文件</w:t>
      </w:r>
    </w:p>
    <w:p w14:paraId="6DC30702">
      <w:pPr>
        <w:autoSpaceDE w:val="0"/>
        <w:autoSpaceDN w:val="0"/>
        <w:adjustRightInd w:val="0"/>
        <w:spacing w:line="360" w:lineRule="auto"/>
        <w:ind w:firstLine="482" w:firstLineChars="200"/>
        <w:rPr>
          <w:rFonts w:hint="eastAsia" w:ascii="宋体" w:hAnsi="宋体" w:eastAsia="宋体"/>
          <w:b/>
          <w:bCs w:val="0"/>
          <w:color w:val="auto"/>
          <w:sz w:val="24"/>
          <w:szCs w:val="24"/>
          <w:highlight w:val="none"/>
          <w:lang w:eastAsia="zh-CN"/>
        </w:rPr>
      </w:pPr>
      <w:r>
        <w:rPr>
          <w:rFonts w:ascii="宋体" w:hAnsi="宋体"/>
          <w:b/>
          <w:bCs w:val="0"/>
          <w:color w:val="auto"/>
          <w:sz w:val="24"/>
          <w:szCs w:val="24"/>
          <w:highlight w:val="none"/>
        </w:rPr>
        <w:t>1</w:t>
      </w:r>
      <w:r>
        <w:rPr>
          <w:rFonts w:hint="eastAsia" w:ascii="宋体" w:hAnsi="宋体"/>
          <w:b/>
          <w:bCs w:val="0"/>
          <w:color w:val="auto"/>
          <w:sz w:val="24"/>
          <w:szCs w:val="24"/>
          <w:highlight w:val="none"/>
        </w:rPr>
        <w:t>.第一章 招标公告</w:t>
      </w:r>
      <w:r>
        <w:rPr>
          <w:rFonts w:hint="eastAsia" w:hAnsi="宋体"/>
          <w:b/>
          <w:bCs w:val="0"/>
          <w:color w:val="auto"/>
          <w:sz w:val="24"/>
          <w:szCs w:val="24"/>
          <w:highlight w:val="none"/>
        </w:rPr>
        <w:t>“二、申请人的资格要求”</w:t>
      </w:r>
      <w:r>
        <w:rPr>
          <w:rFonts w:hint="eastAsia" w:ascii="宋体" w:hAnsi="宋体" w:cs="宋体"/>
          <w:b/>
          <w:bCs w:val="0"/>
          <w:color w:val="auto"/>
          <w:sz w:val="24"/>
          <w:szCs w:val="24"/>
          <w:highlight w:val="none"/>
        </w:rPr>
        <w:t>“</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一</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《中</w:t>
      </w:r>
      <w:r>
        <w:rPr>
          <w:rFonts w:hint="eastAsia" w:ascii="宋体" w:hAnsi="宋体"/>
          <w:b/>
          <w:bCs w:val="0"/>
          <w:color w:val="auto"/>
          <w:sz w:val="24"/>
          <w:szCs w:val="24"/>
          <w:highlight w:val="none"/>
        </w:rPr>
        <w:t>华人民共和国政府采购法》第二十二条规定”</w:t>
      </w:r>
      <w:r>
        <w:rPr>
          <w:rFonts w:hint="eastAsia" w:hAnsi="宋体"/>
          <w:b/>
          <w:bCs w:val="0"/>
          <w:color w:val="auto"/>
          <w:sz w:val="24"/>
          <w:szCs w:val="24"/>
          <w:highlight w:val="none"/>
        </w:rPr>
        <w:t>的资格证明文件</w:t>
      </w:r>
      <w:r>
        <w:rPr>
          <w:rFonts w:hint="eastAsia" w:ascii="宋体" w:hAnsi="宋体"/>
          <w:b/>
          <w:bCs w:val="0"/>
          <w:color w:val="auto"/>
          <w:sz w:val="24"/>
          <w:szCs w:val="24"/>
          <w:highlight w:val="none"/>
          <w:lang w:eastAsia="zh-CN"/>
        </w:rPr>
        <w:t>。</w:t>
      </w:r>
    </w:p>
    <w:p w14:paraId="3FCA9D3E">
      <w:pPr>
        <w:spacing w:line="360" w:lineRule="auto"/>
        <w:ind w:firstLine="482" w:firstLineChars="200"/>
        <w:rPr>
          <w:b/>
          <w:color w:val="auto"/>
          <w:sz w:val="24"/>
          <w:szCs w:val="24"/>
          <w:highlight w:val="none"/>
        </w:rPr>
      </w:pPr>
      <w:r>
        <w:rPr>
          <w:rFonts w:hint="eastAsia" w:ascii="宋体" w:hAnsi="宋体"/>
          <w:b/>
          <w:color w:val="auto"/>
          <w:sz w:val="24"/>
          <w:szCs w:val="24"/>
          <w:highlight w:val="none"/>
        </w:rPr>
        <w:t>注：</w:t>
      </w:r>
      <w:r>
        <w:rPr>
          <w:rFonts w:hint="eastAsia"/>
          <w:b/>
          <w:color w:val="auto"/>
          <w:sz w:val="24"/>
          <w:szCs w:val="24"/>
          <w:highlight w:val="none"/>
        </w:rPr>
        <w:t>投标人可以在投标文件中一次性提交资格证明材料，也可以在投标文件中提供“南京市政府采购供应商信用记录表暨信用承诺书”。</w:t>
      </w:r>
    </w:p>
    <w:p w14:paraId="6577B19B">
      <w:pPr>
        <w:spacing w:line="360" w:lineRule="auto"/>
        <w:ind w:firstLine="482" w:firstLineChars="200"/>
        <w:rPr>
          <w:rFonts w:hint="eastAsia"/>
          <w:b/>
          <w:color w:val="auto"/>
          <w:sz w:val="24"/>
          <w:szCs w:val="24"/>
          <w:highlight w:val="none"/>
        </w:rPr>
      </w:pPr>
      <w:r>
        <w:rPr>
          <w:rFonts w:hint="eastAsia"/>
          <w:b/>
          <w:color w:val="auto"/>
          <w:sz w:val="24"/>
          <w:szCs w:val="24"/>
          <w:highlight w:val="none"/>
        </w:rPr>
        <w:t>投标人仅提供信用承诺书而未提供</w:t>
      </w:r>
      <w:r>
        <w:rPr>
          <w:rFonts w:hint="eastAsia"/>
          <w:b/>
          <w:color w:val="auto"/>
          <w:sz w:val="24"/>
          <w:szCs w:val="24"/>
          <w:highlight w:val="none"/>
          <w:lang w:eastAsia="zh-CN"/>
        </w:rPr>
        <w:t>“</w:t>
      </w:r>
      <w:r>
        <w:rPr>
          <w:rFonts w:hint="eastAsia"/>
          <w:b/>
          <w:color w:val="auto"/>
          <w:sz w:val="24"/>
          <w:szCs w:val="24"/>
          <w:highlight w:val="none"/>
        </w:rPr>
        <w:t>二、申请人的资格要求</w:t>
      </w:r>
      <w:r>
        <w:rPr>
          <w:rFonts w:hint="eastAsia"/>
          <w:b/>
          <w:color w:val="auto"/>
          <w:sz w:val="24"/>
          <w:szCs w:val="24"/>
          <w:highlight w:val="none"/>
          <w:lang w:eastAsia="zh-CN"/>
        </w:rPr>
        <w:t>”</w:t>
      </w:r>
      <w:r>
        <w:rPr>
          <w:rFonts w:hint="eastAsia"/>
          <w:b/>
          <w:color w:val="auto"/>
          <w:sz w:val="24"/>
          <w:szCs w:val="24"/>
          <w:highlight w:val="none"/>
          <w:lang w:val="en-US" w:eastAsia="zh-CN"/>
        </w:rPr>
        <w:t>第</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一</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款</w:t>
      </w:r>
      <w:r>
        <w:rPr>
          <w:rFonts w:hint="eastAsia"/>
          <w:b/>
          <w:color w:val="auto"/>
          <w:sz w:val="24"/>
          <w:szCs w:val="24"/>
          <w:highlight w:val="none"/>
        </w:rPr>
        <w:t>涉及的证明材料的，须在中标后另行提供上述由信用承诺书替代的证明材料扫描件提交采购人或采购代理机构核验。经核验无误后，由采购人或采购代理机构发出中标通知书。</w:t>
      </w:r>
    </w:p>
    <w:p w14:paraId="5513D448">
      <w:pPr>
        <w:spacing w:line="360" w:lineRule="auto"/>
        <w:ind w:firstLine="482" w:firstLineChars="200"/>
        <w:rPr>
          <w:b/>
          <w:color w:val="auto"/>
          <w:sz w:val="24"/>
          <w:szCs w:val="24"/>
          <w:highlight w:val="none"/>
        </w:rPr>
      </w:pPr>
      <w:r>
        <w:rPr>
          <w:rFonts w:hint="eastAsia"/>
          <w:b/>
          <w:color w:val="auto"/>
          <w:sz w:val="24"/>
          <w:szCs w:val="24"/>
          <w:highlight w:val="none"/>
        </w:rPr>
        <w:t>投标人涉及以下情形的，不适用信用承诺，仍须提供上述证明材料：</w:t>
      </w:r>
    </w:p>
    <w:p w14:paraId="5E1F843E">
      <w:pPr>
        <w:spacing w:line="360" w:lineRule="auto"/>
        <w:ind w:firstLine="241" w:firstLineChars="100"/>
        <w:rPr>
          <w:b/>
          <w:color w:val="auto"/>
          <w:sz w:val="24"/>
          <w:szCs w:val="24"/>
          <w:highlight w:val="none"/>
        </w:rPr>
      </w:pPr>
      <w:r>
        <w:rPr>
          <w:rFonts w:hint="eastAsia"/>
          <w:b/>
          <w:color w:val="auto"/>
          <w:sz w:val="24"/>
          <w:szCs w:val="24"/>
          <w:highlight w:val="none"/>
        </w:rPr>
        <w:t>（</w:t>
      </w:r>
      <w:r>
        <w:rPr>
          <w:b/>
          <w:color w:val="auto"/>
          <w:sz w:val="24"/>
          <w:szCs w:val="24"/>
          <w:highlight w:val="none"/>
        </w:rPr>
        <w:t>1</w:t>
      </w:r>
      <w:r>
        <w:rPr>
          <w:rFonts w:hint="eastAsia"/>
          <w:b/>
          <w:color w:val="auto"/>
          <w:sz w:val="24"/>
          <w:szCs w:val="24"/>
          <w:highlight w:val="none"/>
        </w:rPr>
        <w:t>）投标人被列入严重失信主体名单；</w:t>
      </w:r>
    </w:p>
    <w:p w14:paraId="15FDFA3D">
      <w:pPr>
        <w:spacing w:line="360" w:lineRule="auto"/>
        <w:ind w:firstLine="241" w:firstLineChars="100"/>
        <w:rPr>
          <w:b/>
          <w:color w:val="auto"/>
          <w:sz w:val="24"/>
          <w:szCs w:val="24"/>
          <w:highlight w:val="none"/>
        </w:rPr>
      </w:pPr>
      <w:r>
        <w:rPr>
          <w:rFonts w:hint="eastAsia"/>
          <w:b/>
          <w:color w:val="auto"/>
          <w:sz w:val="24"/>
          <w:szCs w:val="24"/>
          <w:highlight w:val="none"/>
        </w:rPr>
        <w:t>（2）被相关监管部门作出行政处罚且尚在处罚有效期内；</w:t>
      </w:r>
    </w:p>
    <w:p w14:paraId="51930C59">
      <w:pPr>
        <w:spacing w:line="360" w:lineRule="auto"/>
        <w:ind w:firstLine="241" w:firstLineChars="100"/>
        <w:rPr>
          <w:b/>
          <w:color w:val="auto"/>
          <w:sz w:val="24"/>
          <w:szCs w:val="24"/>
          <w:highlight w:val="none"/>
        </w:rPr>
      </w:pPr>
      <w:r>
        <w:rPr>
          <w:rFonts w:hint="eastAsia"/>
          <w:b/>
          <w:color w:val="auto"/>
          <w:sz w:val="24"/>
          <w:szCs w:val="24"/>
          <w:highlight w:val="none"/>
        </w:rPr>
        <w:t>（3）其他法律、行政法规规定的不适用信用承诺的情形。</w:t>
      </w:r>
    </w:p>
    <w:p w14:paraId="2587E3A3">
      <w:pPr>
        <w:spacing w:line="360" w:lineRule="auto"/>
        <w:ind w:firstLine="482" w:firstLineChars="200"/>
        <w:rPr>
          <w:b/>
          <w:color w:val="auto"/>
          <w:sz w:val="24"/>
          <w:szCs w:val="24"/>
          <w:highlight w:val="none"/>
        </w:rPr>
      </w:pPr>
      <w:r>
        <w:rPr>
          <w:rFonts w:hint="eastAsia"/>
          <w:b/>
          <w:color w:val="auto"/>
          <w:sz w:val="24"/>
          <w:szCs w:val="24"/>
          <w:highlight w:val="none"/>
        </w:rPr>
        <w:t>投标人对信用承诺内容的真实性、合法性、有效性负责。如作出虚假信用承诺，视同为“提供虚假材料谋取中标”的违法行为。</w:t>
      </w:r>
    </w:p>
    <w:p w14:paraId="058586F9">
      <w:pPr>
        <w:autoSpaceDE w:val="0"/>
        <w:autoSpaceDN w:val="0"/>
        <w:adjustRightInd w:val="0"/>
        <w:spacing w:line="360" w:lineRule="auto"/>
        <w:ind w:firstLine="482" w:firstLineChars="200"/>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2.</w:t>
      </w:r>
      <w:r>
        <w:rPr>
          <w:rFonts w:hint="eastAsia" w:ascii="宋体" w:hAnsi="宋体" w:cs="Arial"/>
          <w:b/>
          <w:bCs w:val="0"/>
          <w:color w:val="auto"/>
          <w:sz w:val="24"/>
          <w:szCs w:val="24"/>
          <w:highlight w:val="none"/>
        </w:rPr>
        <w:t>投标人未被“信用中国”网站（www.creditchina.gov.cn）、“中国政府采购网”</w:t>
      </w:r>
      <w:r>
        <w:rPr>
          <w:rFonts w:hint="eastAsia" w:ascii="宋体" w:hAnsi="宋体" w:cs="Arial"/>
          <w:b/>
          <w:bCs w:val="0"/>
          <w:color w:val="auto"/>
          <w:sz w:val="24"/>
          <w:szCs w:val="24"/>
          <w:highlight w:val="none"/>
          <w:lang w:eastAsia="zh-CN"/>
        </w:rPr>
        <w:t>（</w:t>
      </w:r>
      <w:r>
        <w:rPr>
          <w:rFonts w:hint="eastAsia" w:ascii="宋体" w:hAnsi="宋体" w:cs="Arial"/>
          <w:b/>
          <w:bCs w:val="0"/>
          <w:color w:val="auto"/>
          <w:sz w:val="24"/>
          <w:szCs w:val="24"/>
          <w:highlight w:val="none"/>
        </w:rPr>
        <w:t>www.ccgp.gov.cn</w:t>
      </w:r>
      <w:r>
        <w:rPr>
          <w:rFonts w:hint="eastAsia" w:ascii="宋体" w:hAnsi="宋体" w:cs="Arial"/>
          <w:b/>
          <w:bCs w:val="0"/>
          <w:color w:val="auto"/>
          <w:sz w:val="24"/>
          <w:szCs w:val="24"/>
          <w:highlight w:val="none"/>
          <w:lang w:eastAsia="zh-CN"/>
        </w:rPr>
        <w:t>）</w:t>
      </w:r>
      <w:r>
        <w:rPr>
          <w:rFonts w:hint="eastAsia" w:ascii="宋体" w:hAnsi="宋体" w:cs="Arial"/>
          <w:b/>
          <w:bCs w:val="0"/>
          <w:color w:val="auto"/>
          <w:sz w:val="24"/>
          <w:szCs w:val="24"/>
          <w:highlight w:val="none"/>
        </w:rPr>
        <w:t>列入失信被执行人、重大税收违法失信主体、政府采购严重违法失信行为记录名单</w:t>
      </w:r>
      <w:r>
        <w:rPr>
          <w:rFonts w:hint="eastAsia" w:ascii="宋体" w:hAnsi="宋体"/>
          <w:b/>
          <w:bCs w:val="0"/>
          <w:color w:val="auto"/>
          <w:sz w:val="24"/>
          <w:szCs w:val="24"/>
          <w:highlight w:val="none"/>
        </w:rPr>
        <w:t>证明文件</w:t>
      </w:r>
      <w:r>
        <w:rPr>
          <w:rFonts w:hint="eastAsia" w:ascii="宋体" w:hAnsi="宋体"/>
          <w:b/>
          <w:bCs w:val="0"/>
          <w:color w:val="auto"/>
          <w:sz w:val="24"/>
          <w:szCs w:val="24"/>
          <w:highlight w:val="none"/>
          <w:lang w:eastAsia="zh-CN"/>
        </w:rPr>
        <w:t>。</w:t>
      </w:r>
    </w:p>
    <w:p w14:paraId="741E4EC0">
      <w:pPr>
        <w:autoSpaceDE w:val="0"/>
        <w:autoSpaceDN w:val="0"/>
        <w:adjustRightInd w:val="0"/>
        <w:spacing w:line="360" w:lineRule="auto"/>
        <w:ind w:firstLine="482" w:firstLineChars="200"/>
        <w:rPr>
          <w:rFonts w:hint="eastAsia" w:ascii="宋体" w:hAnsi="宋体" w:eastAsia="宋体" w:cs="宋体"/>
          <w:b/>
          <w:bCs w:val="0"/>
          <w:color w:val="auto"/>
          <w:sz w:val="24"/>
          <w:szCs w:val="24"/>
          <w:highlight w:val="none"/>
          <w:lang w:eastAsia="zh-CN"/>
        </w:rPr>
      </w:pPr>
      <w:r>
        <w:rPr>
          <w:rFonts w:ascii="宋体" w:hAnsi="宋体"/>
          <w:b/>
          <w:bCs w:val="0"/>
          <w:color w:val="auto"/>
          <w:sz w:val="24"/>
          <w:szCs w:val="24"/>
          <w:highlight w:val="none"/>
        </w:rPr>
        <w:t>3.</w:t>
      </w:r>
      <w:r>
        <w:rPr>
          <w:rFonts w:hint="eastAsia" w:ascii="宋体" w:hAnsi="宋体"/>
          <w:b/>
          <w:bCs w:val="0"/>
          <w:color w:val="auto"/>
          <w:sz w:val="24"/>
          <w:szCs w:val="24"/>
          <w:highlight w:val="none"/>
        </w:rPr>
        <w:t>第一章 招标公告</w:t>
      </w:r>
      <w:r>
        <w:rPr>
          <w:rFonts w:hint="eastAsia" w:hAnsi="宋体"/>
          <w:b/>
          <w:bCs w:val="0"/>
          <w:color w:val="auto"/>
          <w:sz w:val="24"/>
          <w:szCs w:val="24"/>
          <w:highlight w:val="none"/>
        </w:rPr>
        <w:t>“二、申请</w:t>
      </w:r>
      <w:r>
        <w:rPr>
          <w:rFonts w:hint="eastAsia" w:ascii="宋体" w:hAnsi="宋体" w:cs="宋体"/>
          <w:b/>
          <w:bCs w:val="0"/>
          <w:color w:val="auto"/>
          <w:sz w:val="24"/>
          <w:szCs w:val="24"/>
          <w:highlight w:val="none"/>
        </w:rPr>
        <w:t>人的资格要求”</w:t>
      </w:r>
      <w:r>
        <w:rPr>
          <w:rFonts w:hint="eastAsia" w:ascii="宋体" w:hAnsi="宋体" w:cs="宋体"/>
          <w:b/>
          <w:bCs w:val="0"/>
          <w:color w:val="auto"/>
          <w:sz w:val="24"/>
          <w:szCs w:val="24"/>
          <w:highlight w:val="none"/>
          <w:lang w:val="en-US" w:eastAsia="zh-CN"/>
        </w:rPr>
        <w:t>第</w:t>
      </w:r>
      <w:r>
        <w:rPr>
          <w:rFonts w:hint="eastAsia" w:ascii="宋体" w:hAnsi="宋体" w:cs="宋体"/>
          <w:b/>
          <w:bCs w:val="0"/>
          <w:color w:val="auto"/>
          <w:sz w:val="24"/>
          <w:szCs w:val="24"/>
          <w:highlight w:val="none"/>
        </w:rPr>
        <w:t>“</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三</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款</w:t>
      </w:r>
      <w:r>
        <w:rPr>
          <w:rFonts w:hint="eastAsia" w:ascii="宋体" w:hAnsi="宋体"/>
          <w:b/>
          <w:bCs w:val="0"/>
          <w:color w:val="auto"/>
          <w:sz w:val="24"/>
          <w:szCs w:val="24"/>
          <w:highlight w:val="none"/>
        </w:rPr>
        <w:t>特定资格</w:t>
      </w:r>
      <w:r>
        <w:rPr>
          <w:rFonts w:hint="eastAsia" w:ascii="宋体" w:hAnsi="宋体"/>
          <w:b/>
          <w:bCs w:val="0"/>
          <w:color w:val="auto"/>
          <w:sz w:val="24"/>
          <w:szCs w:val="24"/>
          <w:highlight w:val="none"/>
          <w:lang w:val="en-US" w:eastAsia="zh-CN"/>
        </w:rPr>
        <w:t>要求的</w:t>
      </w:r>
      <w:r>
        <w:rPr>
          <w:rFonts w:hint="eastAsia" w:ascii="宋体" w:hAnsi="宋体" w:cs="宋体"/>
          <w:b/>
          <w:bCs w:val="0"/>
          <w:color w:val="auto"/>
          <w:sz w:val="24"/>
          <w:szCs w:val="24"/>
          <w:highlight w:val="none"/>
          <w:lang w:val="en-US" w:eastAsia="zh-CN"/>
        </w:rPr>
        <w:t>证明文件</w:t>
      </w:r>
      <w:r>
        <w:rPr>
          <w:rFonts w:hint="eastAsia" w:ascii="宋体" w:hAnsi="宋体" w:cs="宋体"/>
          <w:b/>
          <w:bCs w:val="0"/>
          <w:color w:val="auto"/>
          <w:sz w:val="24"/>
          <w:szCs w:val="24"/>
          <w:highlight w:val="none"/>
          <w:lang w:eastAsia="zh-CN"/>
        </w:rPr>
        <w:t>。</w:t>
      </w:r>
    </w:p>
    <w:p w14:paraId="7A88E44D">
      <w:pPr>
        <w:autoSpaceDE w:val="0"/>
        <w:autoSpaceDN w:val="0"/>
        <w:adjustRightInd w:val="0"/>
        <w:spacing w:line="360" w:lineRule="auto"/>
        <w:ind w:firstLine="480" w:firstLineChars="200"/>
        <w:rPr>
          <w:rFonts w:hint="eastAsia" w:ascii="宋体" w:hAnsi="宋体"/>
          <w:bCs/>
          <w:color w:val="auto"/>
          <w:sz w:val="24"/>
          <w:szCs w:val="24"/>
          <w:highlight w:val="none"/>
        </w:rPr>
      </w:pPr>
    </w:p>
    <w:bookmarkEnd w:id="15"/>
    <w:p w14:paraId="6B337111">
      <w:pPr>
        <w:rPr>
          <w:rFonts w:hint="eastAsia" w:ascii="宋体" w:hAnsi="宋体"/>
          <w:b/>
          <w:bCs/>
          <w:color w:val="auto"/>
          <w:sz w:val="28"/>
          <w:szCs w:val="28"/>
          <w:highlight w:val="none"/>
          <w:lang w:val="zh-CN"/>
        </w:rPr>
      </w:pPr>
      <w:bookmarkStart w:id="16" w:name="_Toc66375428"/>
      <w:bookmarkStart w:id="17" w:name="_Toc43917775"/>
      <w:r>
        <w:rPr>
          <w:rFonts w:hint="eastAsia" w:ascii="宋体" w:hAnsi="宋体"/>
          <w:b/>
          <w:bCs/>
          <w:color w:val="auto"/>
          <w:sz w:val="28"/>
          <w:szCs w:val="28"/>
          <w:highlight w:val="none"/>
          <w:lang w:val="zh-CN"/>
        </w:rPr>
        <w:br w:type="page"/>
      </w:r>
      <w:r>
        <w:rPr>
          <w:rFonts w:hint="eastAsia" w:ascii="Arial" w:hAnsi="Arial" w:eastAsia="Arial" w:cs="Arial"/>
          <w:b/>
          <w:bCs/>
          <w:color w:val="auto"/>
          <w:sz w:val="24"/>
          <w:szCs w:val="24"/>
          <w:highlight w:val="none"/>
          <w:lang w:val="zh-CN" w:eastAsia="zh-CN" w:bidi="ar-SA"/>
        </w:rPr>
        <w:t>附件</w:t>
      </w:r>
      <w:r>
        <w:rPr>
          <w:rFonts w:hint="eastAsia" w:ascii="Arial" w:hAnsi="Arial" w:eastAsia="Arial" w:cs="Arial"/>
          <w:b/>
          <w:bCs/>
          <w:color w:val="auto"/>
          <w:sz w:val="24"/>
          <w:szCs w:val="24"/>
          <w:highlight w:val="none"/>
          <w:lang w:val="en-US" w:eastAsia="zh-CN" w:bidi="ar-SA"/>
        </w:rPr>
        <w:t>五</w:t>
      </w:r>
      <w:r>
        <w:rPr>
          <w:rFonts w:hint="eastAsia" w:ascii="Arial" w:hAnsi="Arial" w:eastAsia="Arial" w:cs="Arial"/>
          <w:b/>
          <w:bCs/>
          <w:color w:val="auto"/>
          <w:sz w:val="24"/>
          <w:szCs w:val="24"/>
          <w:highlight w:val="none"/>
          <w:lang w:val="zh-CN" w:eastAsia="zh-CN" w:bidi="ar-SA"/>
        </w:rPr>
        <w:t>、技术规格偏离表格式</w:t>
      </w:r>
    </w:p>
    <w:p w14:paraId="6A459969">
      <w:pPr>
        <w:rPr>
          <w:rFonts w:hint="eastAsia" w:ascii="宋体" w:hAnsi="宋体"/>
          <w:b/>
          <w:bCs/>
          <w:color w:val="auto"/>
          <w:sz w:val="28"/>
          <w:szCs w:val="28"/>
          <w:highlight w:val="none"/>
          <w:lang w:val="zh-CN"/>
        </w:rPr>
      </w:pPr>
    </w:p>
    <w:p w14:paraId="2C2F233E">
      <w:pPr>
        <w:jc w:val="center"/>
        <w:rPr>
          <w:rFonts w:hint="eastAsia" w:ascii="宋体" w:hAnsi="宋体"/>
          <w:b/>
          <w:bCs/>
          <w:color w:val="auto"/>
          <w:sz w:val="28"/>
          <w:szCs w:val="28"/>
          <w:highlight w:val="none"/>
          <w:lang w:val="zh-CN"/>
        </w:rPr>
      </w:pPr>
      <w:r>
        <w:rPr>
          <w:rFonts w:hint="eastAsia" w:ascii="宋体" w:hAnsi="宋体"/>
          <w:b/>
          <w:bCs/>
          <w:color w:val="auto"/>
          <w:sz w:val="28"/>
          <w:szCs w:val="28"/>
          <w:highlight w:val="none"/>
          <w:lang w:val="zh-CN"/>
        </w:rPr>
        <w:t>技术规格偏离表</w:t>
      </w:r>
    </w:p>
    <w:p w14:paraId="1408205F">
      <w:pPr>
        <w:rPr>
          <w:rFonts w:hint="eastAsia" w:ascii="宋体" w:hAnsi="宋体"/>
          <w:b/>
          <w:bCs/>
          <w:color w:val="auto"/>
          <w:sz w:val="28"/>
          <w:szCs w:val="28"/>
          <w:highlight w:val="none"/>
          <w:lang w:val="zh-CN"/>
        </w:rPr>
      </w:pPr>
    </w:p>
    <w:bookmarkEnd w:id="16"/>
    <w:bookmarkEnd w:id="17"/>
    <w:tbl>
      <w:tblPr>
        <w:tblStyle w:val="36"/>
        <w:tblW w:w="0" w:type="auto"/>
        <w:jc w:val="center"/>
        <w:tblLayout w:type="fixed"/>
        <w:tblCellMar>
          <w:top w:w="0" w:type="dxa"/>
          <w:left w:w="0" w:type="dxa"/>
          <w:bottom w:w="0" w:type="dxa"/>
          <w:right w:w="0" w:type="dxa"/>
        </w:tblCellMar>
      </w:tblPr>
      <w:tblGrid>
        <w:gridCol w:w="755"/>
        <w:gridCol w:w="1773"/>
        <w:gridCol w:w="2449"/>
        <w:gridCol w:w="2766"/>
        <w:gridCol w:w="1100"/>
      </w:tblGrid>
      <w:tr w14:paraId="7727713E">
        <w:tblPrEx>
          <w:tblCellMar>
            <w:top w:w="0" w:type="dxa"/>
            <w:left w:w="0" w:type="dxa"/>
            <w:bottom w:w="0" w:type="dxa"/>
            <w:right w:w="0" w:type="dxa"/>
          </w:tblCellMar>
        </w:tblPrEx>
        <w:trPr>
          <w:trHeight w:val="454" w:hRule="atLeast"/>
          <w:jc w:val="center"/>
        </w:trPr>
        <w:tc>
          <w:tcPr>
            <w:tcW w:w="4977" w:type="dxa"/>
            <w:gridSpan w:val="3"/>
            <w:tcBorders>
              <w:top w:val="nil"/>
              <w:left w:val="nil"/>
              <w:bottom w:val="single" w:color="auto" w:sz="4" w:space="0"/>
              <w:right w:val="nil"/>
            </w:tcBorders>
            <w:vAlign w:val="center"/>
          </w:tcPr>
          <w:p w14:paraId="009E707B">
            <w:pPr>
              <w:keepNext w:val="0"/>
              <w:keepLines w:val="0"/>
              <w:widowControl/>
              <w:suppressLineNumbers w:val="0"/>
              <w:adjustRightInd w:val="0"/>
              <w:spacing w:before="0" w:beforeAutospacing="0" w:after="0" w:afterAutospacing="0" w:line="360" w:lineRule="auto"/>
              <w:ind w:left="0" w:right="0"/>
              <w:jc w:val="lef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zh-CN"/>
              </w:rPr>
              <w:t>项目名称：</w:t>
            </w:r>
          </w:p>
        </w:tc>
        <w:tc>
          <w:tcPr>
            <w:tcW w:w="3866" w:type="dxa"/>
            <w:gridSpan w:val="2"/>
            <w:tcBorders>
              <w:top w:val="nil"/>
              <w:left w:val="nil"/>
              <w:bottom w:val="single" w:color="auto" w:sz="4" w:space="0"/>
              <w:right w:val="nil"/>
            </w:tcBorders>
            <w:vAlign w:val="center"/>
          </w:tcPr>
          <w:p w14:paraId="6C149B02">
            <w:pPr>
              <w:keepNext w:val="0"/>
              <w:keepLines w:val="0"/>
              <w:widowControl/>
              <w:suppressLineNumbers w:val="0"/>
              <w:adjustRightInd w:val="0"/>
              <w:spacing w:before="0" w:beforeAutospacing="0" w:after="0" w:afterAutospacing="0" w:line="360" w:lineRule="auto"/>
              <w:ind w:left="0" w:right="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项目编号：</w:t>
            </w:r>
          </w:p>
        </w:tc>
      </w:tr>
      <w:tr w14:paraId="35218EA9">
        <w:tblPrEx>
          <w:tblCellMar>
            <w:top w:w="0" w:type="dxa"/>
            <w:left w:w="0" w:type="dxa"/>
            <w:bottom w:w="0" w:type="dxa"/>
            <w:right w:w="0" w:type="dxa"/>
          </w:tblCellMar>
        </w:tblPrEx>
        <w:trPr>
          <w:trHeight w:val="454" w:hRule="atLeast"/>
          <w:jc w:val="center"/>
        </w:trPr>
        <w:tc>
          <w:tcPr>
            <w:tcW w:w="8843" w:type="dxa"/>
            <w:gridSpan w:val="5"/>
            <w:tcBorders>
              <w:top w:val="single" w:color="auto" w:sz="4" w:space="0"/>
              <w:left w:val="single" w:color="auto" w:sz="4" w:space="0"/>
              <w:bottom w:val="single" w:color="auto" w:sz="4" w:space="0"/>
              <w:right w:val="single" w:color="auto" w:sz="4" w:space="0"/>
            </w:tcBorders>
            <w:vAlign w:val="center"/>
          </w:tcPr>
          <w:p w14:paraId="3F304345">
            <w:pPr>
              <w:keepNext w:val="0"/>
              <w:keepLines w:val="0"/>
              <w:widowControl/>
              <w:suppressLineNumbers w:val="0"/>
              <w:adjustRightInd w:val="0"/>
              <w:spacing w:before="0" w:beforeAutospacing="0" w:after="0" w:afterAutospacing="0" w:line="240" w:lineRule="atLeast"/>
              <w:ind w:left="0" w:right="0"/>
              <w:jc w:val="left"/>
              <w:rPr>
                <w:rFonts w:ascii="宋体" w:hAnsi="宋体" w:cs="宋体"/>
                <w:b/>
                <w:bCs/>
                <w:color w:val="auto"/>
                <w:highlight w:val="none"/>
              </w:rPr>
            </w:pPr>
            <w:r>
              <w:rPr>
                <w:rFonts w:hint="eastAsia" w:ascii="宋体" w:hAnsi="宋体" w:cs="宋体"/>
                <w:b/>
                <w:bCs/>
                <w:color w:val="auto"/>
                <w:highlight w:val="none"/>
              </w:rPr>
              <w:t>对本项目技术条款的偏离情况（请进行勾选）</w:t>
            </w:r>
          </w:p>
          <w:p w14:paraId="39918FB3">
            <w:pPr>
              <w:keepNext w:val="0"/>
              <w:keepLines w:val="0"/>
              <w:suppressLineNumbers w:val="0"/>
              <w:spacing w:before="0" w:beforeAutospacing="0" w:after="0" w:afterAutospacing="0"/>
              <w:ind w:left="0" w:right="0"/>
              <w:rPr>
                <w:rFonts w:ascii="宋体" w:hAnsi="宋体" w:cs="宋体"/>
                <w:color w:val="auto"/>
                <w:highlight w:val="none"/>
              </w:rPr>
            </w:pPr>
            <w:r>
              <w:rPr>
                <w:rFonts w:hint="eastAsia" w:ascii="宋体" w:hAnsi="宋体" w:cs="宋体"/>
                <w:color w:val="auto"/>
                <w:highlight w:val="none"/>
              </w:rPr>
              <w:sym w:font="Wingdings 2" w:char="00A3"/>
            </w:r>
            <w:r>
              <w:rPr>
                <w:rFonts w:hint="eastAsia" w:ascii="宋体" w:hAnsi="宋体" w:cs="宋体"/>
                <w:b/>
                <w:bCs/>
                <w:color w:val="auto"/>
                <w:highlight w:val="none"/>
              </w:rPr>
              <w:t>无偏离（如无偏离，勾选此项即可）</w:t>
            </w:r>
          </w:p>
          <w:p w14:paraId="20429381">
            <w:pPr>
              <w:keepNext w:val="0"/>
              <w:keepLines w:val="0"/>
              <w:widowControl/>
              <w:suppressLineNumbers w:val="0"/>
              <w:adjustRightInd w:val="0"/>
              <w:spacing w:before="0" w:beforeAutospacing="0" w:after="0" w:afterAutospacing="0" w:line="360" w:lineRule="auto"/>
              <w:ind w:left="0" w:right="0"/>
              <w:jc w:val="left"/>
              <w:rPr>
                <w:rFonts w:ascii="宋体" w:hAnsi="宋体" w:cs="宋体"/>
                <w:color w:val="auto"/>
                <w:kern w:val="0"/>
                <w:sz w:val="24"/>
                <w:szCs w:val="24"/>
                <w:highlight w:val="none"/>
                <w:lang w:val="zh-CN"/>
              </w:rPr>
            </w:pPr>
            <w:r>
              <w:rPr>
                <w:rFonts w:hint="eastAsia" w:ascii="宋体" w:hAnsi="宋体" w:cs="宋体"/>
                <w:color w:val="auto"/>
                <w:highlight w:val="none"/>
              </w:rPr>
              <w:sym w:font="Wingdings 2" w:char="00A3"/>
            </w:r>
            <w:r>
              <w:rPr>
                <w:rFonts w:hint="eastAsia" w:ascii="宋体" w:hAnsi="宋体" w:cs="宋体"/>
                <w:b/>
                <w:bCs/>
                <w:color w:val="auto"/>
                <w:highlight w:val="none"/>
              </w:rPr>
              <w:t>有偏离（如有偏离，则需在本表中对偏离项逐一列明）</w:t>
            </w:r>
          </w:p>
        </w:tc>
      </w:tr>
      <w:tr w14:paraId="2AA2584E">
        <w:tblPrEx>
          <w:tblCellMar>
            <w:top w:w="0" w:type="dxa"/>
            <w:left w:w="0" w:type="dxa"/>
            <w:bottom w:w="0" w:type="dxa"/>
            <w:right w:w="0" w:type="dxa"/>
          </w:tblCellMar>
        </w:tblPrEx>
        <w:trPr>
          <w:trHeight w:val="454"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636AB838">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序号</w:t>
            </w:r>
          </w:p>
        </w:tc>
        <w:tc>
          <w:tcPr>
            <w:tcW w:w="1773" w:type="dxa"/>
            <w:tcBorders>
              <w:top w:val="single" w:color="auto" w:sz="4" w:space="0"/>
              <w:left w:val="single" w:color="auto" w:sz="4" w:space="0"/>
              <w:bottom w:val="single" w:color="auto" w:sz="4" w:space="0"/>
              <w:right w:val="single" w:color="auto" w:sz="4" w:space="0"/>
            </w:tcBorders>
            <w:vAlign w:val="center"/>
          </w:tcPr>
          <w:p w14:paraId="102A197C">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竞争性磋商文件条目号</w:t>
            </w:r>
          </w:p>
        </w:tc>
        <w:tc>
          <w:tcPr>
            <w:tcW w:w="2449" w:type="dxa"/>
            <w:tcBorders>
              <w:top w:val="single" w:color="auto" w:sz="4" w:space="0"/>
              <w:left w:val="single" w:color="auto" w:sz="4" w:space="0"/>
              <w:bottom w:val="single" w:color="auto" w:sz="4" w:space="0"/>
              <w:right w:val="single" w:color="auto" w:sz="4" w:space="0"/>
            </w:tcBorders>
            <w:vAlign w:val="center"/>
          </w:tcPr>
          <w:p w14:paraId="3A20550E">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采购要求规格</w:t>
            </w:r>
          </w:p>
        </w:tc>
        <w:tc>
          <w:tcPr>
            <w:tcW w:w="2766" w:type="dxa"/>
            <w:tcBorders>
              <w:top w:val="single" w:color="auto" w:sz="4" w:space="0"/>
              <w:left w:val="single" w:color="auto" w:sz="4" w:space="0"/>
              <w:bottom w:val="single" w:color="auto" w:sz="4" w:space="0"/>
              <w:right w:val="single" w:color="auto" w:sz="4" w:space="0"/>
            </w:tcBorders>
            <w:vAlign w:val="center"/>
          </w:tcPr>
          <w:p w14:paraId="056BDDF8">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服务响应</w:t>
            </w:r>
          </w:p>
        </w:tc>
        <w:tc>
          <w:tcPr>
            <w:tcW w:w="1100" w:type="dxa"/>
            <w:tcBorders>
              <w:top w:val="single" w:color="auto" w:sz="4" w:space="0"/>
              <w:left w:val="single" w:color="auto" w:sz="4" w:space="0"/>
              <w:bottom w:val="single" w:color="auto" w:sz="4" w:space="0"/>
              <w:right w:val="single" w:color="auto" w:sz="4" w:space="0"/>
            </w:tcBorders>
            <w:vAlign w:val="center"/>
          </w:tcPr>
          <w:p w14:paraId="162F2B71">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偏离</w:t>
            </w:r>
          </w:p>
        </w:tc>
      </w:tr>
      <w:tr w14:paraId="72B04D62">
        <w:tblPrEx>
          <w:tblCellMar>
            <w:top w:w="0" w:type="dxa"/>
            <w:left w:w="0" w:type="dxa"/>
            <w:bottom w:w="0" w:type="dxa"/>
            <w:right w:w="0" w:type="dxa"/>
          </w:tblCellMar>
        </w:tblPrEx>
        <w:trPr>
          <w:trHeight w:val="454"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31228267">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773" w:type="dxa"/>
            <w:tcBorders>
              <w:top w:val="single" w:color="auto" w:sz="4" w:space="0"/>
              <w:left w:val="single" w:color="auto" w:sz="4" w:space="0"/>
              <w:bottom w:val="single" w:color="auto" w:sz="4" w:space="0"/>
              <w:right w:val="single" w:color="auto" w:sz="4" w:space="0"/>
            </w:tcBorders>
            <w:vAlign w:val="center"/>
          </w:tcPr>
          <w:p w14:paraId="13F169A2">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449" w:type="dxa"/>
            <w:tcBorders>
              <w:top w:val="single" w:color="auto" w:sz="4" w:space="0"/>
              <w:left w:val="single" w:color="auto" w:sz="4" w:space="0"/>
              <w:bottom w:val="single" w:color="auto" w:sz="4" w:space="0"/>
              <w:right w:val="single" w:color="auto" w:sz="4" w:space="0"/>
            </w:tcBorders>
            <w:vAlign w:val="center"/>
          </w:tcPr>
          <w:p w14:paraId="2F6E38E1">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766" w:type="dxa"/>
            <w:tcBorders>
              <w:top w:val="single" w:color="auto" w:sz="4" w:space="0"/>
              <w:left w:val="single" w:color="auto" w:sz="4" w:space="0"/>
              <w:bottom w:val="single" w:color="auto" w:sz="4" w:space="0"/>
              <w:right w:val="single" w:color="auto" w:sz="4" w:space="0"/>
            </w:tcBorders>
            <w:vAlign w:val="center"/>
          </w:tcPr>
          <w:p w14:paraId="3288DF17">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100" w:type="dxa"/>
            <w:tcBorders>
              <w:top w:val="single" w:color="auto" w:sz="4" w:space="0"/>
              <w:left w:val="single" w:color="auto" w:sz="4" w:space="0"/>
              <w:bottom w:val="single" w:color="auto" w:sz="4" w:space="0"/>
              <w:right w:val="single" w:color="auto" w:sz="4" w:space="0"/>
            </w:tcBorders>
            <w:vAlign w:val="center"/>
          </w:tcPr>
          <w:p w14:paraId="47E3368B">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r>
      <w:tr w14:paraId="0C32EEC1">
        <w:tblPrEx>
          <w:tblCellMar>
            <w:top w:w="0" w:type="dxa"/>
            <w:left w:w="0" w:type="dxa"/>
            <w:bottom w:w="0" w:type="dxa"/>
            <w:right w:w="0" w:type="dxa"/>
          </w:tblCellMar>
        </w:tblPrEx>
        <w:trPr>
          <w:trHeight w:val="454"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70958F1A">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773" w:type="dxa"/>
            <w:tcBorders>
              <w:top w:val="single" w:color="auto" w:sz="4" w:space="0"/>
              <w:left w:val="single" w:color="auto" w:sz="4" w:space="0"/>
              <w:bottom w:val="single" w:color="auto" w:sz="4" w:space="0"/>
              <w:right w:val="single" w:color="auto" w:sz="4" w:space="0"/>
            </w:tcBorders>
            <w:vAlign w:val="center"/>
          </w:tcPr>
          <w:p w14:paraId="349FC4DE">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449" w:type="dxa"/>
            <w:tcBorders>
              <w:top w:val="single" w:color="auto" w:sz="4" w:space="0"/>
              <w:left w:val="single" w:color="auto" w:sz="4" w:space="0"/>
              <w:bottom w:val="single" w:color="auto" w:sz="4" w:space="0"/>
              <w:right w:val="single" w:color="auto" w:sz="4" w:space="0"/>
            </w:tcBorders>
            <w:vAlign w:val="center"/>
          </w:tcPr>
          <w:p w14:paraId="70504C31">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766" w:type="dxa"/>
            <w:tcBorders>
              <w:top w:val="single" w:color="auto" w:sz="4" w:space="0"/>
              <w:left w:val="single" w:color="auto" w:sz="4" w:space="0"/>
              <w:bottom w:val="single" w:color="auto" w:sz="4" w:space="0"/>
              <w:right w:val="single" w:color="auto" w:sz="4" w:space="0"/>
            </w:tcBorders>
            <w:vAlign w:val="center"/>
          </w:tcPr>
          <w:p w14:paraId="5387E1F2">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100" w:type="dxa"/>
            <w:tcBorders>
              <w:top w:val="single" w:color="auto" w:sz="4" w:space="0"/>
              <w:left w:val="single" w:color="auto" w:sz="4" w:space="0"/>
              <w:bottom w:val="single" w:color="auto" w:sz="4" w:space="0"/>
              <w:right w:val="single" w:color="auto" w:sz="4" w:space="0"/>
            </w:tcBorders>
            <w:vAlign w:val="center"/>
          </w:tcPr>
          <w:p w14:paraId="1EF3DB5B">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r>
      <w:tr w14:paraId="4670159F">
        <w:tblPrEx>
          <w:tblCellMar>
            <w:top w:w="0" w:type="dxa"/>
            <w:left w:w="0" w:type="dxa"/>
            <w:bottom w:w="0" w:type="dxa"/>
            <w:right w:w="0" w:type="dxa"/>
          </w:tblCellMar>
        </w:tblPrEx>
        <w:trPr>
          <w:trHeight w:val="454"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18FE1A89">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773" w:type="dxa"/>
            <w:tcBorders>
              <w:top w:val="single" w:color="auto" w:sz="4" w:space="0"/>
              <w:left w:val="single" w:color="auto" w:sz="4" w:space="0"/>
              <w:bottom w:val="single" w:color="auto" w:sz="4" w:space="0"/>
              <w:right w:val="single" w:color="auto" w:sz="4" w:space="0"/>
            </w:tcBorders>
            <w:vAlign w:val="center"/>
          </w:tcPr>
          <w:p w14:paraId="674CCAFD">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449" w:type="dxa"/>
            <w:tcBorders>
              <w:top w:val="single" w:color="auto" w:sz="4" w:space="0"/>
              <w:left w:val="single" w:color="auto" w:sz="4" w:space="0"/>
              <w:bottom w:val="single" w:color="auto" w:sz="4" w:space="0"/>
              <w:right w:val="single" w:color="auto" w:sz="4" w:space="0"/>
            </w:tcBorders>
            <w:vAlign w:val="center"/>
          </w:tcPr>
          <w:p w14:paraId="08144838">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766" w:type="dxa"/>
            <w:tcBorders>
              <w:top w:val="single" w:color="auto" w:sz="4" w:space="0"/>
              <w:left w:val="single" w:color="auto" w:sz="4" w:space="0"/>
              <w:bottom w:val="single" w:color="auto" w:sz="4" w:space="0"/>
              <w:right w:val="single" w:color="auto" w:sz="4" w:space="0"/>
            </w:tcBorders>
            <w:vAlign w:val="center"/>
          </w:tcPr>
          <w:p w14:paraId="0D234CEF">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100" w:type="dxa"/>
            <w:tcBorders>
              <w:top w:val="single" w:color="auto" w:sz="4" w:space="0"/>
              <w:left w:val="single" w:color="auto" w:sz="4" w:space="0"/>
              <w:bottom w:val="single" w:color="auto" w:sz="4" w:space="0"/>
              <w:right w:val="single" w:color="auto" w:sz="4" w:space="0"/>
            </w:tcBorders>
            <w:vAlign w:val="center"/>
          </w:tcPr>
          <w:p w14:paraId="1E4B3655">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r>
      <w:tr w14:paraId="34922E1E">
        <w:tblPrEx>
          <w:tblCellMar>
            <w:top w:w="0" w:type="dxa"/>
            <w:left w:w="0" w:type="dxa"/>
            <w:bottom w:w="0" w:type="dxa"/>
            <w:right w:w="0" w:type="dxa"/>
          </w:tblCellMar>
        </w:tblPrEx>
        <w:trPr>
          <w:trHeight w:val="454"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54FA5E2F">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773" w:type="dxa"/>
            <w:tcBorders>
              <w:top w:val="single" w:color="auto" w:sz="4" w:space="0"/>
              <w:left w:val="single" w:color="auto" w:sz="4" w:space="0"/>
              <w:bottom w:val="single" w:color="auto" w:sz="4" w:space="0"/>
              <w:right w:val="single" w:color="auto" w:sz="4" w:space="0"/>
            </w:tcBorders>
            <w:vAlign w:val="center"/>
          </w:tcPr>
          <w:p w14:paraId="23FC20B8">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449" w:type="dxa"/>
            <w:tcBorders>
              <w:top w:val="single" w:color="auto" w:sz="4" w:space="0"/>
              <w:left w:val="single" w:color="auto" w:sz="4" w:space="0"/>
              <w:bottom w:val="single" w:color="auto" w:sz="4" w:space="0"/>
              <w:right w:val="single" w:color="auto" w:sz="4" w:space="0"/>
            </w:tcBorders>
            <w:vAlign w:val="center"/>
          </w:tcPr>
          <w:p w14:paraId="1A7FFF0C">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766" w:type="dxa"/>
            <w:tcBorders>
              <w:top w:val="single" w:color="auto" w:sz="4" w:space="0"/>
              <w:left w:val="single" w:color="auto" w:sz="4" w:space="0"/>
              <w:bottom w:val="single" w:color="auto" w:sz="4" w:space="0"/>
              <w:right w:val="single" w:color="auto" w:sz="4" w:space="0"/>
            </w:tcBorders>
            <w:vAlign w:val="center"/>
          </w:tcPr>
          <w:p w14:paraId="3B683EC9">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100" w:type="dxa"/>
            <w:tcBorders>
              <w:top w:val="single" w:color="auto" w:sz="4" w:space="0"/>
              <w:left w:val="single" w:color="auto" w:sz="4" w:space="0"/>
              <w:bottom w:val="single" w:color="auto" w:sz="4" w:space="0"/>
              <w:right w:val="single" w:color="auto" w:sz="4" w:space="0"/>
            </w:tcBorders>
            <w:vAlign w:val="center"/>
          </w:tcPr>
          <w:p w14:paraId="293D6D2D">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r>
      <w:tr w14:paraId="2DAE0F9A">
        <w:tblPrEx>
          <w:tblCellMar>
            <w:top w:w="0" w:type="dxa"/>
            <w:left w:w="0" w:type="dxa"/>
            <w:bottom w:w="0" w:type="dxa"/>
            <w:right w:w="0" w:type="dxa"/>
          </w:tblCellMar>
        </w:tblPrEx>
        <w:trPr>
          <w:trHeight w:val="454" w:hRule="atLeast"/>
          <w:jc w:val="center"/>
        </w:trPr>
        <w:tc>
          <w:tcPr>
            <w:tcW w:w="755" w:type="dxa"/>
            <w:tcBorders>
              <w:top w:val="single" w:color="auto" w:sz="4" w:space="0"/>
              <w:left w:val="single" w:color="auto" w:sz="4" w:space="0"/>
              <w:bottom w:val="single" w:color="auto" w:sz="4" w:space="0"/>
              <w:right w:val="single" w:color="auto" w:sz="4" w:space="0"/>
            </w:tcBorders>
            <w:vAlign w:val="center"/>
          </w:tcPr>
          <w:p w14:paraId="66FFF569">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773" w:type="dxa"/>
            <w:tcBorders>
              <w:top w:val="single" w:color="auto" w:sz="4" w:space="0"/>
              <w:left w:val="single" w:color="auto" w:sz="4" w:space="0"/>
              <w:bottom w:val="single" w:color="auto" w:sz="4" w:space="0"/>
              <w:right w:val="single" w:color="auto" w:sz="4" w:space="0"/>
            </w:tcBorders>
            <w:vAlign w:val="center"/>
          </w:tcPr>
          <w:p w14:paraId="0476A60C">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449" w:type="dxa"/>
            <w:tcBorders>
              <w:top w:val="single" w:color="auto" w:sz="4" w:space="0"/>
              <w:left w:val="single" w:color="auto" w:sz="4" w:space="0"/>
              <w:bottom w:val="single" w:color="auto" w:sz="4" w:space="0"/>
              <w:right w:val="single" w:color="auto" w:sz="4" w:space="0"/>
            </w:tcBorders>
            <w:vAlign w:val="center"/>
          </w:tcPr>
          <w:p w14:paraId="56CCD939">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2766" w:type="dxa"/>
            <w:tcBorders>
              <w:top w:val="single" w:color="auto" w:sz="4" w:space="0"/>
              <w:left w:val="single" w:color="auto" w:sz="4" w:space="0"/>
              <w:bottom w:val="single" w:color="auto" w:sz="4" w:space="0"/>
              <w:right w:val="single" w:color="auto" w:sz="4" w:space="0"/>
            </w:tcBorders>
            <w:vAlign w:val="center"/>
          </w:tcPr>
          <w:p w14:paraId="0BB648C3">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c>
          <w:tcPr>
            <w:tcW w:w="1100" w:type="dxa"/>
            <w:tcBorders>
              <w:top w:val="single" w:color="auto" w:sz="4" w:space="0"/>
              <w:left w:val="single" w:color="auto" w:sz="4" w:space="0"/>
              <w:bottom w:val="single" w:color="auto" w:sz="4" w:space="0"/>
              <w:right w:val="single" w:color="auto" w:sz="4" w:space="0"/>
            </w:tcBorders>
            <w:vAlign w:val="center"/>
          </w:tcPr>
          <w:p w14:paraId="6B120747">
            <w:pPr>
              <w:keepNext w:val="0"/>
              <w:keepLines w:val="0"/>
              <w:widowControl/>
              <w:suppressLineNumbers w:val="0"/>
              <w:adjustRightInd w:val="0"/>
              <w:spacing w:before="0" w:beforeAutospacing="0" w:after="0" w:afterAutospacing="0" w:line="360" w:lineRule="auto"/>
              <w:ind w:left="0" w:right="0"/>
              <w:jc w:val="center"/>
              <w:rPr>
                <w:rFonts w:ascii="宋体" w:hAnsi="宋体" w:cs="宋体"/>
                <w:color w:val="auto"/>
                <w:kern w:val="0"/>
                <w:sz w:val="24"/>
                <w:szCs w:val="24"/>
                <w:highlight w:val="none"/>
                <w:lang w:val="zh-CN"/>
              </w:rPr>
            </w:pPr>
          </w:p>
        </w:tc>
      </w:tr>
    </w:tbl>
    <w:p w14:paraId="09995480">
      <w:pPr>
        <w:widowControl/>
        <w:adjustRightInd w:val="0"/>
        <w:spacing w:line="360" w:lineRule="auto"/>
        <w:jc w:val="left"/>
        <w:rPr>
          <w:rFonts w:ascii="宋体" w:hAnsi="宋体" w:cs="宋体"/>
          <w:color w:val="auto"/>
          <w:kern w:val="0"/>
          <w:sz w:val="24"/>
          <w:szCs w:val="24"/>
          <w:highlight w:val="none"/>
          <w:lang w:val="zh-CN"/>
        </w:rPr>
      </w:pPr>
    </w:p>
    <w:p w14:paraId="3DBEEB80">
      <w:pPr>
        <w:widowControl/>
        <w:tabs>
          <w:tab w:val="left" w:pos="5397"/>
        </w:tabs>
        <w:spacing w:line="360" w:lineRule="auto"/>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说明：如果行数不够，请自行增加。</w:t>
      </w:r>
    </w:p>
    <w:p w14:paraId="316E3655">
      <w:pPr>
        <w:widowControl/>
        <w:tabs>
          <w:tab w:val="left" w:pos="5397"/>
        </w:tabs>
        <w:spacing w:line="360" w:lineRule="auto"/>
        <w:jc w:val="left"/>
        <w:rPr>
          <w:rFonts w:hint="default" w:ascii="宋体" w:hAnsi="宋体" w:eastAsia="宋体"/>
          <w:color w:val="auto"/>
          <w:kern w:val="0"/>
          <w:sz w:val="24"/>
          <w:szCs w:val="24"/>
          <w:highlight w:val="none"/>
          <w:u w:val="single"/>
          <w:lang w:val="en-US" w:eastAsia="zh-CN"/>
        </w:rPr>
      </w:pPr>
      <w:r>
        <w:rPr>
          <w:rFonts w:hint="eastAsia" w:ascii="宋体" w:hAnsi="宋体" w:cs="宋体"/>
          <w:color w:val="auto"/>
          <w:kern w:val="0"/>
          <w:sz w:val="24"/>
          <w:szCs w:val="24"/>
          <w:highlight w:val="none"/>
        </w:rPr>
        <w:t>投标人</w:t>
      </w:r>
      <w:r>
        <w:rPr>
          <w:rFonts w:hint="eastAsia" w:ascii="宋体" w:hAnsi="宋体"/>
          <w:color w:val="auto"/>
          <w:sz w:val="24"/>
          <w:szCs w:val="24"/>
          <w:highlight w:val="none"/>
        </w:rPr>
        <w:t>（加盖公章）</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u w:val="single"/>
          <w:lang w:val="en-US" w:eastAsia="zh-CN"/>
        </w:rPr>
        <w:t xml:space="preserve">         </w:t>
      </w:r>
    </w:p>
    <w:p w14:paraId="2E2A7BA3">
      <w:pPr>
        <w:widowControl/>
        <w:shd w:val="clear" w:color="auto" w:fill="FFFFFF"/>
        <w:spacing w:line="360" w:lineRule="auto"/>
        <w:jc w:val="left"/>
        <w:rPr>
          <w:color w:val="auto"/>
          <w:highlight w:val="none"/>
        </w:rPr>
      </w:pPr>
      <w:r>
        <w:rPr>
          <w:rFonts w:hint="eastAsia" w:ascii="宋体" w:hAnsi="宋体"/>
          <w:color w:val="auto"/>
          <w:kern w:val="0"/>
          <w:highlight w:val="none"/>
        </w:rPr>
        <w:br w:type="page"/>
      </w:r>
      <w:bookmarkStart w:id="18" w:name="_Toc66375429"/>
      <w:bookmarkStart w:id="19" w:name="_Toc43917776"/>
      <w:r>
        <w:rPr>
          <w:rFonts w:hint="eastAsia" w:ascii="Arial" w:hAnsi="Arial" w:eastAsia="Arial" w:cs="Arial"/>
          <w:b/>
          <w:bCs/>
          <w:color w:val="auto"/>
          <w:sz w:val="24"/>
          <w:szCs w:val="24"/>
          <w:highlight w:val="none"/>
          <w:lang w:val="zh-CN" w:eastAsia="zh-CN" w:bidi="ar-SA"/>
        </w:rPr>
        <w:t>附件</w:t>
      </w:r>
      <w:r>
        <w:rPr>
          <w:rFonts w:hint="eastAsia" w:ascii="Arial" w:hAnsi="Arial" w:eastAsia="Arial" w:cs="Arial"/>
          <w:b/>
          <w:bCs/>
          <w:color w:val="auto"/>
          <w:sz w:val="24"/>
          <w:szCs w:val="24"/>
          <w:highlight w:val="none"/>
          <w:lang w:val="en-US" w:eastAsia="zh-CN" w:bidi="ar-SA"/>
        </w:rPr>
        <w:t>六</w:t>
      </w:r>
      <w:r>
        <w:rPr>
          <w:rFonts w:hint="eastAsia" w:ascii="Arial" w:hAnsi="Arial" w:eastAsia="Arial" w:cs="Arial"/>
          <w:b/>
          <w:bCs/>
          <w:color w:val="auto"/>
          <w:sz w:val="24"/>
          <w:szCs w:val="24"/>
          <w:highlight w:val="none"/>
          <w:lang w:val="zh-CN" w:eastAsia="zh-CN" w:bidi="ar-SA"/>
        </w:rPr>
        <w:t>、商务条款偏离表格式</w:t>
      </w:r>
      <w:bookmarkEnd w:id="18"/>
      <w:bookmarkEnd w:id="19"/>
    </w:p>
    <w:p w14:paraId="77C226B2">
      <w:pPr>
        <w:widowControl/>
        <w:shd w:val="clear" w:color="auto" w:fill="FFFFFF"/>
        <w:spacing w:line="360" w:lineRule="auto"/>
        <w:ind w:left="420"/>
        <w:jc w:val="center"/>
        <w:rPr>
          <w:rFonts w:hint="eastAsia" w:ascii="宋体" w:hAnsi="宋体"/>
          <w:b/>
          <w:color w:val="auto"/>
          <w:kern w:val="0"/>
          <w:sz w:val="30"/>
          <w:szCs w:val="30"/>
          <w:highlight w:val="none"/>
        </w:rPr>
      </w:pPr>
      <w:r>
        <w:rPr>
          <w:rFonts w:hint="eastAsia" w:ascii="宋体" w:hAnsi="宋体"/>
          <w:b/>
          <w:color w:val="auto"/>
          <w:kern w:val="0"/>
          <w:sz w:val="30"/>
          <w:szCs w:val="30"/>
          <w:highlight w:val="none"/>
        </w:rPr>
        <w:t>商务条款偏离表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3"/>
        <w:gridCol w:w="1918"/>
        <w:gridCol w:w="4617"/>
        <w:gridCol w:w="1286"/>
        <w:gridCol w:w="791"/>
      </w:tblGrid>
      <w:tr w14:paraId="714E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7248" w:type="dxa"/>
            <w:gridSpan w:val="3"/>
            <w:tcBorders>
              <w:top w:val="nil"/>
              <w:left w:val="nil"/>
              <w:bottom w:val="single" w:color="auto" w:sz="4" w:space="0"/>
              <w:right w:val="nil"/>
            </w:tcBorders>
            <w:vAlign w:val="center"/>
          </w:tcPr>
          <w:p w14:paraId="489FFF09">
            <w:pPr>
              <w:keepNext w:val="0"/>
              <w:keepLines w:val="0"/>
              <w:widowControl/>
              <w:suppressLineNumbers w:val="0"/>
              <w:adjustRightInd w:val="0"/>
              <w:spacing w:before="0" w:beforeAutospacing="0" w:after="0" w:afterAutospacing="0" w:line="240" w:lineRule="atLeast"/>
              <w:ind w:left="0" w:right="-1953" w:rightChars="-93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项目名称：                                         项目编号：                                                       </w:t>
            </w:r>
          </w:p>
        </w:tc>
        <w:tc>
          <w:tcPr>
            <w:tcW w:w="2077" w:type="dxa"/>
            <w:gridSpan w:val="2"/>
            <w:tcBorders>
              <w:top w:val="nil"/>
              <w:left w:val="nil"/>
              <w:bottom w:val="single" w:color="auto" w:sz="4" w:space="0"/>
              <w:right w:val="nil"/>
            </w:tcBorders>
            <w:vAlign w:val="center"/>
          </w:tcPr>
          <w:p w14:paraId="3D07DA4E">
            <w:pPr>
              <w:keepNext w:val="0"/>
              <w:keepLines w:val="0"/>
              <w:widowControl/>
              <w:suppressLineNumbers w:val="0"/>
              <w:adjustRightInd w:val="0"/>
              <w:spacing w:before="0" w:beforeAutospacing="0" w:after="0" w:afterAutospacing="0" w:line="240" w:lineRule="atLeast"/>
              <w:ind w:left="0" w:right="0"/>
              <w:jc w:val="left"/>
              <w:rPr>
                <w:rFonts w:ascii="宋体" w:hAnsi="宋体" w:cs="宋体"/>
                <w:color w:val="auto"/>
                <w:kern w:val="0"/>
                <w:sz w:val="24"/>
                <w:szCs w:val="24"/>
                <w:highlight w:val="none"/>
                <w:lang w:val="zh-CN"/>
              </w:rPr>
            </w:pPr>
          </w:p>
        </w:tc>
      </w:tr>
      <w:tr w14:paraId="0689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25" w:type="dxa"/>
            <w:gridSpan w:val="5"/>
            <w:tcBorders>
              <w:top w:val="single" w:color="auto" w:sz="4" w:space="0"/>
              <w:left w:val="single" w:color="auto" w:sz="4" w:space="0"/>
              <w:bottom w:val="single" w:color="auto" w:sz="4" w:space="0"/>
              <w:right w:val="single" w:color="auto" w:sz="4" w:space="0"/>
            </w:tcBorders>
            <w:vAlign w:val="center"/>
          </w:tcPr>
          <w:p w14:paraId="74597EBC">
            <w:pPr>
              <w:keepNext w:val="0"/>
              <w:keepLines w:val="0"/>
              <w:widowControl/>
              <w:suppressLineNumbers w:val="0"/>
              <w:adjustRightInd w:val="0"/>
              <w:spacing w:before="0" w:beforeAutospacing="0" w:after="0" w:afterAutospacing="0" w:line="240" w:lineRule="atLeast"/>
              <w:ind w:left="0" w:right="0"/>
              <w:jc w:val="left"/>
              <w:rPr>
                <w:b/>
                <w:bCs/>
                <w:color w:val="auto"/>
                <w:highlight w:val="none"/>
              </w:rPr>
            </w:pPr>
            <w:r>
              <w:rPr>
                <w:rFonts w:hint="eastAsia"/>
                <w:b/>
                <w:bCs/>
                <w:color w:val="auto"/>
                <w:highlight w:val="none"/>
              </w:rPr>
              <w:t>对本项目商务条款的偏离情况（请进行勾选）</w:t>
            </w:r>
          </w:p>
          <w:p w14:paraId="285FD594">
            <w:pPr>
              <w:keepNext w:val="0"/>
              <w:keepLines w:val="0"/>
              <w:suppressLineNumbers w:val="0"/>
              <w:spacing w:before="0" w:beforeAutospacing="0" w:after="0" w:afterAutospacing="0"/>
              <w:ind w:left="0" w:right="0"/>
              <w:rPr>
                <w:color w:val="auto"/>
                <w:highlight w:val="none"/>
              </w:rPr>
            </w:pPr>
            <w:r>
              <w:rPr>
                <w:color w:val="auto"/>
                <w:highlight w:val="none"/>
              </w:rPr>
              <w:sym w:font="Wingdings 2" w:char="00A3"/>
            </w:r>
            <w:r>
              <w:rPr>
                <w:rFonts w:hint="eastAsia"/>
                <w:b/>
                <w:bCs/>
                <w:color w:val="auto"/>
                <w:highlight w:val="none"/>
              </w:rPr>
              <w:t>无偏离（如无偏离，勾选此项即可）</w:t>
            </w:r>
          </w:p>
          <w:p w14:paraId="7F915C2A">
            <w:pPr>
              <w:keepNext w:val="0"/>
              <w:keepLines w:val="0"/>
              <w:widowControl/>
              <w:suppressLineNumbers w:val="0"/>
              <w:adjustRightInd w:val="0"/>
              <w:spacing w:before="0" w:beforeAutospacing="0" w:after="0" w:afterAutospacing="0" w:line="240" w:lineRule="atLeast"/>
              <w:ind w:left="0" w:right="0"/>
              <w:jc w:val="left"/>
              <w:rPr>
                <w:rFonts w:ascii="宋体" w:hAnsi="宋体" w:cs="宋体"/>
                <w:color w:val="auto"/>
                <w:kern w:val="0"/>
                <w:sz w:val="24"/>
                <w:szCs w:val="24"/>
                <w:highlight w:val="none"/>
                <w:lang w:val="zh-CN"/>
              </w:rPr>
            </w:pPr>
            <w:r>
              <w:rPr>
                <w:color w:val="auto"/>
                <w:highlight w:val="none"/>
              </w:rPr>
              <w:sym w:font="Wingdings 2" w:char="00A3"/>
            </w:r>
            <w:r>
              <w:rPr>
                <w:rFonts w:hint="eastAsia"/>
                <w:b/>
                <w:bCs/>
                <w:color w:val="auto"/>
                <w:highlight w:val="none"/>
              </w:rPr>
              <w:t>有偏离（如有偏离，则需在本表中对偏离项逐一列明）</w:t>
            </w:r>
          </w:p>
        </w:tc>
      </w:tr>
      <w:tr w14:paraId="247B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6A3673B9">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序号</w:t>
            </w:r>
          </w:p>
        </w:tc>
        <w:tc>
          <w:tcPr>
            <w:tcW w:w="1918" w:type="dxa"/>
            <w:tcBorders>
              <w:top w:val="single" w:color="auto" w:sz="4" w:space="0"/>
              <w:left w:val="single" w:color="auto" w:sz="4" w:space="0"/>
              <w:bottom w:val="single" w:color="auto" w:sz="4" w:space="0"/>
              <w:right w:val="single" w:color="auto" w:sz="4" w:space="0"/>
            </w:tcBorders>
            <w:vAlign w:val="center"/>
          </w:tcPr>
          <w:p w14:paraId="46025CF8">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竞争性磋商文件条目号</w:t>
            </w:r>
          </w:p>
        </w:tc>
        <w:tc>
          <w:tcPr>
            <w:tcW w:w="4617" w:type="dxa"/>
            <w:tcBorders>
              <w:top w:val="single" w:color="auto" w:sz="4" w:space="0"/>
              <w:left w:val="single" w:color="auto" w:sz="4" w:space="0"/>
              <w:bottom w:val="single" w:color="auto" w:sz="4" w:space="0"/>
              <w:right w:val="single" w:color="auto" w:sz="4" w:space="0"/>
            </w:tcBorders>
            <w:vAlign w:val="center"/>
          </w:tcPr>
          <w:p w14:paraId="63B56AFC">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竞争性磋商文件要求的商务条款</w:t>
            </w:r>
          </w:p>
        </w:tc>
        <w:tc>
          <w:tcPr>
            <w:tcW w:w="1286" w:type="dxa"/>
            <w:tcBorders>
              <w:top w:val="single" w:color="auto" w:sz="4" w:space="0"/>
              <w:left w:val="single" w:color="auto" w:sz="4" w:space="0"/>
              <w:bottom w:val="single" w:color="auto" w:sz="4" w:space="0"/>
              <w:right w:val="single" w:color="auto" w:sz="4" w:space="0"/>
            </w:tcBorders>
            <w:vAlign w:val="center"/>
          </w:tcPr>
          <w:p w14:paraId="41D63E08">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服务响应</w:t>
            </w:r>
          </w:p>
        </w:tc>
        <w:tc>
          <w:tcPr>
            <w:tcW w:w="791" w:type="dxa"/>
            <w:tcBorders>
              <w:top w:val="single" w:color="auto" w:sz="4" w:space="0"/>
              <w:left w:val="single" w:color="auto" w:sz="4" w:space="0"/>
              <w:bottom w:val="single" w:color="auto" w:sz="4" w:space="0"/>
              <w:right w:val="single" w:color="auto" w:sz="4" w:space="0"/>
            </w:tcBorders>
            <w:vAlign w:val="center"/>
          </w:tcPr>
          <w:p w14:paraId="531695BE">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偏离</w:t>
            </w:r>
          </w:p>
        </w:tc>
      </w:tr>
      <w:tr w14:paraId="53062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2F665377">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918" w:type="dxa"/>
            <w:tcBorders>
              <w:top w:val="single" w:color="auto" w:sz="4" w:space="0"/>
              <w:left w:val="single" w:color="auto" w:sz="4" w:space="0"/>
              <w:bottom w:val="single" w:color="auto" w:sz="4" w:space="0"/>
              <w:right w:val="single" w:color="auto" w:sz="4" w:space="0"/>
            </w:tcBorders>
            <w:vAlign w:val="center"/>
          </w:tcPr>
          <w:p w14:paraId="039CD972">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4617" w:type="dxa"/>
            <w:tcBorders>
              <w:top w:val="single" w:color="auto" w:sz="4" w:space="0"/>
              <w:left w:val="single" w:color="auto" w:sz="4" w:space="0"/>
              <w:bottom w:val="single" w:color="auto" w:sz="4" w:space="0"/>
              <w:right w:val="single" w:color="auto" w:sz="4" w:space="0"/>
            </w:tcBorders>
            <w:vAlign w:val="center"/>
          </w:tcPr>
          <w:p w14:paraId="334E9C64">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286" w:type="dxa"/>
            <w:tcBorders>
              <w:top w:val="single" w:color="auto" w:sz="4" w:space="0"/>
              <w:left w:val="single" w:color="auto" w:sz="4" w:space="0"/>
              <w:bottom w:val="single" w:color="auto" w:sz="4" w:space="0"/>
              <w:right w:val="single" w:color="auto" w:sz="4" w:space="0"/>
            </w:tcBorders>
            <w:vAlign w:val="center"/>
          </w:tcPr>
          <w:p w14:paraId="69D28816">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791" w:type="dxa"/>
            <w:tcBorders>
              <w:top w:val="single" w:color="auto" w:sz="4" w:space="0"/>
              <w:left w:val="single" w:color="auto" w:sz="4" w:space="0"/>
              <w:bottom w:val="single" w:color="auto" w:sz="4" w:space="0"/>
              <w:right w:val="single" w:color="auto" w:sz="4" w:space="0"/>
            </w:tcBorders>
            <w:vAlign w:val="center"/>
          </w:tcPr>
          <w:p w14:paraId="4CBB9313">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r>
      <w:tr w14:paraId="13E0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2EF91E76">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918" w:type="dxa"/>
            <w:tcBorders>
              <w:top w:val="single" w:color="auto" w:sz="4" w:space="0"/>
              <w:left w:val="single" w:color="auto" w:sz="4" w:space="0"/>
              <w:bottom w:val="single" w:color="auto" w:sz="4" w:space="0"/>
              <w:right w:val="single" w:color="auto" w:sz="4" w:space="0"/>
            </w:tcBorders>
            <w:vAlign w:val="center"/>
          </w:tcPr>
          <w:p w14:paraId="261256F5">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4617" w:type="dxa"/>
            <w:tcBorders>
              <w:top w:val="single" w:color="auto" w:sz="4" w:space="0"/>
              <w:left w:val="single" w:color="auto" w:sz="4" w:space="0"/>
              <w:bottom w:val="single" w:color="auto" w:sz="4" w:space="0"/>
              <w:right w:val="single" w:color="auto" w:sz="4" w:space="0"/>
            </w:tcBorders>
            <w:vAlign w:val="center"/>
          </w:tcPr>
          <w:p w14:paraId="289EB06C">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286" w:type="dxa"/>
            <w:tcBorders>
              <w:top w:val="single" w:color="auto" w:sz="4" w:space="0"/>
              <w:left w:val="single" w:color="auto" w:sz="4" w:space="0"/>
              <w:bottom w:val="single" w:color="auto" w:sz="4" w:space="0"/>
              <w:right w:val="single" w:color="auto" w:sz="4" w:space="0"/>
            </w:tcBorders>
            <w:vAlign w:val="center"/>
          </w:tcPr>
          <w:p w14:paraId="6AE2FAA5">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791" w:type="dxa"/>
            <w:tcBorders>
              <w:top w:val="single" w:color="auto" w:sz="4" w:space="0"/>
              <w:left w:val="single" w:color="auto" w:sz="4" w:space="0"/>
              <w:bottom w:val="single" w:color="auto" w:sz="4" w:space="0"/>
              <w:right w:val="single" w:color="auto" w:sz="4" w:space="0"/>
            </w:tcBorders>
            <w:vAlign w:val="center"/>
          </w:tcPr>
          <w:p w14:paraId="20B67CDC">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r>
      <w:tr w14:paraId="0840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321651A">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918" w:type="dxa"/>
            <w:tcBorders>
              <w:top w:val="single" w:color="auto" w:sz="4" w:space="0"/>
              <w:left w:val="single" w:color="auto" w:sz="4" w:space="0"/>
              <w:bottom w:val="single" w:color="auto" w:sz="4" w:space="0"/>
              <w:right w:val="single" w:color="auto" w:sz="4" w:space="0"/>
            </w:tcBorders>
            <w:vAlign w:val="center"/>
          </w:tcPr>
          <w:p w14:paraId="233060DA">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4617" w:type="dxa"/>
            <w:tcBorders>
              <w:top w:val="single" w:color="auto" w:sz="4" w:space="0"/>
              <w:left w:val="single" w:color="auto" w:sz="4" w:space="0"/>
              <w:bottom w:val="single" w:color="auto" w:sz="4" w:space="0"/>
              <w:right w:val="single" w:color="auto" w:sz="4" w:space="0"/>
            </w:tcBorders>
            <w:vAlign w:val="center"/>
          </w:tcPr>
          <w:p w14:paraId="12004CD6">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286" w:type="dxa"/>
            <w:tcBorders>
              <w:top w:val="single" w:color="auto" w:sz="4" w:space="0"/>
              <w:left w:val="single" w:color="auto" w:sz="4" w:space="0"/>
              <w:bottom w:val="single" w:color="auto" w:sz="4" w:space="0"/>
              <w:right w:val="single" w:color="auto" w:sz="4" w:space="0"/>
            </w:tcBorders>
            <w:vAlign w:val="center"/>
          </w:tcPr>
          <w:p w14:paraId="309065B7">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791" w:type="dxa"/>
            <w:tcBorders>
              <w:top w:val="single" w:color="auto" w:sz="4" w:space="0"/>
              <w:left w:val="single" w:color="auto" w:sz="4" w:space="0"/>
              <w:bottom w:val="single" w:color="auto" w:sz="4" w:space="0"/>
              <w:right w:val="single" w:color="auto" w:sz="4" w:space="0"/>
            </w:tcBorders>
            <w:vAlign w:val="center"/>
          </w:tcPr>
          <w:p w14:paraId="2E9AEB42">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r>
      <w:tr w14:paraId="71A9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1BFDADDD">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918" w:type="dxa"/>
            <w:tcBorders>
              <w:top w:val="single" w:color="auto" w:sz="4" w:space="0"/>
              <w:left w:val="single" w:color="auto" w:sz="4" w:space="0"/>
              <w:bottom w:val="single" w:color="auto" w:sz="4" w:space="0"/>
              <w:right w:val="single" w:color="auto" w:sz="4" w:space="0"/>
            </w:tcBorders>
            <w:vAlign w:val="center"/>
          </w:tcPr>
          <w:p w14:paraId="6E03AF8E">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4617" w:type="dxa"/>
            <w:tcBorders>
              <w:top w:val="single" w:color="auto" w:sz="4" w:space="0"/>
              <w:left w:val="single" w:color="auto" w:sz="4" w:space="0"/>
              <w:bottom w:val="single" w:color="auto" w:sz="4" w:space="0"/>
              <w:right w:val="single" w:color="auto" w:sz="4" w:space="0"/>
            </w:tcBorders>
            <w:vAlign w:val="center"/>
          </w:tcPr>
          <w:p w14:paraId="1E72C43D">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1286" w:type="dxa"/>
            <w:tcBorders>
              <w:top w:val="single" w:color="auto" w:sz="4" w:space="0"/>
              <w:left w:val="single" w:color="auto" w:sz="4" w:space="0"/>
              <w:bottom w:val="single" w:color="auto" w:sz="4" w:space="0"/>
              <w:right w:val="single" w:color="auto" w:sz="4" w:space="0"/>
            </w:tcBorders>
            <w:vAlign w:val="center"/>
          </w:tcPr>
          <w:p w14:paraId="33DF1022">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c>
          <w:tcPr>
            <w:tcW w:w="791" w:type="dxa"/>
            <w:tcBorders>
              <w:top w:val="single" w:color="auto" w:sz="4" w:space="0"/>
              <w:left w:val="single" w:color="auto" w:sz="4" w:space="0"/>
              <w:bottom w:val="single" w:color="auto" w:sz="4" w:space="0"/>
              <w:right w:val="single" w:color="auto" w:sz="4" w:space="0"/>
            </w:tcBorders>
            <w:vAlign w:val="center"/>
          </w:tcPr>
          <w:p w14:paraId="0F7AB621">
            <w:pPr>
              <w:keepNext w:val="0"/>
              <w:keepLines w:val="0"/>
              <w:widowControl/>
              <w:suppressLineNumbers w:val="0"/>
              <w:adjustRightInd w:val="0"/>
              <w:spacing w:before="0" w:beforeAutospacing="0" w:after="0" w:afterAutospacing="0" w:line="240" w:lineRule="atLeast"/>
              <w:ind w:left="0" w:right="0"/>
              <w:jc w:val="center"/>
              <w:rPr>
                <w:rFonts w:ascii="宋体" w:hAnsi="宋体" w:cs="宋体"/>
                <w:color w:val="auto"/>
                <w:kern w:val="0"/>
                <w:sz w:val="24"/>
                <w:szCs w:val="24"/>
                <w:highlight w:val="none"/>
                <w:lang w:val="zh-CN"/>
              </w:rPr>
            </w:pPr>
          </w:p>
        </w:tc>
      </w:tr>
      <w:tr w14:paraId="3D96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1BDB99F4">
            <w:pPr>
              <w:keepNext w:val="0"/>
              <w:keepLines w:val="0"/>
              <w:widowControl/>
              <w:suppressLineNumbers w:val="0"/>
              <w:spacing w:before="0" w:beforeAutospacing="0" w:after="0" w:afterAutospacing="0" w:line="240" w:lineRule="atLeast"/>
              <w:ind w:left="0" w:right="0"/>
              <w:jc w:val="left"/>
              <w:rPr>
                <w:rFonts w:ascii="宋体" w:hAnsi="宋体" w:cs="宋体"/>
                <w:color w:val="auto"/>
                <w:kern w:val="0"/>
                <w:sz w:val="24"/>
                <w:szCs w:val="24"/>
                <w:highlight w:val="none"/>
              </w:rPr>
            </w:pPr>
          </w:p>
        </w:tc>
        <w:tc>
          <w:tcPr>
            <w:tcW w:w="1918" w:type="dxa"/>
            <w:tcBorders>
              <w:top w:val="single" w:color="auto" w:sz="4" w:space="0"/>
              <w:left w:val="single" w:color="auto" w:sz="4" w:space="0"/>
              <w:bottom w:val="single" w:color="auto" w:sz="4" w:space="0"/>
              <w:right w:val="single" w:color="auto" w:sz="4" w:space="0"/>
            </w:tcBorders>
            <w:vAlign w:val="center"/>
          </w:tcPr>
          <w:p w14:paraId="52ADDDE9">
            <w:pPr>
              <w:keepNext w:val="0"/>
              <w:keepLines w:val="0"/>
              <w:widowControl/>
              <w:suppressLineNumbers w:val="0"/>
              <w:spacing w:before="0" w:beforeAutospacing="0" w:after="0" w:afterAutospacing="0" w:line="240" w:lineRule="atLeast"/>
              <w:ind w:left="0" w:right="0"/>
              <w:jc w:val="left"/>
              <w:rPr>
                <w:rFonts w:ascii="宋体" w:hAnsi="宋体" w:cs="宋体"/>
                <w:color w:val="auto"/>
                <w:kern w:val="0"/>
                <w:sz w:val="24"/>
                <w:szCs w:val="24"/>
                <w:highlight w:val="none"/>
              </w:rPr>
            </w:pPr>
          </w:p>
        </w:tc>
        <w:tc>
          <w:tcPr>
            <w:tcW w:w="4617" w:type="dxa"/>
            <w:tcBorders>
              <w:top w:val="single" w:color="auto" w:sz="4" w:space="0"/>
              <w:left w:val="single" w:color="auto" w:sz="4" w:space="0"/>
              <w:bottom w:val="single" w:color="auto" w:sz="4" w:space="0"/>
              <w:right w:val="single" w:color="auto" w:sz="4" w:space="0"/>
            </w:tcBorders>
            <w:vAlign w:val="center"/>
          </w:tcPr>
          <w:p w14:paraId="73271D4A">
            <w:pPr>
              <w:keepNext w:val="0"/>
              <w:keepLines w:val="0"/>
              <w:widowControl/>
              <w:suppressLineNumbers w:val="0"/>
              <w:spacing w:before="0" w:beforeAutospacing="0" w:after="0" w:afterAutospacing="0" w:line="240" w:lineRule="atLeast"/>
              <w:ind w:left="0" w:right="0"/>
              <w:jc w:val="left"/>
              <w:rPr>
                <w:rFonts w:ascii="宋体" w:hAnsi="宋体" w:cs="宋体"/>
                <w:color w:val="auto"/>
                <w:kern w:val="0"/>
                <w:sz w:val="24"/>
                <w:szCs w:val="24"/>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14:paraId="3E9BA46E">
            <w:pPr>
              <w:keepNext w:val="0"/>
              <w:keepLines w:val="0"/>
              <w:widowControl/>
              <w:suppressLineNumbers w:val="0"/>
              <w:spacing w:before="0" w:beforeAutospacing="0" w:after="0" w:afterAutospacing="0" w:line="240" w:lineRule="atLeast"/>
              <w:ind w:left="0" w:right="0"/>
              <w:jc w:val="left"/>
              <w:rPr>
                <w:rFonts w:ascii="宋体" w:hAnsi="宋体" w:cs="宋体"/>
                <w:color w:val="auto"/>
                <w:kern w:val="0"/>
                <w:sz w:val="24"/>
                <w:szCs w:val="24"/>
                <w:highlight w:val="none"/>
              </w:rPr>
            </w:pPr>
          </w:p>
        </w:tc>
        <w:tc>
          <w:tcPr>
            <w:tcW w:w="791" w:type="dxa"/>
            <w:tcBorders>
              <w:top w:val="single" w:color="auto" w:sz="4" w:space="0"/>
              <w:left w:val="single" w:color="auto" w:sz="4" w:space="0"/>
              <w:bottom w:val="single" w:color="auto" w:sz="4" w:space="0"/>
              <w:right w:val="single" w:color="auto" w:sz="4" w:space="0"/>
            </w:tcBorders>
            <w:vAlign w:val="center"/>
          </w:tcPr>
          <w:p w14:paraId="73FFF63C">
            <w:pPr>
              <w:keepNext w:val="0"/>
              <w:keepLines w:val="0"/>
              <w:widowControl/>
              <w:suppressLineNumbers w:val="0"/>
              <w:spacing w:before="0" w:beforeAutospacing="0" w:after="0" w:afterAutospacing="0" w:line="240" w:lineRule="atLeast"/>
              <w:ind w:left="0" w:right="0"/>
              <w:jc w:val="left"/>
              <w:rPr>
                <w:rFonts w:ascii="宋体" w:hAnsi="宋体" w:cs="宋体"/>
                <w:color w:val="auto"/>
                <w:kern w:val="0"/>
                <w:sz w:val="24"/>
                <w:szCs w:val="24"/>
                <w:highlight w:val="none"/>
              </w:rPr>
            </w:pPr>
          </w:p>
        </w:tc>
      </w:tr>
    </w:tbl>
    <w:p w14:paraId="4BFB21AE">
      <w:pPr>
        <w:widowControl/>
        <w:adjustRightInd w:val="0"/>
        <w:spacing w:line="360" w:lineRule="auto"/>
        <w:jc w:val="left"/>
        <w:rPr>
          <w:rFonts w:ascii="宋体" w:hAnsi="宋体" w:cs="宋体"/>
          <w:color w:val="auto"/>
          <w:kern w:val="0"/>
          <w:sz w:val="24"/>
          <w:szCs w:val="24"/>
          <w:highlight w:val="none"/>
          <w:lang w:val="zh-CN"/>
        </w:rPr>
      </w:pPr>
    </w:p>
    <w:p w14:paraId="2CDE86A0">
      <w:pPr>
        <w:widowControl/>
        <w:tabs>
          <w:tab w:val="left" w:pos="5397"/>
        </w:tabs>
        <w:spacing w:line="360" w:lineRule="auto"/>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说明：如果行数不够，请自行增加。</w:t>
      </w:r>
    </w:p>
    <w:p w14:paraId="2C86271E">
      <w:pPr>
        <w:widowControl/>
        <w:tabs>
          <w:tab w:val="left" w:pos="5397"/>
        </w:tabs>
        <w:spacing w:line="360" w:lineRule="auto"/>
        <w:jc w:val="left"/>
        <w:rPr>
          <w:rFonts w:ascii="宋体" w:hAnsi="宋体"/>
          <w:color w:val="auto"/>
          <w:kern w:val="0"/>
          <w:highlight w:val="none"/>
        </w:rPr>
      </w:pPr>
      <w:r>
        <w:rPr>
          <w:rFonts w:hint="eastAsia" w:ascii="宋体" w:hAnsi="宋体" w:cs="宋体"/>
          <w:color w:val="auto"/>
          <w:kern w:val="0"/>
          <w:sz w:val="24"/>
          <w:szCs w:val="24"/>
          <w:highlight w:val="none"/>
        </w:rPr>
        <w:t>投标人</w:t>
      </w:r>
      <w:r>
        <w:rPr>
          <w:rFonts w:hint="eastAsia" w:ascii="宋体" w:hAnsi="宋体"/>
          <w:color w:val="auto"/>
          <w:sz w:val="24"/>
          <w:szCs w:val="24"/>
          <w:highlight w:val="none"/>
        </w:rPr>
        <w:t>（加盖公章）</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u w:val="single"/>
          <w:lang w:val="en-US" w:eastAsia="zh-CN"/>
        </w:rPr>
        <w:t xml:space="preserve">         </w:t>
      </w:r>
    </w:p>
    <w:p w14:paraId="261DBBF4">
      <w:pPr>
        <w:rPr>
          <w:rFonts w:hint="eastAsia" w:ascii="宋体" w:hAnsi="宋体" w:eastAsia="宋体" w:cs="宋体"/>
          <w:b/>
          <w:bCs/>
          <w:color w:val="auto"/>
          <w:sz w:val="24"/>
          <w:szCs w:val="24"/>
          <w:highlight w:val="none"/>
        </w:rPr>
      </w:pPr>
      <w:bookmarkStart w:id="20" w:name="_Toc43917777"/>
      <w:bookmarkStart w:id="21" w:name="_Toc66375430"/>
      <w:r>
        <w:rPr>
          <w:rFonts w:hint="eastAsia" w:ascii="宋体" w:hAnsi="宋体" w:eastAsia="宋体" w:cs="宋体"/>
          <w:b/>
          <w:bCs/>
          <w:color w:val="auto"/>
          <w:sz w:val="24"/>
          <w:szCs w:val="24"/>
          <w:highlight w:val="none"/>
        </w:rPr>
        <w:br w:type="page"/>
      </w:r>
    </w:p>
    <w:p w14:paraId="4027A7F6">
      <w:pPr>
        <w:pStyle w:val="3"/>
        <w:rPr>
          <w:rFonts w:hint="eastAsia"/>
          <w:b/>
          <w:bCs/>
          <w:color w:val="auto"/>
          <w:sz w:val="24"/>
          <w:szCs w:val="24"/>
          <w:highlight w:val="none"/>
          <w:lang w:val="zh-CN"/>
        </w:rPr>
      </w:pPr>
      <w:r>
        <w:rPr>
          <w:rFonts w:hint="eastAsia"/>
          <w:b/>
          <w:bCs/>
          <w:color w:val="auto"/>
          <w:sz w:val="24"/>
          <w:szCs w:val="24"/>
          <w:highlight w:val="none"/>
        </w:rPr>
        <w:t>附件</w:t>
      </w:r>
      <w:r>
        <w:rPr>
          <w:rFonts w:hint="eastAsia"/>
          <w:b/>
          <w:bCs/>
          <w:color w:val="auto"/>
          <w:sz w:val="24"/>
          <w:szCs w:val="24"/>
          <w:highlight w:val="none"/>
          <w:lang w:val="en-US" w:eastAsia="zh-CN"/>
        </w:rPr>
        <w:t>七</w:t>
      </w:r>
      <w:r>
        <w:rPr>
          <w:rFonts w:hint="eastAsia"/>
          <w:b/>
          <w:bCs/>
          <w:color w:val="auto"/>
          <w:sz w:val="24"/>
          <w:szCs w:val="24"/>
          <w:highlight w:val="none"/>
        </w:rPr>
        <w:t>、</w:t>
      </w:r>
      <w:bookmarkEnd w:id="20"/>
      <w:bookmarkEnd w:id="21"/>
      <w:r>
        <w:rPr>
          <w:rFonts w:hint="eastAsia"/>
          <w:b/>
          <w:bCs/>
          <w:color w:val="auto"/>
          <w:sz w:val="24"/>
          <w:szCs w:val="24"/>
          <w:highlight w:val="none"/>
          <w:lang w:val="en-US" w:eastAsia="zh-CN"/>
        </w:rPr>
        <w:t>检测大纲</w:t>
      </w:r>
    </w:p>
    <w:p w14:paraId="3A75BFD5">
      <w:pPr>
        <w:pStyle w:val="255"/>
        <w:snapToGrid w:val="0"/>
        <w:spacing w:before="0" w:after="0"/>
        <w:ind w:firstLineChars="200"/>
        <w:jc w:val="center"/>
        <w:rPr>
          <w:rFonts w:hint="default" w:ascii="Times New Roman" w:hAnsi="Times New Roman"/>
          <w:color w:val="auto"/>
          <w:kern w:val="2"/>
          <w:szCs w:val="24"/>
          <w:highlight w:val="none"/>
          <w:lang w:val="en-US" w:eastAsia="zh-CN"/>
        </w:rPr>
      </w:pPr>
      <w:r>
        <w:rPr>
          <w:rFonts w:hint="eastAsia" w:ascii="Times New Roman" w:hAnsi="Times New Roman"/>
          <w:b/>
          <w:bCs/>
          <w:color w:val="auto"/>
          <w:kern w:val="2"/>
          <w:sz w:val="32"/>
          <w:szCs w:val="32"/>
          <w:highlight w:val="none"/>
          <w:lang w:val="en-US" w:eastAsia="zh-CN"/>
        </w:rPr>
        <w:t>检测大纲</w:t>
      </w:r>
    </w:p>
    <w:p w14:paraId="6ACCC76C">
      <w:pPr>
        <w:pStyle w:val="255"/>
        <w:snapToGrid w:val="0"/>
        <w:spacing w:before="0" w:after="0"/>
        <w:ind w:firstLineChars="200"/>
        <w:rPr>
          <w:rFonts w:hint="eastAsia" w:ascii="Times New Roman" w:hAnsi="Times New Roman" w:eastAsia="宋体"/>
          <w:color w:val="auto"/>
          <w:kern w:val="2"/>
          <w:szCs w:val="24"/>
          <w:highlight w:val="none"/>
          <w:lang w:eastAsia="zh-CN"/>
        </w:rPr>
      </w:pPr>
      <w:r>
        <w:rPr>
          <w:rFonts w:hint="eastAsia" w:ascii="Times New Roman" w:hAnsi="Times New Roman"/>
          <w:color w:val="auto"/>
          <w:kern w:val="2"/>
          <w:szCs w:val="24"/>
          <w:highlight w:val="none"/>
          <w:lang w:val="en-US" w:eastAsia="zh-CN"/>
        </w:rPr>
        <w:t>（技术方案</w:t>
      </w:r>
      <w:r>
        <w:rPr>
          <w:rFonts w:hint="eastAsia" w:ascii="Times New Roman" w:hAnsi="Times New Roman"/>
          <w:color w:val="auto"/>
          <w:kern w:val="2"/>
          <w:szCs w:val="24"/>
          <w:highlight w:val="none"/>
        </w:rPr>
        <w:t>自拟，应根据采购人对项目的要求、招标文件技术部分、评标标准的要求及项目本身的特点编写。</w:t>
      </w:r>
      <w:r>
        <w:rPr>
          <w:rFonts w:hint="eastAsia" w:ascii="Times New Roman" w:hAnsi="Times New Roman"/>
          <w:color w:val="auto"/>
          <w:kern w:val="2"/>
          <w:szCs w:val="24"/>
          <w:highlight w:val="none"/>
          <w:lang w:eastAsia="zh-CN"/>
        </w:rPr>
        <w:t>）</w:t>
      </w:r>
    </w:p>
    <w:p w14:paraId="736A1354">
      <w:pPr>
        <w:pStyle w:val="255"/>
        <w:snapToGrid w:val="0"/>
        <w:spacing w:before="0" w:after="0"/>
        <w:ind w:firstLineChars="200"/>
        <w:rPr>
          <w:rFonts w:ascii="Times New Roman" w:hAnsi="Times New Roman"/>
          <w:color w:val="auto"/>
          <w:kern w:val="2"/>
          <w:szCs w:val="24"/>
          <w:highlight w:val="none"/>
        </w:rPr>
      </w:pPr>
    </w:p>
    <w:p w14:paraId="59746B81">
      <w:pPr>
        <w:widowControl/>
        <w:shd w:val="clear" w:color="auto" w:fill="FFFFFF"/>
        <w:spacing w:line="360" w:lineRule="auto"/>
        <w:jc w:val="left"/>
        <w:rPr>
          <w:rFonts w:ascii="宋体" w:hAnsi="宋体"/>
          <w:b/>
          <w:bCs/>
          <w:color w:val="auto"/>
          <w:kern w:val="0"/>
          <w:highlight w:val="none"/>
        </w:rPr>
      </w:pPr>
      <w:r>
        <w:rPr>
          <w:rFonts w:hint="eastAsia" w:ascii="宋体" w:hAnsi="宋体"/>
          <w:b/>
          <w:bCs/>
          <w:color w:val="auto"/>
          <w:kern w:val="0"/>
          <w:highlight w:val="none"/>
        </w:rPr>
        <w:br w:type="page"/>
      </w:r>
    </w:p>
    <w:p w14:paraId="35F78A4B">
      <w:pPr>
        <w:pStyle w:val="3"/>
        <w:rPr>
          <w:rFonts w:hint="eastAsia"/>
          <w:b/>
          <w:bCs/>
          <w:color w:val="auto"/>
          <w:sz w:val="24"/>
          <w:szCs w:val="24"/>
          <w:highlight w:val="none"/>
        </w:rPr>
      </w:pPr>
      <w:bookmarkStart w:id="22" w:name="_Toc43917778"/>
      <w:bookmarkStart w:id="23" w:name="_Toc66375431"/>
      <w:r>
        <w:rPr>
          <w:rFonts w:hint="eastAsia"/>
          <w:b/>
          <w:bCs/>
          <w:color w:val="auto"/>
          <w:sz w:val="24"/>
          <w:szCs w:val="24"/>
          <w:highlight w:val="none"/>
        </w:rPr>
        <w:t>附件</w:t>
      </w:r>
      <w:r>
        <w:rPr>
          <w:rFonts w:hint="eastAsia"/>
          <w:b/>
          <w:bCs/>
          <w:color w:val="auto"/>
          <w:sz w:val="24"/>
          <w:szCs w:val="24"/>
          <w:highlight w:val="none"/>
          <w:lang w:val="en-US" w:eastAsia="zh-CN"/>
        </w:rPr>
        <w:t>八</w:t>
      </w:r>
      <w:r>
        <w:rPr>
          <w:rFonts w:hint="eastAsia"/>
          <w:b/>
          <w:bCs/>
          <w:color w:val="auto"/>
          <w:sz w:val="24"/>
          <w:szCs w:val="24"/>
          <w:highlight w:val="none"/>
        </w:rPr>
        <w:t>、</w:t>
      </w:r>
      <w:bookmarkEnd w:id="22"/>
      <w:bookmarkEnd w:id="23"/>
      <w:r>
        <w:rPr>
          <w:rFonts w:hint="eastAsia"/>
          <w:b/>
          <w:bCs/>
          <w:color w:val="auto"/>
          <w:sz w:val="24"/>
          <w:szCs w:val="24"/>
          <w:highlight w:val="none"/>
        </w:rPr>
        <w:t>投标人拟投入人员情况表</w:t>
      </w:r>
    </w:p>
    <w:p w14:paraId="4DD92727">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投标人拟投入人员情况表</w:t>
      </w:r>
    </w:p>
    <w:p w14:paraId="21A63C05">
      <w:pPr>
        <w:pStyle w:val="181"/>
        <w:keepNext/>
        <w:keepLines/>
        <w:pageBreakBefore w:val="0"/>
        <w:widowControl w:val="0"/>
        <w:kinsoku/>
        <w:wordWrap/>
        <w:overflowPunct/>
        <w:topLinePunct w:val="0"/>
        <w:autoSpaceDE/>
        <w:autoSpaceDN/>
        <w:bidi w:val="0"/>
        <w:adjustRightInd/>
        <w:snapToGrid/>
        <w:spacing w:before="0" w:after="0" w:line="240" w:lineRule="atLeast"/>
        <w:textAlignment w:val="auto"/>
        <w:rPr>
          <w:rFonts w:hint="eastAsia"/>
          <w:color w:val="auto"/>
          <w:highlight w:val="none"/>
        </w:rPr>
      </w:pPr>
    </w:p>
    <w:p w14:paraId="0F2DA2DF">
      <w:pPr>
        <w:widowControl/>
        <w:rPr>
          <w:rFonts w:hint="eastAsia" w:ascii="宋体" w:hAnsi="宋体"/>
          <w:color w:val="auto"/>
          <w:sz w:val="24"/>
          <w:szCs w:val="24"/>
          <w:highlight w:val="none"/>
        </w:rPr>
      </w:pPr>
      <w:r>
        <w:rPr>
          <w:rFonts w:hint="eastAsia" w:ascii="宋体" w:hAnsi="宋体"/>
          <w:color w:val="auto"/>
          <w:sz w:val="24"/>
          <w:szCs w:val="24"/>
          <w:highlight w:val="none"/>
        </w:rPr>
        <w:t>项目名称：                                       项目编号：</w:t>
      </w:r>
    </w:p>
    <w:tbl>
      <w:tblPr>
        <w:tblStyle w:val="36"/>
        <w:tblW w:w="9544" w:type="dxa"/>
        <w:jc w:val="center"/>
        <w:tblLayout w:type="fixed"/>
        <w:tblCellMar>
          <w:top w:w="0" w:type="dxa"/>
          <w:left w:w="108" w:type="dxa"/>
          <w:bottom w:w="0" w:type="dxa"/>
          <w:right w:w="108" w:type="dxa"/>
        </w:tblCellMar>
      </w:tblPr>
      <w:tblGrid>
        <w:gridCol w:w="839"/>
        <w:gridCol w:w="840"/>
        <w:gridCol w:w="840"/>
        <w:gridCol w:w="2730"/>
        <w:gridCol w:w="840"/>
        <w:gridCol w:w="3455"/>
      </w:tblGrid>
      <w:tr w14:paraId="723BDBD5">
        <w:tblPrEx>
          <w:tblCellMar>
            <w:top w:w="0" w:type="dxa"/>
            <w:left w:w="108" w:type="dxa"/>
            <w:bottom w:w="0" w:type="dxa"/>
            <w:right w:w="108" w:type="dxa"/>
          </w:tblCellMar>
        </w:tblPrEx>
        <w:trPr>
          <w:trHeight w:val="454" w:hRule="atLeast"/>
          <w:jc w:val="center"/>
        </w:trPr>
        <w:tc>
          <w:tcPr>
            <w:tcW w:w="839" w:type="dxa"/>
            <w:tcBorders>
              <w:top w:val="single" w:color="000000" w:sz="4" w:space="0"/>
              <w:left w:val="single" w:color="000000" w:sz="4" w:space="0"/>
              <w:bottom w:val="single" w:color="000000" w:sz="4" w:space="0"/>
              <w:right w:val="single" w:color="000000" w:sz="4" w:space="0"/>
            </w:tcBorders>
            <w:noWrap w:val="0"/>
            <w:vAlign w:val="center"/>
          </w:tcPr>
          <w:p w14:paraId="694DCDE1">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姓名</w:t>
            </w:r>
          </w:p>
        </w:tc>
        <w:tc>
          <w:tcPr>
            <w:tcW w:w="840" w:type="dxa"/>
            <w:tcBorders>
              <w:top w:val="single" w:color="000000" w:sz="4" w:space="0"/>
              <w:left w:val="nil"/>
              <w:bottom w:val="single" w:color="000000" w:sz="4" w:space="0"/>
              <w:right w:val="single" w:color="000000" w:sz="4" w:space="0"/>
            </w:tcBorders>
            <w:noWrap w:val="0"/>
            <w:vAlign w:val="center"/>
          </w:tcPr>
          <w:p w14:paraId="7D3824C8">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年龄</w:t>
            </w:r>
          </w:p>
        </w:tc>
        <w:tc>
          <w:tcPr>
            <w:tcW w:w="840" w:type="dxa"/>
            <w:tcBorders>
              <w:top w:val="single" w:color="000000" w:sz="4" w:space="0"/>
              <w:left w:val="nil"/>
              <w:bottom w:val="single" w:color="000000" w:sz="4" w:space="0"/>
              <w:right w:val="single" w:color="000000" w:sz="4" w:space="0"/>
            </w:tcBorders>
            <w:noWrap w:val="0"/>
            <w:vAlign w:val="center"/>
          </w:tcPr>
          <w:p w14:paraId="40B3FE36">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学历</w:t>
            </w:r>
          </w:p>
        </w:tc>
        <w:tc>
          <w:tcPr>
            <w:tcW w:w="2730" w:type="dxa"/>
            <w:tcBorders>
              <w:top w:val="single" w:color="000000" w:sz="4" w:space="0"/>
              <w:left w:val="nil"/>
              <w:bottom w:val="single" w:color="000000" w:sz="4" w:space="0"/>
              <w:right w:val="single" w:color="000000" w:sz="4" w:space="0"/>
            </w:tcBorders>
            <w:noWrap w:val="0"/>
            <w:vAlign w:val="center"/>
          </w:tcPr>
          <w:p w14:paraId="5E254C84">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资格证书/证书号码</w:t>
            </w:r>
          </w:p>
        </w:tc>
        <w:tc>
          <w:tcPr>
            <w:tcW w:w="840" w:type="dxa"/>
            <w:tcBorders>
              <w:top w:val="single" w:color="000000" w:sz="4" w:space="0"/>
              <w:left w:val="nil"/>
              <w:bottom w:val="single" w:color="000000" w:sz="4" w:space="0"/>
              <w:right w:val="single" w:color="000000" w:sz="4" w:space="0"/>
            </w:tcBorders>
            <w:noWrap w:val="0"/>
            <w:vAlign w:val="center"/>
          </w:tcPr>
          <w:p w14:paraId="4298F036">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职称</w:t>
            </w:r>
          </w:p>
        </w:tc>
        <w:tc>
          <w:tcPr>
            <w:tcW w:w="3455" w:type="dxa"/>
            <w:tcBorders>
              <w:top w:val="single" w:color="000000" w:sz="4" w:space="0"/>
              <w:left w:val="nil"/>
              <w:bottom w:val="single" w:color="000000" w:sz="4" w:space="0"/>
              <w:right w:val="single" w:color="000000" w:sz="4" w:space="0"/>
            </w:tcBorders>
            <w:noWrap w:val="0"/>
            <w:vAlign w:val="center"/>
          </w:tcPr>
          <w:p w14:paraId="232A801C">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拟在本项目中担任的职务</w:t>
            </w:r>
          </w:p>
        </w:tc>
      </w:tr>
      <w:tr w14:paraId="01A5EA33">
        <w:tblPrEx>
          <w:tblCellMar>
            <w:top w:w="0" w:type="dxa"/>
            <w:left w:w="108" w:type="dxa"/>
            <w:bottom w:w="0" w:type="dxa"/>
            <w:right w:w="108" w:type="dxa"/>
          </w:tblCellMar>
        </w:tblPrEx>
        <w:trPr>
          <w:trHeight w:val="454" w:hRule="atLeast"/>
          <w:jc w:val="center"/>
        </w:trPr>
        <w:tc>
          <w:tcPr>
            <w:tcW w:w="839" w:type="dxa"/>
            <w:tcBorders>
              <w:top w:val="single" w:color="000000" w:sz="4" w:space="0"/>
              <w:left w:val="single" w:color="000000" w:sz="4" w:space="0"/>
              <w:bottom w:val="single" w:color="000000" w:sz="4" w:space="0"/>
              <w:right w:val="single" w:color="000000" w:sz="4" w:space="0"/>
            </w:tcBorders>
            <w:noWrap w:val="0"/>
            <w:vAlign w:val="center"/>
          </w:tcPr>
          <w:p w14:paraId="0378819B">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7F03E050">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3C16AAB6">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2730" w:type="dxa"/>
            <w:tcBorders>
              <w:top w:val="single" w:color="000000" w:sz="4" w:space="0"/>
              <w:left w:val="nil"/>
              <w:bottom w:val="single" w:color="000000" w:sz="4" w:space="0"/>
              <w:right w:val="single" w:color="000000" w:sz="4" w:space="0"/>
            </w:tcBorders>
            <w:noWrap w:val="0"/>
            <w:vAlign w:val="center"/>
          </w:tcPr>
          <w:p w14:paraId="6947FB57">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04414386">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3455" w:type="dxa"/>
            <w:tcBorders>
              <w:top w:val="single" w:color="000000" w:sz="4" w:space="0"/>
              <w:left w:val="nil"/>
              <w:bottom w:val="single" w:color="000000" w:sz="4" w:space="0"/>
              <w:right w:val="single" w:color="000000" w:sz="4" w:space="0"/>
            </w:tcBorders>
            <w:noWrap w:val="0"/>
            <w:vAlign w:val="center"/>
          </w:tcPr>
          <w:p w14:paraId="4462AB31">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r>
      <w:tr w14:paraId="2E16E6D1">
        <w:tblPrEx>
          <w:tblCellMar>
            <w:top w:w="0" w:type="dxa"/>
            <w:left w:w="108" w:type="dxa"/>
            <w:bottom w:w="0" w:type="dxa"/>
            <w:right w:w="108" w:type="dxa"/>
          </w:tblCellMar>
        </w:tblPrEx>
        <w:trPr>
          <w:trHeight w:val="454" w:hRule="atLeast"/>
          <w:jc w:val="center"/>
        </w:trPr>
        <w:tc>
          <w:tcPr>
            <w:tcW w:w="839" w:type="dxa"/>
            <w:tcBorders>
              <w:top w:val="single" w:color="000000" w:sz="4" w:space="0"/>
              <w:left w:val="single" w:color="000000" w:sz="4" w:space="0"/>
              <w:bottom w:val="single" w:color="000000" w:sz="4" w:space="0"/>
              <w:right w:val="single" w:color="000000" w:sz="4" w:space="0"/>
            </w:tcBorders>
            <w:noWrap w:val="0"/>
            <w:vAlign w:val="center"/>
          </w:tcPr>
          <w:p w14:paraId="0EE928B3">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547FEBC3">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3E51EC5B">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2730" w:type="dxa"/>
            <w:tcBorders>
              <w:top w:val="single" w:color="000000" w:sz="4" w:space="0"/>
              <w:left w:val="nil"/>
              <w:bottom w:val="single" w:color="000000" w:sz="4" w:space="0"/>
              <w:right w:val="single" w:color="000000" w:sz="4" w:space="0"/>
            </w:tcBorders>
            <w:noWrap w:val="0"/>
            <w:vAlign w:val="center"/>
          </w:tcPr>
          <w:p w14:paraId="659756E1">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69CB1E6A">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3455" w:type="dxa"/>
            <w:tcBorders>
              <w:top w:val="single" w:color="000000" w:sz="4" w:space="0"/>
              <w:left w:val="nil"/>
              <w:bottom w:val="single" w:color="000000" w:sz="4" w:space="0"/>
              <w:right w:val="single" w:color="000000" w:sz="4" w:space="0"/>
            </w:tcBorders>
            <w:noWrap w:val="0"/>
            <w:vAlign w:val="center"/>
          </w:tcPr>
          <w:p w14:paraId="355A2F3E">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r>
      <w:tr w14:paraId="3A894142">
        <w:tblPrEx>
          <w:tblCellMar>
            <w:top w:w="0" w:type="dxa"/>
            <w:left w:w="108" w:type="dxa"/>
            <w:bottom w:w="0" w:type="dxa"/>
            <w:right w:w="108" w:type="dxa"/>
          </w:tblCellMar>
        </w:tblPrEx>
        <w:trPr>
          <w:trHeight w:val="454" w:hRule="atLeast"/>
          <w:jc w:val="center"/>
        </w:trPr>
        <w:tc>
          <w:tcPr>
            <w:tcW w:w="839" w:type="dxa"/>
            <w:tcBorders>
              <w:top w:val="single" w:color="000000" w:sz="4" w:space="0"/>
              <w:left w:val="single" w:color="000000" w:sz="4" w:space="0"/>
              <w:bottom w:val="single" w:color="000000" w:sz="4" w:space="0"/>
              <w:right w:val="single" w:color="000000" w:sz="4" w:space="0"/>
            </w:tcBorders>
            <w:noWrap w:val="0"/>
            <w:vAlign w:val="center"/>
          </w:tcPr>
          <w:p w14:paraId="75DA4119">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52F0595B">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6EFC71CF">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2730" w:type="dxa"/>
            <w:tcBorders>
              <w:top w:val="single" w:color="000000" w:sz="4" w:space="0"/>
              <w:left w:val="nil"/>
              <w:bottom w:val="single" w:color="000000" w:sz="4" w:space="0"/>
              <w:right w:val="single" w:color="000000" w:sz="4" w:space="0"/>
            </w:tcBorders>
            <w:noWrap w:val="0"/>
            <w:vAlign w:val="center"/>
          </w:tcPr>
          <w:p w14:paraId="350E09DD">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234B61BE">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3455" w:type="dxa"/>
            <w:tcBorders>
              <w:top w:val="single" w:color="000000" w:sz="4" w:space="0"/>
              <w:left w:val="nil"/>
              <w:bottom w:val="single" w:color="000000" w:sz="4" w:space="0"/>
              <w:right w:val="single" w:color="000000" w:sz="4" w:space="0"/>
            </w:tcBorders>
            <w:noWrap w:val="0"/>
            <w:vAlign w:val="center"/>
          </w:tcPr>
          <w:p w14:paraId="5FE0F45A">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r>
      <w:tr w14:paraId="00B1102E">
        <w:tblPrEx>
          <w:tblCellMar>
            <w:top w:w="0" w:type="dxa"/>
            <w:left w:w="108" w:type="dxa"/>
            <w:bottom w:w="0" w:type="dxa"/>
            <w:right w:w="108" w:type="dxa"/>
          </w:tblCellMar>
        </w:tblPrEx>
        <w:trPr>
          <w:trHeight w:val="454" w:hRule="atLeast"/>
          <w:jc w:val="center"/>
        </w:trPr>
        <w:tc>
          <w:tcPr>
            <w:tcW w:w="839" w:type="dxa"/>
            <w:tcBorders>
              <w:top w:val="single" w:color="000000" w:sz="4" w:space="0"/>
              <w:left w:val="single" w:color="000000" w:sz="4" w:space="0"/>
              <w:bottom w:val="single" w:color="000000" w:sz="4" w:space="0"/>
              <w:right w:val="single" w:color="000000" w:sz="4" w:space="0"/>
            </w:tcBorders>
            <w:noWrap w:val="0"/>
            <w:vAlign w:val="center"/>
          </w:tcPr>
          <w:p w14:paraId="18F07358">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495E93CB">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13C4BC80">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2730" w:type="dxa"/>
            <w:tcBorders>
              <w:top w:val="single" w:color="000000" w:sz="4" w:space="0"/>
              <w:left w:val="nil"/>
              <w:bottom w:val="single" w:color="000000" w:sz="4" w:space="0"/>
              <w:right w:val="single" w:color="000000" w:sz="4" w:space="0"/>
            </w:tcBorders>
            <w:noWrap w:val="0"/>
            <w:vAlign w:val="center"/>
          </w:tcPr>
          <w:p w14:paraId="0854C028">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4E57AD4B">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3455" w:type="dxa"/>
            <w:tcBorders>
              <w:top w:val="single" w:color="000000" w:sz="4" w:space="0"/>
              <w:left w:val="nil"/>
              <w:bottom w:val="single" w:color="000000" w:sz="4" w:space="0"/>
              <w:right w:val="single" w:color="000000" w:sz="4" w:space="0"/>
            </w:tcBorders>
            <w:noWrap w:val="0"/>
            <w:vAlign w:val="center"/>
          </w:tcPr>
          <w:p w14:paraId="79DF822A">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r>
      <w:tr w14:paraId="4E523EB9">
        <w:tblPrEx>
          <w:tblCellMar>
            <w:top w:w="0" w:type="dxa"/>
            <w:left w:w="108" w:type="dxa"/>
            <w:bottom w:w="0" w:type="dxa"/>
            <w:right w:w="108" w:type="dxa"/>
          </w:tblCellMar>
        </w:tblPrEx>
        <w:trPr>
          <w:trHeight w:val="454" w:hRule="atLeast"/>
          <w:jc w:val="center"/>
        </w:trPr>
        <w:tc>
          <w:tcPr>
            <w:tcW w:w="839" w:type="dxa"/>
            <w:tcBorders>
              <w:top w:val="single" w:color="000000" w:sz="4" w:space="0"/>
              <w:left w:val="single" w:color="000000" w:sz="4" w:space="0"/>
              <w:bottom w:val="single" w:color="000000" w:sz="4" w:space="0"/>
              <w:right w:val="single" w:color="000000" w:sz="4" w:space="0"/>
            </w:tcBorders>
            <w:noWrap w:val="0"/>
            <w:vAlign w:val="center"/>
          </w:tcPr>
          <w:p w14:paraId="1067CD8E">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570F348F">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1DBCC5A2">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2730" w:type="dxa"/>
            <w:tcBorders>
              <w:top w:val="single" w:color="000000" w:sz="4" w:space="0"/>
              <w:left w:val="nil"/>
              <w:bottom w:val="single" w:color="000000" w:sz="4" w:space="0"/>
              <w:right w:val="single" w:color="000000" w:sz="4" w:space="0"/>
            </w:tcBorders>
            <w:noWrap w:val="0"/>
            <w:vAlign w:val="center"/>
          </w:tcPr>
          <w:p w14:paraId="5ADDD0FB">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59E01B87">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3455" w:type="dxa"/>
            <w:tcBorders>
              <w:top w:val="single" w:color="000000" w:sz="4" w:space="0"/>
              <w:left w:val="nil"/>
              <w:bottom w:val="single" w:color="000000" w:sz="4" w:space="0"/>
              <w:right w:val="single" w:color="000000" w:sz="4" w:space="0"/>
            </w:tcBorders>
            <w:noWrap w:val="0"/>
            <w:vAlign w:val="center"/>
          </w:tcPr>
          <w:p w14:paraId="108D90DD">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r>
      <w:tr w14:paraId="0A7E3210">
        <w:tblPrEx>
          <w:tblCellMar>
            <w:top w:w="0" w:type="dxa"/>
            <w:left w:w="108" w:type="dxa"/>
            <w:bottom w:w="0" w:type="dxa"/>
            <w:right w:w="108" w:type="dxa"/>
          </w:tblCellMar>
        </w:tblPrEx>
        <w:trPr>
          <w:trHeight w:val="454" w:hRule="atLeast"/>
          <w:jc w:val="center"/>
        </w:trPr>
        <w:tc>
          <w:tcPr>
            <w:tcW w:w="839" w:type="dxa"/>
            <w:tcBorders>
              <w:top w:val="single" w:color="000000" w:sz="4" w:space="0"/>
              <w:left w:val="single" w:color="000000" w:sz="4" w:space="0"/>
              <w:bottom w:val="single" w:color="000000" w:sz="4" w:space="0"/>
              <w:right w:val="single" w:color="000000" w:sz="4" w:space="0"/>
            </w:tcBorders>
            <w:noWrap w:val="0"/>
            <w:vAlign w:val="center"/>
          </w:tcPr>
          <w:p w14:paraId="1E46BE26">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330720A3">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29A12FDD">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2730" w:type="dxa"/>
            <w:tcBorders>
              <w:top w:val="single" w:color="000000" w:sz="4" w:space="0"/>
              <w:left w:val="nil"/>
              <w:bottom w:val="single" w:color="000000" w:sz="4" w:space="0"/>
              <w:right w:val="single" w:color="000000" w:sz="4" w:space="0"/>
            </w:tcBorders>
            <w:noWrap w:val="0"/>
            <w:vAlign w:val="center"/>
          </w:tcPr>
          <w:p w14:paraId="6C9589D5">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840" w:type="dxa"/>
            <w:tcBorders>
              <w:top w:val="single" w:color="000000" w:sz="4" w:space="0"/>
              <w:left w:val="nil"/>
              <w:bottom w:val="single" w:color="000000" w:sz="4" w:space="0"/>
              <w:right w:val="single" w:color="000000" w:sz="4" w:space="0"/>
            </w:tcBorders>
            <w:noWrap w:val="0"/>
            <w:vAlign w:val="center"/>
          </w:tcPr>
          <w:p w14:paraId="23FDE637">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c>
          <w:tcPr>
            <w:tcW w:w="3455" w:type="dxa"/>
            <w:tcBorders>
              <w:top w:val="single" w:color="000000" w:sz="4" w:space="0"/>
              <w:left w:val="nil"/>
              <w:bottom w:val="single" w:color="000000" w:sz="4" w:space="0"/>
              <w:right w:val="single" w:color="000000" w:sz="4" w:space="0"/>
            </w:tcBorders>
            <w:noWrap w:val="0"/>
            <w:vAlign w:val="center"/>
          </w:tcPr>
          <w:p w14:paraId="7C11CCEB">
            <w:pPr>
              <w:keepNext w:val="0"/>
              <w:keepLines w:val="0"/>
              <w:widowControl/>
              <w:suppressLineNumbers w:val="0"/>
              <w:spacing w:before="0" w:beforeAutospacing="0" w:after="0" w:afterAutospacing="0"/>
              <w:ind w:left="0" w:right="0"/>
              <w:jc w:val="center"/>
              <w:rPr>
                <w:rFonts w:ascii="宋体" w:hAnsi="宋体" w:cs="宋体"/>
                <w:bCs/>
                <w:color w:val="auto"/>
                <w:sz w:val="24"/>
                <w:szCs w:val="24"/>
                <w:highlight w:val="none"/>
              </w:rPr>
            </w:pPr>
          </w:p>
        </w:tc>
      </w:tr>
    </w:tbl>
    <w:p w14:paraId="3A0B886C">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说明：按要求提供证明资料并加盖单位公章。</w:t>
      </w:r>
    </w:p>
    <w:p w14:paraId="29977499">
      <w:pPr>
        <w:rPr>
          <w:rFonts w:hint="default" w:eastAsia="宋体"/>
          <w:color w:val="auto"/>
          <w:sz w:val="24"/>
          <w:szCs w:val="24"/>
          <w:highlight w:val="none"/>
          <w:u w:val="single"/>
          <w:lang w:val="en-US" w:eastAsia="zh-CN"/>
        </w:rPr>
      </w:pPr>
      <w:r>
        <w:rPr>
          <w:rFonts w:hint="eastAsia" w:ascii="宋体" w:hAnsi="宋体" w:cs="宋体"/>
          <w:b/>
          <w:bCs/>
          <w:color w:val="auto"/>
          <w:kern w:val="0"/>
          <w:sz w:val="24"/>
          <w:szCs w:val="24"/>
          <w:highlight w:val="none"/>
        </w:rPr>
        <w:t>投标人</w:t>
      </w:r>
      <w:r>
        <w:rPr>
          <w:rFonts w:hint="eastAsia" w:ascii="宋体" w:hAnsi="宋体"/>
          <w:b/>
          <w:bCs/>
          <w:color w:val="auto"/>
          <w:sz w:val="24"/>
          <w:szCs w:val="24"/>
          <w:highlight w:val="none"/>
        </w:rPr>
        <w:t>（加盖公章）</w:t>
      </w:r>
      <w:r>
        <w:rPr>
          <w:rFonts w:hint="eastAsia" w:ascii="宋体" w:hAnsi="宋体" w:cs="宋体"/>
          <w:b/>
          <w:bCs/>
          <w:color w:val="auto"/>
          <w:kern w:val="0"/>
          <w:sz w:val="24"/>
          <w:szCs w:val="24"/>
          <w:highlight w:val="none"/>
        </w:rPr>
        <w:t>：</w:t>
      </w:r>
      <w:r>
        <w:rPr>
          <w:rFonts w:hint="eastAsia" w:ascii="宋体" w:hAnsi="宋体" w:cs="宋体"/>
          <w:color w:val="auto"/>
          <w:kern w:val="0"/>
          <w:sz w:val="24"/>
          <w:szCs w:val="24"/>
          <w:highlight w:val="none"/>
          <w:u w:val="single"/>
          <w:lang w:val="en-US" w:eastAsia="zh-CN"/>
        </w:rPr>
        <w:t xml:space="preserve">       </w:t>
      </w:r>
    </w:p>
    <w:p w14:paraId="3303CC4C">
      <w:pPr>
        <w:pStyle w:val="196"/>
        <w:spacing w:before="0" w:after="0" w:line="360" w:lineRule="auto"/>
        <w:rPr>
          <w:rFonts w:hint="eastAsia"/>
          <w:color w:val="auto"/>
          <w:sz w:val="24"/>
          <w:szCs w:val="24"/>
          <w:highlight w:val="none"/>
        </w:rPr>
      </w:pPr>
      <w:bookmarkStart w:id="24" w:name="_Toc146110620"/>
    </w:p>
    <w:p w14:paraId="00677CAA">
      <w:pPr>
        <w:pStyle w:val="196"/>
        <w:spacing w:before="0" w:after="0" w:line="360" w:lineRule="auto"/>
        <w:rPr>
          <w:rFonts w:hint="eastAsia"/>
          <w:color w:val="auto"/>
          <w:sz w:val="24"/>
          <w:szCs w:val="24"/>
          <w:highlight w:val="none"/>
        </w:rPr>
      </w:pPr>
    </w:p>
    <w:p w14:paraId="2DF448EF">
      <w:pPr>
        <w:pStyle w:val="196"/>
        <w:spacing w:before="0" w:after="0" w:line="360" w:lineRule="auto"/>
        <w:rPr>
          <w:rFonts w:hint="eastAsia"/>
          <w:color w:val="auto"/>
          <w:sz w:val="24"/>
          <w:szCs w:val="24"/>
          <w:highlight w:val="none"/>
        </w:rPr>
      </w:pPr>
    </w:p>
    <w:p w14:paraId="47901D7E">
      <w:pPr>
        <w:pStyle w:val="196"/>
        <w:spacing w:before="0" w:after="0" w:line="360" w:lineRule="auto"/>
        <w:rPr>
          <w:rFonts w:hint="eastAsia" w:ascii="Arial" w:hAnsi="Arial" w:eastAsia="Arial" w:cs="Arial"/>
          <w:b/>
          <w:bCs/>
          <w:color w:val="auto"/>
          <w:sz w:val="24"/>
          <w:szCs w:val="24"/>
          <w:highlight w:val="none"/>
          <w:lang w:val="en-US" w:eastAsia="zh-CN" w:bidi="ar-SA"/>
        </w:rPr>
      </w:pPr>
      <w:r>
        <w:rPr>
          <w:rFonts w:hint="eastAsia" w:ascii="Arial" w:hAnsi="Arial" w:eastAsia="Arial" w:cs="Arial"/>
          <w:b/>
          <w:bCs/>
          <w:color w:val="auto"/>
          <w:sz w:val="24"/>
          <w:szCs w:val="24"/>
          <w:highlight w:val="none"/>
          <w:lang w:val="en-US" w:eastAsia="zh-CN" w:bidi="ar-SA"/>
        </w:rPr>
        <w:t>附件九、投标人主要人员业绩汇总表</w:t>
      </w:r>
      <w:bookmarkEnd w:id="24"/>
    </w:p>
    <w:p w14:paraId="725FED8E">
      <w:pPr>
        <w:jc w:val="center"/>
        <w:rPr>
          <w:rFonts w:hint="eastAsia"/>
          <w:b/>
          <w:bCs/>
          <w:color w:val="auto"/>
          <w:sz w:val="30"/>
          <w:szCs w:val="30"/>
          <w:highlight w:val="none"/>
        </w:rPr>
      </w:pPr>
      <w:r>
        <w:rPr>
          <w:rFonts w:hint="eastAsia"/>
          <w:b/>
          <w:bCs/>
          <w:color w:val="auto"/>
          <w:sz w:val="30"/>
          <w:szCs w:val="30"/>
          <w:highlight w:val="none"/>
        </w:rPr>
        <w:t>投标人主要人员业绩汇总表</w:t>
      </w:r>
    </w:p>
    <w:p w14:paraId="71D77605">
      <w:pPr>
        <w:pStyle w:val="181"/>
        <w:keepNext/>
        <w:keepLines/>
        <w:pageBreakBefore w:val="0"/>
        <w:widowControl w:val="0"/>
        <w:kinsoku/>
        <w:wordWrap/>
        <w:overflowPunct/>
        <w:topLinePunct w:val="0"/>
        <w:autoSpaceDE/>
        <w:autoSpaceDN/>
        <w:bidi w:val="0"/>
        <w:adjustRightInd/>
        <w:snapToGrid/>
        <w:spacing w:before="0" w:after="0" w:line="240" w:lineRule="atLeast"/>
        <w:textAlignment w:val="auto"/>
        <w:rPr>
          <w:rFonts w:hint="eastAsia"/>
          <w:color w:val="auto"/>
          <w:highlight w:val="none"/>
        </w:rPr>
      </w:pPr>
    </w:p>
    <w:p w14:paraId="7542EB5B">
      <w:pPr>
        <w:widowControl/>
        <w:rPr>
          <w:rFonts w:hint="eastAsia" w:ascii="宋体" w:hAnsi="宋体"/>
          <w:color w:val="auto"/>
          <w:sz w:val="24"/>
          <w:szCs w:val="24"/>
          <w:highlight w:val="none"/>
        </w:rPr>
      </w:pPr>
      <w:r>
        <w:rPr>
          <w:rFonts w:hint="eastAsia" w:ascii="宋体" w:hAnsi="宋体"/>
          <w:color w:val="auto"/>
          <w:sz w:val="24"/>
          <w:szCs w:val="24"/>
          <w:highlight w:val="none"/>
        </w:rPr>
        <w:t>项目名称：                              项目编号：</w:t>
      </w:r>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5"/>
        <w:gridCol w:w="1032"/>
        <w:gridCol w:w="1032"/>
        <w:gridCol w:w="1237"/>
        <w:gridCol w:w="776"/>
        <w:gridCol w:w="1032"/>
        <w:gridCol w:w="1442"/>
        <w:gridCol w:w="1442"/>
        <w:gridCol w:w="776"/>
      </w:tblGrid>
      <w:tr w14:paraId="27E1F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jc w:val="center"/>
        </w:trPr>
        <w:tc>
          <w:tcPr>
            <w:tcW w:w="340" w:type="dxa"/>
            <w:noWrap w:val="0"/>
            <w:vAlign w:val="center"/>
          </w:tcPr>
          <w:p w14:paraId="6A3BA2DB">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序号</w:t>
            </w:r>
          </w:p>
        </w:tc>
        <w:tc>
          <w:tcPr>
            <w:tcW w:w="568" w:type="dxa"/>
            <w:noWrap w:val="0"/>
            <w:vAlign w:val="center"/>
          </w:tcPr>
          <w:p w14:paraId="3E630D56">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项目名称</w:t>
            </w:r>
          </w:p>
        </w:tc>
        <w:tc>
          <w:tcPr>
            <w:tcW w:w="568" w:type="dxa"/>
            <w:noWrap w:val="0"/>
            <w:vAlign w:val="center"/>
          </w:tcPr>
          <w:p w14:paraId="43483456">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采购单位</w:t>
            </w:r>
          </w:p>
        </w:tc>
        <w:tc>
          <w:tcPr>
            <w:tcW w:w="681" w:type="dxa"/>
            <w:noWrap w:val="0"/>
            <w:vAlign w:val="center"/>
          </w:tcPr>
          <w:p w14:paraId="7D60467F">
            <w:pPr>
              <w:keepNext w:val="0"/>
              <w:keepLines w:val="0"/>
              <w:suppressLineNumbers w:val="0"/>
              <w:spacing w:before="0" w:beforeAutospacing="0" w:after="0" w:afterAutospacing="0"/>
              <w:ind w:left="0" w:right="0"/>
              <w:jc w:val="center"/>
              <w:rPr>
                <w:rFonts w:hint="eastAsia" w:ascii="宋体" w:hAnsi="宋体"/>
                <w:b/>
                <w:bCs/>
                <w:color w:val="auto"/>
                <w:highlight w:val="none"/>
              </w:rPr>
            </w:pPr>
            <w:r>
              <w:rPr>
                <w:rFonts w:hint="eastAsia" w:ascii="宋体" w:hAnsi="宋体"/>
                <w:b/>
                <w:bCs/>
                <w:color w:val="auto"/>
                <w:highlight w:val="none"/>
              </w:rPr>
              <w:t>项目负责人</w:t>
            </w:r>
          </w:p>
        </w:tc>
        <w:tc>
          <w:tcPr>
            <w:tcW w:w="341" w:type="dxa"/>
            <w:noWrap w:val="0"/>
            <w:vAlign w:val="center"/>
          </w:tcPr>
          <w:p w14:paraId="299A3FDC">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合同</w:t>
            </w:r>
          </w:p>
          <w:p w14:paraId="3FDC1440">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金额</w:t>
            </w:r>
          </w:p>
        </w:tc>
        <w:tc>
          <w:tcPr>
            <w:tcW w:w="568" w:type="dxa"/>
            <w:noWrap w:val="0"/>
            <w:vAlign w:val="center"/>
          </w:tcPr>
          <w:p w14:paraId="77F053D8">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合同</w:t>
            </w:r>
            <w:r>
              <w:rPr>
                <w:rFonts w:hint="eastAsia" w:ascii="宋体" w:hAnsi="宋体"/>
                <w:b/>
                <w:bCs/>
                <w:color w:val="auto"/>
                <w:highlight w:val="none"/>
                <w:lang w:eastAsia="zh-CN"/>
              </w:rPr>
              <w:t>签订</w:t>
            </w:r>
          </w:p>
          <w:p w14:paraId="437C3EDB">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时间</w:t>
            </w:r>
          </w:p>
        </w:tc>
        <w:tc>
          <w:tcPr>
            <w:tcW w:w="794" w:type="dxa"/>
            <w:noWrap w:val="0"/>
            <w:vAlign w:val="center"/>
          </w:tcPr>
          <w:p w14:paraId="6F09C31B">
            <w:pPr>
              <w:keepNext w:val="0"/>
              <w:keepLines w:val="0"/>
              <w:suppressLineNumbers w:val="0"/>
              <w:spacing w:before="0" w:beforeAutospacing="0" w:after="0" w:afterAutospacing="0"/>
              <w:ind w:left="0" w:right="0"/>
              <w:jc w:val="center"/>
              <w:rPr>
                <w:rFonts w:hint="eastAsia" w:ascii="宋体" w:hAnsi="宋体"/>
                <w:b/>
                <w:bCs/>
                <w:color w:val="auto"/>
                <w:highlight w:val="none"/>
              </w:rPr>
            </w:pPr>
            <w:r>
              <w:rPr>
                <w:rFonts w:hint="eastAsia" w:ascii="宋体" w:hAnsi="宋体"/>
                <w:b/>
                <w:bCs/>
                <w:color w:val="auto"/>
                <w:highlight w:val="none"/>
              </w:rPr>
              <w:t>业绩完成时间</w:t>
            </w:r>
          </w:p>
        </w:tc>
        <w:tc>
          <w:tcPr>
            <w:tcW w:w="794" w:type="dxa"/>
            <w:noWrap w:val="0"/>
            <w:vAlign w:val="center"/>
          </w:tcPr>
          <w:p w14:paraId="41D4D69F">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联系人及电话</w:t>
            </w:r>
          </w:p>
        </w:tc>
        <w:tc>
          <w:tcPr>
            <w:tcW w:w="341" w:type="dxa"/>
            <w:noWrap w:val="0"/>
            <w:vAlign w:val="center"/>
          </w:tcPr>
          <w:p w14:paraId="13AB56F0">
            <w:pPr>
              <w:keepNext w:val="0"/>
              <w:keepLines w:val="0"/>
              <w:suppressLineNumbers w:val="0"/>
              <w:spacing w:before="0" w:beforeAutospacing="0" w:after="0" w:afterAutospacing="0"/>
              <w:ind w:left="0" w:right="0"/>
              <w:jc w:val="center"/>
              <w:rPr>
                <w:rFonts w:ascii="宋体" w:hAnsi="宋体"/>
                <w:b/>
                <w:bCs/>
                <w:color w:val="auto"/>
                <w:highlight w:val="none"/>
              </w:rPr>
            </w:pPr>
            <w:r>
              <w:rPr>
                <w:rFonts w:hint="eastAsia" w:ascii="宋体" w:hAnsi="宋体"/>
                <w:b/>
                <w:bCs/>
                <w:color w:val="auto"/>
                <w:highlight w:val="none"/>
              </w:rPr>
              <w:t>备注</w:t>
            </w:r>
          </w:p>
        </w:tc>
      </w:tr>
      <w:tr w14:paraId="21DF8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0" w:type="dxa"/>
            <w:noWrap w:val="0"/>
            <w:vAlign w:val="top"/>
          </w:tcPr>
          <w:p w14:paraId="3BFECBB8">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31FCB191">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01F8BF14">
            <w:pPr>
              <w:keepNext w:val="0"/>
              <w:keepLines w:val="0"/>
              <w:suppressLineNumbers w:val="0"/>
              <w:spacing w:before="0" w:beforeAutospacing="0" w:after="0" w:afterAutospacing="0" w:line="360" w:lineRule="auto"/>
              <w:ind w:left="0" w:right="0" w:firstLine="105"/>
              <w:rPr>
                <w:rFonts w:ascii="宋体" w:hAnsi="宋体"/>
                <w:color w:val="auto"/>
                <w:highlight w:val="none"/>
              </w:rPr>
            </w:pPr>
          </w:p>
        </w:tc>
        <w:tc>
          <w:tcPr>
            <w:tcW w:w="681" w:type="dxa"/>
            <w:noWrap w:val="0"/>
            <w:vAlign w:val="top"/>
          </w:tcPr>
          <w:p w14:paraId="13B43160">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786EC25F">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3B2A4163">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6ABCE19D">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202FC6A5">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6BEC4AF5">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r>
      <w:tr w14:paraId="72EA1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0" w:type="dxa"/>
            <w:noWrap w:val="0"/>
            <w:vAlign w:val="top"/>
          </w:tcPr>
          <w:p w14:paraId="5F37485C">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308C7332">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59D83D76">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681" w:type="dxa"/>
            <w:noWrap w:val="0"/>
            <w:vAlign w:val="top"/>
          </w:tcPr>
          <w:p w14:paraId="173FA476">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27A59ABF">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153C7D1A">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6F6758B2">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0192BDC6">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18D96662">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r>
      <w:tr w14:paraId="0D244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0" w:type="dxa"/>
            <w:noWrap w:val="0"/>
            <w:vAlign w:val="top"/>
          </w:tcPr>
          <w:p w14:paraId="779053FB">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12A3C354">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609AEB7D">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681" w:type="dxa"/>
            <w:noWrap w:val="0"/>
            <w:vAlign w:val="top"/>
          </w:tcPr>
          <w:p w14:paraId="7A48335A">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5F9A14ED">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7AAABE73">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237FB893">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0BD626FA">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0378D580">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r>
      <w:tr w14:paraId="08F35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0" w:type="dxa"/>
            <w:noWrap w:val="0"/>
            <w:vAlign w:val="top"/>
          </w:tcPr>
          <w:p w14:paraId="00FB2A77">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102AC608">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098BACAE">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681" w:type="dxa"/>
            <w:noWrap w:val="0"/>
            <w:vAlign w:val="top"/>
          </w:tcPr>
          <w:p w14:paraId="2C1D9D59">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3DCF162C">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31CDADED">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556952E9">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59F26973">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2D9ADF59">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r>
      <w:tr w14:paraId="5C48D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0" w:type="dxa"/>
            <w:noWrap w:val="0"/>
            <w:vAlign w:val="top"/>
          </w:tcPr>
          <w:p w14:paraId="1038D811">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5A751BD8">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250C8813">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681" w:type="dxa"/>
            <w:noWrap w:val="0"/>
            <w:vAlign w:val="top"/>
          </w:tcPr>
          <w:p w14:paraId="7620D2F4">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51774ACC">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568" w:type="dxa"/>
            <w:noWrap w:val="0"/>
            <w:vAlign w:val="top"/>
          </w:tcPr>
          <w:p w14:paraId="24A2C3B7">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0DC0A5F8">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794" w:type="dxa"/>
            <w:noWrap w:val="0"/>
            <w:vAlign w:val="top"/>
          </w:tcPr>
          <w:p w14:paraId="09219228">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c>
          <w:tcPr>
            <w:tcW w:w="341" w:type="dxa"/>
            <w:noWrap w:val="0"/>
            <w:vAlign w:val="top"/>
          </w:tcPr>
          <w:p w14:paraId="6FB63B87">
            <w:pPr>
              <w:keepNext w:val="0"/>
              <w:keepLines w:val="0"/>
              <w:suppressLineNumbers w:val="0"/>
              <w:spacing w:before="0" w:beforeAutospacing="0" w:after="0" w:afterAutospacing="0" w:line="360" w:lineRule="auto"/>
              <w:ind w:left="0" w:right="0"/>
              <w:jc w:val="center"/>
              <w:rPr>
                <w:rFonts w:ascii="宋体" w:hAnsi="宋体"/>
                <w:color w:val="auto"/>
                <w:highlight w:val="none"/>
              </w:rPr>
            </w:pPr>
          </w:p>
        </w:tc>
      </w:tr>
    </w:tbl>
    <w:p w14:paraId="546287E0">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说明：投标人如实填写业绩情况表，并附加盖公章的业绩</w:t>
      </w:r>
      <w:r>
        <w:rPr>
          <w:rFonts w:hint="eastAsia" w:ascii="宋体" w:hAnsi="宋体" w:cs="宋体"/>
          <w:b/>
          <w:bCs/>
          <w:color w:val="auto"/>
          <w:sz w:val="24"/>
          <w:szCs w:val="24"/>
          <w:highlight w:val="none"/>
          <w:lang w:val="en-US" w:eastAsia="zh-CN"/>
        </w:rPr>
        <w:t>证明材料扫描件</w:t>
      </w:r>
      <w:r>
        <w:rPr>
          <w:rFonts w:hint="eastAsia" w:ascii="宋体" w:hAnsi="宋体" w:cs="宋体"/>
          <w:b/>
          <w:bCs/>
          <w:color w:val="auto"/>
          <w:sz w:val="24"/>
          <w:szCs w:val="24"/>
          <w:highlight w:val="none"/>
        </w:rPr>
        <w:t>。</w:t>
      </w:r>
    </w:p>
    <w:p w14:paraId="3999169C">
      <w:pPr>
        <w:rPr>
          <w:rFonts w:hint="default" w:eastAsia="宋体"/>
          <w:color w:val="auto"/>
          <w:sz w:val="24"/>
          <w:szCs w:val="24"/>
          <w:highlight w:val="none"/>
          <w:u w:val="single"/>
          <w:lang w:val="en-US" w:eastAsia="zh-CN"/>
        </w:rPr>
      </w:pPr>
      <w:r>
        <w:rPr>
          <w:rFonts w:hint="eastAsia" w:ascii="宋体" w:hAnsi="宋体" w:cs="宋体"/>
          <w:b/>
          <w:bCs/>
          <w:color w:val="auto"/>
          <w:kern w:val="0"/>
          <w:sz w:val="24"/>
          <w:szCs w:val="24"/>
          <w:highlight w:val="none"/>
        </w:rPr>
        <w:t>投标人</w:t>
      </w:r>
      <w:r>
        <w:rPr>
          <w:rFonts w:hint="eastAsia" w:ascii="宋体" w:hAnsi="宋体"/>
          <w:b/>
          <w:bCs/>
          <w:color w:val="auto"/>
          <w:sz w:val="24"/>
          <w:szCs w:val="24"/>
          <w:highlight w:val="none"/>
        </w:rPr>
        <w:t>（加盖公章）</w:t>
      </w:r>
      <w:r>
        <w:rPr>
          <w:rFonts w:hint="eastAsia" w:ascii="宋体" w:hAnsi="宋体" w:cs="宋体"/>
          <w:b/>
          <w:bCs/>
          <w:color w:val="auto"/>
          <w:kern w:val="0"/>
          <w:sz w:val="24"/>
          <w:szCs w:val="24"/>
          <w:highlight w:val="none"/>
        </w:rPr>
        <w:t>：</w:t>
      </w:r>
      <w:r>
        <w:rPr>
          <w:rFonts w:hint="eastAsia" w:ascii="宋体" w:hAnsi="宋体" w:cs="宋体"/>
          <w:color w:val="auto"/>
          <w:kern w:val="0"/>
          <w:sz w:val="24"/>
          <w:szCs w:val="24"/>
          <w:highlight w:val="none"/>
          <w:u w:val="single"/>
          <w:lang w:val="en-US" w:eastAsia="zh-CN"/>
        </w:rPr>
        <w:t xml:space="preserve">       </w:t>
      </w:r>
    </w:p>
    <w:p w14:paraId="66879E7F">
      <w:pPr>
        <w:spacing w:line="360" w:lineRule="auto"/>
        <w:rPr>
          <w:rFonts w:hint="eastAsia" w:ascii="宋体" w:hAnsi="宋体" w:cs="宋体"/>
          <w:b/>
          <w:bCs/>
          <w:color w:val="auto"/>
          <w:sz w:val="24"/>
          <w:szCs w:val="24"/>
          <w:highlight w:val="none"/>
        </w:rPr>
      </w:pPr>
    </w:p>
    <w:p w14:paraId="71A0EB69">
      <w:pPr>
        <w:rPr>
          <w:rFonts w:hint="eastAsia"/>
          <w:b/>
          <w:bCs/>
          <w:color w:val="auto"/>
          <w:sz w:val="24"/>
          <w:szCs w:val="24"/>
          <w:highlight w:val="none"/>
        </w:rPr>
      </w:pPr>
      <w:bookmarkStart w:id="25" w:name="_Toc43917779"/>
      <w:bookmarkStart w:id="26" w:name="_Toc66375432"/>
      <w:r>
        <w:rPr>
          <w:rFonts w:hint="eastAsia"/>
          <w:b/>
          <w:bCs/>
          <w:color w:val="auto"/>
          <w:sz w:val="24"/>
          <w:szCs w:val="24"/>
          <w:highlight w:val="none"/>
        </w:rPr>
        <w:br w:type="page"/>
      </w:r>
    </w:p>
    <w:p w14:paraId="45713386">
      <w:pPr>
        <w:pStyle w:val="3"/>
        <w:rPr>
          <w:rFonts w:hint="eastAsia"/>
          <w:b/>
          <w:bCs/>
          <w:color w:val="auto"/>
          <w:sz w:val="24"/>
          <w:szCs w:val="24"/>
          <w:highlight w:val="none"/>
        </w:rPr>
      </w:pPr>
      <w:r>
        <w:rPr>
          <w:rFonts w:hint="eastAsia"/>
          <w:b/>
          <w:bCs/>
          <w:color w:val="auto"/>
          <w:sz w:val="24"/>
          <w:szCs w:val="24"/>
          <w:highlight w:val="none"/>
        </w:rPr>
        <w:t>附件十、</w:t>
      </w:r>
      <w:bookmarkEnd w:id="25"/>
      <w:bookmarkEnd w:id="26"/>
      <w:r>
        <w:rPr>
          <w:rFonts w:hint="eastAsia"/>
          <w:b/>
          <w:bCs/>
          <w:color w:val="auto"/>
          <w:sz w:val="24"/>
          <w:szCs w:val="24"/>
          <w:highlight w:val="none"/>
        </w:rPr>
        <w:t>投标人主要业绩汇总表</w:t>
      </w:r>
    </w:p>
    <w:p w14:paraId="198A206E">
      <w:pPr>
        <w:autoSpaceDE w:val="0"/>
        <w:autoSpaceDN w:val="0"/>
        <w:adjustRightInd w:val="0"/>
        <w:spacing w:line="360" w:lineRule="auto"/>
        <w:jc w:val="center"/>
        <w:rPr>
          <w:rFonts w:hint="eastAsia"/>
          <w:b/>
          <w:bCs/>
          <w:color w:val="auto"/>
          <w:sz w:val="30"/>
          <w:szCs w:val="30"/>
          <w:highlight w:val="none"/>
        </w:rPr>
      </w:pPr>
      <w:r>
        <w:rPr>
          <w:rFonts w:hint="eastAsia"/>
          <w:b/>
          <w:bCs/>
          <w:color w:val="auto"/>
          <w:sz w:val="30"/>
          <w:szCs w:val="30"/>
          <w:highlight w:val="none"/>
        </w:rPr>
        <w:t>投标人主要业绩汇总表</w:t>
      </w:r>
    </w:p>
    <w:p w14:paraId="78A0FE8D">
      <w:pPr>
        <w:autoSpaceDE w:val="0"/>
        <w:autoSpaceDN w:val="0"/>
        <w:adjustRightInd w:val="0"/>
        <w:spacing w:line="360" w:lineRule="auto"/>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 xml:space="preserve">项目名称：                            </w:t>
      </w:r>
      <w:r>
        <w:rPr>
          <w:rFonts w:ascii="宋体" w:hAnsi="宋体"/>
          <w:color w:val="auto"/>
          <w:kern w:val="0"/>
          <w:sz w:val="24"/>
          <w:szCs w:val="24"/>
          <w:highlight w:val="none"/>
        </w:rPr>
        <w:t xml:space="preserve">        </w:t>
      </w:r>
      <w:r>
        <w:rPr>
          <w:rFonts w:hint="eastAsia" w:ascii="宋体" w:hAnsi="宋体"/>
          <w:color w:val="auto"/>
          <w:kern w:val="0"/>
          <w:sz w:val="24"/>
          <w:szCs w:val="24"/>
          <w:highlight w:val="none"/>
        </w:rPr>
        <w:t xml:space="preserve"> 项目编号：</w:t>
      </w:r>
    </w:p>
    <w:tbl>
      <w:tblPr>
        <w:tblStyle w:val="3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10"/>
        <w:gridCol w:w="2257"/>
        <w:gridCol w:w="1255"/>
        <w:gridCol w:w="1341"/>
        <w:gridCol w:w="1211"/>
        <w:gridCol w:w="969"/>
      </w:tblGrid>
      <w:tr w14:paraId="120C9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4A91C5E8">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序号</w:t>
            </w:r>
          </w:p>
        </w:tc>
        <w:tc>
          <w:tcPr>
            <w:tcW w:w="2310" w:type="dxa"/>
            <w:noWrap w:val="0"/>
            <w:vAlign w:val="center"/>
          </w:tcPr>
          <w:p w14:paraId="5FEA939E">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2257" w:type="dxa"/>
            <w:noWrap w:val="0"/>
            <w:vAlign w:val="center"/>
          </w:tcPr>
          <w:p w14:paraId="37B20FA2">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采购单位</w:t>
            </w:r>
          </w:p>
        </w:tc>
        <w:tc>
          <w:tcPr>
            <w:tcW w:w="1255" w:type="dxa"/>
            <w:noWrap w:val="0"/>
            <w:vAlign w:val="center"/>
          </w:tcPr>
          <w:p w14:paraId="0B694E48">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合同金额</w:t>
            </w:r>
          </w:p>
        </w:tc>
        <w:tc>
          <w:tcPr>
            <w:tcW w:w="1341" w:type="dxa"/>
            <w:noWrap w:val="0"/>
            <w:vAlign w:val="top"/>
          </w:tcPr>
          <w:p w14:paraId="78F7C157">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合同</w:t>
            </w:r>
            <w:r>
              <w:rPr>
                <w:rFonts w:hint="eastAsia" w:ascii="宋体" w:hAnsi="宋体"/>
                <w:b/>
                <w:bCs/>
                <w:color w:val="auto"/>
                <w:sz w:val="24"/>
                <w:szCs w:val="24"/>
                <w:highlight w:val="none"/>
                <w:lang w:eastAsia="zh-CN"/>
              </w:rPr>
              <w:t>签订</w:t>
            </w:r>
          </w:p>
          <w:p w14:paraId="23C43E1A">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时间</w:t>
            </w:r>
          </w:p>
        </w:tc>
        <w:tc>
          <w:tcPr>
            <w:tcW w:w="1211" w:type="dxa"/>
            <w:noWrap w:val="0"/>
            <w:vAlign w:val="top"/>
          </w:tcPr>
          <w:p w14:paraId="059C5BD6">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联系人及电话</w:t>
            </w:r>
          </w:p>
        </w:tc>
        <w:tc>
          <w:tcPr>
            <w:tcW w:w="969" w:type="dxa"/>
            <w:noWrap w:val="0"/>
            <w:vAlign w:val="center"/>
          </w:tcPr>
          <w:p w14:paraId="2F075AAD">
            <w:pPr>
              <w:keepNext w:val="0"/>
              <w:keepLines w:val="0"/>
              <w:suppressLineNumbers w:val="0"/>
              <w:spacing w:before="0" w:beforeAutospacing="0" w:after="0" w:afterAutospacing="0" w:line="360" w:lineRule="auto"/>
              <w:ind w:left="0" w:right="0"/>
              <w:jc w:val="center"/>
              <w:rPr>
                <w:rFonts w:ascii="宋体" w:hAnsi="宋体"/>
                <w:b/>
                <w:bCs/>
                <w:color w:val="auto"/>
                <w:sz w:val="24"/>
                <w:szCs w:val="24"/>
                <w:highlight w:val="none"/>
              </w:rPr>
            </w:pPr>
            <w:r>
              <w:rPr>
                <w:rFonts w:hint="eastAsia" w:ascii="宋体" w:hAnsi="宋体"/>
                <w:b/>
                <w:bCs/>
                <w:color w:val="auto"/>
                <w:sz w:val="24"/>
                <w:szCs w:val="24"/>
                <w:highlight w:val="none"/>
              </w:rPr>
              <w:t>备注</w:t>
            </w:r>
          </w:p>
        </w:tc>
      </w:tr>
      <w:tr w14:paraId="369B7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799A44B8">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310" w:type="dxa"/>
            <w:noWrap w:val="0"/>
            <w:vAlign w:val="top"/>
          </w:tcPr>
          <w:p w14:paraId="07DB5487">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257" w:type="dxa"/>
            <w:noWrap w:val="0"/>
            <w:vAlign w:val="top"/>
          </w:tcPr>
          <w:p w14:paraId="3302048D">
            <w:pPr>
              <w:keepNext w:val="0"/>
              <w:keepLines w:val="0"/>
              <w:suppressLineNumbers w:val="0"/>
              <w:spacing w:before="0" w:beforeAutospacing="0" w:after="0" w:afterAutospacing="0" w:line="360" w:lineRule="auto"/>
              <w:ind w:left="0" w:right="0" w:firstLine="120" w:firstLineChars="50"/>
              <w:rPr>
                <w:rFonts w:ascii="宋体" w:hAnsi="宋体"/>
                <w:color w:val="auto"/>
                <w:sz w:val="24"/>
                <w:szCs w:val="24"/>
                <w:highlight w:val="none"/>
              </w:rPr>
            </w:pPr>
          </w:p>
        </w:tc>
        <w:tc>
          <w:tcPr>
            <w:tcW w:w="1255" w:type="dxa"/>
            <w:noWrap w:val="0"/>
            <w:vAlign w:val="top"/>
          </w:tcPr>
          <w:p w14:paraId="2B1872DD">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341" w:type="dxa"/>
            <w:noWrap w:val="0"/>
            <w:vAlign w:val="top"/>
          </w:tcPr>
          <w:p w14:paraId="2827CE75">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11" w:type="dxa"/>
            <w:noWrap w:val="0"/>
            <w:vAlign w:val="top"/>
          </w:tcPr>
          <w:p w14:paraId="68D8EAFF">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969" w:type="dxa"/>
            <w:noWrap w:val="0"/>
            <w:vAlign w:val="top"/>
          </w:tcPr>
          <w:p w14:paraId="34709D8D">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r>
      <w:tr w14:paraId="0AB3C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66EB2C82">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310" w:type="dxa"/>
            <w:noWrap w:val="0"/>
            <w:vAlign w:val="top"/>
          </w:tcPr>
          <w:p w14:paraId="6E25014B">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257" w:type="dxa"/>
            <w:noWrap w:val="0"/>
            <w:vAlign w:val="top"/>
          </w:tcPr>
          <w:p w14:paraId="0C0C95E4">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55" w:type="dxa"/>
            <w:noWrap w:val="0"/>
            <w:vAlign w:val="top"/>
          </w:tcPr>
          <w:p w14:paraId="79C5C0AE">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341" w:type="dxa"/>
            <w:noWrap w:val="0"/>
            <w:vAlign w:val="top"/>
          </w:tcPr>
          <w:p w14:paraId="6643C5BC">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11" w:type="dxa"/>
            <w:noWrap w:val="0"/>
            <w:vAlign w:val="top"/>
          </w:tcPr>
          <w:p w14:paraId="0BAB2CB8">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969" w:type="dxa"/>
            <w:noWrap w:val="0"/>
            <w:vAlign w:val="top"/>
          </w:tcPr>
          <w:p w14:paraId="6DD928D8">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r>
      <w:tr w14:paraId="45EE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4E000509">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310" w:type="dxa"/>
            <w:noWrap w:val="0"/>
            <w:vAlign w:val="top"/>
          </w:tcPr>
          <w:p w14:paraId="2DF35350">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257" w:type="dxa"/>
            <w:noWrap w:val="0"/>
            <w:vAlign w:val="top"/>
          </w:tcPr>
          <w:p w14:paraId="61649604">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55" w:type="dxa"/>
            <w:noWrap w:val="0"/>
            <w:vAlign w:val="top"/>
          </w:tcPr>
          <w:p w14:paraId="7491025B">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341" w:type="dxa"/>
            <w:noWrap w:val="0"/>
            <w:vAlign w:val="top"/>
          </w:tcPr>
          <w:p w14:paraId="677F4CF4">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11" w:type="dxa"/>
            <w:noWrap w:val="0"/>
            <w:vAlign w:val="top"/>
          </w:tcPr>
          <w:p w14:paraId="7DFD2346">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969" w:type="dxa"/>
            <w:noWrap w:val="0"/>
            <w:vAlign w:val="top"/>
          </w:tcPr>
          <w:p w14:paraId="36A827DB">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r>
      <w:tr w14:paraId="5ABB0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4053D553">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310" w:type="dxa"/>
            <w:noWrap w:val="0"/>
            <w:vAlign w:val="top"/>
          </w:tcPr>
          <w:p w14:paraId="1916E334">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257" w:type="dxa"/>
            <w:noWrap w:val="0"/>
            <w:vAlign w:val="top"/>
          </w:tcPr>
          <w:p w14:paraId="5C735607">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55" w:type="dxa"/>
            <w:noWrap w:val="0"/>
            <w:vAlign w:val="top"/>
          </w:tcPr>
          <w:p w14:paraId="60FF693E">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341" w:type="dxa"/>
            <w:noWrap w:val="0"/>
            <w:vAlign w:val="top"/>
          </w:tcPr>
          <w:p w14:paraId="491038A0">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11" w:type="dxa"/>
            <w:noWrap w:val="0"/>
            <w:vAlign w:val="top"/>
          </w:tcPr>
          <w:p w14:paraId="601B7464">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969" w:type="dxa"/>
            <w:noWrap w:val="0"/>
            <w:vAlign w:val="top"/>
          </w:tcPr>
          <w:p w14:paraId="1B21838D">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r>
      <w:tr w14:paraId="627C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60157862">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310" w:type="dxa"/>
            <w:noWrap w:val="0"/>
            <w:vAlign w:val="top"/>
          </w:tcPr>
          <w:p w14:paraId="1A67D16B">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257" w:type="dxa"/>
            <w:noWrap w:val="0"/>
            <w:vAlign w:val="top"/>
          </w:tcPr>
          <w:p w14:paraId="6B7D6B1D">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55" w:type="dxa"/>
            <w:noWrap w:val="0"/>
            <w:vAlign w:val="top"/>
          </w:tcPr>
          <w:p w14:paraId="439B90B5">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341" w:type="dxa"/>
            <w:noWrap w:val="0"/>
            <w:vAlign w:val="top"/>
          </w:tcPr>
          <w:p w14:paraId="65BF2E14">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11" w:type="dxa"/>
            <w:noWrap w:val="0"/>
            <w:vAlign w:val="top"/>
          </w:tcPr>
          <w:p w14:paraId="7283CBCA">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969" w:type="dxa"/>
            <w:noWrap w:val="0"/>
            <w:vAlign w:val="top"/>
          </w:tcPr>
          <w:p w14:paraId="6AFB6D05">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r>
      <w:tr w14:paraId="7974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6244E63E">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310" w:type="dxa"/>
            <w:noWrap w:val="0"/>
            <w:vAlign w:val="top"/>
          </w:tcPr>
          <w:p w14:paraId="6B67BA61">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2257" w:type="dxa"/>
            <w:noWrap w:val="0"/>
            <w:vAlign w:val="top"/>
          </w:tcPr>
          <w:p w14:paraId="2E6062EC">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55" w:type="dxa"/>
            <w:noWrap w:val="0"/>
            <w:vAlign w:val="top"/>
          </w:tcPr>
          <w:p w14:paraId="5A018441">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341" w:type="dxa"/>
            <w:noWrap w:val="0"/>
            <w:vAlign w:val="top"/>
          </w:tcPr>
          <w:p w14:paraId="740EA9F2">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1211" w:type="dxa"/>
            <w:noWrap w:val="0"/>
            <w:vAlign w:val="top"/>
          </w:tcPr>
          <w:p w14:paraId="44208274">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c>
          <w:tcPr>
            <w:tcW w:w="969" w:type="dxa"/>
            <w:noWrap w:val="0"/>
            <w:vAlign w:val="top"/>
          </w:tcPr>
          <w:p w14:paraId="274A41A9">
            <w:pPr>
              <w:keepNext w:val="0"/>
              <w:keepLines w:val="0"/>
              <w:suppressLineNumbers w:val="0"/>
              <w:spacing w:before="0" w:beforeAutospacing="0" w:after="0" w:afterAutospacing="0" w:line="360" w:lineRule="auto"/>
              <w:ind w:left="0" w:right="0"/>
              <w:jc w:val="center"/>
              <w:rPr>
                <w:rFonts w:ascii="宋体" w:hAnsi="宋体"/>
                <w:color w:val="auto"/>
                <w:sz w:val="24"/>
                <w:szCs w:val="24"/>
                <w:highlight w:val="none"/>
              </w:rPr>
            </w:pPr>
          </w:p>
        </w:tc>
      </w:tr>
    </w:tbl>
    <w:p w14:paraId="3FB2BBA5">
      <w:pPr>
        <w:spacing w:line="360" w:lineRule="auto"/>
        <w:rPr>
          <w:rFonts w:hint="eastAsia" w:ascii="宋体" w:hAnsi="宋体" w:cs="宋体"/>
          <w:b/>
          <w:bCs/>
          <w:color w:val="auto"/>
          <w:sz w:val="24"/>
          <w:szCs w:val="24"/>
          <w:highlight w:val="none"/>
        </w:rPr>
      </w:pPr>
      <w:bookmarkStart w:id="27" w:name="_Hlk66784249"/>
      <w:r>
        <w:rPr>
          <w:rFonts w:hint="eastAsia" w:ascii="宋体" w:hAnsi="宋体" w:cs="宋体"/>
          <w:b/>
          <w:bCs/>
          <w:color w:val="auto"/>
          <w:sz w:val="24"/>
          <w:szCs w:val="24"/>
          <w:highlight w:val="none"/>
        </w:rPr>
        <w:t>说明：投标人如实填写业绩情况表，并附加盖公章的业绩</w:t>
      </w:r>
      <w:r>
        <w:rPr>
          <w:rFonts w:hint="eastAsia" w:ascii="宋体" w:hAnsi="宋体" w:cs="宋体"/>
          <w:b/>
          <w:bCs/>
          <w:color w:val="auto"/>
          <w:sz w:val="24"/>
          <w:szCs w:val="24"/>
          <w:highlight w:val="none"/>
          <w:lang w:val="en-US" w:eastAsia="zh-CN"/>
        </w:rPr>
        <w:t>证明材料扫描件</w:t>
      </w:r>
      <w:r>
        <w:rPr>
          <w:rFonts w:hint="eastAsia" w:ascii="宋体" w:hAnsi="宋体" w:cs="宋体"/>
          <w:b/>
          <w:bCs/>
          <w:color w:val="auto"/>
          <w:sz w:val="24"/>
          <w:szCs w:val="24"/>
          <w:highlight w:val="none"/>
        </w:rPr>
        <w:t>。</w:t>
      </w:r>
    </w:p>
    <w:p w14:paraId="472C36B4">
      <w:pPr>
        <w:autoSpaceDE w:val="0"/>
        <w:autoSpaceDN w:val="0"/>
        <w:adjustRightInd w:val="0"/>
        <w:spacing w:line="360" w:lineRule="auto"/>
        <w:rPr>
          <w:rFonts w:ascii="宋体" w:hAnsi="宋体"/>
          <w:b/>
          <w:color w:val="auto"/>
          <w:sz w:val="24"/>
          <w:szCs w:val="24"/>
          <w:highlight w:val="none"/>
        </w:rPr>
      </w:pPr>
    </w:p>
    <w:bookmarkEnd w:id="27"/>
    <w:p w14:paraId="5DC4B2F0">
      <w:pPr>
        <w:widowControl/>
        <w:adjustRightInd w:val="0"/>
        <w:spacing w:line="360" w:lineRule="auto"/>
        <w:rPr>
          <w:rFonts w:ascii="宋体" w:hAnsi="宋体"/>
          <w:b/>
          <w:bCs/>
          <w:color w:val="auto"/>
          <w:kern w:val="0"/>
          <w:sz w:val="24"/>
          <w:szCs w:val="24"/>
          <w:highlight w:val="none"/>
        </w:rPr>
      </w:pPr>
      <w:r>
        <w:rPr>
          <w:rFonts w:hint="eastAsia" w:ascii="宋体" w:hAnsi="宋体" w:cs="宋体"/>
          <w:color w:val="auto"/>
          <w:kern w:val="0"/>
          <w:sz w:val="24"/>
          <w:szCs w:val="24"/>
          <w:highlight w:val="none"/>
        </w:rPr>
        <w:t>投标人</w:t>
      </w:r>
      <w:r>
        <w:rPr>
          <w:rFonts w:hint="eastAsia" w:ascii="宋体" w:hAnsi="宋体"/>
          <w:color w:val="auto"/>
          <w:sz w:val="24"/>
          <w:szCs w:val="24"/>
          <w:highlight w:val="none"/>
        </w:rPr>
        <w:t>（加盖公章）</w:t>
      </w:r>
      <w:r>
        <w:rPr>
          <w:rFonts w:hint="eastAsia" w:ascii="宋体" w:hAnsi="宋体" w:cs="宋体"/>
          <w:color w:val="auto"/>
          <w:kern w:val="0"/>
          <w:sz w:val="24"/>
          <w:szCs w:val="24"/>
          <w:highlight w:val="none"/>
        </w:rPr>
        <w:t>：</w:t>
      </w:r>
      <w:r>
        <w:rPr>
          <w:rFonts w:ascii="宋体"/>
          <w:color w:val="auto"/>
          <w:kern w:val="0"/>
          <w:sz w:val="24"/>
          <w:szCs w:val="24"/>
          <w:highlight w:val="none"/>
          <w:u w:val="single"/>
        </w:rPr>
        <w:t xml:space="preserve">                  </w:t>
      </w:r>
    </w:p>
    <w:p w14:paraId="551F7ABF">
      <w:pPr>
        <w:widowControl/>
        <w:adjustRightInd w:val="0"/>
        <w:spacing w:line="360" w:lineRule="auto"/>
        <w:rPr>
          <w:rFonts w:ascii="宋体" w:hAnsi="宋体"/>
          <w:b/>
          <w:bCs/>
          <w:color w:val="auto"/>
          <w:kern w:val="0"/>
          <w:highlight w:val="none"/>
        </w:rPr>
      </w:pPr>
    </w:p>
    <w:p w14:paraId="1246CD9D">
      <w:pPr>
        <w:pStyle w:val="3"/>
        <w:rPr>
          <w:color w:val="auto"/>
          <w:highlight w:val="none"/>
        </w:rPr>
      </w:pPr>
      <w:r>
        <w:rPr>
          <w:rFonts w:ascii="宋体" w:hAnsi="宋体"/>
          <w:color w:val="auto"/>
          <w:highlight w:val="none"/>
        </w:rPr>
        <w:br w:type="page"/>
      </w:r>
      <w:bookmarkStart w:id="28" w:name="_Toc66375433"/>
      <w:bookmarkStart w:id="29" w:name="_Toc43917780"/>
      <w:r>
        <w:rPr>
          <w:rFonts w:hint="eastAsia"/>
          <w:b/>
          <w:bCs/>
          <w:color w:val="auto"/>
          <w:sz w:val="24"/>
          <w:szCs w:val="24"/>
          <w:highlight w:val="none"/>
        </w:rPr>
        <w:t>附件十</w:t>
      </w:r>
      <w:r>
        <w:rPr>
          <w:rFonts w:hint="eastAsia"/>
          <w:b/>
          <w:bCs/>
          <w:color w:val="auto"/>
          <w:sz w:val="24"/>
          <w:szCs w:val="24"/>
          <w:highlight w:val="none"/>
          <w:lang w:val="en-US" w:eastAsia="zh-CN"/>
        </w:rPr>
        <w:t>一</w:t>
      </w:r>
      <w:r>
        <w:rPr>
          <w:rFonts w:hint="eastAsia"/>
          <w:b/>
          <w:bCs/>
          <w:color w:val="auto"/>
          <w:sz w:val="24"/>
          <w:szCs w:val="24"/>
          <w:highlight w:val="none"/>
        </w:rPr>
        <w:t>、企业声明函格式</w:t>
      </w:r>
      <w:bookmarkEnd w:id="28"/>
      <w:bookmarkEnd w:id="29"/>
    </w:p>
    <w:p w14:paraId="0AA42742">
      <w:pPr>
        <w:spacing w:line="360" w:lineRule="auto"/>
        <w:jc w:val="center"/>
        <w:rPr>
          <w:rFonts w:hint="eastAsia" w:ascii="宋体" w:hAnsi="宋体" w:eastAsia="宋体" w:cs="宋体"/>
          <w:b/>
          <w:bCs/>
          <w:color w:val="auto"/>
          <w:sz w:val="30"/>
          <w:szCs w:val="30"/>
          <w:highlight w:val="none"/>
        </w:rPr>
      </w:pPr>
      <w:bookmarkStart w:id="30" w:name="_Hlk84581158"/>
      <w:bookmarkStart w:id="31" w:name="OLE_LINK13"/>
      <w:bookmarkStart w:id="32" w:name="OLE_LINK14"/>
      <w:r>
        <w:rPr>
          <w:rFonts w:hint="eastAsia" w:ascii="宋体" w:hAnsi="宋体" w:eastAsia="宋体" w:cs="宋体"/>
          <w:b/>
          <w:bCs/>
          <w:color w:val="auto"/>
          <w:sz w:val="30"/>
          <w:szCs w:val="30"/>
          <w:highlight w:val="none"/>
        </w:rPr>
        <w:t>中小企业声明函（工程、服务）</w:t>
      </w:r>
    </w:p>
    <w:p w14:paraId="368F00DE">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郑重声明，根据《政府采购促进中小企业发展管理办法》（财库〔2020</w:t>
      </w:r>
      <w:r>
        <w:rPr>
          <w:rFonts w:ascii="宋体" w:hAnsi="宋体" w:cs="宋体"/>
          <w:color w:val="auto"/>
          <w:sz w:val="24"/>
          <w:szCs w:val="24"/>
          <w:highlight w:val="none"/>
        </w:rPr>
        <w:t>〕</w:t>
      </w:r>
      <w:r>
        <w:rPr>
          <w:rFonts w:hint="eastAsia" w:ascii="宋体" w:hAnsi="宋体" w:eastAsia="宋体" w:cs="宋体"/>
          <w:color w:val="auto"/>
          <w:kern w:val="0"/>
          <w:sz w:val="24"/>
          <w:szCs w:val="24"/>
          <w:highlight w:val="none"/>
        </w:rPr>
        <w:t>46号）的规定，本公司</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参加</w:t>
      </w:r>
      <w:r>
        <w:rPr>
          <w:rFonts w:hint="eastAsia" w:ascii="宋体" w:hAnsi="宋体" w:eastAsia="宋体" w:cs="宋体"/>
          <w:color w:val="auto"/>
          <w:kern w:val="0"/>
          <w:sz w:val="24"/>
          <w:szCs w:val="24"/>
          <w:highlight w:val="none"/>
          <w:u w:val="single"/>
        </w:rPr>
        <w:t>（单位名称）</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（项目名称）</w:t>
      </w:r>
      <w:r>
        <w:rPr>
          <w:rFonts w:hint="eastAsia" w:ascii="宋体" w:hAnsi="宋体" w:eastAsia="宋体" w:cs="宋体"/>
          <w:color w:val="auto"/>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ADC51C8">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single"/>
        </w:rPr>
        <w:t>（标的名称）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none"/>
        </w:rPr>
        <w:t>（本项所属行业）</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承建（承接）企业为</w:t>
      </w:r>
      <w:r>
        <w:rPr>
          <w:rFonts w:hint="eastAsia" w:ascii="宋体" w:hAnsi="宋体" w:eastAsia="宋体" w:cs="宋体"/>
          <w:color w:val="auto"/>
          <w:kern w:val="0"/>
          <w:sz w:val="24"/>
          <w:szCs w:val="24"/>
          <w:highlight w:val="none"/>
          <w:u w:val="single"/>
        </w:rPr>
        <w:t>（企业名称）</w:t>
      </w:r>
      <w:r>
        <w:rPr>
          <w:rFonts w:hint="eastAsia" w:ascii="宋体" w:hAnsi="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none"/>
        </w:rPr>
        <w:t>人</w:t>
      </w:r>
      <w:r>
        <w:rPr>
          <w:rFonts w:hint="eastAsia" w:ascii="宋体" w:hAnsi="宋体" w:eastAsia="宋体" w:cs="宋体"/>
          <w:color w:val="auto"/>
          <w:kern w:val="0"/>
          <w:sz w:val="24"/>
          <w:szCs w:val="24"/>
          <w:highlight w:val="none"/>
        </w:rPr>
        <w:t>，营业收入为</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006B01E4">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（标的名称）</w:t>
      </w:r>
      <w:r>
        <w:rPr>
          <w:rFonts w:hint="eastAsia" w:ascii="宋体" w:hAnsi="宋体" w:eastAsia="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none"/>
        </w:rPr>
        <w:t>（本项所属行业）</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承建（承接）企业为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none"/>
        </w:rPr>
        <w:t>人</w:t>
      </w:r>
      <w:r>
        <w:rPr>
          <w:rFonts w:hint="eastAsia" w:ascii="宋体" w:hAnsi="宋体" w:eastAsia="宋体" w:cs="宋体"/>
          <w:color w:val="auto"/>
          <w:kern w:val="0"/>
          <w:sz w:val="24"/>
          <w:szCs w:val="24"/>
          <w:highlight w:val="none"/>
        </w:rPr>
        <w:t>，营业收入为</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rPr>
        <w:tab/>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ab/>
      </w:r>
    </w:p>
    <w:p w14:paraId="524E7D4F">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53E32D34">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18DEEAC9">
      <w:pPr>
        <w:widowControl/>
        <w:spacing w:line="440" w:lineRule="exact"/>
        <w:ind w:firstLine="480" w:firstLineChars="20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54F16C45">
      <w:pPr>
        <w:widowControl/>
        <w:spacing w:line="440" w:lineRule="exact"/>
        <w:ind w:firstLine="480" w:firstLineChars="20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企业名称（盖章）： </w:t>
      </w:r>
    </w:p>
    <w:p w14:paraId="34C2911D">
      <w:pPr>
        <w:widowControl/>
        <w:spacing w:line="440" w:lineRule="exact"/>
        <w:ind w:right="1260" w:firstLine="480" w:firstLineChars="20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日期：</w:t>
      </w:r>
    </w:p>
    <w:p w14:paraId="4FE864A6">
      <w:pPr>
        <w:spacing w:line="360" w:lineRule="auto"/>
        <w:rPr>
          <w:rFonts w:ascii="宋体" w:hAnsi="宋体"/>
          <w:b/>
          <w:bCs/>
          <w:color w:val="auto"/>
          <w:sz w:val="28"/>
          <w:highlight w:val="none"/>
        </w:rPr>
      </w:pPr>
    </w:p>
    <w:bookmarkEnd w:id="30"/>
    <w:p w14:paraId="5411B125">
      <w:pPr>
        <w:spacing w:line="360" w:lineRule="auto"/>
        <w:jc w:val="center"/>
        <w:rPr>
          <w:rFonts w:ascii="宋体" w:hAnsi="宋体"/>
          <w:b/>
          <w:bCs/>
          <w:color w:val="auto"/>
          <w:sz w:val="30"/>
          <w:szCs w:val="30"/>
          <w:highlight w:val="none"/>
        </w:rPr>
      </w:pPr>
      <w:r>
        <w:rPr>
          <w:rFonts w:hint="eastAsia" w:ascii="宋体" w:hAnsi="宋体"/>
          <w:b/>
          <w:bCs/>
          <w:color w:val="auto"/>
          <w:sz w:val="30"/>
          <w:szCs w:val="30"/>
          <w:highlight w:val="none"/>
        </w:rPr>
        <w:t>残疾人福利性单位声明函</w:t>
      </w:r>
    </w:p>
    <w:bookmarkEnd w:id="31"/>
    <w:bookmarkEnd w:id="32"/>
    <w:p w14:paraId="3209AE5E">
      <w:pPr>
        <w:widowControl/>
        <w:spacing w:line="440" w:lineRule="exact"/>
        <w:ind w:firstLine="480" w:firstLineChars="200"/>
        <w:jc w:val="left"/>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rPr>
        <w:t>单位的</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rPr>
        <w:t>项目采购活动提供本单位制造的货物（由本单位承担工程/提供服务），或者提供其他残疾人福利性单位制造的货物（不包括使用非残疾人福利性单位注册商标的货物）。</w:t>
      </w:r>
    </w:p>
    <w:p w14:paraId="4F3E1AFA">
      <w:pPr>
        <w:widowControl/>
        <w:spacing w:line="440" w:lineRule="exact"/>
        <w:ind w:firstLine="480" w:firstLineChars="200"/>
        <w:jc w:val="left"/>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本单位对上述声明的真实性负责。如有虚假，将依法承担相应责任。</w:t>
      </w:r>
    </w:p>
    <w:p w14:paraId="5C9DAA86">
      <w:pPr>
        <w:widowControl/>
        <w:spacing w:line="440" w:lineRule="exact"/>
        <w:ind w:firstLine="4560" w:firstLineChars="1900"/>
        <w:jc w:val="left"/>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单位名称（盖章）：</w:t>
      </w:r>
    </w:p>
    <w:p w14:paraId="27B4F0ED">
      <w:pPr>
        <w:widowControl/>
        <w:spacing w:line="440" w:lineRule="exact"/>
        <w:ind w:firstLine="4560" w:firstLineChars="1900"/>
        <w:jc w:val="left"/>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日  期：</w:t>
      </w:r>
    </w:p>
    <w:p w14:paraId="342C9D92">
      <w:pPr>
        <w:spacing w:line="360" w:lineRule="auto"/>
        <w:rPr>
          <w:rFonts w:ascii="宋体" w:hAnsi="宋体"/>
          <w:b/>
          <w:bCs/>
          <w:color w:val="auto"/>
          <w:sz w:val="24"/>
          <w:szCs w:val="24"/>
          <w:highlight w:val="none"/>
        </w:rPr>
      </w:pPr>
    </w:p>
    <w:p w14:paraId="26DA6A35">
      <w:pPr>
        <w:spacing w:line="360" w:lineRule="auto"/>
        <w:jc w:val="center"/>
        <w:rPr>
          <w:rFonts w:hint="eastAsia" w:ascii="宋体" w:hAnsi="宋体"/>
          <w:b/>
          <w:bCs/>
          <w:color w:val="auto"/>
          <w:sz w:val="28"/>
          <w:highlight w:val="none"/>
        </w:rPr>
      </w:pPr>
    </w:p>
    <w:p w14:paraId="756E5FBD">
      <w:pPr>
        <w:rPr>
          <w:rFonts w:hint="eastAsia" w:ascii="宋体" w:hAnsi="宋体"/>
          <w:b/>
          <w:bCs/>
          <w:color w:val="auto"/>
          <w:sz w:val="30"/>
          <w:szCs w:val="30"/>
          <w:highlight w:val="none"/>
        </w:rPr>
      </w:pPr>
      <w:r>
        <w:rPr>
          <w:rFonts w:hint="eastAsia" w:ascii="宋体" w:hAnsi="宋体"/>
          <w:b/>
          <w:bCs/>
          <w:color w:val="auto"/>
          <w:sz w:val="30"/>
          <w:szCs w:val="30"/>
          <w:highlight w:val="none"/>
        </w:rPr>
        <w:br w:type="page"/>
      </w:r>
    </w:p>
    <w:p w14:paraId="17C96D31">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jc w:val="center"/>
      </w:pPr>
      <w:r>
        <w:rPr>
          <w:rFonts w:hint="eastAsia" w:ascii="宋体" w:hAnsi="宋体" w:eastAsia="宋体" w:cs="宋体"/>
          <w:b/>
          <w:bCs/>
          <w:color w:val="333333"/>
          <w:sz w:val="30"/>
          <w:szCs w:val="30"/>
          <w:shd w:val="clear" w:fill="FFFFFF"/>
        </w:rPr>
        <w:t>关于符合本国产品标准的声明函</w:t>
      </w:r>
    </w:p>
    <w:p w14:paraId="7A5380E1">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pPr>
      <w:r>
        <w:rPr>
          <w:bdr w:val="none" w:color="auto" w:sz="0" w:space="0"/>
          <w:shd w:val="clear" w:fill="FFFFFF"/>
        </w:rPr>
        <w:t> </w:t>
      </w:r>
    </w:p>
    <w:p w14:paraId="3CA2A8F8">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sz w:val="24"/>
          <w:szCs w:val="24"/>
        </w:rPr>
      </w:pPr>
      <w:r>
        <w:rPr>
          <w:rFonts w:hint="eastAsia" w:ascii="宋体" w:hAnsi="宋体" w:eastAsia="宋体" w:cs="宋体"/>
          <w:color w:val="000000"/>
          <w:sz w:val="24"/>
          <w:szCs w:val="24"/>
        </w:rPr>
        <w:t>本公司（单位</w:t>
      </w:r>
      <w:bookmarkStart w:id="33" w:name="_GoBack"/>
      <w:r>
        <w:rPr>
          <w:rFonts w:hint="eastAsia" w:ascii="宋体" w:hAnsi="宋体" w:eastAsia="宋体" w:cs="宋体"/>
          <w:color w:val="000000"/>
          <w:sz w:val="24"/>
          <w:szCs w:val="24"/>
        </w:rPr>
        <w:t>）郑重声明，根据《国务院办公厅关于在政府采购中实施本国产品标准及相关政策的通知》（国办发〔2025〕34号）的规定，本公司（单位）提供的以下产品属于本国产品。具体情况如下：</w:t>
      </w:r>
    </w:p>
    <w:p w14:paraId="315A90C7">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sz w:val="24"/>
          <w:szCs w:val="24"/>
        </w:rPr>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6C8F645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sz w:val="24"/>
          <w:szCs w:val="24"/>
        </w:rPr>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4565CD88">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sz w:val="24"/>
          <w:szCs w:val="24"/>
        </w:rPr>
      </w:pPr>
      <w:r>
        <w:rPr>
          <w:rFonts w:hint="eastAsia" w:ascii="宋体" w:hAnsi="宋体" w:eastAsia="宋体" w:cs="宋体"/>
          <w:color w:val="000000"/>
          <w:sz w:val="24"/>
          <w:szCs w:val="24"/>
          <w:shd w:val="clear" w:fill="FFFFFF"/>
        </w:rPr>
        <w:t>……</w:t>
      </w:r>
    </w:p>
    <w:p w14:paraId="5A409E94">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sz w:val="24"/>
          <w:szCs w:val="24"/>
        </w:rPr>
      </w:pPr>
      <w:r>
        <w:rPr>
          <w:rFonts w:hint="eastAsia" w:ascii="宋体" w:hAnsi="宋体" w:eastAsia="宋体" w:cs="宋体"/>
          <w:color w:val="000000"/>
          <w:sz w:val="24"/>
          <w:szCs w:val="24"/>
          <w:shd w:val="clear" w:fill="FFFFFF"/>
        </w:rPr>
        <w:t>本公司（单位）对上述声明内容的真实性负责。如有虚假，愿承担相应法律责任。</w:t>
      </w:r>
    </w:p>
    <w:p w14:paraId="7E9CBEBF">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sz w:val="24"/>
          <w:szCs w:val="24"/>
        </w:rPr>
      </w:pPr>
      <w:r>
        <w:rPr>
          <w:sz w:val="24"/>
          <w:szCs w:val="24"/>
          <w:bdr w:val="none" w:color="auto" w:sz="0" w:space="0"/>
          <w:shd w:val="clear" w:fill="FFFFFF"/>
        </w:rPr>
        <w:t> </w:t>
      </w:r>
    </w:p>
    <w:p w14:paraId="6E6A176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rPr>
          <w:sz w:val="24"/>
          <w:szCs w:val="24"/>
        </w:rPr>
      </w:pPr>
      <w:r>
        <w:rPr>
          <w:rFonts w:hint="eastAsia" w:ascii="宋体" w:hAnsi="宋体" w:eastAsia="宋体" w:cs="宋体"/>
          <w:color w:val="000000"/>
          <w:sz w:val="24"/>
          <w:szCs w:val="24"/>
          <w:shd w:val="clear" w:fill="FFFFFF"/>
        </w:rPr>
        <w:t xml:space="preserve">   公司（单位）名称（加盖CA电子公章）：         </w:t>
      </w:r>
    </w:p>
    <w:p w14:paraId="2845974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rPr>
          <w:sz w:val="24"/>
          <w:szCs w:val="24"/>
        </w:rPr>
      </w:pPr>
      <w:r>
        <w:rPr>
          <w:rFonts w:hint="eastAsia" w:ascii="宋体" w:hAnsi="宋体" w:eastAsia="宋体" w:cs="宋体"/>
          <w:color w:val="000000"/>
          <w:sz w:val="24"/>
          <w:szCs w:val="24"/>
          <w:shd w:val="clear" w:fill="FFFFFF"/>
        </w:rPr>
        <w:t xml:space="preserve">           日期：      年   月   日         </w:t>
      </w:r>
    </w:p>
    <w:p w14:paraId="757CB38E">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sz w:val="24"/>
          <w:szCs w:val="24"/>
        </w:rPr>
      </w:pPr>
      <w:r>
        <w:rPr>
          <w:sz w:val="24"/>
          <w:szCs w:val="24"/>
          <w:bdr w:val="none" w:color="auto" w:sz="0" w:space="0"/>
          <w:shd w:val="clear" w:fill="FFFFFF"/>
        </w:rPr>
        <w:t> </w:t>
      </w:r>
    </w:p>
    <w:p w14:paraId="383C8D67">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sz w:val="24"/>
          <w:szCs w:val="24"/>
        </w:rPr>
      </w:pPr>
      <w:r>
        <w:rPr>
          <w:sz w:val="24"/>
          <w:szCs w:val="24"/>
          <w:bdr w:val="none" w:color="auto" w:sz="0" w:space="0"/>
          <w:shd w:val="clear" w:fill="FFFFFF"/>
        </w:rPr>
        <w:t> </w:t>
      </w:r>
    </w:p>
    <w:p w14:paraId="67B56B61">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sz w:val="24"/>
          <w:szCs w:val="24"/>
        </w:rPr>
      </w:pPr>
      <w:r>
        <w:rPr>
          <w:rFonts w:hint="eastAsia" w:ascii="宋体" w:hAnsi="宋体" w:eastAsia="宋体" w:cs="宋体"/>
          <w:color w:val="000000"/>
          <w:sz w:val="24"/>
          <w:szCs w:val="24"/>
          <w:shd w:val="clear" w:fill="FFFFFF"/>
        </w:rPr>
        <w:t>_________________</w:t>
      </w:r>
    </w:p>
    <w:p w14:paraId="4C16B9A2">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sz w:val="24"/>
          <w:szCs w:val="24"/>
        </w:rPr>
      </w:pPr>
      <w:r>
        <w:rPr>
          <w:rFonts w:hint="eastAsia" w:ascii="宋体" w:hAnsi="宋体" w:eastAsia="宋体" w:cs="宋体"/>
          <w:color w:val="000000"/>
          <w:sz w:val="24"/>
          <w:szCs w:val="24"/>
          <w:shd w:val="clear" w:fill="FFFFFF"/>
        </w:rPr>
        <w:t>1.产品如有型号，请在“产品名称”栏一并填写。</w:t>
      </w:r>
    </w:p>
    <w:p w14:paraId="3C8865AD">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sz w:val="24"/>
          <w:szCs w:val="24"/>
        </w:rPr>
      </w:pPr>
      <w:r>
        <w:rPr>
          <w:rFonts w:hint="eastAsia" w:ascii="宋体" w:hAnsi="宋体" w:eastAsia="宋体" w:cs="宋体"/>
          <w:color w:val="000000"/>
          <w:sz w:val="24"/>
          <w:szCs w:val="24"/>
          <w:shd w:val="clear" w:fill="FFFFFF"/>
        </w:rPr>
        <w:t>2.生产厂名与厂址应与生产厂营业执照载明的相关信息保持一致。</w:t>
      </w:r>
    </w:p>
    <w:p w14:paraId="51C3D5B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sz w:val="24"/>
          <w:szCs w:val="24"/>
        </w:rPr>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04B23B56">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sz w:val="24"/>
          <w:szCs w:val="24"/>
        </w:rPr>
      </w:pPr>
      <w:r>
        <w:rPr>
          <w:rFonts w:hint="eastAsia" w:ascii="宋体" w:hAnsi="宋体" w:eastAsia="宋体" w:cs="宋体"/>
          <w:color w:val="000000"/>
          <w:sz w:val="24"/>
          <w:szCs w:val="24"/>
          <w:shd w:val="clear" w:fill="FFFFFF"/>
        </w:rPr>
        <w:t>4.该产品的关键组件要求实施前，“关键组件”栏可不填，下同。</w:t>
      </w:r>
    </w:p>
    <w:p w14:paraId="1F649A9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sz w:val="24"/>
          <w:szCs w:val="24"/>
        </w:rPr>
      </w:pPr>
      <w:r>
        <w:rPr>
          <w:rFonts w:hint="eastAsia" w:ascii="宋体" w:hAnsi="宋体" w:eastAsia="宋体" w:cs="宋体"/>
          <w:color w:val="000000"/>
          <w:sz w:val="24"/>
          <w:szCs w:val="24"/>
          <w:shd w:val="clear" w:fill="FFFFFF"/>
        </w:rPr>
        <w:t>5.该产品的关键工序要求实施前，“关键工序”栏可不填，下同。</w:t>
      </w:r>
    </w:p>
    <w:p w14:paraId="07C37805">
      <w:pPr>
        <w:rPr>
          <w:rFonts w:hint="eastAsia" w:ascii="宋体" w:hAnsi="宋体"/>
          <w:b/>
          <w:bCs/>
          <w:color w:val="auto"/>
          <w:sz w:val="24"/>
          <w:szCs w:val="24"/>
          <w:highlight w:val="none"/>
        </w:rPr>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bookmarkEnd w:id="33"/>
    </w:p>
    <w:p w14:paraId="10886102">
      <w:pPr>
        <w:rPr>
          <w:rFonts w:hint="eastAsia" w:ascii="宋体" w:hAnsi="宋体"/>
          <w:b/>
          <w:bCs/>
          <w:color w:val="auto"/>
          <w:sz w:val="30"/>
          <w:szCs w:val="30"/>
          <w:highlight w:val="none"/>
        </w:rPr>
      </w:pPr>
      <w:r>
        <w:rPr>
          <w:rFonts w:hint="eastAsia" w:ascii="宋体" w:hAnsi="宋体"/>
          <w:b/>
          <w:bCs/>
          <w:color w:val="auto"/>
          <w:sz w:val="30"/>
          <w:szCs w:val="30"/>
          <w:highlight w:val="none"/>
        </w:rPr>
        <w:br w:type="page"/>
      </w:r>
    </w:p>
    <w:p w14:paraId="19BA468D">
      <w:pPr>
        <w:spacing w:line="360" w:lineRule="auto"/>
        <w:jc w:val="center"/>
        <w:rPr>
          <w:rFonts w:ascii="宋体" w:hAnsi="宋体"/>
          <w:b/>
          <w:bCs/>
          <w:color w:val="auto"/>
          <w:sz w:val="30"/>
          <w:szCs w:val="30"/>
          <w:highlight w:val="none"/>
        </w:rPr>
      </w:pPr>
      <w:r>
        <w:rPr>
          <w:rFonts w:hint="eastAsia" w:ascii="宋体" w:hAnsi="宋体"/>
          <w:b/>
          <w:bCs/>
          <w:color w:val="auto"/>
          <w:sz w:val="30"/>
          <w:szCs w:val="30"/>
          <w:highlight w:val="none"/>
        </w:rPr>
        <w:t>属于监狱企业的证明文件</w:t>
      </w:r>
    </w:p>
    <w:p w14:paraId="1069D01C">
      <w:pPr>
        <w:spacing w:line="360" w:lineRule="auto"/>
        <w:rPr>
          <w:rFonts w:ascii="宋体" w:hAnsi="宋体"/>
          <w:color w:val="auto"/>
          <w:sz w:val="24"/>
          <w:szCs w:val="24"/>
          <w:highlight w:val="none"/>
        </w:rPr>
      </w:pPr>
      <w:r>
        <w:rPr>
          <w:rFonts w:ascii="宋体" w:hAnsi="宋体"/>
          <w:color w:val="auto"/>
          <w:sz w:val="24"/>
          <w:szCs w:val="24"/>
          <w:highlight w:val="none"/>
        </w:rPr>
        <w:t>提供</w:t>
      </w:r>
      <w:r>
        <w:rPr>
          <w:rFonts w:hint="eastAsia" w:ascii="宋体" w:hAnsi="宋体"/>
          <w:color w:val="auto"/>
          <w:sz w:val="24"/>
          <w:szCs w:val="24"/>
          <w:highlight w:val="none"/>
        </w:rPr>
        <w:t>由省级以上监狱管理局、戒毒管理局</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含新疆生产建设兵团</w:t>
      </w:r>
      <w:r>
        <w:rPr>
          <w:rFonts w:hint="eastAsia" w:ascii="宋体" w:hAnsi="宋体"/>
          <w:color w:val="auto"/>
          <w:sz w:val="24"/>
          <w:szCs w:val="24"/>
          <w:highlight w:val="none"/>
          <w:lang w:eastAsia="zh-CN"/>
        </w:rPr>
        <w:t>）</w:t>
      </w:r>
      <w:r>
        <w:rPr>
          <w:rFonts w:hint="eastAsia" w:ascii="宋体" w:hAnsi="宋体"/>
          <w:color w:val="auto"/>
          <w:sz w:val="24"/>
          <w:szCs w:val="24"/>
          <w:highlight w:val="none"/>
        </w:rPr>
        <w:t>出具的属于监狱企业的证明文件）</w:t>
      </w:r>
    </w:p>
    <w:p w14:paraId="2ED04B8E">
      <w:pPr>
        <w:spacing w:line="360" w:lineRule="auto"/>
        <w:rPr>
          <w:rFonts w:ascii="宋体" w:hAnsi="宋体"/>
          <w:bCs/>
          <w:color w:val="auto"/>
          <w:highlight w:val="none"/>
        </w:rPr>
      </w:pPr>
    </w:p>
    <w:p w14:paraId="5AC9F8E9">
      <w:pPr>
        <w:rPr>
          <w:color w:val="auto"/>
          <w:highlight w:val="none"/>
        </w:rPr>
      </w:pPr>
      <w:bookmarkStart w:id="34" w:name="_Toc43917781"/>
      <w:bookmarkStart w:id="35" w:name="_Toc66375434"/>
    </w:p>
    <w:p w14:paraId="499480D0">
      <w:pPr>
        <w:spacing w:line="360" w:lineRule="auto"/>
        <w:jc w:val="center"/>
        <w:rPr>
          <w:rFonts w:ascii="Arial" w:hAnsi="Arial" w:cs="Arial"/>
          <w:b/>
          <w:bCs/>
          <w:color w:val="auto"/>
          <w:sz w:val="30"/>
          <w:szCs w:val="30"/>
          <w:highlight w:val="none"/>
        </w:rPr>
      </w:pPr>
      <w:r>
        <w:rPr>
          <w:rFonts w:ascii="Arial" w:hAnsi="Arial" w:cs="Arial"/>
          <w:b/>
          <w:bCs/>
          <w:color w:val="auto"/>
          <w:sz w:val="30"/>
          <w:szCs w:val="30"/>
          <w:highlight w:val="none"/>
        </w:rPr>
        <w:t>节能产品认证证书</w:t>
      </w:r>
    </w:p>
    <w:p w14:paraId="3A3F65A9">
      <w:pPr>
        <w:spacing w:line="360" w:lineRule="auto"/>
        <w:rPr>
          <w:rFonts w:ascii="Arial" w:hAnsi="Arial" w:cs="Arial"/>
          <w:bCs/>
          <w:color w:val="auto"/>
          <w:sz w:val="24"/>
          <w:szCs w:val="24"/>
          <w:highlight w:val="none"/>
        </w:rPr>
      </w:pPr>
      <w:r>
        <w:rPr>
          <w:rFonts w:ascii="Arial" w:hAnsi="Arial" w:cs="Arial"/>
          <w:bCs/>
          <w:color w:val="auto"/>
          <w:sz w:val="24"/>
          <w:szCs w:val="24"/>
          <w:highlight w:val="none"/>
        </w:rPr>
        <w:t>（提供国家确定的认证机构出具的、处于有效期之内的产品认证证书）</w:t>
      </w:r>
    </w:p>
    <w:p w14:paraId="7EF31816">
      <w:pPr>
        <w:spacing w:line="360" w:lineRule="auto"/>
        <w:rPr>
          <w:rFonts w:ascii="Arial" w:hAnsi="Arial" w:cs="Arial"/>
          <w:b/>
          <w:bCs/>
          <w:color w:val="auto"/>
          <w:highlight w:val="none"/>
        </w:rPr>
      </w:pPr>
    </w:p>
    <w:p w14:paraId="5227FE37">
      <w:pPr>
        <w:spacing w:line="360" w:lineRule="auto"/>
        <w:rPr>
          <w:rFonts w:ascii="Arial" w:hAnsi="Arial" w:cs="Arial"/>
          <w:b/>
          <w:bCs/>
          <w:color w:val="auto"/>
          <w:highlight w:val="none"/>
        </w:rPr>
      </w:pPr>
    </w:p>
    <w:p w14:paraId="7FCBADFB">
      <w:pPr>
        <w:spacing w:line="360" w:lineRule="auto"/>
        <w:rPr>
          <w:rFonts w:ascii="Arial" w:hAnsi="Arial" w:cs="Arial"/>
          <w:b/>
          <w:bCs/>
          <w:color w:val="auto"/>
          <w:highlight w:val="none"/>
        </w:rPr>
      </w:pPr>
    </w:p>
    <w:p w14:paraId="6A81A1A6">
      <w:pPr>
        <w:spacing w:line="360" w:lineRule="auto"/>
        <w:rPr>
          <w:rFonts w:ascii="Arial" w:hAnsi="Arial" w:cs="Arial"/>
          <w:b/>
          <w:bCs/>
          <w:color w:val="auto"/>
          <w:highlight w:val="none"/>
        </w:rPr>
      </w:pPr>
    </w:p>
    <w:p w14:paraId="1E0D6A89">
      <w:pPr>
        <w:spacing w:line="360" w:lineRule="auto"/>
        <w:jc w:val="center"/>
        <w:rPr>
          <w:rFonts w:ascii="Arial" w:hAnsi="Arial" w:cs="Arial"/>
          <w:b/>
          <w:bCs/>
          <w:color w:val="auto"/>
          <w:highlight w:val="none"/>
        </w:rPr>
      </w:pPr>
      <w:r>
        <w:rPr>
          <w:rFonts w:ascii="Arial" w:hAnsi="Arial" w:cs="Arial"/>
          <w:b/>
          <w:bCs/>
          <w:color w:val="auto"/>
          <w:sz w:val="28"/>
          <w:highlight w:val="none"/>
        </w:rPr>
        <w:t>环境标志产品认证证书</w:t>
      </w:r>
    </w:p>
    <w:p w14:paraId="396F7167">
      <w:pPr>
        <w:spacing w:line="360" w:lineRule="auto"/>
        <w:rPr>
          <w:rFonts w:ascii="Arial" w:hAnsi="Arial" w:cs="Arial"/>
          <w:color w:val="auto"/>
          <w:sz w:val="24"/>
          <w:szCs w:val="24"/>
          <w:highlight w:val="none"/>
        </w:rPr>
      </w:pPr>
      <w:r>
        <w:rPr>
          <w:rFonts w:ascii="Arial" w:hAnsi="Arial" w:cs="Arial"/>
          <w:bCs/>
          <w:color w:val="auto"/>
          <w:sz w:val="24"/>
          <w:szCs w:val="24"/>
          <w:highlight w:val="none"/>
        </w:rPr>
        <w:t>（提供国家确定的认证机构出具的、处于有效期之内的产品认证证书）</w:t>
      </w:r>
    </w:p>
    <w:p w14:paraId="35F0246F">
      <w:pPr>
        <w:spacing w:line="360" w:lineRule="auto"/>
        <w:rPr>
          <w:rFonts w:ascii="Arial" w:hAnsi="Arial" w:cs="Arial"/>
          <w:b/>
          <w:bCs/>
          <w:color w:val="auto"/>
          <w:highlight w:val="none"/>
        </w:rPr>
      </w:pPr>
    </w:p>
    <w:p w14:paraId="4EF88719">
      <w:pPr>
        <w:rPr>
          <w:color w:val="auto"/>
          <w:highlight w:val="none"/>
        </w:rPr>
      </w:pPr>
    </w:p>
    <w:p w14:paraId="569AD828">
      <w:pPr>
        <w:rPr>
          <w:color w:val="auto"/>
          <w:highlight w:val="none"/>
        </w:rPr>
      </w:pPr>
    </w:p>
    <w:p w14:paraId="06A5C86A">
      <w:pPr>
        <w:rPr>
          <w:color w:val="auto"/>
          <w:highlight w:val="none"/>
        </w:rPr>
      </w:pPr>
    </w:p>
    <w:p w14:paraId="7566AC8D">
      <w:pPr>
        <w:rPr>
          <w:color w:val="auto"/>
          <w:highlight w:val="none"/>
        </w:rPr>
      </w:pPr>
    </w:p>
    <w:p w14:paraId="203D1BAB">
      <w:pPr>
        <w:rPr>
          <w:color w:val="auto"/>
          <w:highlight w:val="none"/>
        </w:rPr>
      </w:pPr>
    </w:p>
    <w:p w14:paraId="29211955">
      <w:pPr>
        <w:rPr>
          <w:color w:val="auto"/>
          <w:highlight w:val="none"/>
        </w:rPr>
      </w:pPr>
    </w:p>
    <w:p w14:paraId="46C4474F">
      <w:pPr>
        <w:rPr>
          <w:color w:val="auto"/>
          <w:highlight w:val="none"/>
        </w:rPr>
      </w:pPr>
    </w:p>
    <w:p w14:paraId="009C0AE1">
      <w:pPr>
        <w:rPr>
          <w:color w:val="auto"/>
          <w:highlight w:val="none"/>
        </w:rPr>
      </w:pPr>
    </w:p>
    <w:p w14:paraId="7081D36A">
      <w:pPr>
        <w:rPr>
          <w:color w:val="auto"/>
          <w:highlight w:val="none"/>
        </w:rPr>
      </w:pPr>
    </w:p>
    <w:p w14:paraId="29CC9E8E">
      <w:pPr>
        <w:rPr>
          <w:color w:val="auto"/>
          <w:highlight w:val="none"/>
        </w:rPr>
      </w:pPr>
    </w:p>
    <w:p w14:paraId="7A273EB3">
      <w:pPr>
        <w:rPr>
          <w:color w:val="auto"/>
          <w:highlight w:val="none"/>
        </w:rPr>
      </w:pPr>
    </w:p>
    <w:p w14:paraId="1614DBD0">
      <w:pPr>
        <w:rPr>
          <w:color w:val="auto"/>
          <w:highlight w:val="none"/>
        </w:rPr>
      </w:pPr>
    </w:p>
    <w:p w14:paraId="291E2D5B">
      <w:pPr>
        <w:rPr>
          <w:color w:val="auto"/>
          <w:highlight w:val="none"/>
        </w:rPr>
      </w:pPr>
    </w:p>
    <w:p w14:paraId="435B83BB">
      <w:pPr>
        <w:rPr>
          <w:color w:val="auto"/>
          <w:highlight w:val="none"/>
        </w:rPr>
      </w:pPr>
    </w:p>
    <w:p w14:paraId="716872EF">
      <w:pPr>
        <w:rPr>
          <w:color w:val="auto"/>
          <w:highlight w:val="none"/>
        </w:rPr>
      </w:pPr>
    </w:p>
    <w:p w14:paraId="794E6C94">
      <w:pPr>
        <w:rPr>
          <w:color w:val="auto"/>
          <w:highlight w:val="none"/>
        </w:rPr>
      </w:pPr>
    </w:p>
    <w:p w14:paraId="2284DDE1">
      <w:pPr>
        <w:rPr>
          <w:color w:val="auto"/>
          <w:highlight w:val="none"/>
        </w:rPr>
      </w:pPr>
    </w:p>
    <w:p w14:paraId="413E8EA8">
      <w:pPr>
        <w:rPr>
          <w:color w:val="auto"/>
          <w:highlight w:val="none"/>
        </w:rPr>
      </w:pPr>
    </w:p>
    <w:p w14:paraId="5FAD6CA2">
      <w:pPr>
        <w:rPr>
          <w:color w:val="auto"/>
          <w:highlight w:val="none"/>
        </w:rPr>
      </w:pPr>
    </w:p>
    <w:p w14:paraId="45313B94">
      <w:pPr>
        <w:rPr>
          <w:color w:val="auto"/>
          <w:highlight w:val="none"/>
        </w:rPr>
      </w:pPr>
    </w:p>
    <w:p w14:paraId="059520D1">
      <w:pPr>
        <w:rPr>
          <w:color w:val="auto"/>
          <w:highlight w:val="none"/>
        </w:rPr>
      </w:pPr>
    </w:p>
    <w:p w14:paraId="08A4B901">
      <w:pPr>
        <w:rPr>
          <w:color w:val="auto"/>
          <w:highlight w:val="none"/>
        </w:rPr>
      </w:pPr>
    </w:p>
    <w:p w14:paraId="1B24FFA3">
      <w:pPr>
        <w:rPr>
          <w:color w:val="auto"/>
          <w:highlight w:val="none"/>
        </w:rPr>
      </w:pPr>
    </w:p>
    <w:p w14:paraId="5469E18B">
      <w:pPr>
        <w:rPr>
          <w:color w:val="auto"/>
          <w:highlight w:val="none"/>
        </w:rPr>
      </w:pPr>
    </w:p>
    <w:p w14:paraId="5EA82BB1">
      <w:pPr>
        <w:rPr>
          <w:color w:val="auto"/>
          <w:highlight w:val="none"/>
        </w:rPr>
      </w:pPr>
    </w:p>
    <w:p w14:paraId="1F458969">
      <w:pPr>
        <w:rPr>
          <w:color w:val="auto"/>
          <w:highlight w:val="none"/>
        </w:rPr>
      </w:pPr>
    </w:p>
    <w:p w14:paraId="14DFC2BE">
      <w:pPr>
        <w:rPr>
          <w:color w:val="auto"/>
          <w:highlight w:val="none"/>
        </w:rPr>
      </w:pPr>
    </w:p>
    <w:p w14:paraId="789FAA7D">
      <w:pPr>
        <w:rPr>
          <w:rFonts w:hint="eastAsia"/>
          <w:b/>
          <w:bCs/>
          <w:color w:val="auto"/>
          <w:sz w:val="24"/>
          <w:szCs w:val="24"/>
          <w:highlight w:val="none"/>
        </w:rPr>
      </w:pPr>
      <w:r>
        <w:rPr>
          <w:rFonts w:hint="eastAsia"/>
          <w:b/>
          <w:bCs/>
          <w:color w:val="auto"/>
          <w:sz w:val="24"/>
          <w:szCs w:val="24"/>
          <w:highlight w:val="none"/>
        </w:rPr>
        <w:br w:type="page"/>
      </w:r>
    </w:p>
    <w:p w14:paraId="0C26FE70">
      <w:pPr>
        <w:pStyle w:val="3"/>
        <w:rPr>
          <w:rFonts w:hint="eastAsia"/>
          <w:b/>
          <w:bCs/>
          <w:color w:val="auto"/>
          <w:sz w:val="24"/>
          <w:szCs w:val="24"/>
          <w:highlight w:val="none"/>
        </w:rPr>
      </w:pPr>
      <w:r>
        <w:rPr>
          <w:rFonts w:hint="eastAsia"/>
          <w:b/>
          <w:bCs/>
          <w:color w:val="auto"/>
          <w:sz w:val="24"/>
          <w:szCs w:val="24"/>
          <w:highlight w:val="none"/>
        </w:rPr>
        <w:t>附件十</w:t>
      </w:r>
      <w:r>
        <w:rPr>
          <w:rFonts w:hint="eastAsia"/>
          <w:b/>
          <w:bCs/>
          <w:color w:val="auto"/>
          <w:sz w:val="24"/>
          <w:szCs w:val="24"/>
          <w:highlight w:val="none"/>
          <w:lang w:val="en-US" w:eastAsia="zh-CN"/>
        </w:rPr>
        <w:t>二</w:t>
      </w:r>
      <w:r>
        <w:rPr>
          <w:rFonts w:hint="eastAsia"/>
          <w:b/>
          <w:bCs/>
          <w:color w:val="auto"/>
          <w:sz w:val="24"/>
          <w:szCs w:val="24"/>
          <w:highlight w:val="none"/>
        </w:rPr>
        <w:t>、无重大违法记录声明格式</w:t>
      </w:r>
      <w:bookmarkEnd w:id="34"/>
      <w:bookmarkEnd w:id="35"/>
    </w:p>
    <w:p w14:paraId="0A3D97DA">
      <w:pPr>
        <w:spacing w:line="240" w:lineRule="atLeast"/>
        <w:jc w:val="center"/>
        <w:rPr>
          <w:rFonts w:ascii="黑体" w:eastAsia="黑体"/>
          <w:color w:val="auto"/>
          <w:sz w:val="28"/>
          <w:szCs w:val="36"/>
          <w:highlight w:val="none"/>
        </w:rPr>
      </w:pPr>
    </w:p>
    <w:p w14:paraId="50EE8DF2">
      <w:pPr>
        <w:spacing w:line="240" w:lineRule="atLeast"/>
        <w:jc w:val="center"/>
        <w:rPr>
          <w:rFonts w:ascii="宋体" w:hAnsi="宋体"/>
          <w:b/>
          <w:bCs/>
          <w:color w:val="auto"/>
          <w:sz w:val="30"/>
          <w:szCs w:val="30"/>
          <w:highlight w:val="none"/>
        </w:rPr>
      </w:pPr>
      <w:r>
        <w:rPr>
          <w:rFonts w:hint="eastAsia" w:ascii="宋体" w:hAnsi="宋体"/>
          <w:b/>
          <w:bCs/>
          <w:color w:val="auto"/>
          <w:sz w:val="30"/>
          <w:szCs w:val="30"/>
          <w:highlight w:val="none"/>
        </w:rPr>
        <w:t>无重大违法记录声明</w:t>
      </w:r>
    </w:p>
    <w:p w14:paraId="62AD5170">
      <w:pPr>
        <w:spacing w:line="360" w:lineRule="auto"/>
        <w:rPr>
          <w:rFonts w:ascii="黑体" w:eastAsia="黑体"/>
          <w:color w:val="auto"/>
          <w:highlight w:val="none"/>
        </w:rPr>
      </w:pPr>
    </w:p>
    <w:p w14:paraId="565304CC">
      <w:pPr>
        <w:spacing w:line="360" w:lineRule="auto"/>
        <w:ind w:firstLine="482" w:firstLineChars="200"/>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致：</w:t>
      </w:r>
      <w:r>
        <w:rPr>
          <w:rFonts w:hint="eastAsia" w:ascii="宋体" w:hAnsi="宋体"/>
          <w:b/>
          <w:bCs/>
          <w:color w:val="auto"/>
          <w:kern w:val="0"/>
          <w:sz w:val="24"/>
          <w:szCs w:val="24"/>
          <w:highlight w:val="none"/>
          <w:u w:val="single"/>
          <w:lang w:eastAsia="zh-CN"/>
        </w:rPr>
        <w:t>南京市城市道路管理中心</w:t>
      </w:r>
    </w:p>
    <w:p w14:paraId="5BB7D53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我单位（投标人名称）郑重声明：</w:t>
      </w:r>
    </w:p>
    <w:p w14:paraId="542B665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参加政府采购活动前3年内在经营活动中（在下划线上如实填写：有或没有）重大违法记录。</w:t>
      </w:r>
    </w:p>
    <w:p w14:paraId="265570BE">
      <w:pPr>
        <w:spacing w:line="360"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（说明：政府采购法第二十二条第一款第五项所称重大违法记录，是指投标人因违法经营受到刑事处罚或者责令停产停业、吊销许可证或者执照、较大数额罚款等行政处罚。）</w:t>
      </w:r>
    </w:p>
    <w:p w14:paraId="545C675D">
      <w:pPr>
        <w:spacing w:line="360" w:lineRule="auto"/>
        <w:rPr>
          <w:rFonts w:ascii="宋体" w:hAnsi="宋体"/>
          <w:color w:val="auto"/>
          <w:sz w:val="24"/>
          <w:szCs w:val="24"/>
          <w:highlight w:val="none"/>
        </w:rPr>
      </w:pPr>
    </w:p>
    <w:p w14:paraId="75AEB3EB">
      <w:pPr>
        <w:spacing w:line="360" w:lineRule="auto"/>
        <w:rPr>
          <w:rFonts w:ascii="宋体" w:hAnsi="宋体"/>
          <w:color w:val="auto"/>
          <w:sz w:val="24"/>
          <w:szCs w:val="24"/>
          <w:highlight w:val="none"/>
        </w:rPr>
      </w:pPr>
    </w:p>
    <w:p w14:paraId="3A9F0E93">
      <w:pPr>
        <w:spacing w:line="360" w:lineRule="auto"/>
        <w:ind w:firstLine="4800" w:firstLineChars="2000"/>
        <w:rPr>
          <w:rFonts w:ascii="宋体" w:hAnsi="宋体"/>
          <w:color w:val="auto"/>
          <w:sz w:val="24"/>
          <w:szCs w:val="24"/>
          <w:highlight w:val="none"/>
        </w:rPr>
      </w:pPr>
      <w:r>
        <w:rPr>
          <w:rFonts w:hint="eastAsia" w:ascii="宋体" w:hAnsi="宋体"/>
          <w:color w:val="auto"/>
          <w:sz w:val="24"/>
          <w:szCs w:val="24"/>
          <w:highlight w:val="none"/>
        </w:rPr>
        <w:t>声明人： （公章）</w:t>
      </w:r>
    </w:p>
    <w:p w14:paraId="04ADD05A">
      <w:pPr>
        <w:autoSpaceDE w:val="0"/>
        <w:autoSpaceDN w:val="0"/>
        <w:adjustRightInd w:val="0"/>
        <w:spacing w:line="360" w:lineRule="auto"/>
        <w:ind w:firstLine="4800" w:firstLineChars="2000"/>
        <w:rPr>
          <w:rFonts w:ascii="宋体" w:hAnsi="宋体"/>
          <w:color w:val="auto"/>
          <w:sz w:val="24"/>
          <w:szCs w:val="24"/>
          <w:highlight w:val="none"/>
          <w:lang w:val="zh-CN"/>
        </w:rPr>
      </w:pPr>
      <w:r>
        <w:rPr>
          <w:rFonts w:hint="eastAsia" w:ascii="宋体" w:hAnsi="宋体"/>
          <w:color w:val="auto"/>
          <w:sz w:val="24"/>
          <w:szCs w:val="24"/>
          <w:highlight w:val="none"/>
          <w:lang w:val="zh-CN"/>
        </w:rPr>
        <w:t>日</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 xml:space="preserve">期： </w:t>
      </w:r>
      <w:r>
        <w:rPr>
          <w:rFonts w:ascii="宋体" w:hAnsi="宋体"/>
          <w:color w:val="auto"/>
          <w:sz w:val="24"/>
          <w:szCs w:val="24"/>
          <w:highlight w:val="none"/>
          <w:lang w:val="zh-CN"/>
        </w:rPr>
        <w:t xml:space="preserve">   </w:t>
      </w:r>
      <w:r>
        <w:rPr>
          <w:rFonts w:hint="eastAsia" w:ascii="宋体" w:hAnsi="宋体"/>
          <w:color w:val="auto"/>
          <w:sz w:val="24"/>
          <w:szCs w:val="24"/>
          <w:highlight w:val="none"/>
          <w:lang w:val="zh-CN"/>
        </w:rPr>
        <w:t xml:space="preserve">年 </w:t>
      </w:r>
      <w:r>
        <w:rPr>
          <w:rFonts w:ascii="宋体" w:hAnsi="宋体"/>
          <w:color w:val="auto"/>
          <w:sz w:val="24"/>
          <w:szCs w:val="24"/>
          <w:highlight w:val="none"/>
          <w:lang w:val="zh-CN"/>
        </w:rPr>
        <w:t xml:space="preserve">  </w:t>
      </w:r>
      <w:r>
        <w:rPr>
          <w:rFonts w:hint="eastAsia" w:ascii="宋体" w:hAnsi="宋体"/>
          <w:color w:val="auto"/>
          <w:sz w:val="24"/>
          <w:szCs w:val="24"/>
          <w:highlight w:val="none"/>
          <w:lang w:val="zh-CN"/>
        </w:rPr>
        <w:t xml:space="preserve">月 </w:t>
      </w:r>
      <w:r>
        <w:rPr>
          <w:rFonts w:ascii="宋体" w:hAnsi="宋体"/>
          <w:color w:val="auto"/>
          <w:sz w:val="24"/>
          <w:szCs w:val="24"/>
          <w:highlight w:val="none"/>
          <w:lang w:val="zh-CN"/>
        </w:rPr>
        <w:t xml:space="preserve"> </w:t>
      </w:r>
      <w:r>
        <w:rPr>
          <w:rFonts w:hint="eastAsia" w:ascii="宋体" w:hAnsi="宋体"/>
          <w:color w:val="auto"/>
          <w:sz w:val="24"/>
          <w:szCs w:val="24"/>
          <w:highlight w:val="none"/>
          <w:lang w:val="zh-CN"/>
        </w:rPr>
        <w:t>日</w:t>
      </w:r>
    </w:p>
    <w:p w14:paraId="479C4CC2">
      <w:pPr>
        <w:autoSpaceDE w:val="0"/>
        <w:autoSpaceDN w:val="0"/>
        <w:adjustRightInd w:val="0"/>
        <w:spacing w:line="360" w:lineRule="auto"/>
        <w:rPr>
          <w:rFonts w:ascii="宋体" w:hAnsi="宋体"/>
          <w:color w:val="auto"/>
          <w:highlight w:val="none"/>
          <w:lang w:val="zh-CN"/>
        </w:rPr>
      </w:pPr>
    </w:p>
    <w:p w14:paraId="7B6A801A">
      <w:pPr>
        <w:autoSpaceDE w:val="0"/>
        <w:autoSpaceDN w:val="0"/>
        <w:adjustRightInd w:val="0"/>
        <w:spacing w:line="360" w:lineRule="auto"/>
        <w:rPr>
          <w:rFonts w:ascii="宋体" w:hAnsi="宋体"/>
          <w:color w:val="auto"/>
          <w:highlight w:val="none"/>
          <w:lang w:val="zh-CN"/>
        </w:rPr>
      </w:pPr>
    </w:p>
    <w:p w14:paraId="2FDF4BC7">
      <w:pPr>
        <w:autoSpaceDE w:val="0"/>
        <w:autoSpaceDN w:val="0"/>
        <w:adjustRightInd w:val="0"/>
        <w:spacing w:line="360" w:lineRule="auto"/>
        <w:rPr>
          <w:rFonts w:ascii="宋体" w:hAnsi="宋体"/>
          <w:color w:val="auto"/>
          <w:highlight w:val="none"/>
          <w:lang w:val="zh-CN"/>
        </w:rPr>
      </w:pPr>
    </w:p>
    <w:p w14:paraId="6A630EC2">
      <w:pPr>
        <w:autoSpaceDE w:val="0"/>
        <w:autoSpaceDN w:val="0"/>
        <w:adjustRightInd w:val="0"/>
        <w:spacing w:line="360" w:lineRule="auto"/>
        <w:rPr>
          <w:rFonts w:ascii="宋体" w:hAnsi="宋体"/>
          <w:color w:val="auto"/>
          <w:highlight w:val="none"/>
          <w:lang w:val="zh-CN"/>
        </w:rPr>
      </w:pPr>
    </w:p>
    <w:p w14:paraId="6DC4DD1F">
      <w:pPr>
        <w:autoSpaceDE w:val="0"/>
        <w:autoSpaceDN w:val="0"/>
        <w:adjustRightInd w:val="0"/>
        <w:spacing w:line="360" w:lineRule="auto"/>
        <w:rPr>
          <w:rFonts w:ascii="宋体" w:hAnsi="宋体"/>
          <w:color w:val="auto"/>
          <w:highlight w:val="none"/>
          <w:lang w:val="zh-CN"/>
        </w:rPr>
      </w:pPr>
    </w:p>
    <w:p w14:paraId="3DC5AA6D">
      <w:pPr>
        <w:autoSpaceDE w:val="0"/>
        <w:autoSpaceDN w:val="0"/>
        <w:adjustRightInd w:val="0"/>
        <w:spacing w:line="360" w:lineRule="auto"/>
        <w:rPr>
          <w:rFonts w:ascii="宋体" w:hAnsi="宋体"/>
          <w:color w:val="auto"/>
          <w:highlight w:val="none"/>
          <w:lang w:val="zh-CN"/>
        </w:rPr>
      </w:pPr>
    </w:p>
    <w:p w14:paraId="7DCFC64F">
      <w:pPr>
        <w:autoSpaceDE w:val="0"/>
        <w:autoSpaceDN w:val="0"/>
        <w:adjustRightInd w:val="0"/>
        <w:spacing w:line="360" w:lineRule="auto"/>
        <w:rPr>
          <w:rFonts w:ascii="宋体" w:hAnsi="宋体"/>
          <w:color w:val="auto"/>
          <w:highlight w:val="none"/>
          <w:lang w:val="zh-CN"/>
        </w:rPr>
      </w:pPr>
    </w:p>
    <w:p w14:paraId="124FF5EE">
      <w:pPr>
        <w:autoSpaceDE w:val="0"/>
        <w:autoSpaceDN w:val="0"/>
        <w:adjustRightInd w:val="0"/>
        <w:spacing w:line="360" w:lineRule="auto"/>
        <w:rPr>
          <w:rFonts w:ascii="宋体" w:hAnsi="宋体"/>
          <w:color w:val="auto"/>
          <w:highlight w:val="none"/>
          <w:lang w:val="zh-CN"/>
        </w:rPr>
      </w:pPr>
    </w:p>
    <w:p w14:paraId="798A8E7F">
      <w:pPr>
        <w:autoSpaceDE w:val="0"/>
        <w:autoSpaceDN w:val="0"/>
        <w:adjustRightInd w:val="0"/>
        <w:spacing w:line="360" w:lineRule="auto"/>
        <w:rPr>
          <w:rFonts w:ascii="宋体" w:hAnsi="宋体"/>
          <w:color w:val="auto"/>
          <w:highlight w:val="none"/>
          <w:lang w:val="zh-CN"/>
        </w:rPr>
      </w:pPr>
    </w:p>
    <w:p w14:paraId="3A2863CD">
      <w:pPr>
        <w:autoSpaceDE w:val="0"/>
        <w:autoSpaceDN w:val="0"/>
        <w:adjustRightInd w:val="0"/>
        <w:spacing w:line="360" w:lineRule="auto"/>
        <w:rPr>
          <w:rFonts w:ascii="宋体" w:hAnsi="宋体"/>
          <w:b/>
          <w:color w:val="auto"/>
          <w:highlight w:val="none"/>
        </w:rPr>
      </w:pPr>
    </w:p>
    <w:p w14:paraId="239FAF0A">
      <w:pPr>
        <w:rPr>
          <w:color w:val="auto"/>
          <w:highlight w:val="none"/>
        </w:rPr>
      </w:pPr>
      <w:bookmarkStart w:id="36" w:name="_Toc43917784"/>
      <w:bookmarkStart w:id="37" w:name="_Toc66375437"/>
    </w:p>
    <w:p w14:paraId="6C0BA060">
      <w:pPr>
        <w:rPr>
          <w:color w:val="auto"/>
          <w:highlight w:val="none"/>
        </w:rPr>
      </w:pPr>
    </w:p>
    <w:p w14:paraId="62B128A8">
      <w:pPr>
        <w:rPr>
          <w:color w:val="auto"/>
          <w:highlight w:val="none"/>
        </w:rPr>
      </w:pPr>
    </w:p>
    <w:p w14:paraId="07D9214B">
      <w:pPr>
        <w:rPr>
          <w:color w:val="auto"/>
          <w:highlight w:val="none"/>
        </w:rPr>
      </w:pPr>
    </w:p>
    <w:p w14:paraId="63FC02E0">
      <w:pPr>
        <w:rPr>
          <w:color w:val="auto"/>
          <w:highlight w:val="none"/>
        </w:rPr>
      </w:pPr>
    </w:p>
    <w:p w14:paraId="244AF01D">
      <w:pPr>
        <w:rPr>
          <w:color w:val="auto"/>
          <w:highlight w:val="none"/>
        </w:rPr>
      </w:pPr>
    </w:p>
    <w:p w14:paraId="73EA552D">
      <w:pPr>
        <w:widowControl/>
        <w:adjustRightInd w:val="0"/>
        <w:spacing w:line="240" w:lineRule="atLeast"/>
        <w:rPr>
          <w:rFonts w:ascii="宋体" w:hAnsi="宋体" w:cs="宋体"/>
          <w:b/>
          <w:color w:val="auto"/>
          <w:sz w:val="24"/>
          <w:highlight w:val="none"/>
        </w:rPr>
      </w:pPr>
      <w:r>
        <w:rPr>
          <w:rFonts w:hint="eastAsia"/>
          <w:color w:val="auto"/>
          <w:highlight w:val="none"/>
        </w:rPr>
        <w:br w:type="page"/>
      </w:r>
      <w:r>
        <w:rPr>
          <w:rFonts w:hint="eastAsia" w:ascii="Arial" w:hAnsi="Arial" w:eastAsia="Arial" w:cs="Arial"/>
          <w:b/>
          <w:bCs/>
          <w:color w:val="auto"/>
          <w:sz w:val="24"/>
          <w:szCs w:val="24"/>
          <w:highlight w:val="none"/>
          <w:lang w:val="en-US" w:eastAsia="zh-CN" w:bidi="ar-SA"/>
        </w:rPr>
        <w:t>附件十</w:t>
      </w:r>
      <w:bookmarkEnd w:id="36"/>
      <w:bookmarkEnd w:id="37"/>
      <w:bookmarkStart w:id="38" w:name="_Hlk81315071"/>
      <w:r>
        <w:rPr>
          <w:rFonts w:hint="eastAsia" w:ascii="Arial" w:hAnsi="Arial" w:eastAsia="Arial" w:cs="Arial"/>
          <w:b/>
          <w:bCs/>
          <w:color w:val="auto"/>
          <w:sz w:val="24"/>
          <w:szCs w:val="24"/>
          <w:highlight w:val="none"/>
          <w:lang w:val="en-US" w:eastAsia="zh-CN" w:bidi="ar-SA"/>
        </w:rPr>
        <w:t>三 承诺书</w:t>
      </w:r>
    </w:p>
    <w:p w14:paraId="0DE56BCF">
      <w:pPr>
        <w:widowControl/>
        <w:adjustRightInd w:val="0"/>
        <w:spacing w:line="240" w:lineRule="atLeast"/>
        <w:rPr>
          <w:rFonts w:ascii="宋体" w:hAnsi="宋体" w:cs="宋体"/>
          <w:b/>
          <w:color w:val="auto"/>
          <w:highlight w:val="none"/>
        </w:rPr>
      </w:pPr>
    </w:p>
    <w:p w14:paraId="1568D99A">
      <w:pPr>
        <w:jc w:val="center"/>
        <w:rPr>
          <w:rFonts w:ascii="宋体" w:hAnsi="宋体" w:cs="宋体"/>
          <w:color w:val="auto"/>
          <w:sz w:val="30"/>
          <w:szCs w:val="30"/>
          <w:highlight w:val="none"/>
        </w:rPr>
      </w:pPr>
      <w:r>
        <w:rPr>
          <w:rFonts w:hint="eastAsia" w:ascii="宋体" w:hAnsi="宋体" w:cs="宋体"/>
          <w:b/>
          <w:color w:val="auto"/>
          <w:sz w:val="30"/>
          <w:szCs w:val="30"/>
          <w:highlight w:val="none"/>
        </w:rPr>
        <w:t>承诺书</w:t>
      </w:r>
    </w:p>
    <w:p w14:paraId="30E976F5">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致：</w:t>
      </w:r>
      <w:r>
        <w:rPr>
          <w:rFonts w:hint="eastAsia" w:ascii="宋体" w:hAnsi="宋体"/>
          <w:color w:val="auto"/>
          <w:kern w:val="0"/>
          <w:sz w:val="24"/>
          <w:szCs w:val="24"/>
          <w:highlight w:val="none"/>
          <w:lang w:eastAsia="zh-CN"/>
        </w:rPr>
        <w:t>南京市城市道路管理中心</w:t>
      </w:r>
    </w:p>
    <w:p w14:paraId="17DAC0B6">
      <w:pPr>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24"/>
          <w:highlight w:val="none"/>
        </w:rPr>
      </w:pPr>
      <w:r>
        <w:rPr>
          <w:rFonts w:hint="eastAsia" w:ascii="宋体" w:hAnsi="宋体" w:cs="宋体"/>
          <w:color w:val="auto"/>
          <w:sz w:val="24"/>
          <w:highlight w:val="none"/>
        </w:rPr>
        <w:t xml:space="preserve">    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（投标人名称）郑重声明，不存在下列行为：</w:t>
      </w:r>
    </w:p>
    <w:p w14:paraId="5CEA3136">
      <w:pPr>
        <w:pStyle w:val="3"/>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（1）投标人单位负责人为同一人或者存在直接控股、管理关系的不同投标人，参加同一合同项下的政府采购活动；</w:t>
      </w:r>
    </w:p>
    <w:p w14:paraId="4473FE28">
      <w:pPr>
        <w:pStyle w:val="3"/>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（2）除单一来源采购项目外，为采购项目提供整体设计、规范编制或者项目管理、监理、检测等服务的投标人，参加该采购项目的其他采购活动；</w:t>
      </w:r>
    </w:p>
    <w:p w14:paraId="46E5DE3C">
      <w:pPr>
        <w:pStyle w:val="3"/>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（3）投标人被“信用中国”网站（www.creditchina.gov.cn）、“中国政府采购网”</w:t>
      </w: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rPr>
        <w:t>www.ccgp.gov.cn</w:t>
      </w: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rPr>
        <w:t>列入失信被执行人、重大税收违法失信主体、政府采购严重违法失信行为记录名单；</w:t>
      </w:r>
    </w:p>
    <w:p w14:paraId="248B671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）在全国范围内受过财政部门禁止参加政府采购活动的处罚期限未满的</w:t>
      </w:r>
      <w:r>
        <w:rPr>
          <w:rFonts w:hint="eastAsia" w:ascii="宋体" w:hAnsi="宋体" w:eastAsia="宋体" w:cs="宋体"/>
          <w:color w:val="auto"/>
          <w:sz w:val="24"/>
          <w:szCs w:val="20"/>
          <w:highlight w:val="none"/>
          <w:lang w:val="en-US" w:eastAsia="zh-CN"/>
        </w:rPr>
        <w:t>；</w:t>
      </w:r>
    </w:p>
    <w:p w14:paraId="4F2CC33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）参加本次采购活动</w:t>
      </w:r>
      <w:r>
        <w:rPr>
          <w:rFonts w:hint="eastAsia" w:ascii="宋体" w:hAnsi="宋体"/>
          <w:color w:val="auto"/>
          <w:sz w:val="24"/>
          <w:szCs w:val="24"/>
          <w:highlight w:val="none"/>
        </w:rPr>
        <w:t>不同投标人的委托代理人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或法定代表人、项目负责人等</w:t>
      </w:r>
      <w:r>
        <w:rPr>
          <w:rFonts w:hint="eastAsia" w:ascii="宋体" w:hAnsi="宋体"/>
          <w:color w:val="auto"/>
          <w:sz w:val="24"/>
          <w:szCs w:val="24"/>
          <w:highlight w:val="none"/>
          <w:lang w:eastAsia="zh-CN"/>
        </w:rPr>
        <w:t>）</w:t>
      </w:r>
      <w:r>
        <w:rPr>
          <w:rFonts w:hint="eastAsia" w:ascii="宋体" w:hAnsi="宋体"/>
          <w:color w:val="auto"/>
          <w:sz w:val="24"/>
          <w:szCs w:val="24"/>
          <w:highlight w:val="none"/>
        </w:rPr>
        <w:t>在招标文件发布日上月至投标截止日当月在同一单位缴纳社会保险的</w:t>
      </w:r>
      <w:r>
        <w:rPr>
          <w:rFonts w:hint="eastAsia" w:ascii="宋体" w:hAnsi="宋体" w:cs="宋体"/>
          <w:color w:val="auto"/>
          <w:sz w:val="24"/>
          <w:szCs w:val="20"/>
          <w:highlight w:val="none"/>
          <w:lang w:val="en-US" w:eastAsia="zh-CN"/>
        </w:rPr>
        <w:t>；</w:t>
      </w:r>
    </w:p>
    <w:p w14:paraId="1839640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0"/>
          <w:highlight w:val="none"/>
        </w:rPr>
      </w:pPr>
      <w:r>
        <w:rPr>
          <w:rFonts w:hint="eastAsia" w:ascii="宋体" w:hAnsi="宋体" w:cs="宋体"/>
          <w:color w:val="auto"/>
          <w:sz w:val="24"/>
          <w:szCs w:val="20"/>
          <w:highlight w:val="none"/>
        </w:rPr>
        <w:t>（</w:t>
      </w:r>
      <w:r>
        <w:rPr>
          <w:rFonts w:hint="eastAsia" w:ascii="宋体" w:hAnsi="宋体" w:cs="宋体"/>
          <w:color w:val="auto"/>
          <w:sz w:val="24"/>
          <w:szCs w:val="20"/>
          <w:highlight w:val="none"/>
          <w:lang w:val="en-US" w:eastAsia="zh-CN"/>
        </w:rPr>
        <w:t>6</w:t>
      </w:r>
      <w:r>
        <w:rPr>
          <w:rFonts w:hint="eastAsia" w:ascii="宋体" w:hAnsi="宋体" w:cs="宋体"/>
          <w:color w:val="auto"/>
          <w:sz w:val="24"/>
          <w:szCs w:val="20"/>
          <w:highlight w:val="none"/>
        </w:rPr>
        <w:t>）</w:t>
      </w:r>
      <w:r>
        <w:rPr>
          <w:rFonts w:ascii="宋体" w:hAnsi="宋体" w:cs="宋体"/>
          <w:color w:val="auto"/>
          <w:sz w:val="24"/>
          <w:szCs w:val="20"/>
          <w:highlight w:val="none"/>
        </w:rPr>
        <w:t>参加本次采购活动</w:t>
      </w:r>
      <w:r>
        <w:rPr>
          <w:rFonts w:hint="eastAsia" w:ascii="宋体" w:hAnsi="宋体"/>
          <w:color w:val="auto"/>
          <w:sz w:val="24"/>
          <w:szCs w:val="24"/>
          <w:highlight w:val="none"/>
        </w:rPr>
        <w:t>不同投标人的法定代表人或负责人有夫妻、直系血亲关系的</w:t>
      </w:r>
      <w:r>
        <w:rPr>
          <w:rFonts w:hint="eastAsia" w:ascii="宋体" w:hAnsi="宋体" w:cs="宋体"/>
          <w:color w:val="auto"/>
          <w:sz w:val="24"/>
          <w:szCs w:val="20"/>
          <w:highlight w:val="none"/>
        </w:rPr>
        <w:t>。</w:t>
      </w:r>
    </w:p>
    <w:p w14:paraId="402DC9A7">
      <w:pPr>
        <w:spacing w:line="360" w:lineRule="auto"/>
        <w:ind w:firstLine="480" w:firstLineChars="200"/>
        <w:rPr>
          <w:rFonts w:ascii="宋体" w:hAnsi="宋体" w:cs="宋体"/>
          <w:color w:val="auto"/>
          <w:sz w:val="24"/>
          <w:szCs w:val="20"/>
          <w:highlight w:val="none"/>
        </w:rPr>
      </w:pPr>
    </w:p>
    <w:p w14:paraId="20A3284F">
      <w:pPr>
        <w:spacing w:line="360" w:lineRule="auto"/>
        <w:ind w:firstLine="120" w:firstLineChars="50"/>
        <w:rPr>
          <w:rFonts w:ascii="宋体" w:hAnsi="宋体" w:cs="宋体"/>
          <w:color w:val="auto"/>
          <w:sz w:val="24"/>
          <w:szCs w:val="20"/>
          <w:highlight w:val="none"/>
        </w:rPr>
      </w:pPr>
    </w:p>
    <w:p w14:paraId="539DEB84">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14:paraId="72D374B6">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声明人：（公章）</w:t>
      </w:r>
    </w:p>
    <w:p w14:paraId="758CEE16">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  期：    年    月    日</w:t>
      </w:r>
    </w:p>
    <w:p w14:paraId="33EF1CD6">
      <w:pPr>
        <w:pStyle w:val="53"/>
        <w:ind w:firstLine="400"/>
        <w:rPr>
          <w:color w:val="auto"/>
          <w:highlight w:val="none"/>
        </w:rPr>
      </w:pPr>
    </w:p>
    <w:p w14:paraId="740B8AC2">
      <w:pPr>
        <w:widowControl/>
        <w:adjustRightInd w:val="0"/>
        <w:spacing w:line="240" w:lineRule="atLeast"/>
        <w:rPr>
          <w:rFonts w:ascii="宋体" w:hAnsi="宋体" w:cs="宋体"/>
          <w:b/>
          <w:color w:val="auto"/>
          <w:sz w:val="24"/>
          <w:highlight w:val="none"/>
        </w:rPr>
      </w:pPr>
    </w:p>
    <w:p w14:paraId="0C9928B4">
      <w:pPr>
        <w:widowControl/>
        <w:adjustRightInd w:val="0"/>
        <w:spacing w:line="240" w:lineRule="atLeast"/>
        <w:rPr>
          <w:rFonts w:ascii="宋体" w:hAnsi="宋体" w:cs="宋体"/>
          <w:b/>
          <w:color w:val="auto"/>
          <w:sz w:val="24"/>
          <w:highlight w:val="none"/>
        </w:rPr>
      </w:pPr>
    </w:p>
    <w:p w14:paraId="6CD38115">
      <w:pPr>
        <w:widowControl/>
        <w:adjustRightInd w:val="0"/>
        <w:spacing w:line="240" w:lineRule="atLeast"/>
        <w:rPr>
          <w:rFonts w:ascii="宋体" w:hAnsi="宋体" w:cs="宋体"/>
          <w:b/>
          <w:color w:val="auto"/>
          <w:sz w:val="24"/>
          <w:highlight w:val="none"/>
        </w:rPr>
      </w:pPr>
    </w:p>
    <w:p w14:paraId="64D66D53">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br w:type="page"/>
      </w:r>
      <w:r>
        <w:rPr>
          <w:rFonts w:hint="eastAsia" w:ascii="Arial" w:hAnsi="Arial" w:eastAsia="Arial" w:cs="Arial"/>
          <w:b/>
          <w:bCs/>
          <w:color w:val="auto"/>
          <w:sz w:val="24"/>
          <w:szCs w:val="24"/>
          <w:highlight w:val="none"/>
          <w:lang w:val="en-US" w:eastAsia="zh-CN" w:bidi="ar-SA"/>
        </w:rPr>
        <w:t>附件十四、申请人（投标人）与其他单位存在控股、管理关系</w:t>
      </w:r>
    </w:p>
    <w:p w14:paraId="7BC69683">
      <w:pPr>
        <w:widowControl/>
        <w:adjustRightInd w:val="0"/>
        <w:spacing w:line="240" w:lineRule="atLeast"/>
        <w:rPr>
          <w:rFonts w:ascii="宋体" w:hAnsi="宋体" w:cs="宋体"/>
          <w:b/>
          <w:color w:val="auto"/>
          <w:sz w:val="24"/>
          <w:highlight w:val="none"/>
        </w:rPr>
      </w:pPr>
    </w:p>
    <w:tbl>
      <w:tblPr>
        <w:tblStyle w:val="36"/>
        <w:tblW w:w="0" w:type="auto"/>
        <w:tblInd w:w="0" w:type="dxa"/>
        <w:tblLayout w:type="fixed"/>
        <w:tblCellMar>
          <w:top w:w="0" w:type="dxa"/>
          <w:left w:w="108" w:type="dxa"/>
          <w:bottom w:w="0" w:type="dxa"/>
          <w:right w:w="108" w:type="dxa"/>
        </w:tblCellMar>
      </w:tblPr>
      <w:tblGrid>
        <w:gridCol w:w="1217"/>
        <w:gridCol w:w="4957"/>
        <w:gridCol w:w="3374"/>
      </w:tblGrid>
      <w:tr w14:paraId="712A033F">
        <w:tblPrEx>
          <w:tblCellMar>
            <w:top w:w="0" w:type="dxa"/>
            <w:left w:w="108" w:type="dxa"/>
            <w:bottom w:w="0" w:type="dxa"/>
            <w:right w:w="108" w:type="dxa"/>
          </w:tblCellMar>
        </w:tblPrEx>
        <w:trPr>
          <w:trHeight w:val="572" w:hRule="atLeast"/>
        </w:trPr>
        <w:tc>
          <w:tcPr>
            <w:tcW w:w="121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8ABE56">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4957" w:type="dxa"/>
            <w:tcBorders>
              <w:top w:val="single" w:color="auto" w:sz="4" w:space="0"/>
              <w:left w:val="nil"/>
              <w:bottom w:val="single" w:color="auto" w:sz="4" w:space="0"/>
              <w:right w:val="single" w:color="auto" w:sz="4" w:space="0"/>
            </w:tcBorders>
            <w:shd w:val="clear" w:color="000000" w:fill="FFFFFF"/>
            <w:noWrap w:val="0"/>
            <w:vAlign w:val="center"/>
          </w:tcPr>
          <w:p w14:paraId="11309CB5">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控股、管理申请人/投标人的单位名称</w:t>
            </w:r>
          </w:p>
        </w:tc>
        <w:tc>
          <w:tcPr>
            <w:tcW w:w="3374" w:type="dxa"/>
            <w:tcBorders>
              <w:top w:val="single" w:color="auto" w:sz="4" w:space="0"/>
              <w:left w:val="nil"/>
              <w:bottom w:val="single" w:color="auto" w:sz="4" w:space="0"/>
              <w:right w:val="single" w:color="auto" w:sz="4" w:space="0"/>
            </w:tcBorders>
            <w:shd w:val="clear" w:color="000000" w:fill="FFFFFF"/>
            <w:noWrap w:val="0"/>
            <w:vAlign w:val="center"/>
          </w:tcPr>
          <w:p w14:paraId="7B9E926C">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控股、管理关系情况说明</w:t>
            </w:r>
          </w:p>
        </w:tc>
      </w:tr>
      <w:tr w14:paraId="6A09B011">
        <w:tblPrEx>
          <w:tblCellMar>
            <w:top w:w="0" w:type="dxa"/>
            <w:left w:w="108" w:type="dxa"/>
            <w:bottom w:w="0" w:type="dxa"/>
            <w:right w:w="108" w:type="dxa"/>
          </w:tblCellMar>
        </w:tblPrEx>
        <w:trPr>
          <w:trHeight w:val="549" w:hRule="atLeast"/>
        </w:trPr>
        <w:tc>
          <w:tcPr>
            <w:tcW w:w="1217" w:type="dxa"/>
            <w:tcBorders>
              <w:top w:val="nil"/>
              <w:left w:val="single" w:color="auto" w:sz="4" w:space="0"/>
              <w:bottom w:val="single" w:color="auto" w:sz="4" w:space="0"/>
              <w:right w:val="single" w:color="auto" w:sz="4" w:space="0"/>
            </w:tcBorders>
            <w:shd w:val="clear" w:color="000000" w:fill="FFFFFF"/>
            <w:noWrap w:val="0"/>
            <w:vAlign w:val="center"/>
          </w:tcPr>
          <w:p w14:paraId="2B1198F3">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4957" w:type="dxa"/>
            <w:tcBorders>
              <w:top w:val="nil"/>
              <w:left w:val="nil"/>
              <w:bottom w:val="single" w:color="auto" w:sz="4" w:space="0"/>
              <w:right w:val="single" w:color="auto" w:sz="4" w:space="0"/>
            </w:tcBorders>
            <w:shd w:val="clear" w:color="000000" w:fill="FFFFFF"/>
            <w:noWrap w:val="0"/>
            <w:vAlign w:val="center"/>
          </w:tcPr>
          <w:p w14:paraId="24E629D1">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p>
        </w:tc>
        <w:tc>
          <w:tcPr>
            <w:tcW w:w="3374" w:type="dxa"/>
            <w:tcBorders>
              <w:top w:val="nil"/>
              <w:left w:val="nil"/>
              <w:bottom w:val="single" w:color="auto" w:sz="4" w:space="0"/>
              <w:right w:val="single" w:color="auto" w:sz="4" w:space="0"/>
            </w:tcBorders>
            <w:shd w:val="clear" w:color="000000" w:fill="FFFFFF"/>
            <w:noWrap w:val="0"/>
            <w:vAlign w:val="center"/>
          </w:tcPr>
          <w:p w14:paraId="0254E687">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p>
        </w:tc>
      </w:tr>
      <w:tr w14:paraId="0EC857BA">
        <w:tblPrEx>
          <w:tblCellMar>
            <w:top w:w="0" w:type="dxa"/>
            <w:left w:w="108" w:type="dxa"/>
            <w:bottom w:w="0" w:type="dxa"/>
            <w:right w:w="108" w:type="dxa"/>
          </w:tblCellMar>
        </w:tblPrEx>
        <w:trPr>
          <w:trHeight w:val="549" w:hRule="atLeast"/>
        </w:trPr>
        <w:tc>
          <w:tcPr>
            <w:tcW w:w="1217"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46B9195">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4957" w:type="dxa"/>
            <w:tcBorders>
              <w:top w:val="single" w:color="auto" w:sz="4" w:space="0"/>
              <w:left w:val="nil"/>
              <w:bottom w:val="single" w:color="auto" w:sz="4" w:space="0"/>
              <w:right w:val="single" w:color="auto" w:sz="4" w:space="0"/>
            </w:tcBorders>
            <w:shd w:val="clear" w:color="000000" w:fill="FFFFFF"/>
            <w:noWrap w:val="0"/>
            <w:vAlign w:val="center"/>
          </w:tcPr>
          <w:p w14:paraId="0AE8AC80">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p>
        </w:tc>
        <w:tc>
          <w:tcPr>
            <w:tcW w:w="3374" w:type="dxa"/>
            <w:tcBorders>
              <w:top w:val="single" w:color="auto" w:sz="4" w:space="0"/>
              <w:left w:val="nil"/>
              <w:bottom w:val="single" w:color="auto" w:sz="4" w:space="0"/>
              <w:right w:val="single" w:color="auto" w:sz="4" w:space="0"/>
            </w:tcBorders>
            <w:shd w:val="clear" w:color="000000" w:fill="FFFFFF"/>
            <w:noWrap w:val="0"/>
            <w:vAlign w:val="center"/>
          </w:tcPr>
          <w:p w14:paraId="096D9B8F">
            <w:pPr>
              <w:keepNext w:val="0"/>
              <w:keepLines w:val="0"/>
              <w:widowControl/>
              <w:suppressLineNumbers w:val="0"/>
              <w:spacing w:before="0" w:beforeAutospacing="0" w:after="0" w:afterAutospacing="0"/>
              <w:ind w:left="0" w:right="0"/>
              <w:jc w:val="center"/>
              <w:rPr>
                <w:rFonts w:ascii="宋体" w:hAnsi="宋体" w:cs="宋体"/>
                <w:color w:val="auto"/>
                <w:kern w:val="0"/>
                <w:sz w:val="24"/>
                <w:szCs w:val="24"/>
                <w:highlight w:val="none"/>
              </w:rPr>
            </w:pPr>
          </w:p>
        </w:tc>
      </w:tr>
    </w:tbl>
    <w:p w14:paraId="76D5D192">
      <w:pPr>
        <w:pStyle w:val="20"/>
        <w:adjustRightInd w:val="0"/>
        <w:snapToGrid w:val="0"/>
        <w:spacing w:line="360" w:lineRule="auto"/>
        <w:outlineLvl w:val="0"/>
        <w:rPr>
          <w:rFonts w:hAnsi="宋体" w:cs="宋体"/>
          <w:b/>
          <w:bCs/>
          <w:color w:val="auto"/>
          <w:sz w:val="24"/>
          <w:szCs w:val="24"/>
          <w:highlight w:val="none"/>
        </w:rPr>
      </w:pPr>
      <w:r>
        <w:rPr>
          <w:rFonts w:hint="eastAsia" w:hAnsi="宋体" w:cs="宋体"/>
          <w:b/>
          <w:bCs/>
          <w:color w:val="auto"/>
          <w:sz w:val="24"/>
          <w:szCs w:val="24"/>
          <w:highlight w:val="none"/>
        </w:rPr>
        <w:t>注：</w:t>
      </w:r>
    </w:p>
    <w:p w14:paraId="3621F6D1">
      <w:pPr>
        <w:pStyle w:val="20"/>
        <w:adjustRightInd w:val="0"/>
        <w:snapToGrid w:val="0"/>
        <w:spacing w:line="360" w:lineRule="auto"/>
        <w:outlineLvl w:val="0"/>
        <w:rPr>
          <w:rFonts w:hAnsi="宋体" w:cs="宋体"/>
          <w:b/>
          <w:bCs/>
          <w:color w:val="auto"/>
          <w:sz w:val="24"/>
          <w:szCs w:val="24"/>
          <w:highlight w:val="none"/>
        </w:rPr>
      </w:pPr>
      <w:r>
        <w:rPr>
          <w:rFonts w:hint="eastAsia" w:hAnsi="宋体" w:cs="宋体"/>
          <w:b/>
          <w:bCs/>
          <w:color w:val="auto"/>
          <w:sz w:val="24"/>
          <w:szCs w:val="24"/>
          <w:highlight w:val="none"/>
        </w:rPr>
        <w:t>①行数不够，可自行增加；</w:t>
      </w:r>
    </w:p>
    <w:p w14:paraId="15FD765B">
      <w:pPr>
        <w:pStyle w:val="20"/>
        <w:adjustRightInd w:val="0"/>
        <w:snapToGrid w:val="0"/>
        <w:spacing w:line="360" w:lineRule="auto"/>
        <w:outlineLvl w:val="0"/>
        <w:rPr>
          <w:rFonts w:hAnsi="宋体" w:cs="宋体"/>
          <w:b/>
          <w:bCs/>
          <w:color w:val="auto"/>
          <w:sz w:val="24"/>
          <w:szCs w:val="24"/>
          <w:highlight w:val="none"/>
        </w:rPr>
      </w:pPr>
      <w:r>
        <w:rPr>
          <w:rFonts w:hint="eastAsia" w:hAnsi="宋体" w:cs="宋体"/>
          <w:b/>
          <w:bCs/>
          <w:color w:val="auto"/>
          <w:sz w:val="24"/>
          <w:szCs w:val="24"/>
          <w:highlight w:val="none"/>
        </w:rPr>
        <w:t>②本表后附相关网页证明截图（如有）；</w:t>
      </w:r>
    </w:p>
    <w:p w14:paraId="73368DEE">
      <w:pPr>
        <w:pStyle w:val="20"/>
        <w:adjustRightInd w:val="0"/>
        <w:snapToGrid w:val="0"/>
        <w:spacing w:line="360" w:lineRule="auto"/>
        <w:outlineLvl w:val="0"/>
        <w:rPr>
          <w:rFonts w:hAnsi="宋体" w:cs="宋体"/>
          <w:b/>
          <w:bCs/>
          <w:color w:val="auto"/>
          <w:sz w:val="24"/>
          <w:szCs w:val="24"/>
          <w:highlight w:val="none"/>
        </w:rPr>
      </w:pPr>
      <w:r>
        <w:rPr>
          <w:rFonts w:hint="eastAsia" w:hAnsi="宋体" w:cs="宋体"/>
          <w:b/>
          <w:bCs/>
          <w:color w:val="auto"/>
          <w:sz w:val="24"/>
          <w:szCs w:val="24"/>
          <w:highlight w:val="none"/>
        </w:rPr>
        <w:t>②投标人须如实填写，如有不符，须自行承担后果。</w:t>
      </w:r>
    </w:p>
    <w:p w14:paraId="1B4D72A8">
      <w:pPr>
        <w:spacing w:line="400" w:lineRule="exact"/>
        <w:jc w:val="center"/>
        <w:rPr>
          <w:b/>
          <w:color w:val="auto"/>
          <w:sz w:val="28"/>
          <w:szCs w:val="28"/>
          <w:highlight w:val="none"/>
        </w:rPr>
      </w:pPr>
    </w:p>
    <w:p w14:paraId="5DB129FF">
      <w:pPr>
        <w:widowControl/>
        <w:adjustRightInd w:val="0"/>
        <w:spacing w:line="240" w:lineRule="atLeast"/>
        <w:rPr>
          <w:rFonts w:ascii="宋体" w:hAnsi="宋体" w:cs="宋体"/>
          <w:b/>
          <w:color w:val="auto"/>
          <w:sz w:val="24"/>
          <w:highlight w:val="none"/>
        </w:rPr>
      </w:pPr>
    </w:p>
    <w:p w14:paraId="4D073FCB">
      <w:pPr>
        <w:spacing w:line="400" w:lineRule="exact"/>
        <w:jc w:val="center"/>
        <w:rPr>
          <w:b/>
          <w:color w:val="auto"/>
          <w:sz w:val="28"/>
          <w:szCs w:val="28"/>
          <w:highlight w:val="none"/>
        </w:rPr>
      </w:pPr>
    </w:p>
    <w:p w14:paraId="02FD8586">
      <w:pPr>
        <w:pStyle w:val="3"/>
        <w:spacing w:line="276" w:lineRule="auto"/>
        <w:rPr>
          <w:rFonts w:cs="宋体"/>
          <w:color w:val="auto"/>
          <w:kern w:val="0"/>
          <w:sz w:val="24"/>
          <w:highlight w:val="none"/>
          <w:lang w:val="zh-CN"/>
        </w:rPr>
      </w:pPr>
    </w:p>
    <w:p w14:paraId="630E7D7E">
      <w:pPr>
        <w:pStyle w:val="3"/>
        <w:rPr>
          <w:rFonts w:hint="eastAsia"/>
          <w:color w:val="auto"/>
          <w:highlight w:val="none"/>
        </w:rPr>
      </w:pPr>
    </w:p>
    <w:p w14:paraId="1341ACF0">
      <w:pPr>
        <w:pStyle w:val="3"/>
        <w:rPr>
          <w:rFonts w:hint="eastAsia" w:ascii="宋体" w:hAnsi="宋体" w:eastAsia="宋体" w:cs="宋体"/>
          <w:color w:val="auto"/>
          <w:sz w:val="24"/>
          <w:szCs w:val="24"/>
          <w:highlight w:val="none"/>
        </w:rPr>
      </w:pPr>
      <w:r>
        <w:rPr>
          <w:rFonts w:hint="eastAsia" w:ascii="宋体" w:hAnsi="宋体"/>
          <w:b w:val="0"/>
          <w:bCs w:val="0"/>
          <w:color w:val="auto"/>
          <w:sz w:val="28"/>
          <w:szCs w:val="28"/>
          <w:highlight w:val="none"/>
        </w:rPr>
        <w:br w:type="page"/>
      </w:r>
      <w:r>
        <w:rPr>
          <w:rFonts w:hint="eastAsia"/>
          <w:b/>
          <w:bCs/>
          <w:color w:val="auto"/>
          <w:sz w:val="24"/>
          <w:szCs w:val="24"/>
          <w:highlight w:val="none"/>
        </w:rPr>
        <w:t>附件十</w:t>
      </w:r>
      <w:r>
        <w:rPr>
          <w:rFonts w:hint="eastAsia"/>
          <w:b/>
          <w:bCs/>
          <w:color w:val="auto"/>
          <w:sz w:val="24"/>
          <w:szCs w:val="24"/>
          <w:highlight w:val="none"/>
          <w:lang w:val="en-US" w:eastAsia="zh-CN"/>
        </w:rPr>
        <w:t>五</w:t>
      </w:r>
      <w:r>
        <w:rPr>
          <w:rFonts w:hint="eastAsia"/>
          <w:b/>
          <w:bCs/>
          <w:color w:val="auto"/>
          <w:sz w:val="24"/>
          <w:szCs w:val="24"/>
          <w:highlight w:val="none"/>
        </w:rPr>
        <w:t>、其他资料</w:t>
      </w:r>
    </w:p>
    <w:p w14:paraId="0AA60701">
      <w:pPr>
        <w:jc w:val="center"/>
        <w:rPr>
          <w:rFonts w:hint="eastAsia"/>
          <w:b/>
          <w:bCs/>
          <w:color w:val="auto"/>
          <w:sz w:val="30"/>
          <w:szCs w:val="30"/>
          <w:highlight w:val="none"/>
        </w:rPr>
      </w:pPr>
      <w:r>
        <w:rPr>
          <w:rFonts w:hint="eastAsia" w:ascii="宋体" w:hAnsi="宋体" w:eastAsia="宋体" w:cs="宋体"/>
          <w:b/>
          <w:bCs/>
          <w:color w:val="auto"/>
          <w:sz w:val="30"/>
          <w:szCs w:val="30"/>
          <w:highlight w:val="none"/>
        </w:rPr>
        <w:t>其他资料</w:t>
      </w:r>
    </w:p>
    <w:p w14:paraId="52FF0E7A">
      <w:pPr>
        <w:rPr>
          <w:rFonts w:hint="eastAsia"/>
          <w:color w:val="auto"/>
          <w:sz w:val="24"/>
          <w:szCs w:val="24"/>
          <w:highlight w:val="none"/>
        </w:rPr>
      </w:pPr>
    </w:p>
    <w:p w14:paraId="01B6019E">
      <w:pPr>
        <w:rPr>
          <w:color w:val="auto"/>
          <w:highlight w:val="none"/>
        </w:rPr>
      </w:pPr>
      <w:r>
        <w:rPr>
          <w:rFonts w:hint="eastAsia" w:ascii="宋体" w:hAnsi="宋体" w:eastAsia="宋体" w:cs="宋体"/>
          <w:color w:val="auto"/>
          <w:sz w:val="24"/>
          <w:szCs w:val="24"/>
          <w:highlight w:val="none"/>
        </w:rPr>
        <w:t>（请根据</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第三章 评标办法和标准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提供相应的证明文件，或其他应提供的资料）</w:t>
      </w:r>
    </w:p>
    <w:p w14:paraId="5DF7AB4F">
      <w:pPr>
        <w:rPr>
          <w:color w:val="auto"/>
          <w:highlight w:val="none"/>
        </w:rPr>
      </w:pPr>
    </w:p>
    <w:p w14:paraId="69537661">
      <w:pPr>
        <w:rPr>
          <w:color w:val="auto"/>
          <w:highlight w:val="none"/>
        </w:rPr>
      </w:pPr>
    </w:p>
    <w:p w14:paraId="625D198B">
      <w:pPr>
        <w:rPr>
          <w:color w:val="auto"/>
          <w:highlight w:val="none"/>
        </w:rPr>
      </w:pPr>
    </w:p>
    <w:p w14:paraId="727D9049">
      <w:pPr>
        <w:rPr>
          <w:color w:val="auto"/>
          <w:highlight w:val="none"/>
        </w:rPr>
      </w:pPr>
    </w:p>
    <w:bookmarkEnd w:id="38"/>
    <w:p w14:paraId="645C5CB3">
      <w:pPr>
        <w:pStyle w:val="2"/>
        <w:spacing w:before="240" w:after="240" w:line="276" w:lineRule="auto"/>
        <w:rPr>
          <w:color w:val="auto"/>
          <w:highlight w:val="none"/>
          <w:lang w:val="zh-CN"/>
        </w:rPr>
      </w:pPr>
    </w:p>
    <w:p w14:paraId="5C003D2C">
      <w:pPr>
        <w:rPr>
          <w:color w:val="auto"/>
          <w:highlight w:val="none"/>
        </w:rPr>
      </w:pPr>
    </w:p>
    <w:p w14:paraId="066285BB">
      <w:pPr>
        <w:rPr>
          <w:rFonts w:hint="eastAsia"/>
          <w:color w:val="auto"/>
          <w:highlight w:val="none"/>
        </w:rPr>
      </w:pPr>
    </w:p>
    <w:p w14:paraId="4F696BDC">
      <w:pPr>
        <w:rPr>
          <w:rFonts w:hint="eastAsia"/>
          <w:color w:val="auto"/>
          <w:highlight w:val="none"/>
        </w:rPr>
      </w:pPr>
    </w:p>
    <w:p w14:paraId="1C6A32ED">
      <w:pPr>
        <w:pStyle w:val="2"/>
        <w:spacing w:before="240" w:after="240" w:line="276" w:lineRule="auto"/>
        <w:jc w:val="center"/>
        <w:rPr>
          <w:color w:val="auto"/>
          <w:highlight w:val="none"/>
          <w:lang w:val="zh-CN"/>
        </w:rPr>
      </w:pPr>
    </w:p>
    <w:sectPr>
      <w:headerReference r:id="rId8" w:type="default"/>
      <w:footerReference r:id="rId9" w:type="default"/>
      <w:pgSz w:w="11906" w:h="16838"/>
      <w:pgMar w:top="1440" w:right="1134" w:bottom="1440" w:left="1440" w:header="851" w:footer="992"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eiti SC Light">
    <w:altName w:val="微软雅黑"/>
    <w:panose1 w:val="00000000000000000000"/>
    <w:charset w:val="50"/>
    <w:family w:val="auto"/>
    <w:pitch w:val="default"/>
    <w:sig w:usb0="00000000" w:usb1="00000000" w:usb2="00000010" w:usb3="00000000" w:csb0="003E0000" w:csb1="00000000"/>
  </w:font>
  <w:font w:name="微软雅黑">
    <w:panose1 w:val="020B0503020204020204"/>
    <w:charset w:val="86"/>
    <w:family w:val="auto"/>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Ari">
    <w:altName w:val="Arial"/>
    <w:panose1 w:val="00000000000000000000"/>
    <w:charset w:val="00"/>
    <w:family w:val="swiss"/>
    <w:pitch w:val="default"/>
    <w:sig w:usb0="00000000" w:usb1="00000000" w:usb2="00000000" w:usb3="00000000" w:csb0="00000001" w:csb1="00000000"/>
  </w:font>
  <w:font w:name="方正黑体_GBK">
    <w:altName w:val="微软雅黑"/>
    <w:panose1 w:val="02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EF9FB">
    <w:pPr>
      <w:pStyle w:val="24"/>
      <w:framePr w:wrap="around" w:vAnchor="text" w:hAnchor="margin" w:xAlign="center" w:y="1"/>
      <w:rPr>
        <w:rStyle w:val="40"/>
      </w:rPr>
    </w:pPr>
    <w:r>
      <w:fldChar w:fldCharType="begin"/>
    </w:r>
    <w:r>
      <w:rPr>
        <w:rStyle w:val="40"/>
      </w:rPr>
      <w:instrText xml:space="preserve">PAGE  </w:instrText>
    </w:r>
    <w:r>
      <w:fldChar w:fldCharType="end"/>
    </w:r>
  </w:p>
  <w:p w14:paraId="41707969">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F5AA3">
    <w:pPr>
      <w:spacing w:line="14" w:lineRule="auto"/>
      <w:rPr>
        <w:sz w:val="20"/>
        <w:szCs w:val="20"/>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A559AF7">
                          <w:pPr>
                            <w:pStyle w:val="24"/>
                          </w:pPr>
                          <w:r>
                            <w:fldChar w:fldCharType="begin"/>
                          </w:r>
                          <w:r>
                            <w:instrText xml:space="preserve"> PAGE  \* MERGEFORMAT </w:instrText>
                          </w:r>
                          <w:r>
                            <w:fldChar w:fldCharType="separate"/>
                          </w:r>
                          <w:r>
                            <w:t>52</w:t>
                          </w:r>
                          <w: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7N1u80BAACn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esk&#10;Tx+woqqHQHVxuPNDKp3iSMHEemjBpi/xYZQncc9XcdUQmUyX1qv1uqSUpNzsEE7xeD0AxrfKW5aM&#10;mgO9XhZVnN5jHEvnktTN+XttDMVFZdxfAcIcIyqvwHQ7MRknTlYc9sNEY++bM7HraQ1q7mjrOTPv&#10;HKmcNmY2YDb2s3EMoA8dDbrMU2K4PUYaKU+aOoywxDA59H6Z67RraUH+9HPV4/+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n7N1u80BAACnAwAADgAAAAAAAAABACAAAAAeAQAAZHJzL2Uy&#10;b0RvYy54bWxQSwUGAAAAAAYABgBZAQAAXQUAAAAA&#10;">
              <v:fill on="f" focussize="0,0"/>
              <v:stroke on="f"/>
              <v:imagedata o:title=""/>
              <o:lock v:ext="edit" aspectratio="f"/>
              <v:textbox inset="0mm,0mm,0mm,0mm" style="mso-fit-shape-to-text:t;">
                <w:txbxContent>
                  <w:p w14:paraId="5A559AF7">
                    <w:pPr>
                      <w:pStyle w:val="24"/>
                    </w:pPr>
                    <w:r>
                      <w:fldChar w:fldCharType="begin"/>
                    </w:r>
                    <w:r>
                      <w:instrText xml:space="preserve"> PAGE  \* MERGEFORMAT </w:instrText>
                    </w:r>
                    <w:r>
                      <w:fldChar w:fldCharType="separate"/>
                    </w:r>
                    <w:r>
                      <w:t>52</w:t>
                    </w:r>
                    <w:r>
                      <w:fldChar w:fldCharType="end"/>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3697605</wp:posOffset>
              </wp:positionH>
              <wp:positionV relativeFrom="page">
                <wp:posOffset>10021570</wp:posOffset>
              </wp:positionV>
              <wp:extent cx="166370" cy="139700"/>
              <wp:effectExtent l="0" t="0" r="0" b="0"/>
              <wp:wrapNone/>
              <wp:docPr id="2" name="文本框 97"/>
              <wp:cNvGraphicFramePr/>
              <a:graphic xmlns:a="http://schemas.openxmlformats.org/drawingml/2006/main">
                <a:graphicData uri="http://schemas.microsoft.com/office/word/2010/wordprocessingShape">
                  <wps:wsp>
                    <wps:cNvSpPr txBox="1"/>
                    <wps:spPr>
                      <a:xfrm>
                        <a:off x="0" y="0"/>
                        <a:ext cx="166370" cy="139700"/>
                      </a:xfrm>
                      <a:prstGeom prst="rect">
                        <a:avLst/>
                      </a:prstGeom>
                      <a:noFill/>
                      <a:ln>
                        <a:noFill/>
                      </a:ln>
                      <a:effectLst/>
                    </wps:spPr>
                    <wps:txbx>
                      <w:txbxContent>
                        <w:p w14:paraId="7018875C">
                          <w:pPr>
                            <w:spacing w:line="204" w:lineRule="exact"/>
                            <w:ind w:left="40"/>
                            <w:rPr>
                              <w:rFonts w:ascii="Times New Roman" w:hAnsi="Times New Roman" w:eastAsia="Times New Roman"/>
                              <w:sz w:val="18"/>
                              <w:szCs w:val="18"/>
                            </w:rPr>
                          </w:pPr>
                        </w:p>
                      </w:txbxContent>
                    </wps:txbx>
                    <wps:bodyPr wrap="square" lIns="0" tIns="0" rIns="0" bIns="0" upright="1"/>
                  </wps:wsp>
                </a:graphicData>
              </a:graphic>
            </wp:anchor>
          </w:drawing>
        </mc:Choice>
        <mc:Fallback>
          <w:pict>
            <v:shape id="文本框 97" o:spid="_x0000_s1026" o:spt="202" type="#_x0000_t202" style="position:absolute;left:0pt;margin-left:291.15pt;margin-top:789.1pt;height:11pt;width:13.1pt;mso-position-horizontal-relative:page;mso-position-vertical-relative:page;z-index:-251657216;mso-width-relative:page;mso-height-relative:page;" filled="f" stroked="f" coordsize="21600,21600" o:gfxdata="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RJXrNoAAAANAQAADwAAAAAAAAABACAAAAAiAAAAZHJz&#10;L2Rvd25yZXYueG1sUEsBAhQAFAAAAAgAh07iQC1BPDrJAQAAjgMAAA4AAAAAAAAAAQAgAAAAKQEA&#10;AGRycy9lMm9Eb2MueG1sUEsFBgAAAAAGAAYAWQEAAGQFAAAAAA==&#10;">
              <v:fill on="f" focussize="0,0"/>
              <v:stroke on="f"/>
              <v:imagedata o:title=""/>
              <o:lock v:ext="edit" aspectratio="f"/>
              <v:textbox inset="0mm,0mm,0mm,0mm">
                <w:txbxContent>
                  <w:p w14:paraId="7018875C">
                    <w:pPr>
                      <w:spacing w:line="204" w:lineRule="exact"/>
                      <w:ind w:left="40"/>
                      <w:rPr>
                        <w:rFonts w:ascii="Times New Roman" w:hAnsi="Times New Roman" w:eastAsia="Times New Roman"/>
                        <w:sz w:val="18"/>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F5391">
    <w:pPr>
      <w:pStyle w:val="256"/>
      <w:tabs>
        <w:tab w:val="right" w:pos="13958"/>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18C0F3">
                          <w:pPr>
                            <w:pStyle w:val="24"/>
                            <w:tabs>
                              <w:tab w:val="center" w:pos="7143"/>
                              <w:tab w:val="right" w:pos="14287"/>
                              <w:tab w:val="clear" w:pos="4153"/>
                              <w:tab w:val="clear" w:pos="8306"/>
                            </w:tabs>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18C0F3">
                    <w:pPr>
                      <w:pStyle w:val="24"/>
                      <w:tabs>
                        <w:tab w:val="center" w:pos="7143"/>
                        <w:tab w:val="right" w:pos="14287"/>
                        <w:tab w:val="clear" w:pos="4153"/>
                        <w:tab w:val="clear" w:pos="8306"/>
                      </w:tabs>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tab/>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4603E">
    <w:pPr>
      <w:pStyle w:val="25"/>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93EF0">
    <w:pPr>
      <w:pStyle w:val="2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2B740">
    <w:pPr>
      <w:pStyle w:val="2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9AFB4">
    <w:pPr>
      <w:spacing w:line="263"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0AE84A"/>
    <w:multiLevelType w:val="singleLevel"/>
    <w:tmpl w:val="F60AE84A"/>
    <w:lvl w:ilvl="0" w:tentative="0">
      <w:start w:val="1"/>
      <w:numFmt w:val="chineseCounting"/>
      <w:suff w:val="nothing"/>
      <w:lvlText w:val="（%1）"/>
      <w:lvlJc w:val="left"/>
      <w:rPr>
        <w:rFonts w:hint="eastAsia"/>
      </w:rPr>
    </w:lvl>
  </w:abstractNum>
  <w:abstractNum w:abstractNumId="1">
    <w:nsid w:val="FED70EB8"/>
    <w:multiLevelType w:val="singleLevel"/>
    <w:tmpl w:val="FED70EB8"/>
    <w:lvl w:ilvl="0" w:tentative="0">
      <w:start w:val="1"/>
      <w:numFmt w:val="decimal"/>
      <w:pStyle w:val="197"/>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removePersonalInformation/>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NkMWRkNjVkMzU2NWY4Y2I1N2U3NWYzM2QwZjMyNDIifQ=="/>
  </w:docVars>
  <w:rsids>
    <w:rsidRoot w:val="00172A27"/>
    <w:rsid w:val="000002AA"/>
    <w:rsid w:val="0000045B"/>
    <w:rsid w:val="0000079C"/>
    <w:rsid w:val="0000214A"/>
    <w:rsid w:val="000022A8"/>
    <w:rsid w:val="0000279E"/>
    <w:rsid w:val="00003059"/>
    <w:rsid w:val="000044C5"/>
    <w:rsid w:val="00006539"/>
    <w:rsid w:val="00006993"/>
    <w:rsid w:val="0000735E"/>
    <w:rsid w:val="00011016"/>
    <w:rsid w:val="00011D1D"/>
    <w:rsid w:val="00011FDD"/>
    <w:rsid w:val="0001264A"/>
    <w:rsid w:val="00013B26"/>
    <w:rsid w:val="00013E79"/>
    <w:rsid w:val="00014CFC"/>
    <w:rsid w:val="00015BB8"/>
    <w:rsid w:val="0001629F"/>
    <w:rsid w:val="00016902"/>
    <w:rsid w:val="00016FEF"/>
    <w:rsid w:val="0001792D"/>
    <w:rsid w:val="00017A5F"/>
    <w:rsid w:val="00020513"/>
    <w:rsid w:val="00020EC3"/>
    <w:rsid w:val="00020FD1"/>
    <w:rsid w:val="00021358"/>
    <w:rsid w:val="00022608"/>
    <w:rsid w:val="0002295B"/>
    <w:rsid w:val="00022AF5"/>
    <w:rsid w:val="00023190"/>
    <w:rsid w:val="0002362D"/>
    <w:rsid w:val="0002450E"/>
    <w:rsid w:val="0002454C"/>
    <w:rsid w:val="00024AAA"/>
    <w:rsid w:val="0002520C"/>
    <w:rsid w:val="0002645D"/>
    <w:rsid w:val="00026DD5"/>
    <w:rsid w:val="00027E4F"/>
    <w:rsid w:val="00030CC4"/>
    <w:rsid w:val="00030E23"/>
    <w:rsid w:val="00030EB4"/>
    <w:rsid w:val="00030F2D"/>
    <w:rsid w:val="00031BB9"/>
    <w:rsid w:val="000325E4"/>
    <w:rsid w:val="000332D0"/>
    <w:rsid w:val="000333E5"/>
    <w:rsid w:val="0003406D"/>
    <w:rsid w:val="00034178"/>
    <w:rsid w:val="00034CBE"/>
    <w:rsid w:val="00034F4D"/>
    <w:rsid w:val="0003531C"/>
    <w:rsid w:val="000409D1"/>
    <w:rsid w:val="00040A85"/>
    <w:rsid w:val="00044B95"/>
    <w:rsid w:val="00044D5D"/>
    <w:rsid w:val="000454CF"/>
    <w:rsid w:val="00045BCE"/>
    <w:rsid w:val="000507E8"/>
    <w:rsid w:val="00050BF8"/>
    <w:rsid w:val="0005202D"/>
    <w:rsid w:val="0005253D"/>
    <w:rsid w:val="000525C5"/>
    <w:rsid w:val="00052F3C"/>
    <w:rsid w:val="0005389A"/>
    <w:rsid w:val="0005483A"/>
    <w:rsid w:val="00055CCC"/>
    <w:rsid w:val="000571F1"/>
    <w:rsid w:val="0005783E"/>
    <w:rsid w:val="00057C66"/>
    <w:rsid w:val="00061261"/>
    <w:rsid w:val="000615FB"/>
    <w:rsid w:val="000616CB"/>
    <w:rsid w:val="00062037"/>
    <w:rsid w:val="000623DA"/>
    <w:rsid w:val="00065942"/>
    <w:rsid w:val="00066D68"/>
    <w:rsid w:val="00066F2C"/>
    <w:rsid w:val="00067328"/>
    <w:rsid w:val="0007044E"/>
    <w:rsid w:val="000705E1"/>
    <w:rsid w:val="00072173"/>
    <w:rsid w:val="00072999"/>
    <w:rsid w:val="00072A25"/>
    <w:rsid w:val="000758F8"/>
    <w:rsid w:val="000759F9"/>
    <w:rsid w:val="000800D7"/>
    <w:rsid w:val="00080A2F"/>
    <w:rsid w:val="00080F95"/>
    <w:rsid w:val="000811C0"/>
    <w:rsid w:val="0008229C"/>
    <w:rsid w:val="0008290F"/>
    <w:rsid w:val="00082F11"/>
    <w:rsid w:val="000830CD"/>
    <w:rsid w:val="00083499"/>
    <w:rsid w:val="00083920"/>
    <w:rsid w:val="00083F12"/>
    <w:rsid w:val="00087441"/>
    <w:rsid w:val="0008746F"/>
    <w:rsid w:val="000874D5"/>
    <w:rsid w:val="00090CC9"/>
    <w:rsid w:val="000912F2"/>
    <w:rsid w:val="00091D7D"/>
    <w:rsid w:val="0009264E"/>
    <w:rsid w:val="000952F6"/>
    <w:rsid w:val="00095D8F"/>
    <w:rsid w:val="0009621A"/>
    <w:rsid w:val="00096D42"/>
    <w:rsid w:val="00097FCE"/>
    <w:rsid w:val="000A0379"/>
    <w:rsid w:val="000A0658"/>
    <w:rsid w:val="000A1849"/>
    <w:rsid w:val="000A2EFE"/>
    <w:rsid w:val="000A32BA"/>
    <w:rsid w:val="000A53F0"/>
    <w:rsid w:val="000A6034"/>
    <w:rsid w:val="000A69DD"/>
    <w:rsid w:val="000A72F2"/>
    <w:rsid w:val="000A7E4E"/>
    <w:rsid w:val="000B0740"/>
    <w:rsid w:val="000B0806"/>
    <w:rsid w:val="000B0D3C"/>
    <w:rsid w:val="000B0F4D"/>
    <w:rsid w:val="000B220F"/>
    <w:rsid w:val="000B2502"/>
    <w:rsid w:val="000B2A11"/>
    <w:rsid w:val="000B2A43"/>
    <w:rsid w:val="000B3306"/>
    <w:rsid w:val="000B3407"/>
    <w:rsid w:val="000B3FA3"/>
    <w:rsid w:val="000B56CB"/>
    <w:rsid w:val="000B6072"/>
    <w:rsid w:val="000C04CA"/>
    <w:rsid w:val="000C09D3"/>
    <w:rsid w:val="000C0EC8"/>
    <w:rsid w:val="000C153F"/>
    <w:rsid w:val="000C30E3"/>
    <w:rsid w:val="000C3285"/>
    <w:rsid w:val="000C3302"/>
    <w:rsid w:val="000C42D0"/>
    <w:rsid w:val="000C5848"/>
    <w:rsid w:val="000C61E1"/>
    <w:rsid w:val="000C6EC4"/>
    <w:rsid w:val="000C72CC"/>
    <w:rsid w:val="000C7491"/>
    <w:rsid w:val="000C7F03"/>
    <w:rsid w:val="000D28B5"/>
    <w:rsid w:val="000D4744"/>
    <w:rsid w:val="000D48C2"/>
    <w:rsid w:val="000D4ADB"/>
    <w:rsid w:val="000D68DD"/>
    <w:rsid w:val="000D70D6"/>
    <w:rsid w:val="000D772D"/>
    <w:rsid w:val="000D7B2E"/>
    <w:rsid w:val="000E1949"/>
    <w:rsid w:val="000E2A22"/>
    <w:rsid w:val="000E33BB"/>
    <w:rsid w:val="000E3B0B"/>
    <w:rsid w:val="000E4C80"/>
    <w:rsid w:val="000E5690"/>
    <w:rsid w:val="000E634B"/>
    <w:rsid w:val="000E65AC"/>
    <w:rsid w:val="000E6611"/>
    <w:rsid w:val="000E70FF"/>
    <w:rsid w:val="000F1AF0"/>
    <w:rsid w:val="000F1CD6"/>
    <w:rsid w:val="000F1F62"/>
    <w:rsid w:val="000F3719"/>
    <w:rsid w:val="000F4006"/>
    <w:rsid w:val="000F408C"/>
    <w:rsid w:val="000F4CCC"/>
    <w:rsid w:val="000F69F1"/>
    <w:rsid w:val="000F73D2"/>
    <w:rsid w:val="000F76A3"/>
    <w:rsid w:val="000F7F5F"/>
    <w:rsid w:val="001006F5"/>
    <w:rsid w:val="00101D0F"/>
    <w:rsid w:val="00102093"/>
    <w:rsid w:val="0010226C"/>
    <w:rsid w:val="00103C3A"/>
    <w:rsid w:val="00104110"/>
    <w:rsid w:val="001044D8"/>
    <w:rsid w:val="0010479B"/>
    <w:rsid w:val="00105956"/>
    <w:rsid w:val="001059C3"/>
    <w:rsid w:val="00112DD4"/>
    <w:rsid w:val="00113A16"/>
    <w:rsid w:val="001158A7"/>
    <w:rsid w:val="001159FD"/>
    <w:rsid w:val="00115D05"/>
    <w:rsid w:val="00116B35"/>
    <w:rsid w:val="00117105"/>
    <w:rsid w:val="00117316"/>
    <w:rsid w:val="00117341"/>
    <w:rsid w:val="00120377"/>
    <w:rsid w:val="0012055D"/>
    <w:rsid w:val="00121907"/>
    <w:rsid w:val="00122058"/>
    <w:rsid w:val="00122991"/>
    <w:rsid w:val="00123135"/>
    <w:rsid w:val="0012361E"/>
    <w:rsid w:val="001237AE"/>
    <w:rsid w:val="00123DE9"/>
    <w:rsid w:val="00124EDE"/>
    <w:rsid w:val="00125D97"/>
    <w:rsid w:val="00126FFA"/>
    <w:rsid w:val="001273D3"/>
    <w:rsid w:val="00130F4C"/>
    <w:rsid w:val="0013120F"/>
    <w:rsid w:val="00131265"/>
    <w:rsid w:val="001313E1"/>
    <w:rsid w:val="00131C94"/>
    <w:rsid w:val="00131E37"/>
    <w:rsid w:val="00131FE5"/>
    <w:rsid w:val="00133202"/>
    <w:rsid w:val="00133346"/>
    <w:rsid w:val="00133F84"/>
    <w:rsid w:val="00134214"/>
    <w:rsid w:val="00134AED"/>
    <w:rsid w:val="00135102"/>
    <w:rsid w:val="00135D8F"/>
    <w:rsid w:val="0013635E"/>
    <w:rsid w:val="001363E8"/>
    <w:rsid w:val="00136C08"/>
    <w:rsid w:val="00137A8A"/>
    <w:rsid w:val="001404F7"/>
    <w:rsid w:val="00141F11"/>
    <w:rsid w:val="00142712"/>
    <w:rsid w:val="00142DDE"/>
    <w:rsid w:val="001433F3"/>
    <w:rsid w:val="0014401E"/>
    <w:rsid w:val="001457B3"/>
    <w:rsid w:val="0014772E"/>
    <w:rsid w:val="00150CAB"/>
    <w:rsid w:val="00151CA9"/>
    <w:rsid w:val="001520CA"/>
    <w:rsid w:val="0015346D"/>
    <w:rsid w:val="001538E9"/>
    <w:rsid w:val="00155188"/>
    <w:rsid w:val="0015561C"/>
    <w:rsid w:val="00155981"/>
    <w:rsid w:val="00155A41"/>
    <w:rsid w:val="00155E06"/>
    <w:rsid w:val="00155E55"/>
    <w:rsid w:val="001566B0"/>
    <w:rsid w:val="0016256A"/>
    <w:rsid w:val="0016276D"/>
    <w:rsid w:val="001631DF"/>
    <w:rsid w:val="0016371D"/>
    <w:rsid w:val="00163A2A"/>
    <w:rsid w:val="00164429"/>
    <w:rsid w:val="00165B9D"/>
    <w:rsid w:val="00166329"/>
    <w:rsid w:val="00166A78"/>
    <w:rsid w:val="00167459"/>
    <w:rsid w:val="00167FA1"/>
    <w:rsid w:val="001715DB"/>
    <w:rsid w:val="00172733"/>
    <w:rsid w:val="00172A27"/>
    <w:rsid w:val="00172D10"/>
    <w:rsid w:val="001733E5"/>
    <w:rsid w:val="00176987"/>
    <w:rsid w:val="001778F5"/>
    <w:rsid w:val="0018078A"/>
    <w:rsid w:val="00180BF9"/>
    <w:rsid w:val="001816F0"/>
    <w:rsid w:val="00181898"/>
    <w:rsid w:val="00181A36"/>
    <w:rsid w:val="00181BEC"/>
    <w:rsid w:val="00182A6E"/>
    <w:rsid w:val="00182B8E"/>
    <w:rsid w:val="00183569"/>
    <w:rsid w:val="00184C23"/>
    <w:rsid w:val="00185808"/>
    <w:rsid w:val="00185AD2"/>
    <w:rsid w:val="001864D7"/>
    <w:rsid w:val="001865A6"/>
    <w:rsid w:val="00192591"/>
    <w:rsid w:val="001928F6"/>
    <w:rsid w:val="00192DAA"/>
    <w:rsid w:val="00193115"/>
    <w:rsid w:val="001938AF"/>
    <w:rsid w:val="00193994"/>
    <w:rsid w:val="00195356"/>
    <w:rsid w:val="001954F1"/>
    <w:rsid w:val="001956D1"/>
    <w:rsid w:val="0019607F"/>
    <w:rsid w:val="00196407"/>
    <w:rsid w:val="00197258"/>
    <w:rsid w:val="00197CD9"/>
    <w:rsid w:val="001A046A"/>
    <w:rsid w:val="001A06C0"/>
    <w:rsid w:val="001A13B4"/>
    <w:rsid w:val="001A1B91"/>
    <w:rsid w:val="001A380E"/>
    <w:rsid w:val="001A4653"/>
    <w:rsid w:val="001A4B2B"/>
    <w:rsid w:val="001A4EA0"/>
    <w:rsid w:val="001A56C9"/>
    <w:rsid w:val="001A58B4"/>
    <w:rsid w:val="001A5989"/>
    <w:rsid w:val="001A59A1"/>
    <w:rsid w:val="001A6AAC"/>
    <w:rsid w:val="001A6C2D"/>
    <w:rsid w:val="001A7DBB"/>
    <w:rsid w:val="001B0A03"/>
    <w:rsid w:val="001B1F44"/>
    <w:rsid w:val="001B242E"/>
    <w:rsid w:val="001B4B12"/>
    <w:rsid w:val="001B4E7A"/>
    <w:rsid w:val="001B4FAF"/>
    <w:rsid w:val="001B5B57"/>
    <w:rsid w:val="001B6403"/>
    <w:rsid w:val="001B6623"/>
    <w:rsid w:val="001B75D3"/>
    <w:rsid w:val="001B7678"/>
    <w:rsid w:val="001B7D44"/>
    <w:rsid w:val="001C12B9"/>
    <w:rsid w:val="001C13BB"/>
    <w:rsid w:val="001C1600"/>
    <w:rsid w:val="001C18EB"/>
    <w:rsid w:val="001C1C1F"/>
    <w:rsid w:val="001C1E08"/>
    <w:rsid w:val="001C227B"/>
    <w:rsid w:val="001C287B"/>
    <w:rsid w:val="001C2E05"/>
    <w:rsid w:val="001C31FD"/>
    <w:rsid w:val="001C34A6"/>
    <w:rsid w:val="001C3661"/>
    <w:rsid w:val="001C3CF7"/>
    <w:rsid w:val="001C5980"/>
    <w:rsid w:val="001C6448"/>
    <w:rsid w:val="001C6786"/>
    <w:rsid w:val="001D00AA"/>
    <w:rsid w:val="001D0382"/>
    <w:rsid w:val="001D04F2"/>
    <w:rsid w:val="001D0DCA"/>
    <w:rsid w:val="001D18C7"/>
    <w:rsid w:val="001D1918"/>
    <w:rsid w:val="001D2299"/>
    <w:rsid w:val="001D28AB"/>
    <w:rsid w:val="001D39C4"/>
    <w:rsid w:val="001D3A1A"/>
    <w:rsid w:val="001D4EFF"/>
    <w:rsid w:val="001D529A"/>
    <w:rsid w:val="001D52A2"/>
    <w:rsid w:val="001D5F80"/>
    <w:rsid w:val="001D671B"/>
    <w:rsid w:val="001D6ED6"/>
    <w:rsid w:val="001D7732"/>
    <w:rsid w:val="001D7A8D"/>
    <w:rsid w:val="001D7C9E"/>
    <w:rsid w:val="001E0240"/>
    <w:rsid w:val="001E0352"/>
    <w:rsid w:val="001E1110"/>
    <w:rsid w:val="001E396F"/>
    <w:rsid w:val="001E3C88"/>
    <w:rsid w:val="001E69E0"/>
    <w:rsid w:val="001E6FC5"/>
    <w:rsid w:val="001F04A4"/>
    <w:rsid w:val="001F0CF6"/>
    <w:rsid w:val="001F0D24"/>
    <w:rsid w:val="001F0F79"/>
    <w:rsid w:val="001F10E7"/>
    <w:rsid w:val="001F254A"/>
    <w:rsid w:val="001F2FB8"/>
    <w:rsid w:val="001F358F"/>
    <w:rsid w:val="001F460B"/>
    <w:rsid w:val="001F5B87"/>
    <w:rsid w:val="001F77B6"/>
    <w:rsid w:val="002006A9"/>
    <w:rsid w:val="0020086D"/>
    <w:rsid w:val="00200CEC"/>
    <w:rsid w:val="0020103D"/>
    <w:rsid w:val="0020110A"/>
    <w:rsid w:val="00201375"/>
    <w:rsid w:val="00202656"/>
    <w:rsid w:val="00203933"/>
    <w:rsid w:val="00203BB5"/>
    <w:rsid w:val="00204C5B"/>
    <w:rsid w:val="00205D77"/>
    <w:rsid w:val="0020687F"/>
    <w:rsid w:val="0021175B"/>
    <w:rsid w:val="002119DC"/>
    <w:rsid w:val="002135CF"/>
    <w:rsid w:val="002145D9"/>
    <w:rsid w:val="00215C04"/>
    <w:rsid w:val="00216830"/>
    <w:rsid w:val="00216AAD"/>
    <w:rsid w:val="00220028"/>
    <w:rsid w:val="002206D6"/>
    <w:rsid w:val="0022104D"/>
    <w:rsid w:val="00221686"/>
    <w:rsid w:val="00221F1A"/>
    <w:rsid w:val="00223186"/>
    <w:rsid w:val="00223DBA"/>
    <w:rsid w:val="00224C95"/>
    <w:rsid w:val="00225306"/>
    <w:rsid w:val="00225C28"/>
    <w:rsid w:val="002266C9"/>
    <w:rsid w:val="00226D0E"/>
    <w:rsid w:val="00226FC7"/>
    <w:rsid w:val="00230FE7"/>
    <w:rsid w:val="002310D2"/>
    <w:rsid w:val="00231437"/>
    <w:rsid w:val="002315D6"/>
    <w:rsid w:val="0023219D"/>
    <w:rsid w:val="0023235F"/>
    <w:rsid w:val="00232A69"/>
    <w:rsid w:val="00232AAE"/>
    <w:rsid w:val="00233B83"/>
    <w:rsid w:val="00233E06"/>
    <w:rsid w:val="00234321"/>
    <w:rsid w:val="00235383"/>
    <w:rsid w:val="00235451"/>
    <w:rsid w:val="002356BE"/>
    <w:rsid w:val="00235BAB"/>
    <w:rsid w:val="00235C70"/>
    <w:rsid w:val="00236DDB"/>
    <w:rsid w:val="00241543"/>
    <w:rsid w:val="00241D2D"/>
    <w:rsid w:val="00241E3E"/>
    <w:rsid w:val="002429F6"/>
    <w:rsid w:val="00242DE2"/>
    <w:rsid w:val="00242EDB"/>
    <w:rsid w:val="00243361"/>
    <w:rsid w:val="00243998"/>
    <w:rsid w:val="00243B5E"/>
    <w:rsid w:val="00243C9C"/>
    <w:rsid w:val="00243D19"/>
    <w:rsid w:val="00244DA1"/>
    <w:rsid w:val="00245B66"/>
    <w:rsid w:val="00245EB1"/>
    <w:rsid w:val="002462DF"/>
    <w:rsid w:val="00246C75"/>
    <w:rsid w:val="00247D87"/>
    <w:rsid w:val="00247E95"/>
    <w:rsid w:val="00250000"/>
    <w:rsid w:val="00251332"/>
    <w:rsid w:val="00251CA0"/>
    <w:rsid w:val="00253125"/>
    <w:rsid w:val="0025412F"/>
    <w:rsid w:val="00254C79"/>
    <w:rsid w:val="002575E7"/>
    <w:rsid w:val="002612A8"/>
    <w:rsid w:val="00261DF4"/>
    <w:rsid w:val="00263BDB"/>
    <w:rsid w:val="0026453F"/>
    <w:rsid w:val="00266340"/>
    <w:rsid w:val="0026681E"/>
    <w:rsid w:val="0026690A"/>
    <w:rsid w:val="00267144"/>
    <w:rsid w:val="00267171"/>
    <w:rsid w:val="00267256"/>
    <w:rsid w:val="00267932"/>
    <w:rsid w:val="002679AF"/>
    <w:rsid w:val="002715F7"/>
    <w:rsid w:val="00271665"/>
    <w:rsid w:val="00271773"/>
    <w:rsid w:val="002718F2"/>
    <w:rsid w:val="0027212D"/>
    <w:rsid w:val="002722E0"/>
    <w:rsid w:val="00272695"/>
    <w:rsid w:val="00272883"/>
    <w:rsid w:val="00273A63"/>
    <w:rsid w:val="00273BE0"/>
    <w:rsid w:val="00274575"/>
    <w:rsid w:val="00274ECB"/>
    <w:rsid w:val="00275215"/>
    <w:rsid w:val="00275D35"/>
    <w:rsid w:val="00276F3D"/>
    <w:rsid w:val="002800F4"/>
    <w:rsid w:val="00280451"/>
    <w:rsid w:val="002806E8"/>
    <w:rsid w:val="0028181A"/>
    <w:rsid w:val="00282C59"/>
    <w:rsid w:val="002831DA"/>
    <w:rsid w:val="0028326C"/>
    <w:rsid w:val="0028433D"/>
    <w:rsid w:val="0028450C"/>
    <w:rsid w:val="00284C8F"/>
    <w:rsid w:val="0028562D"/>
    <w:rsid w:val="002856F3"/>
    <w:rsid w:val="002866B0"/>
    <w:rsid w:val="00286B13"/>
    <w:rsid w:val="002877AC"/>
    <w:rsid w:val="0029055C"/>
    <w:rsid w:val="002905F1"/>
    <w:rsid w:val="0029169C"/>
    <w:rsid w:val="002917E7"/>
    <w:rsid w:val="00291E5E"/>
    <w:rsid w:val="002926AB"/>
    <w:rsid w:val="002934F5"/>
    <w:rsid w:val="00293552"/>
    <w:rsid w:val="00293BE2"/>
    <w:rsid w:val="00295811"/>
    <w:rsid w:val="002966C6"/>
    <w:rsid w:val="00296ABB"/>
    <w:rsid w:val="00296EF4"/>
    <w:rsid w:val="00297B8A"/>
    <w:rsid w:val="002A1770"/>
    <w:rsid w:val="002A1904"/>
    <w:rsid w:val="002A1953"/>
    <w:rsid w:val="002A1D38"/>
    <w:rsid w:val="002A2137"/>
    <w:rsid w:val="002A24C8"/>
    <w:rsid w:val="002A298B"/>
    <w:rsid w:val="002A2AF3"/>
    <w:rsid w:val="002A35AE"/>
    <w:rsid w:val="002A4270"/>
    <w:rsid w:val="002A4C7F"/>
    <w:rsid w:val="002A63FF"/>
    <w:rsid w:val="002A73E2"/>
    <w:rsid w:val="002B08D0"/>
    <w:rsid w:val="002B0B03"/>
    <w:rsid w:val="002B0E85"/>
    <w:rsid w:val="002B1672"/>
    <w:rsid w:val="002B18EC"/>
    <w:rsid w:val="002B26FC"/>
    <w:rsid w:val="002B283E"/>
    <w:rsid w:val="002B4023"/>
    <w:rsid w:val="002B4CC3"/>
    <w:rsid w:val="002B72A5"/>
    <w:rsid w:val="002C56D1"/>
    <w:rsid w:val="002C6763"/>
    <w:rsid w:val="002C72DB"/>
    <w:rsid w:val="002D18F8"/>
    <w:rsid w:val="002D1F7F"/>
    <w:rsid w:val="002D28FF"/>
    <w:rsid w:val="002D2B2C"/>
    <w:rsid w:val="002D2C03"/>
    <w:rsid w:val="002D3104"/>
    <w:rsid w:val="002D49D1"/>
    <w:rsid w:val="002D4C09"/>
    <w:rsid w:val="002D4EF9"/>
    <w:rsid w:val="002D5F88"/>
    <w:rsid w:val="002D7824"/>
    <w:rsid w:val="002D7F97"/>
    <w:rsid w:val="002E1D48"/>
    <w:rsid w:val="002E206B"/>
    <w:rsid w:val="002E2070"/>
    <w:rsid w:val="002E246F"/>
    <w:rsid w:val="002E2C50"/>
    <w:rsid w:val="002E3353"/>
    <w:rsid w:val="002E38A4"/>
    <w:rsid w:val="002E3CEF"/>
    <w:rsid w:val="002E519C"/>
    <w:rsid w:val="002E52CB"/>
    <w:rsid w:val="002E5651"/>
    <w:rsid w:val="002E5668"/>
    <w:rsid w:val="002E6155"/>
    <w:rsid w:val="002E7938"/>
    <w:rsid w:val="002F089C"/>
    <w:rsid w:val="002F0A6E"/>
    <w:rsid w:val="002F3523"/>
    <w:rsid w:val="002F374D"/>
    <w:rsid w:val="002F37CF"/>
    <w:rsid w:val="002F3BF6"/>
    <w:rsid w:val="002F3D57"/>
    <w:rsid w:val="002F3F0F"/>
    <w:rsid w:val="002F5443"/>
    <w:rsid w:val="002F5D38"/>
    <w:rsid w:val="002F6089"/>
    <w:rsid w:val="002F64C6"/>
    <w:rsid w:val="002F69F3"/>
    <w:rsid w:val="002F6F05"/>
    <w:rsid w:val="002F7668"/>
    <w:rsid w:val="002F7ACC"/>
    <w:rsid w:val="00300AE5"/>
    <w:rsid w:val="003016B6"/>
    <w:rsid w:val="003016DD"/>
    <w:rsid w:val="00301E39"/>
    <w:rsid w:val="00303F84"/>
    <w:rsid w:val="0030408E"/>
    <w:rsid w:val="00304342"/>
    <w:rsid w:val="00304BDA"/>
    <w:rsid w:val="00304FB2"/>
    <w:rsid w:val="00305077"/>
    <w:rsid w:val="00305DE0"/>
    <w:rsid w:val="00306579"/>
    <w:rsid w:val="00306B53"/>
    <w:rsid w:val="00310B01"/>
    <w:rsid w:val="003122B8"/>
    <w:rsid w:val="003123BC"/>
    <w:rsid w:val="00312580"/>
    <w:rsid w:val="00313B07"/>
    <w:rsid w:val="00314096"/>
    <w:rsid w:val="003140C5"/>
    <w:rsid w:val="003143CB"/>
    <w:rsid w:val="00315F2A"/>
    <w:rsid w:val="00315FB7"/>
    <w:rsid w:val="00316991"/>
    <w:rsid w:val="00316C4A"/>
    <w:rsid w:val="003172A9"/>
    <w:rsid w:val="0032006F"/>
    <w:rsid w:val="003208BF"/>
    <w:rsid w:val="003229CC"/>
    <w:rsid w:val="003236CC"/>
    <w:rsid w:val="003252C2"/>
    <w:rsid w:val="00325A69"/>
    <w:rsid w:val="00325D35"/>
    <w:rsid w:val="00326CA1"/>
    <w:rsid w:val="003272C3"/>
    <w:rsid w:val="003273F3"/>
    <w:rsid w:val="00327C2C"/>
    <w:rsid w:val="00331099"/>
    <w:rsid w:val="00331437"/>
    <w:rsid w:val="003319FA"/>
    <w:rsid w:val="00331E7F"/>
    <w:rsid w:val="0033294D"/>
    <w:rsid w:val="00332BAA"/>
    <w:rsid w:val="003330CE"/>
    <w:rsid w:val="00334562"/>
    <w:rsid w:val="003347AD"/>
    <w:rsid w:val="00335795"/>
    <w:rsid w:val="003362B6"/>
    <w:rsid w:val="0033654F"/>
    <w:rsid w:val="00337C0B"/>
    <w:rsid w:val="00340D4C"/>
    <w:rsid w:val="003416EC"/>
    <w:rsid w:val="00341AD5"/>
    <w:rsid w:val="00342762"/>
    <w:rsid w:val="003428DC"/>
    <w:rsid w:val="00344007"/>
    <w:rsid w:val="00345557"/>
    <w:rsid w:val="003457B8"/>
    <w:rsid w:val="00351481"/>
    <w:rsid w:val="00351DFB"/>
    <w:rsid w:val="003527A6"/>
    <w:rsid w:val="00354796"/>
    <w:rsid w:val="00354D85"/>
    <w:rsid w:val="003558F5"/>
    <w:rsid w:val="00355A03"/>
    <w:rsid w:val="00357A50"/>
    <w:rsid w:val="0036012E"/>
    <w:rsid w:val="003603AD"/>
    <w:rsid w:val="00360A4F"/>
    <w:rsid w:val="00360A8F"/>
    <w:rsid w:val="00360FD7"/>
    <w:rsid w:val="00361359"/>
    <w:rsid w:val="00361620"/>
    <w:rsid w:val="003651FB"/>
    <w:rsid w:val="003652D2"/>
    <w:rsid w:val="00366F43"/>
    <w:rsid w:val="00370717"/>
    <w:rsid w:val="003707D0"/>
    <w:rsid w:val="0037179B"/>
    <w:rsid w:val="00371922"/>
    <w:rsid w:val="003719C8"/>
    <w:rsid w:val="00372A2B"/>
    <w:rsid w:val="00373A21"/>
    <w:rsid w:val="003752BE"/>
    <w:rsid w:val="00376402"/>
    <w:rsid w:val="00380A22"/>
    <w:rsid w:val="00380FB0"/>
    <w:rsid w:val="00381CED"/>
    <w:rsid w:val="00381D4D"/>
    <w:rsid w:val="0038247B"/>
    <w:rsid w:val="003828CA"/>
    <w:rsid w:val="00382ED2"/>
    <w:rsid w:val="003831B1"/>
    <w:rsid w:val="00383AB4"/>
    <w:rsid w:val="003844B3"/>
    <w:rsid w:val="00384653"/>
    <w:rsid w:val="0038590B"/>
    <w:rsid w:val="00385DC6"/>
    <w:rsid w:val="003864EE"/>
    <w:rsid w:val="003904CD"/>
    <w:rsid w:val="0039066D"/>
    <w:rsid w:val="0039097C"/>
    <w:rsid w:val="003909D7"/>
    <w:rsid w:val="00390D6C"/>
    <w:rsid w:val="00390D80"/>
    <w:rsid w:val="0039100F"/>
    <w:rsid w:val="0039170C"/>
    <w:rsid w:val="00392608"/>
    <w:rsid w:val="00393ABF"/>
    <w:rsid w:val="00393D68"/>
    <w:rsid w:val="00393F45"/>
    <w:rsid w:val="003940F0"/>
    <w:rsid w:val="00394A65"/>
    <w:rsid w:val="0039502D"/>
    <w:rsid w:val="0039694F"/>
    <w:rsid w:val="00396BD7"/>
    <w:rsid w:val="003973F6"/>
    <w:rsid w:val="003A1158"/>
    <w:rsid w:val="003A2BCB"/>
    <w:rsid w:val="003A4C8C"/>
    <w:rsid w:val="003A606C"/>
    <w:rsid w:val="003A6709"/>
    <w:rsid w:val="003A75BC"/>
    <w:rsid w:val="003A7F26"/>
    <w:rsid w:val="003B09EB"/>
    <w:rsid w:val="003B0CB0"/>
    <w:rsid w:val="003B14DB"/>
    <w:rsid w:val="003B243E"/>
    <w:rsid w:val="003B31F0"/>
    <w:rsid w:val="003B3588"/>
    <w:rsid w:val="003B3B73"/>
    <w:rsid w:val="003B3E95"/>
    <w:rsid w:val="003B467B"/>
    <w:rsid w:val="003B4A5B"/>
    <w:rsid w:val="003B4BCD"/>
    <w:rsid w:val="003B4C2F"/>
    <w:rsid w:val="003B4F48"/>
    <w:rsid w:val="003B5BA6"/>
    <w:rsid w:val="003B5CB1"/>
    <w:rsid w:val="003B5DD3"/>
    <w:rsid w:val="003B6298"/>
    <w:rsid w:val="003B6320"/>
    <w:rsid w:val="003C14E7"/>
    <w:rsid w:val="003C2238"/>
    <w:rsid w:val="003C2929"/>
    <w:rsid w:val="003C3AA5"/>
    <w:rsid w:val="003C3EC6"/>
    <w:rsid w:val="003C40D6"/>
    <w:rsid w:val="003C60C2"/>
    <w:rsid w:val="003C6386"/>
    <w:rsid w:val="003C6493"/>
    <w:rsid w:val="003C6787"/>
    <w:rsid w:val="003C6F8A"/>
    <w:rsid w:val="003C777C"/>
    <w:rsid w:val="003D027C"/>
    <w:rsid w:val="003D172C"/>
    <w:rsid w:val="003D18AB"/>
    <w:rsid w:val="003D1F69"/>
    <w:rsid w:val="003D2441"/>
    <w:rsid w:val="003D2593"/>
    <w:rsid w:val="003D2BE7"/>
    <w:rsid w:val="003D31CE"/>
    <w:rsid w:val="003D3EB8"/>
    <w:rsid w:val="003D4F51"/>
    <w:rsid w:val="003D50D6"/>
    <w:rsid w:val="003D6FDD"/>
    <w:rsid w:val="003D7279"/>
    <w:rsid w:val="003D7419"/>
    <w:rsid w:val="003E0579"/>
    <w:rsid w:val="003E0BE0"/>
    <w:rsid w:val="003E1E0E"/>
    <w:rsid w:val="003E2AAE"/>
    <w:rsid w:val="003E35DC"/>
    <w:rsid w:val="003E41E2"/>
    <w:rsid w:val="003E48D0"/>
    <w:rsid w:val="003E4C77"/>
    <w:rsid w:val="003E4DFE"/>
    <w:rsid w:val="003E5230"/>
    <w:rsid w:val="003E5633"/>
    <w:rsid w:val="003E5C20"/>
    <w:rsid w:val="003E6800"/>
    <w:rsid w:val="003E7171"/>
    <w:rsid w:val="003E7213"/>
    <w:rsid w:val="003E7884"/>
    <w:rsid w:val="003F0431"/>
    <w:rsid w:val="003F0AF3"/>
    <w:rsid w:val="003F1768"/>
    <w:rsid w:val="003F21BC"/>
    <w:rsid w:val="003F22C1"/>
    <w:rsid w:val="003F34BA"/>
    <w:rsid w:val="003F4672"/>
    <w:rsid w:val="003F490E"/>
    <w:rsid w:val="003F54FD"/>
    <w:rsid w:val="003F571C"/>
    <w:rsid w:val="003F690A"/>
    <w:rsid w:val="003F71F0"/>
    <w:rsid w:val="003F7857"/>
    <w:rsid w:val="003F7974"/>
    <w:rsid w:val="00400228"/>
    <w:rsid w:val="0040034B"/>
    <w:rsid w:val="00402D12"/>
    <w:rsid w:val="00403A0B"/>
    <w:rsid w:val="00403FCE"/>
    <w:rsid w:val="00404000"/>
    <w:rsid w:val="00404584"/>
    <w:rsid w:val="0040484E"/>
    <w:rsid w:val="00404E2D"/>
    <w:rsid w:val="004058D3"/>
    <w:rsid w:val="00407843"/>
    <w:rsid w:val="004079A4"/>
    <w:rsid w:val="00407CB2"/>
    <w:rsid w:val="00410454"/>
    <w:rsid w:val="004108AB"/>
    <w:rsid w:val="00410940"/>
    <w:rsid w:val="004124E7"/>
    <w:rsid w:val="00412D36"/>
    <w:rsid w:val="00412FE0"/>
    <w:rsid w:val="004136D1"/>
    <w:rsid w:val="00414196"/>
    <w:rsid w:val="0041518D"/>
    <w:rsid w:val="004163E4"/>
    <w:rsid w:val="0041730F"/>
    <w:rsid w:val="00417F12"/>
    <w:rsid w:val="00420294"/>
    <w:rsid w:val="00420904"/>
    <w:rsid w:val="00421042"/>
    <w:rsid w:val="004210A5"/>
    <w:rsid w:val="00421E13"/>
    <w:rsid w:val="00423307"/>
    <w:rsid w:val="004235B1"/>
    <w:rsid w:val="00423858"/>
    <w:rsid w:val="004238BE"/>
    <w:rsid w:val="0042397E"/>
    <w:rsid w:val="00423A48"/>
    <w:rsid w:val="00424335"/>
    <w:rsid w:val="00425869"/>
    <w:rsid w:val="004262AF"/>
    <w:rsid w:val="004262B8"/>
    <w:rsid w:val="0042658D"/>
    <w:rsid w:val="00426DD6"/>
    <w:rsid w:val="0043020A"/>
    <w:rsid w:val="0043171F"/>
    <w:rsid w:val="0043224F"/>
    <w:rsid w:val="00432567"/>
    <w:rsid w:val="00432E8D"/>
    <w:rsid w:val="0043314B"/>
    <w:rsid w:val="0043379E"/>
    <w:rsid w:val="004343B8"/>
    <w:rsid w:val="00434D02"/>
    <w:rsid w:val="00435134"/>
    <w:rsid w:val="00435B1D"/>
    <w:rsid w:val="00435D91"/>
    <w:rsid w:val="004361AC"/>
    <w:rsid w:val="00436F9F"/>
    <w:rsid w:val="00441DDB"/>
    <w:rsid w:val="004439DE"/>
    <w:rsid w:val="00444723"/>
    <w:rsid w:val="00444CA8"/>
    <w:rsid w:val="00444CDB"/>
    <w:rsid w:val="004450C8"/>
    <w:rsid w:val="004453C9"/>
    <w:rsid w:val="00445640"/>
    <w:rsid w:val="0044571E"/>
    <w:rsid w:val="00445B08"/>
    <w:rsid w:val="00446C8A"/>
    <w:rsid w:val="00447FF9"/>
    <w:rsid w:val="0045315F"/>
    <w:rsid w:val="0045492D"/>
    <w:rsid w:val="00455CBD"/>
    <w:rsid w:val="004573D5"/>
    <w:rsid w:val="004579F6"/>
    <w:rsid w:val="00457BEF"/>
    <w:rsid w:val="004601B1"/>
    <w:rsid w:val="00460B3E"/>
    <w:rsid w:val="004611F4"/>
    <w:rsid w:val="00461634"/>
    <w:rsid w:val="004616C8"/>
    <w:rsid w:val="00461941"/>
    <w:rsid w:val="004622B7"/>
    <w:rsid w:val="004629BE"/>
    <w:rsid w:val="00462B1A"/>
    <w:rsid w:val="004631E7"/>
    <w:rsid w:val="00464E73"/>
    <w:rsid w:val="004653B4"/>
    <w:rsid w:val="00466FA6"/>
    <w:rsid w:val="00467C17"/>
    <w:rsid w:val="0047032D"/>
    <w:rsid w:val="00471C02"/>
    <w:rsid w:val="00472C17"/>
    <w:rsid w:val="00472CBC"/>
    <w:rsid w:val="0047355A"/>
    <w:rsid w:val="0047404D"/>
    <w:rsid w:val="0047433D"/>
    <w:rsid w:val="004746F5"/>
    <w:rsid w:val="004755A8"/>
    <w:rsid w:val="0047562E"/>
    <w:rsid w:val="004756A6"/>
    <w:rsid w:val="00477CA4"/>
    <w:rsid w:val="004802D9"/>
    <w:rsid w:val="004818A8"/>
    <w:rsid w:val="00482460"/>
    <w:rsid w:val="004826E5"/>
    <w:rsid w:val="0048294A"/>
    <w:rsid w:val="00484C6D"/>
    <w:rsid w:val="00484FE5"/>
    <w:rsid w:val="00485360"/>
    <w:rsid w:val="00485882"/>
    <w:rsid w:val="00486B2C"/>
    <w:rsid w:val="00487803"/>
    <w:rsid w:val="00487BD6"/>
    <w:rsid w:val="004904FE"/>
    <w:rsid w:val="00490E85"/>
    <w:rsid w:val="0049122C"/>
    <w:rsid w:val="00491D32"/>
    <w:rsid w:val="004924F9"/>
    <w:rsid w:val="00492583"/>
    <w:rsid w:val="00492A41"/>
    <w:rsid w:val="00492BBA"/>
    <w:rsid w:val="0049349B"/>
    <w:rsid w:val="00493513"/>
    <w:rsid w:val="0049428E"/>
    <w:rsid w:val="0049713D"/>
    <w:rsid w:val="004973FD"/>
    <w:rsid w:val="0049782B"/>
    <w:rsid w:val="00497AE2"/>
    <w:rsid w:val="004A09D4"/>
    <w:rsid w:val="004A0DCF"/>
    <w:rsid w:val="004A0E15"/>
    <w:rsid w:val="004A16FF"/>
    <w:rsid w:val="004A2656"/>
    <w:rsid w:val="004A2D59"/>
    <w:rsid w:val="004A3B00"/>
    <w:rsid w:val="004A43A8"/>
    <w:rsid w:val="004A49C5"/>
    <w:rsid w:val="004A4A50"/>
    <w:rsid w:val="004A557A"/>
    <w:rsid w:val="004A56D7"/>
    <w:rsid w:val="004A7D92"/>
    <w:rsid w:val="004B03E7"/>
    <w:rsid w:val="004B16DA"/>
    <w:rsid w:val="004B1A2A"/>
    <w:rsid w:val="004B2373"/>
    <w:rsid w:val="004B5239"/>
    <w:rsid w:val="004B537C"/>
    <w:rsid w:val="004B58DF"/>
    <w:rsid w:val="004B69AB"/>
    <w:rsid w:val="004B7229"/>
    <w:rsid w:val="004B77A2"/>
    <w:rsid w:val="004B7CF1"/>
    <w:rsid w:val="004B7DF7"/>
    <w:rsid w:val="004C2077"/>
    <w:rsid w:val="004C3229"/>
    <w:rsid w:val="004C32F1"/>
    <w:rsid w:val="004C39E6"/>
    <w:rsid w:val="004C3EAA"/>
    <w:rsid w:val="004C5093"/>
    <w:rsid w:val="004C5681"/>
    <w:rsid w:val="004C58FF"/>
    <w:rsid w:val="004C5E6A"/>
    <w:rsid w:val="004C5F4D"/>
    <w:rsid w:val="004C6883"/>
    <w:rsid w:val="004C6A7E"/>
    <w:rsid w:val="004C729E"/>
    <w:rsid w:val="004C7E20"/>
    <w:rsid w:val="004D0C97"/>
    <w:rsid w:val="004D1281"/>
    <w:rsid w:val="004D1601"/>
    <w:rsid w:val="004D2138"/>
    <w:rsid w:val="004D287C"/>
    <w:rsid w:val="004D358A"/>
    <w:rsid w:val="004D3F82"/>
    <w:rsid w:val="004D4555"/>
    <w:rsid w:val="004D455A"/>
    <w:rsid w:val="004D4708"/>
    <w:rsid w:val="004D52AE"/>
    <w:rsid w:val="004D5BF3"/>
    <w:rsid w:val="004D6C66"/>
    <w:rsid w:val="004E0F8B"/>
    <w:rsid w:val="004E1EAD"/>
    <w:rsid w:val="004E2175"/>
    <w:rsid w:val="004E2BDB"/>
    <w:rsid w:val="004E2DB3"/>
    <w:rsid w:val="004E3D3A"/>
    <w:rsid w:val="004E3F34"/>
    <w:rsid w:val="004E3F3D"/>
    <w:rsid w:val="004E408A"/>
    <w:rsid w:val="004E5144"/>
    <w:rsid w:val="004E6442"/>
    <w:rsid w:val="004E67E7"/>
    <w:rsid w:val="004E6AB4"/>
    <w:rsid w:val="004E74A7"/>
    <w:rsid w:val="004E7730"/>
    <w:rsid w:val="004F0B27"/>
    <w:rsid w:val="004F1A0A"/>
    <w:rsid w:val="004F1F6F"/>
    <w:rsid w:val="004F2C63"/>
    <w:rsid w:val="004F2F30"/>
    <w:rsid w:val="004F30FF"/>
    <w:rsid w:val="004F316E"/>
    <w:rsid w:val="004F38DB"/>
    <w:rsid w:val="004F3B50"/>
    <w:rsid w:val="004F5586"/>
    <w:rsid w:val="004F56C8"/>
    <w:rsid w:val="004F6B22"/>
    <w:rsid w:val="004F7A15"/>
    <w:rsid w:val="00501633"/>
    <w:rsid w:val="00501FAE"/>
    <w:rsid w:val="00502111"/>
    <w:rsid w:val="00503674"/>
    <w:rsid w:val="00503C76"/>
    <w:rsid w:val="00503C98"/>
    <w:rsid w:val="005045B0"/>
    <w:rsid w:val="00504731"/>
    <w:rsid w:val="00505459"/>
    <w:rsid w:val="00505A6B"/>
    <w:rsid w:val="0050617C"/>
    <w:rsid w:val="00507AC7"/>
    <w:rsid w:val="0051040C"/>
    <w:rsid w:val="0051090D"/>
    <w:rsid w:val="00510F07"/>
    <w:rsid w:val="0051175A"/>
    <w:rsid w:val="00511782"/>
    <w:rsid w:val="0051233C"/>
    <w:rsid w:val="005125B0"/>
    <w:rsid w:val="00512ABE"/>
    <w:rsid w:val="00513A53"/>
    <w:rsid w:val="005147CC"/>
    <w:rsid w:val="0051646C"/>
    <w:rsid w:val="0051695D"/>
    <w:rsid w:val="00516C0C"/>
    <w:rsid w:val="0051756C"/>
    <w:rsid w:val="00517CD2"/>
    <w:rsid w:val="00520ADA"/>
    <w:rsid w:val="00522005"/>
    <w:rsid w:val="00522CE7"/>
    <w:rsid w:val="00523F32"/>
    <w:rsid w:val="00524C25"/>
    <w:rsid w:val="0052523D"/>
    <w:rsid w:val="00525406"/>
    <w:rsid w:val="00525A3D"/>
    <w:rsid w:val="00526656"/>
    <w:rsid w:val="00526690"/>
    <w:rsid w:val="00526D9A"/>
    <w:rsid w:val="00527739"/>
    <w:rsid w:val="00527CDD"/>
    <w:rsid w:val="005310D5"/>
    <w:rsid w:val="00531CDF"/>
    <w:rsid w:val="00533028"/>
    <w:rsid w:val="00534E84"/>
    <w:rsid w:val="00535125"/>
    <w:rsid w:val="005358D1"/>
    <w:rsid w:val="00537F1E"/>
    <w:rsid w:val="005400E1"/>
    <w:rsid w:val="00541A1D"/>
    <w:rsid w:val="00541D90"/>
    <w:rsid w:val="00543077"/>
    <w:rsid w:val="005431C4"/>
    <w:rsid w:val="00543EAA"/>
    <w:rsid w:val="00544759"/>
    <w:rsid w:val="00544E62"/>
    <w:rsid w:val="0054584A"/>
    <w:rsid w:val="00546B34"/>
    <w:rsid w:val="00546DDA"/>
    <w:rsid w:val="0054716D"/>
    <w:rsid w:val="00547A38"/>
    <w:rsid w:val="00547E1D"/>
    <w:rsid w:val="00547F13"/>
    <w:rsid w:val="00550502"/>
    <w:rsid w:val="00550C33"/>
    <w:rsid w:val="0055114E"/>
    <w:rsid w:val="00551415"/>
    <w:rsid w:val="00551842"/>
    <w:rsid w:val="005524A0"/>
    <w:rsid w:val="005528C0"/>
    <w:rsid w:val="00553279"/>
    <w:rsid w:val="0055402E"/>
    <w:rsid w:val="005541AC"/>
    <w:rsid w:val="0055450C"/>
    <w:rsid w:val="00554848"/>
    <w:rsid w:val="00556092"/>
    <w:rsid w:val="00556601"/>
    <w:rsid w:val="0055671D"/>
    <w:rsid w:val="005567DA"/>
    <w:rsid w:val="00556E74"/>
    <w:rsid w:val="00556ECF"/>
    <w:rsid w:val="00556F3D"/>
    <w:rsid w:val="005571D9"/>
    <w:rsid w:val="005576EC"/>
    <w:rsid w:val="0056028B"/>
    <w:rsid w:val="00561777"/>
    <w:rsid w:val="005622AF"/>
    <w:rsid w:val="00562378"/>
    <w:rsid w:val="0056378D"/>
    <w:rsid w:val="00563D14"/>
    <w:rsid w:val="0056671B"/>
    <w:rsid w:val="00566C2A"/>
    <w:rsid w:val="0057091E"/>
    <w:rsid w:val="00570F1B"/>
    <w:rsid w:val="005710CF"/>
    <w:rsid w:val="00571840"/>
    <w:rsid w:val="005722B8"/>
    <w:rsid w:val="00572F51"/>
    <w:rsid w:val="00573289"/>
    <w:rsid w:val="005738B3"/>
    <w:rsid w:val="005738FF"/>
    <w:rsid w:val="0057577D"/>
    <w:rsid w:val="005759E3"/>
    <w:rsid w:val="0057657B"/>
    <w:rsid w:val="00576700"/>
    <w:rsid w:val="00577489"/>
    <w:rsid w:val="00580332"/>
    <w:rsid w:val="00580882"/>
    <w:rsid w:val="0058114A"/>
    <w:rsid w:val="00581D1F"/>
    <w:rsid w:val="00582129"/>
    <w:rsid w:val="00583456"/>
    <w:rsid w:val="005839B8"/>
    <w:rsid w:val="00583BD6"/>
    <w:rsid w:val="00584AF1"/>
    <w:rsid w:val="00584CBD"/>
    <w:rsid w:val="0058660F"/>
    <w:rsid w:val="00587D0B"/>
    <w:rsid w:val="00590379"/>
    <w:rsid w:val="00591027"/>
    <w:rsid w:val="0059143F"/>
    <w:rsid w:val="00591996"/>
    <w:rsid w:val="00592C14"/>
    <w:rsid w:val="00592D02"/>
    <w:rsid w:val="00594553"/>
    <w:rsid w:val="0059479C"/>
    <w:rsid w:val="00594C3F"/>
    <w:rsid w:val="005958BB"/>
    <w:rsid w:val="005965F7"/>
    <w:rsid w:val="00596BAC"/>
    <w:rsid w:val="00596E5D"/>
    <w:rsid w:val="005971B4"/>
    <w:rsid w:val="00597288"/>
    <w:rsid w:val="005A2146"/>
    <w:rsid w:val="005A2720"/>
    <w:rsid w:val="005A27BE"/>
    <w:rsid w:val="005A2AB7"/>
    <w:rsid w:val="005A43FB"/>
    <w:rsid w:val="005A4575"/>
    <w:rsid w:val="005A5017"/>
    <w:rsid w:val="005A5080"/>
    <w:rsid w:val="005A5376"/>
    <w:rsid w:val="005A553E"/>
    <w:rsid w:val="005A6059"/>
    <w:rsid w:val="005A774D"/>
    <w:rsid w:val="005A7CC7"/>
    <w:rsid w:val="005A7F00"/>
    <w:rsid w:val="005B148A"/>
    <w:rsid w:val="005B16AD"/>
    <w:rsid w:val="005B2181"/>
    <w:rsid w:val="005B2367"/>
    <w:rsid w:val="005B3757"/>
    <w:rsid w:val="005B3A45"/>
    <w:rsid w:val="005B3A8B"/>
    <w:rsid w:val="005B3F9E"/>
    <w:rsid w:val="005B5F80"/>
    <w:rsid w:val="005B7B75"/>
    <w:rsid w:val="005B7E87"/>
    <w:rsid w:val="005C2BA6"/>
    <w:rsid w:val="005C2BB5"/>
    <w:rsid w:val="005C56DE"/>
    <w:rsid w:val="005C7BD0"/>
    <w:rsid w:val="005D0432"/>
    <w:rsid w:val="005D0A8D"/>
    <w:rsid w:val="005D246D"/>
    <w:rsid w:val="005D2478"/>
    <w:rsid w:val="005D29B2"/>
    <w:rsid w:val="005D2A3B"/>
    <w:rsid w:val="005D33D3"/>
    <w:rsid w:val="005D3BA1"/>
    <w:rsid w:val="005D4740"/>
    <w:rsid w:val="005D5698"/>
    <w:rsid w:val="005D6085"/>
    <w:rsid w:val="005D6521"/>
    <w:rsid w:val="005D6A5F"/>
    <w:rsid w:val="005D6B66"/>
    <w:rsid w:val="005D6F4C"/>
    <w:rsid w:val="005E037E"/>
    <w:rsid w:val="005E0508"/>
    <w:rsid w:val="005E0718"/>
    <w:rsid w:val="005E0995"/>
    <w:rsid w:val="005E1B74"/>
    <w:rsid w:val="005E3465"/>
    <w:rsid w:val="005E3C13"/>
    <w:rsid w:val="005E46E0"/>
    <w:rsid w:val="005E4C04"/>
    <w:rsid w:val="005E523E"/>
    <w:rsid w:val="005E55F4"/>
    <w:rsid w:val="005E5E05"/>
    <w:rsid w:val="005E6DAA"/>
    <w:rsid w:val="005E7525"/>
    <w:rsid w:val="005F0525"/>
    <w:rsid w:val="005F0BF7"/>
    <w:rsid w:val="005F1D4D"/>
    <w:rsid w:val="005F1D52"/>
    <w:rsid w:val="005F3402"/>
    <w:rsid w:val="005F3423"/>
    <w:rsid w:val="005F3A48"/>
    <w:rsid w:val="005F483D"/>
    <w:rsid w:val="005F484F"/>
    <w:rsid w:val="005F4894"/>
    <w:rsid w:val="005F6EC2"/>
    <w:rsid w:val="005F7E99"/>
    <w:rsid w:val="00600B69"/>
    <w:rsid w:val="00600BCE"/>
    <w:rsid w:val="00600EEA"/>
    <w:rsid w:val="00601D1B"/>
    <w:rsid w:val="0060296B"/>
    <w:rsid w:val="00603141"/>
    <w:rsid w:val="006035F1"/>
    <w:rsid w:val="00605597"/>
    <w:rsid w:val="00605972"/>
    <w:rsid w:val="0060656E"/>
    <w:rsid w:val="00606953"/>
    <w:rsid w:val="00606D28"/>
    <w:rsid w:val="00610BC5"/>
    <w:rsid w:val="00611BF2"/>
    <w:rsid w:val="006121D4"/>
    <w:rsid w:val="00612C06"/>
    <w:rsid w:val="006133F0"/>
    <w:rsid w:val="00614110"/>
    <w:rsid w:val="00614597"/>
    <w:rsid w:val="00614A44"/>
    <w:rsid w:val="00614DFE"/>
    <w:rsid w:val="006150E8"/>
    <w:rsid w:val="00615936"/>
    <w:rsid w:val="006159C2"/>
    <w:rsid w:val="0061612D"/>
    <w:rsid w:val="00616797"/>
    <w:rsid w:val="00616A67"/>
    <w:rsid w:val="00617760"/>
    <w:rsid w:val="00617AB9"/>
    <w:rsid w:val="00620629"/>
    <w:rsid w:val="00620D69"/>
    <w:rsid w:val="00621FFF"/>
    <w:rsid w:val="00622545"/>
    <w:rsid w:val="00622AB1"/>
    <w:rsid w:val="0062319B"/>
    <w:rsid w:val="006231B2"/>
    <w:rsid w:val="0062329E"/>
    <w:rsid w:val="00623729"/>
    <w:rsid w:val="00623D92"/>
    <w:rsid w:val="006240B6"/>
    <w:rsid w:val="00625965"/>
    <w:rsid w:val="00625ABF"/>
    <w:rsid w:val="00626A2E"/>
    <w:rsid w:val="00626F83"/>
    <w:rsid w:val="00627140"/>
    <w:rsid w:val="0062719B"/>
    <w:rsid w:val="006272F9"/>
    <w:rsid w:val="006279B5"/>
    <w:rsid w:val="00627AB3"/>
    <w:rsid w:val="00627B55"/>
    <w:rsid w:val="00630F04"/>
    <w:rsid w:val="00632792"/>
    <w:rsid w:val="00633885"/>
    <w:rsid w:val="00633C40"/>
    <w:rsid w:val="00633E0E"/>
    <w:rsid w:val="006350F3"/>
    <w:rsid w:val="00635ACB"/>
    <w:rsid w:val="00636CD4"/>
    <w:rsid w:val="00636F4F"/>
    <w:rsid w:val="0064005D"/>
    <w:rsid w:val="006406C3"/>
    <w:rsid w:val="00640C2B"/>
    <w:rsid w:val="0064110E"/>
    <w:rsid w:val="006435F6"/>
    <w:rsid w:val="00643634"/>
    <w:rsid w:val="0064404E"/>
    <w:rsid w:val="00644B47"/>
    <w:rsid w:val="00646420"/>
    <w:rsid w:val="00646DC0"/>
    <w:rsid w:val="006472A7"/>
    <w:rsid w:val="00647364"/>
    <w:rsid w:val="00647FB0"/>
    <w:rsid w:val="006501DD"/>
    <w:rsid w:val="006505EC"/>
    <w:rsid w:val="00650A72"/>
    <w:rsid w:val="006519AC"/>
    <w:rsid w:val="00652524"/>
    <w:rsid w:val="0065266F"/>
    <w:rsid w:val="00653143"/>
    <w:rsid w:val="006535D1"/>
    <w:rsid w:val="00654190"/>
    <w:rsid w:val="00655D8A"/>
    <w:rsid w:val="00656826"/>
    <w:rsid w:val="00656C3B"/>
    <w:rsid w:val="00656E05"/>
    <w:rsid w:val="00657C81"/>
    <w:rsid w:val="006600F1"/>
    <w:rsid w:val="006603BB"/>
    <w:rsid w:val="006620E6"/>
    <w:rsid w:val="006628A6"/>
    <w:rsid w:val="00662E32"/>
    <w:rsid w:val="0066489B"/>
    <w:rsid w:val="0066495F"/>
    <w:rsid w:val="00665034"/>
    <w:rsid w:val="00665878"/>
    <w:rsid w:val="0066681E"/>
    <w:rsid w:val="00666B53"/>
    <w:rsid w:val="00666E7B"/>
    <w:rsid w:val="00667838"/>
    <w:rsid w:val="0067176B"/>
    <w:rsid w:val="006724D3"/>
    <w:rsid w:val="00672C1C"/>
    <w:rsid w:val="00674DB1"/>
    <w:rsid w:val="00674F68"/>
    <w:rsid w:val="0067573D"/>
    <w:rsid w:val="00676058"/>
    <w:rsid w:val="0067613A"/>
    <w:rsid w:val="006762D4"/>
    <w:rsid w:val="00676D28"/>
    <w:rsid w:val="006777A6"/>
    <w:rsid w:val="00677928"/>
    <w:rsid w:val="0068011B"/>
    <w:rsid w:val="00680701"/>
    <w:rsid w:val="00682683"/>
    <w:rsid w:val="00682891"/>
    <w:rsid w:val="00682BA4"/>
    <w:rsid w:val="00684550"/>
    <w:rsid w:val="00684F0C"/>
    <w:rsid w:val="00685284"/>
    <w:rsid w:val="006855DB"/>
    <w:rsid w:val="00685964"/>
    <w:rsid w:val="00686399"/>
    <w:rsid w:val="00686CE2"/>
    <w:rsid w:val="00686DB5"/>
    <w:rsid w:val="006872E2"/>
    <w:rsid w:val="00687F17"/>
    <w:rsid w:val="00690324"/>
    <w:rsid w:val="006909F8"/>
    <w:rsid w:val="006912D8"/>
    <w:rsid w:val="0069188C"/>
    <w:rsid w:val="0069276F"/>
    <w:rsid w:val="006927F4"/>
    <w:rsid w:val="00692930"/>
    <w:rsid w:val="00694046"/>
    <w:rsid w:val="00695AEF"/>
    <w:rsid w:val="00697F6C"/>
    <w:rsid w:val="006A0223"/>
    <w:rsid w:val="006A0298"/>
    <w:rsid w:val="006A0C18"/>
    <w:rsid w:val="006A0F56"/>
    <w:rsid w:val="006A18BB"/>
    <w:rsid w:val="006A1EC0"/>
    <w:rsid w:val="006A3301"/>
    <w:rsid w:val="006A33FA"/>
    <w:rsid w:val="006A39C0"/>
    <w:rsid w:val="006A3AED"/>
    <w:rsid w:val="006A4562"/>
    <w:rsid w:val="006A45CB"/>
    <w:rsid w:val="006A5C8E"/>
    <w:rsid w:val="006A66A2"/>
    <w:rsid w:val="006A7DEA"/>
    <w:rsid w:val="006B0567"/>
    <w:rsid w:val="006B05CB"/>
    <w:rsid w:val="006B0DE3"/>
    <w:rsid w:val="006B130D"/>
    <w:rsid w:val="006B14C5"/>
    <w:rsid w:val="006B16A9"/>
    <w:rsid w:val="006B1731"/>
    <w:rsid w:val="006B2704"/>
    <w:rsid w:val="006B2B60"/>
    <w:rsid w:val="006B381A"/>
    <w:rsid w:val="006B3F64"/>
    <w:rsid w:val="006B4725"/>
    <w:rsid w:val="006B5210"/>
    <w:rsid w:val="006B5824"/>
    <w:rsid w:val="006B66CE"/>
    <w:rsid w:val="006B6727"/>
    <w:rsid w:val="006B6C81"/>
    <w:rsid w:val="006B6CCD"/>
    <w:rsid w:val="006B6EAE"/>
    <w:rsid w:val="006B71FC"/>
    <w:rsid w:val="006C2009"/>
    <w:rsid w:val="006C25EC"/>
    <w:rsid w:val="006C3751"/>
    <w:rsid w:val="006C3CFC"/>
    <w:rsid w:val="006C3F0E"/>
    <w:rsid w:val="006C44FA"/>
    <w:rsid w:val="006C48EE"/>
    <w:rsid w:val="006C5735"/>
    <w:rsid w:val="006C588A"/>
    <w:rsid w:val="006C5B73"/>
    <w:rsid w:val="006C5CBD"/>
    <w:rsid w:val="006C6AF8"/>
    <w:rsid w:val="006C6BC7"/>
    <w:rsid w:val="006C7CE6"/>
    <w:rsid w:val="006D0AA3"/>
    <w:rsid w:val="006D0EE2"/>
    <w:rsid w:val="006D1948"/>
    <w:rsid w:val="006D1D8F"/>
    <w:rsid w:val="006D2F59"/>
    <w:rsid w:val="006D4468"/>
    <w:rsid w:val="006D4650"/>
    <w:rsid w:val="006D4701"/>
    <w:rsid w:val="006D4CEE"/>
    <w:rsid w:val="006D506E"/>
    <w:rsid w:val="006D615F"/>
    <w:rsid w:val="006D63D1"/>
    <w:rsid w:val="006D7B0D"/>
    <w:rsid w:val="006E0087"/>
    <w:rsid w:val="006E048B"/>
    <w:rsid w:val="006E0B57"/>
    <w:rsid w:val="006E1EB0"/>
    <w:rsid w:val="006E2789"/>
    <w:rsid w:val="006E2AD9"/>
    <w:rsid w:val="006E3472"/>
    <w:rsid w:val="006E42BA"/>
    <w:rsid w:val="006E4A40"/>
    <w:rsid w:val="006E5BA4"/>
    <w:rsid w:val="006E6645"/>
    <w:rsid w:val="006E68EE"/>
    <w:rsid w:val="006E70E7"/>
    <w:rsid w:val="006F0D16"/>
    <w:rsid w:val="006F151D"/>
    <w:rsid w:val="006F1682"/>
    <w:rsid w:val="006F1E4C"/>
    <w:rsid w:val="006F3860"/>
    <w:rsid w:val="006F472B"/>
    <w:rsid w:val="006F53D1"/>
    <w:rsid w:val="006F5EE2"/>
    <w:rsid w:val="006F6C70"/>
    <w:rsid w:val="006F7CB8"/>
    <w:rsid w:val="007009B7"/>
    <w:rsid w:val="00701793"/>
    <w:rsid w:val="0070352A"/>
    <w:rsid w:val="0070386C"/>
    <w:rsid w:val="00703E1C"/>
    <w:rsid w:val="00704104"/>
    <w:rsid w:val="007041D7"/>
    <w:rsid w:val="0070439C"/>
    <w:rsid w:val="007044BB"/>
    <w:rsid w:val="007052EF"/>
    <w:rsid w:val="00706F92"/>
    <w:rsid w:val="00711038"/>
    <w:rsid w:val="007110F6"/>
    <w:rsid w:val="00711D79"/>
    <w:rsid w:val="007120FD"/>
    <w:rsid w:val="00712FA5"/>
    <w:rsid w:val="007136E0"/>
    <w:rsid w:val="00713953"/>
    <w:rsid w:val="00714014"/>
    <w:rsid w:val="007141A3"/>
    <w:rsid w:val="007141BA"/>
    <w:rsid w:val="0071460E"/>
    <w:rsid w:val="00714AF6"/>
    <w:rsid w:val="007151C1"/>
    <w:rsid w:val="007151E8"/>
    <w:rsid w:val="0071552C"/>
    <w:rsid w:val="007159E3"/>
    <w:rsid w:val="00716035"/>
    <w:rsid w:val="00716146"/>
    <w:rsid w:val="00716807"/>
    <w:rsid w:val="00716C80"/>
    <w:rsid w:val="007173A0"/>
    <w:rsid w:val="0071759D"/>
    <w:rsid w:val="00717EF9"/>
    <w:rsid w:val="00721706"/>
    <w:rsid w:val="00721EB1"/>
    <w:rsid w:val="00721F66"/>
    <w:rsid w:val="00722755"/>
    <w:rsid w:val="007237FB"/>
    <w:rsid w:val="007238B9"/>
    <w:rsid w:val="00723CF0"/>
    <w:rsid w:val="00723E22"/>
    <w:rsid w:val="007242C5"/>
    <w:rsid w:val="007268D9"/>
    <w:rsid w:val="00727BDB"/>
    <w:rsid w:val="007325B1"/>
    <w:rsid w:val="00733CC0"/>
    <w:rsid w:val="0073516B"/>
    <w:rsid w:val="007352BA"/>
    <w:rsid w:val="0073531E"/>
    <w:rsid w:val="00736817"/>
    <w:rsid w:val="00736F55"/>
    <w:rsid w:val="0073727B"/>
    <w:rsid w:val="00737D4A"/>
    <w:rsid w:val="00740412"/>
    <w:rsid w:val="00740F4D"/>
    <w:rsid w:val="00742EE2"/>
    <w:rsid w:val="00743458"/>
    <w:rsid w:val="007443CB"/>
    <w:rsid w:val="00744406"/>
    <w:rsid w:val="00745943"/>
    <w:rsid w:val="0074679F"/>
    <w:rsid w:val="007477AA"/>
    <w:rsid w:val="00747921"/>
    <w:rsid w:val="00750A7D"/>
    <w:rsid w:val="00752027"/>
    <w:rsid w:val="0075224C"/>
    <w:rsid w:val="00752B95"/>
    <w:rsid w:val="007532A8"/>
    <w:rsid w:val="00753806"/>
    <w:rsid w:val="00754327"/>
    <w:rsid w:val="007543E9"/>
    <w:rsid w:val="00755064"/>
    <w:rsid w:val="00757592"/>
    <w:rsid w:val="00757926"/>
    <w:rsid w:val="00761163"/>
    <w:rsid w:val="007629EC"/>
    <w:rsid w:val="007629EF"/>
    <w:rsid w:val="00762D5E"/>
    <w:rsid w:val="0076338B"/>
    <w:rsid w:val="007636BD"/>
    <w:rsid w:val="00764BF8"/>
    <w:rsid w:val="00764CC8"/>
    <w:rsid w:val="007666D4"/>
    <w:rsid w:val="00766E65"/>
    <w:rsid w:val="007672AE"/>
    <w:rsid w:val="007708E4"/>
    <w:rsid w:val="00770BD7"/>
    <w:rsid w:val="00770E10"/>
    <w:rsid w:val="00771ABB"/>
    <w:rsid w:val="00771D1A"/>
    <w:rsid w:val="00771FD5"/>
    <w:rsid w:val="00772A74"/>
    <w:rsid w:val="0077362A"/>
    <w:rsid w:val="00773AE4"/>
    <w:rsid w:val="00773B6C"/>
    <w:rsid w:val="0077417E"/>
    <w:rsid w:val="0077435A"/>
    <w:rsid w:val="00774CA7"/>
    <w:rsid w:val="00776545"/>
    <w:rsid w:val="00776B67"/>
    <w:rsid w:val="00776FD8"/>
    <w:rsid w:val="00777895"/>
    <w:rsid w:val="00780FD6"/>
    <w:rsid w:val="00781037"/>
    <w:rsid w:val="0078117D"/>
    <w:rsid w:val="00782877"/>
    <w:rsid w:val="00784976"/>
    <w:rsid w:val="00784BEC"/>
    <w:rsid w:val="00785D40"/>
    <w:rsid w:val="0078768E"/>
    <w:rsid w:val="00790262"/>
    <w:rsid w:val="0079046B"/>
    <w:rsid w:val="0079095C"/>
    <w:rsid w:val="0079148C"/>
    <w:rsid w:val="00791858"/>
    <w:rsid w:val="00791DFF"/>
    <w:rsid w:val="0079269C"/>
    <w:rsid w:val="00792D2C"/>
    <w:rsid w:val="007953E0"/>
    <w:rsid w:val="007957AD"/>
    <w:rsid w:val="007959A1"/>
    <w:rsid w:val="00796950"/>
    <w:rsid w:val="00796A4B"/>
    <w:rsid w:val="00796AB9"/>
    <w:rsid w:val="007A0AB9"/>
    <w:rsid w:val="007A16F1"/>
    <w:rsid w:val="007A23BF"/>
    <w:rsid w:val="007A31C1"/>
    <w:rsid w:val="007A364C"/>
    <w:rsid w:val="007A39D3"/>
    <w:rsid w:val="007A3B54"/>
    <w:rsid w:val="007A3ECF"/>
    <w:rsid w:val="007A4FB6"/>
    <w:rsid w:val="007A58FA"/>
    <w:rsid w:val="007A5A64"/>
    <w:rsid w:val="007A62C8"/>
    <w:rsid w:val="007A7DE7"/>
    <w:rsid w:val="007B036B"/>
    <w:rsid w:val="007B0CFF"/>
    <w:rsid w:val="007B102E"/>
    <w:rsid w:val="007B205B"/>
    <w:rsid w:val="007B2649"/>
    <w:rsid w:val="007B44DC"/>
    <w:rsid w:val="007B5A33"/>
    <w:rsid w:val="007B5DBE"/>
    <w:rsid w:val="007B6084"/>
    <w:rsid w:val="007B60E1"/>
    <w:rsid w:val="007B6696"/>
    <w:rsid w:val="007B6B61"/>
    <w:rsid w:val="007B6E2C"/>
    <w:rsid w:val="007B71C2"/>
    <w:rsid w:val="007C0052"/>
    <w:rsid w:val="007C1475"/>
    <w:rsid w:val="007C1810"/>
    <w:rsid w:val="007C1FBE"/>
    <w:rsid w:val="007C2112"/>
    <w:rsid w:val="007C29B7"/>
    <w:rsid w:val="007C2F30"/>
    <w:rsid w:val="007C4323"/>
    <w:rsid w:val="007C535F"/>
    <w:rsid w:val="007C5AF0"/>
    <w:rsid w:val="007C5C50"/>
    <w:rsid w:val="007C5EB3"/>
    <w:rsid w:val="007C70E5"/>
    <w:rsid w:val="007C7BEC"/>
    <w:rsid w:val="007D0346"/>
    <w:rsid w:val="007D1720"/>
    <w:rsid w:val="007D1DAD"/>
    <w:rsid w:val="007D285D"/>
    <w:rsid w:val="007D3AB2"/>
    <w:rsid w:val="007D46B6"/>
    <w:rsid w:val="007D4AC6"/>
    <w:rsid w:val="007D4ED6"/>
    <w:rsid w:val="007D5956"/>
    <w:rsid w:val="007D5E7B"/>
    <w:rsid w:val="007D5EE5"/>
    <w:rsid w:val="007D6263"/>
    <w:rsid w:val="007D6F97"/>
    <w:rsid w:val="007D747C"/>
    <w:rsid w:val="007D7C3E"/>
    <w:rsid w:val="007D7E5F"/>
    <w:rsid w:val="007E02B8"/>
    <w:rsid w:val="007E1037"/>
    <w:rsid w:val="007E2F4F"/>
    <w:rsid w:val="007E3464"/>
    <w:rsid w:val="007E35D8"/>
    <w:rsid w:val="007E38FA"/>
    <w:rsid w:val="007E4FF2"/>
    <w:rsid w:val="007E5658"/>
    <w:rsid w:val="007E63DE"/>
    <w:rsid w:val="007E71A2"/>
    <w:rsid w:val="007F00EA"/>
    <w:rsid w:val="007F0CE5"/>
    <w:rsid w:val="007F0F93"/>
    <w:rsid w:val="007F13EB"/>
    <w:rsid w:val="007F173F"/>
    <w:rsid w:val="007F30A0"/>
    <w:rsid w:val="007F4064"/>
    <w:rsid w:val="007F4B85"/>
    <w:rsid w:val="007F510B"/>
    <w:rsid w:val="007F5BD8"/>
    <w:rsid w:val="007F6C6F"/>
    <w:rsid w:val="007F71A0"/>
    <w:rsid w:val="007F7985"/>
    <w:rsid w:val="008008DE"/>
    <w:rsid w:val="00800B6C"/>
    <w:rsid w:val="008024D7"/>
    <w:rsid w:val="0080391F"/>
    <w:rsid w:val="00805637"/>
    <w:rsid w:val="008075DB"/>
    <w:rsid w:val="0081008D"/>
    <w:rsid w:val="00810A7B"/>
    <w:rsid w:val="00811A3B"/>
    <w:rsid w:val="0081277C"/>
    <w:rsid w:val="00812994"/>
    <w:rsid w:val="00813422"/>
    <w:rsid w:val="008144DC"/>
    <w:rsid w:val="00814864"/>
    <w:rsid w:val="00815FE2"/>
    <w:rsid w:val="00815FFC"/>
    <w:rsid w:val="00816221"/>
    <w:rsid w:val="00817029"/>
    <w:rsid w:val="008170E0"/>
    <w:rsid w:val="008219D6"/>
    <w:rsid w:val="00821B23"/>
    <w:rsid w:val="00822B54"/>
    <w:rsid w:val="00822EA3"/>
    <w:rsid w:val="00822F40"/>
    <w:rsid w:val="00823A83"/>
    <w:rsid w:val="00823FC1"/>
    <w:rsid w:val="00824EE5"/>
    <w:rsid w:val="00824F0E"/>
    <w:rsid w:val="00825134"/>
    <w:rsid w:val="00825290"/>
    <w:rsid w:val="008252D3"/>
    <w:rsid w:val="0082572E"/>
    <w:rsid w:val="00826060"/>
    <w:rsid w:val="00826EF0"/>
    <w:rsid w:val="00827216"/>
    <w:rsid w:val="008304BF"/>
    <w:rsid w:val="008309B3"/>
    <w:rsid w:val="00832D59"/>
    <w:rsid w:val="00833102"/>
    <w:rsid w:val="00833293"/>
    <w:rsid w:val="008340FE"/>
    <w:rsid w:val="008345E1"/>
    <w:rsid w:val="00835767"/>
    <w:rsid w:val="0083599E"/>
    <w:rsid w:val="008359BB"/>
    <w:rsid w:val="00836345"/>
    <w:rsid w:val="008369C7"/>
    <w:rsid w:val="00836F60"/>
    <w:rsid w:val="00836FC0"/>
    <w:rsid w:val="00837AE4"/>
    <w:rsid w:val="00840E85"/>
    <w:rsid w:val="0084100A"/>
    <w:rsid w:val="0084247B"/>
    <w:rsid w:val="00844008"/>
    <w:rsid w:val="0084455E"/>
    <w:rsid w:val="00845AB2"/>
    <w:rsid w:val="00846475"/>
    <w:rsid w:val="008467CC"/>
    <w:rsid w:val="008468EE"/>
    <w:rsid w:val="00847BF6"/>
    <w:rsid w:val="00850C46"/>
    <w:rsid w:val="00851582"/>
    <w:rsid w:val="00851766"/>
    <w:rsid w:val="00853119"/>
    <w:rsid w:val="008549E9"/>
    <w:rsid w:val="008556FB"/>
    <w:rsid w:val="00855873"/>
    <w:rsid w:val="00856A5E"/>
    <w:rsid w:val="00857345"/>
    <w:rsid w:val="00857AD7"/>
    <w:rsid w:val="008601DB"/>
    <w:rsid w:val="0086035C"/>
    <w:rsid w:val="008605A9"/>
    <w:rsid w:val="0086092F"/>
    <w:rsid w:val="00863009"/>
    <w:rsid w:val="008647BC"/>
    <w:rsid w:val="00864DBC"/>
    <w:rsid w:val="008655B9"/>
    <w:rsid w:val="00865990"/>
    <w:rsid w:val="00866783"/>
    <w:rsid w:val="008672FF"/>
    <w:rsid w:val="0086796E"/>
    <w:rsid w:val="0087030D"/>
    <w:rsid w:val="008707BB"/>
    <w:rsid w:val="00870D48"/>
    <w:rsid w:val="00872F55"/>
    <w:rsid w:val="00873624"/>
    <w:rsid w:val="00873C7C"/>
    <w:rsid w:val="008744D5"/>
    <w:rsid w:val="00875447"/>
    <w:rsid w:val="00875D6D"/>
    <w:rsid w:val="00875D75"/>
    <w:rsid w:val="00876162"/>
    <w:rsid w:val="008762BE"/>
    <w:rsid w:val="00876431"/>
    <w:rsid w:val="00876EC7"/>
    <w:rsid w:val="00877560"/>
    <w:rsid w:val="00877DB6"/>
    <w:rsid w:val="00880C7B"/>
    <w:rsid w:val="00880F5D"/>
    <w:rsid w:val="00881425"/>
    <w:rsid w:val="0088156A"/>
    <w:rsid w:val="00881C12"/>
    <w:rsid w:val="00881D1B"/>
    <w:rsid w:val="00882AEB"/>
    <w:rsid w:val="0088364B"/>
    <w:rsid w:val="008865FA"/>
    <w:rsid w:val="00886AB8"/>
    <w:rsid w:val="00887131"/>
    <w:rsid w:val="00887657"/>
    <w:rsid w:val="008901BD"/>
    <w:rsid w:val="00890E5F"/>
    <w:rsid w:val="00890E93"/>
    <w:rsid w:val="00891372"/>
    <w:rsid w:val="008916FB"/>
    <w:rsid w:val="00892BB5"/>
    <w:rsid w:val="00892BCB"/>
    <w:rsid w:val="00892C9B"/>
    <w:rsid w:val="008942C9"/>
    <w:rsid w:val="008963F7"/>
    <w:rsid w:val="0089718E"/>
    <w:rsid w:val="008A0274"/>
    <w:rsid w:val="008A04AE"/>
    <w:rsid w:val="008A0B33"/>
    <w:rsid w:val="008A163B"/>
    <w:rsid w:val="008A17EA"/>
    <w:rsid w:val="008A1BB8"/>
    <w:rsid w:val="008A1EEF"/>
    <w:rsid w:val="008A2091"/>
    <w:rsid w:val="008A2967"/>
    <w:rsid w:val="008A2CC7"/>
    <w:rsid w:val="008A536D"/>
    <w:rsid w:val="008A566C"/>
    <w:rsid w:val="008A5ED1"/>
    <w:rsid w:val="008A6F8C"/>
    <w:rsid w:val="008A7897"/>
    <w:rsid w:val="008A7AEA"/>
    <w:rsid w:val="008B042D"/>
    <w:rsid w:val="008B114C"/>
    <w:rsid w:val="008B158F"/>
    <w:rsid w:val="008B1590"/>
    <w:rsid w:val="008B1AA0"/>
    <w:rsid w:val="008B1B1C"/>
    <w:rsid w:val="008B44B8"/>
    <w:rsid w:val="008B4BD4"/>
    <w:rsid w:val="008B4CBB"/>
    <w:rsid w:val="008B52AE"/>
    <w:rsid w:val="008B5639"/>
    <w:rsid w:val="008B5C2E"/>
    <w:rsid w:val="008B6D83"/>
    <w:rsid w:val="008C082E"/>
    <w:rsid w:val="008C0A96"/>
    <w:rsid w:val="008C1EEF"/>
    <w:rsid w:val="008C1F39"/>
    <w:rsid w:val="008C253E"/>
    <w:rsid w:val="008C3076"/>
    <w:rsid w:val="008C41A4"/>
    <w:rsid w:val="008C4F8B"/>
    <w:rsid w:val="008C5FF6"/>
    <w:rsid w:val="008C7661"/>
    <w:rsid w:val="008D0E3A"/>
    <w:rsid w:val="008D119F"/>
    <w:rsid w:val="008D162A"/>
    <w:rsid w:val="008D3A0C"/>
    <w:rsid w:val="008D4CC4"/>
    <w:rsid w:val="008D4E6C"/>
    <w:rsid w:val="008D5014"/>
    <w:rsid w:val="008D5332"/>
    <w:rsid w:val="008D5654"/>
    <w:rsid w:val="008D66D8"/>
    <w:rsid w:val="008D76D6"/>
    <w:rsid w:val="008E2923"/>
    <w:rsid w:val="008E2C25"/>
    <w:rsid w:val="008E2F93"/>
    <w:rsid w:val="008E3C00"/>
    <w:rsid w:val="008E491F"/>
    <w:rsid w:val="008E5C39"/>
    <w:rsid w:val="008E64C5"/>
    <w:rsid w:val="008E685F"/>
    <w:rsid w:val="008E6871"/>
    <w:rsid w:val="008E6BFB"/>
    <w:rsid w:val="008E7539"/>
    <w:rsid w:val="008F0FC7"/>
    <w:rsid w:val="008F1C14"/>
    <w:rsid w:val="008F1C8C"/>
    <w:rsid w:val="008F2848"/>
    <w:rsid w:val="008F2B9B"/>
    <w:rsid w:val="008F2BB9"/>
    <w:rsid w:val="008F33F3"/>
    <w:rsid w:val="008F3669"/>
    <w:rsid w:val="008F39B4"/>
    <w:rsid w:val="008F5B8F"/>
    <w:rsid w:val="008F703E"/>
    <w:rsid w:val="008F73E1"/>
    <w:rsid w:val="008F784F"/>
    <w:rsid w:val="00900023"/>
    <w:rsid w:val="0090040A"/>
    <w:rsid w:val="00900C1E"/>
    <w:rsid w:val="00900D94"/>
    <w:rsid w:val="00901F56"/>
    <w:rsid w:val="00902816"/>
    <w:rsid w:val="00902C4A"/>
    <w:rsid w:val="009030FB"/>
    <w:rsid w:val="009032D4"/>
    <w:rsid w:val="00903DA8"/>
    <w:rsid w:val="0090680F"/>
    <w:rsid w:val="00907306"/>
    <w:rsid w:val="0091105C"/>
    <w:rsid w:val="00911B94"/>
    <w:rsid w:val="00911CF8"/>
    <w:rsid w:val="00912919"/>
    <w:rsid w:val="00913963"/>
    <w:rsid w:val="00914C4A"/>
    <w:rsid w:val="00915535"/>
    <w:rsid w:val="0091576B"/>
    <w:rsid w:val="00917165"/>
    <w:rsid w:val="00917517"/>
    <w:rsid w:val="0091784B"/>
    <w:rsid w:val="00917905"/>
    <w:rsid w:val="00920011"/>
    <w:rsid w:val="00921854"/>
    <w:rsid w:val="00921B43"/>
    <w:rsid w:val="009220F0"/>
    <w:rsid w:val="0092326B"/>
    <w:rsid w:val="00923408"/>
    <w:rsid w:val="009245FD"/>
    <w:rsid w:val="00925254"/>
    <w:rsid w:val="00925411"/>
    <w:rsid w:val="009263E1"/>
    <w:rsid w:val="009267FC"/>
    <w:rsid w:val="00930695"/>
    <w:rsid w:val="00931135"/>
    <w:rsid w:val="009319E5"/>
    <w:rsid w:val="00931DBD"/>
    <w:rsid w:val="00931DCD"/>
    <w:rsid w:val="00933CAB"/>
    <w:rsid w:val="00934AF2"/>
    <w:rsid w:val="00934ECD"/>
    <w:rsid w:val="00935422"/>
    <w:rsid w:val="00940F8A"/>
    <w:rsid w:val="00941087"/>
    <w:rsid w:val="009415F1"/>
    <w:rsid w:val="00942072"/>
    <w:rsid w:val="00942253"/>
    <w:rsid w:val="009424B6"/>
    <w:rsid w:val="00942CAC"/>
    <w:rsid w:val="00942E7A"/>
    <w:rsid w:val="00943327"/>
    <w:rsid w:val="009452B7"/>
    <w:rsid w:val="00945A23"/>
    <w:rsid w:val="00945B1A"/>
    <w:rsid w:val="00945D8B"/>
    <w:rsid w:val="009468A5"/>
    <w:rsid w:val="00947C72"/>
    <w:rsid w:val="00950849"/>
    <w:rsid w:val="00950BBD"/>
    <w:rsid w:val="00950D44"/>
    <w:rsid w:val="00952591"/>
    <w:rsid w:val="00952C61"/>
    <w:rsid w:val="0095311E"/>
    <w:rsid w:val="00953920"/>
    <w:rsid w:val="00954559"/>
    <w:rsid w:val="00954A06"/>
    <w:rsid w:val="00954B56"/>
    <w:rsid w:val="0095528C"/>
    <w:rsid w:val="00955E39"/>
    <w:rsid w:val="00955EC0"/>
    <w:rsid w:val="00956159"/>
    <w:rsid w:val="00956163"/>
    <w:rsid w:val="0095668A"/>
    <w:rsid w:val="009567D8"/>
    <w:rsid w:val="00956D2A"/>
    <w:rsid w:val="00957A83"/>
    <w:rsid w:val="00957BFE"/>
    <w:rsid w:val="00960323"/>
    <w:rsid w:val="00960BE9"/>
    <w:rsid w:val="00960D08"/>
    <w:rsid w:val="00961842"/>
    <w:rsid w:val="009634A6"/>
    <w:rsid w:val="0096449D"/>
    <w:rsid w:val="0096473B"/>
    <w:rsid w:val="009655DD"/>
    <w:rsid w:val="00966420"/>
    <w:rsid w:val="009665FB"/>
    <w:rsid w:val="00967739"/>
    <w:rsid w:val="00967927"/>
    <w:rsid w:val="0097091D"/>
    <w:rsid w:val="00971AF3"/>
    <w:rsid w:val="00971B8D"/>
    <w:rsid w:val="009720C8"/>
    <w:rsid w:val="00972176"/>
    <w:rsid w:val="0097277A"/>
    <w:rsid w:val="00973642"/>
    <w:rsid w:val="00973AC8"/>
    <w:rsid w:val="0097403A"/>
    <w:rsid w:val="00974D5C"/>
    <w:rsid w:val="009754AE"/>
    <w:rsid w:val="009778AE"/>
    <w:rsid w:val="009801FB"/>
    <w:rsid w:val="009806DA"/>
    <w:rsid w:val="0098135A"/>
    <w:rsid w:val="00981750"/>
    <w:rsid w:val="00981C07"/>
    <w:rsid w:val="009821FD"/>
    <w:rsid w:val="00982D49"/>
    <w:rsid w:val="009842D6"/>
    <w:rsid w:val="0098549A"/>
    <w:rsid w:val="0099227D"/>
    <w:rsid w:val="009924CF"/>
    <w:rsid w:val="0099252B"/>
    <w:rsid w:val="00992F45"/>
    <w:rsid w:val="0099338C"/>
    <w:rsid w:val="00993395"/>
    <w:rsid w:val="00994426"/>
    <w:rsid w:val="00994C63"/>
    <w:rsid w:val="00995332"/>
    <w:rsid w:val="00995E07"/>
    <w:rsid w:val="009960EE"/>
    <w:rsid w:val="00996760"/>
    <w:rsid w:val="00996B78"/>
    <w:rsid w:val="00997BCB"/>
    <w:rsid w:val="009A02F2"/>
    <w:rsid w:val="009A06E6"/>
    <w:rsid w:val="009A0CEE"/>
    <w:rsid w:val="009A0FD1"/>
    <w:rsid w:val="009A149B"/>
    <w:rsid w:val="009A1B7D"/>
    <w:rsid w:val="009A2112"/>
    <w:rsid w:val="009A251E"/>
    <w:rsid w:val="009A2B3C"/>
    <w:rsid w:val="009A4A0C"/>
    <w:rsid w:val="009A4DBA"/>
    <w:rsid w:val="009A5094"/>
    <w:rsid w:val="009A59A9"/>
    <w:rsid w:val="009A674F"/>
    <w:rsid w:val="009A6A37"/>
    <w:rsid w:val="009B0541"/>
    <w:rsid w:val="009B0D0B"/>
    <w:rsid w:val="009B1EBC"/>
    <w:rsid w:val="009B28FD"/>
    <w:rsid w:val="009B2E70"/>
    <w:rsid w:val="009B2FE8"/>
    <w:rsid w:val="009B3C65"/>
    <w:rsid w:val="009B3ED8"/>
    <w:rsid w:val="009B6034"/>
    <w:rsid w:val="009B606F"/>
    <w:rsid w:val="009C012B"/>
    <w:rsid w:val="009C1514"/>
    <w:rsid w:val="009C1711"/>
    <w:rsid w:val="009C20CB"/>
    <w:rsid w:val="009C3004"/>
    <w:rsid w:val="009C425C"/>
    <w:rsid w:val="009C4850"/>
    <w:rsid w:val="009C4981"/>
    <w:rsid w:val="009C4FE6"/>
    <w:rsid w:val="009C60FB"/>
    <w:rsid w:val="009C68B0"/>
    <w:rsid w:val="009C6A42"/>
    <w:rsid w:val="009C70F3"/>
    <w:rsid w:val="009C7760"/>
    <w:rsid w:val="009D013E"/>
    <w:rsid w:val="009D0B27"/>
    <w:rsid w:val="009D0EF1"/>
    <w:rsid w:val="009D2E49"/>
    <w:rsid w:val="009D4A30"/>
    <w:rsid w:val="009D5CB9"/>
    <w:rsid w:val="009D6DD3"/>
    <w:rsid w:val="009D7725"/>
    <w:rsid w:val="009E0AB8"/>
    <w:rsid w:val="009E0B3A"/>
    <w:rsid w:val="009E2BBC"/>
    <w:rsid w:val="009E2C69"/>
    <w:rsid w:val="009E4910"/>
    <w:rsid w:val="009E4B97"/>
    <w:rsid w:val="009E4E0A"/>
    <w:rsid w:val="009E5399"/>
    <w:rsid w:val="009E5677"/>
    <w:rsid w:val="009E5C22"/>
    <w:rsid w:val="009E67A7"/>
    <w:rsid w:val="009E67C1"/>
    <w:rsid w:val="009E6AFB"/>
    <w:rsid w:val="009E7512"/>
    <w:rsid w:val="009E77B3"/>
    <w:rsid w:val="009F06F6"/>
    <w:rsid w:val="009F0E2E"/>
    <w:rsid w:val="009F104B"/>
    <w:rsid w:val="009F1DF7"/>
    <w:rsid w:val="009F2923"/>
    <w:rsid w:val="009F3B69"/>
    <w:rsid w:val="009F47E5"/>
    <w:rsid w:val="009F4D8A"/>
    <w:rsid w:val="009F50C9"/>
    <w:rsid w:val="009F631B"/>
    <w:rsid w:val="009F63DB"/>
    <w:rsid w:val="009F67DB"/>
    <w:rsid w:val="009F6CBD"/>
    <w:rsid w:val="009F6E78"/>
    <w:rsid w:val="009F6FB2"/>
    <w:rsid w:val="009F7CF5"/>
    <w:rsid w:val="00A0100A"/>
    <w:rsid w:val="00A0109C"/>
    <w:rsid w:val="00A014C8"/>
    <w:rsid w:val="00A01C1E"/>
    <w:rsid w:val="00A0217B"/>
    <w:rsid w:val="00A03344"/>
    <w:rsid w:val="00A03AB2"/>
    <w:rsid w:val="00A047CE"/>
    <w:rsid w:val="00A04B99"/>
    <w:rsid w:val="00A050B5"/>
    <w:rsid w:val="00A05674"/>
    <w:rsid w:val="00A06AFF"/>
    <w:rsid w:val="00A07149"/>
    <w:rsid w:val="00A075DE"/>
    <w:rsid w:val="00A10F06"/>
    <w:rsid w:val="00A111CC"/>
    <w:rsid w:val="00A1242E"/>
    <w:rsid w:val="00A12E75"/>
    <w:rsid w:val="00A136AE"/>
    <w:rsid w:val="00A14FC5"/>
    <w:rsid w:val="00A15B7E"/>
    <w:rsid w:val="00A15E68"/>
    <w:rsid w:val="00A16335"/>
    <w:rsid w:val="00A16903"/>
    <w:rsid w:val="00A1695F"/>
    <w:rsid w:val="00A16BB7"/>
    <w:rsid w:val="00A16D6E"/>
    <w:rsid w:val="00A16E67"/>
    <w:rsid w:val="00A17312"/>
    <w:rsid w:val="00A17D54"/>
    <w:rsid w:val="00A17E32"/>
    <w:rsid w:val="00A20BF4"/>
    <w:rsid w:val="00A217D0"/>
    <w:rsid w:val="00A2316C"/>
    <w:rsid w:val="00A23625"/>
    <w:rsid w:val="00A23D95"/>
    <w:rsid w:val="00A23E25"/>
    <w:rsid w:val="00A242BD"/>
    <w:rsid w:val="00A2439B"/>
    <w:rsid w:val="00A24696"/>
    <w:rsid w:val="00A24E30"/>
    <w:rsid w:val="00A26940"/>
    <w:rsid w:val="00A26C46"/>
    <w:rsid w:val="00A276D1"/>
    <w:rsid w:val="00A27FF6"/>
    <w:rsid w:val="00A3045B"/>
    <w:rsid w:val="00A31502"/>
    <w:rsid w:val="00A325CC"/>
    <w:rsid w:val="00A330B4"/>
    <w:rsid w:val="00A33F31"/>
    <w:rsid w:val="00A35E53"/>
    <w:rsid w:val="00A36A4C"/>
    <w:rsid w:val="00A36CEF"/>
    <w:rsid w:val="00A37014"/>
    <w:rsid w:val="00A40208"/>
    <w:rsid w:val="00A41E65"/>
    <w:rsid w:val="00A41F94"/>
    <w:rsid w:val="00A420B4"/>
    <w:rsid w:val="00A42113"/>
    <w:rsid w:val="00A427E2"/>
    <w:rsid w:val="00A42C04"/>
    <w:rsid w:val="00A430E7"/>
    <w:rsid w:val="00A43653"/>
    <w:rsid w:val="00A444DA"/>
    <w:rsid w:val="00A457FA"/>
    <w:rsid w:val="00A4756E"/>
    <w:rsid w:val="00A47C9E"/>
    <w:rsid w:val="00A50F74"/>
    <w:rsid w:val="00A51D33"/>
    <w:rsid w:val="00A530F8"/>
    <w:rsid w:val="00A53FB7"/>
    <w:rsid w:val="00A55841"/>
    <w:rsid w:val="00A55B4B"/>
    <w:rsid w:val="00A55CBF"/>
    <w:rsid w:val="00A55E3D"/>
    <w:rsid w:val="00A56CF3"/>
    <w:rsid w:val="00A57FA6"/>
    <w:rsid w:val="00A608FA"/>
    <w:rsid w:val="00A62434"/>
    <w:rsid w:val="00A6370E"/>
    <w:rsid w:val="00A63CBD"/>
    <w:rsid w:val="00A63CE0"/>
    <w:rsid w:val="00A63EFD"/>
    <w:rsid w:val="00A63F7E"/>
    <w:rsid w:val="00A641EB"/>
    <w:rsid w:val="00A643B5"/>
    <w:rsid w:val="00A643E3"/>
    <w:rsid w:val="00A64DC3"/>
    <w:rsid w:val="00A65855"/>
    <w:rsid w:val="00A65CD6"/>
    <w:rsid w:val="00A65D6B"/>
    <w:rsid w:val="00A65E82"/>
    <w:rsid w:val="00A667B5"/>
    <w:rsid w:val="00A669E9"/>
    <w:rsid w:val="00A66A4C"/>
    <w:rsid w:val="00A705F9"/>
    <w:rsid w:val="00A70EF8"/>
    <w:rsid w:val="00A72281"/>
    <w:rsid w:val="00A7360F"/>
    <w:rsid w:val="00A73A93"/>
    <w:rsid w:val="00A740B0"/>
    <w:rsid w:val="00A743F7"/>
    <w:rsid w:val="00A7482E"/>
    <w:rsid w:val="00A749D4"/>
    <w:rsid w:val="00A76CAD"/>
    <w:rsid w:val="00A806FA"/>
    <w:rsid w:val="00A81792"/>
    <w:rsid w:val="00A82305"/>
    <w:rsid w:val="00A8420A"/>
    <w:rsid w:val="00A844F9"/>
    <w:rsid w:val="00A853FA"/>
    <w:rsid w:val="00A8542A"/>
    <w:rsid w:val="00A8652B"/>
    <w:rsid w:val="00A872A7"/>
    <w:rsid w:val="00A87A3B"/>
    <w:rsid w:val="00A90B0B"/>
    <w:rsid w:val="00A92245"/>
    <w:rsid w:val="00A92398"/>
    <w:rsid w:val="00A92E5C"/>
    <w:rsid w:val="00A92F01"/>
    <w:rsid w:val="00A934CA"/>
    <w:rsid w:val="00A935B2"/>
    <w:rsid w:val="00A9424C"/>
    <w:rsid w:val="00A9649E"/>
    <w:rsid w:val="00A96A75"/>
    <w:rsid w:val="00A97406"/>
    <w:rsid w:val="00A97C41"/>
    <w:rsid w:val="00AA0145"/>
    <w:rsid w:val="00AA1067"/>
    <w:rsid w:val="00AA1EED"/>
    <w:rsid w:val="00AA24EF"/>
    <w:rsid w:val="00AA298D"/>
    <w:rsid w:val="00AA2C36"/>
    <w:rsid w:val="00AA30A0"/>
    <w:rsid w:val="00AA45EF"/>
    <w:rsid w:val="00AA530D"/>
    <w:rsid w:val="00AA58CE"/>
    <w:rsid w:val="00AA59FA"/>
    <w:rsid w:val="00AA68CA"/>
    <w:rsid w:val="00AA6F3F"/>
    <w:rsid w:val="00AB10CA"/>
    <w:rsid w:val="00AB1685"/>
    <w:rsid w:val="00AB211B"/>
    <w:rsid w:val="00AB3287"/>
    <w:rsid w:val="00AB4277"/>
    <w:rsid w:val="00AB4309"/>
    <w:rsid w:val="00AB4902"/>
    <w:rsid w:val="00AB7AC7"/>
    <w:rsid w:val="00AC0B0E"/>
    <w:rsid w:val="00AC0E27"/>
    <w:rsid w:val="00AC126F"/>
    <w:rsid w:val="00AC189B"/>
    <w:rsid w:val="00AC21F4"/>
    <w:rsid w:val="00AC3084"/>
    <w:rsid w:val="00AC3358"/>
    <w:rsid w:val="00AC38E4"/>
    <w:rsid w:val="00AC3D91"/>
    <w:rsid w:val="00AC4DAE"/>
    <w:rsid w:val="00AC5080"/>
    <w:rsid w:val="00AC5E95"/>
    <w:rsid w:val="00AC7124"/>
    <w:rsid w:val="00AC79D2"/>
    <w:rsid w:val="00AC7A1E"/>
    <w:rsid w:val="00AC7F2A"/>
    <w:rsid w:val="00AD0FAB"/>
    <w:rsid w:val="00AD21C2"/>
    <w:rsid w:val="00AD2A36"/>
    <w:rsid w:val="00AD325A"/>
    <w:rsid w:val="00AD32D9"/>
    <w:rsid w:val="00AD350D"/>
    <w:rsid w:val="00AD467E"/>
    <w:rsid w:val="00AD5EE8"/>
    <w:rsid w:val="00AE0F6A"/>
    <w:rsid w:val="00AE104B"/>
    <w:rsid w:val="00AE1BD7"/>
    <w:rsid w:val="00AE2BC6"/>
    <w:rsid w:val="00AE317A"/>
    <w:rsid w:val="00AE33E5"/>
    <w:rsid w:val="00AE3813"/>
    <w:rsid w:val="00AE5578"/>
    <w:rsid w:val="00AE680D"/>
    <w:rsid w:val="00AE6E8D"/>
    <w:rsid w:val="00AE73BA"/>
    <w:rsid w:val="00AE73C2"/>
    <w:rsid w:val="00AE76BC"/>
    <w:rsid w:val="00AE7A24"/>
    <w:rsid w:val="00AF09A3"/>
    <w:rsid w:val="00AF2D5D"/>
    <w:rsid w:val="00AF36C0"/>
    <w:rsid w:val="00AF40C6"/>
    <w:rsid w:val="00AF4586"/>
    <w:rsid w:val="00AF46B0"/>
    <w:rsid w:val="00AF525C"/>
    <w:rsid w:val="00AF555E"/>
    <w:rsid w:val="00AF5789"/>
    <w:rsid w:val="00AF5C08"/>
    <w:rsid w:val="00AF5F54"/>
    <w:rsid w:val="00AF7207"/>
    <w:rsid w:val="00AF770C"/>
    <w:rsid w:val="00B00456"/>
    <w:rsid w:val="00B011CD"/>
    <w:rsid w:val="00B01BB8"/>
    <w:rsid w:val="00B020B1"/>
    <w:rsid w:val="00B025CE"/>
    <w:rsid w:val="00B02FEA"/>
    <w:rsid w:val="00B0393C"/>
    <w:rsid w:val="00B03A47"/>
    <w:rsid w:val="00B0506F"/>
    <w:rsid w:val="00B05B5C"/>
    <w:rsid w:val="00B069C0"/>
    <w:rsid w:val="00B07E07"/>
    <w:rsid w:val="00B111EA"/>
    <w:rsid w:val="00B11DEF"/>
    <w:rsid w:val="00B11F9D"/>
    <w:rsid w:val="00B135C9"/>
    <w:rsid w:val="00B1542A"/>
    <w:rsid w:val="00B15B2D"/>
    <w:rsid w:val="00B17383"/>
    <w:rsid w:val="00B177D9"/>
    <w:rsid w:val="00B17940"/>
    <w:rsid w:val="00B17D33"/>
    <w:rsid w:val="00B200A5"/>
    <w:rsid w:val="00B2196D"/>
    <w:rsid w:val="00B22737"/>
    <w:rsid w:val="00B22795"/>
    <w:rsid w:val="00B22C67"/>
    <w:rsid w:val="00B23D76"/>
    <w:rsid w:val="00B23DC4"/>
    <w:rsid w:val="00B23E0E"/>
    <w:rsid w:val="00B25911"/>
    <w:rsid w:val="00B259C4"/>
    <w:rsid w:val="00B25CB7"/>
    <w:rsid w:val="00B2718E"/>
    <w:rsid w:val="00B31314"/>
    <w:rsid w:val="00B316BF"/>
    <w:rsid w:val="00B32176"/>
    <w:rsid w:val="00B32E8C"/>
    <w:rsid w:val="00B3400E"/>
    <w:rsid w:val="00B341AC"/>
    <w:rsid w:val="00B3546C"/>
    <w:rsid w:val="00B35893"/>
    <w:rsid w:val="00B36443"/>
    <w:rsid w:val="00B36CF8"/>
    <w:rsid w:val="00B3705E"/>
    <w:rsid w:val="00B40489"/>
    <w:rsid w:val="00B4235B"/>
    <w:rsid w:val="00B42A9D"/>
    <w:rsid w:val="00B42B5B"/>
    <w:rsid w:val="00B42FDC"/>
    <w:rsid w:val="00B43004"/>
    <w:rsid w:val="00B438AF"/>
    <w:rsid w:val="00B43FA1"/>
    <w:rsid w:val="00B4476A"/>
    <w:rsid w:val="00B50024"/>
    <w:rsid w:val="00B500CE"/>
    <w:rsid w:val="00B504CD"/>
    <w:rsid w:val="00B50729"/>
    <w:rsid w:val="00B511FC"/>
    <w:rsid w:val="00B51923"/>
    <w:rsid w:val="00B51F65"/>
    <w:rsid w:val="00B51FAF"/>
    <w:rsid w:val="00B52C73"/>
    <w:rsid w:val="00B53318"/>
    <w:rsid w:val="00B53C37"/>
    <w:rsid w:val="00B5436A"/>
    <w:rsid w:val="00B55776"/>
    <w:rsid w:val="00B55D29"/>
    <w:rsid w:val="00B56982"/>
    <w:rsid w:val="00B56A06"/>
    <w:rsid w:val="00B56EA2"/>
    <w:rsid w:val="00B57EC7"/>
    <w:rsid w:val="00B60B9B"/>
    <w:rsid w:val="00B60DBE"/>
    <w:rsid w:val="00B62BED"/>
    <w:rsid w:val="00B6312E"/>
    <w:rsid w:val="00B6362C"/>
    <w:rsid w:val="00B6387B"/>
    <w:rsid w:val="00B63B51"/>
    <w:rsid w:val="00B63C07"/>
    <w:rsid w:val="00B646FF"/>
    <w:rsid w:val="00B65F1B"/>
    <w:rsid w:val="00B67724"/>
    <w:rsid w:val="00B67D62"/>
    <w:rsid w:val="00B71073"/>
    <w:rsid w:val="00B720A2"/>
    <w:rsid w:val="00B72BF6"/>
    <w:rsid w:val="00B73D80"/>
    <w:rsid w:val="00B73DDB"/>
    <w:rsid w:val="00B73F6F"/>
    <w:rsid w:val="00B74CDE"/>
    <w:rsid w:val="00B75A80"/>
    <w:rsid w:val="00B77219"/>
    <w:rsid w:val="00B773CF"/>
    <w:rsid w:val="00B80ED4"/>
    <w:rsid w:val="00B812DF"/>
    <w:rsid w:val="00B816F5"/>
    <w:rsid w:val="00B83654"/>
    <w:rsid w:val="00B8370F"/>
    <w:rsid w:val="00B83A2C"/>
    <w:rsid w:val="00B846B7"/>
    <w:rsid w:val="00B85485"/>
    <w:rsid w:val="00B85B16"/>
    <w:rsid w:val="00B90C0D"/>
    <w:rsid w:val="00B9355B"/>
    <w:rsid w:val="00B93B81"/>
    <w:rsid w:val="00B95D62"/>
    <w:rsid w:val="00B960AB"/>
    <w:rsid w:val="00B96C6C"/>
    <w:rsid w:val="00B96DF3"/>
    <w:rsid w:val="00BA0538"/>
    <w:rsid w:val="00BA09D5"/>
    <w:rsid w:val="00BA1B45"/>
    <w:rsid w:val="00BA39B2"/>
    <w:rsid w:val="00BA5264"/>
    <w:rsid w:val="00BA62F3"/>
    <w:rsid w:val="00BA7022"/>
    <w:rsid w:val="00BA796C"/>
    <w:rsid w:val="00BA7CFF"/>
    <w:rsid w:val="00BB11B7"/>
    <w:rsid w:val="00BB1204"/>
    <w:rsid w:val="00BB2A44"/>
    <w:rsid w:val="00BB373C"/>
    <w:rsid w:val="00BB3DD7"/>
    <w:rsid w:val="00BB407A"/>
    <w:rsid w:val="00BB4AD8"/>
    <w:rsid w:val="00BB552A"/>
    <w:rsid w:val="00BB5B70"/>
    <w:rsid w:val="00BB5EF1"/>
    <w:rsid w:val="00BB7ED4"/>
    <w:rsid w:val="00BC02EA"/>
    <w:rsid w:val="00BC189D"/>
    <w:rsid w:val="00BC1F5F"/>
    <w:rsid w:val="00BC1FAF"/>
    <w:rsid w:val="00BC22DC"/>
    <w:rsid w:val="00BC2FF3"/>
    <w:rsid w:val="00BC4343"/>
    <w:rsid w:val="00BC5329"/>
    <w:rsid w:val="00BC6374"/>
    <w:rsid w:val="00BC692E"/>
    <w:rsid w:val="00BC6E4B"/>
    <w:rsid w:val="00BC7520"/>
    <w:rsid w:val="00BD023B"/>
    <w:rsid w:val="00BD0332"/>
    <w:rsid w:val="00BD0449"/>
    <w:rsid w:val="00BD1C49"/>
    <w:rsid w:val="00BD2E5F"/>
    <w:rsid w:val="00BD3FDF"/>
    <w:rsid w:val="00BD6EBE"/>
    <w:rsid w:val="00BD7285"/>
    <w:rsid w:val="00BD7DA1"/>
    <w:rsid w:val="00BE026A"/>
    <w:rsid w:val="00BE08FF"/>
    <w:rsid w:val="00BE1704"/>
    <w:rsid w:val="00BE1807"/>
    <w:rsid w:val="00BE191F"/>
    <w:rsid w:val="00BE1DDB"/>
    <w:rsid w:val="00BE22B5"/>
    <w:rsid w:val="00BE25B4"/>
    <w:rsid w:val="00BE275E"/>
    <w:rsid w:val="00BE29B8"/>
    <w:rsid w:val="00BE347D"/>
    <w:rsid w:val="00BE352C"/>
    <w:rsid w:val="00BE40B7"/>
    <w:rsid w:val="00BE4327"/>
    <w:rsid w:val="00BE4A2B"/>
    <w:rsid w:val="00BE5698"/>
    <w:rsid w:val="00BE642E"/>
    <w:rsid w:val="00BE6A28"/>
    <w:rsid w:val="00BE6ABF"/>
    <w:rsid w:val="00BE77A8"/>
    <w:rsid w:val="00BF00A1"/>
    <w:rsid w:val="00BF27A1"/>
    <w:rsid w:val="00BF28E0"/>
    <w:rsid w:val="00BF2B1F"/>
    <w:rsid w:val="00BF424C"/>
    <w:rsid w:val="00BF4D6B"/>
    <w:rsid w:val="00BF5375"/>
    <w:rsid w:val="00BF5497"/>
    <w:rsid w:val="00BF5986"/>
    <w:rsid w:val="00BF699C"/>
    <w:rsid w:val="00BF7145"/>
    <w:rsid w:val="00BF7DF6"/>
    <w:rsid w:val="00C0045D"/>
    <w:rsid w:val="00C022DD"/>
    <w:rsid w:val="00C05C04"/>
    <w:rsid w:val="00C063E8"/>
    <w:rsid w:val="00C06A7E"/>
    <w:rsid w:val="00C06E8A"/>
    <w:rsid w:val="00C076C5"/>
    <w:rsid w:val="00C07845"/>
    <w:rsid w:val="00C07F15"/>
    <w:rsid w:val="00C125E0"/>
    <w:rsid w:val="00C139A0"/>
    <w:rsid w:val="00C14BE5"/>
    <w:rsid w:val="00C163BA"/>
    <w:rsid w:val="00C1682B"/>
    <w:rsid w:val="00C17389"/>
    <w:rsid w:val="00C17D92"/>
    <w:rsid w:val="00C20074"/>
    <w:rsid w:val="00C209EE"/>
    <w:rsid w:val="00C21349"/>
    <w:rsid w:val="00C213D0"/>
    <w:rsid w:val="00C21780"/>
    <w:rsid w:val="00C21B33"/>
    <w:rsid w:val="00C2205E"/>
    <w:rsid w:val="00C2316F"/>
    <w:rsid w:val="00C2363E"/>
    <w:rsid w:val="00C23E2F"/>
    <w:rsid w:val="00C24A6C"/>
    <w:rsid w:val="00C24DA0"/>
    <w:rsid w:val="00C2510A"/>
    <w:rsid w:val="00C2525B"/>
    <w:rsid w:val="00C2564A"/>
    <w:rsid w:val="00C258FA"/>
    <w:rsid w:val="00C25A6F"/>
    <w:rsid w:val="00C26AC1"/>
    <w:rsid w:val="00C308CA"/>
    <w:rsid w:val="00C309AA"/>
    <w:rsid w:val="00C309DC"/>
    <w:rsid w:val="00C31C79"/>
    <w:rsid w:val="00C32C45"/>
    <w:rsid w:val="00C33D32"/>
    <w:rsid w:val="00C35F32"/>
    <w:rsid w:val="00C3655B"/>
    <w:rsid w:val="00C3747F"/>
    <w:rsid w:val="00C37FD3"/>
    <w:rsid w:val="00C40127"/>
    <w:rsid w:val="00C41357"/>
    <w:rsid w:val="00C41818"/>
    <w:rsid w:val="00C41E8F"/>
    <w:rsid w:val="00C44125"/>
    <w:rsid w:val="00C44B42"/>
    <w:rsid w:val="00C463FF"/>
    <w:rsid w:val="00C47650"/>
    <w:rsid w:val="00C50832"/>
    <w:rsid w:val="00C50CFE"/>
    <w:rsid w:val="00C51247"/>
    <w:rsid w:val="00C51FC0"/>
    <w:rsid w:val="00C52017"/>
    <w:rsid w:val="00C528D7"/>
    <w:rsid w:val="00C5430C"/>
    <w:rsid w:val="00C54B74"/>
    <w:rsid w:val="00C54FB9"/>
    <w:rsid w:val="00C55A8D"/>
    <w:rsid w:val="00C55E48"/>
    <w:rsid w:val="00C602DF"/>
    <w:rsid w:val="00C60869"/>
    <w:rsid w:val="00C61694"/>
    <w:rsid w:val="00C61A94"/>
    <w:rsid w:val="00C62124"/>
    <w:rsid w:val="00C6257E"/>
    <w:rsid w:val="00C62777"/>
    <w:rsid w:val="00C6316B"/>
    <w:rsid w:val="00C631D2"/>
    <w:rsid w:val="00C6420F"/>
    <w:rsid w:val="00C65B7A"/>
    <w:rsid w:val="00C66011"/>
    <w:rsid w:val="00C6648D"/>
    <w:rsid w:val="00C71F4A"/>
    <w:rsid w:val="00C728F7"/>
    <w:rsid w:val="00C7344E"/>
    <w:rsid w:val="00C73DF8"/>
    <w:rsid w:val="00C74D91"/>
    <w:rsid w:val="00C75506"/>
    <w:rsid w:val="00C75B55"/>
    <w:rsid w:val="00C763C0"/>
    <w:rsid w:val="00C77F79"/>
    <w:rsid w:val="00C810D4"/>
    <w:rsid w:val="00C81204"/>
    <w:rsid w:val="00C820EA"/>
    <w:rsid w:val="00C821EC"/>
    <w:rsid w:val="00C8230E"/>
    <w:rsid w:val="00C83295"/>
    <w:rsid w:val="00C8367E"/>
    <w:rsid w:val="00C837FE"/>
    <w:rsid w:val="00C83827"/>
    <w:rsid w:val="00C8541A"/>
    <w:rsid w:val="00C85E39"/>
    <w:rsid w:val="00C86468"/>
    <w:rsid w:val="00C86903"/>
    <w:rsid w:val="00C87F29"/>
    <w:rsid w:val="00C91831"/>
    <w:rsid w:val="00C926EF"/>
    <w:rsid w:val="00C92A4C"/>
    <w:rsid w:val="00C93C09"/>
    <w:rsid w:val="00C94AB9"/>
    <w:rsid w:val="00C96F93"/>
    <w:rsid w:val="00C978BC"/>
    <w:rsid w:val="00C979AA"/>
    <w:rsid w:val="00C97D7E"/>
    <w:rsid w:val="00CA0A84"/>
    <w:rsid w:val="00CA0D6B"/>
    <w:rsid w:val="00CA141C"/>
    <w:rsid w:val="00CA3E2D"/>
    <w:rsid w:val="00CA41B9"/>
    <w:rsid w:val="00CA6EAD"/>
    <w:rsid w:val="00CA77C5"/>
    <w:rsid w:val="00CA78FE"/>
    <w:rsid w:val="00CB1B27"/>
    <w:rsid w:val="00CB2427"/>
    <w:rsid w:val="00CB35FA"/>
    <w:rsid w:val="00CB4393"/>
    <w:rsid w:val="00CB4839"/>
    <w:rsid w:val="00CB4EA2"/>
    <w:rsid w:val="00CB4FC2"/>
    <w:rsid w:val="00CB5092"/>
    <w:rsid w:val="00CB550B"/>
    <w:rsid w:val="00CB635F"/>
    <w:rsid w:val="00CB67C1"/>
    <w:rsid w:val="00CB6A08"/>
    <w:rsid w:val="00CB71ED"/>
    <w:rsid w:val="00CC1F89"/>
    <w:rsid w:val="00CC262C"/>
    <w:rsid w:val="00CC2AF2"/>
    <w:rsid w:val="00CC31CF"/>
    <w:rsid w:val="00CC3866"/>
    <w:rsid w:val="00CC3FD7"/>
    <w:rsid w:val="00CC5B48"/>
    <w:rsid w:val="00CC6C8E"/>
    <w:rsid w:val="00CD0DCB"/>
    <w:rsid w:val="00CD2250"/>
    <w:rsid w:val="00CD2C29"/>
    <w:rsid w:val="00CD356A"/>
    <w:rsid w:val="00CD3FA1"/>
    <w:rsid w:val="00CD404E"/>
    <w:rsid w:val="00CD4360"/>
    <w:rsid w:val="00CD44F6"/>
    <w:rsid w:val="00CD5130"/>
    <w:rsid w:val="00CD6CDB"/>
    <w:rsid w:val="00CD7B51"/>
    <w:rsid w:val="00CE01DD"/>
    <w:rsid w:val="00CE05B8"/>
    <w:rsid w:val="00CE0B01"/>
    <w:rsid w:val="00CE1182"/>
    <w:rsid w:val="00CE1598"/>
    <w:rsid w:val="00CE27F7"/>
    <w:rsid w:val="00CE446B"/>
    <w:rsid w:val="00CE4E8D"/>
    <w:rsid w:val="00CE5387"/>
    <w:rsid w:val="00CE7015"/>
    <w:rsid w:val="00CE7A2E"/>
    <w:rsid w:val="00CF03E3"/>
    <w:rsid w:val="00CF11AC"/>
    <w:rsid w:val="00CF1D77"/>
    <w:rsid w:val="00CF255D"/>
    <w:rsid w:val="00CF2D0C"/>
    <w:rsid w:val="00CF425E"/>
    <w:rsid w:val="00CF4F8B"/>
    <w:rsid w:val="00CF540C"/>
    <w:rsid w:val="00CF7459"/>
    <w:rsid w:val="00D0120B"/>
    <w:rsid w:val="00D02121"/>
    <w:rsid w:val="00D02D1A"/>
    <w:rsid w:val="00D03C57"/>
    <w:rsid w:val="00D059FE"/>
    <w:rsid w:val="00D06686"/>
    <w:rsid w:val="00D0674B"/>
    <w:rsid w:val="00D0690B"/>
    <w:rsid w:val="00D07460"/>
    <w:rsid w:val="00D07826"/>
    <w:rsid w:val="00D079F2"/>
    <w:rsid w:val="00D07F4B"/>
    <w:rsid w:val="00D101F8"/>
    <w:rsid w:val="00D1109E"/>
    <w:rsid w:val="00D11132"/>
    <w:rsid w:val="00D128C6"/>
    <w:rsid w:val="00D1315B"/>
    <w:rsid w:val="00D1355A"/>
    <w:rsid w:val="00D138C0"/>
    <w:rsid w:val="00D13B5D"/>
    <w:rsid w:val="00D14FB3"/>
    <w:rsid w:val="00D152B5"/>
    <w:rsid w:val="00D156F0"/>
    <w:rsid w:val="00D16420"/>
    <w:rsid w:val="00D164D8"/>
    <w:rsid w:val="00D20F8E"/>
    <w:rsid w:val="00D2118F"/>
    <w:rsid w:val="00D224C0"/>
    <w:rsid w:val="00D22B4E"/>
    <w:rsid w:val="00D23898"/>
    <w:rsid w:val="00D23A7B"/>
    <w:rsid w:val="00D23B0E"/>
    <w:rsid w:val="00D24432"/>
    <w:rsid w:val="00D247BF"/>
    <w:rsid w:val="00D247DC"/>
    <w:rsid w:val="00D24F71"/>
    <w:rsid w:val="00D25035"/>
    <w:rsid w:val="00D26324"/>
    <w:rsid w:val="00D304DB"/>
    <w:rsid w:val="00D30918"/>
    <w:rsid w:val="00D31A17"/>
    <w:rsid w:val="00D322ED"/>
    <w:rsid w:val="00D3332B"/>
    <w:rsid w:val="00D33C6A"/>
    <w:rsid w:val="00D33E08"/>
    <w:rsid w:val="00D34488"/>
    <w:rsid w:val="00D346A8"/>
    <w:rsid w:val="00D34F74"/>
    <w:rsid w:val="00D36C36"/>
    <w:rsid w:val="00D40D3E"/>
    <w:rsid w:val="00D40ED1"/>
    <w:rsid w:val="00D41F79"/>
    <w:rsid w:val="00D42FA3"/>
    <w:rsid w:val="00D430D3"/>
    <w:rsid w:val="00D4317C"/>
    <w:rsid w:val="00D4441B"/>
    <w:rsid w:val="00D4475F"/>
    <w:rsid w:val="00D452B7"/>
    <w:rsid w:val="00D45C68"/>
    <w:rsid w:val="00D46800"/>
    <w:rsid w:val="00D469A3"/>
    <w:rsid w:val="00D46AD4"/>
    <w:rsid w:val="00D5040D"/>
    <w:rsid w:val="00D50BED"/>
    <w:rsid w:val="00D50D10"/>
    <w:rsid w:val="00D512ED"/>
    <w:rsid w:val="00D5199B"/>
    <w:rsid w:val="00D51F0F"/>
    <w:rsid w:val="00D5223E"/>
    <w:rsid w:val="00D53430"/>
    <w:rsid w:val="00D53BCB"/>
    <w:rsid w:val="00D53FDF"/>
    <w:rsid w:val="00D54373"/>
    <w:rsid w:val="00D5453E"/>
    <w:rsid w:val="00D56CE1"/>
    <w:rsid w:val="00D57C5C"/>
    <w:rsid w:val="00D57EFE"/>
    <w:rsid w:val="00D61571"/>
    <w:rsid w:val="00D61DCB"/>
    <w:rsid w:val="00D61F37"/>
    <w:rsid w:val="00D621AA"/>
    <w:rsid w:val="00D63A37"/>
    <w:rsid w:val="00D63F0D"/>
    <w:rsid w:val="00D64BD2"/>
    <w:rsid w:val="00D6528A"/>
    <w:rsid w:val="00D65CE6"/>
    <w:rsid w:val="00D6724A"/>
    <w:rsid w:val="00D676B7"/>
    <w:rsid w:val="00D71BB1"/>
    <w:rsid w:val="00D7248A"/>
    <w:rsid w:val="00D72B07"/>
    <w:rsid w:val="00D72CB9"/>
    <w:rsid w:val="00D743A1"/>
    <w:rsid w:val="00D74A8B"/>
    <w:rsid w:val="00D76B14"/>
    <w:rsid w:val="00D77971"/>
    <w:rsid w:val="00D77B7F"/>
    <w:rsid w:val="00D81060"/>
    <w:rsid w:val="00D81E67"/>
    <w:rsid w:val="00D8295F"/>
    <w:rsid w:val="00D8432A"/>
    <w:rsid w:val="00D84F27"/>
    <w:rsid w:val="00D862AB"/>
    <w:rsid w:val="00D863B7"/>
    <w:rsid w:val="00D876B9"/>
    <w:rsid w:val="00D91BBC"/>
    <w:rsid w:val="00D9260D"/>
    <w:rsid w:val="00D9286C"/>
    <w:rsid w:val="00D93B21"/>
    <w:rsid w:val="00D93D7D"/>
    <w:rsid w:val="00D954E6"/>
    <w:rsid w:val="00D95581"/>
    <w:rsid w:val="00D97199"/>
    <w:rsid w:val="00D973C9"/>
    <w:rsid w:val="00DA3139"/>
    <w:rsid w:val="00DA31F4"/>
    <w:rsid w:val="00DA40A1"/>
    <w:rsid w:val="00DA4947"/>
    <w:rsid w:val="00DA4D29"/>
    <w:rsid w:val="00DA58EB"/>
    <w:rsid w:val="00DA71DE"/>
    <w:rsid w:val="00DA7593"/>
    <w:rsid w:val="00DB0103"/>
    <w:rsid w:val="00DB0148"/>
    <w:rsid w:val="00DB0444"/>
    <w:rsid w:val="00DB0D4D"/>
    <w:rsid w:val="00DB144F"/>
    <w:rsid w:val="00DB208C"/>
    <w:rsid w:val="00DB24A6"/>
    <w:rsid w:val="00DB2674"/>
    <w:rsid w:val="00DB365E"/>
    <w:rsid w:val="00DB38B1"/>
    <w:rsid w:val="00DB3D51"/>
    <w:rsid w:val="00DB5D0F"/>
    <w:rsid w:val="00DB7792"/>
    <w:rsid w:val="00DB7AAB"/>
    <w:rsid w:val="00DC1171"/>
    <w:rsid w:val="00DC179A"/>
    <w:rsid w:val="00DC17E8"/>
    <w:rsid w:val="00DC2B1D"/>
    <w:rsid w:val="00DC39DA"/>
    <w:rsid w:val="00DC3EFE"/>
    <w:rsid w:val="00DC583B"/>
    <w:rsid w:val="00DC651F"/>
    <w:rsid w:val="00DC74CD"/>
    <w:rsid w:val="00DD158A"/>
    <w:rsid w:val="00DD318E"/>
    <w:rsid w:val="00DD375A"/>
    <w:rsid w:val="00DD55AE"/>
    <w:rsid w:val="00DD6303"/>
    <w:rsid w:val="00DD68DF"/>
    <w:rsid w:val="00DD70D8"/>
    <w:rsid w:val="00DE14F6"/>
    <w:rsid w:val="00DE2271"/>
    <w:rsid w:val="00DE39CB"/>
    <w:rsid w:val="00DE3A8C"/>
    <w:rsid w:val="00DE4447"/>
    <w:rsid w:val="00DE6E92"/>
    <w:rsid w:val="00DE7B9E"/>
    <w:rsid w:val="00DF07BA"/>
    <w:rsid w:val="00DF19EE"/>
    <w:rsid w:val="00DF1C8D"/>
    <w:rsid w:val="00DF2634"/>
    <w:rsid w:val="00DF34B0"/>
    <w:rsid w:val="00DF5F20"/>
    <w:rsid w:val="00DF6376"/>
    <w:rsid w:val="00DF6A21"/>
    <w:rsid w:val="00DF7147"/>
    <w:rsid w:val="00DF7CC7"/>
    <w:rsid w:val="00DF7DE2"/>
    <w:rsid w:val="00E00180"/>
    <w:rsid w:val="00E03092"/>
    <w:rsid w:val="00E03363"/>
    <w:rsid w:val="00E04554"/>
    <w:rsid w:val="00E04ACA"/>
    <w:rsid w:val="00E05325"/>
    <w:rsid w:val="00E05DB6"/>
    <w:rsid w:val="00E064B6"/>
    <w:rsid w:val="00E0743B"/>
    <w:rsid w:val="00E07A5B"/>
    <w:rsid w:val="00E1050C"/>
    <w:rsid w:val="00E10537"/>
    <w:rsid w:val="00E10C8A"/>
    <w:rsid w:val="00E10E29"/>
    <w:rsid w:val="00E11738"/>
    <w:rsid w:val="00E12A2E"/>
    <w:rsid w:val="00E12D2F"/>
    <w:rsid w:val="00E12E34"/>
    <w:rsid w:val="00E1340C"/>
    <w:rsid w:val="00E136B2"/>
    <w:rsid w:val="00E13E76"/>
    <w:rsid w:val="00E1560E"/>
    <w:rsid w:val="00E161DA"/>
    <w:rsid w:val="00E205F2"/>
    <w:rsid w:val="00E2092E"/>
    <w:rsid w:val="00E20E3E"/>
    <w:rsid w:val="00E2189F"/>
    <w:rsid w:val="00E22F3A"/>
    <w:rsid w:val="00E2355F"/>
    <w:rsid w:val="00E25137"/>
    <w:rsid w:val="00E2523B"/>
    <w:rsid w:val="00E2589B"/>
    <w:rsid w:val="00E25CBF"/>
    <w:rsid w:val="00E26102"/>
    <w:rsid w:val="00E27970"/>
    <w:rsid w:val="00E27B6C"/>
    <w:rsid w:val="00E31905"/>
    <w:rsid w:val="00E31A0D"/>
    <w:rsid w:val="00E327D4"/>
    <w:rsid w:val="00E332C8"/>
    <w:rsid w:val="00E33835"/>
    <w:rsid w:val="00E33D49"/>
    <w:rsid w:val="00E355C8"/>
    <w:rsid w:val="00E37E31"/>
    <w:rsid w:val="00E4030F"/>
    <w:rsid w:val="00E40B5F"/>
    <w:rsid w:val="00E4170F"/>
    <w:rsid w:val="00E42334"/>
    <w:rsid w:val="00E423D3"/>
    <w:rsid w:val="00E435DB"/>
    <w:rsid w:val="00E4367B"/>
    <w:rsid w:val="00E436E4"/>
    <w:rsid w:val="00E44665"/>
    <w:rsid w:val="00E449DC"/>
    <w:rsid w:val="00E4716D"/>
    <w:rsid w:val="00E47221"/>
    <w:rsid w:val="00E475E3"/>
    <w:rsid w:val="00E475F3"/>
    <w:rsid w:val="00E478B4"/>
    <w:rsid w:val="00E47B46"/>
    <w:rsid w:val="00E47E4D"/>
    <w:rsid w:val="00E51268"/>
    <w:rsid w:val="00E5176E"/>
    <w:rsid w:val="00E518A2"/>
    <w:rsid w:val="00E51FEA"/>
    <w:rsid w:val="00E5426F"/>
    <w:rsid w:val="00E55334"/>
    <w:rsid w:val="00E560C5"/>
    <w:rsid w:val="00E56418"/>
    <w:rsid w:val="00E56A41"/>
    <w:rsid w:val="00E57304"/>
    <w:rsid w:val="00E5760E"/>
    <w:rsid w:val="00E60CEA"/>
    <w:rsid w:val="00E61937"/>
    <w:rsid w:val="00E61CEE"/>
    <w:rsid w:val="00E63C89"/>
    <w:rsid w:val="00E642CA"/>
    <w:rsid w:val="00E652D7"/>
    <w:rsid w:val="00E655CF"/>
    <w:rsid w:val="00E65CED"/>
    <w:rsid w:val="00E661E5"/>
    <w:rsid w:val="00E663A5"/>
    <w:rsid w:val="00E6675A"/>
    <w:rsid w:val="00E72D1B"/>
    <w:rsid w:val="00E75808"/>
    <w:rsid w:val="00E75C02"/>
    <w:rsid w:val="00E768AB"/>
    <w:rsid w:val="00E80720"/>
    <w:rsid w:val="00E81B5D"/>
    <w:rsid w:val="00E8433A"/>
    <w:rsid w:val="00E84AE2"/>
    <w:rsid w:val="00E84C46"/>
    <w:rsid w:val="00E853B7"/>
    <w:rsid w:val="00E866BB"/>
    <w:rsid w:val="00E86737"/>
    <w:rsid w:val="00E87211"/>
    <w:rsid w:val="00E8730D"/>
    <w:rsid w:val="00E90311"/>
    <w:rsid w:val="00E93837"/>
    <w:rsid w:val="00E94A0F"/>
    <w:rsid w:val="00E95273"/>
    <w:rsid w:val="00E954D6"/>
    <w:rsid w:val="00E955B9"/>
    <w:rsid w:val="00E966E7"/>
    <w:rsid w:val="00E96FB5"/>
    <w:rsid w:val="00EA0447"/>
    <w:rsid w:val="00EA0B8B"/>
    <w:rsid w:val="00EA0BFD"/>
    <w:rsid w:val="00EA1E6D"/>
    <w:rsid w:val="00EA2458"/>
    <w:rsid w:val="00EA2723"/>
    <w:rsid w:val="00EA294F"/>
    <w:rsid w:val="00EA2C1A"/>
    <w:rsid w:val="00EA2F57"/>
    <w:rsid w:val="00EA30E8"/>
    <w:rsid w:val="00EA7116"/>
    <w:rsid w:val="00EA7AA0"/>
    <w:rsid w:val="00EA7DB8"/>
    <w:rsid w:val="00EB1D8E"/>
    <w:rsid w:val="00EB1E2F"/>
    <w:rsid w:val="00EB1F31"/>
    <w:rsid w:val="00EB1FFE"/>
    <w:rsid w:val="00EB2B44"/>
    <w:rsid w:val="00EB2C70"/>
    <w:rsid w:val="00EB2E06"/>
    <w:rsid w:val="00EB303F"/>
    <w:rsid w:val="00EB34DD"/>
    <w:rsid w:val="00EB354B"/>
    <w:rsid w:val="00EB3FD0"/>
    <w:rsid w:val="00EB51AA"/>
    <w:rsid w:val="00EB52E5"/>
    <w:rsid w:val="00EB53C4"/>
    <w:rsid w:val="00EB6007"/>
    <w:rsid w:val="00EB6B50"/>
    <w:rsid w:val="00EB7BCA"/>
    <w:rsid w:val="00EC0DD1"/>
    <w:rsid w:val="00EC13C4"/>
    <w:rsid w:val="00EC1DA3"/>
    <w:rsid w:val="00EC1F94"/>
    <w:rsid w:val="00EC23A4"/>
    <w:rsid w:val="00EC2CF9"/>
    <w:rsid w:val="00EC307A"/>
    <w:rsid w:val="00EC3313"/>
    <w:rsid w:val="00EC46F9"/>
    <w:rsid w:val="00EC64BD"/>
    <w:rsid w:val="00EC6E02"/>
    <w:rsid w:val="00EC7598"/>
    <w:rsid w:val="00ED2280"/>
    <w:rsid w:val="00ED24BB"/>
    <w:rsid w:val="00ED505E"/>
    <w:rsid w:val="00ED5B32"/>
    <w:rsid w:val="00ED660B"/>
    <w:rsid w:val="00ED66B4"/>
    <w:rsid w:val="00ED6D64"/>
    <w:rsid w:val="00ED78B8"/>
    <w:rsid w:val="00EE02C7"/>
    <w:rsid w:val="00EE1080"/>
    <w:rsid w:val="00EE24C3"/>
    <w:rsid w:val="00EE25C2"/>
    <w:rsid w:val="00EE2BE2"/>
    <w:rsid w:val="00EE36E1"/>
    <w:rsid w:val="00EE41CF"/>
    <w:rsid w:val="00EE4567"/>
    <w:rsid w:val="00EE476D"/>
    <w:rsid w:val="00EE621C"/>
    <w:rsid w:val="00EE75A8"/>
    <w:rsid w:val="00EE7851"/>
    <w:rsid w:val="00EE7C94"/>
    <w:rsid w:val="00EF0367"/>
    <w:rsid w:val="00EF0458"/>
    <w:rsid w:val="00EF1034"/>
    <w:rsid w:val="00EF12E1"/>
    <w:rsid w:val="00EF18F1"/>
    <w:rsid w:val="00EF4EAC"/>
    <w:rsid w:val="00EF6692"/>
    <w:rsid w:val="00EF6EBF"/>
    <w:rsid w:val="00EF6FBD"/>
    <w:rsid w:val="00F0030D"/>
    <w:rsid w:val="00F008CD"/>
    <w:rsid w:val="00F017BE"/>
    <w:rsid w:val="00F022E3"/>
    <w:rsid w:val="00F02816"/>
    <w:rsid w:val="00F02A12"/>
    <w:rsid w:val="00F02ECE"/>
    <w:rsid w:val="00F0382F"/>
    <w:rsid w:val="00F048E8"/>
    <w:rsid w:val="00F05090"/>
    <w:rsid w:val="00F05259"/>
    <w:rsid w:val="00F05A2A"/>
    <w:rsid w:val="00F05F66"/>
    <w:rsid w:val="00F06098"/>
    <w:rsid w:val="00F06A31"/>
    <w:rsid w:val="00F07006"/>
    <w:rsid w:val="00F10173"/>
    <w:rsid w:val="00F10399"/>
    <w:rsid w:val="00F10D49"/>
    <w:rsid w:val="00F127AB"/>
    <w:rsid w:val="00F12B64"/>
    <w:rsid w:val="00F12F5B"/>
    <w:rsid w:val="00F14E6B"/>
    <w:rsid w:val="00F163D4"/>
    <w:rsid w:val="00F175DA"/>
    <w:rsid w:val="00F17C9B"/>
    <w:rsid w:val="00F22B6D"/>
    <w:rsid w:val="00F24011"/>
    <w:rsid w:val="00F240A7"/>
    <w:rsid w:val="00F24620"/>
    <w:rsid w:val="00F24BBC"/>
    <w:rsid w:val="00F2539D"/>
    <w:rsid w:val="00F26AC3"/>
    <w:rsid w:val="00F26C55"/>
    <w:rsid w:val="00F27C32"/>
    <w:rsid w:val="00F304CD"/>
    <w:rsid w:val="00F32585"/>
    <w:rsid w:val="00F32A30"/>
    <w:rsid w:val="00F35C15"/>
    <w:rsid w:val="00F364A2"/>
    <w:rsid w:val="00F37713"/>
    <w:rsid w:val="00F37DCA"/>
    <w:rsid w:val="00F405F8"/>
    <w:rsid w:val="00F406C4"/>
    <w:rsid w:val="00F41937"/>
    <w:rsid w:val="00F41A2C"/>
    <w:rsid w:val="00F41BE9"/>
    <w:rsid w:val="00F41FC6"/>
    <w:rsid w:val="00F4247C"/>
    <w:rsid w:val="00F43EDD"/>
    <w:rsid w:val="00F44318"/>
    <w:rsid w:val="00F446B1"/>
    <w:rsid w:val="00F44933"/>
    <w:rsid w:val="00F456F3"/>
    <w:rsid w:val="00F45A67"/>
    <w:rsid w:val="00F45A94"/>
    <w:rsid w:val="00F465E0"/>
    <w:rsid w:val="00F466C9"/>
    <w:rsid w:val="00F47022"/>
    <w:rsid w:val="00F470F2"/>
    <w:rsid w:val="00F479D4"/>
    <w:rsid w:val="00F47D2D"/>
    <w:rsid w:val="00F517D1"/>
    <w:rsid w:val="00F571C9"/>
    <w:rsid w:val="00F57741"/>
    <w:rsid w:val="00F577E3"/>
    <w:rsid w:val="00F60B28"/>
    <w:rsid w:val="00F6130F"/>
    <w:rsid w:val="00F614E1"/>
    <w:rsid w:val="00F64D06"/>
    <w:rsid w:val="00F656A3"/>
    <w:rsid w:val="00F6728C"/>
    <w:rsid w:val="00F700A6"/>
    <w:rsid w:val="00F70689"/>
    <w:rsid w:val="00F70C64"/>
    <w:rsid w:val="00F71510"/>
    <w:rsid w:val="00F71850"/>
    <w:rsid w:val="00F71B34"/>
    <w:rsid w:val="00F73E6A"/>
    <w:rsid w:val="00F73FE2"/>
    <w:rsid w:val="00F74B00"/>
    <w:rsid w:val="00F76ECE"/>
    <w:rsid w:val="00F771F1"/>
    <w:rsid w:val="00F77424"/>
    <w:rsid w:val="00F77524"/>
    <w:rsid w:val="00F80586"/>
    <w:rsid w:val="00F81283"/>
    <w:rsid w:val="00F81F17"/>
    <w:rsid w:val="00F81FC0"/>
    <w:rsid w:val="00F821C0"/>
    <w:rsid w:val="00F8260B"/>
    <w:rsid w:val="00F8268B"/>
    <w:rsid w:val="00F82873"/>
    <w:rsid w:val="00F842FD"/>
    <w:rsid w:val="00F84FE6"/>
    <w:rsid w:val="00F86AC8"/>
    <w:rsid w:val="00F86DE8"/>
    <w:rsid w:val="00F904BA"/>
    <w:rsid w:val="00F90B38"/>
    <w:rsid w:val="00F90C92"/>
    <w:rsid w:val="00F90F5E"/>
    <w:rsid w:val="00F913BC"/>
    <w:rsid w:val="00F91851"/>
    <w:rsid w:val="00F91E5E"/>
    <w:rsid w:val="00F92068"/>
    <w:rsid w:val="00F92C1A"/>
    <w:rsid w:val="00F940A3"/>
    <w:rsid w:val="00F9463C"/>
    <w:rsid w:val="00F94666"/>
    <w:rsid w:val="00F95211"/>
    <w:rsid w:val="00F952CA"/>
    <w:rsid w:val="00F95E96"/>
    <w:rsid w:val="00F95EC3"/>
    <w:rsid w:val="00F97152"/>
    <w:rsid w:val="00F97499"/>
    <w:rsid w:val="00F97512"/>
    <w:rsid w:val="00F97E03"/>
    <w:rsid w:val="00FA25D4"/>
    <w:rsid w:val="00FA3483"/>
    <w:rsid w:val="00FA3967"/>
    <w:rsid w:val="00FA3CDC"/>
    <w:rsid w:val="00FA65B4"/>
    <w:rsid w:val="00FA6F0D"/>
    <w:rsid w:val="00FA791E"/>
    <w:rsid w:val="00FB1379"/>
    <w:rsid w:val="00FB1549"/>
    <w:rsid w:val="00FB185E"/>
    <w:rsid w:val="00FB203A"/>
    <w:rsid w:val="00FB220E"/>
    <w:rsid w:val="00FB2574"/>
    <w:rsid w:val="00FB2A54"/>
    <w:rsid w:val="00FB2E68"/>
    <w:rsid w:val="00FB326E"/>
    <w:rsid w:val="00FB39D4"/>
    <w:rsid w:val="00FB3A0D"/>
    <w:rsid w:val="00FB444B"/>
    <w:rsid w:val="00FB46B8"/>
    <w:rsid w:val="00FB5261"/>
    <w:rsid w:val="00FB5B35"/>
    <w:rsid w:val="00FB5DC4"/>
    <w:rsid w:val="00FB6D46"/>
    <w:rsid w:val="00FB7339"/>
    <w:rsid w:val="00FB7BE6"/>
    <w:rsid w:val="00FB7F29"/>
    <w:rsid w:val="00FC008C"/>
    <w:rsid w:val="00FC01B4"/>
    <w:rsid w:val="00FC1C68"/>
    <w:rsid w:val="00FC2DE8"/>
    <w:rsid w:val="00FC3A43"/>
    <w:rsid w:val="00FC3A4F"/>
    <w:rsid w:val="00FC4493"/>
    <w:rsid w:val="00FC5175"/>
    <w:rsid w:val="00FC5583"/>
    <w:rsid w:val="00FC573F"/>
    <w:rsid w:val="00FC68BC"/>
    <w:rsid w:val="00FC69CF"/>
    <w:rsid w:val="00FC769A"/>
    <w:rsid w:val="00FC7F86"/>
    <w:rsid w:val="00FD061B"/>
    <w:rsid w:val="00FD0A33"/>
    <w:rsid w:val="00FD0D85"/>
    <w:rsid w:val="00FD0E60"/>
    <w:rsid w:val="00FD15AB"/>
    <w:rsid w:val="00FD164B"/>
    <w:rsid w:val="00FD1D2A"/>
    <w:rsid w:val="00FD370D"/>
    <w:rsid w:val="00FD42CC"/>
    <w:rsid w:val="00FD45A7"/>
    <w:rsid w:val="00FD47CA"/>
    <w:rsid w:val="00FD5A77"/>
    <w:rsid w:val="00FD5E21"/>
    <w:rsid w:val="00FD68EA"/>
    <w:rsid w:val="00FE042A"/>
    <w:rsid w:val="00FE0B09"/>
    <w:rsid w:val="00FE10EA"/>
    <w:rsid w:val="00FE1F6C"/>
    <w:rsid w:val="00FE24A3"/>
    <w:rsid w:val="00FE31F1"/>
    <w:rsid w:val="00FE32DC"/>
    <w:rsid w:val="00FE4377"/>
    <w:rsid w:val="00FE43D3"/>
    <w:rsid w:val="00FE46F9"/>
    <w:rsid w:val="00FE50A4"/>
    <w:rsid w:val="00FE78E5"/>
    <w:rsid w:val="00FF03CE"/>
    <w:rsid w:val="00FF03E5"/>
    <w:rsid w:val="00FF08C2"/>
    <w:rsid w:val="00FF2C5E"/>
    <w:rsid w:val="00FF2D78"/>
    <w:rsid w:val="00FF3803"/>
    <w:rsid w:val="00FF39C9"/>
    <w:rsid w:val="00FF4B55"/>
    <w:rsid w:val="00FF6864"/>
    <w:rsid w:val="00FF6D74"/>
    <w:rsid w:val="00FF6ED3"/>
    <w:rsid w:val="01001825"/>
    <w:rsid w:val="01076A23"/>
    <w:rsid w:val="010E7A8C"/>
    <w:rsid w:val="010F16C9"/>
    <w:rsid w:val="01197706"/>
    <w:rsid w:val="0123442C"/>
    <w:rsid w:val="01486ADA"/>
    <w:rsid w:val="01637C38"/>
    <w:rsid w:val="0173611A"/>
    <w:rsid w:val="018863DE"/>
    <w:rsid w:val="01911E00"/>
    <w:rsid w:val="01995B0E"/>
    <w:rsid w:val="01A9669A"/>
    <w:rsid w:val="01AB7876"/>
    <w:rsid w:val="01C43BD3"/>
    <w:rsid w:val="01D0623D"/>
    <w:rsid w:val="01EC3E90"/>
    <w:rsid w:val="01F37F18"/>
    <w:rsid w:val="020000B3"/>
    <w:rsid w:val="021230E1"/>
    <w:rsid w:val="022A6074"/>
    <w:rsid w:val="023B64CA"/>
    <w:rsid w:val="026274D0"/>
    <w:rsid w:val="02831FA8"/>
    <w:rsid w:val="02863998"/>
    <w:rsid w:val="029410C9"/>
    <w:rsid w:val="02A735DE"/>
    <w:rsid w:val="02A750EE"/>
    <w:rsid w:val="02B85936"/>
    <w:rsid w:val="02BA2CA1"/>
    <w:rsid w:val="02F021C0"/>
    <w:rsid w:val="030E3E7B"/>
    <w:rsid w:val="031E2E30"/>
    <w:rsid w:val="03266478"/>
    <w:rsid w:val="035B670A"/>
    <w:rsid w:val="03863ABF"/>
    <w:rsid w:val="03961DA1"/>
    <w:rsid w:val="03B46C2F"/>
    <w:rsid w:val="03BE416D"/>
    <w:rsid w:val="03CA1FAF"/>
    <w:rsid w:val="03CB4A54"/>
    <w:rsid w:val="03D83ADE"/>
    <w:rsid w:val="03E95DB8"/>
    <w:rsid w:val="03F553A0"/>
    <w:rsid w:val="03F61FB6"/>
    <w:rsid w:val="03FD4B85"/>
    <w:rsid w:val="03FD54C6"/>
    <w:rsid w:val="03FE40AA"/>
    <w:rsid w:val="03FE68DB"/>
    <w:rsid w:val="0409278B"/>
    <w:rsid w:val="041E0AC8"/>
    <w:rsid w:val="045D2E23"/>
    <w:rsid w:val="04650E5C"/>
    <w:rsid w:val="04667F49"/>
    <w:rsid w:val="0472717F"/>
    <w:rsid w:val="04A55C7C"/>
    <w:rsid w:val="04B36EE7"/>
    <w:rsid w:val="04CA7B18"/>
    <w:rsid w:val="04CE77F7"/>
    <w:rsid w:val="04EF7E11"/>
    <w:rsid w:val="04F04282"/>
    <w:rsid w:val="051650C9"/>
    <w:rsid w:val="054468F5"/>
    <w:rsid w:val="05500BDA"/>
    <w:rsid w:val="05544226"/>
    <w:rsid w:val="05557C1D"/>
    <w:rsid w:val="055F591D"/>
    <w:rsid w:val="056347C6"/>
    <w:rsid w:val="056E63DB"/>
    <w:rsid w:val="05742935"/>
    <w:rsid w:val="05816FE5"/>
    <w:rsid w:val="05883B81"/>
    <w:rsid w:val="05917228"/>
    <w:rsid w:val="05950618"/>
    <w:rsid w:val="05AF0943"/>
    <w:rsid w:val="05DF4867"/>
    <w:rsid w:val="05E12049"/>
    <w:rsid w:val="05EA5B50"/>
    <w:rsid w:val="05EE467B"/>
    <w:rsid w:val="05EF3F4F"/>
    <w:rsid w:val="05F44BC5"/>
    <w:rsid w:val="06131B3E"/>
    <w:rsid w:val="06163797"/>
    <w:rsid w:val="062455B6"/>
    <w:rsid w:val="06310AB5"/>
    <w:rsid w:val="06551B25"/>
    <w:rsid w:val="065F7385"/>
    <w:rsid w:val="066A1827"/>
    <w:rsid w:val="067F47EF"/>
    <w:rsid w:val="06922428"/>
    <w:rsid w:val="06BE1888"/>
    <w:rsid w:val="06D3561E"/>
    <w:rsid w:val="06FF0989"/>
    <w:rsid w:val="071A149F"/>
    <w:rsid w:val="072940D8"/>
    <w:rsid w:val="072B0FB7"/>
    <w:rsid w:val="072C4A28"/>
    <w:rsid w:val="074D22E3"/>
    <w:rsid w:val="07510F14"/>
    <w:rsid w:val="076E252E"/>
    <w:rsid w:val="07C62394"/>
    <w:rsid w:val="07FC2953"/>
    <w:rsid w:val="084C7436"/>
    <w:rsid w:val="08540CAD"/>
    <w:rsid w:val="0857140A"/>
    <w:rsid w:val="086D7F6B"/>
    <w:rsid w:val="089C37D3"/>
    <w:rsid w:val="08EC75CA"/>
    <w:rsid w:val="09093579"/>
    <w:rsid w:val="093F0D49"/>
    <w:rsid w:val="094E0192"/>
    <w:rsid w:val="0961647B"/>
    <w:rsid w:val="096F7BCD"/>
    <w:rsid w:val="0977515E"/>
    <w:rsid w:val="097A5FF3"/>
    <w:rsid w:val="09954B85"/>
    <w:rsid w:val="09ED6ABF"/>
    <w:rsid w:val="0A0D52EB"/>
    <w:rsid w:val="0A287A2F"/>
    <w:rsid w:val="0A30144D"/>
    <w:rsid w:val="0A3A3DFD"/>
    <w:rsid w:val="0A481D34"/>
    <w:rsid w:val="0A4F28BA"/>
    <w:rsid w:val="0A6F6763"/>
    <w:rsid w:val="0A777974"/>
    <w:rsid w:val="0A870BFA"/>
    <w:rsid w:val="0AEF0A53"/>
    <w:rsid w:val="0AF1220D"/>
    <w:rsid w:val="0AF3003D"/>
    <w:rsid w:val="0B134402"/>
    <w:rsid w:val="0B495EAF"/>
    <w:rsid w:val="0B4D42E0"/>
    <w:rsid w:val="0B654088"/>
    <w:rsid w:val="0B6E4D36"/>
    <w:rsid w:val="0B7A6919"/>
    <w:rsid w:val="0B7C44D7"/>
    <w:rsid w:val="0B7F3EA2"/>
    <w:rsid w:val="0B7F776E"/>
    <w:rsid w:val="0BAD643E"/>
    <w:rsid w:val="0BC32769"/>
    <w:rsid w:val="0BEA5508"/>
    <w:rsid w:val="0BF56037"/>
    <w:rsid w:val="0C216FD7"/>
    <w:rsid w:val="0C234952"/>
    <w:rsid w:val="0C2B3B44"/>
    <w:rsid w:val="0C30706F"/>
    <w:rsid w:val="0C403756"/>
    <w:rsid w:val="0C8F14A3"/>
    <w:rsid w:val="0C9356C5"/>
    <w:rsid w:val="0CB577F4"/>
    <w:rsid w:val="0CBE7FE6"/>
    <w:rsid w:val="0CE841C3"/>
    <w:rsid w:val="0CF17FF1"/>
    <w:rsid w:val="0D3C4E89"/>
    <w:rsid w:val="0D3F0C2D"/>
    <w:rsid w:val="0D69541D"/>
    <w:rsid w:val="0D721847"/>
    <w:rsid w:val="0D821718"/>
    <w:rsid w:val="0D8256A8"/>
    <w:rsid w:val="0D921D8F"/>
    <w:rsid w:val="0D9E6986"/>
    <w:rsid w:val="0DAD56EB"/>
    <w:rsid w:val="0E01259E"/>
    <w:rsid w:val="0E6A3B41"/>
    <w:rsid w:val="0EAE27B4"/>
    <w:rsid w:val="0EB2020F"/>
    <w:rsid w:val="0EE5358C"/>
    <w:rsid w:val="0EE77EB9"/>
    <w:rsid w:val="0EF2177B"/>
    <w:rsid w:val="0F133DCD"/>
    <w:rsid w:val="0F144A26"/>
    <w:rsid w:val="0F1F58A5"/>
    <w:rsid w:val="0F54656D"/>
    <w:rsid w:val="0F803E6A"/>
    <w:rsid w:val="0F831766"/>
    <w:rsid w:val="0F9E119E"/>
    <w:rsid w:val="0FAD1102"/>
    <w:rsid w:val="0FC86796"/>
    <w:rsid w:val="0FCC1026"/>
    <w:rsid w:val="0FE26893"/>
    <w:rsid w:val="102E38C6"/>
    <w:rsid w:val="103440A9"/>
    <w:rsid w:val="106A3F0B"/>
    <w:rsid w:val="107B7052"/>
    <w:rsid w:val="108129BD"/>
    <w:rsid w:val="10B464C1"/>
    <w:rsid w:val="10B74439"/>
    <w:rsid w:val="10BC5375"/>
    <w:rsid w:val="10BE2E9B"/>
    <w:rsid w:val="10D70A4C"/>
    <w:rsid w:val="10DA645D"/>
    <w:rsid w:val="10DC0358"/>
    <w:rsid w:val="10F863AD"/>
    <w:rsid w:val="10F94CFD"/>
    <w:rsid w:val="110A4CC8"/>
    <w:rsid w:val="112B2923"/>
    <w:rsid w:val="11340324"/>
    <w:rsid w:val="115B4B8E"/>
    <w:rsid w:val="11621A79"/>
    <w:rsid w:val="116C0567"/>
    <w:rsid w:val="1178129C"/>
    <w:rsid w:val="11826A24"/>
    <w:rsid w:val="11826AFE"/>
    <w:rsid w:val="11B05264"/>
    <w:rsid w:val="11D43A19"/>
    <w:rsid w:val="11DB5676"/>
    <w:rsid w:val="11E33CC4"/>
    <w:rsid w:val="1225349F"/>
    <w:rsid w:val="12297BD1"/>
    <w:rsid w:val="122F69BB"/>
    <w:rsid w:val="12612E3B"/>
    <w:rsid w:val="126F08F1"/>
    <w:rsid w:val="12762D02"/>
    <w:rsid w:val="127A78BA"/>
    <w:rsid w:val="12802AFE"/>
    <w:rsid w:val="12A85BB1"/>
    <w:rsid w:val="12B05FA2"/>
    <w:rsid w:val="12BC3025"/>
    <w:rsid w:val="1311603E"/>
    <w:rsid w:val="13126E1E"/>
    <w:rsid w:val="131A01D7"/>
    <w:rsid w:val="13386F35"/>
    <w:rsid w:val="13400886"/>
    <w:rsid w:val="134542B6"/>
    <w:rsid w:val="1388339C"/>
    <w:rsid w:val="139878D5"/>
    <w:rsid w:val="139D63A6"/>
    <w:rsid w:val="139E0D62"/>
    <w:rsid w:val="13AD0C23"/>
    <w:rsid w:val="13AE369B"/>
    <w:rsid w:val="13E31627"/>
    <w:rsid w:val="13EF71EA"/>
    <w:rsid w:val="143F0797"/>
    <w:rsid w:val="144813FA"/>
    <w:rsid w:val="147922AC"/>
    <w:rsid w:val="149B70C2"/>
    <w:rsid w:val="14FE5F5C"/>
    <w:rsid w:val="150F3CC6"/>
    <w:rsid w:val="15134B37"/>
    <w:rsid w:val="15252A82"/>
    <w:rsid w:val="153B44F3"/>
    <w:rsid w:val="154E52D4"/>
    <w:rsid w:val="156404B5"/>
    <w:rsid w:val="15750C3C"/>
    <w:rsid w:val="1592408A"/>
    <w:rsid w:val="15973CBB"/>
    <w:rsid w:val="15C6756A"/>
    <w:rsid w:val="16270B89"/>
    <w:rsid w:val="162A7BEE"/>
    <w:rsid w:val="16633B0B"/>
    <w:rsid w:val="167A7E9F"/>
    <w:rsid w:val="16864058"/>
    <w:rsid w:val="169052DA"/>
    <w:rsid w:val="16915340"/>
    <w:rsid w:val="169923E1"/>
    <w:rsid w:val="16A20857"/>
    <w:rsid w:val="16CD208A"/>
    <w:rsid w:val="16D1511F"/>
    <w:rsid w:val="16F5338F"/>
    <w:rsid w:val="17143815"/>
    <w:rsid w:val="171A52B7"/>
    <w:rsid w:val="171C4609"/>
    <w:rsid w:val="17345C65"/>
    <w:rsid w:val="175E0F34"/>
    <w:rsid w:val="17732723"/>
    <w:rsid w:val="17892DEC"/>
    <w:rsid w:val="179A9173"/>
    <w:rsid w:val="17A54DB5"/>
    <w:rsid w:val="17D27110"/>
    <w:rsid w:val="17D66D1D"/>
    <w:rsid w:val="17EE2C2D"/>
    <w:rsid w:val="17EE49E1"/>
    <w:rsid w:val="180C61C0"/>
    <w:rsid w:val="18106FD8"/>
    <w:rsid w:val="183B1409"/>
    <w:rsid w:val="186C142F"/>
    <w:rsid w:val="187316F1"/>
    <w:rsid w:val="1889681B"/>
    <w:rsid w:val="18B43502"/>
    <w:rsid w:val="18BF5A03"/>
    <w:rsid w:val="19191896"/>
    <w:rsid w:val="193E726F"/>
    <w:rsid w:val="194C60DB"/>
    <w:rsid w:val="19832ED4"/>
    <w:rsid w:val="19E00B88"/>
    <w:rsid w:val="19EC090B"/>
    <w:rsid w:val="1A040D24"/>
    <w:rsid w:val="1A046325"/>
    <w:rsid w:val="1A196AE3"/>
    <w:rsid w:val="1A2328BA"/>
    <w:rsid w:val="1A687B6E"/>
    <w:rsid w:val="1A871FC2"/>
    <w:rsid w:val="1A8B2040"/>
    <w:rsid w:val="1A930EF5"/>
    <w:rsid w:val="1AAB17D5"/>
    <w:rsid w:val="1AB61745"/>
    <w:rsid w:val="1ABA2925"/>
    <w:rsid w:val="1AC55BC3"/>
    <w:rsid w:val="1B065B6B"/>
    <w:rsid w:val="1B100BD3"/>
    <w:rsid w:val="1B190EE1"/>
    <w:rsid w:val="1B1E2EB4"/>
    <w:rsid w:val="1B1E4B60"/>
    <w:rsid w:val="1B2046DF"/>
    <w:rsid w:val="1B373F76"/>
    <w:rsid w:val="1B7B0307"/>
    <w:rsid w:val="1B810425"/>
    <w:rsid w:val="1B8D3ED9"/>
    <w:rsid w:val="1B927649"/>
    <w:rsid w:val="1B9E5895"/>
    <w:rsid w:val="1BB67BA3"/>
    <w:rsid w:val="1BC10824"/>
    <w:rsid w:val="1BD068CA"/>
    <w:rsid w:val="1BD356C5"/>
    <w:rsid w:val="1BF64D06"/>
    <w:rsid w:val="1BF73705"/>
    <w:rsid w:val="1C006FCD"/>
    <w:rsid w:val="1C1442B7"/>
    <w:rsid w:val="1C2D2A1E"/>
    <w:rsid w:val="1C314BB8"/>
    <w:rsid w:val="1C4921B3"/>
    <w:rsid w:val="1C4D43BE"/>
    <w:rsid w:val="1C725B22"/>
    <w:rsid w:val="1CAC629E"/>
    <w:rsid w:val="1CC23AC5"/>
    <w:rsid w:val="1CD30D8C"/>
    <w:rsid w:val="1D245C69"/>
    <w:rsid w:val="1D3772A1"/>
    <w:rsid w:val="1D416008"/>
    <w:rsid w:val="1D6E6EDB"/>
    <w:rsid w:val="1D8169F5"/>
    <w:rsid w:val="1D821E11"/>
    <w:rsid w:val="1D94745E"/>
    <w:rsid w:val="1D9C4564"/>
    <w:rsid w:val="1DA3117A"/>
    <w:rsid w:val="1DE220E7"/>
    <w:rsid w:val="1DF107C0"/>
    <w:rsid w:val="1E235AC2"/>
    <w:rsid w:val="1E347D63"/>
    <w:rsid w:val="1E390005"/>
    <w:rsid w:val="1E595026"/>
    <w:rsid w:val="1E6A4663"/>
    <w:rsid w:val="1E6A5AB2"/>
    <w:rsid w:val="1E8219AC"/>
    <w:rsid w:val="1EBC3076"/>
    <w:rsid w:val="1EC85FBD"/>
    <w:rsid w:val="1EDD2028"/>
    <w:rsid w:val="1EE6018D"/>
    <w:rsid w:val="1EE61F3B"/>
    <w:rsid w:val="1EEE2B9E"/>
    <w:rsid w:val="1EEE7F5A"/>
    <w:rsid w:val="1F275574"/>
    <w:rsid w:val="1F64646D"/>
    <w:rsid w:val="1F991197"/>
    <w:rsid w:val="1FB241F9"/>
    <w:rsid w:val="1FD724E3"/>
    <w:rsid w:val="20047F9E"/>
    <w:rsid w:val="20177E6D"/>
    <w:rsid w:val="201C7F8D"/>
    <w:rsid w:val="20351013"/>
    <w:rsid w:val="204213F3"/>
    <w:rsid w:val="205A766C"/>
    <w:rsid w:val="20617C78"/>
    <w:rsid w:val="207304E8"/>
    <w:rsid w:val="207336EE"/>
    <w:rsid w:val="2084616F"/>
    <w:rsid w:val="20872080"/>
    <w:rsid w:val="208732AD"/>
    <w:rsid w:val="20874B24"/>
    <w:rsid w:val="20971A13"/>
    <w:rsid w:val="20981B70"/>
    <w:rsid w:val="209F6845"/>
    <w:rsid w:val="20B041C4"/>
    <w:rsid w:val="20B120D5"/>
    <w:rsid w:val="20B83463"/>
    <w:rsid w:val="20BE7E8A"/>
    <w:rsid w:val="20DC21C7"/>
    <w:rsid w:val="20EA5F76"/>
    <w:rsid w:val="20F36B91"/>
    <w:rsid w:val="20F772CA"/>
    <w:rsid w:val="214E201A"/>
    <w:rsid w:val="215469C2"/>
    <w:rsid w:val="216B497A"/>
    <w:rsid w:val="216C24A0"/>
    <w:rsid w:val="218F1824"/>
    <w:rsid w:val="21BF2474"/>
    <w:rsid w:val="21C022EF"/>
    <w:rsid w:val="21CD432B"/>
    <w:rsid w:val="21D97B35"/>
    <w:rsid w:val="21DA53E1"/>
    <w:rsid w:val="21F20BF7"/>
    <w:rsid w:val="21F229A5"/>
    <w:rsid w:val="221A53AB"/>
    <w:rsid w:val="222F32B3"/>
    <w:rsid w:val="226759CE"/>
    <w:rsid w:val="2272152B"/>
    <w:rsid w:val="227855A0"/>
    <w:rsid w:val="228D5E10"/>
    <w:rsid w:val="22904DF6"/>
    <w:rsid w:val="22A353AF"/>
    <w:rsid w:val="22A85AAD"/>
    <w:rsid w:val="22AA14D2"/>
    <w:rsid w:val="22B42350"/>
    <w:rsid w:val="22C14EC7"/>
    <w:rsid w:val="22C32593"/>
    <w:rsid w:val="23026517"/>
    <w:rsid w:val="230F7F83"/>
    <w:rsid w:val="23104DCA"/>
    <w:rsid w:val="23264FFC"/>
    <w:rsid w:val="232A616E"/>
    <w:rsid w:val="23497571"/>
    <w:rsid w:val="234E00AF"/>
    <w:rsid w:val="2355143D"/>
    <w:rsid w:val="2358717F"/>
    <w:rsid w:val="2364776F"/>
    <w:rsid w:val="2369138D"/>
    <w:rsid w:val="239E495F"/>
    <w:rsid w:val="23B5422D"/>
    <w:rsid w:val="23BB7F7F"/>
    <w:rsid w:val="23C53658"/>
    <w:rsid w:val="23F328B3"/>
    <w:rsid w:val="23F71D1B"/>
    <w:rsid w:val="23F944BF"/>
    <w:rsid w:val="24086E7E"/>
    <w:rsid w:val="2414038F"/>
    <w:rsid w:val="242D23BA"/>
    <w:rsid w:val="245872B7"/>
    <w:rsid w:val="245C67FB"/>
    <w:rsid w:val="247578BD"/>
    <w:rsid w:val="2479647B"/>
    <w:rsid w:val="248F105E"/>
    <w:rsid w:val="24973CD7"/>
    <w:rsid w:val="24AA13F9"/>
    <w:rsid w:val="24BD6F97"/>
    <w:rsid w:val="24C02540"/>
    <w:rsid w:val="24C93B03"/>
    <w:rsid w:val="24E862E1"/>
    <w:rsid w:val="25306B25"/>
    <w:rsid w:val="253D73D2"/>
    <w:rsid w:val="254E26CA"/>
    <w:rsid w:val="25545725"/>
    <w:rsid w:val="257619F1"/>
    <w:rsid w:val="257D2ECD"/>
    <w:rsid w:val="258210BA"/>
    <w:rsid w:val="259317E3"/>
    <w:rsid w:val="25D603F1"/>
    <w:rsid w:val="25EA751A"/>
    <w:rsid w:val="260B672B"/>
    <w:rsid w:val="261647BC"/>
    <w:rsid w:val="2635729F"/>
    <w:rsid w:val="26546A75"/>
    <w:rsid w:val="265726FE"/>
    <w:rsid w:val="265C0D35"/>
    <w:rsid w:val="26844E66"/>
    <w:rsid w:val="269404CF"/>
    <w:rsid w:val="26995AE5"/>
    <w:rsid w:val="26EA379B"/>
    <w:rsid w:val="270F40F6"/>
    <w:rsid w:val="273B094A"/>
    <w:rsid w:val="27483067"/>
    <w:rsid w:val="2797386C"/>
    <w:rsid w:val="279A4198"/>
    <w:rsid w:val="27AE3812"/>
    <w:rsid w:val="27B34984"/>
    <w:rsid w:val="27BF77CD"/>
    <w:rsid w:val="27CB2D2B"/>
    <w:rsid w:val="280E2422"/>
    <w:rsid w:val="281D27A4"/>
    <w:rsid w:val="28284519"/>
    <w:rsid w:val="285413C1"/>
    <w:rsid w:val="289B14D2"/>
    <w:rsid w:val="28A569C3"/>
    <w:rsid w:val="28C865B6"/>
    <w:rsid w:val="28D2558A"/>
    <w:rsid w:val="28FE60D3"/>
    <w:rsid w:val="29071554"/>
    <w:rsid w:val="294837F2"/>
    <w:rsid w:val="294A3F98"/>
    <w:rsid w:val="29632BCD"/>
    <w:rsid w:val="296D7532"/>
    <w:rsid w:val="29824AD5"/>
    <w:rsid w:val="29900277"/>
    <w:rsid w:val="299A3484"/>
    <w:rsid w:val="29A5006B"/>
    <w:rsid w:val="29A81C0A"/>
    <w:rsid w:val="29AA0A52"/>
    <w:rsid w:val="29B27D20"/>
    <w:rsid w:val="29CC61D1"/>
    <w:rsid w:val="2A04596B"/>
    <w:rsid w:val="2A2B7E7E"/>
    <w:rsid w:val="2A5B027A"/>
    <w:rsid w:val="2A6472EE"/>
    <w:rsid w:val="2A712530"/>
    <w:rsid w:val="2A925A2E"/>
    <w:rsid w:val="2AE35581"/>
    <w:rsid w:val="2AE769AF"/>
    <w:rsid w:val="2AEB2687"/>
    <w:rsid w:val="2AF02C0C"/>
    <w:rsid w:val="2AFC4894"/>
    <w:rsid w:val="2B107CEA"/>
    <w:rsid w:val="2B2F5835"/>
    <w:rsid w:val="2B3B53BD"/>
    <w:rsid w:val="2B560EBA"/>
    <w:rsid w:val="2B667F60"/>
    <w:rsid w:val="2BAF13B9"/>
    <w:rsid w:val="2BEE60E5"/>
    <w:rsid w:val="2C0E0D23"/>
    <w:rsid w:val="2C1005F7"/>
    <w:rsid w:val="2C22032B"/>
    <w:rsid w:val="2C2323A9"/>
    <w:rsid w:val="2C272ABE"/>
    <w:rsid w:val="2C4C67C0"/>
    <w:rsid w:val="2C69788B"/>
    <w:rsid w:val="2C7B56F9"/>
    <w:rsid w:val="2C955CF2"/>
    <w:rsid w:val="2C9E2129"/>
    <w:rsid w:val="2CC3566A"/>
    <w:rsid w:val="2CF0465C"/>
    <w:rsid w:val="2CF20480"/>
    <w:rsid w:val="2D1A1BF1"/>
    <w:rsid w:val="2D371A10"/>
    <w:rsid w:val="2D536F3E"/>
    <w:rsid w:val="2D60110A"/>
    <w:rsid w:val="2D60730D"/>
    <w:rsid w:val="2D7D3301"/>
    <w:rsid w:val="2D840190"/>
    <w:rsid w:val="2DE97352"/>
    <w:rsid w:val="2DEE2BBA"/>
    <w:rsid w:val="2DF96662"/>
    <w:rsid w:val="2DFEA2DC"/>
    <w:rsid w:val="2E057F04"/>
    <w:rsid w:val="2E106A25"/>
    <w:rsid w:val="2E273693"/>
    <w:rsid w:val="2E2A5040"/>
    <w:rsid w:val="2E2B7AAF"/>
    <w:rsid w:val="2E372816"/>
    <w:rsid w:val="2E5C6AB2"/>
    <w:rsid w:val="2E864BA1"/>
    <w:rsid w:val="2EA76DB2"/>
    <w:rsid w:val="2EB3170E"/>
    <w:rsid w:val="2EC60DB2"/>
    <w:rsid w:val="2F052AD9"/>
    <w:rsid w:val="2F210D9C"/>
    <w:rsid w:val="2F64045F"/>
    <w:rsid w:val="2F7D11C0"/>
    <w:rsid w:val="2F9F64BA"/>
    <w:rsid w:val="2FA379D4"/>
    <w:rsid w:val="2FA826E5"/>
    <w:rsid w:val="2FC93BAF"/>
    <w:rsid w:val="2FE53B49"/>
    <w:rsid w:val="302A36F0"/>
    <w:rsid w:val="305E29D6"/>
    <w:rsid w:val="305F38FB"/>
    <w:rsid w:val="30625D97"/>
    <w:rsid w:val="30705B08"/>
    <w:rsid w:val="30930289"/>
    <w:rsid w:val="30AF64B9"/>
    <w:rsid w:val="30CF523D"/>
    <w:rsid w:val="3103195A"/>
    <w:rsid w:val="31083F93"/>
    <w:rsid w:val="3129584F"/>
    <w:rsid w:val="312A4FF7"/>
    <w:rsid w:val="31307046"/>
    <w:rsid w:val="31440D43"/>
    <w:rsid w:val="317309CA"/>
    <w:rsid w:val="317B587D"/>
    <w:rsid w:val="317E4D10"/>
    <w:rsid w:val="31800C22"/>
    <w:rsid w:val="3194461A"/>
    <w:rsid w:val="319D7F1D"/>
    <w:rsid w:val="319E0453"/>
    <w:rsid w:val="31A377FE"/>
    <w:rsid w:val="31CA1248"/>
    <w:rsid w:val="31D67BED"/>
    <w:rsid w:val="31FE336C"/>
    <w:rsid w:val="32097494"/>
    <w:rsid w:val="32252923"/>
    <w:rsid w:val="322D30EC"/>
    <w:rsid w:val="3234700A"/>
    <w:rsid w:val="32933D30"/>
    <w:rsid w:val="32941F27"/>
    <w:rsid w:val="32BA783F"/>
    <w:rsid w:val="32BB0E30"/>
    <w:rsid w:val="32DC3144"/>
    <w:rsid w:val="32FF43A1"/>
    <w:rsid w:val="330E785B"/>
    <w:rsid w:val="33557238"/>
    <w:rsid w:val="335A3A08"/>
    <w:rsid w:val="335A484E"/>
    <w:rsid w:val="336C10EA"/>
    <w:rsid w:val="338F4358"/>
    <w:rsid w:val="339026F4"/>
    <w:rsid w:val="33AA1077"/>
    <w:rsid w:val="33C30645"/>
    <w:rsid w:val="33D346F2"/>
    <w:rsid w:val="33EA7980"/>
    <w:rsid w:val="33FF7719"/>
    <w:rsid w:val="34655258"/>
    <w:rsid w:val="34657CEE"/>
    <w:rsid w:val="349E1E34"/>
    <w:rsid w:val="34E8519F"/>
    <w:rsid w:val="350F21D1"/>
    <w:rsid w:val="3527071F"/>
    <w:rsid w:val="3542410D"/>
    <w:rsid w:val="3558184C"/>
    <w:rsid w:val="35583E9E"/>
    <w:rsid w:val="35E970A0"/>
    <w:rsid w:val="361C4F2B"/>
    <w:rsid w:val="36483084"/>
    <w:rsid w:val="364D44DE"/>
    <w:rsid w:val="3650732A"/>
    <w:rsid w:val="365633EB"/>
    <w:rsid w:val="36A12595"/>
    <w:rsid w:val="36AA5DDE"/>
    <w:rsid w:val="36BE49AD"/>
    <w:rsid w:val="36CC7557"/>
    <w:rsid w:val="36D176A9"/>
    <w:rsid w:val="3714473E"/>
    <w:rsid w:val="372735A2"/>
    <w:rsid w:val="37337C01"/>
    <w:rsid w:val="37543CEC"/>
    <w:rsid w:val="3756532C"/>
    <w:rsid w:val="37702892"/>
    <w:rsid w:val="37904CE2"/>
    <w:rsid w:val="37A10C9D"/>
    <w:rsid w:val="380B6117"/>
    <w:rsid w:val="38223430"/>
    <w:rsid w:val="385A1558"/>
    <w:rsid w:val="387168C2"/>
    <w:rsid w:val="38770B74"/>
    <w:rsid w:val="387C7FE0"/>
    <w:rsid w:val="388C54AA"/>
    <w:rsid w:val="38B10B16"/>
    <w:rsid w:val="38B65BC7"/>
    <w:rsid w:val="38C60F51"/>
    <w:rsid w:val="38CB383E"/>
    <w:rsid w:val="38CF1021"/>
    <w:rsid w:val="39074B30"/>
    <w:rsid w:val="390B3148"/>
    <w:rsid w:val="390F7E89"/>
    <w:rsid w:val="39142D26"/>
    <w:rsid w:val="39414C54"/>
    <w:rsid w:val="396106E4"/>
    <w:rsid w:val="396961F7"/>
    <w:rsid w:val="39822FD3"/>
    <w:rsid w:val="399A3A84"/>
    <w:rsid w:val="39AA252A"/>
    <w:rsid w:val="39F33306"/>
    <w:rsid w:val="3A127C30"/>
    <w:rsid w:val="3A182920"/>
    <w:rsid w:val="3A824DB6"/>
    <w:rsid w:val="3A9E3272"/>
    <w:rsid w:val="3AA36ADA"/>
    <w:rsid w:val="3B277F78"/>
    <w:rsid w:val="3B3D5A56"/>
    <w:rsid w:val="3B4954C1"/>
    <w:rsid w:val="3B4E2EEA"/>
    <w:rsid w:val="3B6C3713"/>
    <w:rsid w:val="3B900608"/>
    <w:rsid w:val="3BAA3081"/>
    <w:rsid w:val="3BAB6B64"/>
    <w:rsid w:val="3BD905F5"/>
    <w:rsid w:val="3C013EC8"/>
    <w:rsid w:val="3C1F74F3"/>
    <w:rsid w:val="3C5A766D"/>
    <w:rsid w:val="3C636521"/>
    <w:rsid w:val="3C795D45"/>
    <w:rsid w:val="3C7E6961"/>
    <w:rsid w:val="3C886BC7"/>
    <w:rsid w:val="3C8F37BA"/>
    <w:rsid w:val="3CD56996"/>
    <w:rsid w:val="3CF9F87E"/>
    <w:rsid w:val="3CFE449C"/>
    <w:rsid w:val="3D006466"/>
    <w:rsid w:val="3D0119FD"/>
    <w:rsid w:val="3D380B81"/>
    <w:rsid w:val="3D3A028E"/>
    <w:rsid w:val="3D3F670D"/>
    <w:rsid w:val="3D4C3459"/>
    <w:rsid w:val="3D745710"/>
    <w:rsid w:val="3D7A4E3D"/>
    <w:rsid w:val="3DA74B34"/>
    <w:rsid w:val="3DBD491F"/>
    <w:rsid w:val="3DCF7004"/>
    <w:rsid w:val="3DD2492E"/>
    <w:rsid w:val="3E0B1FC7"/>
    <w:rsid w:val="3E155F41"/>
    <w:rsid w:val="3E1F25A6"/>
    <w:rsid w:val="3E4308EA"/>
    <w:rsid w:val="3E6538AD"/>
    <w:rsid w:val="3E6B53B3"/>
    <w:rsid w:val="3EB219E2"/>
    <w:rsid w:val="3ED656D0"/>
    <w:rsid w:val="3EFDE191"/>
    <w:rsid w:val="3F1D19EF"/>
    <w:rsid w:val="3F7ADA7C"/>
    <w:rsid w:val="3FB446F7"/>
    <w:rsid w:val="3FB82DF2"/>
    <w:rsid w:val="3FBD5393"/>
    <w:rsid w:val="3FC944B9"/>
    <w:rsid w:val="3FE11085"/>
    <w:rsid w:val="3FE21D48"/>
    <w:rsid w:val="3FE55318"/>
    <w:rsid w:val="3FE91026"/>
    <w:rsid w:val="3FFDBE95"/>
    <w:rsid w:val="3FFFB7F1"/>
    <w:rsid w:val="404623E2"/>
    <w:rsid w:val="4059764F"/>
    <w:rsid w:val="4091073C"/>
    <w:rsid w:val="40B545FC"/>
    <w:rsid w:val="40BE01CA"/>
    <w:rsid w:val="40C44FE1"/>
    <w:rsid w:val="40CB3B13"/>
    <w:rsid w:val="413F57F4"/>
    <w:rsid w:val="415D65BC"/>
    <w:rsid w:val="416B4A03"/>
    <w:rsid w:val="41850A30"/>
    <w:rsid w:val="418B7228"/>
    <w:rsid w:val="41923076"/>
    <w:rsid w:val="419527AC"/>
    <w:rsid w:val="41A67FDD"/>
    <w:rsid w:val="41B12F6B"/>
    <w:rsid w:val="41C56A80"/>
    <w:rsid w:val="41EF2605"/>
    <w:rsid w:val="41F8770C"/>
    <w:rsid w:val="4209736D"/>
    <w:rsid w:val="423F533B"/>
    <w:rsid w:val="42644C3B"/>
    <w:rsid w:val="428E62C2"/>
    <w:rsid w:val="42921ADB"/>
    <w:rsid w:val="42E76D61"/>
    <w:rsid w:val="42EE0B0F"/>
    <w:rsid w:val="42EF6D61"/>
    <w:rsid w:val="431D18E9"/>
    <w:rsid w:val="431E13F4"/>
    <w:rsid w:val="43212C92"/>
    <w:rsid w:val="43252782"/>
    <w:rsid w:val="434619C9"/>
    <w:rsid w:val="436161D2"/>
    <w:rsid w:val="436831F8"/>
    <w:rsid w:val="43746378"/>
    <w:rsid w:val="438B7B37"/>
    <w:rsid w:val="439A6FA3"/>
    <w:rsid w:val="439E42E3"/>
    <w:rsid w:val="43E3536B"/>
    <w:rsid w:val="43F9318E"/>
    <w:rsid w:val="44110CDB"/>
    <w:rsid w:val="442620EB"/>
    <w:rsid w:val="442C65CB"/>
    <w:rsid w:val="444E5520"/>
    <w:rsid w:val="446A2991"/>
    <w:rsid w:val="447C7168"/>
    <w:rsid w:val="44805212"/>
    <w:rsid w:val="448B5508"/>
    <w:rsid w:val="44A51CE2"/>
    <w:rsid w:val="44A57033"/>
    <w:rsid w:val="44D206E8"/>
    <w:rsid w:val="450B74B3"/>
    <w:rsid w:val="45102BFB"/>
    <w:rsid w:val="453B3013"/>
    <w:rsid w:val="453E3599"/>
    <w:rsid w:val="457F00D7"/>
    <w:rsid w:val="45BE4389"/>
    <w:rsid w:val="45E5269D"/>
    <w:rsid w:val="4629258A"/>
    <w:rsid w:val="46503FBA"/>
    <w:rsid w:val="46535859"/>
    <w:rsid w:val="465A6C4E"/>
    <w:rsid w:val="465F0A11"/>
    <w:rsid w:val="46604917"/>
    <w:rsid w:val="468C0E45"/>
    <w:rsid w:val="4690085B"/>
    <w:rsid w:val="469C4AF8"/>
    <w:rsid w:val="46B34549"/>
    <w:rsid w:val="46B95213"/>
    <w:rsid w:val="46C9321E"/>
    <w:rsid w:val="46CB6FCA"/>
    <w:rsid w:val="46D257FF"/>
    <w:rsid w:val="46F56910"/>
    <w:rsid w:val="470C04F6"/>
    <w:rsid w:val="472672C2"/>
    <w:rsid w:val="47272014"/>
    <w:rsid w:val="47315E70"/>
    <w:rsid w:val="47321912"/>
    <w:rsid w:val="47544186"/>
    <w:rsid w:val="47564C5B"/>
    <w:rsid w:val="475E66C8"/>
    <w:rsid w:val="476F534A"/>
    <w:rsid w:val="47947ED7"/>
    <w:rsid w:val="47A85730"/>
    <w:rsid w:val="47FD2D50"/>
    <w:rsid w:val="47FE3C23"/>
    <w:rsid w:val="47FF2D07"/>
    <w:rsid w:val="482C6361"/>
    <w:rsid w:val="482C7913"/>
    <w:rsid w:val="48360FE9"/>
    <w:rsid w:val="483D103A"/>
    <w:rsid w:val="484C6A03"/>
    <w:rsid w:val="48670409"/>
    <w:rsid w:val="48691A2A"/>
    <w:rsid w:val="48831CF9"/>
    <w:rsid w:val="4899631B"/>
    <w:rsid w:val="48A633AB"/>
    <w:rsid w:val="48A65D38"/>
    <w:rsid w:val="48AA50F7"/>
    <w:rsid w:val="48C902EF"/>
    <w:rsid w:val="48E06305"/>
    <w:rsid w:val="48EC3D42"/>
    <w:rsid w:val="48EC789E"/>
    <w:rsid w:val="48F20BBF"/>
    <w:rsid w:val="48F23705"/>
    <w:rsid w:val="48FD7CFE"/>
    <w:rsid w:val="490F7D05"/>
    <w:rsid w:val="4919677F"/>
    <w:rsid w:val="495B1C6F"/>
    <w:rsid w:val="498E0956"/>
    <w:rsid w:val="498E500E"/>
    <w:rsid w:val="49B86BC4"/>
    <w:rsid w:val="49BF7977"/>
    <w:rsid w:val="49C2712F"/>
    <w:rsid w:val="4A080F4F"/>
    <w:rsid w:val="4ABA40AA"/>
    <w:rsid w:val="4AC74F56"/>
    <w:rsid w:val="4AF0316F"/>
    <w:rsid w:val="4AFE1C9D"/>
    <w:rsid w:val="4B0A6DE9"/>
    <w:rsid w:val="4B0D2666"/>
    <w:rsid w:val="4B2F4B00"/>
    <w:rsid w:val="4B486714"/>
    <w:rsid w:val="4B4E6BEB"/>
    <w:rsid w:val="4B56786C"/>
    <w:rsid w:val="4B6A7A2B"/>
    <w:rsid w:val="4B6D2F19"/>
    <w:rsid w:val="4BA660BA"/>
    <w:rsid w:val="4BB902E5"/>
    <w:rsid w:val="4BC6509A"/>
    <w:rsid w:val="4BC93EC7"/>
    <w:rsid w:val="4BED22AB"/>
    <w:rsid w:val="4C2832E3"/>
    <w:rsid w:val="4C2E6A32"/>
    <w:rsid w:val="4C39729F"/>
    <w:rsid w:val="4C4719BC"/>
    <w:rsid w:val="4C4F4A9A"/>
    <w:rsid w:val="4C5916EF"/>
    <w:rsid w:val="4C5E4867"/>
    <w:rsid w:val="4C6136AD"/>
    <w:rsid w:val="4C853C60"/>
    <w:rsid w:val="4C8A7AF0"/>
    <w:rsid w:val="4C8D2859"/>
    <w:rsid w:val="4CA071DE"/>
    <w:rsid w:val="4CC606B0"/>
    <w:rsid w:val="4CF761FD"/>
    <w:rsid w:val="4D0F4261"/>
    <w:rsid w:val="4D1C446A"/>
    <w:rsid w:val="4D2659C2"/>
    <w:rsid w:val="4D2E1AAC"/>
    <w:rsid w:val="4D4835F6"/>
    <w:rsid w:val="4D4B04E0"/>
    <w:rsid w:val="4D5C3245"/>
    <w:rsid w:val="4D6B5417"/>
    <w:rsid w:val="4D9634C6"/>
    <w:rsid w:val="4D990116"/>
    <w:rsid w:val="4D9D560B"/>
    <w:rsid w:val="4DB76740"/>
    <w:rsid w:val="4DBB4021"/>
    <w:rsid w:val="4DDB537D"/>
    <w:rsid w:val="4DEC4264"/>
    <w:rsid w:val="4DFDEE27"/>
    <w:rsid w:val="4E127DA7"/>
    <w:rsid w:val="4E2B4C35"/>
    <w:rsid w:val="4E47556D"/>
    <w:rsid w:val="4E772300"/>
    <w:rsid w:val="4E942D6D"/>
    <w:rsid w:val="4E9C3B15"/>
    <w:rsid w:val="4E9E646A"/>
    <w:rsid w:val="4EBA520B"/>
    <w:rsid w:val="4EE71F66"/>
    <w:rsid w:val="4EF23735"/>
    <w:rsid w:val="4F1F5B32"/>
    <w:rsid w:val="4F441423"/>
    <w:rsid w:val="4F4423B6"/>
    <w:rsid w:val="4F6C4963"/>
    <w:rsid w:val="4F6F2367"/>
    <w:rsid w:val="4FE55608"/>
    <w:rsid w:val="503B44BB"/>
    <w:rsid w:val="507F7D0F"/>
    <w:rsid w:val="508605D9"/>
    <w:rsid w:val="509B6D55"/>
    <w:rsid w:val="50B33A0F"/>
    <w:rsid w:val="50CA3E58"/>
    <w:rsid w:val="50CA6717"/>
    <w:rsid w:val="50DF5635"/>
    <w:rsid w:val="50E11DC9"/>
    <w:rsid w:val="50F006B8"/>
    <w:rsid w:val="50FB4B23"/>
    <w:rsid w:val="50FF6321"/>
    <w:rsid w:val="513F209B"/>
    <w:rsid w:val="515D05E9"/>
    <w:rsid w:val="51786E44"/>
    <w:rsid w:val="5181771E"/>
    <w:rsid w:val="518B56EA"/>
    <w:rsid w:val="51BE64DD"/>
    <w:rsid w:val="51F953B7"/>
    <w:rsid w:val="522D79AA"/>
    <w:rsid w:val="5245699D"/>
    <w:rsid w:val="5249476D"/>
    <w:rsid w:val="524B54ED"/>
    <w:rsid w:val="526070FB"/>
    <w:rsid w:val="526A530F"/>
    <w:rsid w:val="52927709"/>
    <w:rsid w:val="529E19CD"/>
    <w:rsid w:val="52EC0AD9"/>
    <w:rsid w:val="52F178D4"/>
    <w:rsid w:val="52F23A62"/>
    <w:rsid w:val="530D4737"/>
    <w:rsid w:val="5314488E"/>
    <w:rsid w:val="532D1051"/>
    <w:rsid w:val="53591FD4"/>
    <w:rsid w:val="53656BCB"/>
    <w:rsid w:val="53667ED0"/>
    <w:rsid w:val="53696B6D"/>
    <w:rsid w:val="537533A7"/>
    <w:rsid w:val="537A4ED3"/>
    <w:rsid w:val="5394300C"/>
    <w:rsid w:val="53E1774C"/>
    <w:rsid w:val="53E21FCA"/>
    <w:rsid w:val="53F009AE"/>
    <w:rsid w:val="54471256"/>
    <w:rsid w:val="546B1FBF"/>
    <w:rsid w:val="548C65E6"/>
    <w:rsid w:val="54A248D8"/>
    <w:rsid w:val="54B93936"/>
    <w:rsid w:val="5501079D"/>
    <w:rsid w:val="553D1BAE"/>
    <w:rsid w:val="55517407"/>
    <w:rsid w:val="556A2277"/>
    <w:rsid w:val="556B4703"/>
    <w:rsid w:val="557E3F74"/>
    <w:rsid w:val="558504E7"/>
    <w:rsid w:val="55937A20"/>
    <w:rsid w:val="55997895"/>
    <w:rsid w:val="559D786F"/>
    <w:rsid w:val="55BF1536"/>
    <w:rsid w:val="55C1386E"/>
    <w:rsid w:val="55CA59CE"/>
    <w:rsid w:val="55E24198"/>
    <w:rsid w:val="55F97762"/>
    <w:rsid w:val="561A5A4B"/>
    <w:rsid w:val="56337506"/>
    <w:rsid w:val="563D4328"/>
    <w:rsid w:val="56430108"/>
    <w:rsid w:val="56B617E6"/>
    <w:rsid w:val="56F4277B"/>
    <w:rsid w:val="56F616CA"/>
    <w:rsid w:val="570A4ADF"/>
    <w:rsid w:val="57176663"/>
    <w:rsid w:val="57351C7D"/>
    <w:rsid w:val="57396991"/>
    <w:rsid w:val="575B456D"/>
    <w:rsid w:val="57916771"/>
    <w:rsid w:val="5794324D"/>
    <w:rsid w:val="579463C5"/>
    <w:rsid w:val="57B6F5EB"/>
    <w:rsid w:val="57C40364"/>
    <w:rsid w:val="57CC0FC7"/>
    <w:rsid w:val="57FE3ABC"/>
    <w:rsid w:val="58030761"/>
    <w:rsid w:val="582368F5"/>
    <w:rsid w:val="58342C2C"/>
    <w:rsid w:val="583B6E44"/>
    <w:rsid w:val="585B688B"/>
    <w:rsid w:val="58722BC5"/>
    <w:rsid w:val="588A3322"/>
    <w:rsid w:val="59254E33"/>
    <w:rsid w:val="59417A9D"/>
    <w:rsid w:val="595923E8"/>
    <w:rsid w:val="596F5713"/>
    <w:rsid w:val="59706503"/>
    <w:rsid w:val="59BF6E8C"/>
    <w:rsid w:val="5A1031F5"/>
    <w:rsid w:val="5A331260"/>
    <w:rsid w:val="5A3D7F5A"/>
    <w:rsid w:val="5A4025AB"/>
    <w:rsid w:val="5A421A14"/>
    <w:rsid w:val="5A44578C"/>
    <w:rsid w:val="5AC02E20"/>
    <w:rsid w:val="5AC800B9"/>
    <w:rsid w:val="5B0C72FF"/>
    <w:rsid w:val="5B2F29E0"/>
    <w:rsid w:val="5B4076E0"/>
    <w:rsid w:val="5B4753BB"/>
    <w:rsid w:val="5B6569A7"/>
    <w:rsid w:val="5BB649FC"/>
    <w:rsid w:val="5BD448EE"/>
    <w:rsid w:val="5BDC50C3"/>
    <w:rsid w:val="5BEDF4ED"/>
    <w:rsid w:val="5C225F40"/>
    <w:rsid w:val="5C237623"/>
    <w:rsid w:val="5C35507A"/>
    <w:rsid w:val="5C3E7FB9"/>
    <w:rsid w:val="5C4B7B09"/>
    <w:rsid w:val="5C5903DD"/>
    <w:rsid w:val="5C5D37EB"/>
    <w:rsid w:val="5C702D51"/>
    <w:rsid w:val="5C8338CB"/>
    <w:rsid w:val="5C9B540C"/>
    <w:rsid w:val="5CB12E81"/>
    <w:rsid w:val="5CD1707F"/>
    <w:rsid w:val="5CE468A2"/>
    <w:rsid w:val="5CE7432B"/>
    <w:rsid w:val="5CF61109"/>
    <w:rsid w:val="5D147A25"/>
    <w:rsid w:val="5D284EF1"/>
    <w:rsid w:val="5D376A3C"/>
    <w:rsid w:val="5D3C3116"/>
    <w:rsid w:val="5D5A7075"/>
    <w:rsid w:val="5D7C156C"/>
    <w:rsid w:val="5D856C0E"/>
    <w:rsid w:val="5D900CE9"/>
    <w:rsid w:val="5D942587"/>
    <w:rsid w:val="5DB31C89"/>
    <w:rsid w:val="5DB32537"/>
    <w:rsid w:val="5DD12AEC"/>
    <w:rsid w:val="5DD421A7"/>
    <w:rsid w:val="5DD534D5"/>
    <w:rsid w:val="5DFB4772"/>
    <w:rsid w:val="5DFC69C0"/>
    <w:rsid w:val="5E305A39"/>
    <w:rsid w:val="5E5D64DA"/>
    <w:rsid w:val="5E680F2B"/>
    <w:rsid w:val="5E7A5C21"/>
    <w:rsid w:val="5E9332DF"/>
    <w:rsid w:val="5EA93D74"/>
    <w:rsid w:val="5EB95C0A"/>
    <w:rsid w:val="5ECF0274"/>
    <w:rsid w:val="5ED974B3"/>
    <w:rsid w:val="5EE66E12"/>
    <w:rsid w:val="5EE7AD2B"/>
    <w:rsid w:val="5EF157B7"/>
    <w:rsid w:val="5EF534F9"/>
    <w:rsid w:val="5EF55317"/>
    <w:rsid w:val="5F304531"/>
    <w:rsid w:val="5F3E3D66"/>
    <w:rsid w:val="5F944B9E"/>
    <w:rsid w:val="5FAD37AF"/>
    <w:rsid w:val="5FCFB73E"/>
    <w:rsid w:val="5FEB0620"/>
    <w:rsid w:val="5FEF6116"/>
    <w:rsid w:val="601511E2"/>
    <w:rsid w:val="602D281F"/>
    <w:rsid w:val="60370087"/>
    <w:rsid w:val="605A679B"/>
    <w:rsid w:val="60673C98"/>
    <w:rsid w:val="606D163F"/>
    <w:rsid w:val="60717F9D"/>
    <w:rsid w:val="607A5C6C"/>
    <w:rsid w:val="60992073"/>
    <w:rsid w:val="60CD4A57"/>
    <w:rsid w:val="60F85046"/>
    <w:rsid w:val="61073703"/>
    <w:rsid w:val="610D4C6D"/>
    <w:rsid w:val="61502C69"/>
    <w:rsid w:val="61515CA6"/>
    <w:rsid w:val="61A9466F"/>
    <w:rsid w:val="61AF2788"/>
    <w:rsid w:val="61B83929"/>
    <w:rsid w:val="61CD42B9"/>
    <w:rsid w:val="61D20E60"/>
    <w:rsid w:val="61D4389A"/>
    <w:rsid w:val="61D57F9C"/>
    <w:rsid w:val="61EB3274"/>
    <w:rsid w:val="6208709F"/>
    <w:rsid w:val="62096102"/>
    <w:rsid w:val="6211064A"/>
    <w:rsid w:val="621278A4"/>
    <w:rsid w:val="62287742"/>
    <w:rsid w:val="623865D6"/>
    <w:rsid w:val="626C661F"/>
    <w:rsid w:val="626F1504"/>
    <w:rsid w:val="62742987"/>
    <w:rsid w:val="62770730"/>
    <w:rsid w:val="627A4D24"/>
    <w:rsid w:val="62A97F7B"/>
    <w:rsid w:val="62B114E5"/>
    <w:rsid w:val="62CD4741"/>
    <w:rsid w:val="62D6244D"/>
    <w:rsid w:val="62FD2A4C"/>
    <w:rsid w:val="63154EA9"/>
    <w:rsid w:val="634720E1"/>
    <w:rsid w:val="635E6456"/>
    <w:rsid w:val="636C7B02"/>
    <w:rsid w:val="637377EB"/>
    <w:rsid w:val="6382695C"/>
    <w:rsid w:val="63D2427C"/>
    <w:rsid w:val="63EA04EE"/>
    <w:rsid w:val="64011C9A"/>
    <w:rsid w:val="640C7FFE"/>
    <w:rsid w:val="642A1904"/>
    <w:rsid w:val="64373AC9"/>
    <w:rsid w:val="64600529"/>
    <w:rsid w:val="647B2A2C"/>
    <w:rsid w:val="648872A6"/>
    <w:rsid w:val="64A12DA7"/>
    <w:rsid w:val="64DE5EA1"/>
    <w:rsid w:val="64E831B8"/>
    <w:rsid w:val="64E9765C"/>
    <w:rsid w:val="65387C9C"/>
    <w:rsid w:val="65447109"/>
    <w:rsid w:val="654504A6"/>
    <w:rsid w:val="655B1BDC"/>
    <w:rsid w:val="65642284"/>
    <w:rsid w:val="658C6239"/>
    <w:rsid w:val="659375C8"/>
    <w:rsid w:val="659F2B52"/>
    <w:rsid w:val="65AD1058"/>
    <w:rsid w:val="65F6628E"/>
    <w:rsid w:val="66482160"/>
    <w:rsid w:val="667640D7"/>
    <w:rsid w:val="670818F0"/>
    <w:rsid w:val="67420199"/>
    <w:rsid w:val="674943E2"/>
    <w:rsid w:val="67557889"/>
    <w:rsid w:val="675B51EE"/>
    <w:rsid w:val="67636A5B"/>
    <w:rsid w:val="678F25ED"/>
    <w:rsid w:val="67A12196"/>
    <w:rsid w:val="67E34B62"/>
    <w:rsid w:val="67EB23C7"/>
    <w:rsid w:val="680B5B3B"/>
    <w:rsid w:val="68224C33"/>
    <w:rsid w:val="684D268D"/>
    <w:rsid w:val="68754D58"/>
    <w:rsid w:val="68A26E4D"/>
    <w:rsid w:val="68D26390"/>
    <w:rsid w:val="68E220D9"/>
    <w:rsid w:val="68EF14F0"/>
    <w:rsid w:val="690507DD"/>
    <w:rsid w:val="690E6A60"/>
    <w:rsid w:val="692A78CC"/>
    <w:rsid w:val="69320EA6"/>
    <w:rsid w:val="694110E9"/>
    <w:rsid w:val="6973345A"/>
    <w:rsid w:val="69745517"/>
    <w:rsid w:val="69C67F6C"/>
    <w:rsid w:val="69CC21EF"/>
    <w:rsid w:val="69D45440"/>
    <w:rsid w:val="69D76646"/>
    <w:rsid w:val="69F36887"/>
    <w:rsid w:val="6A195FEE"/>
    <w:rsid w:val="6A41558B"/>
    <w:rsid w:val="6A503CD9"/>
    <w:rsid w:val="6A5F426B"/>
    <w:rsid w:val="6A9111AB"/>
    <w:rsid w:val="6ADD418B"/>
    <w:rsid w:val="6AFD2C8D"/>
    <w:rsid w:val="6B0D3978"/>
    <w:rsid w:val="6B1E16E2"/>
    <w:rsid w:val="6B1E5B86"/>
    <w:rsid w:val="6B712159"/>
    <w:rsid w:val="6B9E4B17"/>
    <w:rsid w:val="6BB50C10"/>
    <w:rsid w:val="6BB9765C"/>
    <w:rsid w:val="6BD4142F"/>
    <w:rsid w:val="6BD4628C"/>
    <w:rsid w:val="6BEC6CAA"/>
    <w:rsid w:val="6C0B52C5"/>
    <w:rsid w:val="6C1479C3"/>
    <w:rsid w:val="6C1F5711"/>
    <w:rsid w:val="6C4038DA"/>
    <w:rsid w:val="6C5515CD"/>
    <w:rsid w:val="6C5C6966"/>
    <w:rsid w:val="6C6468F1"/>
    <w:rsid w:val="6C7056A9"/>
    <w:rsid w:val="6C711CE5"/>
    <w:rsid w:val="6C7C0DB6"/>
    <w:rsid w:val="6C7F2654"/>
    <w:rsid w:val="6C9A748E"/>
    <w:rsid w:val="6C9D0BA3"/>
    <w:rsid w:val="6CA348BB"/>
    <w:rsid w:val="6CAC1B25"/>
    <w:rsid w:val="6CD232D9"/>
    <w:rsid w:val="6CDA2D94"/>
    <w:rsid w:val="6CED1E5E"/>
    <w:rsid w:val="6CFD2436"/>
    <w:rsid w:val="6D131120"/>
    <w:rsid w:val="6D4241DE"/>
    <w:rsid w:val="6D4F14BE"/>
    <w:rsid w:val="6D8216C6"/>
    <w:rsid w:val="6D835502"/>
    <w:rsid w:val="6DAE1443"/>
    <w:rsid w:val="6DB32DD9"/>
    <w:rsid w:val="6DBDC375"/>
    <w:rsid w:val="6DE51EE8"/>
    <w:rsid w:val="6E091116"/>
    <w:rsid w:val="6E0B5CA1"/>
    <w:rsid w:val="6E26547D"/>
    <w:rsid w:val="6E3A0F28"/>
    <w:rsid w:val="6E407BC1"/>
    <w:rsid w:val="6E5D2C14"/>
    <w:rsid w:val="6EA9570D"/>
    <w:rsid w:val="6ED00F45"/>
    <w:rsid w:val="6ED62353"/>
    <w:rsid w:val="6EFA5B67"/>
    <w:rsid w:val="6F082DD5"/>
    <w:rsid w:val="6F094177"/>
    <w:rsid w:val="6F2106E4"/>
    <w:rsid w:val="6F237C69"/>
    <w:rsid w:val="6F321C00"/>
    <w:rsid w:val="6F433E0D"/>
    <w:rsid w:val="6F580AE8"/>
    <w:rsid w:val="6F5C4372"/>
    <w:rsid w:val="6F5C4ECE"/>
    <w:rsid w:val="6F9E1043"/>
    <w:rsid w:val="6FA32AFD"/>
    <w:rsid w:val="6FB75883"/>
    <w:rsid w:val="6FC018AC"/>
    <w:rsid w:val="6FCF3952"/>
    <w:rsid w:val="6FE86815"/>
    <w:rsid w:val="6FF9C3D3"/>
    <w:rsid w:val="6FFF83F1"/>
    <w:rsid w:val="703564B5"/>
    <w:rsid w:val="704A4D27"/>
    <w:rsid w:val="70640EC8"/>
    <w:rsid w:val="709D111C"/>
    <w:rsid w:val="70AE52B6"/>
    <w:rsid w:val="70DC23AA"/>
    <w:rsid w:val="70FE6B12"/>
    <w:rsid w:val="7109727A"/>
    <w:rsid w:val="710B3CDC"/>
    <w:rsid w:val="71137445"/>
    <w:rsid w:val="714D09F8"/>
    <w:rsid w:val="714F4CEB"/>
    <w:rsid w:val="71792401"/>
    <w:rsid w:val="71852BD0"/>
    <w:rsid w:val="718A6815"/>
    <w:rsid w:val="719D3EBA"/>
    <w:rsid w:val="71A1306D"/>
    <w:rsid w:val="71F66F14"/>
    <w:rsid w:val="71F9F1F2"/>
    <w:rsid w:val="7213535F"/>
    <w:rsid w:val="721F6E5B"/>
    <w:rsid w:val="72207836"/>
    <w:rsid w:val="72444124"/>
    <w:rsid w:val="72446E3C"/>
    <w:rsid w:val="726031BC"/>
    <w:rsid w:val="72957421"/>
    <w:rsid w:val="72970FA1"/>
    <w:rsid w:val="72BA2196"/>
    <w:rsid w:val="72BB413E"/>
    <w:rsid w:val="72D40111"/>
    <w:rsid w:val="730D75A6"/>
    <w:rsid w:val="736378C1"/>
    <w:rsid w:val="7396313B"/>
    <w:rsid w:val="73B53BCC"/>
    <w:rsid w:val="73BC26CC"/>
    <w:rsid w:val="73D2559E"/>
    <w:rsid w:val="73D73024"/>
    <w:rsid w:val="73DC0EAE"/>
    <w:rsid w:val="73E159A2"/>
    <w:rsid w:val="73E704C7"/>
    <w:rsid w:val="73FB7BC3"/>
    <w:rsid w:val="74122301"/>
    <w:rsid w:val="744877CF"/>
    <w:rsid w:val="7491316C"/>
    <w:rsid w:val="74995468"/>
    <w:rsid w:val="74B47ED9"/>
    <w:rsid w:val="74FF7177"/>
    <w:rsid w:val="75016DBA"/>
    <w:rsid w:val="750171D5"/>
    <w:rsid w:val="75093439"/>
    <w:rsid w:val="75161A07"/>
    <w:rsid w:val="752C655B"/>
    <w:rsid w:val="75383D8F"/>
    <w:rsid w:val="757E00BF"/>
    <w:rsid w:val="75805C64"/>
    <w:rsid w:val="758F110B"/>
    <w:rsid w:val="759A22AD"/>
    <w:rsid w:val="75A153E9"/>
    <w:rsid w:val="75B8042B"/>
    <w:rsid w:val="75C71829"/>
    <w:rsid w:val="75C7261F"/>
    <w:rsid w:val="75DF4163"/>
    <w:rsid w:val="75F93917"/>
    <w:rsid w:val="761262E7"/>
    <w:rsid w:val="7617453C"/>
    <w:rsid w:val="76226397"/>
    <w:rsid w:val="763B06F9"/>
    <w:rsid w:val="763D7FB0"/>
    <w:rsid w:val="7667338B"/>
    <w:rsid w:val="767C4F5C"/>
    <w:rsid w:val="7687286F"/>
    <w:rsid w:val="769B64C0"/>
    <w:rsid w:val="76B455F0"/>
    <w:rsid w:val="76BD7E32"/>
    <w:rsid w:val="76C84BF7"/>
    <w:rsid w:val="76D846A2"/>
    <w:rsid w:val="76FB1759"/>
    <w:rsid w:val="77040325"/>
    <w:rsid w:val="770D08F9"/>
    <w:rsid w:val="77336515"/>
    <w:rsid w:val="774049FC"/>
    <w:rsid w:val="77453B50"/>
    <w:rsid w:val="77545B93"/>
    <w:rsid w:val="77F53640"/>
    <w:rsid w:val="77F578FD"/>
    <w:rsid w:val="77FC2875"/>
    <w:rsid w:val="78090F6F"/>
    <w:rsid w:val="781A63B0"/>
    <w:rsid w:val="7851759A"/>
    <w:rsid w:val="78692DD1"/>
    <w:rsid w:val="78731119"/>
    <w:rsid w:val="78791498"/>
    <w:rsid w:val="78854246"/>
    <w:rsid w:val="78886D34"/>
    <w:rsid w:val="78970D25"/>
    <w:rsid w:val="789E5D8A"/>
    <w:rsid w:val="78B654EE"/>
    <w:rsid w:val="78D31B37"/>
    <w:rsid w:val="78EE3E76"/>
    <w:rsid w:val="79214BE5"/>
    <w:rsid w:val="796263AA"/>
    <w:rsid w:val="796C4DDB"/>
    <w:rsid w:val="796C66D2"/>
    <w:rsid w:val="796E5F2A"/>
    <w:rsid w:val="7979688D"/>
    <w:rsid w:val="79FF9FC8"/>
    <w:rsid w:val="7A0612F4"/>
    <w:rsid w:val="7A1E525A"/>
    <w:rsid w:val="7A205526"/>
    <w:rsid w:val="7A2C711F"/>
    <w:rsid w:val="7A403EB5"/>
    <w:rsid w:val="7A6D1D3E"/>
    <w:rsid w:val="7A797090"/>
    <w:rsid w:val="7A994A5E"/>
    <w:rsid w:val="7AC552F1"/>
    <w:rsid w:val="7AE00762"/>
    <w:rsid w:val="7B165051"/>
    <w:rsid w:val="7B2572E2"/>
    <w:rsid w:val="7B324D84"/>
    <w:rsid w:val="7B424F78"/>
    <w:rsid w:val="7B6B3131"/>
    <w:rsid w:val="7B823FE2"/>
    <w:rsid w:val="7B9F686F"/>
    <w:rsid w:val="7BB71F8A"/>
    <w:rsid w:val="7BC41E31"/>
    <w:rsid w:val="7BC93A00"/>
    <w:rsid w:val="7BCE4A5E"/>
    <w:rsid w:val="7BDD2BCF"/>
    <w:rsid w:val="7BE74DF3"/>
    <w:rsid w:val="7BEB6BB8"/>
    <w:rsid w:val="7BF432A2"/>
    <w:rsid w:val="7C027905"/>
    <w:rsid w:val="7C124D72"/>
    <w:rsid w:val="7C133C42"/>
    <w:rsid w:val="7C4934B9"/>
    <w:rsid w:val="7C5261B1"/>
    <w:rsid w:val="7C5F7DAC"/>
    <w:rsid w:val="7C6070C3"/>
    <w:rsid w:val="7C6627E9"/>
    <w:rsid w:val="7C8B6DF3"/>
    <w:rsid w:val="7C9641DE"/>
    <w:rsid w:val="7C9A2D17"/>
    <w:rsid w:val="7C9F5F12"/>
    <w:rsid w:val="7CBA4613"/>
    <w:rsid w:val="7CC6F55B"/>
    <w:rsid w:val="7CEE6309"/>
    <w:rsid w:val="7CF97FB7"/>
    <w:rsid w:val="7D2F49B8"/>
    <w:rsid w:val="7D4C5944"/>
    <w:rsid w:val="7D616896"/>
    <w:rsid w:val="7D7C35C0"/>
    <w:rsid w:val="7D7D673C"/>
    <w:rsid w:val="7DA453C6"/>
    <w:rsid w:val="7DDB5291"/>
    <w:rsid w:val="7DE12CD9"/>
    <w:rsid w:val="7DFB58B2"/>
    <w:rsid w:val="7E565ABB"/>
    <w:rsid w:val="7E78EE9C"/>
    <w:rsid w:val="7E8A59B9"/>
    <w:rsid w:val="7ED33665"/>
    <w:rsid w:val="7EEABE6D"/>
    <w:rsid w:val="7EED169F"/>
    <w:rsid w:val="7EFF2852"/>
    <w:rsid w:val="7F0F034E"/>
    <w:rsid w:val="7F0F2377"/>
    <w:rsid w:val="7F1D01D6"/>
    <w:rsid w:val="7F3E014D"/>
    <w:rsid w:val="7F4F01E8"/>
    <w:rsid w:val="7F527E43"/>
    <w:rsid w:val="7F646D8F"/>
    <w:rsid w:val="7F7160E9"/>
    <w:rsid w:val="7F736048"/>
    <w:rsid w:val="7FA7940A"/>
    <w:rsid w:val="7FB5609A"/>
    <w:rsid w:val="7FB7B8D0"/>
    <w:rsid w:val="7FF69ADA"/>
    <w:rsid w:val="7FFCDC94"/>
    <w:rsid w:val="7FFF388F"/>
    <w:rsid w:val="7FFF61E9"/>
    <w:rsid w:val="7FFFE9E4"/>
    <w:rsid w:val="92EB1551"/>
    <w:rsid w:val="96FDC8A4"/>
    <w:rsid w:val="9BFD4C90"/>
    <w:rsid w:val="9E984772"/>
    <w:rsid w:val="AAAB8FAD"/>
    <w:rsid w:val="ABFD19A9"/>
    <w:rsid w:val="B17BF813"/>
    <w:rsid w:val="B5EEA4F8"/>
    <w:rsid w:val="B6F7B655"/>
    <w:rsid w:val="B7BF87AA"/>
    <w:rsid w:val="BB0F144C"/>
    <w:rsid w:val="BEFEDFFA"/>
    <w:rsid w:val="BFAF3B7D"/>
    <w:rsid w:val="C1FD0A5D"/>
    <w:rsid w:val="D7EEEB1D"/>
    <w:rsid w:val="D9CEE90B"/>
    <w:rsid w:val="DFBFE252"/>
    <w:rsid w:val="DFEC0A95"/>
    <w:rsid w:val="EBFF3F64"/>
    <w:rsid w:val="EDBE77AB"/>
    <w:rsid w:val="EEB9758A"/>
    <w:rsid w:val="EF2F38CC"/>
    <w:rsid w:val="EF7A9E7C"/>
    <w:rsid w:val="EF9F49DE"/>
    <w:rsid w:val="EFEBC266"/>
    <w:rsid w:val="EFF3A3C1"/>
    <w:rsid w:val="F3CB3594"/>
    <w:rsid w:val="F4ABE0E1"/>
    <w:rsid w:val="F739B365"/>
    <w:rsid w:val="F7A0EC0A"/>
    <w:rsid w:val="F7FD6B3A"/>
    <w:rsid w:val="F7FFF93C"/>
    <w:rsid w:val="FBDF154D"/>
    <w:rsid w:val="FBEDF51E"/>
    <w:rsid w:val="FBFE9090"/>
    <w:rsid w:val="FDBFA578"/>
    <w:rsid w:val="FDFF01B0"/>
    <w:rsid w:val="FE5D8513"/>
    <w:rsid w:val="FED6FB1B"/>
    <w:rsid w:val="FEFB1A92"/>
    <w:rsid w:val="FF7D1356"/>
    <w:rsid w:val="FF9FEF64"/>
    <w:rsid w:val="FFBD4192"/>
    <w:rsid w:val="FFD6D09F"/>
    <w:rsid w:val="FFE50396"/>
    <w:rsid w:val="FFFBFB26"/>
    <w:rsid w:val="FFFFEF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qFormat="1" w:unhideWhenUsed="0" w:uiPriority="0" w:semiHidden="0" w:name="Note Heading"/>
    <w:lsdException w:qFormat="1" w:unhideWhenUsed="0" w:uiPriority="0"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99" w:semiHidden="0" w:name="Emphasis"/>
    <w:lsdException w:qFormat="1"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semiHidden="0" w:name="HTML Acronym"/>
    <w:lsdException w:uiPriority="0" w:name="HTML Address"/>
    <w:lsdException w:qFormat="1" w:uiPriority="99"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54"/>
    <w:autoRedefine/>
    <w:qFormat/>
    <w:uiPriority w:val="0"/>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53"/>
    <w:autoRedefine/>
    <w:qFormat/>
    <w:uiPriority w:val="9"/>
    <w:pPr>
      <w:keepNext/>
      <w:keepLines/>
      <w:spacing w:before="120" w:after="120"/>
      <w:jc w:val="left"/>
      <w:outlineLvl w:val="1"/>
    </w:pPr>
    <w:rPr>
      <w:rFonts w:ascii="宋体" w:hAnsi="宋体"/>
      <w:b/>
      <w:bCs/>
      <w:sz w:val="28"/>
      <w:szCs w:val="28"/>
    </w:rPr>
  </w:style>
  <w:style w:type="paragraph" w:styleId="4">
    <w:name w:val="heading 3"/>
    <w:basedOn w:val="1"/>
    <w:next w:val="1"/>
    <w:link w:val="51"/>
    <w:autoRedefine/>
    <w:qFormat/>
    <w:uiPriority w:val="0"/>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link w:val="56"/>
    <w:autoRedefine/>
    <w:qFormat/>
    <w:uiPriority w:val="9"/>
    <w:pPr>
      <w:keepNext/>
      <w:keepLines/>
      <w:spacing w:before="120" w:after="120"/>
      <w:outlineLvl w:val="3"/>
    </w:pPr>
    <w:rPr>
      <w:rFonts w:ascii="Cambria" w:hAnsi="Cambria" w:eastAsia="华文细黑"/>
      <w:b/>
      <w:sz w:val="28"/>
      <w:szCs w:val="20"/>
    </w:rPr>
  </w:style>
  <w:style w:type="paragraph" w:styleId="6">
    <w:name w:val="heading 5"/>
    <w:basedOn w:val="1"/>
    <w:next w:val="1"/>
    <w:link w:val="57"/>
    <w:autoRedefine/>
    <w:qFormat/>
    <w:uiPriority w:val="0"/>
    <w:pPr>
      <w:keepNext/>
      <w:keepLines/>
      <w:spacing w:before="280" w:after="290" w:line="372" w:lineRule="auto"/>
      <w:outlineLvl w:val="4"/>
    </w:pPr>
    <w:rPr>
      <w:b/>
      <w:sz w:val="28"/>
    </w:rPr>
  </w:style>
  <w:style w:type="paragraph" w:styleId="7">
    <w:name w:val="heading 6"/>
    <w:basedOn w:val="1"/>
    <w:next w:val="8"/>
    <w:link w:val="58"/>
    <w:autoRedefine/>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1"/>
    <w:link w:val="60"/>
    <w:autoRedefine/>
    <w:qFormat/>
    <w:uiPriority w:val="0"/>
    <w:pPr>
      <w:keepNext/>
      <w:spacing w:line="264" w:lineRule="auto"/>
      <w:ind w:right="26" w:firstLine="200" w:firstLineChars="200"/>
      <w:outlineLvl w:val="6"/>
    </w:pPr>
    <w:rPr>
      <w:b/>
      <w:bCs/>
      <w:sz w:val="18"/>
      <w:szCs w:val="18"/>
    </w:rPr>
  </w:style>
  <w:style w:type="paragraph" w:styleId="10">
    <w:name w:val="heading 8"/>
    <w:basedOn w:val="1"/>
    <w:next w:val="8"/>
    <w:link w:val="61"/>
    <w:autoRedefine/>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1"/>
    <w:link w:val="62"/>
    <w:autoRedefine/>
    <w:qFormat/>
    <w:uiPriority w:val="0"/>
    <w:pPr>
      <w:keepNext/>
      <w:keepLines/>
      <w:spacing w:before="240" w:after="64" w:line="320" w:lineRule="auto"/>
      <w:outlineLvl w:val="8"/>
    </w:pPr>
    <w:rPr>
      <w:rFonts w:ascii="Cambria" w:hAnsi="Cambria"/>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link w:val="59"/>
    <w:autoRedefine/>
    <w:qFormat/>
    <w:uiPriority w:val="0"/>
    <w:pPr>
      <w:ind w:firstLine="420"/>
    </w:pPr>
  </w:style>
  <w:style w:type="paragraph" w:styleId="12">
    <w:name w:val="Note Heading"/>
    <w:basedOn w:val="1"/>
    <w:next w:val="1"/>
    <w:link w:val="63"/>
    <w:autoRedefine/>
    <w:qFormat/>
    <w:uiPriority w:val="0"/>
    <w:pPr>
      <w:adjustRightInd w:val="0"/>
      <w:spacing w:line="400" w:lineRule="exact"/>
      <w:ind w:firstLine="601"/>
      <w:jc w:val="center"/>
      <w:textAlignment w:val="baseline"/>
    </w:pPr>
    <w:rPr>
      <w:rFonts w:eastAsia="楷体_GB2312"/>
      <w:spacing w:val="8"/>
      <w:kern w:val="0"/>
      <w:sz w:val="28"/>
      <w:szCs w:val="20"/>
    </w:rPr>
  </w:style>
  <w:style w:type="paragraph" w:styleId="13">
    <w:name w:val="Document Map"/>
    <w:basedOn w:val="1"/>
    <w:link w:val="64"/>
    <w:autoRedefine/>
    <w:unhideWhenUsed/>
    <w:qFormat/>
    <w:uiPriority w:val="0"/>
    <w:rPr>
      <w:rFonts w:ascii="Heiti SC Light" w:eastAsia="Heiti SC Light"/>
      <w:sz w:val="24"/>
      <w:szCs w:val="24"/>
    </w:rPr>
  </w:style>
  <w:style w:type="paragraph" w:styleId="14">
    <w:name w:val="annotation text"/>
    <w:basedOn w:val="1"/>
    <w:link w:val="65"/>
    <w:autoRedefine/>
    <w:qFormat/>
    <w:uiPriority w:val="99"/>
    <w:pPr>
      <w:jc w:val="left"/>
    </w:pPr>
    <w:rPr>
      <w:rFonts w:ascii="Times New Roman" w:hAnsi="Times New Roman"/>
    </w:rPr>
  </w:style>
  <w:style w:type="paragraph" w:styleId="15">
    <w:name w:val="Body Text 3"/>
    <w:basedOn w:val="1"/>
    <w:link w:val="66"/>
    <w:autoRedefine/>
    <w:unhideWhenUsed/>
    <w:qFormat/>
    <w:uiPriority w:val="0"/>
    <w:pPr>
      <w:spacing w:after="120"/>
    </w:pPr>
    <w:rPr>
      <w:sz w:val="16"/>
      <w:szCs w:val="16"/>
    </w:rPr>
  </w:style>
  <w:style w:type="paragraph" w:styleId="16">
    <w:name w:val="Body Text"/>
    <w:basedOn w:val="1"/>
    <w:next w:val="1"/>
    <w:link w:val="67"/>
    <w:autoRedefine/>
    <w:qFormat/>
    <w:uiPriority w:val="1"/>
    <w:rPr>
      <w:rFonts w:ascii="楷体_GB2312" w:hAnsi="Arial"/>
      <w:sz w:val="28"/>
      <w:szCs w:val="28"/>
    </w:rPr>
  </w:style>
  <w:style w:type="paragraph" w:styleId="17">
    <w:name w:val="Body Text Indent"/>
    <w:basedOn w:val="1"/>
    <w:link w:val="68"/>
    <w:autoRedefine/>
    <w:qFormat/>
    <w:uiPriority w:val="0"/>
    <w:pPr>
      <w:spacing w:line="300" w:lineRule="exact"/>
      <w:jc w:val="center"/>
    </w:pPr>
    <w:rPr>
      <w:rFonts w:ascii="宋体" w:hAnsi="宋体"/>
      <w:kern w:val="0"/>
    </w:rPr>
  </w:style>
  <w:style w:type="paragraph" w:styleId="18">
    <w:name w:val="index 4"/>
    <w:basedOn w:val="1"/>
    <w:next w:val="1"/>
    <w:autoRedefine/>
    <w:semiHidden/>
    <w:qFormat/>
    <w:uiPriority w:val="0"/>
    <w:pPr>
      <w:ind w:left="1260"/>
    </w:pPr>
    <w:rPr>
      <w:rFonts w:ascii="Times New Roman" w:hAnsi="Times New Roman"/>
      <w:szCs w:val="22"/>
    </w:rPr>
  </w:style>
  <w:style w:type="paragraph" w:styleId="19">
    <w:name w:val="toc 3"/>
    <w:basedOn w:val="1"/>
    <w:next w:val="1"/>
    <w:autoRedefine/>
    <w:unhideWhenUsed/>
    <w:qFormat/>
    <w:uiPriority w:val="39"/>
    <w:pPr>
      <w:ind w:left="840" w:leftChars="400"/>
    </w:pPr>
  </w:style>
  <w:style w:type="paragraph" w:styleId="20">
    <w:name w:val="Plain Text"/>
    <w:basedOn w:val="1"/>
    <w:link w:val="69"/>
    <w:autoRedefine/>
    <w:qFormat/>
    <w:uiPriority w:val="0"/>
    <w:rPr>
      <w:rFonts w:ascii="宋体" w:hAnsi="Courier New"/>
    </w:rPr>
  </w:style>
  <w:style w:type="paragraph" w:styleId="21">
    <w:name w:val="Date"/>
    <w:basedOn w:val="1"/>
    <w:next w:val="1"/>
    <w:link w:val="70"/>
    <w:autoRedefine/>
    <w:qFormat/>
    <w:uiPriority w:val="0"/>
    <w:pPr>
      <w:ind w:left="100" w:leftChars="2500"/>
    </w:pPr>
  </w:style>
  <w:style w:type="paragraph" w:styleId="22">
    <w:name w:val="Body Text Indent 2"/>
    <w:basedOn w:val="1"/>
    <w:link w:val="71"/>
    <w:autoRedefine/>
    <w:qFormat/>
    <w:uiPriority w:val="0"/>
    <w:pPr>
      <w:spacing w:line="420" w:lineRule="atLeast"/>
      <w:ind w:firstLine="480"/>
    </w:pPr>
    <w:rPr>
      <w:rFonts w:ascii="宋体"/>
      <w:kern w:val="0"/>
      <w:sz w:val="24"/>
      <w:szCs w:val="20"/>
    </w:rPr>
  </w:style>
  <w:style w:type="paragraph" w:styleId="23">
    <w:name w:val="Balloon Text"/>
    <w:basedOn w:val="1"/>
    <w:link w:val="72"/>
    <w:autoRedefine/>
    <w:qFormat/>
    <w:uiPriority w:val="99"/>
    <w:rPr>
      <w:sz w:val="18"/>
      <w:szCs w:val="18"/>
    </w:rPr>
  </w:style>
  <w:style w:type="paragraph" w:styleId="24">
    <w:name w:val="footer"/>
    <w:basedOn w:val="1"/>
    <w:link w:val="73"/>
    <w:autoRedefine/>
    <w:qFormat/>
    <w:uiPriority w:val="0"/>
    <w:pPr>
      <w:tabs>
        <w:tab w:val="center" w:pos="4153"/>
        <w:tab w:val="right" w:pos="8306"/>
      </w:tabs>
      <w:snapToGrid w:val="0"/>
      <w:jc w:val="left"/>
    </w:pPr>
    <w:rPr>
      <w:sz w:val="18"/>
      <w:szCs w:val="18"/>
    </w:rPr>
  </w:style>
  <w:style w:type="paragraph" w:styleId="25">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qFormat/>
    <w:uiPriority w:val="39"/>
    <w:pPr>
      <w:spacing w:before="120" w:after="120"/>
      <w:jc w:val="left"/>
    </w:pPr>
    <w:rPr>
      <w:rFonts w:ascii="Times New Roman" w:hAnsi="Times New Roman"/>
      <w:b/>
      <w:caps/>
      <w:sz w:val="20"/>
      <w:szCs w:val="20"/>
    </w:rPr>
  </w:style>
  <w:style w:type="paragraph" w:styleId="27">
    <w:name w:val="footnote text"/>
    <w:basedOn w:val="1"/>
    <w:link w:val="75"/>
    <w:autoRedefine/>
    <w:qFormat/>
    <w:uiPriority w:val="0"/>
    <w:pPr>
      <w:snapToGrid w:val="0"/>
      <w:jc w:val="left"/>
    </w:pPr>
    <w:rPr>
      <w:rFonts w:ascii="Times New Roman" w:hAnsi="Times New Roman"/>
      <w:sz w:val="18"/>
      <w:szCs w:val="18"/>
    </w:rPr>
  </w:style>
  <w:style w:type="paragraph" w:styleId="28">
    <w:name w:val="Body Text Indent 3"/>
    <w:basedOn w:val="1"/>
    <w:link w:val="76"/>
    <w:autoRedefine/>
    <w:qFormat/>
    <w:uiPriority w:val="0"/>
    <w:pPr>
      <w:spacing w:line="360" w:lineRule="auto"/>
      <w:ind w:right="-109" w:firstLine="567"/>
    </w:pPr>
    <w:rPr>
      <w:kern w:val="0"/>
      <w:sz w:val="24"/>
      <w:szCs w:val="20"/>
    </w:rPr>
  </w:style>
  <w:style w:type="paragraph" w:styleId="29">
    <w:name w:val="toc 2"/>
    <w:basedOn w:val="1"/>
    <w:next w:val="1"/>
    <w:autoRedefine/>
    <w:qFormat/>
    <w:uiPriority w:val="39"/>
    <w:pPr>
      <w:ind w:left="420" w:leftChars="200"/>
    </w:pPr>
    <w:rPr>
      <w:szCs w:val="24"/>
    </w:rPr>
  </w:style>
  <w:style w:type="paragraph" w:styleId="30">
    <w:name w:val="Body Text 2"/>
    <w:basedOn w:val="1"/>
    <w:link w:val="77"/>
    <w:autoRedefine/>
    <w:qFormat/>
    <w:uiPriority w:val="0"/>
    <w:pPr>
      <w:spacing w:after="120" w:line="480" w:lineRule="auto"/>
    </w:pPr>
    <w:rPr>
      <w:kern w:val="0"/>
      <w:sz w:val="20"/>
      <w:szCs w:val="24"/>
    </w:rPr>
  </w:style>
  <w:style w:type="paragraph" w:styleId="31">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2">
    <w:name w:val="Normal (Web)"/>
    <w:basedOn w:val="1"/>
    <w:autoRedefine/>
    <w:qFormat/>
    <w:uiPriority w:val="99"/>
    <w:pPr>
      <w:widowControl/>
      <w:spacing w:before="100" w:beforeAutospacing="1" w:after="100" w:afterAutospacing="1"/>
      <w:jc w:val="left"/>
    </w:pPr>
    <w:rPr>
      <w:rFonts w:ascii="Arial" w:hAnsi="Arial" w:cs="Arial"/>
      <w:kern w:val="0"/>
      <w:sz w:val="24"/>
      <w:szCs w:val="24"/>
    </w:rPr>
  </w:style>
  <w:style w:type="paragraph" w:styleId="33">
    <w:name w:val="Title"/>
    <w:basedOn w:val="1"/>
    <w:link w:val="78"/>
    <w:autoRedefine/>
    <w:qFormat/>
    <w:uiPriority w:val="0"/>
    <w:pPr>
      <w:spacing w:before="240" w:after="60"/>
      <w:jc w:val="center"/>
      <w:outlineLvl w:val="0"/>
    </w:pPr>
    <w:rPr>
      <w:rFonts w:ascii="Arial" w:hAnsi="Arial"/>
      <w:b/>
      <w:bCs/>
      <w:sz w:val="32"/>
      <w:szCs w:val="32"/>
    </w:rPr>
  </w:style>
  <w:style w:type="paragraph" w:styleId="34">
    <w:name w:val="annotation subject"/>
    <w:basedOn w:val="14"/>
    <w:next w:val="14"/>
    <w:link w:val="79"/>
    <w:autoRedefine/>
    <w:qFormat/>
    <w:uiPriority w:val="0"/>
    <w:rPr>
      <w:b/>
      <w:bCs/>
    </w:rPr>
  </w:style>
  <w:style w:type="paragraph" w:styleId="35">
    <w:name w:val="Body Text First Indent"/>
    <w:basedOn w:val="16"/>
    <w:link w:val="80"/>
    <w:autoRedefine/>
    <w:unhideWhenUsed/>
    <w:qFormat/>
    <w:uiPriority w:val="0"/>
    <w:pPr>
      <w:spacing w:after="120"/>
      <w:ind w:firstLine="420" w:firstLineChars="100"/>
    </w:pPr>
    <w:rPr>
      <w:rFonts w:ascii="Times New Roman" w:hAnsi="Times New Roman"/>
      <w:sz w:val="21"/>
      <w:szCs w:val="24"/>
    </w:rPr>
  </w:style>
  <w:style w:type="table" w:styleId="37">
    <w:name w:val="Table Grid"/>
    <w:basedOn w:val="36"/>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autoRedefine/>
    <w:qFormat/>
    <w:uiPriority w:val="0"/>
  </w:style>
  <w:style w:type="character" w:styleId="40">
    <w:name w:val="page number"/>
    <w:autoRedefine/>
    <w:qFormat/>
    <w:uiPriority w:val="0"/>
  </w:style>
  <w:style w:type="character" w:styleId="41">
    <w:name w:val="FollowedHyperlink"/>
    <w:autoRedefine/>
    <w:unhideWhenUsed/>
    <w:qFormat/>
    <w:uiPriority w:val="99"/>
    <w:rPr>
      <w:rFonts w:hint="eastAsia" w:ascii="宋体" w:hAnsi="宋体" w:eastAsia="宋体" w:cs="宋体"/>
      <w:color w:val="333333"/>
      <w:sz w:val="12"/>
      <w:szCs w:val="12"/>
      <w:u w:val="none"/>
    </w:rPr>
  </w:style>
  <w:style w:type="character" w:styleId="42">
    <w:name w:val="Emphasis"/>
    <w:autoRedefine/>
    <w:qFormat/>
    <w:uiPriority w:val="99"/>
  </w:style>
  <w:style w:type="character" w:styleId="43">
    <w:name w:val="HTML Definition"/>
    <w:autoRedefine/>
    <w:unhideWhenUsed/>
    <w:qFormat/>
    <w:uiPriority w:val="0"/>
  </w:style>
  <w:style w:type="character" w:styleId="44">
    <w:name w:val="HTML Acronym"/>
    <w:autoRedefine/>
    <w:unhideWhenUsed/>
    <w:qFormat/>
    <w:uiPriority w:val="0"/>
  </w:style>
  <w:style w:type="character" w:styleId="45">
    <w:name w:val="HTML Variable"/>
    <w:autoRedefine/>
    <w:unhideWhenUsed/>
    <w:qFormat/>
    <w:uiPriority w:val="0"/>
  </w:style>
  <w:style w:type="character" w:styleId="46">
    <w:name w:val="Hyperlink"/>
    <w:autoRedefine/>
    <w:qFormat/>
    <w:uiPriority w:val="99"/>
    <w:rPr>
      <w:rFonts w:ascii="Times New Roman" w:hAnsi="Times New Roman" w:eastAsia="宋体" w:cs="Times New Roman"/>
      <w:color w:val="0076BE"/>
      <w:u w:val="none"/>
    </w:rPr>
  </w:style>
  <w:style w:type="character" w:styleId="47">
    <w:name w:val="HTML Code"/>
    <w:autoRedefine/>
    <w:unhideWhenUsed/>
    <w:qFormat/>
    <w:uiPriority w:val="0"/>
    <w:rPr>
      <w:rFonts w:ascii="Courier New" w:hAnsi="Courier New"/>
      <w:sz w:val="20"/>
    </w:rPr>
  </w:style>
  <w:style w:type="character" w:styleId="48">
    <w:name w:val="annotation reference"/>
    <w:autoRedefine/>
    <w:unhideWhenUsed/>
    <w:qFormat/>
    <w:uiPriority w:val="99"/>
    <w:rPr>
      <w:sz w:val="21"/>
      <w:szCs w:val="21"/>
    </w:rPr>
  </w:style>
  <w:style w:type="character" w:styleId="49">
    <w:name w:val="HTML Cite"/>
    <w:autoRedefine/>
    <w:unhideWhenUsed/>
    <w:qFormat/>
    <w:uiPriority w:val="99"/>
  </w:style>
  <w:style w:type="paragraph" w:styleId="50">
    <w:name w:val="List Paragraph"/>
    <w:basedOn w:val="1"/>
    <w:autoRedefine/>
    <w:qFormat/>
    <w:uiPriority w:val="34"/>
    <w:pPr>
      <w:ind w:firstLine="420" w:firstLineChars="200"/>
    </w:pPr>
  </w:style>
  <w:style w:type="character" w:customStyle="1" w:styleId="51">
    <w:name w:val="标题 3 Char"/>
    <w:link w:val="4"/>
    <w:autoRedefine/>
    <w:qFormat/>
    <w:uiPriority w:val="0"/>
    <w:rPr>
      <w:b/>
      <w:bCs/>
      <w:kern w:val="2"/>
      <w:sz w:val="32"/>
      <w:szCs w:val="32"/>
    </w:rPr>
  </w:style>
  <w:style w:type="paragraph" w:customStyle="1" w:styleId="52">
    <w:name w:val="BodyText"/>
    <w:basedOn w:val="1"/>
    <w:autoRedefine/>
    <w:qFormat/>
    <w:uiPriority w:val="0"/>
    <w:pPr>
      <w:spacing w:after="120"/>
      <w:textAlignment w:val="baseline"/>
    </w:pPr>
    <w:rPr>
      <w:rFonts w:hAnsi="Times New Roman"/>
      <w:kern w:val="0"/>
      <w:sz w:val="20"/>
      <w:szCs w:val="24"/>
    </w:rPr>
  </w:style>
  <w:style w:type="paragraph" w:customStyle="1" w:styleId="53">
    <w:name w:val="首行缩进"/>
    <w:basedOn w:val="1"/>
    <w:autoRedefine/>
    <w:qFormat/>
    <w:uiPriority w:val="0"/>
    <w:pPr>
      <w:spacing w:line="360" w:lineRule="auto"/>
      <w:ind w:firstLine="420" w:firstLineChars="200"/>
    </w:pPr>
    <w:rPr>
      <w:kern w:val="0"/>
      <w:sz w:val="20"/>
    </w:rPr>
  </w:style>
  <w:style w:type="character" w:customStyle="1" w:styleId="54">
    <w:name w:val="标题 1 Char"/>
    <w:link w:val="2"/>
    <w:autoRedefine/>
    <w:qFormat/>
    <w:uiPriority w:val="0"/>
    <w:rPr>
      <w:rFonts w:ascii="Times New Roman" w:hAnsi="Times New Roman" w:eastAsia="宋体" w:cs="Times New Roman"/>
      <w:b/>
      <w:bCs/>
      <w:kern w:val="44"/>
      <w:sz w:val="44"/>
      <w:szCs w:val="44"/>
    </w:rPr>
  </w:style>
  <w:style w:type="character" w:customStyle="1" w:styleId="55">
    <w:name w:val="标题 2 Char"/>
    <w:link w:val="3"/>
    <w:autoRedefine/>
    <w:qFormat/>
    <w:uiPriority w:val="9"/>
    <w:rPr>
      <w:rFonts w:ascii="宋体" w:hAnsi="宋体" w:eastAsia="宋体" w:cs="Times New Roman"/>
      <w:b/>
      <w:bCs/>
      <w:kern w:val="2"/>
      <w:sz w:val="28"/>
      <w:szCs w:val="28"/>
    </w:rPr>
  </w:style>
  <w:style w:type="character" w:customStyle="1" w:styleId="56">
    <w:name w:val="标题 4 Char"/>
    <w:link w:val="5"/>
    <w:autoRedefine/>
    <w:qFormat/>
    <w:uiPriority w:val="9"/>
    <w:rPr>
      <w:rFonts w:ascii="Cambria" w:hAnsi="Cambria" w:eastAsia="华文细黑" w:cs="Times New Roman"/>
      <w:b/>
      <w:kern w:val="2"/>
      <w:sz w:val="28"/>
    </w:rPr>
  </w:style>
  <w:style w:type="character" w:customStyle="1" w:styleId="57">
    <w:name w:val="标题 5 Char"/>
    <w:basedOn w:val="38"/>
    <w:link w:val="6"/>
    <w:autoRedefine/>
    <w:qFormat/>
    <w:uiPriority w:val="0"/>
    <w:rPr>
      <w:rFonts w:ascii="Calibri" w:hAnsi="Calibri"/>
      <w:b/>
      <w:kern w:val="2"/>
      <w:sz w:val="28"/>
      <w:szCs w:val="21"/>
    </w:rPr>
  </w:style>
  <w:style w:type="character" w:customStyle="1" w:styleId="58">
    <w:name w:val="标题 6 Char"/>
    <w:basedOn w:val="38"/>
    <w:link w:val="7"/>
    <w:autoRedefine/>
    <w:qFormat/>
    <w:uiPriority w:val="0"/>
    <w:rPr>
      <w:rFonts w:ascii="Arial" w:hAnsi="Arial" w:eastAsia="黑体"/>
      <w:b/>
      <w:kern w:val="2"/>
      <w:sz w:val="24"/>
    </w:rPr>
  </w:style>
  <w:style w:type="character" w:customStyle="1" w:styleId="59">
    <w:name w:val="正文缩进 Char"/>
    <w:link w:val="8"/>
    <w:autoRedefine/>
    <w:qFormat/>
    <w:uiPriority w:val="0"/>
    <w:rPr>
      <w:rFonts w:ascii="Calibri" w:hAnsi="Calibri" w:eastAsia="宋体" w:cs="Times New Roman"/>
      <w:kern w:val="2"/>
      <w:sz w:val="21"/>
      <w:szCs w:val="21"/>
    </w:rPr>
  </w:style>
  <w:style w:type="character" w:customStyle="1" w:styleId="60">
    <w:name w:val="标题 7 Char"/>
    <w:basedOn w:val="38"/>
    <w:link w:val="9"/>
    <w:autoRedefine/>
    <w:qFormat/>
    <w:uiPriority w:val="0"/>
    <w:rPr>
      <w:rFonts w:ascii="Calibri" w:hAnsi="Calibri"/>
      <w:b/>
      <w:bCs/>
      <w:kern w:val="2"/>
      <w:sz w:val="18"/>
      <w:szCs w:val="18"/>
    </w:rPr>
  </w:style>
  <w:style w:type="character" w:customStyle="1" w:styleId="61">
    <w:name w:val="标题 8 Char"/>
    <w:basedOn w:val="38"/>
    <w:link w:val="10"/>
    <w:autoRedefine/>
    <w:qFormat/>
    <w:uiPriority w:val="0"/>
    <w:rPr>
      <w:rFonts w:ascii="Arial" w:hAnsi="Arial" w:eastAsia="黑体"/>
      <w:kern w:val="2"/>
      <w:sz w:val="24"/>
    </w:rPr>
  </w:style>
  <w:style w:type="character" w:customStyle="1" w:styleId="62">
    <w:name w:val="标题 9 Char"/>
    <w:basedOn w:val="38"/>
    <w:link w:val="11"/>
    <w:autoRedefine/>
    <w:qFormat/>
    <w:uiPriority w:val="0"/>
    <w:rPr>
      <w:rFonts w:ascii="Cambria" w:hAnsi="Cambria"/>
      <w:kern w:val="2"/>
      <w:sz w:val="21"/>
      <w:szCs w:val="21"/>
    </w:rPr>
  </w:style>
  <w:style w:type="character" w:customStyle="1" w:styleId="63">
    <w:name w:val="注释标题 Char"/>
    <w:basedOn w:val="38"/>
    <w:link w:val="12"/>
    <w:autoRedefine/>
    <w:qFormat/>
    <w:uiPriority w:val="0"/>
    <w:rPr>
      <w:rFonts w:ascii="Calibri" w:hAnsi="Calibri" w:eastAsia="楷体_GB2312"/>
      <w:spacing w:val="8"/>
      <w:sz w:val="28"/>
    </w:rPr>
  </w:style>
  <w:style w:type="character" w:customStyle="1" w:styleId="64">
    <w:name w:val="文档结构图 Char"/>
    <w:link w:val="13"/>
    <w:autoRedefine/>
    <w:qFormat/>
    <w:uiPriority w:val="0"/>
    <w:rPr>
      <w:rFonts w:ascii="Heiti SC Light" w:hAnsi="Calibri" w:eastAsia="Heiti SC Light"/>
      <w:kern w:val="2"/>
      <w:sz w:val="24"/>
      <w:szCs w:val="24"/>
    </w:rPr>
  </w:style>
  <w:style w:type="character" w:customStyle="1" w:styleId="65">
    <w:name w:val="批注文字 Char"/>
    <w:link w:val="14"/>
    <w:autoRedefine/>
    <w:qFormat/>
    <w:uiPriority w:val="99"/>
    <w:rPr>
      <w:kern w:val="2"/>
      <w:sz w:val="21"/>
      <w:szCs w:val="21"/>
    </w:rPr>
  </w:style>
  <w:style w:type="character" w:customStyle="1" w:styleId="66">
    <w:name w:val="正文文本 3 Char"/>
    <w:link w:val="15"/>
    <w:autoRedefine/>
    <w:qFormat/>
    <w:uiPriority w:val="0"/>
    <w:rPr>
      <w:rFonts w:ascii="Calibri" w:hAnsi="Calibri"/>
      <w:kern w:val="2"/>
      <w:sz w:val="16"/>
      <w:szCs w:val="16"/>
    </w:rPr>
  </w:style>
  <w:style w:type="character" w:customStyle="1" w:styleId="67">
    <w:name w:val="正文文本 Char"/>
    <w:link w:val="16"/>
    <w:autoRedefine/>
    <w:qFormat/>
    <w:uiPriority w:val="1"/>
    <w:rPr>
      <w:rFonts w:ascii="楷体_GB2312" w:hAnsi="Arial" w:eastAsia="宋体" w:cs="Times New Roman"/>
      <w:kern w:val="2"/>
      <w:sz w:val="28"/>
      <w:szCs w:val="28"/>
    </w:rPr>
  </w:style>
  <w:style w:type="character" w:customStyle="1" w:styleId="68">
    <w:name w:val="正文文本缩进 Char"/>
    <w:basedOn w:val="38"/>
    <w:link w:val="17"/>
    <w:autoRedefine/>
    <w:qFormat/>
    <w:uiPriority w:val="0"/>
    <w:rPr>
      <w:rFonts w:ascii="宋体" w:hAnsi="宋体"/>
      <w:sz w:val="21"/>
      <w:szCs w:val="21"/>
    </w:rPr>
  </w:style>
  <w:style w:type="character" w:customStyle="1" w:styleId="69">
    <w:name w:val="纯文本 Char1"/>
    <w:link w:val="20"/>
    <w:autoRedefine/>
    <w:qFormat/>
    <w:uiPriority w:val="0"/>
    <w:rPr>
      <w:rFonts w:ascii="宋体" w:hAnsi="Courier New"/>
      <w:kern w:val="2"/>
      <w:sz w:val="21"/>
      <w:szCs w:val="21"/>
    </w:rPr>
  </w:style>
  <w:style w:type="character" w:customStyle="1" w:styleId="70">
    <w:name w:val="日期 Char"/>
    <w:link w:val="21"/>
    <w:autoRedefine/>
    <w:qFormat/>
    <w:uiPriority w:val="0"/>
    <w:rPr>
      <w:rFonts w:ascii="Calibri" w:hAnsi="Calibri"/>
      <w:kern w:val="2"/>
      <w:sz w:val="21"/>
      <w:szCs w:val="21"/>
    </w:rPr>
  </w:style>
  <w:style w:type="character" w:customStyle="1" w:styleId="71">
    <w:name w:val="正文文本缩进 2 Char"/>
    <w:basedOn w:val="38"/>
    <w:link w:val="22"/>
    <w:autoRedefine/>
    <w:qFormat/>
    <w:uiPriority w:val="0"/>
    <w:rPr>
      <w:rFonts w:ascii="宋体" w:hAnsi="Calibri"/>
      <w:sz w:val="24"/>
    </w:rPr>
  </w:style>
  <w:style w:type="character" w:customStyle="1" w:styleId="72">
    <w:name w:val="批注框文本 Char"/>
    <w:link w:val="23"/>
    <w:autoRedefine/>
    <w:qFormat/>
    <w:uiPriority w:val="99"/>
    <w:rPr>
      <w:rFonts w:ascii="Calibri" w:hAnsi="Calibri" w:eastAsia="宋体" w:cs="Times New Roman"/>
      <w:kern w:val="2"/>
      <w:sz w:val="18"/>
      <w:szCs w:val="18"/>
    </w:rPr>
  </w:style>
  <w:style w:type="character" w:customStyle="1" w:styleId="73">
    <w:name w:val="页脚 Char"/>
    <w:link w:val="24"/>
    <w:autoRedefine/>
    <w:qFormat/>
    <w:uiPriority w:val="0"/>
    <w:rPr>
      <w:rFonts w:ascii="Calibri" w:hAnsi="Calibri" w:eastAsia="宋体" w:cs="Times New Roman"/>
      <w:kern w:val="2"/>
      <w:sz w:val="18"/>
      <w:szCs w:val="18"/>
    </w:rPr>
  </w:style>
  <w:style w:type="character" w:customStyle="1" w:styleId="74">
    <w:name w:val="页眉 Char"/>
    <w:link w:val="25"/>
    <w:autoRedefine/>
    <w:qFormat/>
    <w:uiPriority w:val="0"/>
    <w:rPr>
      <w:rFonts w:ascii="Calibri" w:hAnsi="Calibri" w:eastAsia="宋体" w:cs="Times New Roman"/>
      <w:kern w:val="2"/>
      <w:sz w:val="18"/>
      <w:szCs w:val="18"/>
    </w:rPr>
  </w:style>
  <w:style w:type="character" w:customStyle="1" w:styleId="75">
    <w:name w:val="脚注文本 Char"/>
    <w:link w:val="27"/>
    <w:autoRedefine/>
    <w:qFormat/>
    <w:uiPriority w:val="0"/>
    <w:rPr>
      <w:rFonts w:eastAsia="宋体"/>
      <w:kern w:val="2"/>
      <w:sz w:val="18"/>
      <w:szCs w:val="18"/>
    </w:rPr>
  </w:style>
  <w:style w:type="character" w:customStyle="1" w:styleId="76">
    <w:name w:val="正文文本缩进 3 Char"/>
    <w:basedOn w:val="38"/>
    <w:link w:val="28"/>
    <w:autoRedefine/>
    <w:qFormat/>
    <w:uiPriority w:val="0"/>
    <w:rPr>
      <w:rFonts w:ascii="Calibri" w:hAnsi="Calibri"/>
      <w:sz w:val="24"/>
    </w:rPr>
  </w:style>
  <w:style w:type="character" w:customStyle="1" w:styleId="77">
    <w:name w:val="正文文本 2 Char"/>
    <w:basedOn w:val="38"/>
    <w:link w:val="30"/>
    <w:autoRedefine/>
    <w:qFormat/>
    <w:uiPriority w:val="0"/>
    <w:rPr>
      <w:rFonts w:ascii="Calibri" w:hAnsi="Calibri"/>
      <w:szCs w:val="24"/>
    </w:rPr>
  </w:style>
  <w:style w:type="character" w:customStyle="1" w:styleId="78">
    <w:name w:val="标题 Char"/>
    <w:link w:val="33"/>
    <w:autoRedefine/>
    <w:qFormat/>
    <w:uiPriority w:val="0"/>
    <w:rPr>
      <w:rFonts w:ascii="Arial" w:hAnsi="Arial" w:cs="Arial"/>
      <w:b/>
      <w:bCs/>
      <w:kern w:val="2"/>
      <w:sz w:val="32"/>
      <w:szCs w:val="32"/>
    </w:rPr>
  </w:style>
  <w:style w:type="character" w:customStyle="1" w:styleId="79">
    <w:name w:val="批注主题 Char"/>
    <w:basedOn w:val="65"/>
    <w:link w:val="34"/>
    <w:autoRedefine/>
    <w:qFormat/>
    <w:uiPriority w:val="0"/>
    <w:rPr>
      <w:b/>
      <w:bCs/>
      <w:kern w:val="2"/>
      <w:sz w:val="21"/>
      <w:szCs w:val="21"/>
    </w:rPr>
  </w:style>
  <w:style w:type="character" w:customStyle="1" w:styleId="80">
    <w:name w:val="正文首行缩进 Char"/>
    <w:link w:val="35"/>
    <w:autoRedefine/>
    <w:qFormat/>
    <w:uiPriority w:val="0"/>
    <w:rPr>
      <w:rFonts w:ascii="Times New Roman" w:hAnsi="Times New Roman" w:eastAsia="宋体" w:cs="Times New Roman"/>
      <w:kern w:val="2"/>
      <w:sz w:val="21"/>
      <w:szCs w:val="24"/>
    </w:rPr>
  </w:style>
  <w:style w:type="character" w:customStyle="1" w:styleId="81">
    <w:name w:val="样式 Char"/>
    <w:link w:val="82"/>
    <w:autoRedefine/>
    <w:qFormat/>
    <w:uiPriority w:val="0"/>
    <w:rPr>
      <w:rFonts w:ascii="宋体" w:hAnsi="宋体" w:cs="宋体"/>
      <w:sz w:val="24"/>
      <w:szCs w:val="24"/>
      <w:lang w:val="en-US" w:eastAsia="zh-CN" w:bidi="ar-SA"/>
    </w:rPr>
  </w:style>
  <w:style w:type="paragraph" w:customStyle="1" w:styleId="82">
    <w:name w:val="样式"/>
    <w:link w:val="81"/>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83">
    <w:name w:val="font01"/>
    <w:autoRedefine/>
    <w:qFormat/>
    <w:uiPriority w:val="0"/>
    <w:rPr>
      <w:rFonts w:hint="eastAsia" w:ascii="宋体" w:hAnsi="宋体" w:eastAsia="宋体" w:cs="宋体"/>
      <w:color w:val="000000"/>
      <w:sz w:val="21"/>
      <w:szCs w:val="21"/>
      <w:u w:val="none"/>
    </w:rPr>
  </w:style>
  <w:style w:type="character" w:customStyle="1" w:styleId="84">
    <w:name w:val="font11"/>
    <w:autoRedefine/>
    <w:qFormat/>
    <w:uiPriority w:val="0"/>
    <w:rPr>
      <w:rFonts w:hint="eastAsia" w:ascii="宋体" w:hAnsi="宋体" w:eastAsia="宋体" w:cs="宋体"/>
      <w:color w:val="000000"/>
      <w:sz w:val="21"/>
      <w:szCs w:val="21"/>
      <w:u w:val="none"/>
    </w:rPr>
  </w:style>
  <w:style w:type="character" w:customStyle="1" w:styleId="85">
    <w:name w:val="正文文本 + 10 pt"/>
    <w:autoRedefine/>
    <w:qFormat/>
    <w:uiPriority w:val="0"/>
    <w:rPr>
      <w:rFonts w:ascii="宋体" w:hAnsi="宋体" w:eastAsia="宋体" w:cs="宋体"/>
      <w:sz w:val="20"/>
      <w:szCs w:val="20"/>
      <w:shd w:val="clear" w:color="auto" w:fill="FFFFFF"/>
    </w:rPr>
  </w:style>
  <w:style w:type="character" w:customStyle="1" w:styleId="86">
    <w:name w:val="标题 #8 (2) + 9.5 pt1"/>
    <w:autoRedefine/>
    <w:qFormat/>
    <w:uiPriority w:val="0"/>
    <w:rPr>
      <w:rFonts w:ascii="宋体" w:hAnsi="宋体" w:eastAsia="宋体" w:cs="宋体"/>
      <w:spacing w:val="0"/>
      <w:sz w:val="19"/>
      <w:szCs w:val="19"/>
      <w:shd w:val="clear" w:color="auto" w:fill="FFFFFF"/>
    </w:rPr>
  </w:style>
  <w:style w:type="character" w:customStyle="1" w:styleId="87">
    <w:name w:val="正文文本 + 9.5 pt2"/>
    <w:autoRedefine/>
    <w:qFormat/>
    <w:uiPriority w:val="0"/>
    <w:rPr>
      <w:rFonts w:ascii="宋体" w:hAnsi="宋体" w:eastAsia="宋体" w:cs="宋体"/>
      <w:spacing w:val="0"/>
      <w:sz w:val="19"/>
      <w:szCs w:val="19"/>
    </w:rPr>
  </w:style>
  <w:style w:type="character" w:customStyle="1" w:styleId="88">
    <w:name w:val="标题 #8 (3)_"/>
    <w:link w:val="89"/>
    <w:autoRedefine/>
    <w:qFormat/>
    <w:uiPriority w:val="0"/>
    <w:rPr>
      <w:rFonts w:ascii="宋体" w:hAnsi="宋体" w:cs="宋体"/>
      <w:shd w:val="clear" w:color="auto" w:fill="FFFFFF"/>
    </w:rPr>
  </w:style>
  <w:style w:type="paragraph" w:customStyle="1" w:styleId="89">
    <w:name w:val="标题 #8 (3)"/>
    <w:basedOn w:val="1"/>
    <w:link w:val="88"/>
    <w:autoRedefine/>
    <w:qFormat/>
    <w:uiPriority w:val="0"/>
    <w:pPr>
      <w:widowControl/>
      <w:shd w:val="clear" w:color="auto" w:fill="FFFFFF"/>
      <w:spacing w:before="420" w:line="480" w:lineRule="exact"/>
      <w:jc w:val="distribute"/>
      <w:outlineLvl w:val="7"/>
    </w:pPr>
    <w:rPr>
      <w:rFonts w:ascii="宋体" w:hAnsi="宋体"/>
      <w:kern w:val="0"/>
      <w:sz w:val="20"/>
      <w:szCs w:val="20"/>
    </w:rPr>
  </w:style>
  <w:style w:type="character" w:customStyle="1" w:styleId="90">
    <w:name w:val="标题 #8 (2) + 10 pt"/>
    <w:autoRedefine/>
    <w:qFormat/>
    <w:uiPriority w:val="0"/>
    <w:rPr>
      <w:rFonts w:ascii="宋体" w:hAnsi="宋体" w:eastAsia="宋体" w:cs="宋体"/>
      <w:sz w:val="20"/>
      <w:szCs w:val="20"/>
      <w:shd w:val="clear" w:color="auto" w:fill="FFFFFF"/>
    </w:rPr>
  </w:style>
  <w:style w:type="character" w:customStyle="1" w:styleId="91">
    <w:name w:val="正文文本 + 14.5 pt1"/>
    <w:autoRedefine/>
    <w:qFormat/>
    <w:uiPriority w:val="0"/>
    <w:rPr>
      <w:rFonts w:ascii="宋体" w:hAnsi="宋体" w:eastAsia="宋体" w:cs="宋体"/>
      <w:sz w:val="29"/>
      <w:szCs w:val="29"/>
      <w:shd w:val="clear" w:color="auto" w:fill="FFFFFF"/>
    </w:rPr>
  </w:style>
  <w:style w:type="character" w:customStyle="1" w:styleId="92">
    <w:name w:val="正文文本 + 14.5 pt"/>
    <w:autoRedefine/>
    <w:qFormat/>
    <w:uiPriority w:val="0"/>
    <w:rPr>
      <w:rFonts w:ascii="宋体" w:hAnsi="宋体" w:eastAsia="宋体" w:cs="宋体"/>
      <w:sz w:val="29"/>
      <w:szCs w:val="29"/>
      <w:shd w:val="clear" w:color="auto" w:fill="FFFFFF"/>
    </w:rPr>
  </w:style>
  <w:style w:type="character" w:customStyle="1" w:styleId="93">
    <w:name w:val="标题 #5 (2)_"/>
    <w:link w:val="94"/>
    <w:autoRedefine/>
    <w:qFormat/>
    <w:uiPriority w:val="0"/>
    <w:rPr>
      <w:rFonts w:ascii="宋体" w:hAnsi="宋体" w:cs="宋体"/>
      <w:sz w:val="29"/>
      <w:szCs w:val="29"/>
      <w:shd w:val="clear" w:color="auto" w:fill="FFFFFF"/>
    </w:rPr>
  </w:style>
  <w:style w:type="paragraph" w:customStyle="1" w:styleId="94">
    <w:name w:val="标题 #5 (2)7"/>
    <w:basedOn w:val="1"/>
    <w:link w:val="93"/>
    <w:autoRedefine/>
    <w:qFormat/>
    <w:uiPriority w:val="0"/>
    <w:pPr>
      <w:widowControl/>
      <w:shd w:val="clear" w:color="auto" w:fill="FFFFFF"/>
      <w:spacing w:before="120" w:after="420" w:line="0" w:lineRule="atLeast"/>
      <w:jc w:val="distribute"/>
      <w:outlineLvl w:val="4"/>
    </w:pPr>
    <w:rPr>
      <w:rFonts w:ascii="宋体" w:hAnsi="宋体"/>
      <w:kern w:val="0"/>
      <w:sz w:val="29"/>
      <w:szCs w:val="29"/>
    </w:rPr>
  </w:style>
  <w:style w:type="character" w:customStyle="1" w:styleId="95">
    <w:name w:val="标题 #5 (2)3"/>
    <w:autoRedefine/>
    <w:qFormat/>
    <w:uiPriority w:val="0"/>
  </w:style>
  <w:style w:type="character" w:customStyle="1" w:styleId="96">
    <w:name w:val="正文文本_"/>
    <w:link w:val="97"/>
    <w:autoRedefine/>
    <w:qFormat/>
    <w:uiPriority w:val="0"/>
    <w:rPr>
      <w:rFonts w:ascii="宋体" w:hAnsi="宋体" w:cs="宋体"/>
      <w:sz w:val="22"/>
      <w:shd w:val="clear" w:color="auto" w:fill="FFFFFF"/>
    </w:rPr>
  </w:style>
  <w:style w:type="paragraph" w:customStyle="1" w:styleId="97">
    <w:name w:val="正文文本1"/>
    <w:basedOn w:val="1"/>
    <w:link w:val="96"/>
    <w:autoRedefine/>
    <w:qFormat/>
    <w:uiPriority w:val="0"/>
    <w:pPr>
      <w:widowControl/>
      <w:shd w:val="clear" w:color="auto" w:fill="FFFFFF"/>
      <w:spacing w:after="120" w:line="0" w:lineRule="atLeast"/>
      <w:ind w:hanging="1020"/>
      <w:jc w:val="left"/>
    </w:pPr>
    <w:rPr>
      <w:rFonts w:ascii="宋体" w:hAnsi="宋体"/>
      <w:kern w:val="0"/>
      <w:sz w:val="22"/>
      <w:szCs w:val="20"/>
    </w:rPr>
  </w:style>
  <w:style w:type="character" w:customStyle="1" w:styleId="98">
    <w:name w:val="hover26"/>
    <w:autoRedefine/>
    <w:qFormat/>
    <w:uiPriority w:val="0"/>
    <w:rPr>
      <w:color w:val="315EFB"/>
    </w:rPr>
  </w:style>
  <w:style w:type="character" w:customStyle="1" w:styleId="99">
    <w:name w:val="ruweitli_r"/>
    <w:autoRedefine/>
    <w:qFormat/>
    <w:uiPriority w:val="0"/>
  </w:style>
  <w:style w:type="character" w:customStyle="1" w:styleId="100">
    <w:name w:val="l-over"/>
    <w:autoRedefine/>
    <w:qFormat/>
    <w:uiPriority w:val="0"/>
    <w:rPr>
      <w:bdr w:val="single" w:color="DAB364" w:sz="4" w:space="0"/>
    </w:rPr>
  </w:style>
  <w:style w:type="character" w:customStyle="1" w:styleId="101">
    <w:name w:val="ruweitli_l"/>
    <w:autoRedefine/>
    <w:qFormat/>
    <w:uiPriority w:val="0"/>
  </w:style>
  <w:style w:type="character" w:customStyle="1" w:styleId="102">
    <w:name w:val="edui-unclickable"/>
    <w:autoRedefine/>
    <w:qFormat/>
    <w:uiPriority w:val="0"/>
    <w:rPr>
      <w:color w:val="808080"/>
    </w:rPr>
  </w:style>
  <w:style w:type="character" w:customStyle="1" w:styleId="103">
    <w:name w:val="dbrwr_aclir"/>
    <w:autoRedefine/>
    <w:qFormat/>
    <w:uiPriority w:val="0"/>
    <w:rPr>
      <w:color w:val="999999"/>
    </w:rPr>
  </w:style>
  <w:style w:type="character" w:customStyle="1" w:styleId="104">
    <w:name w:val="dbrwr_aclil"/>
    <w:autoRedefine/>
    <w:qFormat/>
    <w:uiPriority w:val="0"/>
  </w:style>
  <w:style w:type="character" w:customStyle="1" w:styleId="105">
    <w:name w:val="fieldsetf"/>
    <w:autoRedefine/>
    <w:qFormat/>
    <w:uiPriority w:val="0"/>
  </w:style>
  <w:style w:type="character" w:customStyle="1" w:styleId="106">
    <w:name w:val="fieldsets"/>
    <w:autoRedefine/>
    <w:qFormat/>
    <w:uiPriority w:val="0"/>
  </w:style>
  <w:style w:type="character" w:customStyle="1" w:styleId="107">
    <w:name w:val="标题 #5 (2)6"/>
    <w:autoRedefine/>
    <w:qFormat/>
    <w:uiPriority w:val="0"/>
    <w:rPr>
      <w:rFonts w:ascii="宋体" w:hAnsi="宋体" w:eastAsia="宋体" w:cs="宋体"/>
      <w:sz w:val="29"/>
      <w:szCs w:val="29"/>
      <w:shd w:val="clear" w:color="auto" w:fill="FFFFFF"/>
    </w:rPr>
  </w:style>
  <w:style w:type="character" w:customStyle="1" w:styleId="108">
    <w:name w:val="脚注文本 Char1"/>
    <w:autoRedefine/>
    <w:semiHidden/>
    <w:qFormat/>
    <w:uiPriority w:val="0"/>
    <w:rPr>
      <w:rFonts w:ascii="Calibri" w:hAnsi="Calibri" w:eastAsia="宋体" w:cs="Times New Roman"/>
      <w:kern w:val="2"/>
      <w:sz w:val="18"/>
      <w:szCs w:val="18"/>
    </w:rPr>
  </w:style>
  <w:style w:type="character" w:customStyle="1" w:styleId="109">
    <w:name w:val="edui-clickable2"/>
    <w:autoRedefine/>
    <w:qFormat/>
    <w:uiPriority w:val="0"/>
    <w:rPr>
      <w:color w:val="0000FF"/>
      <w:u w:val="single"/>
    </w:rPr>
  </w:style>
  <w:style w:type="character" w:customStyle="1" w:styleId="110">
    <w:name w:val="title_emph1"/>
    <w:autoRedefine/>
    <w:qFormat/>
    <w:uiPriority w:val="0"/>
    <w:rPr>
      <w:rFonts w:ascii="Arial" w:cs="Arial"/>
      <w:b/>
      <w:bCs/>
      <w:sz w:val="18"/>
      <w:szCs w:val="18"/>
    </w:rPr>
  </w:style>
  <w:style w:type="character" w:customStyle="1" w:styleId="111">
    <w:name w:val="15"/>
    <w:autoRedefine/>
    <w:qFormat/>
    <w:uiPriority w:val="0"/>
    <w:rPr>
      <w:rFonts w:hint="default" w:ascii="Times New Roman" w:hAnsi="Times New Roman" w:eastAsia="宋体" w:cs="Times New Roman"/>
      <w:b/>
      <w:bCs/>
    </w:rPr>
  </w:style>
  <w:style w:type="character" w:customStyle="1" w:styleId="112">
    <w:name w:val="apple-converted-space"/>
    <w:autoRedefine/>
    <w:qFormat/>
    <w:uiPriority w:val="0"/>
  </w:style>
  <w:style w:type="character" w:customStyle="1" w:styleId="113">
    <w:name w:val="纯文本 Char"/>
    <w:autoRedefine/>
    <w:qFormat/>
    <w:uiPriority w:val="0"/>
    <w:rPr>
      <w:rFonts w:ascii="宋体" w:hAnsi="Courier New" w:cs="Courier New"/>
      <w:kern w:val="2"/>
      <w:sz w:val="21"/>
      <w:szCs w:val="21"/>
    </w:rPr>
  </w:style>
  <w:style w:type="character" w:customStyle="1" w:styleId="114">
    <w:name w:val="16"/>
    <w:autoRedefine/>
    <w:qFormat/>
    <w:uiPriority w:val="0"/>
    <w:rPr>
      <w:rFonts w:hint="default" w:ascii="Times New Roman" w:hAnsi="Times New Roman" w:eastAsia="宋体" w:cs="Times New Roman"/>
    </w:rPr>
  </w:style>
  <w:style w:type="character" w:customStyle="1" w:styleId="115">
    <w:name w:val="searchf"/>
    <w:autoRedefine/>
    <w:qFormat/>
    <w:uiPriority w:val="0"/>
  </w:style>
  <w:style w:type="character" w:customStyle="1" w:styleId="116">
    <w:name w:val="searchs"/>
    <w:autoRedefine/>
    <w:qFormat/>
    <w:uiPriority w:val="0"/>
  </w:style>
  <w:style w:type="character" w:customStyle="1" w:styleId="117">
    <w:name w:val="l-open"/>
    <w:autoRedefine/>
    <w:qFormat/>
    <w:uiPriority w:val="0"/>
  </w:style>
  <w:style w:type="character" w:customStyle="1" w:styleId="118">
    <w:name w:val="无间隔 Char"/>
    <w:link w:val="119"/>
    <w:autoRedefine/>
    <w:qFormat/>
    <w:uiPriority w:val="0"/>
    <w:rPr>
      <w:sz w:val="22"/>
      <w:szCs w:val="22"/>
      <w:lang w:val="en-US" w:eastAsia="zh-CN" w:bidi="ar-SA"/>
    </w:rPr>
  </w:style>
  <w:style w:type="paragraph" w:styleId="119">
    <w:name w:val="No Spacing"/>
    <w:link w:val="118"/>
    <w:autoRedefine/>
    <w:qFormat/>
    <w:uiPriority w:val="0"/>
    <w:rPr>
      <w:rFonts w:ascii="Times New Roman" w:hAnsi="Times New Roman" w:eastAsia="宋体" w:cs="Times New Roman"/>
      <w:sz w:val="22"/>
      <w:szCs w:val="22"/>
      <w:lang w:val="en-US" w:eastAsia="zh-CN" w:bidi="ar-SA"/>
    </w:rPr>
  </w:style>
  <w:style w:type="character" w:customStyle="1" w:styleId="120">
    <w:name w:val="c-icon26"/>
    <w:autoRedefine/>
    <w:qFormat/>
    <w:uiPriority w:val="0"/>
  </w:style>
  <w:style w:type="character" w:customStyle="1" w:styleId="121">
    <w:name w:val="rvts16"/>
    <w:autoRedefine/>
    <w:qFormat/>
    <w:uiPriority w:val="0"/>
    <w:rPr>
      <w:rFonts w:hint="default" w:ascii="KNLe" w:hAnsi="KNLe"/>
      <w:b/>
      <w:bCs/>
      <w:color w:val="000000"/>
      <w:sz w:val="32"/>
      <w:szCs w:val="32"/>
    </w:rPr>
  </w:style>
  <w:style w:type="character" w:customStyle="1" w:styleId="122">
    <w:name w:val="l-selected"/>
    <w:autoRedefine/>
    <w:qFormat/>
    <w:uiPriority w:val="0"/>
    <w:rPr>
      <w:color w:val="355686"/>
      <w:bdr w:val="single" w:color="DAB364" w:sz="4" w:space="0"/>
      <w:shd w:val="clear" w:color="auto" w:fill="FFFFFF"/>
    </w:rPr>
  </w:style>
  <w:style w:type="character" w:customStyle="1" w:styleId="123">
    <w:name w:val="标题 #5 (2)4"/>
    <w:autoRedefine/>
    <w:qFormat/>
    <w:uiPriority w:val="0"/>
    <w:rPr>
      <w:rFonts w:ascii="宋体" w:hAnsi="宋体" w:eastAsia="宋体" w:cs="宋体"/>
      <w:sz w:val="29"/>
      <w:szCs w:val="29"/>
      <w:shd w:val="clear" w:color="auto" w:fill="FFFFFF"/>
    </w:rPr>
  </w:style>
  <w:style w:type="character" w:customStyle="1" w:styleId="124">
    <w:name w:val="l-selected2"/>
    <w:autoRedefine/>
    <w:qFormat/>
    <w:uiPriority w:val="0"/>
    <w:rPr>
      <w:color w:val="355686"/>
      <w:bdr w:val="single" w:color="DAB364" w:sz="4" w:space="0"/>
      <w:shd w:val="clear" w:color="auto" w:fill="FFFFFF"/>
    </w:rPr>
  </w:style>
  <w:style w:type="character" w:customStyle="1" w:styleId="125">
    <w:name w:val="标题 #8 (2)_"/>
    <w:link w:val="126"/>
    <w:autoRedefine/>
    <w:qFormat/>
    <w:uiPriority w:val="0"/>
    <w:rPr>
      <w:rFonts w:ascii="宋体" w:hAnsi="宋体" w:cs="宋体"/>
      <w:sz w:val="22"/>
      <w:shd w:val="clear" w:color="auto" w:fill="FFFFFF"/>
    </w:rPr>
  </w:style>
  <w:style w:type="paragraph" w:customStyle="1" w:styleId="126">
    <w:name w:val="标题 #8 (2)2"/>
    <w:basedOn w:val="1"/>
    <w:link w:val="125"/>
    <w:autoRedefine/>
    <w:qFormat/>
    <w:uiPriority w:val="0"/>
    <w:pPr>
      <w:widowControl/>
      <w:shd w:val="clear" w:color="auto" w:fill="FFFFFF"/>
      <w:spacing w:line="398" w:lineRule="exact"/>
      <w:jc w:val="distribute"/>
      <w:outlineLvl w:val="7"/>
    </w:pPr>
    <w:rPr>
      <w:rFonts w:ascii="宋体" w:hAnsi="宋体"/>
      <w:kern w:val="0"/>
      <w:sz w:val="22"/>
      <w:szCs w:val="20"/>
    </w:rPr>
  </w:style>
  <w:style w:type="character" w:customStyle="1" w:styleId="127">
    <w:name w:val="hover25"/>
    <w:autoRedefine/>
    <w:qFormat/>
    <w:uiPriority w:val="0"/>
  </w:style>
  <w:style w:type="character" w:customStyle="1" w:styleId="128">
    <w:name w:val="标题 #5 (2)5"/>
    <w:autoRedefine/>
    <w:qFormat/>
    <w:uiPriority w:val="0"/>
    <w:rPr>
      <w:rFonts w:ascii="宋体" w:hAnsi="宋体" w:eastAsia="宋体" w:cs="宋体"/>
      <w:sz w:val="29"/>
      <w:szCs w:val="29"/>
      <w:shd w:val="clear" w:color="auto" w:fill="FFFFFF"/>
    </w:rPr>
  </w:style>
  <w:style w:type="character" w:customStyle="1" w:styleId="129">
    <w:name w:val="edui-clickable"/>
    <w:autoRedefine/>
    <w:qFormat/>
    <w:uiPriority w:val="0"/>
    <w:rPr>
      <w:color w:val="0000FF"/>
      <w:u w:val="single"/>
    </w:rPr>
  </w:style>
  <w:style w:type="paragraph" w:customStyle="1" w:styleId="130">
    <w:name w:val="_Style 31"/>
    <w:basedOn w:val="1"/>
    <w:next w:val="50"/>
    <w:autoRedefine/>
    <w:qFormat/>
    <w:uiPriority w:val="0"/>
    <w:pPr>
      <w:ind w:firstLine="420" w:firstLineChars="200"/>
    </w:pPr>
    <w:rPr>
      <w:rFonts w:ascii="Times New Roman" w:hAnsi="Times New Roman"/>
      <w:szCs w:val="24"/>
    </w:rPr>
  </w:style>
  <w:style w:type="paragraph" w:customStyle="1" w:styleId="131">
    <w:name w:val="rvps1"/>
    <w:basedOn w:val="1"/>
    <w:autoRedefine/>
    <w:qFormat/>
    <w:uiPriority w:val="0"/>
    <w:pPr>
      <w:widowControl/>
      <w:jc w:val="center"/>
    </w:pPr>
    <w:rPr>
      <w:kern w:val="0"/>
      <w:sz w:val="24"/>
      <w:szCs w:val="24"/>
    </w:rPr>
  </w:style>
  <w:style w:type="paragraph" w:customStyle="1" w:styleId="132">
    <w:name w:val="修订2"/>
    <w:autoRedefine/>
    <w:semiHidden/>
    <w:qFormat/>
    <w:uiPriority w:val="99"/>
    <w:rPr>
      <w:rFonts w:ascii="Calibri" w:hAnsi="Calibri" w:eastAsia="宋体" w:cs="Times New Roman"/>
      <w:kern w:val="2"/>
      <w:sz w:val="21"/>
      <w:szCs w:val="21"/>
      <w:lang w:val="en-US" w:eastAsia="zh-CN" w:bidi="ar-SA"/>
    </w:rPr>
  </w:style>
  <w:style w:type="paragraph" w:customStyle="1" w:styleId="133">
    <w:name w:val="列出段落4"/>
    <w:basedOn w:val="1"/>
    <w:autoRedefine/>
    <w:qFormat/>
    <w:uiPriority w:val="34"/>
    <w:pPr>
      <w:ind w:firstLine="420" w:firstLineChars="200"/>
    </w:pPr>
  </w:style>
  <w:style w:type="paragraph" w:customStyle="1" w:styleId="13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35">
    <w:name w:val="列出段落3"/>
    <w:basedOn w:val="1"/>
    <w:autoRedefine/>
    <w:qFormat/>
    <w:uiPriority w:val="99"/>
    <w:pPr>
      <w:widowControl/>
      <w:ind w:left="720"/>
      <w:contextualSpacing/>
      <w:jc w:val="left"/>
    </w:pPr>
    <w:rPr>
      <w:rFonts w:ascii="Arial" w:hAnsi="Arial" w:eastAsia="黑体"/>
      <w:kern w:val="0"/>
      <w:sz w:val="24"/>
      <w:szCs w:val="24"/>
      <w:lang w:eastAsia="en-US"/>
    </w:rPr>
  </w:style>
  <w:style w:type="paragraph" w:customStyle="1" w:styleId="136">
    <w:name w:val="样式 样式 首行缩进:  2 字符 + 行距: 1.5 倍行距"/>
    <w:basedOn w:val="1"/>
    <w:autoRedefine/>
    <w:qFormat/>
    <w:uiPriority w:val="0"/>
    <w:pPr>
      <w:spacing w:line="360" w:lineRule="auto"/>
      <w:ind w:firstLine="470" w:firstLineChars="196"/>
    </w:pPr>
    <w:rPr>
      <w:rFonts w:ascii="Times New Roman" w:hAnsi="Times New Roman"/>
      <w:sz w:val="24"/>
      <w:szCs w:val="24"/>
    </w:rPr>
  </w:style>
  <w:style w:type="paragraph" w:customStyle="1" w:styleId="137">
    <w:name w:val="_Style 113"/>
    <w:basedOn w:val="1"/>
    <w:next w:val="1"/>
    <w:autoRedefine/>
    <w:qFormat/>
    <w:uiPriority w:val="0"/>
    <w:pPr>
      <w:pBdr>
        <w:bottom w:val="single" w:color="auto" w:sz="6" w:space="1"/>
      </w:pBdr>
      <w:jc w:val="center"/>
    </w:pPr>
    <w:rPr>
      <w:rFonts w:ascii="Arial"/>
      <w:vanish/>
      <w:sz w:val="16"/>
    </w:rPr>
  </w:style>
  <w:style w:type="paragraph" w:customStyle="1" w:styleId="138">
    <w:name w:val="WG标题2"/>
    <w:basedOn w:val="139"/>
    <w:autoRedefine/>
    <w:qFormat/>
    <w:uiPriority w:val="99"/>
    <w:pPr>
      <w:ind w:firstLine="0" w:firstLineChars="0"/>
      <w:outlineLvl w:val="1"/>
    </w:pPr>
    <w:rPr>
      <w:rFonts w:eastAsia="宋体"/>
      <w:b/>
    </w:rPr>
  </w:style>
  <w:style w:type="paragraph" w:customStyle="1" w:styleId="139">
    <w:name w:val="样式 正文小四wg + 首行缩进:  2 字符"/>
    <w:basedOn w:val="1"/>
    <w:autoRedefine/>
    <w:qFormat/>
    <w:uiPriority w:val="99"/>
    <w:pPr>
      <w:autoSpaceDE w:val="0"/>
      <w:autoSpaceDN w:val="0"/>
      <w:adjustRightInd w:val="0"/>
      <w:ind w:firstLine="200" w:firstLineChars="200"/>
    </w:pPr>
    <w:rPr>
      <w:rFonts w:ascii="仿宋_GB2312" w:hAnsi="宋体" w:eastAsia="仿宋_GB2312" w:cs="宋体"/>
      <w:color w:val="000000"/>
      <w:kern w:val="20"/>
      <w:sz w:val="24"/>
      <w:szCs w:val="20"/>
    </w:rPr>
  </w:style>
  <w:style w:type="paragraph" w:customStyle="1" w:styleId="140">
    <w:name w:val="TOC 标题11"/>
    <w:basedOn w:val="2"/>
    <w:next w:val="1"/>
    <w:autoRedefine/>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1">
    <w:name w:val="p0"/>
    <w:basedOn w:val="1"/>
    <w:autoRedefine/>
    <w:qFormat/>
    <w:uiPriority w:val="0"/>
    <w:pPr>
      <w:widowControl/>
      <w:jc w:val="left"/>
    </w:pPr>
    <w:rPr>
      <w:rFonts w:ascii="Times New Roman" w:hAnsi="Times New Roman"/>
      <w:kern w:val="0"/>
      <w:sz w:val="22"/>
      <w:szCs w:val="22"/>
    </w:rPr>
  </w:style>
  <w:style w:type="paragraph" w:customStyle="1" w:styleId="142">
    <w:name w:val="hk正文"/>
    <w:basedOn w:val="1"/>
    <w:autoRedefine/>
    <w:qFormat/>
    <w:uiPriority w:val="0"/>
    <w:pPr>
      <w:spacing w:line="440" w:lineRule="exact"/>
      <w:ind w:firstLine="560" w:firstLineChars="200"/>
    </w:pPr>
    <w:rPr>
      <w:rFonts w:ascii="Arial" w:hAnsi="Arial" w:cs="宋体"/>
      <w:szCs w:val="28"/>
    </w:rPr>
  </w:style>
  <w:style w:type="paragraph" w:customStyle="1" w:styleId="143">
    <w:name w:val="List Paragraph1"/>
    <w:basedOn w:val="1"/>
    <w:autoRedefine/>
    <w:qFormat/>
    <w:uiPriority w:val="34"/>
    <w:pPr>
      <w:adjustRightInd w:val="0"/>
      <w:spacing w:line="360" w:lineRule="atLeast"/>
      <w:ind w:firstLine="420" w:firstLineChars="200"/>
      <w:jc w:val="left"/>
    </w:pPr>
    <w:rPr>
      <w:rFonts w:ascii="宋体" w:hAnsi="Times New Roman"/>
      <w:kern w:val="0"/>
      <w:sz w:val="34"/>
      <w:szCs w:val="22"/>
    </w:rPr>
  </w:style>
  <w:style w:type="paragraph" w:customStyle="1" w:styleId="144">
    <w:name w:val="00021表内字"/>
    <w:basedOn w:val="1"/>
    <w:autoRedefine/>
    <w:qFormat/>
    <w:uiPriority w:val="0"/>
    <w:pPr>
      <w:widowControl/>
      <w:snapToGrid w:val="0"/>
      <w:jc w:val="center"/>
    </w:pPr>
    <w:rPr>
      <w:rFonts w:ascii="Times New Roman" w:hAnsi="Times New Roman"/>
      <w:szCs w:val="15"/>
    </w:rPr>
  </w:style>
  <w:style w:type="paragraph" w:customStyle="1" w:styleId="145">
    <w:name w:val="正文 A"/>
    <w:autoRedefine/>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146">
    <w:name w:val="00011图、表"/>
    <w:basedOn w:val="1"/>
    <w:autoRedefine/>
    <w:qFormat/>
    <w:uiPriority w:val="0"/>
    <w:pPr>
      <w:spacing w:line="360" w:lineRule="auto"/>
      <w:jc w:val="center"/>
    </w:pPr>
    <w:rPr>
      <w:rFonts w:ascii="Times New Roman" w:hAnsi="Times New Roman"/>
      <w:kern w:val="21"/>
    </w:rPr>
  </w:style>
  <w:style w:type="paragraph" w:customStyle="1" w:styleId="147">
    <w:name w:val="reader-word-layer reader-word-s1-27"/>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48">
    <w:name w:val="列出段落1"/>
    <w:basedOn w:val="1"/>
    <w:autoRedefine/>
    <w:qFormat/>
    <w:uiPriority w:val="0"/>
    <w:pPr>
      <w:ind w:firstLine="420" w:firstLineChars="200"/>
    </w:pPr>
    <w:rPr>
      <w:rFonts w:ascii="Tahoma" w:hAnsi="Tahoma"/>
      <w:szCs w:val="22"/>
    </w:rPr>
  </w:style>
  <w:style w:type="paragraph" w:customStyle="1" w:styleId="149">
    <w:name w:val="TOC 标题1"/>
    <w:basedOn w:val="2"/>
    <w:next w:val="1"/>
    <w:autoRedefine/>
    <w:qFormat/>
    <w:uiPriority w:val="0"/>
    <w:pPr>
      <w:widowControl/>
      <w:spacing w:before="0" w:after="0" w:line="276" w:lineRule="auto"/>
      <w:jc w:val="left"/>
      <w:outlineLvl w:val="9"/>
    </w:pPr>
    <w:rPr>
      <w:rFonts w:ascii="Cambria" w:hAnsi="Cambria"/>
      <w:color w:val="365F91"/>
      <w:kern w:val="0"/>
      <w:sz w:val="28"/>
      <w:szCs w:val="28"/>
    </w:rPr>
  </w:style>
  <w:style w:type="paragraph" w:customStyle="1" w:styleId="150">
    <w:name w:val="_Style 127"/>
    <w:basedOn w:val="1"/>
    <w:next w:val="1"/>
    <w:autoRedefine/>
    <w:qFormat/>
    <w:uiPriority w:val="0"/>
    <w:pPr>
      <w:pBdr>
        <w:top w:val="single" w:color="auto" w:sz="6" w:space="1"/>
      </w:pBdr>
      <w:jc w:val="center"/>
    </w:pPr>
    <w:rPr>
      <w:rFonts w:ascii="Arial"/>
      <w:vanish/>
      <w:sz w:val="16"/>
    </w:rPr>
  </w:style>
  <w:style w:type="paragraph" w:customStyle="1" w:styleId="151">
    <w:name w:val="修订1"/>
    <w:autoRedefine/>
    <w:qFormat/>
    <w:uiPriority w:val="0"/>
    <w:rPr>
      <w:rFonts w:ascii="Calibri" w:hAnsi="Calibri" w:eastAsia="宋体" w:cs="Times New Roman"/>
      <w:kern w:val="2"/>
      <w:sz w:val="21"/>
      <w:szCs w:val="21"/>
      <w:lang w:val="en-US" w:eastAsia="zh-CN" w:bidi="ar-SA"/>
    </w:rPr>
  </w:style>
  <w:style w:type="paragraph" w:customStyle="1" w:styleId="152">
    <w:name w:val="z-窗体顶端1"/>
    <w:basedOn w:val="1"/>
    <w:next w:val="1"/>
    <w:link w:val="153"/>
    <w:autoRedefine/>
    <w:qFormat/>
    <w:uiPriority w:val="0"/>
    <w:pPr>
      <w:pBdr>
        <w:bottom w:val="single" w:color="auto" w:sz="6" w:space="1"/>
      </w:pBdr>
      <w:jc w:val="center"/>
    </w:pPr>
    <w:rPr>
      <w:rFonts w:ascii="Arial"/>
      <w:vanish/>
      <w:sz w:val="16"/>
    </w:rPr>
  </w:style>
  <w:style w:type="character" w:customStyle="1" w:styleId="153">
    <w:name w:val="z-窗体顶端 Char"/>
    <w:basedOn w:val="38"/>
    <w:link w:val="152"/>
    <w:autoRedefine/>
    <w:qFormat/>
    <w:uiPriority w:val="0"/>
    <w:rPr>
      <w:rFonts w:ascii="Arial" w:hAnsi="Calibri"/>
      <w:vanish/>
      <w:kern w:val="2"/>
      <w:sz w:val="16"/>
      <w:szCs w:val="21"/>
    </w:rPr>
  </w:style>
  <w:style w:type="paragraph" w:customStyle="1" w:styleId="154">
    <w:name w:val="z-窗体底端1"/>
    <w:basedOn w:val="1"/>
    <w:next w:val="1"/>
    <w:link w:val="155"/>
    <w:autoRedefine/>
    <w:qFormat/>
    <w:uiPriority w:val="0"/>
    <w:pPr>
      <w:pBdr>
        <w:top w:val="single" w:color="auto" w:sz="6" w:space="1"/>
      </w:pBdr>
      <w:jc w:val="center"/>
    </w:pPr>
    <w:rPr>
      <w:rFonts w:ascii="Arial"/>
      <w:vanish/>
      <w:sz w:val="16"/>
    </w:rPr>
  </w:style>
  <w:style w:type="character" w:customStyle="1" w:styleId="155">
    <w:name w:val="z-窗体底端 Char"/>
    <w:basedOn w:val="38"/>
    <w:link w:val="154"/>
    <w:autoRedefine/>
    <w:qFormat/>
    <w:uiPriority w:val="0"/>
    <w:rPr>
      <w:rFonts w:ascii="Arial" w:hAnsi="Calibri"/>
      <w:vanish/>
      <w:kern w:val="2"/>
      <w:sz w:val="16"/>
      <w:szCs w:val="21"/>
    </w:rPr>
  </w:style>
  <w:style w:type="character" w:customStyle="1" w:styleId="156">
    <w:name w:val="font31"/>
    <w:autoRedefine/>
    <w:qFormat/>
    <w:uiPriority w:val="0"/>
    <w:rPr>
      <w:rFonts w:hint="default" w:ascii="仿宋_GB2312" w:eastAsia="仿宋_GB2312" w:cs="仿宋_GB2312"/>
      <w:b/>
      <w:bCs/>
      <w:color w:val="000000"/>
      <w:sz w:val="22"/>
      <w:szCs w:val="22"/>
      <w:u w:val="none"/>
    </w:rPr>
  </w:style>
  <w:style w:type="character" w:customStyle="1" w:styleId="157">
    <w:name w:val="font81"/>
    <w:autoRedefine/>
    <w:qFormat/>
    <w:uiPriority w:val="0"/>
    <w:rPr>
      <w:rFonts w:hint="eastAsia" w:ascii="宋体" w:hAnsi="宋体" w:eastAsia="宋体" w:cs="宋体"/>
      <w:color w:val="000000"/>
      <w:sz w:val="20"/>
      <w:szCs w:val="20"/>
      <w:u w:val="none"/>
    </w:rPr>
  </w:style>
  <w:style w:type="character" w:customStyle="1" w:styleId="158">
    <w:name w:val="font101"/>
    <w:autoRedefine/>
    <w:qFormat/>
    <w:uiPriority w:val="0"/>
    <w:rPr>
      <w:rFonts w:hint="eastAsia" w:ascii="宋体" w:hAnsi="宋体" w:eastAsia="宋体" w:cs="宋体"/>
      <w:color w:val="000000"/>
      <w:sz w:val="20"/>
      <w:szCs w:val="20"/>
      <w:u w:val="none"/>
    </w:rPr>
  </w:style>
  <w:style w:type="character" w:customStyle="1" w:styleId="159">
    <w:name w:val="font51"/>
    <w:autoRedefine/>
    <w:qFormat/>
    <w:uiPriority w:val="0"/>
    <w:rPr>
      <w:rFonts w:hint="default" w:ascii="Times New Roman" w:hAnsi="Times New Roman" w:cs="Times New Roman"/>
      <w:color w:val="000000"/>
      <w:sz w:val="20"/>
      <w:szCs w:val="20"/>
      <w:u w:val="none"/>
    </w:rPr>
  </w:style>
  <w:style w:type="character" w:customStyle="1" w:styleId="160">
    <w:name w:val="font61"/>
    <w:autoRedefine/>
    <w:qFormat/>
    <w:uiPriority w:val="0"/>
    <w:rPr>
      <w:rFonts w:hint="eastAsia" w:ascii="宋体" w:hAnsi="宋体" w:eastAsia="宋体" w:cs="宋体"/>
      <w:color w:val="000000"/>
      <w:sz w:val="22"/>
      <w:szCs w:val="22"/>
      <w:u w:val="none"/>
    </w:rPr>
  </w:style>
  <w:style w:type="character" w:customStyle="1" w:styleId="161">
    <w:name w:val="font71"/>
    <w:autoRedefine/>
    <w:qFormat/>
    <w:uiPriority w:val="0"/>
    <w:rPr>
      <w:rFonts w:hint="default" w:ascii="Times New Roman" w:hAnsi="Times New Roman" w:cs="Times New Roman"/>
      <w:color w:val="000000"/>
      <w:sz w:val="22"/>
      <w:szCs w:val="22"/>
      <w:u w:val="none"/>
      <w:vertAlign w:val="superscript"/>
    </w:rPr>
  </w:style>
  <w:style w:type="character" w:customStyle="1" w:styleId="162">
    <w:name w:val="无间隔 字符"/>
    <w:autoRedefine/>
    <w:qFormat/>
    <w:uiPriority w:val="0"/>
    <w:rPr>
      <w:sz w:val="22"/>
      <w:szCs w:val="22"/>
      <w:lang w:val="en-US" w:eastAsia="zh-CN" w:bidi="ar-SA"/>
    </w:rPr>
  </w:style>
  <w:style w:type="paragraph" w:customStyle="1" w:styleId="163">
    <w:name w:val="修订3"/>
    <w:autoRedefine/>
    <w:unhideWhenUsed/>
    <w:qFormat/>
    <w:uiPriority w:val="99"/>
    <w:rPr>
      <w:rFonts w:ascii="Calibri" w:hAnsi="Calibri" w:eastAsia="宋体" w:cs="Times New Roman"/>
      <w:kern w:val="2"/>
      <w:sz w:val="21"/>
      <w:szCs w:val="21"/>
      <w:lang w:val="en-US" w:eastAsia="zh-CN" w:bidi="ar-SA"/>
    </w:rPr>
  </w:style>
  <w:style w:type="paragraph" w:customStyle="1" w:styleId="164">
    <w:name w:val="正文 New New New New New"/>
    <w:autoRedefine/>
    <w:qFormat/>
    <w:uiPriority w:val="0"/>
    <w:pPr>
      <w:spacing w:after="200" w:line="276" w:lineRule="auto"/>
    </w:pPr>
    <w:rPr>
      <w:rFonts w:ascii="Times New Roman" w:hAnsi="Times New Roman" w:eastAsia="宋体" w:cs="Times New Roman"/>
      <w:sz w:val="22"/>
      <w:szCs w:val="22"/>
      <w:lang w:val="en-US" w:eastAsia="en-US" w:bidi="ar-SA"/>
    </w:rPr>
  </w:style>
  <w:style w:type="character" w:customStyle="1" w:styleId="165">
    <w:name w:val="Blockquote Char Char"/>
    <w:link w:val="166"/>
    <w:autoRedefine/>
    <w:qFormat/>
    <w:uiPriority w:val="0"/>
    <w:rPr>
      <w:sz w:val="24"/>
    </w:rPr>
  </w:style>
  <w:style w:type="paragraph" w:customStyle="1" w:styleId="166">
    <w:name w:val="Blockquote"/>
    <w:basedOn w:val="1"/>
    <w:link w:val="165"/>
    <w:autoRedefine/>
    <w:qFormat/>
    <w:uiPriority w:val="0"/>
    <w:pPr>
      <w:autoSpaceDE w:val="0"/>
      <w:autoSpaceDN w:val="0"/>
      <w:adjustRightInd w:val="0"/>
      <w:spacing w:before="100" w:after="100"/>
      <w:ind w:left="360" w:right="360"/>
      <w:jc w:val="left"/>
    </w:pPr>
    <w:rPr>
      <w:rFonts w:ascii="Times New Roman" w:hAnsi="Times New Roman"/>
      <w:kern w:val="0"/>
      <w:sz w:val="24"/>
      <w:szCs w:val="20"/>
    </w:rPr>
  </w:style>
  <w:style w:type="character" w:customStyle="1" w:styleId="167">
    <w:name w:val="Body Text Char1"/>
    <w:autoRedefine/>
    <w:semiHidden/>
    <w:qFormat/>
    <w:locked/>
    <w:uiPriority w:val="99"/>
    <w:rPr>
      <w:rFonts w:cs="Times New Roman"/>
      <w:sz w:val="24"/>
      <w:szCs w:val="24"/>
    </w:rPr>
  </w:style>
  <w:style w:type="character" w:customStyle="1" w:styleId="168">
    <w:name w:val="正文文本 3 Char1"/>
    <w:autoRedefine/>
    <w:semiHidden/>
    <w:qFormat/>
    <w:uiPriority w:val="99"/>
    <w:rPr>
      <w:kern w:val="2"/>
      <w:sz w:val="16"/>
      <w:szCs w:val="16"/>
    </w:rPr>
  </w:style>
  <w:style w:type="character" w:customStyle="1" w:styleId="169">
    <w:name w:val="Comment Subject Char1"/>
    <w:autoRedefine/>
    <w:semiHidden/>
    <w:qFormat/>
    <w:locked/>
    <w:uiPriority w:val="99"/>
    <w:rPr>
      <w:rFonts w:cs="Times New Roman"/>
      <w:b/>
      <w:bCs/>
      <w:kern w:val="2"/>
      <w:sz w:val="24"/>
      <w:szCs w:val="24"/>
    </w:rPr>
  </w:style>
  <w:style w:type="character" w:customStyle="1" w:styleId="170">
    <w:name w:val="Footer Char1"/>
    <w:autoRedefine/>
    <w:semiHidden/>
    <w:qFormat/>
    <w:locked/>
    <w:uiPriority w:val="99"/>
    <w:rPr>
      <w:rFonts w:cs="Times New Roman"/>
      <w:sz w:val="18"/>
      <w:szCs w:val="18"/>
    </w:rPr>
  </w:style>
  <w:style w:type="character" w:customStyle="1" w:styleId="171">
    <w:name w:val="正文文本缩进 3 Char1"/>
    <w:autoRedefine/>
    <w:semiHidden/>
    <w:qFormat/>
    <w:uiPriority w:val="99"/>
    <w:rPr>
      <w:kern w:val="2"/>
      <w:sz w:val="16"/>
      <w:szCs w:val="16"/>
    </w:rPr>
  </w:style>
  <w:style w:type="character" w:customStyle="1" w:styleId="172">
    <w:name w:val="Comment Text Char1"/>
    <w:autoRedefine/>
    <w:semiHidden/>
    <w:qFormat/>
    <w:locked/>
    <w:uiPriority w:val="99"/>
    <w:rPr>
      <w:rFonts w:cs="Times New Roman"/>
      <w:sz w:val="24"/>
      <w:szCs w:val="24"/>
    </w:rPr>
  </w:style>
  <w:style w:type="character" w:customStyle="1" w:styleId="173">
    <w:name w:val="正文文本缩进 2 Char1"/>
    <w:autoRedefine/>
    <w:semiHidden/>
    <w:qFormat/>
    <w:uiPriority w:val="99"/>
    <w:rPr>
      <w:kern w:val="2"/>
      <w:sz w:val="21"/>
      <w:szCs w:val="24"/>
    </w:rPr>
  </w:style>
  <w:style w:type="character" w:customStyle="1" w:styleId="174">
    <w:name w:val="文档结构图 Char1"/>
    <w:autoRedefine/>
    <w:semiHidden/>
    <w:qFormat/>
    <w:uiPriority w:val="99"/>
    <w:rPr>
      <w:rFonts w:ascii="宋体" w:hAnsi="Calibri"/>
      <w:kern w:val="2"/>
      <w:sz w:val="18"/>
      <w:szCs w:val="18"/>
    </w:rPr>
  </w:style>
  <w:style w:type="character" w:customStyle="1" w:styleId="175">
    <w:name w:val="Header Char1"/>
    <w:autoRedefine/>
    <w:semiHidden/>
    <w:qFormat/>
    <w:locked/>
    <w:uiPriority w:val="99"/>
    <w:rPr>
      <w:rFonts w:cs="Times New Roman"/>
      <w:sz w:val="18"/>
      <w:szCs w:val="18"/>
    </w:rPr>
  </w:style>
  <w:style w:type="character" w:customStyle="1" w:styleId="176">
    <w:name w:val="Balloon Text Char1"/>
    <w:autoRedefine/>
    <w:semiHidden/>
    <w:qFormat/>
    <w:locked/>
    <w:uiPriority w:val="99"/>
    <w:rPr>
      <w:rFonts w:cs="Times New Roman"/>
      <w:sz w:val="2"/>
    </w:rPr>
  </w:style>
  <w:style w:type="character" w:customStyle="1" w:styleId="177">
    <w:name w:val="Body Text Indent Char1"/>
    <w:autoRedefine/>
    <w:semiHidden/>
    <w:qFormat/>
    <w:locked/>
    <w:uiPriority w:val="99"/>
    <w:rPr>
      <w:rFonts w:cs="Times New Roman"/>
      <w:sz w:val="24"/>
      <w:szCs w:val="24"/>
    </w:rPr>
  </w:style>
  <w:style w:type="character" w:customStyle="1" w:styleId="178">
    <w:name w:val="Plain Text Char1"/>
    <w:autoRedefine/>
    <w:semiHidden/>
    <w:qFormat/>
    <w:locked/>
    <w:uiPriority w:val="99"/>
    <w:rPr>
      <w:rFonts w:ascii="宋体" w:hAnsi="Courier New" w:cs="Courier New"/>
      <w:sz w:val="21"/>
      <w:szCs w:val="21"/>
    </w:rPr>
  </w:style>
  <w:style w:type="character" w:customStyle="1" w:styleId="179">
    <w:name w:val="注释标题 Char1"/>
    <w:autoRedefine/>
    <w:semiHidden/>
    <w:qFormat/>
    <w:uiPriority w:val="99"/>
    <w:rPr>
      <w:kern w:val="2"/>
      <w:sz w:val="21"/>
      <w:szCs w:val="24"/>
    </w:rPr>
  </w:style>
  <w:style w:type="character" w:customStyle="1" w:styleId="180">
    <w:name w:val="正文文本 2 Char1"/>
    <w:autoRedefine/>
    <w:semiHidden/>
    <w:qFormat/>
    <w:uiPriority w:val="99"/>
    <w:rPr>
      <w:kern w:val="2"/>
      <w:sz w:val="21"/>
      <w:szCs w:val="24"/>
    </w:rPr>
  </w:style>
  <w:style w:type="paragraph" w:customStyle="1" w:styleId="181">
    <w:name w:val="标题 11"/>
    <w:basedOn w:val="1"/>
    <w:next w:val="1"/>
    <w:autoRedefine/>
    <w:qFormat/>
    <w:uiPriority w:val="1"/>
    <w:pPr>
      <w:autoSpaceDE w:val="0"/>
      <w:autoSpaceDN w:val="0"/>
      <w:adjustRightInd w:val="0"/>
      <w:ind w:left="240"/>
      <w:jc w:val="left"/>
      <w:outlineLvl w:val="0"/>
    </w:pPr>
    <w:rPr>
      <w:rFonts w:ascii="宋体" w:cs="宋体"/>
      <w:kern w:val="0"/>
      <w:sz w:val="32"/>
      <w:szCs w:val="32"/>
    </w:rPr>
  </w:style>
  <w:style w:type="paragraph" w:customStyle="1" w:styleId="182">
    <w:name w:val="TOC 标题2"/>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83">
    <w:name w:val="Table Paragraph"/>
    <w:basedOn w:val="1"/>
    <w:autoRedefine/>
    <w:qFormat/>
    <w:uiPriority w:val="1"/>
    <w:pPr>
      <w:autoSpaceDE w:val="0"/>
      <w:autoSpaceDN w:val="0"/>
      <w:adjustRightInd w:val="0"/>
      <w:jc w:val="left"/>
    </w:pPr>
    <w:rPr>
      <w:kern w:val="0"/>
      <w:sz w:val="24"/>
      <w:szCs w:val="24"/>
    </w:rPr>
  </w:style>
  <w:style w:type="paragraph" w:customStyle="1" w:styleId="184">
    <w:name w:val="样式 标题 3 + (中文) 黑体 小四 非加粗 段前: 7.8 磅 段后: 0 磅 行距: 固定值 20 磅"/>
    <w:basedOn w:val="4"/>
    <w:autoRedefine/>
    <w:qFormat/>
    <w:uiPriority w:val="0"/>
    <w:pPr>
      <w:spacing w:before="0" w:after="0" w:line="400" w:lineRule="exact"/>
    </w:pPr>
    <w:rPr>
      <w:rFonts w:ascii="Calibri" w:hAnsi="Calibri" w:eastAsia="黑体"/>
      <w:b w:val="0"/>
      <w:bCs w:val="0"/>
      <w:sz w:val="24"/>
      <w:szCs w:val="20"/>
    </w:rPr>
  </w:style>
  <w:style w:type="paragraph" w:customStyle="1" w:styleId="185">
    <w:name w:val="文档正文"/>
    <w:basedOn w:val="1"/>
    <w:autoRedefine/>
    <w:qFormat/>
    <w:uiPriority w:val="99"/>
    <w:pPr>
      <w:adjustRightInd w:val="0"/>
      <w:spacing w:line="480" w:lineRule="atLeast"/>
      <w:ind w:firstLine="567"/>
      <w:textAlignment w:val="baseline"/>
    </w:pPr>
    <w:rPr>
      <w:rFonts w:ascii="Ari" w:eastAsia="Times New Roman"/>
      <w:kern w:val="0"/>
      <w:sz w:val="28"/>
      <w:szCs w:val="20"/>
    </w:rPr>
  </w:style>
  <w:style w:type="paragraph" w:customStyle="1" w:styleId="186">
    <w:name w:val="列出段落11"/>
    <w:basedOn w:val="1"/>
    <w:autoRedefine/>
    <w:qFormat/>
    <w:uiPriority w:val="99"/>
    <w:pPr>
      <w:widowControl/>
      <w:ind w:left="720"/>
      <w:contextualSpacing/>
      <w:jc w:val="left"/>
    </w:pPr>
    <w:rPr>
      <w:rFonts w:ascii="Arial" w:hAnsi="Arial" w:eastAsia="黑体"/>
      <w:kern w:val="0"/>
      <w:sz w:val="24"/>
      <w:szCs w:val="24"/>
      <w:lang w:eastAsia="en-US"/>
    </w:rPr>
  </w:style>
  <w:style w:type="paragraph" w:customStyle="1" w:styleId="187">
    <w:name w:val="_Style 1"/>
    <w:basedOn w:val="1"/>
    <w:autoRedefine/>
    <w:qFormat/>
    <w:uiPriority w:val="0"/>
    <w:pPr>
      <w:ind w:firstLine="420" w:firstLineChars="200"/>
    </w:pPr>
    <w:rPr>
      <w:szCs w:val="24"/>
    </w:rPr>
  </w:style>
  <w:style w:type="paragraph" w:customStyle="1" w:styleId="188">
    <w:name w:val="msolistparagraph"/>
    <w:basedOn w:val="1"/>
    <w:autoRedefine/>
    <w:qFormat/>
    <w:uiPriority w:val="99"/>
    <w:pPr>
      <w:ind w:firstLine="420" w:firstLineChars="200"/>
    </w:pPr>
    <w:rPr>
      <w:szCs w:val="22"/>
    </w:rPr>
  </w:style>
  <w:style w:type="paragraph" w:customStyle="1" w:styleId="189">
    <w:name w:val="标题2"/>
    <w:basedOn w:val="3"/>
    <w:next w:val="16"/>
    <w:autoRedefine/>
    <w:qFormat/>
    <w:uiPriority w:val="99"/>
    <w:pPr>
      <w:spacing w:before="156" w:after="156" w:line="360" w:lineRule="auto"/>
      <w:jc w:val="both"/>
    </w:pPr>
    <w:rPr>
      <w:rFonts w:ascii="Cambria" w:hAnsi="Cambria"/>
      <w:bCs w:val="0"/>
      <w:sz w:val="24"/>
      <w:szCs w:val="20"/>
    </w:rPr>
  </w:style>
  <w:style w:type="paragraph" w:customStyle="1" w:styleId="190">
    <w:name w:val="标题 31"/>
    <w:basedOn w:val="1"/>
    <w:autoRedefine/>
    <w:qFormat/>
    <w:uiPriority w:val="1"/>
    <w:pPr>
      <w:autoSpaceDE w:val="0"/>
      <w:autoSpaceDN w:val="0"/>
      <w:adjustRightInd w:val="0"/>
      <w:ind w:left="722"/>
      <w:jc w:val="left"/>
      <w:outlineLvl w:val="2"/>
    </w:pPr>
    <w:rPr>
      <w:rFonts w:ascii="宋体" w:cs="宋体"/>
      <w:b/>
      <w:bCs/>
      <w:kern w:val="0"/>
      <w:sz w:val="24"/>
      <w:szCs w:val="24"/>
    </w:rPr>
  </w:style>
  <w:style w:type="paragraph" w:customStyle="1" w:styleId="191">
    <w:name w:val="样式 标题 2 + Times New Roman 四号 非加粗 段前: 5 磅 段后: 0 磅 行距: 固定值 20..."/>
    <w:basedOn w:val="3"/>
    <w:autoRedefine/>
    <w:qFormat/>
    <w:uiPriority w:val="0"/>
    <w:pPr>
      <w:spacing w:before="100" w:after="0" w:line="400" w:lineRule="exact"/>
      <w:jc w:val="both"/>
    </w:pPr>
    <w:rPr>
      <w:rFonts w:ascii="Times New Roman" w:hAnsi="Times New Roman" w:eastAsia="黑体"/>
      <w:b w:val="0"/>
      <w:bCs w:val="0"/>
      <w:szCs w:val="20"/>
    </w:rPr>
  </w:style>
  <w:style w:type="paragraph" w:customStyle="1" w:styleId="192">
    <w:name w:val="_Style 5"/>
    <w:basedOn w:val="1"/>
    <w:autoRedefine/>
    <w:qFormat/>
    <w:uiPriority w:val="34"/>
    <w:pPr>
      <w:ind w:firstLine="420" w:firstLineChars="200"/>
    </w:pPr>
    <w:rPr>
      <w:szCs w:val="24"/>
    </w:rPr>
  </w:style>
  <w:style w:type="paragraph" w:customStyle="1" w:styleId="193">
    <w:name w:val="列出段落2"/>
    <w:basedOn w:val="1"/>
    <w:autoRedefine/>
    <w:qFormat/>
    <w:uiPriority w:val="99"/>
    <w:pPr>
      <w:ind w:firstLine="420" w:firstLineChars="200"/>
    </w:pPr>
    <w:rPr>
      <w:szCs w:val="24"/>
    </w:rPr>
  </w:style>
  <w:style w:type="paragraph" w:customStyle="1" w:styleId="194">
    <w:name w:val="_Style 3"/>
    <w:basedOn w:val="1"/>
    <w:autoRedefine/>
    <w:qFormat/>
    <w:uiPriority w:val="34"/>
    <w:pPr>
      <w:ind w:firstLine="420" w:firstLineChars="200"/>
    </w:pPr>
    <w:rPr>
      <w:szCs w:val="24"/>
    </w:rPr>
  </w:style>
  <w:style w:type="paragraph" w:customStyle="1" w:styleId="195">
    <w:name w:val="文本条款 Char Char"/>
    <w:basedOn w:val="1"/>
    <w:next w:val="8"/>
    <w:autoRedefine/>
    <w:qFormat/>
    <w:uiPriority w:val="99"/>
    <w:pPr>
      <w:ind w:firstLine="420"/>
    </w:pPr>
    <w:rPr>
      <w:szCs w:val="20"/>
    </w:rPr>
  </w:style>
  <w:style w:type="paragraph" w:customStyle="1" w:styleId="196">
    <w:name w:val="标题 21"/>
    <w:basedOn w:val="1"/>
    <w:next w:val="1"/>
    <w:autoRedefine/>
    <w:qFormat/>
    <w:uiPriority w:val="1"/>
    <w:pPr>
      <w:autoSpaceDE w:val="0"/>
      <w:autoSpaceDN w:val="0"/>
      <w:adjustRightInd w:val="0"/>
      <w:ind w:left="240"/>
      <w:jc w:val="left"/>
      <w:outlineLvl w:val="1"/>
    </w:pPr>
    <w:rPr>
      <w:rFonts w:ascii="宋体" w:cs="宋体"/>
      <w:b/>
      <w:bCs/>
      <w:kern w:val="0"/>
      <w:sz w:val="28"/>
      <w:szCs w:val="28"/>
    </w:rPr>
  </w:style>
  <w:style w:type="paragraph" w:customStyle="1" w:styleId="197">
    <w:name w:val="1"/>
    <w:basedOn w:val="17"/>
    <w:autoRedefine/>
    <w:qFormat/>
    <w:uiPriority w:val="0"/>
    <w:pPr>
      <w:numPr>
        <w:ilvl w:val="0"/>
        <w:numId w:val="1"/>
      </w:numPr>
      <w:spacing w:beforeLines="50" w:line="460" w:lineRule="exact"/>
      <w:ind w:firstLine="482" w:firstLineChars="150"/>
      <w:jc w:val="both"/>
    </w:pPr>
    <w:rPr>
      <w:rFonts w:ascii="Calibri" w:hAnsi="Calibri" w:eastAsia="楷体_GB2312"/>
      <w:b/>
      <w:bCs/>
      <w:kern w:val="2"/>
      <w:sz w:val="32"/>
      <w:szCs w:val="24"/>
    </w:rPr>
  </w:style>
  <w:style w:type="paragraph" w:customStyle="1" w:styleId="198">
    <w:name w:val="列出段落5"/>
    <w:basedOn w:val="1"/>
    <w:autoRedefine/>
    <w:qFormat/>
    <w:uiPriority w:val="34"/>
    <w:pPr>
      <w:ind w:firstLine="420" w:firstLineChars="200"/>
    </w:pPr>
    <w:rPr>
      <w:szCs w:val="24"/>
    </w:rPr>
  </w:style>
  <w:style w:type="paragraph" w:customStyle="1" w:styleId="199">
    <w:name w:val="模板正文"/>
    <w:basedOn w:val="1"/>
    <w:autoRedefine/>
    <w:qFormat/>
    <w:uiPriority w:val="0"/>
    <w:pPr>
      <w:wordWrap w:val="0"/>
      <w:spacing w:before="120" w:line="360" w:lineRule="auto"/>
      <w:ind w:firstLine="200" w:firstLineChars="200"/>
    </w:pPr>
    <w:rPr>
      <w:rFonts w:eastAsia="仿宋_GB2312"/>
      <w:sz w:val="24"/>
    </w:rPr>
  </w:style>
  <w:style w:type="paragraph" w:customStyle="1" w:styleId="200">
    <w:name w:val="列表段落1"/>
    <w:basedOn w:val="1"/>
    <w:autoRedefine/>
    <w:qFormat/>
    <w:uiPriority w:val="99"/>
    <w:pPr>
      <w:ind w:firstLine="420" w:firstLineChars="200"/>
    </w:pPr>
    <w:rPr>
      <w:szCs w:val="20"/>
    </w:rPr>
  </w:style>
  <w:style w:type="paragraph" w:customStyle="1" w:styleId="201">
    <w:name w:val="2"/>
    <w:basedOn w:val="1"/>
    <w:autoRedefine/>
    <w:qFormat/>
    <w:uiPriority w:val="0"/>
    <w:pPr>
      <w:tabs>
        <w:tab w:val="left" w:pos="1955"/>
      </w:tabs>
      <w:spacing w:line="460" w:lineRule="exact"/>
    </w:pPr>
    <w:rPr>
      <w:sz w:val="28"/>
      <w:szCs w:val="24"/>
    </w:rPr>
  </w:style>
  <w:style w:type="paragraph" w:customStyle="1" w:styleId="202">
    <w:name w:val="标题 41"/>
    <w:basedOn w:val="1"/>
    <w:next w:val="1"/>
    <w:autoRedefine/>
    <w:qFormat/>
    <w:uiPriority w:val="1"/>
    <w:pPr>
      <w:jc w:val="left"/>
      <w:outlineLvl w:val="4"/>
    </w:pPr>
    <w:rPr>
      <w:rFonts w:ascii="宋体" w:hAnsi="宋体"/>
      <w:b/>
      <w:bCs/>
      <w:kern w:val="0"/>
      <w:sz w:val="32"/>
      <w:szCs w:val="32"/>
      <w:lang w:eastAsia="en-US"/>
    </w:rPr>
  </w:style>
  <w:style w:type="paragraph" w:customStyle="1" w:styleId="203">
    <w:name w:val="标题 81"/>
    <w:basedOn w:val="1"/>
    <w:autoRedefine/>
    <w:qFormat/>
    <w:uiPriority w:val="1"/>
    <w:pPr>
      <w:spacing w:before="14"/>
      <w:ind w:left="214"/>
      <w:jc w:val="left"/>
      <w:outlineLvl w:val="8"/>
    </w:pPr>
    <w:rPr>
      <w:rFonts w:ascii="黑体" w:hAnsi="黑体" w:eastAsia="黑体"/>
      <w:kern w:val="0"/>
      <w:sz w:val="28"/>
      <w:szCs w:val="28"/>
      <w:lang w:eastAsia="en-US"/>
    </w:rPr>
  </w:style>
  <w:style w:type="paragraph" w:customStyle="1" w:styleId="204">
    <w:name w:val="标题 91"/>
    <w:basedOn w:val="1"/>
    <w:autoRedefine/>
    <w:qFormat/>
    <w:uiPriority w:val="1"/>
    <w:pPr>
      <w:spacing w:before="26"/>
      <w:jc w:val="left"/>
    </w:pPr>
    <w:rPr>
      <w:rFonts w:ascii="宋体" w:hAnsi="宋体"/>
      <w:b/>
      <w:bCs/>
      <w:kern w:val="0"/>
      <w:sz w:val="24"/>
      <w:szCs w:val="24"/>
      <w:lang w:eastAsia="en-US"/>
    </w:rPr>
  </w:style>
  <w:style w:type="paragraph" w:customStyle="1" w:styleId="205">
    <w:name w:val="标题 71"/>
    <w:basedOn w:val="1"/>
    <w:autoRedefine/>
    <w:qFormat/>
    <w:uiPriority w:val="1"/>
    <w:pPr>
      <w:spacing w:before="14"/>
      <w:ind w:left="118"/>
      <w:jc w:val="left"/>
      <w:outlineLvl w:val="7"/>
    </w:pPr>
    <w:rPr>
      <w:rFonts w:ascii="宋体" w:hAnsi="宋体"/>
      <w:b/>
      <w:bCs/>
      <w:kern w:val="0"/>
      <w:sz w:val="28"/>
      <w:szCs w:val="28"/>
      <w:lang w:eastAsia="en-US"/>
    </w:rPr>
  </w:style>
  <w:style w:type="character" w:customStyle="1" w:styleId="206">
    <w:name w:val="font181"/>
    <w:basedOn w:val="38"/>
    <w:autoRedefine/>
    <w:qFormat/>
    <w:uiPriority w:val="0"/>
    <w:rPr>
      <w:rFonts w:ascii="宋体" w:hAnsi="宋体" w:eastAsia="宋体" w:cs="宋体"/>
      <w:b/>
      <w:bCs/>
      <w:color w:val="000000"/>
      <w:sz w:val="20"/>
      <w:szCs w:val="20"/>
      <w:u w:val="none"/>
    </w:rPr>
  </w:style>
  <w:style w:type="character" w:customStyle="1" w:styleId="207">
    <w:name w:val="font221"/>
    <w:basedOn w:val="38"/>
    <w:autoRedefine/>
    <w:qFormat/>
    <w:uiPriority w:val="0"/>
    <w:rPr>
      <w:rFonts w:hint="default" w:ascii="Times New Roman" w:hAnsi="Times New Roman" w:cs="Times New Roman"/>
      <w:b/>
      <w:bCs/>
      <w:color w:val="000000"/>
      <w:sz w:val="20"/>
      <w:szCs w:val="20"/>
      <w:u w:val="none"/>
    </w:rPr>
  </w:style>
  <w:style w:type="character" w:customStyle="1" w:styleId="208">
    <w:name w:val="font21"/>
    <w:basedOn w:val="38"/>
    <w:autoRedefine/>
    <w:qFormat/>
    <w:uiPriority w:val="0"/>
    <w:rPr>
      <w:rFonts w:hint="eastAsia" w:ascii="宋体" w:hAnsi="宋体" w:eastAsia="宋体" w:cs="宋体"/>
      <w:color w:val="000000"/>
      <w:sz w:val="22"/>
      <w:szCs w:val="22"/>
      <w:u w:val="none"/>
    </w:rPr>
  </w:style>
  <w:style w:type="paragraph" w:customStyle="1" w:styleId="209">
    <w:name w:val="标题 411"/>
    <w:basedOn w:val="1"/>
    <w:next w:val="1"/>
    <w:autoRedefine/>
    <w:qFormat/>
    <w:uiPriority w:val="9"/>
    <w:pPr>
      <w:keepNext/>
      <w:keepLines/>
      <w:spacing w:before="120" w:after="120"/>
      <w:outlineLvl w:val="3"/>
    </w:pPr>
    <w:rPr>
      <w:rFonts w:ascii="Arial" w:hAnsi="Arial" w:eastAsia="黑体"/>
      <w:b/>
      <w:sz w:val="20"/>
      <w:szCs w:val="20"/>
    </w:rPr>
  </w:style>
  <w:style w:type="character" w:customStyle="1" w:styleId="210">
    <w:name w:val="font91"/>
    <w:basedOn w:val="38"/>
    <w:autoRedefine/>
    <w:qFormat/>
    <w:uiPriority w:val="0"/>
    <w:rPr>
      <w:rFonts w:hint="eastAsia" w:ascii="宋体" w:hAnsi="宋体" w:eastAsia="宋体" w:cs="宋体"/>
      <w:b/>
      <w:bCs/>
      <w:color w:val="000000"/>
      <w:sz w:val="24"/>
      <w:szCs w:val="24"/>
      <w:u w:val="none"/>
    </w:rPr>
  </w:style>
  <w:style w:type="character" w:customStyle="1" w:styleId="211">
    <w:name w:val="font112"/>
    <w:basedOn w:val="38"/>
    <w:autoRedefine/>
    <w:qFormat/>
    <w:uiPriority w:val="0"/>
    <w:rPr>
      <w:rFonts w:hint="eastAsia" w:ascii="宋体" w:hAnsi="宋体" w:eastAsia="宋体" w:cs="宋体"/>
      <w:color w:val="000000"/>
      <w:sz w:val="20"/>
      <w:szCs w:val="20"/>
      <w:u w:val="none"/>
    </w:rPr>
  </w:style>
  <w:style w:type="paragraph" w:customStyle="1" w:styleId="212">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213">
    <w:name w:val="font5"/>
    <w:basedOn w:val="1"/>
    <w:autoRedefine/>
    <w:qFormat/>
    <w:uiPriority w:val="0"/>
    <w:pPr>
      <w:widowControl/>
      <w:spacing w:before="100" w:beforeAutospacing="1" w:after="100" w:afterAutospacing="1"/>
      <w:jc w:val="left"/>
    </w:pPr>
    <w:rPr>
      <w:rFonts w:ascii="宋体" w:hAnsi="宋体" w:cs="宋体"/>
      <w:b/>
      <w:bCs/>
      <w:color w:val="000000"/>
      <w:kern w:val="0"/>
      <w:sz w:val="24"/>
      <w:szCs w:val="24"/>
    </w:rPr>
  </w:style>
  <w:style w:type="paragraph" w:customStyle="1" w:styleId="214">
    <w:name w:val="font6"/>
    <w:basedOn w:val="1"/>
    <w:autoRedefine/>
    <w:qFormat/>
    <w:uiPriority w:val="0"/>
    <w:pPr>
      <w:widowControl/>
      <w:spacing w:before="100" w:beforeAutospacing="1" w:after="100" w:afterAutospacing="1"/>
      <w:jc w:val="left"/>
    </w:pPr>
    <w:rPr>
      <w:rFonts w:ascii="Times New Roman" w:hAnsi="Times New Roman"/>
      <w:color w:val="000000"/>
      <w:kern w:val="0"/>
      <w:sz w:val="20"/>
      <w:szCs w:val="20"/>
    </w:rPr>
  </w:style>
  <w:style w:type="paragraph" w:customStyle="1" w:styleId="215">
    <w:name w:val="font7"/>
    <w:basedOn w:val="1"/>
    <w:autoRedefine/>
    <w:qFormat/>
    <w:uiPriority w:val="0"/>
    <w:pPr>
      <w:widowControl/>
      <w:spacing w:before="100" w:beforeAutospacing="1" w:after="100" w:afterAutospacing="1"/>
      <w:jc w:val="left"/>
    </w:pPr>
    <w:rPr>
      <w:rFonts w:ascii="Times New Roman" w:hAnsi="Times New Roman"/>
      <w:color w:val="000000"/>
      <w:kern w:val="0"/>
      <w:sz w:val="20"/>
      <w:szCs w:val="20"/>
    </w:rPr>
  </w:style>
  <w:style w:type="paragraph" w:customStyle="1" w:styleId="216">
    <w:name w:val="font8"/>
    <w:basedOn w:val="1"/>
    <w:autoRedefine/>
    <w:qFormat/>
    <w:uiPriority w:val="0"/>
    <w:pPr>
      <w:widowControl/>
      <w:spacing w:before="100" w:beforeAutospacing="1" w:after="100" w:afterAutospacing="1"/>
      <w:jc w:val="left"/>
    </w:pPr>
    <w:rPr>
      <w:rFonts w:ascii="宋体" w:hAnsi="宋体" w:cs="宋体"/>
      <w:b/>
      <w:bCs/>
      <w:color w:val="000000"/>
      <w:kern w:val="0"/>
      <w:sz w:val="36"/>
      <w:szCs w:val="36"/>
    </w:rPr>
  </w:style>
  <w:style w:type="paragraph" w:customStyle="1" w:styleId="217">
    <w:name w:val="font9"/>
    <w:basedOn w:val="1"/>
    <w:autoRedefine/>
    <w:qFormat/>
    <w:uiPriority w:val="0"/>
    <w:pPr>
      <w:widowControl/>
      <w:spacing w:before="100" w:beforeAutospacing="1" w:after="100" w:afterAutospacing="1"/>
      <w:jc w:val="left"/>
    </w:pPr>
    <w:rPr>
      <w:rFonts w:ascii="Times New Roman" w:hAnsi="Times New Roman"/>
      <w:b/>
      <w:bCs/>
      <w:color w:val="000000"/>
      <w:kern w:val="0"/>
      <w:sz w:val="24"/>
      <w:szCs w:val="24"/>
    </w:rPr>
  </w:style>
  <w:style w:type="paragraph" w:customStyle="1" w:styleId="218">
    <w:name w:val="font10"/>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219">
    <w:name w:val="font12"/>
    <w:basedOn w:val="1"/>
    <w:autoRedefine/>
    <w:qFormat/>
    <w:uiPriority w:val="0"/>
    <w:pPr>
      <w:widowControl/>
      <w:spacing w:before="100" w:beforeAutospacing="1" w:after="100" w:afterAutospacing="1"/>
      <w:jc w:val="left"/>
    </w:pPr>
    <w:rPr>
      <w:rFonts w:ascii="Times New Roman" w:hAnsi="Times New Roman"/>
      <w:color w:val="000000"/>
      <w:kern w:val="0"/>
      <w:sz w:val="20"/>
      <w:szCs w:val="20"/>
    </w:rPr>
  </w:style>
  <w:style w:type="paragraph" w:customStyle="1" w:styleId="220">
    <w:name w:val="xl68"/>
    <w:basedOn w:val="1"/>
    <w:autoRedefine/>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221">
    <w:name w:val="xl69"/>
    <w:basedOn w:val="1"/>
    <w:autoRedefine/>
    <w:qFormat/>
    <w:uiPriority w:val="0"/>
    <w:pPr>
      <w:widowControl/>
      <w:spacing w:before="100" w:beforeAutospacing="1" w:after="100" w:afterAutospacing="1"/>
      <w:jc w:val="center"/>
    </w:pPr>
    <w:rPr>
      <w:rFonts w:ascii="Times New Roman" w:hAnsi="Times New Roman"/>
      <w:kern w:val="0"/>
      <w:sz w:val="24"/>
      <w:szCs w:val="24"/>
    </w:rPr>
  </w:style>
  <w:style w:type="paragraph" w:customStyle="1" w:styleId="222">
    <w:name w:val="xl70"/>
    <w:basedOn w:val="1"/>
    <w:autoRedefine/>
    <w:qFormat/>
    <w:uiPriority w:val="0"/>
    <w:pPr>
      <w:widowControl/>
      <w:spacing w:before="100" w:beforeAutospacing="1" w:after="100" w:afterAutospacing="1"/>
      <w:jc w:val="center"/>
    </w:pPr>
    <w:rPr>
      <w:rFonts w:ascii="Times New Roman" w:hAnsi="Times New Roman"/>
      <w:kern w:val="0"/>
      <w:sz w:val="24"/>
      <w:szCs w:val="24"/>
    </w:rPr>
  </w:style>
  <w:style w:type="paragraph" w:customStyle="1" w:styleId="223">
    <w:name w:val="xl71"/>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22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b/>
      <w:bCs/>
      <w:color w:val="000000"/>
      <w:kern w:val="0"/>
      <w:sz w:val="24"/>
      <w:szCs w:val="24"/>
    </w:rPr>
  </w:style>
  <w:style w:type="paragraph" w:customStyle="1" w:styleId="225">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szCs w:val="24"/>
    </w:rPr>
  </w:style>
  <w:style w:type="paragraph" w:customStyle="1" w:styleId="22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27">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color w:val="000000"/>
      <w:kern w:val="0"/>
      <w:sz w:val="24"/>
      <w:szCs w:val="24"/>
    </w:rPr>
  </w:style>
  <w:style w:type="paragraph" w:customStyle="1" w:styleId="228">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29">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3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31">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24"/>
      <w:szCs w:val="24"/>
    </w:rPr>
  </w:style>
  <w:style w:type="paragraph" w:customStyle="1" w:styleId="232">
    <w:name w:val="xl80"/>
    <w:basedOn w:val="1"/>
    <w:autoRedefine/>
    <w:qFormat/>
    <w:uiPriority w:val="0"/>
    <w:pPr>
      <w:widowControl/>
      <w:spacing w:before="100" w:beforeAutospacing="1" w:after="100" w:afterAutospacing="1"/>
      <w:jc w:val="center"/>
      <w:textAlignment w:val="center"/>
    </w:pPr>
    <w:rPr>
      <w:rFonts w:ascii="Times New Roman" w:hAnsi="Times New Roman"/>
      <w:b/>
      <w:bCs/>
      <w:color w:val="000000"/>
      <w:kern w:val="0"/>
      <w:sz w:val="36"/>
      <w:szCs w:val="36"/>
    </w:rPr>
  </w:style>
  <w:style w:type="paragraph" w:customStyle="1" w:styleId="233">
    <w:name w:val="xl81"/>
    <w:basedOn w:val="1"/>
    <w:autoRedefine/>
    <w:qFormat/>
    <w:uiPriority w:val="0"/>
    <w:pPr>
      <w:widowControl/>
      <w:spacing w:before="100" w:beforeAutospacing="1" w:after="100" w:afterAutospacing="1"/>
      <w:jc w:val="center"/>
      <w:textAlignment w:val="center"/>
    </w:pPr>
    <w:rPr>
      <w:rFonts w:ascii="Times New Roman" w:hAnsi="Times New Roman"/>
      <w:b/>
      <w:bCs/>
      <w:color w:val="000000"/>
      <w:kern w:val="0"/>
      <w:sz w:val="36"/>
      <w:szCs w:val="36"/>
    </w:rPr>
  </w:style>
  <w:style w:type="paragraph" w:customStyle="1" w:styleId="234">
    <w:name w:val="xl82"/>
    <w:basedOn w:val="1"/>
    <w:autoRedefine/>
    <w:qFormat/>
    <w:uiPriority w:val="0"/>
    <w:pPr>
      <w:widowControl/>
      <w:spacing w:before="100" w:beforeAutospacing="1" w:after="100" w:afterAutospacing="1"/>
      <w:jc w:val="left"/>
    </w:pPr>
    <w:rPr>
      <w:rFonts w:ascii="宋体" w:hAnsi="宋体" w:cs="宋体"/>
      <w:b/>
      <w:bCs/>
      <w:color w:val="000000"/>
      <w:kern w:val="0"/>
      <w:sz w:val="24"/>
      <w:szCs w:val="24"/>
    </w:rPr>
  </w:style>
  <w:style w:type="paragraph" w:customStyle="1" w:styleId="235">
    <w:name w:val="xl83"/>
    <w:basedOn w:val="1"/>
    <w:autoRedefine/>
    <w:qFormat/>
    <w:uiPriority w:val="0"/>
    <w:pPr>
      <w:widowControl/>
      <w:spacing w:before="100" w:beforeAutospacing="1" w:after="100" w:afterAutospacing="1"/>
      <w:jc w:val="left"/>
    </w:pPr>
    <w:rPr>
      <w:rFonts w:ascii="Times New Roman" w:hAnsi="Times New Roman"/>
      <w:b/>
      <w:bCs/>
      <w:color w:val="000000"/>
      <w:kern w:val="0"/>
      <w:sz w:val="24"/>
      <w:szCs w:val="24"/>
    </w:rPr>
  </w:style>
  <w:style w:type="paragraph" w:customStyle="1" w:styleId="236">
    <w:name w:val="xl84"/>
    <w:basedOn w:val="1"/>
    <w:autoRedefine/>
    <w:qFormat/>
    <w:uiPriority w:val="0"/>
    <w:pPr>
      <w:widowControl/>
      <w:spacing w:before="100" w:beforeAutospacing="1" w:after="100" w:afterAutospacing="1"/>
      <w:jc w:val="center"/>
    </w:pPr>
    <w:rPr>
      <w:rFonts w:ascii="Times New Roman" w:hAnsi="Times New Roman"/>
      <w:b/>
      <w:bCs/>
      <w:color w:val="000000"/>
      <w:kern w:val="0"/>
      <w:sz w:val="24"/>
      <w:szCs w:val="24"/>
    </w:rPr>
  </w:style>
  <w:style w:type="paragraph" w:customStyle="1" w:styleId="237">
    <w:name w:val="xl85"/>
    <w:basedOn w:val="1"/>
    <w:autoRedefine/>
    <w:qFormat/>
    <w:uiPriority w:val="0"/>
    <w:pPr>
      <w:widowControl/>
      <w:spacing w:before="100" w:beforeAutospacing="1" w:after="100" w:afterAutospacing="1"/>
      <w:jc w:val="center"/>
    </w:pPr>
    <w:rPr>
      <w:rFonts w:ascii="宋体" w:hAnsi="宋体" w:cs="宋体"/>
      <w:color w:val="000000"/>
      <w:kern w:val="0"/>
      <w:sz w:val="18"/>
      <w:szCs w:val="18"/>
    </w:rPr>
  </w:style>
  <w:style w:type="paragraph" w:customStyle="1" w:styleId="238">
    <w:name w:val="xl86"/>
    <w:basedOn w:val="1"/>
    <w:autoRedefine/>
    <w:qFormat/>
    <w:uiPriority w:val="0"/>
    <w:pPr>
      <w:widowControl/>
      <w:spacing w:before="100" w:beforeAutospacing="1" w:after="100" w:afterAutospacing="1"/>
      <w:jc w:val="center"/>
    </w:pPr>
    <w:rPr>
      <w:rFonts w:ascii="宋体" w:hAnsi="宋体" w:cs="宋体"/>
      <w:color w:val="000000"/>
      <w:kern w:val="0"/>
      <w:sz w:val="18"/>
      <w:szCs w:val="18"/>
    </w:rPr>
  </w:style>
  <w:style w:type="paragraph" w:customStyle="1" w:styleId="239">
    <w:name w:val="xl8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40">
    <w:name w:val="xl8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4"/>
      <w:szCs w:val="24"/>
    </w:rPr>
  </w:style>
  <w:style w:type="paragraph" w:customStyle="1" w:styleId="241">
    <w:name w:val="正文1"/>
    <w:autoRedefine/>
    <w:qFormat/>
    <w:uiPriority w:val="0"/>
    <w:rPr>
      <w:rFonts w:ascii="Times New Roman" w:hAnsi="Times New Roman" w:eastAsia="宋体" w:cs="Times New Roman"/>
      <w:sz w:val="24"/>
      <w:szCs w:val="24"/>
      <w:lang w:val="en-US" w:eastAsia="zh-CN" w:bidi="ar-SA"/>
    </w:rPr>
  </w:style>
  <w:style w:type="paragraph" w:customStyle="1" w:styleId="242">
    <w:name w:val="Table Text"/>
    <w:basedOn w:val="1"/>
    <w:autoRedefine/>
    <w:semiHidden/>
    <w:qFormat/>
    <w:uiPriority w:val="0"/>
    <w:rPr>
      <w:rFonts w:ascii="宋体" w:hAnsi="宋体" w:cs="宋体"/>
      <w:lang w:eastAsia="en-US"/>
    </w:rPr>
  </w:style>
  <w:style w:type="table" w:customStyle="1" w:styleId="243">
    <w:name w:val="Table Normal"/>
    <w:autoRedefine/>
    <w:semiHidden/>
    <w:unhideWhenUsed/>
    <w:qFormat/>
    <w:uiPriority w:val="0"/>
    <w:tblPr>
      <w:tblCellMar>
        <w:top w:w="0" w:type="dxa"/>
        <w:left w:w="0" w:type="dxa"/>
        <w:bottom w:w="0" w:type="dxa"/>
        <w:right w:w="0" w:type="dxa"/>
      </w:tblCellMar>
    </w:tblPr>
  </w:style>
  <w:style w:type="character" w:customStyle="1" w:styleId="244">
    <w:name w:val="font41"/>
    <w:basedOn w:val="38"/>
    <w:autoRedefine/>
    <w:qFormat/>
    <w:uiPriority w:val="0"/>
    <w:rPr>
      <w:rFonts w:hint="default" w:ascii="Times New Roman" w:hAnsi="Times New Roman" w:cs="Times New Roman"/>
      <w:color w:val="000000"/>
      <w:sz w:val="24"/>
      <w:szCs w:val="24"/>
      <w:u w:val="none"/>
    </w:rPr>
  </w:style>
  <w:style w:type="character" w:customStyle="1" w:styleId="245">
    <w:name w:val="font121"/>
    <w:basedOn w:val="38"/>
    <w:autoRedefine/>
    <w:qFormat/>
    <w:uiPriority w:val="0"/>
    <w:rPr>
      <w:rFonts w:hint="default" w:ascii="Times New Roman" w:hAnsi="Times New Roman" w:cs="Times New Roman"/>
      <w:b/>
      <w:bCs/>
      <w:color w:val="000000"/>
      <w:sz w:val="24"/>
      <w:szCs w:val="24"/>
      <w:u w:val="none"/>
    </w:rPr>
  </w:style>
  <w:style w:type="character" w:customStyle="1" w:styleId="246">
    <w:name w:val="font131"/>
    <w:basedOn w:val="38"/>
    <w:autoRedefine/>
    <w:qFormat/>
    <w:uiPriority w:val="0"/>
    <w:rPr>
      <w:rFonts w:hint="eastAsia" w:ascii="宋体" w:hAnsi="宋体" w:eastAsia="宋体" w:cs="宋体"/>
      <w:b/>
      <w:bCs/>
      <w:color w:val="000000"/>
      <w:sz w:val="20"/>
      <w:szCs w:val="20"/>
      <w:u w:val="none"/>
    </w:rPr>
  </w:style>
  <w:style w:type="character" w:customStyle="1" w:styleId="247">
    <w:name w:val="font141"/>
    <w:basedOn w:val="38"/>
    <w:autoRedefine/>
    <w:qFormat/>
    <w:uiPriority w:val="0"/>
    <w:rPr>
      <w:rFonts w:hint="eastAsia" w:ascii="宋体" w:hAnsi="宋体" w:eastAsia="宋体" w:cs="宋体"/>
      <w:color w:val="000000"/>
      <w:sz w:val="20"/>
      <w:szCs w:val="20"/>
      <w:u w:val="none"/>
    </w:rPr>
  </w:style>
  <w:style w:type="character" w:customStyle="1" w:styleId="248">
    <w:name w:val="font151"/>
    <w:basedOn w:val="38"/>
    <w:autoRedefine/>
    <w:qFormat/>
    <w:uiPriority w:val="0"/>
    <w:rPr>
      <w:rFonts w:hint="default" w:ascii="Times New Roman" w:hAnsi="Times New Roman" w:cs="Times New Roman"/>
      <w:color w:val="000000"/>
      <w:sz w:val="20"/>
      <w:szCs w:val="20"/>
      <w:u w:val="none"/>
      <w:vertAlign w:val="superscript"/>
    </w:rPr>
  </w:style>
  <w:style w:type="character" w:customStyle="1" w:styleId="249">
    <w:name w:val="font111"/>
    <w:basedOn w:val="38"/>
    <w:autoRedefine/>
    <w:qFormat/>
    <w:uiPriority w:val="0"/>
    <w:rPr>
      <w:rFonts w:hint="default" w:ascii="Times New Roman" w:hAnsi="Times New Roman" w:cs="Times New Roman"/>
      <w:color w:val="000000"/>
      <w:sz w:val="20"/>
      <w:szCs w:val="20"/>
      <w:u w:val="none"/>
      <w:vertAlign w:val="superscript"/>
    </w:rPr>
  </w:style>
  <w:style w:type="paragraph" w:customStyle="1" w:styleId="250">
    <w:name w:val="正文文本首行缩进 2"/>
    <w:basedOn w:val="17"/>
    <w:qFormat/>
    <w:uiPriority w:val="99"/>
    <w:pPr>
      <w:tabs>
        <w:tab w:val="left" w:pos="0"/>
        <w:tab w:val="left" w:pos="993"/>
        <w:tab w:val="left" w:pos="1134"/>
      </w:tabs>
      <w:spacing w:after="0" w:line="360" w:lineRule="auto"/>
      <w:ind w:left="0" w:firstLine="200"/>
      <w:jc w:val="left"/>
    </w:pPr>
    <w:rPr>
      <w:szCs w:val="21"/>
    </w:rPr>
  </w:style>
  <w:style w:type="paragraph" w:customStyle="1" w:styleId="251">
    <w:name w:val="批注文字11"/>
    <w:basedOn w:val="1"/>
    <w:qFormat/>
    <w:uiPriority w:val="99"/>
    <w:pPr>
      <w:jc w:val="left"/>
    </w:pPr>
  </w:style>
  <w:style w:type="paragraph" w:customStyle="1" w:styleId="252">
    <w:name w:val="正文文本11"/>
    <w:basedOn w:val="1"/>
    <w:qFormat/>
    <w:uiPriority w:val="0"/>
    <w:rPr>
      <w:rFonts w:ascii="楷体_GB2312" w:hAnsi="Arial"/>
      <w:sz w:val="28"/>
      <w:szCs w:val="28"/>
    </w:rPr>
  </w:style>
  <w:style w:type="character" w:customStyle="1" w:styleId="253">
    <w:name w:val="标题 2 字符"/>
    <w:link w:val="3"/>
    <w:qFormat/>
    <w:uiPriority w:val="0"/>
    <w:rPr>
      <w:rFonts w:ascii="宋体" w:hAnsi="宋体" w:eastAsia="宋体" w:cs="Times New Roman"/>
      <w:b/>
      <w:bCs/>
      <w:sz w:val="28"/>
      <w:szCs w:val="28"/>
    </w:rPr>
  </w:style>
  <w:style w:type="paragraph" w:customStyle="1" w:styleId="254">
    <w:name w:val="BodyText1"/>
    <w:basedOn w:val="1"/>
    <w:qFormat/>
    <w:uiPriority w:val="0"/>
    <w:pPr>
      <w:spacing w:after="120"/>
    </w:pPr>
    <w:rPr>
      <w:rFonts w:hAnsi="Times New Roman"/>
      <w:sz w:val="20"/>
      <w:szCs w:val="24"/>
    </w:rPr>
  </w:style>
  <w:style w:type="paragraph" w:customStyle="1" w:styleId="25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56">
    <w:name w:val="页脚1"/>
    <w:basedOn w:val="1"/>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23622</Words>
  <Characters>25260</Characters>
  <Lines>346</Lines>
  <Paragraphs>97</Paragraphs>
  <TotalTime>46</TotalTime>
  <ScaleCrop>false</ScaleCrop>
  <LinksUpToDate>false</LinksUpToDate>
  <CharactersWithSpaces>25963</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2022-06-20T21:33:00Z</dcterms:created>
  <cp:lastPrinted>2024-11-28T02:25:00Z</cp:lastPrinted>
  <dcterms:modified xsi:type="dcterms:W3CDTF">2026-07-14T09:58:55Z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11C3AB9FCE424E9D943E7DA21263EE49_13</vt:lpwstr>
  </property>
  <property fmtid="{D5CDD505-2E9C-101B-9397-08002B2CF9AE}" pid="4" name="commondata">
    <vt:lpwstr>eyJoZGlkIjoiOTk4YTI5M2I1OGQ1Nzk2Njc3MWQ4OWU2ODBhZGE4MTEifQ==</vt:lpwstr>
  </property>
  <property fmtid="{D5CDD505-2E9C-101B-9397-08002B2CF9AE}" pid="5" name="KSOTemplateDocerSaveRecord">
    <vt:lpwstr>eyJoZGlkIjoiNWNkMWRkNjVkMzU2NWY4Y2I1N2U3NWYzM2QwZjMyNDIiLCJ1c2VySWQiOiI0Nzg1NjY4OTUifQ==</vt:lpwstr>
  </property>
</Properties>
</file>