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highlight w:val="none"/>
        </w:rPr>
      </w:pPr>
      <w:r>
        <w:rPr>
          <w:sz w:val="72"/>
          <w:highlight w:val="none"/>
        </w:rPr>
      </w:r>
      <w:r>
        <w:rPr>
          <w:highlight w:val="none"/>
        </w:rPr>
      </w:r>
    </w:p>
    <w:p>
      <w:pPr>
        <w:pStyle w:val="755"/>
        <w:ind w:firstLine="0"/>
        <w:jc w:val="center"/>
        <w:keepLines w:val="0"/>
        <w:keepNext w:val="0"/>
        <w:pageBreakBefore w:val="0"/>
        <w:spacing w:beforeAutospacing="0" w:afterAutospacing="0" w:line="360" w:lineRule="auto"/>
        <w:widowControl/>
        <w:rPr>
          <w:rStyle w:val="760"/>
          <w:rFonts w:ascii="宋体" w:hAnsi="宋体" w:cs="宋体"/>
          <w:sz w:val="72"/>
          <w:szCs w:val="72"/>
          <w:highlight w:val="none"/>
        </w:rPr>
      </w:pPr>
      <w:r>
        <w:rPr>
          <w:rStyle w:val="760"/>
          <w:rFonts w:hint="eastAsia" w:ascii="宋体" w:hAnsi="宋体" w:cs="宋体"/>
          <w:sz w:val="72"/>
          <w:szCs w:val="72"/>
          <w:highlight w:val="none"/>
          <w:lang w:val="zh-CN"/>
        </w:rPr>
        <w:t xml:space="preserve">苏州市</w:t>
      </w:r>
      <w:r>
        <w:rPr>
          <w:rStyle w:val="760"/>
          <w:rFonts w:hint="eastAsia" w:ascii="宋体" w:hAnsi="宋体" w:cs="宋体"/>
          <w:sz w:val="72"/>
          <w:szCs w:val="72"/>
          <w:highlight w:val="none"/>
        </w:rPr>
        <w:t xml:space="preserve">吴江区</w:t>
      </w:r>
      <w:r>
        <w:rPr>
          <w:rStyle w:val="760"/>
          <w:rFonts w:hint="eastAsia" w:ascii="宋体" w:hAnsi="宋体" w:cs="宋体"/>
          <w:sz w:val="72"/>
          <w:szCs w:val="72"/>
          <w:highlight w:val="none"/>
          <w:lang w:val="zh-CN"/>
        </w:rPr>
        <w:t xml:space="preserve">政府采购</w:t>
      </w:r>
      <w:r>
        <w:rPr>
          <w:highlight w:val="none"/>
        </w:rPr>
      </w:r>
    </w:p>
    <w:p>
      <w:pPr>
        <w:pStyle w:val="755"/>
        <w:ind w:firstLine="0"/>
        <w:jc w:val="center"/>
        <w:keepLines w:val="0"/>
        <w:keepNext w:val="0"/>
        <w:pageBreakBefore w:val="0"/>
        <w:spacing w:beforeAutospacing="0" w:afterAutospacing="0" w:line="360" w:lineRule="auto"/>
        <w:widowControl/>
        <w:rPr>
          <w:rStyle w:val="760"/>
          <w:rFonts w:ascii="宋体" w:hAnsi="宋体" w:cs="宋体"/>
          <w:sz w:val="72"/>
          <w:szCs w:val="72"/>
          <w:highlight w:val="none"/>
        </w:rPr>
      </w:pPr>
      <w:r>
        <w:rPr>
          <w:rStyle w:val="760"/>
          <w:rFonts w:hint="eastAsia" w:ascii="宋体" w:hAnsi="宋体" w:cs="宋体"/>
          <w:sz w:val="72"/>
          <w:szCs w:val="72"/>
          <w:highlight w:val="none"/>
          <w:lang w:val="zh-CN"/>
        </w:rPr>
        <w:t xml:space="preserve">招</w:t>
      </w:r>
      <w:r>
        <w:rPr>
          <w:rStyle w:val="760"/>
          <w:rFonts w:hint="eastAsia" w:ascii="宋体" w:hAnsi="宋体" w:cs="宋体"/>
          <w:sz w:val="72"/>
          <w:szCs w:val="72"/>
          <w:highlight w:val="none"/>
          <w:lang w:val="en-US" w:eastAsia="zh-CN"/>
        </w:rPr>
        <w:t xml:space="preserve"> </w:t>
      </w:r>
      <w:r>
        <w:rPr>
          <w:rStyle w:val="760"/>
          <w:rFonts w:hint="eastAsia" w:ascii="宋体" w:hAnsi="宋体" w:cs="宋体"/>
          <w:sz w:val="72"/>
          <w:szCs w:val="72"/>
          <w:highlight w:val="none"/>
          <w:lang w:val="zh-CN"/>
        </w:rPr>
        <w:t xml:space="preserve">标</w:t>
      </w:r>
      <w:r>
        <w:rPr>
          <w:rStyle w:val="760"/>
          <w:rFonts w:hint="eastAsia" w:ascii="宋体" w:hAnsi="宋体" w:cs="宋体"/>
          <w:sz w:val="72"/>
          <w:szCs w:val="72"/>
          <w:highlight w:val="none"/>
          <w:lang w:val="en-US" w:eastAsia="zh-CN"/>
        </w:rPr>
        <w:t xml:space="preserve"> </w:t>
      </w:r>
      <w:r>
        <w:rPr>
          <w:rStyle w:val="760"/>
          <w:rFonts w:hint="eastAsia" w:ascii="宋体" w:hAnsi="宋体" w:cs="宋体"/>
          <w:sz w:val="72"/>
          <w:szCs w:val="72"/>
          <w:highlight w:val="none"/>
          <w:lang w:val="zh-CN"/>
        </w:rPr>
        <w:t xml:space="preserve">文</w:t>
      </w:r>
      <w:r>
        <w:rPr>
          <w:rStyle w:val="760"/>
          <w:rFonts w:hint="eastAsia" w:ascii="宋体" w:hAnsi="宋体" w:cs="宋体"/>
          <w:sz w:val="72"/>
          <w:szCs w:val="72"/>
          <w:highlight w:val="none"/>
          <w:lang w:val="en-US" w:eastAsia="zh-CN"/>
        </w:rPr>
        <w:t xml:space="preserve"> </w:t>
      </w:r>
      <w:r>
        <w:rPr>
          <w:rStyle w:val="760"/>
          <w:rFonts w:hint="eastAsia" w:ascii="宋体" w:hAnsi="宋体" w:cs="宋体"/>
          <w:sz w:val="72"/>
          <w:szCs w:val="72"/>
          <w:highlight w:val="none"/>
          <w:lang w:val="zh-CN"/>
        </w:rPr>
        <w:t xml:space="preserve">件</w:t>
      </w:r>
      <w:r>
        <w:rPr>
          <w:highlight w:val="none"/>
        </w:rPr>
      </w:r>
    </w:p>
    <w:p>
      <w:pPr>
        <w:pStyle w:val="755"/>
        <w:ind w:left="2766" w:hanging="1506"/>
        <w:spacing w:beforeAutospacing="0" w:afterAutospacing="0" w:line="360" w:lineRule="auto"/>
        <w:widowControl/>
        <w:rPr>
          <w:rStyle w:val="760"/>
          <w:rFonts w:ascii="宋体" w:hAnsi="宋体" w:cs="宋体"/>
          <w:sz w:val="30"/>
          <w:szCs w:val="30"/>
          <w:highlight w:val="none"/>
        </w:rPr>
      </w:pPr>
      <w:r>
        <w:rPr>
          <w:rFonts w:ascii="宋体" w:hAnsi="宋体" w:cs="宋体"/>
          <w:sz w:val="30"/>
          <w:szCs w:val="30"/>
          <w:highlight w:val="none"/>
        </w:rPr>
      </w:r>
      <w:r>
        <w:rPr>
          <w:highlight w:val="none"/>
        </w:rPr>
      </w:r>
    </w:p>
    <w:p>
      <w:pPr>
        <w:pStyle w:val="755"/>
        <w:ind w:left="2766" w:hanging="1506"/>
        <w:jc w:val="center"/>
        <w:spacing w:beforeAutospacing="0" w:afterAutospacing="0" w:line="360" w:lineRule="auto"/>
        <w:widowControl/>
        <w:rPr>
          <w:rStyle w:val="760"/>
          <w:rFonts w:ascii="宋体" w:hAnsi="宋体" w:cs="宋体"/>
          <w:sz w:val="30"/>
          <w:szCs w:val="30"/>
          <w:highlight w:val="none"/>
        </w:rPr>
      </w:pPr>
      <w:r>
        <w:rPr>
          <w:rFonts w:ascii="宋体" w:hAnsi="宋体" w:cs="宋体"/>
          <w:sz w:val="30"/>
          <w:szCs w:val="30"/>
          <w:highlight w:val="none"/>
        </w:rPr>
      </w:r>
      <w:r>
        <w:rPr>
          <w:highlight w:val="none"/>
        </w:rPr>
      </w:r>
    </w:p>
    <w:p>
      <w:pPr>
        <w:pStyle w:val="755"/>
        <w:ind w:left="2766" w:hanging="1506"/>
        <w:jc w:val="center"/>
        <w:spacing w:beforeAutospacing="0" w:afterAutospacing="0" w:line="360" w:lineRule="auto"/>
        <w:widowControl/>
        <w:rPr>
          <w:rStyle w:val="760"/>
          <w:rFonts w:ascii="宋体" w:hAnsi="宋体" w:cs="宋体"/>
          <w:sz w:val="30"/>
          <w:szCs w:val="30"/>
          <w:highlight w:val="none"/>
        </w:rPr>
      </w:pPr>
      <w:r>
        <w:rPr>
          <w:rFonts w:ascii="宋体" w:hAnsi="宋体" w:cs="宋体"/>
          <w:sz w:val="30"/>
          <w:szCs w:val="30"/>
          <w:highlight w:val="none"/>
        </w:rPr>
      </w:r>
      <w:r>
        <w:rPr>
          <w:highlight w:val="none"/>
        </w:rPr>
      </w:r>
    </w:p>
    <w:p>
      <w:pPr>
        <w:pStyle w:val="755"/>
        <w:ind w:left="2766" w:hanging="1506"/>
        <w:spacing w:beforeAutospacing="0" w:afterAutospacing="0" w:line="360" w:lineRule="auto"/>
        <w:widowControl/>
        <w:rPr>
          <w:rStyle w:val="760"/>
          <w:rFonts w:ascii="宋体" w:hAnsi="宋体" w:cs="宋体"/>
          <w:sz w:val="30"/>
          <w:szCs w:val="30"/>
          <w:highlight w:val="none"/>
        </w:rPr>
      </w:pPr>
      <w:r>
        <w:rPr>
          <w:rFonts w:ascii="宋体" w:hAnsi="宋体" w:cs="宋体"/>
          <w:sz w:val="30"/>
          <w:szCs w:val="30"/>
          <w:highlight w:val="none"/>
        </w:rPr>
      </w:r>
      <w:r>
        <w:rPr>
          <w:highlight w:val="none"/>
        </w:rPr>
      </w:r>
    </w:p>
    <w:tbl>
      <w:tblPr>
        <w:tblStyle w:val="75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22"/>
        <w:gridCol w:w="4716"/>
      </w:tblGrid>
      <w:tr>
        <w:trPr>
          <w:jc w:val="center"/>
        </w:trPr>
        <w:tc>
          <w:tcPr>
            <w:tcW w:w="0" w:type="auto"/>
            <w:textDirection w:val="lrTb"/>
            <w:noWrap w:val="false"/>
          </w:tcPr>
          <w:p>
            <w:pPr>
              <w:pStyle w:val="755"/>
              <w:ind w:left="0" w:firstLine="0"/>
              <w:keepLines w:val="0"/>
              <w:keepNext w:val="0"/>
              <w:pageBreakBefore w:val="0"/>
              <w:spacing w:beforeAutospacing="0" w:afterAutospacing="0" w:line="360" w:lineRule="auto"/>
              <w:widowControl/>
              <w:rPr>
                <w:rFonts w:hint="eastAsia" w:eastAsia="宋体"/>
                <w:highlight w:val="none"/>
              </w:rPr>
            </w:pPr>
            <w:r>
              <w:rPr>
                <w:rStyle w:val="760"/>
                <w:rFonts w:hint="eastAsia" w:ascii="宋体" w:hAnsi="宋体" w:cs="宋体"/>
                <w:sz w:val="30"/>
                <w:szCs w:val="30"/>
                <w:highlight w:val="none"/>
                <w:lang w:eastAsia="zh-CN"/>
              </w:rPr>
              <w:t xml:space="preserve">项目编号：</w:t>
            </w:r>
            <w:r>
              <w:rPr>
                <w:highlight w:val="none"/>
              </w:rPr>
            </w:r>
          </w:p>
        </w:tc>
        <w:tc>
          <w:tcPr>
            <w:tcW w:w="0" w:type="auto"/>
            <w:textDirection w:val="lrTb"/>
            <w:noWrap w:val="false"/>
          </w:tcPr>
          <w:p>
            <w:pPr>
              <w:pStyle w:val="755"/>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JSZC-320509-HYXZ-G2026-0002</w:t>
            </w:r>
            <w:r>
              <w:rPr>
                <w:highlight w:val="none"/>
              </w:rPr>
            </w:r>
          </w:p>
        </w:tc>
      </w:tr>
      <w:tr>
        <w:trPr>
          <w:jc w:val="center"/>
        </w:trPr>
        <w:tc>
          <w:tcPr>
            <w:tcW w:w="0" w:type="auto"/>
            <w:textDirection w:val="lrTb"/>
            <w:noWrap w:val="false"/>
          </w:tcPr>
          <w:p>
            <w:pPr>
              <w:pStyle w:val="755"/>
              <w:ind w:left="0" w:firstLine="0"/>
              <w:keepLines w:val="0"/>
              <w:keepNext w:val="0"/>
              <w:pageBreakBefore w:val="0"/>
              <w:spacing w:beforeAutospacing="0" w:afterAutospacing="0" w:line="360" w:lineRule="auto"/>
              <w:widowControl/>
              <w:rPr>
                <w:rFonts w:hint="eastAsia" w:eastAsia="宋体"/>
                <w:highlight w:val="none"/>
              </w:rPr>
            </w:pPr>
            <w:r>
              <w:rPr>
                <w:rStyle w:val="760"/>
                <w:rFonts w:hint="eastAsia" w:ascii="宋体" w:hAnsi="宋体" w:cs="宋体"/>
                <w:sz w:val="30"/>
                <w:szCs w:val="30"/>
                <w:highlight w:val="none"/>
              </w:rPr>
              <w:t xml:space="preserve">项目名称</w:t>
            </w:r>
            <w:r>
              <w:rPr>
                <w:rStyle w:val="760"/>
                <w:rFonts w:hint="eastAsia" w:ascii="宋体" w:hAnsi="宋体" w:cs="宋体"/>
                <w:sz w:val="30"/>
                <w:szCs w:val="30"/>
                <w:highlight w:val="none"/>
                <w:lang w:eastAsia="zh-CN"/>
              </w:rPr>
              <w:t xml:space="preserve">：</w:t>
            </w:r>
            <w:r>
              <w:rPr>
                <w:highlight w:val="none"/>
              </w:rPr>
            </w:r>
          </w:p>
        </w:tc>
        <w:tc>
          <w:tcPr>
            <w:tcW w:w="0" w:type="auto"/>
            <w:textDirection w:val="lrTb"/>
            <w:noWrap w:val="false"/>
          </w:tcPr>
          <w:p>
            <w:pPr>
              <w:pStyle w:val="755"/>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消防中队器材装备、灭火防护装备</w:t>
            </w:r>
            <w:r>
              <w:rPr>
                <w:highlight w:val="none"/>
              </w:rPr>
            </w:r>
          </w:p>
        </w:tc>
      </w:tr>
      <w:tr>
        <w:trPr>
          <w:jc w:val="center"/>
        </w:trPr>
        <w:tc>
          <w:tcPr>
            <w:tcW w:w="0" w:type="auto"/>
            <w:textDirection w:val="lrTb"/>
            <w:noWrap w:val="false"/>
          </w:tcPr>
          <w:p>
            <w:pPr>
              <w:pStyle w:val="755"/>
              <w:ind w:left="0" w:firstLine="0"/>
              <w:keepLines w:val="0"/>
              <w:keepNext w:val="0"/>
              <w:pageBreakBefore w:val="0"/>
              <w:spacing w:beforeAutospacing="0" w:afterAutospacing="0" w:line="360" w:lineRule="auto"/>
              <w:widowControl/>
              <w:rPr>
                <w:highlight w:val="none"/>
              </w:rPr>
            </w:pPr>
            <w:r>
              <w:rPr>
                <w:rStyle w:val="760"/>
                <w:rFonts w:hint="eastAsia" w:ascii="宋体" w:hAnsi="宋体" w:cs="宋体"/>
                <w:sz w:val="30"/>
                <w:szCs w:val="30"/>
                <w:highlight w:val="none"/>
              </w:rPr>
              <w:t xml:space="preserve">采购</w:t>
            </w:r>
            <w:r>
              <w:rPr>
                <w:rStyle w:val="760"/>
                <w:rFonts w:hint="eastAsia" w:ascii="宋体" w:hAnsi="宋体" w:cs="宋体"/>
                <w:sz w:val="30"/>
                <w:szCs w:val="30"/>
                <w:highlight w:val="none"/>
                <w:lang w:val="en-US" w:eastAsia="zh-CN"/>
              </w:rPr>
              <w:t xml:space="preserve">单位：</w:t>
            </w:r>
            <w:r>
              <w:rPr>
                <w:highlight w:val="none"/>
              </w:rPr>
            </w:r>
          </w:p>
        </w:tc>
        <w:tc>
          <w:tcPr>
            <w:tcW w:w="0" w:type="auto"/>
            <w:textDirection w:val="lrTb"/>
            <w:noWrap w:val="false"/>
          </w:tcPr>
          <w:p>
            <w:pPr>
              <w:pStyle w:val="755"/>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苏州市吴江区七都镇人民政府</w:t>
            </w:r>
            <w:r>
              <w:rPr>
                <w:highlight w:val="none"/>
              </w:rPr>
            </w:r>
          </w:p>
        </w:tc>
      </w:tr>
      <w:tr>
        <w:trPr>
          <w:jc w:val="center"/>
        </w:trPr>
        <w:tc>
          <w:tcPr>
            <w:tcW w:w="0" w:type="auto"/>
            <w:textDirection w:val="lrTb"/>
            <w:noWrap w:val="false"/>
          </w:tcPr>
          <w:p>
            <w:pPr>
              <w:pStyle w:val="755"/>
              <w:ind w:left="0" w:firstLine="0"/>
              <w:keepLines w:val="0"/>
              <w:keepNext w:val="0"/>
              <w:pageBreakBefore w:val="0"/>
              <w:spacing w:beforeAutospacing="0" w:afterAutospacing="0" w:line="360" w:lineRule="auto"/>
              <w:widowControl/>
              <w:rPr>
                <w:rFonts w:hint="eastAsia" w:eastAsia="宋体"/>
                <w:highlight w:val="none"/>
              </w:rPr>
            </w:pPr>
            <w:r>
              <w:rPr>
                <w:rStyle w:val="760"/>
                <w:rFonts w:hint="eastAsia" w:ascii="宋体" w:hAnsi="宋体" w:cs="宋体"/>
                <w:sz w:val="30"/>
                <w:szCs w:val="30"/>
                <w:highlight w:val="none"/>
              </w:rPr>
              <w:t xml:space="preserve">采购类别</w:t>
            </w:r>
            <w:r>
              <w:rPr>
                <w:rStyle w:val="760"/>
                <w:rFonts w:hint="eastAsia" w:ascii="宋体" w:hAnsi="宋体" w:cs="宋体"/>
                <w:sz w:val="30"/>
                <w:szCs w:val="30"/>
                <w:highlight w:val="none"/>
                <w:lang w:eastAsia="zh-CN"/>
              </w:rPr>
              <w:t xml:space="preserve">：</w:t>
            </w:r>
            <w:r>
              <w:rPr>
                <w:highlight w:val="none"/>
              </w:rPr>
            </w:r>
          </w:p>
        </w:tc>
        <w:tc>
          <w:tcPr>
            <w:tcW w:w="0" w:type="auto"/>
            <w:textDirection w:val="lrTb"/>
            <w:noWrap w:val="false"/>
          </w:tcPr>
          <w:p>
            <w:pPr>
              <w:pStyle w:val="755"/>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rPr>
              <w:t xml:space="preserve">货物</w:t>
            </w:r>
            <w:r>
              <w:rPr>
                <w:rFonts w:hint="eastAsia" w:ascii="宋体" w:hAnsi="宋体" w:cs="宋体"/>
                <w:sz w:val="30"/>
                <w:szCs w:val="30"/>
                <w:highlight w:val="none"/>
                <w:lang w:val="zh-CN"/>
              </w:rPr>
              <w:t xml:space="preserve">类</w:t>
            </w:r>
            <w:r>
              <w:rPr>
                <w:highlight w:val="none"/>
              </w:rPr>
            </w:r>
          </w:p>
        </w:tc>
      </w:tr>
    </w:tbl>
    <w:p>
      <w:pPr>
        <w:pStyle w:val="755"/>
        <w:ind w:left="2766" w:hanging="1506"/>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p>
    <w:p>
      <w:pPr>
        <w:pStyle w:val="755"/>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p>
    <w:p>
      <w:pPr>
        <w:pStyle w:val="755"/>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p>
    <w:p>
      <w:pPr>
        <w:pStyle w:val="755"/>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p>
    <w:p>
      <w:pPr>
        <w:pStyle w:val="755"/>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p>
    <w:p>
      <w:pPr>
        <w:pStyle w:val="755"/>
        <w:ind w:firstLine="602"/>
        <w:jc w:val="center"/>
        <w:spacing w:beforeAutospacing="0" w:afterAutospacing="0" w:line="360" w:lineRule="auto"/>
        <w:widowControl/>
        <w:rPr>
          <w:rStyle w:val="760"/>
          <w:rFonts w:ascii="宋体" w:hAnsi="宋体" w:cs="宋体"/>
          <w:b/>
          <w:bCs/>
          <w:sz w:val="28"/>
          <w:szCs w:val="28"/>
          <w:highlight w:val="none"/>
        </w:rPr>
      </w:pPr>
      <w:r>
        <w:rPr>
          <w:rFonts w:hint="eastAsia" w:ascii="宋体" w:hAnsi="宋体" w:cs="宋体"/>
          <w:b/>
          <w:bCs/>
          <w:sz w:val="30"/>
          <w:szCs w:val="30"/>
          <w:highlight w:val="none"/>
          <w:lang w:val="zh-CN"/>
        </w:rPr>
        <w:t xml:space="preserve">苏州恒缘祥咨询管理有限公司</w:t>
      </w:r>
      <w:r>
        <w:rPr>
          <w:highlight w:val="none"/>
        </w:rPr>
      </w:r>
    </w:p>
    <w:p>
      <w:pPr>
        <w:ind w:firstLine="602"/>
        <w:jc w:val="center"/>
        <w:spacing w:line="360" w:lineRule="auto"/>
        <w:rPr>
          <w:rFonts w:ascii="宋体" w:hAnsi="宋体" w:cs="宋体"/>
          <w:sz w:val="30"/>
          <w:szCs w:val="30"/>
          <w:highlight w:val="none"/>
        </w:rPr>
        <w:sectPr>
          <w:headerReference w:type="default" r:id="rId9"/>
          <w:headerReference w:type="first" r:id="rId10"/>
          <w:footerReference w:type="default" r:id="rId12"/>
          <w:footnotePr/>
          <w:endnotePr/>
          <w:type w:val="nextPage"/>
          <w:pgSz w:w="11906" w:h="16838" w:orient="portrait"/>
          <w:pgMar w:top="1440" w:right="1417" w:bottom="1440" w:left="1417" w:header="964" w:footer="1077" w:gutter="0"/>
          <w:cols w:num="1" w:sep="0" w:space="720" w:equalWidth="1"/>
          <w:docGrid w:linePitch="360"/>
          <w:titlePg/>
        </w:sectPr>
      </w:pPr>
      <w:r>
        <w:rPr>
          <w:highlight w:val="none"/>
        </w:rPr>
      </w:r>
      <w:bookmarkStart w:id="0" w:name="XTSCRQ_1"/>
      <w:r>
        <w:rPr>
          <w:rFonts w:hint="eastAsia" w:ascii="宋体" w:hAnsi="宋体" w:cs="宋体"/>
          <w:b/>
          <w:bCs/>
          <w:sz w:val="30"/>
          <w:szCs w:val="30"/>
          <w:highlight w:val="none"/>
        </w:rPr>
        <w:t xml:space="preserve">二○二六年</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月</w:t>
      </w:r>
      <w:bookmarkEnd w:id="0"/>
      <w:r>
        <w:rPr>
          <w:highlight w:val="none"/>
        </w:rPr>
      </w:r>
      <w:r>
        <w:rPr>
          <w:highlight w:val="none"/>
        </w:rPr>
      </w:r>
    </w:p>
    <w:p>
      <w:pPr>
        <w:pStyle w:val="746"/>
        <w:ind w:firstLine="640"/>
        <w:jc w:val="center"/>
        <w:pageBreakBefore/>
        <w:spacing w:line="360" w:lineRule="auto"/>
        <w:tabs>
          <w:tab w:val="right" w:pos="8302" w:leader="dot"/>
        </w:tabs>
        <w:rPr>
          <w:rStyle w:val="760"/>
          <w:rFonts w:ascii="宋体" w:hAnsi="宋体" w:cs="宋体"/>
          <w:bCs/>
          <w:sz w:val="32"/>
          <w:szCs w:val="32"/>
          <w:highlight w:val="none"/>
        </w:rPr>
      </w:pPr>
      <w:r>
        <w:rPr>
          <w:rStyle w:val="760"/>
          <w:rFonts w:hint="eastAsia" w:ascii="宋体" w:hAnsi="宋体" w:cs="宋体"/>
          <w:bCs/>
          <w:sz w:val="32"/>
          <w:szCs w:val="32"/>
          <w:highlight w:val="none"/>
        </w:rPr>
        <w:t xml:space="preserve">前附表</w:t>
      </w:r>
      <w:r>
        <w:rPr>
          <w:highlight w:val="none"/>
        </w:rPr>
      </w:r>
    </w:p>
    <w:p>
      <w:pPr>
        <w:ind w:firstLine="420"/>
        <w:spacing w:line="360" w:lineRule="auto"/>
        <w:rPr>
          <w:rFonts w:ascii="宋体" w:hAnsi="宋体" w:cs="宋体"/>
          <w:b/>
          <w:sz w:val="44"/>
          <w:highlight w:val="none"/>
        </w:rPr>
      </w:pPr>
      <w:r>
        <w:rPr>
          <w:rFonts w:hint="eastAsia" w:ascii="宋体" w:hAnsi="宋体" w:cs="宋体"/>
          <w:szCs w:val="21"/>
          <w:highlight w:val="none"/>
        </w:rPr>
        <w:t xml:space="preserve">尊敬的投标单位：欢迎参加本项目的投标。为了保证投标顺利进行，请在制作投标文件之前，仔细阅读本招标文件的各项条款，并严格按要求制作和递交投标文件。谢谢合作！</w:t>
      </w:r>
      <w:r>
        <w:rPr>
          <w:highlight w:val="none"/>
        </w:rPr>
      </w:r>
    </w:p>
    <w:tbl>
      <w:tblPr>
        <w:tblStyle w:val="72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项号</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名称</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内      容</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项目编号</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JSZC-320509-HYXZ-G2026-0002</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hint="default" w:ascii="宋体" w:hAnsi="宋体" w:eastAsia="宋体" w:cs="宋体"/>
                <w:szCs w:val="21"/>
                <w:highlight w:val="none"/>
              </w:rPr>
            </w:pPr>
            <w:r>
              <w:rPr>
                <w:rFonts w:hint="eastAsia" w:ascii="宋体" w:hAnsi="宋体" w:cs="宋体"/>
                <w:szCs w:val="21"/>
                <w:highlight w:val="none"/>
                <w:lang w:val="en-US" w:eastAsia="zh-CN"/>
              </w:rPr>
              <w:t xml:space="preserve">项目名称</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szCs w:val="21"/>
                <w:highlight w:val="none"/>
                <w:lang w:val="zh-CN"/>
              </w:rPr>
              <w:t xml:space="preserve">消防中队器材装备、灭火防护装备</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3</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投标有效期</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highlight w:val="none"/>
                <w:lang w:val="en-US" w:eastAsia="zh-CN"/>
              </w:rPr>
              <w:t xml:space="preserve">九</w:t>
            </w:r>
            <w:r>
              <w:rPr>
                <w:rFonts w:hint="eastAsia" w:ascii="宋体" w:hAnsi="宋体" w:cs="宋体"/>
                <w:highlight w:val="none"/>
              </w:rPr>
              <w:t xml:space="preserve">十天（日历日）</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4</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投标保证金</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40"/>
              <w:jc w:val="both"/>
              <w:spacing w:line="360" w:lineRule="auto"/>
              <w:rPr>
                <w:rStyle w:val="954"/>
                <w:rFonts w:ascii="宋体" w:hAnsi="宋体" w:cs="宋体"/>
                <w:bCs w:val="0"/>
                <w:spacing w:val="0"/>
                <w:sz w:val="21"/>
                <w:szCs w:val="21"/>
                <w:highlight w:val="none"/>
              </w:rPr>
            </w:pPr>
            <w:r>
              <w:rPr>
                <w:rStyle w:val="954"/>
                <w:rFonts w:ascii="Wingdings" w:hAnsi="Wingdings" w:eastAsia="Wingdings" w:cs="Wingdings"/>
                <w:bCs w:val="0"/>
                <w:spacing w:val="0"/>
                <w:sz w:val="21"/>
                <w:szCs w:val="21"/>
                <w:highlight w:val="none"/>
              </w:rPr>
              <w:t xml:space="preserve">þ</w:t>
            </w:r>
            <w:r>
              <w:rPr>
                <w:rStyle w:val="954"/>
                <w:rFonts w:hint="eastAsia" w:ascii="宋体" w:hAnsi="宋体" w:cs="宋体"/>
                <w:bCs w:val="0"/>
                <w:spacing w:val="0"/>
                <w:sz w:val="21"/>
                <w:szCs w:val="21"/>
                <w:highlight w:val="none"/>
              </w:rPr>
              <w:t xml:space="preserve">不需提交，招标文件中有关投标保证金的规定均不适用。</w:t>
            </w:r>
            <w:r>
              <w:rPr>
                <w:highlight w:val="none"/>
              </w:rPr>
            </w:r>
          </w:p>
          <w:p>
            <w:pPr>
              <w:pStyle w:val="740"/>
              <w:jc w:val="both"/>
              <w:spacing w:line="360" w:lineRule="auto"/>
              <w:rPr>
                <w:rFonts w:ascii="宋体" w:hAnsi="宋体" w:cs="宋体"/>
                <w:sz w:val="18"/>
                <w:szCs w:val="18"/>
                <w:highlight w:val="none"/>
              </w:rPr>
            </w:pPr>
            <w:r>
              <w:rPr>
                <w:rStyle w:val="954"/>
                <w:rFonts w:hint="eastAsia" w:ascii="宋体" w:hAnsi="宋体" w:cs="宋体"/>
                <w:bCs w:val="0"/>
                <w:spacing w:val="0"/>
                <w:sz w:val="21"/>
                <w:szCs w:val="21"/>
                <w:highlight w:val="none"/>
              </w:rPr>
              <w:t xml:space="preserve">投标（响应）人应在投标（响应）文件中提交《投标（响应）保证承诺书》（详见附件），否则为无效投标。</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5</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33"/>
              <w:jc w:val="both"/>
              <w:spacing w:after="0" w:line="360" w:lineRule="auto"/>
              <w:rPr>
                <w:rFonts w:hint="eastAsia" w:ascii="宋体" w:hAnsi="宋体" w:eastAsia="宋体" w:cs="宋体"/>
                <w:sz w:val="21"/>
                <w:highlight w:val="none"/>
              </w:rPr>
            </w:pPr>
            <w:r>
              <w:rPr>
                <w:rFonts w:hint="eastAsia" w:ascii="宋体" w:hAnsi="宋体" w:cs="宋体"/>
                <w:sz w:val="21"/>
                <w:highlight w:val="none"/>
                <w:lang w:eastAsia="zh-CN"/>
              </w:rPr>
              <w:t xml:space="preserve">采购代理机构</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en-US" w:eastAsia="zh-CN"/>
              </w:rPr>
              <w:t xml:space="preserve">名称：</w:t>
            </w:r>
            <w:r>
              <w:rPr>
                <w:rFonts w:hint="eastAsia" w:ascii="宋体" w:hAnsi="宋体" w:cs="宋体"/>
                <w:szCs w:val="21"/>
                <w:highlight w:val="none"/>
                <w:lang w:val="zh-CN"/>
              </w:rPr>
              <w:t xml:space="preserve">苏州恒缘祥咨询管理有限公司</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地址：苏州市吴江区花园路通鼎国际大厦627室</w:t>
            </w:r>
            <w:r>
              <w:rPr>
                <w:highlight w:val="none"/>
              </w:rP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联系人：</w:t>
            </w:r>
            <w:r>
              <w:rPr>
                <w:rFonts w:hint="eastAsia" w:ascii="宋体" w:hAnsi="宋体" w:cs="宋体"/>
                <w:highlight w:val="none"/>
                <w:lang w:eastAsia="zh-CN"/>
              </w:rPr>
              <w:t xml:space="preserve">杨艳丽</w:t>
            </w:r>
            <w:r>
              <w:rPr>
                <w:highlight w:val="none"/>
              </w:rP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联系电话：</w:t>
            </w:r>
            <w:r>
              <w:rPr>
                <w:rFonts w:hint="eastAsia" w:ascii="宋体" w:hAnsi="宋体" w:cs="宋体"/>
                <w:highlight w:val="none"/>
                <w:lang w:eastAsia="zh-CN"/>
              </w:rPr>
              <w:t xml:space="preserve">0512-63245689</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6</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tabs>
                <w:tab w:val="left" w:pos="3600" w:leader="none"/>
              </w:tabs>
              <w:rPr>
                <w:rFonts w:ascii="宋体" w:hAnsi="宋体" w:cs="宋体"/>
                <w:highlight w:val="none"/>
              </w:rPr>
            </w:pPr>
            <w:r>
              <w:rPr>
                <w:rFonts w:hint="eastAsia" w:ascii="宋体" w:hAnsi="宋体" w:cs="宋体"/>
                <w:highlight w:val="none"/>
              </w:rPr>
              <w:t xml:space="preserve">采购单位</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名称：</w:t>
            </w:r>
            <w:r>
              <w:rPr>
                <w:rFonts w:hint="eastAsia" w:ascii="宋体" w:hAnsi="宋体" w:cs="宋体"/>
                <w:bCs/>
                <w:szCs w:val="21"/>
                <w:highlight w:val="none"/>
                <w:lang w:eastAsia="zh-CN"/>
              </w:rPr>
              <w:t xml:space="preserve">苏州市吴江区七都镇人民政府</w:t>
            </w:r>
            <w:r>
              <w:rPr>
                <w:highlight w:val="none"/>
              </w:rPr>
            </w:r>
          </w:p>
          <w:p>
            <w:pPr>
              <w:jc w:val="both"/>
              <w:spacing w:line="360" w:lineRule="auto"/>
              <w:rPr>
                <w:rFonts w:hint="eastAsia" w:ascii="宋体" w:hAnsi="宋体" w:cs="宋体"/>
                <w:bCs/>
                <w:szCs w:val="21"/>
                <w:highlight w:val="none"/>
              </w:rPr>
            </w:pPr>
            <w:r>
              <w:rPr>
                <w:rFonts w:hint="eastAsia" w:ascii="宋体" w:hAnsi="宋体" w:cs="宋体"/>
                <w:szCs w:val="21"/>
                <w:highlight w:val="none"/>
                <w:lang w:val="zh-CN"/>
              </w:rPr>
              <w:t xml:space="preserve">地</w:t>
            </w:r>
            <w:r>
              <w:rPr>
                <w:rFonts w:hint="eastAsia" w:ascii="宋体" w:hAnsi="宋体" w:cs="宋体"/>
                <w:szCs w:val="21"/>
                <w:highlight w:val="none"/>
                <w:lang w:val="zh-CN"/>
              </w:rPr>
              <w:t xml:space="preserve">址：江苏省苏州市吴江区七都镇七都大道1688号</w:t>
            </w:r>
            <w:r>
              <w:rPr>
                <w:highlight w:val="none"/>
              </w:rPr>
            </w:r>
          </w:p>
          <w:p>
            <w:pPr>
              <w:jc w:val="both"/>
              <w:spacing w:line="360" w:lineRule="auto"/>
              <w:rPr>
                <w:rFonts w:hint="eastAsia" w:ascii="宋体" w:hAnsi="宋体" w:eastAsia="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孟凡金</w:t>
            </w:r>
            <w:r>
              <w:rPr>
                <w:highlight w:val="none"/>
              </w:rPr>
            </w:r>
          </w:p>
          <w:p>
            <w:pPr>
              <w:jc w:val="both"/>
              <w:spacing w:line="360" w:lineRule="auto"/>
              <w:rPr>
                <w:rFonts w:hint="eastAsia" w:eastAsia="宋体"/>
                <w:highlight w:val="none"/>
              </w:rPr>
            </w:pPr>
            <w:r>
              <w:rPr>
                <w:rFonts w:hint="eastAsia" w:ascii="宋体" w:hAnsi="宋体" w:cs="宋体"/>
                <w:bCs/>
                <w:szCs w:val="21"/>
                <w:highlight w:val="none"/>
              </w:rPr>
              <w:t xml:space="preserve">联系电话：0512-</w:t>
            </w:r>
            <w:r>
              <w:rPr>
                <w:rFonts w:hint="eastAsia" w:ascii="宋体" w:hAnsi="宋体" w:cs="宋体"/>
                <w:bCs/>
                <w:szCs w:val="21"/>
                <w:highlight w:val="none"/>
                <w:lang w:eastAsia="zh-CN"/>
              </w:rPr>
              <w:t xml:space="preserve">63813119</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7</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投标文件组成</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详见招标文件第二章</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8</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获取招标文件</w:t>
            </w:r>
            <w:r>
              <w:rPr>
                <w:highlight w:val="none"/>
              </w:rPr>
            </w:r>
          </w:p>
          <w:p>
            <w:pPr>
              <w:jc w:val="both"/>
              <w:spacing w:line="440" w:lineRule="exact"/>
              <w:rPr>
                <w:rFonts w:ascii="宋体" w:hAnsi="宋体" w:cs="宋体"/>
                <w:highlight w:val="none"/>
              </w:rPr>
            </w:pPr>
            <w:r>
              <w:rPr>
                <w:rFonts w:hint="eastAsia" w:ascii="宋体" w:hAnsi="宋体" w:cs="宋体"/>
                <w:szCs w:val="21"/>
                <w:highlight w:val="none"/>
              </w:rPr>
              <w:t xml:space="preserve">时间</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自公告发布之日起5个工作日</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9</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投标文件网上</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rPr>
              <w:t xml:space="preserve">提交截止时间</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eastAsia="zh-CN"/>
              </w:rPr>
              <w:t xml:space="preserve">2026年09月04日</w:t>
            </w:r>
            <w:r>
              <w:rPr>
                <w:rFonts w:hint="eastAsia" w:ascii="宋体" w:hAnsi="宋体" w:cs="宋体"/>
                <w:szCs w:val="21"/>
                <w:highlight w:val="none"/>
              </w:rPr>
              <w:t xml:space="preserve">13：30（北京时间）</w:t>
            </w:r>
            <w:r>
              <w:rPr>
                <w:highlight w:val="none"/>
              </w:rPr>
            </w:r>
          </w:p>
          <w:p>
            <w:pPr>
              <w:pStyle w:val="734"/>
              <w:ind w:firstLine="0"/>
              <w:jc w:val="both"/>
              <w:rPr>
                <w:rFonts w:ascii="宋体" w:hAnsi="宋体" w:cs="宋体"/>
                <w:sz w:val="21"/>
                <w:szCs w:val="21"/>
                <w:highlight w:val="none"/>
              </w:rPr>
            </w:pPr>
            <w:r>
              <w:rPr>
                <w:rFonts w:hint="eastAsia" w:ascii="宋体" w:hAnsi="宋体" w:cs="宋体"/>
                <w:sz w:val="21"/>
                <w:szCs w:val="21"/>
                <w:highlight w:val="none"/>
              </w:rPr>
              <w:t xml:space="preserve">投标文件必须在截止时间前完成提交（上传），逾期提交（上传）的投标文件恕不接受。</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10</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开标时间</w:t>
            </w:r>
            <w:r>
              <w:rPr>
                <w:highlight w:val="none"/>
              </w:rPr>
            </w:r>
          </w:p>
          <w:p>
            <w:pPr>
              <w:jc w:val="both"/>
              <w:spacing w:line="440" w:lineRule="exact"/>
              <w:rPr>
                <w:rFonts w:ascii="宋体" w:hAnsi="宋体" w:cs="宋体"/>
                <w:highlight w:val="none"/>
              </w:rPr>
            </w:pPr>
            <w:r>
              <w:rPr>
                <w:rFonts w:hint="eastAsia" w:ascii="宋体" w:hAnsi="宋体" w:cs="宋体"/>
                <w:szCs w:val="21"/>
                <w:highlight w:val="none"/>
              </w:rPr>
              <w:t xml:space="preserve">开标地点</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lang w:eastAsia="zh-CN"/>
              </w:rPr>
              <w:t xml:space="preserve">2026年09月04日</w:t>
            </w:r>
            <w:r>
              <w:rPr>
                <w:rFonts w:hint="eastAsia" w:ascii="宋体" w:hAnsi="宋体" w:cs="宋体"/>
                <w:szCs w:val="21"/>
                <w:highlight w:val="none"/>
              </w:rPr>
              <w:t xml:space="preserve">13：30（北京时间）</w:t>
            </w:r>
            <w:r>
              <w:rPr>
                <w:highlight w:val="none"/>
              </w:rPr>
            </w:r>
          </w:p>
          <w:p>
            <w:pPr>
              <w:jc w:val="both"/>
              <w:spacing w:line="440" w:lineRule="exact"/>
              <w:rPr>
                <w:rFonts w:ascii="宋体" w:hAnsi="宋体" w:cs="宋体"/>
                <w:szCs w:val="21"/>
                <w:highlight w:val="none"/>
              </w:rPr>
            </w:pPr>
            <w:r>
              <w:rPr>
                <w:rFonts w:hint="eastAsia" w:ascii="宋体" w:hAnsi="宋体" w:cs="宋体"/>
                <w:szCs w:val="21"/>
                <w:highlight w:val="none"/>
              </w:rPr>
              <w:t xml:space="preserve">“苏采云”系统（网址：http://jszfcg.jsczt.cn/）</w:t>
            </w:r>
            <w:r>
              <w:rPr>
                <w:highlight w:val="none"/>
              </w:rPr>
            </w:r>
          </w:p>
          <w:p>
            <w:pPr>
              <w:jc w:val="both"/>
              <w:spacing w:line="440" w:lineRule="exact"/>
              <w:rPr>
                <w:rFonts w:ascii="宋体" w:hAnsi="宋体" w:cs="宋体"/>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11</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12" w:lineRule="auto"/>
              <w:rPr>
                <w:rFonts w:ascii="宋体" w:hAnsi="宋体" w:cs="宋体"/>
                <w:szCs w:val="21"/>
                <w:highlight w:val="none"/>
              </w:rPr>
            </w:pPr>
            <w:r>
              <w:rPr>
                <w:rFonts w:hint="eastAsia" w:ascii="宋体" w:hAnsi="宋体" w:cs="宋体"/>
                <w:szCs w:val="21"/>
                <w:highlight w:val="none"/>
              </w:rPr>
              <w:t xml:space="preserve">评标时间</w:t>
            </w:r>
            <w:r>
              <w:rPr>
                <w:highlight w:val="none"/>
              </w:rPr>
            </w:r>
          </w:p>
          <w:p>
            <w:pPr>
              <w:jc w:val="both"/>
              <w:spacing w:line="312" w:lineRule="auto"/>
              <w:rPr>
                <w:rFonts w:ascii="宋体" w:hAnsi="宋体" w:cs="宋体"/>
                <w:szCs w:val="20"/>
                <w:highlight w:val="none"/>
              </w:rPr>
            </w:pPr>
            <w:r>
              <w:rPr>
                <w:rFonts w:hint="eastAsia" w:ascii="宋体" w:hAnsi="宋体" w:cs="宋体"/>
                <w:szCs w:val="21"/>
                <w:highlight w:val="none"/>
              </w:rPr>
              <w:t xml:space="preserve">评标地点</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lang w:eastAsia="zh-CN"/>
              </w:rPr>
              <w:t xml:space="preserve">2026年09月04日</w:t>
            </w:r>
            <w:r>
              <w:rPr>
                <w:rFonts w:hint="eastAsia" w:ascii="宋体" w:hAnsi="宋体" w:cs="宋体"/>
                <w:szCs w:val="21"/>
                <w:highlight w:val="none"/>
              </w:rPr>
              <w:t xml:space="preserve">13：30（北京时间）</w:t>
            </w:r>
            <w:r>
              <w:rPr>
                <w:highlight w:val="none"/>
              </w:rPr>
            </w:r>
          </w:p>
          <w:p>
            <w:pPr>
              <w:jc w:val="both"/>
              <w:spacing w:line="312" w:lineRule="auto"/>
              <w:rPr>
                <w:rFonts w:ascii="宋体" w:hAnsi="宋体" w:cs="宋体"/>
                <w:highlight w:val="none"/>
              </w:rPr>
            </w:pPr>
            <w:r>
              <w:rPr>
                <w:rFonts w:hint="eastAsia" w:ascii="宋体" w:hAnsi="宋体" w:cs="宋体"/>
                <w:szCs w:val="21"/>
                <w:highlight w:val="none"/>
              </w:rPr>
              <w:t xml:space="preserve">苏州市吴江区公共资源交易中心三楼评标室</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12</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hint="eastAsia" w:ascii="宋体" w:hAnsi="宋体" w:cs="宋体"/>
                <w:highlight w:val="none"/>
              </w:rPr>
            </w:pPr>
            <w:r>
              <w:rPr>
                <w:rFonts w:hint="eastAsia" w:ascii="宋体" w:hAnsi="宋体" w:cs="宋体"/>
                <w:highlight w:val="none"/>
              </w:rPr>
              <w:t xml:space="preserve">投标文件份数</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cs="宋体"/>
                <w:highlight w:val="none"/>
              </w:rPr>
            </w:pPr>
            <w:r>
              <w:rPr>
                <w:rFonts w:hint="eastAsia" w:ascii="宋体" w:hAnsi="宋体" w:cs="宋体"/>
                <w:highlight w:val="none"/>
              </w:rPr>
              <w:t xml:space="preserve">本项目采用电子投标文件，投标人按照招标文件要求制作上传电子投标文件，投标人无需提供纸质投标文件。</w:t>
            </w:r>
            <w:r>
              <w:rPr>
                <w:highlight w:val="none"/>
              </w:rPr>
            </w:r>
          </w:p>
          <w:p>
            <w:pPr>
              <w:jc w:val="both"/>
              <w:spacing w:line="360" w:lineRule="auto"/>
              <w:rPr>
                <w:rFonts w:hint="eastAsia" w:ascii="宋体" w:hAnsi="宋体" w:cs="宋体"/>
                <w:highlight w:val="none"/>
              </w:rPr>
            </w:pPr>
            <w:r>
              <w:rPr>
                <w:rFonts w:hint="eastAsia" w:ascii="宋体" w:hAnsi="宋体" w:cs="宋体"/>
                <w:highlight w:val="none"/>
              </w:rPr>
              <w:t xml:space="preserve">中标后5个工作日内，中标单位向</w:t>
            </w:r>
            <w:r>
              <w:rPr>
                <w:rFonts w:hint="eastAsia" w:ascii="宋体" w:hAnsi="宋体" w:cs="宋体"/>
                <w:highlight w:val="none"/>
                <w:lang w:eastAsia="zh-CN"/>
              </w:rPr>
              <w:t xml:space="preserve">采购代理机构</w:t>
            </w:r>
            <w:r>
              <w:rPr>
                <w:rFonts w:hint="eastAsia" w:ascii="宋体" w:hAnsi="宋体" w:cs="宋体"/>
                <w:highlight w:val="none"/>
              </w:rPr>
              <w:t xml:space="preserve">提供与电子投标文件内容一致的纸质投标文件两份。</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13</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投标报价本位币</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人民币</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14</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履约保证金</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本项目无需缴纳。</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15</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中标通知书</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20"/>
              <w:ind w:firstLine="0"/>
              <w:jc w:val="both"/>
              <w:spacing w:line="440" w:lineRule="exact"/>
              <w:rPr>
                <w:rFonts w:ascii="宋体" w:hAnsi="宋体" w:cs="宋体"/>
                <w:szCs w:val="21"/>
                <w:highlight w:val="none"/>
              </w:rPr>
            </w:pPr>
            <w:r>
              <w:rPr>
                <w:rFonts w:hint="eastAsia" w:ascii="宋体" w:hAnsi="宋体" w:cs="宋体"/>
                <w:szCs w:val="21"/>
                <w:highlight w:val="none"/>
              </w:rPr>
              <w:t xml:space="preserve">确定出中标人后，采购代理机构在法定时间内向中标人发出中标通知书。中标通知书将成为合同的组成部分。</w:t>
            </w:r>
            <w:r>
              <w:rPr>
                <w:highlight w:val="none"/>
              </w:rPr>
            </w:r>
          </w:p>
          <w:p>
            <w:pPr>
              <w:pStyle w:val="920"/>
              <w:ind w:firstLine="0"/>
              <w:jc w:val="both"/>
              <w:spacing w:line="440" w:lineRule="exact"/>
              <w:rPr>
                <w:rFonts w:ascii="宋体" w:hAnsi="宋体" w:cs="宋体"/>
                <w:highlight w:val="none"/>
              </w:rPr>
            </w:pPr>
            <w:r>
              <w:rPr>
                <w:rFonts w:hint="eastAsia" w:ascii="宋体" w:hAnsi="宋体" w:cs="宋体"/>
                <w:b/>
                <w:szCs w:val="21"/>
                <w:highlight w:val="none"/>
              </w:rPr>
              <w:t xml:space="preserve">请中标人在中标结果公告届满之日起30日内,使用CA证书登录“苏采云”系统及时下载中标通知书。</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16</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代理服务费</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由</w:t>
            </w:r>
            <w:r>
              <w:rPr>
                <w:rFonts w:hint="eastAsia" w:ascii="宋体" w:hAnsi="宋体" w:eastAsia="宋体" w:cs="宋体"/>
                <w:highlight w:val="none"/>
                <w:lang w:val="en-US" w:eastAsia="zh-CN"/>
              </w:rPr>
              <w:t xml:space="preserve">中标单位</w:t>
            </w:r>
            <w:r>
              <w:rPr>
                <w:rFonts w:hint="eastAsia" w:ascii="宋体" w:hAnsi="宋体" w:eastAsia="宋体" w:cs="宋体"/>
                <w:highlight w:val="none"/>
              </w:rPr>
              <w:t xml:space="preserve">在领取</w:t>
            </w:r>
            <w:r>
              <w:rPr>
                <w:rFonts w:hint="eastAsia" w:ascii="宋体" w:hAnsi="宋体" w:eastAsia="宋体" w:cs="宋体"/>
                <w:highlight w:val="none"/>
                <w:lang w:val="en-US" w:eastAsia="zh-CN"/>
              </w:rPr>
              <w:t xml:space="preserve">中标</w:t>
            </w:r>
            <w:r>
              <w:rPr>
                <w:rFonts w:hint="eastAsia" w:ascii="宋体" w:hAnsi="宋体" w:eastAsia="宋体" w:cs="宋体"/>
                <w:highlight w:val="none"/>
              </w:rPr>
              <w:t xml:space="preserve">通知书时按以下收费标准向采购代理机构支付代理服务费。</w:t>
            </w:r>
            <w:r>
              <w:rPr>
                <w:highlight w:val="none"/>
              </w:rPr>
            </w:r>
          </w:p>
          <w:p>
            <w:pPr>
              <w:jc w:val="both"/>
              <w:spacing w:line="360" w:lineRule="auto"/>
              <w:rPr>
                <w:rFonts w:hint="default" w:ascii="宋体" w:hAnsi="宋体" w:eastAsia="宋体" w:cs="宋体"/>
                <w:highlight w:val="none"/>
              </w:rPr>
            </w:pPr>
            <w:r>
              <w:rPr>
                <w:rFonts w:hint="eastAsia" w:ascii="宋体" w:hAnsi="宋体" w:eastAsia="宋体" w:cs="宋体"/>
                <w:color w:val="ff0000"/>
                <w:sz w:val="21"/>
                <w:szCs w:val="21"/>
                <w:highlight w:val="none"/>
                <w:lang w:val="en-US" w:eastAsia="zh-CN"/>
              </w:rPr>
              <w:t xml:space="preserve">本项目经吴江区中介超市的中介服务网上交易平台竞价</w:t>
            </w:r>
            <w:r>
              <w:rPr>
                <w:rFonts w:hint="eastAsia" w:ascii="宋体" w:hAnsi="宋体" w:eastAsia="宋体" w:cs="宋体"/>
                <w:color w:val="ff0000"/>
                <w:sz w:val="21"/>
                <w:szCs w:val="21"/>
                <w:highlight w:val="none"/>
              </w:rPr>
              <w:t xml:space="preserve">，代理服务费为人民币</w:t>
            </w:r>
            <w:r>
              <w:rPr>
                <w:rFonts w:hint="eastAsia" w:ascii="宋体" w:hAnsi="宋体" w:eastAsia="宋体" w:cs="宋体"/>
                <w:color w:val="ff0000"/>
                <w:sz w:val="21"/>
                <w:szCs w:val="21"/>
                <w:highlight w:val="none"/>
                <w:lang w:eastAsia="zh-CN"/>
              </w:rPr>
              <w:t xml:space="preserve">壹万柒仟元整</w:t>
            </w:r>
            <w:r>
              <w:rPr>
                <w:rFonts w:hint="eastAsia" w:ascii="宋体" w:hAnsi="宋体" w:eastAsia="宋体" w:cs="宋体"/>
                <w:color w:val="ff0000"/>
                <w:sz w:val="21"/>
                <w:szCs w:val="21"/>
                <w:highlight w:val="none"/>
              </w:rPr>
              <w:t xml:space="preserve">。</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17</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评分标准</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详见</w:t>
            </w:r>
            <w:r>
              <w:rPr>
                <w:rFonts w:hint="eastAsia" w:ascii="宋体" w:hAnsi="宋体" w:cs="宋体"/>
                <w:highlight w:val="none"/>
              </w:rPr>
              <w:t xml:space="preserve">招标文件。</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18</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评标方法</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综合评分法。</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19</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相关账号</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代理服务费</w:t>
            </w:r>
            <w:r>
              <w:rPr>
                <w:rFonts w:hint="eastAsia" w:ascii="宋体" w:hAnsi="宋体" w:cs="宋体"/>
                <w:highlight w:val="none"/>
                <w:lang w:val="en-US" w:eastAsia="zh-CN"/>
              </w:rPr>
              <w:t xml:space="preserve">缴纳</w:t>
            </w:r>
            <w:r>
              <w:rPr>
                <w:rFonts w:hint="eastAsia" w:ascii="宋体" w:hAnsi="宋体" w:cs="宋体"/>
                <w:highlight w:val="none"/>
              </w:rPr>
              <w:t xml:space="preserve">账号：</w:t>
            </w:r>
            <w:r>
              <w:rPr>
                <w:highlight w:val="none"/>
              </w:rPr>
            </w:r>
          </w:p>
          <w:p>
            <w:pPr>
              <w:jc w:val="both"/>
              <w:spacing w:line="360" w:lineRule="auto"/>
              <w:rPr>
                <w:rFonts w:hint="eastAsia" w:ascii="宋体" w:hAnsi="宋体" w:eastAsia="宋体" w:cs="宋体"/>
                <w:bCs/>
                <w:highlight w:val="none"/>
              </w:rPr>
            </w:pPr>
            <w:r>
              <w:rPr>
                <w:rFonts w:hint="eastAsia" w:ascii="宋体" w:hAnsi="宋体" w:cs="宋体"/>
                <w:highlight w:val="none"/>
              </w:rPr>
              <w:t xml:space="preserve">账户名：</w:t>
            </w:r>
            <w:r>
              <w:rPr>
                <w:rFonts w:hint="eastAsia" w:ascii="宋体" w:hAnsi="宋体" w:cs="宋体"/>
                <w:bCs/>
                <w:highlight w:val="none"/>
                <w:lang w:eastAsia="zh-CN"/>
              </w:rPr>
              <w:t xml:space="preserve">苏州恒缘祥咨询管理有限公司</w:t>
            </w:r>
            <w:r>
              <w:rPr>
                <w:highlight w:val="none"/>
              </w:rP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开户行：</w:t>
            </w:r>
            <w:r>
              <w:rPr>
                <w:rFonts w:hint="eastAsia" w:ascii="宋体" w:hAnsi="宋体" w:cs="宋体"/>
                <w:highlight w:val="none"/>
                <w:lang w:eastAsia="zh-CN"/>
              </w:rPr>
              <w:t xml:space="preserve">中国工商银行股份有限公司苏州长三角一体化示范区分行</w:t>
            </w:r>
            <w:r>
              <w:rPr>
                <w:highlight w:val="none"/>
              </w:rPr>
            </w:r>
          </w:p>
          <w:p>
            <w:pPr>
              <w:jc w:val="both"/>
              <w:spacing w:line="360" w:lineRule="auto"/>
              <w:rPr>
                <w:rFonts w:hint="eastAsia" w:ascii="宋体" w:hAnsi="宋体" w:eastAsia="宋体" w:cs="宋体"/>
                <w:szCs w:val="21"/>
                <w:highlight w:val="none"/>
              </w:rPr>
            </w:pPr>
            <w:r>
              <w:rPr>
                <w:rFonts w:hint="eastAsia" w:ascii="宋体" w:hAnsi="宋体" w:cs="宋体"/>
                <w:highlight w:val="none"/>
              </w:rPr>
              <w:t xml:space="preserve">账    号：</w:t>
            </w:r>
            <w:r>
              <w:rPr>
                <w:rFonts w:hint="eastAsia" w:ascii="宋体" w:hAnsi="宋体" w:cs="宋体"/>
                <w:highlight w:val="none"/>
                <w:lang w:eastAsia="zh-CN"/>
              </w:rPr>
              <w:t xml:space="preserve">1102022009000996235</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20</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51"/>
              <w:ind w:firstLine="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导致无效</w:t>
            </w:r>
            <w:r>
              <w:rPr>
                <w:highlight w:val="none"/>
              </w:rPr>
            </w:r>
          </w:p>
          <w:p>
            <w:pPr>
              <w:jc w:val="both"/>
              <w:spacing w:line="360" w:lineRule="auto"/>
              <w:rPr>
                <w:rFonts w:ascii="宋体" w:hAnsi="宋体" w:cs="宋体"/>
                <w:highlight w:val="none"/>
              </w:rPr>
            </w:pPr>
            <w:r>
              <w:rPr>
                <w:rFonts w:hint="eastAsia" w:ascii="宋体" w:hAnsi="宋体" w:cs="宋体"/>
                <w:szCs w:val="21"/>
                <w:highlight w:val="none"/>
              </w:rPr>
              <w:t xml:space="preserve">投标因素</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b/>
                <w:szCs w:val="21"/>
                <w:highlight w:val="none"/>
              </w:rPr>
            </w:pPr>
            <w:r>
              <w:rPr>
                <w:rFonts w:hint="eastAsia" w:ascii="宋体" w:hAnsi="宋体" w:cs="宋体"/>
                <w:b/>
                <w:szCs w:val="21"/>
                <w:highlight w:val="none"/>
              </w:rPr>
              <w:t xml:space="preserve">投标人存在下列情况之一的，投标无效：</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zh-CN"/>
              </w:rPr>
              <w:t xml:space="preserve">投标文件未按招标文件要求签署、盖章的；</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zh-CN"/>
              </w:rPr>
              <w:t xml:space="preserve">不具备招标文件中规定的资格要求的；</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zh-CN"/>
              </w:rPr>
              <w:t xml:space="preserve">报价超过招标文件中规定的预算金额或者最高限价的；</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zh-CN"/>
              </w:rPr>
              <w:t xml:space="preserve">投标文件含有采购单位不能接受的附加条件的；</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5.不同投标（响应）文件制作机器码一致的；</w:t>
            </w:r>
            <w:r>
              <w:rPr>
                <w:highlight w:val="none"/>
              </w:rPr>
            </w:r>
          </w:p>
          <w:p>
            <w:pPr>
              <w:jc w:val="both"/>
              <w:spacing w:line="360" w:lineRule="auto"/>
              <w:rPr>
                <w:rFonts w:ascii="宋体" w:hAnsi="宋体" w:cs="宋体"/>
                <w:highlight w:val="none"/>
              </w:rPr>
            </w:pPr>
            <w:r>
              <w:rPr>
                <w:rFonts w:hint="eastAsia" w:ascii="宋体" w:hAnsi="宋体" w:cs="宋体"/>
                <w:highlight w:val="none"/>
              </w:rPr>
              <w:t xml:space="preserve">6.</w:t>
            </w:r>
            <w:r>
              <w:rPr>
                <w:rFonts w:hint="eastAsia" w:ascii="宋体" w:hAnsi="宋体" w:cs="宋体"/>
                <w:highlight w:val="none"/>
                <w:lang w:val="zh-CN"/>
              </w:rPr>
              <w:t xml:space="preserve">法律、法规和招标文件规定的其他无效情形。</w:t>
            </w:r>
            <w:r>
              <w:rPr>
                <w:highlight w:val="none"/>
              </w:rP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21</w:t>
            </w:r>
            <w:r>
              <w:rPr>
                <w:highlight w:val="none"/>
              </w:rP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szCs w:val="21"/>
                <w:highlight w:val="none"/>
                <w:lang w:val="zh-CN"/>
              </w:rPr>
              <w:t xml:space="preserve">导致废标因素</w:t>
            </w:r>
            <w:r>
              <w:rPr>
                <w:highlight w:val="none"/>
              </w:rP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出现下列情形之一的，为废标：</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符合专业条件的供应商或者对招标文件作实质响应的供应商不足三家的；</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出现影响采购公正的违法、违规行为的；</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投标人的报价均超过了采购预算</w:t>
            </w:r>
            <w:r>
              <w:rPr>
                <w:rFonts w:hint="eastAsia" w:ascii="宋体" w:hAnsi="宋体" w:cs="宋体"/>
                <w:highlight w:val="none"/>
                <w:lang w:val="zh-CN"/>
              </w:rPr>
              <w:t xml:space="preserve">或者最高限价的</w:t>
            </w:r>
            <w:r>
              <w:rPr>
                <w:rFonts w:hint="eastAsia" w:ascii="宋体" w:hAnsi="宋体" w:cs="宋体"/>
                <w:szCs w:val="21"/>
                <w:highlight w:val="none"/>
                <w:lang w:val="zh-CN"/>
              </w:rPr>
              <w:t xml:space="preserve">，采购单位不能支付的；</w:t>
            </w:r>
            <w:r>
              <w:rPr>
                <w:highlight w:val="none"/>
              </w:rPr>
            </w:r>
          </w:p>
          <w:p>
            <w:pPr>
              <w:jc w:val="both"/>
              <w:spacing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zh-CN"/>
              </w:rPr>
              <w:t xml:space="preserve">因重大变故，采购任务取消的。</w:t>
            </w:r>
            <w:r>
              <w:rPr>
                <w:highlight w:val="none"/>
              </w:rPr>
            </w:r>
          </w:p>
        </w:tc>
      </w:tr>
    </w:tbl>
    <w:p>
      <w:pPr>
        <w:rPr>
          <w:rFonts w:hint="eastAsia" w:ascii="宋体" w:hAnsi="宋体" w:cs="宋体"/>
          <w:b/>
          <w:sz w:val="52"/>
          <w:szCs w:val="52"/>
          <w:highlight w:val="none"/>
        </w:rPr>
      </w:pPr>
      <w:r>
        <w:rPr>
          <w:rFonts w:hint="eastAsia" w:ascii="宋体" w:hAnsi="宋体" w:cs="宋体"/>
          <w:b/>
          <w:sz w:val="52"/>
          <w:szCs w:val="52"/>
          <w:highlight w:val="none"/>
        </w:rPr>
        <w:br w:type="page" w:clear="all"/>
      </w:r>
      <w:r>
        <w:rPr>
          <w:highlight w:val="none"/>
        </w:rPr>
      </w:r>
    </w:p>
    <w:p>
      <w:pPr>
        <w:ind w:firstLine="0"/>
        <w:jc w:val="center"/>
        <w:keepLines w:val="0"/>
        <w:keepNext w:val="0"/>
        <w:pageBreakBefore/>
        <w:spacing w:line="360" w:lineRule="auto"/>
        <w:widowControl w:val="off"/>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rPr>
          <w:highlight w:val="none"/>
        </w:rPr>
      </w:r>
    </w:p>
    <w:p>
      <w:pPr>
        <w:ind w:firstLine="720"/>
        <w:jc w:val="center"/>
        <w:spacing w:line="360" w:lineRule="auto"/>
        <w:tabs>
          <w:tab w:val="left" w:pos="315" w:leader="none"/>
          <w:tab w:val="center" w:pos="4153" w:leader="none"/>
        </w:tabs>
        <w:rPr>
          <w:rFonts w:ascii="宋体" w:hAnsi="宋体" w:cs="宋体"/>
          <w:b/>
          <w:sz w:val="36"/>
          <w:szCs w:val="36"/>
          <w:highlight w:val="none"/>
        </w:rPr>
      </w:pPr>
      <w:r>
        <w:rPr>
          <w:rFonts w:ascii="宋体" w:hAnsi="宋体" w:cs="宋体"/>
          <w:b/>
          <w:sz w:val="36"/>
          <w:szCs w:val="36"/>
          <w:highlight w:val="none"/>
        </w:rPr>
      </w:r>
      <w:r>
        <w:rPr>
          <w:highlight w:val="none"/>
        </w:rPr>
      </w:r>
    </w:p>
    <w:p>
      <w:pPr>
        <w:pStyle w:val="746"/>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第一章  投标邀请函</w:t>
      </w:r>
      <w:r>
        <w:rPr>
          <w:highlight w:val="none"/>
        </w:rPr>
      </w:r>
    </w:p>
    <w:p>
      <w:pPr>
        <w:pStyle w:val="746"/>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第二章  投标人须知</w:t>
      </w:r>
      <w:r>
        <w:rPr>
          <w:highlight w:val="none"/>
        </w:rPr>
      </w:r>
    </w:p>
    <w:p>
      <w:pPr>
        <w:pStyle w:val="746"/>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第三章  投标文件格式</w:t>
      </w:r>
      <w:r>
        <w:rPr>
          <w:highlight w:val="none"/>
        </w:rPr>
      </w:r>
    </w:p>
    <w:p>
      <w:pPr>
        <w:pStyle w:val="746"/>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第四章  招标书</w:t>
      </w:r>
      <w:r>
        <w:rPr>
          <w:highlight w:val="none"/>
        </w:rPr>
      </w:r>
    </w:p>
    <w:p>
      <w:pPr>
        <w:pStyle w:val="746"/>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第五章  合同一般条款</w:t>
      </w:r>
      <w:r>
        <w:rPr>
          <w:highlight w:val="none"/>
        </w:rPr>
      </w:r>
    </w:p>
    <w:p>
      <w:pPr>
        <w:pStyle w:val="746"/>
        <w:ind w:firstLine="720"/>
        <w:keepLines w:val="0"/>
        <w:keepNext w:val="0"/>
        <w:pageBreakBefore w:val="0"/>
        <w:spacing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第六章  评标办法及评分标准</w:t>
      </w:r>
      <w:r>
        <w:rPr>
          <w:highlight w:val="none"/>
        </w:rPr>
      </w:r>
    </w:p>
    <w:p>
      <w:pPr>
        <w:rPr>
          <w:rFonts w:hint="eastAsia" w:ascii="宋体" w:hAnsi="宋体" w:eastAsia="宋体" w:cs="宋体"/>
          <w:sz w:val="36"/>
          <w:szCs w:val="24"/>
          <w:highlight w:val="none"/>
        </w:rPr>
      </w:pPr>
      <w:r>
        <w:rPr>
          <w:rFonts w:hint="eastAsia" w:ascii="宋体" w:hAnsi="宋体" w:eastAsia="宋体" w:cs="宋体"/>
          <w:sz w:val="36"/>
          <w:szCs w:val="24"/>
          <w:highlight w:val="none"/>
        </w:rPr>
      </w:r>
      <w:r>
        <w:rPr>
          <w:highlight w:val="none"/>
        </w:rPr>
      </w:r>
    </w:p>
    <w:p>
      <w:pPr>
        <w:rPr>
          <w:rFonts w:hint="eastAsia" w:ascii="宋体" w:hAnsi="宋体" w:eastAsia="宋体" w:cs="宋体"/>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highlight w:val="none"/>
        </w:rPr>
      </w:r>
      <w:r>
        <w:rPr>
          <w:highlight w:val="none"/>
        </w:rPr>
      </w:r>
    </w:p>
    <w:p>
      <w:pPr>
        <w:pStyle w:val="746"/>
        <w:ind w:firstLine="0"/>
        <w:jc w:val="center"/>
        <w:keepLines w:val="0"/>
        <w:keepNext w:val="0"/>
        <w:pageBreakBefore/>
        <w:spacing w:line="360" w:lineRule="auto"/>
        <w:widowControl w:val="off"/>
        <w:tabs>
          <w:tab w:val="right" w:pos="8302" w:leader="dot"/>
        </w:tabs>
        <w:rPr>
          <w:rStyle w:val="760"/>
          <w:rFonts w:ascii="宋体" w:hAnsi="宋体" w:cs="宋体"/>
          <w:sz w:val="32"/>
          <w:szCs w:val="32"/>
          <w:highlight w:val="none"/>
        </w:rPr>
        <w:outlineLvl w:val="0"/>
      </w:pPr>
      <w:r>
        <w:rPr>
          <w:rStyle w:val="760"/>
          <w:rFonts w:hint="eastAsia" w:ascii="宋体" w:hAnsi="宋体" w:cs="宋体"/>
          <w:sz w:val="32"/>
          <w:szCs w:val="32"/>
          <w:highlight w:val="none"/>
        </w:rPr>
        <w:t xml:space="preserve">第一章</w:t>
      </w:r>
      <w:r>
        <w:rPr>
          <w:rStyle w:val="760"/>
          <w:rFonts w:hint="eastAsia" w:ascii="宋体" w:hAnsi="宋体" w:eastAsia="宋体" w:cs="宋体"/>
          <w:sz w:val="32"/>
          <w:szCs w:val="32"/>
          <w:highlight w:val="none"/>
          <w:lang w:val="en-US" w:eastAsia="zh-CN"/>
        </w:rPr>
        <w:t xml:space="preserve">  </w:t>
      </w:r>
      <w:r>
        <w:rPr>
          <w:rStyle w:val="760"/>
          <w:rFonts w:hint="eastAsia" w:ascii="宋体" w:hAnsi="宋体" w:cs="宋体"/>
          <w:sz w:val="32"/>
          <w:szCs w:val="32"/>
          <w:highlight w:val="none"/>
        </w:rPr>
        <w:t xml:space="preserve">投标邀请函</w:t>
      </w:r>
      <w:r>
        <w:rPr>
          <w:highlight w:val="none"/>
        </w:rPr>
      </w:r>
    </w:p>
    <w:p>
      <w:pPr>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highlight w:val="none"/>
        </w:rPr>
      </w:r>
      <w:bookmarkStart w:id="1" w:name="WTDW_1"/>
      <w:r>
        <w:rPr>
          <w:rFonts w:hint="eastAsia" w:ascii="宋体" w:hAnsi="宋体" w:cs="宋体"/>
          <w:szCs w:val="21"/>
          <w:highlight w:val="none"/>
        </w:rPr>
        <w:t xml:space="preserve">项目概况</w:t>
      </w:r>
      <w:r>
        <w:rPr>
          <w:highlight w:val="none"/>
        </w:rPr>
      </w:r>
    </w:p>
    <w:p>
      <w:pPr>
        <w:ind w:firstLine="420"/>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消防中队器材装备、灭火防护装备</w:t>
      </w:r>
      <w:r>
        <w:rPr>
          <w:rFonts w:hint="eastAsia" w:ascii="宋体" w:hAnsi="宋体" w:cs="宋体"/>
          <w:szCs w:val="21"/>
          <w:highlight w:val="none"/>
        </w:rPr>
        <w:t xml:space="preserve">招标项目的潜在投标人应在</w:t>
      </w:r>
      <w:r>
        <w:rPr>
          <w:rFonts w:hint="eastAsia" w:ascii="宋体" w:hAnsi="宋体"/>
          <w:bCs/>
          <w:szCs w:val="21"/>
          <w:highlight w:val="none"/>
          <w:u w:val="single"/>
        </w:rPr>
        <w:t xml:space="preserve">苏采云系统</w:t>
      </w:r>
      <w:r>
        <w:rPr>
          <w:rFonts w:hint="eastAsia" w:ascii="宋体" w:hAnsi="宋体" w:cs="宋体"/>
          <w:szCs w:val="21"/>
          <w:highlight w:val="none"/>
        </w:rPr>
        <w:t xml:space="preserve">获取招标文件，并于</w:t>
      </w:r>
      <w:r>
        <w:rPr>
          <w:rFonts w:hint="eastAsia" w:ascii="宋体" w:hAnsi="宋体" w:cs="宋体"/>
          <w:szCs w:val="21"/>
          <w:highlight w:val="none"/>
          <w:u w:val="single"/>
          <w:lang w:eastAsia="zh-CN"/>
        </w:rPr>
        <w:t xml:space="preserve">2026年09月04日</w:t>
      </w:r>
      <w:r>
        <w:rPr>
          <w:rFonts w:hint="eastAsia" w:ascii="宋体" w:hAnsi="宋体" w:cs="宋体"/>
          <w:szCs w:val="21"/>
          <w:highlight w:val="none"/>
          <w:u w:val="single"/>
        </w:rPr>
        <w:t xml:space="preserve">13点30分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rPr>
          <w:highlight w:val="none"/>
        </w:rPr>
      </w:r>
    </w:p>
    <w:p>
      <w:pPr>
        <w:ind w:firstLine="0"/>
        <w:keepLines w:val="0"/>
        <w:keepNext w:val="0"/>
        <w:pageBreakBefore w:val="0"/>
        <w:spacing w:line="360" w:lineRule="auto"/>
        <w:widowControl w:val="off"/>
        <w:rPr>
          <w:rFonts w:ascii="宋体" w:hAnsi="宋体" w:cs="宋体"/>
          <w:b/>
          <w:szCs w:val="21"/>
          <w:highlight w:val="none"/>
        </w:rPr>
      </w:pPr>
      <w:r>
        <w:rPr>
          <w:highlight w:val="none"/>
        </w:rPr>
      </w:r>
      <w:bookmarkStart w:id="2" w:name="_Toc28359079"/>
      <w:r>
        <w:rPr>
          <w:highlight w:val="none"/>
        </w:rPr>
      </w:r>
      <w:bookmarkStart w:id="3" w:name="_Toc28359002"/>
      <w:r>
        <w:rPr>
          <w:highlight w:val="none"/>
        </w:rPr>
      </w:r>
      <w:bookmarkStart w:id="4" w:name="_Toc35393621"/>
      <w:r>
        <w:rPr>
          <w:highlight w:val="none"/>
        </w:rPr>
      </w:r>
      <w:bookmarkStart w:id="5" w:name="_Toc35393790"/>
      <w:r>
        <w:rPr>
          <w:highlight w:val="none"/>
        </w:rPr>
      </w:r>
      <w:bookmarkStart w:id="6" w:name="_Hlk24379207"/>
      <w:r>
        <w:rPr>
          <w:rFonts w:hint="eastAsia" w:ascii="宋体" w:hAnsi="宋体" w:cs="宋体"/>
          <w:b/>
          <w:szCs w:val="21"/>
          <w:highlight w:val="none"/>
        </w:rPr>
        <w:t xml:space="preserve">一、项目基本情况</w:t>
      </w:r>
      <w:bookmarkEnd w:id="2"/>
      <w:r>
        <w:rPr>
          <w:highlight w:val="none"/>
        </w:rPr>
      </w:r>
      <w:bookmarkEnd w:id="3"/>
      <w:r>
        <w:rPr>
          <w:highlight w:val="none"/>
        </w:rPr>
      </w:r>
      <w:bookmarkEnd w:id="4"/>
      <w:r>
        <w:rPr>
          <w:highlight w:val="none"/>
        </w:rPr>
      </w:r>
      <w:bookmarkEnd w:id="5"/>
      <w:r>
        <w:rPr>
          <w:highlight w:val="none"/>
        </w:rPr>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JSZC-320509-HYXZ-G2026-0002</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2.项目名称：</w:t>
      </w:r>
      <w:bookmarkEnd w:id="6"/>
      <w:r>
        <w:rPr>
          <w:rFonts w:hint="eastAsia" w:ascii="宋体" w:hAnsi="宋体" w:cs="宋体"/>
          <w:szCs w:val="21"/>
          <w:highlight w:val="none"/>
          <w:lang w:eastAsia="zh-CN"/>
        </w:rPr>
        <w:t xml:space="preserve">消防中队器材装备、灭火防护装备</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3.预算金额：人民币</w:t>
      </w:r>
      <w:r>
        <w:rPr>
          <w:rFonts w:hint="eastAsia" w:ascii="宋体" w:hAnsi="宋体" w:cs="宋体"/>
          <w:szCs w:val="21"/>
          <w:highlight w:val="none"/>
          <w:lang w:eastAsia="zh-CN"/>
        </w:rPr>
        <w:t xml:space="preserve">壹佰贰拾万元整（¥：1200000.00）</w:t>
      </w:r>
      <w:r>
        <w:rPr>
          <w:highlight w:val="none"/>
        </w:rPr>
      </w:r>
    </w:p>
    <w:p>
      <w:pPr>
        <w:ind w:firstLine="63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最高限价：人民币</w:t>
      </w:r>
      <w:r>
        <w:rPr>
          <w:rFonts w:hint="eastAsia" w:ascii="宋体" w:hAnsi="宋体" w:cs="宋体"/>
          <w:szCs w:val="21"/>
          <w:highlight w:val="none"/>
          <w:lang w:eastAsia="zh-CN"/>
        </w:rPr>
        <w:t xml:space="preserve">壹佰贰拾万元整（¥：1200000.00）</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4.采购需求：</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4.1采购清单（具体详见招标文件）</w:t>
      </w:r>
      <w:r>
        <w:rPr>
          <w:highlight w:val="none"/>
        </w:rPr>
      </w:r>
    </w:p>
    <w:tbl>
      <w:tblPr>
        <w:tblStyle w:val="759"/>
        <w:tblW w:w="4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167"/>
        <w:gridCol w:w="1066"/>
        <w:gridCol w:w="1066"/>
        <w:gridCol w:w="1066"/>
      </w:tblGrid>
      <w:tr>
        <w:trPr>
          <w:jc w:val="center"/>
        </w:trPr>
        <w:tc>
          <w:tcPr>
            <w:tcW w:w="717" w:type="pct"/>
            <w:vAlign w:val="center"/>
            <w:textDirection w:val="lrTb"/>
            <w:noWrap w:val="false"/>
          </w:tcPr>
          <w:p>
            <w:pPr>
              <w:jc w:val="center"/>
              <w:widowControl/>
              <w:rPr>
                <w:rFonts w:ascii="宋体" w:hAnsi="宋体" w:cs="宋体"/>
                <w:b/>
                <w:bCs/>
                <w:szCs w:val="21"/>
                <w:highlight w:val="none"/>
              </w:rPr>
            </w:pPr>
            <w:r>
              <w:rPr>
                <w:highlight w:val="none"/>
              </w:rPr>
            </w:r>
            <w:bookmarkStart w:id="7" w:name="_Toc35393622"/>
            <w:r>
              <w:rPr>
                <w:highlight w:val="none"/>
              </w:rPr>
            </w:r>
            <w:bookmarkStart w:id="8" w:name="_Toc28359003"/>
            <w:r>
              <w:rPr>
                <w:highlight w:val="none"/>
              </w:rPr>
            </w:r>
            <w:bookmarkStart w:id="9" w:name="_Toc35393791"/>
            <w:r>
              <w:rPr>
                <w:highlight w:val="none"/>
              </w:rPr>
            </w:r>
            <w:bookmarkStart w:id="10" w:name="_Toc28359080"/>
            <w:r>
              <w:rPr>
                <w:rFonts w:hint="eastAsia" w:ascii="宋体" w:hAnsi="宋体" w:cs="宋体"/>
                <w:b/>
                <w:bCs/>
                <w:szCs w:val="21"/>
                <w:highlight w:val="none"/>
              </w:rPr>
              <w:t xml:space="preserve">序号</w:t>
            </w:r>
            <w:r>
              <w:rPr>
                <w:highlight w:val="none"/>
              </w:rPr>
            </w:r>
          </w:p>
        </w:tc>
        <w:tc>
          <w:tcPr>
            <w:tcW w:w="2131"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名称</w:t>
            </w:r>
            <w:r>
              <w:rPr>
                <w:highlight w:val="none"/>
              </w:rP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单位</w:t>
            </w:r>
            <w:r>
              <w:rPr>
                <w:highlight w:val="none"/>
              </w:rP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数量</w:t>
            </w:r>
            <w:r>
              <w:rPr>
                <w:highlight w:val="none"/>
              </w:rP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备注</w:t>
            </w:r>
            <w:r>
              <w:rPr>
                <w:highlight w:val="none"/>
              </w:rP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rPr>
                <w:highlight w:val="none"/>
              </w:rP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灭火救援头盔披肩</w:t>
            </w:r>
            <w:r>
              <w:rPr>
                <w:highlight w:val="none"/>
              </w:rP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Cs w:val="21"/>
                <w:highlight w:val="none"/>
                <w:lang w:val="en-US" w:eastAsia="zh-CN"/>
              </w:rPr>
              <w:t xml:space="preserve">个</w:t>
            </w:r>
            <w:r>
              <w:rPr>
                <w:highlight w:val="none"/>
              </w:rP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30</w:t>
            </w:r>
            <w:r>
              <w:rPr>
                <w:highlight w:val="none"/>
              </w:rP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rPr>
                <w:highlight w:val="none"/>
              </w:rP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水带滚珠</w:t>
            </w:r>
            <w:r>
              <w:rPr>
                <w:highlight w:val="none"/>
              </w:rPr>
            </w:r>
          </w:p>
        </w:tc>
        <w:tc>
          <w:tcPr>
            <w:tcW w:w="717"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cs="宋体"/>
                <w:sz w:val="22"/>
                <w:szCs w:val="22"/>
                <w:highlight w:val="none"/>
                <w:lang w:val="en-US" w:eastAsia="zh-CN"/>
              </w:rPr>
              <w:t xml:space="preserve">个</w:t>
            </w:r>
            <w:r>
              <w:rPr>
                <w:highlight w:val="none"/>
              </w:rP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15</w:t>
            </w:r>
            <w:r>
              <w:rPr>
                <w:highlight w:val="none"/>
              </w:rP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rPr>
                <w:highlight w:val="none"/>
              </w:rP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灭火战斗胶靴</w:t>
            </w:r>
            <w:r>
              <w:rPr>
                <w:highlight w:val="none"/>
              </w:rPr>
            </w:r>
          </w:p>
        </w:tc>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 w:val="22"/>
                <w:szCs w:val="22"/>
                <w:highlight w:val="none"/>
              </w:rPr>
              <w:t xml:space="preserve">双</w:t>
            </w:r>
            <w:r>
              <w:rPr>
                <w:highlight w:val="none"/>
              </w:rP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50</w:t>
            </w:r>
            <w:r>
              <w:rPr>
                <w:highlight w:val="none"/>
              </w:rP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rPr>
                <w:highlight w:val="none"/>
              </w:rP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抢险救援靴</w:t>
            </w:r>
            <w:r>
              <w:rPr>
                <w:highlight w:val="none"/>
              </w:rPr>
            </w:r>
          </w:p>
        </w:tc>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 w:val="22"/>
                <w:szCs w:val="22"/>
                <w:highlight w:val="none"/>
              </w:rPr>
              <w:t xml:space="preserve">双</w:t>
            </w:r>
            <w:r>
              <w:rPr>
                <w:highlight w:val="none"/>
              </w:rP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Cs w:val="21"/>
                <w:highlight w:val="none"/>
                <w:lang w:val="en-US" w:eastAsia="zh-CN"/>
              </w:rPr>
              <w:t xml:space="preserve">30</w:t>
            </w:r>
            <w:r>
              <w:rPr>
                <w:highlight w:val="none"/>
              </w:rP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rPr>
                <w:highlight w:val="none"/>
              </w:rPr>
            </w:r>
          </w:p>
        </w:tc>
        <w:tc>
          <w:tcPr>
            <w:gridSpan w:val="4"/>
            <w:tcW w:w="4282" w:type="pct"/>
            <w:vAlign w:val="center"/>
            <w:textDirection w:val="lrTb"/>
            <w:noWrap w:val="false"/>
          </w:tcPr>
          <w:p>
            <w:pPr>
              <w:jc w:val="left"/>
              <w:widowControl/>
              <w:rPr>
                <w:rFonts w:ascii="宋体" w:hAnsi="宋体" w:cs="宋体"/>
                <w:b/>
                <w:bCs/>
                <w:szCs w:val="21"/>
                <w:highlight w:val="none"/>
              </w:rPr>
            </w:pPr>
            <w:r>
              <w:rPr>
                <w:rFonts w:hint="eastAsia" w:ascii="宋体" w:hAnsi="宋体" w:cs="宋体"/>
                <w:szCs w:val="21"/>
                <w:highlight w:val="none"/>
              </w:rPr>
              <w:t xml:space="preserve">………</w:t>
            </w:r>
            <w:r>
              <w:rPr>
                <w:highlight w:val="none"/>
              </w:rPr>
            </w:r>
          </w:p>
        </w:tc>
      </w:tr>
    </w:tbl>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4.2.交货地点：具体按采购人指定地点。</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5.合同履行期限：</w:t>
      </w:r>
      <w:r>
        <w:rPr>
          <w:rFonts w:hint="eastAsia" w:ascii="宋体" w:hAnsi="宋体" w:cs="宋体"/>
          <w:szCs w:val="21"/>
          <w:highlight w:val="none"/>
          <w:lang w:eastAsia="zh-CN"/>
        </w:rPr>
        <w:t xml:space="preserve">自合同签订生效后30天内完成全部采购内容的供货安装调试并交付正常使用</w:t>
      </w:r>
      <w:r>
        <w:rPr>
          <w:rFonts w:hint="eastAsia" w:ascii="宋体" w:hAnsi="宋体" w:cs="宋体"/>
          <w:szCs w:val="21"/>
          <w:highlight w:val="none"/>
        </w:rPr>
        <w:t xml:space="preserve">；所有产品质保</w:t>
      </w:r>
      <w:r>
        <w:rPr>
          <w:rFonts w:hint="eastAsia" w:ascii="宋体" w:hAnsi="宋体" w:cs="宋体"/>
          <w:szCs w:val="21"/>
          <w:highlight w:val="none"/>
          <w:lang w:val="en-US" w:eastAsia="zh-CN"/>
        </w:rPr>
        <w:t xml:space="preserve">期不少于</w:t>
      </w:r>
      <w:r>
        <w:rPr>
          <w:rFonts w:hint="eastAsia" w:ascii="宋体" w:hAnsi="宋体" w:cs="宋体"/>
          <w:color w:val="ff0000"/>
          <w:szCs w:val="21"/>
          <w:highlight w:val="none"/>
          <w:lang w:val="en-US" w:eastAsia="zh-CN"/>
        </w:rPr>
        <w:t xml:space="preserve">1</w:t>
      </w:r>
      <w:r>
        <w:rPr>
          <w:rFonts w:hint="eastAsia" w:ascii="宋体" w:hAnsi="宋体" w:cs="宋体"/>
          <w:szCs w:val="21"/>
          <w:highlight w:val="none"/>
          <w:lang w:val="en-US" w:eastAsia="zh-CN"/>
        </w:rPr>
        <w:t xml:space="preserve">年</w:t>
      </w:r>
      <w:r>
        <w:rPr>
          <w:rFonts w:hint="eastAsia" w:ascii="宋体" w:hAnsi="宋体" w:cs="宋体"/>
          <w:szCs w:val="21"/>
          <w:highlight w:val="none"/>
        </w:rPr>
        <w:t xml:space="preserve">，免费保修期为自货物验收合格之日起计算。</w:t>
      </w:r>
      <w:r>
        <w:rPr>
          <w:highlight w:val="none"/>
        </w:rP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bCs/>
          <w:szCs w:val="21"/>
          <w:highlight w:val="none"/>
        </w:rPr>
        <w:t xml:space="preserve">6.本项目不接受联合体投标</w:t>
      </w:r>
      <w:r>
        <w:rPr>
          <w:rFonts w:hint="eastAsia" w:ascii="宋体" w:hAnsi="宋体" w:cs="宋体"/>
          <w:szCs w:val="21"/>
          <w:highlight w:val="none"/>
        </w:rPr>
        <w:t xml:space="preserve">。</w:t>
      </w:r>
      <w:r>
        <w:rPr>
          <w:highlight w:val="none"/>
        </w:rP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7"/>
      <w:r>
        <w:rPr>
          <w:highlight w:val="none"/>
        </w:rPr>
      </w:r>
      <w:bookmarkEnd w:id="8"/>
      <w:r>
        <w:rPr>
          <w:highlight w:val="none"/>
        </w:rPr>
      </w:r>
      <w:bookmarkEnd w:id="9"/>
      <w:r>
        <w:rPr>
          <w:highlight w:val="none"/>
        </w:rPr>
      </w:r>
      <w:bookmarkEnd w:id="10"/>
      <w:r>
        <w:rPr>
          <w:highlight w:val="none"/>
        </w:rPr>
      </w:r>
      <w:r>
        <w:rPr>
          <w:highlight w:val="none"/>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w:t>
      </w:r>
      <w:r>
        <w:rPr>
          <w:rFonts w:ascii="SimSun" w:hAnsi="SimSun" w:eastAsia="SimSun" w:cs="SimSun"/>
          <w:b/>
          <w:color w:val="000000"/>
          <w:sz w:val="21"/>
        </w:rPr>
        <w:t xml:space="preserve">本项目专门面向中小企业采购。本项目所属行业为工业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SimSun" w:hAnsi="SimSun" w:eastAsia="SimSun" w:cs="SimSun"/>
          <w:color w:val="000000"/>
          <w:sz w:val="21"/>
          <w:szCs w:val="21"/>
        </w:rPr>
      </w:r>
    </w:p>
    <w:p>
      <w:pPr>
        <w:ind w:left="0" w:right="0" w:firstLine="420"/>
        <w:jc w:val="both"/>
        <w:spacing w:before="0" w:after="0" w:line="85"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3.为采购项目提供整体设计、规范编制或者项目管理、监理、检测等服务的供应商，不得再参加该采购项目的其他采购活动。</w:t>
      </w:r>
      <w:r>
        <w:rPr>
          <w:rFonts w:ascii="SimSun" w:hAnsi="SimSun" w:eastAsia="SimSun" w:cs="SimSun"/>
          <w:color w:val="000000"/>
          <w:sz w:val="21"/>
          <w:szCs w:val="21"/>
        </w:rPr>
      </w:r>
    </w:p>
    <w:p>
      <w:pPr>
        <w:keepLines w:val="0"/>
        <w:keepNext w:val="0"/>
        <w:pageBreakBefore w:val="0"/>
        <w:spacing w:line="360" w:lineRule="auto"/>
        <w:rPr>
          <w:rFonts w:ascii="宋体" w:hAnsi="宋体" w:cs="宋体"/>
          <w:b/>
          <w:szCs w:val="21"/>
          <w:highlight w:val="none"/>
        </w:rPr>
      </w:pPr>
      <w:r>
        <w:rPr>
          <w:highlight w:val="none"/>
        </w:rPr>
      </w:r>
      <w:bookmarkStart w:id="15" w:name="_Toc35393792"/>
      <w:r>
        <w:rPr>
          <w:highlight w:val="none"/>
        </w:rPr>
      </w:r>
      <w:bookmarkStart w:id="16" w:name="_Toc35393623"/>
      <w:r>
        <w:rPr>
          <w:rFonts w:hint="eastAsia" w:ascii="宋体" w:hAnsi="宋体" w:cs="宋体"/>
          <w:b/>
          <w:szCs w:val="21"/>
          <w:highlight w:val="none"/>
        </w:rPr>
        <w:t xml:space="preserve">三、</w:t>
      </w:r>
      <w:bookmarkEnd w:id="11"/>
      <w:r>
        <w:rPr>
          <w:highlight w:val="none"/>
        </w:rPr>
      </w:r>
      <w:bookmarkEnd w:id="12"/>
      <w:r>
        <w:rPr>
          <w:highlight w:val="none"/>
        </w:rPr>
      </w:r>
      <w:bookmarkEnd w:id="15"/>
      <w:r>
        <w:rPr>
          <w:highlight w:val="none"/>
        </w:rPr>
      </w:r>
      <w:bookmarkEnd w:id="16"/>
      <w:r>
        <w:rPr>
          <w:rFonts w:hint="eastAsia" w:ascii="宋体" w:hAnsi="宋体" w:cs="宋体"/>
          <w:b/>
          <w:szCs w:val="21"/>
          <w:highlight w:val="none"/>
        </w:rPr>
        <w:t xml:space="preserve">招标文件的获取</w:t>
      </w:r>
      <w:r>
        <w:rPr>
          <w:highlight w:val="none"/>
        </w:rPr>
      </w:r>
    </w:p>
    <w:p>
      <w:pPr>
        <w:ind w:firstLine="420"/>
        <w:keepLines w:val="0"/>
        <w:keepNext w:val="0"/>
        <w:pageBreakBefore w:val="0"/>
        <w:spacing w:line="360" w:lineRule="auto"/>
        <w:rPr>
          <w:rFonts w:ascii="宋体" w:hAnsi="宋体" w:cs="宋体"/>
          <w:szCs w:val="21"/>
          <w:highlight w:val="none"/>
          <w:shd w:val="clear" w:color="auto" w:fill="ffffff"/>
        </w:rPr>
      </w:pPr>
      <w:r>
        <w:rPr>
          <w:highlight w:val="none"/>
        </w:rPr>
      </w:r>
      <w:bookmarkStart w:id="17" w:name="_Toc28359005"/>
      <w:r>
        <w:rPr>
          <w:highlight w:val="none"/>
        </w:rPr>
      </w:r>
      <w:bookmarkStart w:id="18" w:name="_Toc28359082"/>
      <w:r>
        <w:rPr>
          <w:highlight w:val="none"/>
        </w:rPr>
      </w:r>
      <w:bookmarkStart w:id="19" w:name="_Toc35393793"/>
      <w:r>
        <w:rPr>
          <w:highlight w:val="none"/>
        </w:rPr>
      </w:r>
      <w:bookmarkStart w:id="20" w:name="_Toc35393624"/>
      <w:r>
        <w:rPr>
          <w:rFonts w:hint="eastAsia" w:ascii="宋体" w:hAnsi="宋体" w:cs="宋体"/>
          <w:szCs w:val="21"/>
          <w:highlight w:val="none"/>
          <w:shd w:val="clear" w:color="auto" w:fill="ffffff"/>
        </w:rPr>
        <w:t xml:space="preserve">1.时间：自公告发布之日起5个工作日</w:t>
      </w:r>
      <w:r>
        <w:rPr>
          <w:highlight w:val="none"/>
        </w:rP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2.地点：</w:t>
      </w:r>
      <w:r>
        <w:rPr>
          <w:rFonts w:hint="eastAsia" w:ascii="宋体" w:hAnsi="宋体"/>
          <w:szCs w:val="21"/>
          <w:highlight w:val="none"/>
        </w:rPr>
        <w:t xml:space="preserve">苏采云系统自行下载</w:t>
      </w:r>
      <w:r>
        <w:rPr>
          <w:highlight w:val="none"/>
        </w:rP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3.方式：</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（1）CA证书办理</w:t>
      </w:r>
      <w:r>
        <w:rPr>
          <w:highlight w:val="none"/>
        </w:rP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highlight w:val="none"/>
        </w:rPr>
        <w:t xml:space="preserve">—</w:t>
      </w:r>
      <w:r>
        <w:rPr>
          <w:rFonts w:hint="eastAsia" w:ascii="宋体" w:hAnsi="宋体"/>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highlight w:val="none"/>
        </w:rPr>
        <w:t xml:space="preserve">苏州现场办理地址：苏州市高新区邓尉路105号狮山科技馆一楼服务大厅，咨询电话：0512-65737699</w:t>
      </w:r>
      <w:r>
        <w:rPr>
          <w:rFonts w:hint="eastAsia" w:ascii="宋体" w:hAnsi="宋体" w:cs="宋体"/>
          <w:szCs w:val="21"/>
          <w:highlight w:val="none"/>
          <w:shd w:val="clear" w:color="auto" w:fill="ffffff"/>
        </w:rPr>
        <w:t xml:space="preserve">。</w:t>
      </w:r>
      <w:r>
        <w:rPr>
          <w:highlight w:val="none"/>
        </w:rP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（2）参与采购活动</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供应商插入CA证书登</w:t>
      </w:r>
      <w:r>
        <w:rPr>
          <w:rFonts w:hint="eastAsia" w:ascii="宋体" w:hAnsi="宋体"/>
          <w:szCs w:val="21"/>
          <w:highlight w:val="none"/>
        </w:rPr>
        <w:t xml:space="preserve">录</w:t>
      </w:r>
      <w:r>
        <w:rPr>
          <w:rFonts w:hint="eastAsia" w:ascii="宋体" w:hAnsi="宋体" w:cs="宋体"/>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（3）电子投标准备</w:t>
      </w:r>
      <w:r>
        <w:rPr>
          <w:highlight w:val="none"/>
        </w:rPr>
      </w:r>
    </w:p>
    <w:p>
      <w:pPr>
        <w:ind w:firstLine="420"/>
        <w:jc w:val="left"/>
        <w:keepLines w:val="0"/>
        <w:keepNext w:val="0"/>
        <w:pageBreakBefore w:val="0"/>
        <w:spacing w:line="360" w:lineRule="auto"/>
        <w:rPr>
          <w:rFonts w:ascii="宋体" w:hAnsi="宋体" w:cs="宋体"/>
          <w:b/>
          <w:bCs/>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highlight w:val="none"/>
        </w:rPr>
        <w:t xml:space="preserve">（具体详见《苏采云系统供应商操作手册》，网址链接https://czju.suzhou.gov.cn/zfcg/html/content/20231220161910031.shtml）。</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注册咨询：18261002950；</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CA技术咨询电话：400-608-6099；</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系统使用指导与咨询：联系电话：18261002950；QQ：3048755361、1315179389、895706745。</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4.售价：免费。</w:t>
      </w:r>
      <w:r>
        <w:rPr>
          <w:highlight w:val="none"/>
        </w:rP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四、提交电子投标文件</w:t>
      </w:r>
      <w:bookmarkEnd w:id="17"/>
      <w:r>
        <w:rPr>
          <w:highlight w:val="none"/>
        </w:rPr>
      </w:r>
      <w:bookmarkEnd w:id="18"/>
      <w:r>
        <w:rPr>
          <w:rFonts w:hint="eastAsia" w:ascii="宋体" w:hAnsi="宋体" w:cs="宋体"/>
          <w:b/>
          <w:szCs w:val="21"/>
          <w:highlight w:val="none"/>
        </w:rPr>
        <w:t xml:space="preserve">截止时间、开标时间和地点</w:t>
      </w:r>
      <w:bookmarkEnd w:id="19"/>
      <w:r>
        <w:rPr>
          <w:highlight w:val="none"/>
        </w:rPr>
      </w:r>
      <w:bookmarkEnd w:id="20"/>
      <w:r>
        <w:rPr>
          <w:highlight w:val="none"/>
        </w:rPr>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highlight w:val="none"/>
        </w:rPr>
      </w:r>
      <w:bookmarkStart w:id="21" w:name="_Toc28359007"/>
      <w:r>
        <w:rPr>
          <w:highlight w:val="none"/>
        </w:rPr>
      </w:r>
      <w:bookmarkStart w:id="22" w:name="_Toc35393794"/>
      <w:r>
        <w:rPr>
          <w:highlight w:val="none"/>
        </w:rPr>
      </w:r>
      <w:bookmarkStart w:id="23" w:name="_Toc28359084"/>
      <w:r>
        <w:rPr>
          <w:highlight w:val="none"/>
        </w:rPr>
      </w:r>
      <w:bookmarkStart w:id="24" w:name="_Toc35393625"/>
      <w:r>
        <w:rPr>
          <w:rFonts w:hint="eastAsia" w:ascii="宋体" w:hAnsi="宋体" w:eastAsia="宋体" w:cs="宋体"/>
          <w:sz w:val="21"/>
          <w:szCs w:val="21"/>
          <w:highlight w:val="none"/>
        </w:rPr>
        <w:t xml:space="preserve">1.提交投标文件截止时间：</w:t>
      </w:r>
      <w:r>
        <w:rPr>
          <w:rFonts w:hint="eastAsia" w:ascii="宋体" w:hAnsi="宋体" w:eastAsia="宋体" w:cs="宋体"/>
          <w:sz w:val="21"/>
          <w:szCs w:val="21"/>
          <w:highlight w:val="none"/>
          <w:lang w:eastAsia="zh-CN"/>
        </w:rPr>
        <w:t xml:space="preserve">2026年09月04日</w:t>
      </w:r>
      <w:r>
        <w:rPr>
          <w:rFonts w:hint="eastAsia" w:ascii="宋体" w:hAnsi="宋体" w:eastAsia="宋体" w:cs="宋体"/>
          <w:sz w:val="21"/>
          <w:szCs w:val="21"/>
          <w:highlight w:val="none"/>
        </w:rPr>
        <w:t xml:space="preserve">13：30</w:t>
      </w:r>
      <w:r>
        <w:rPr>
          <w:rFonts w:hint="eastAsia" w:ascii="宋体" w:hAnsi="宋体" w:eastAsia="宋体" w:cs="宋体"/>
          <w:sz w:val="21"/>
          <w:szCs w:val="21"/>
          <w:highlight w:val="none"/>
        </w:rPr>
        <w:t xml:space="preserve">（北京时间）； </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2.开标时间：</w:t>
      </w:r>
      <w:r>
        <w:rPr>
          <w:rFonts w:hint="eastAsia" w:ascii="宋体" w:hAnsi="宋体" w:eastAsia="宋体" w:cs="宋体"/>
          <w:sz w:val="21"/>
          <w:szCs w:val="21"/>
          <w:highlight w:val="none"/>
          <w:lang w:eastAsia="zh-CN"/>
        </w:rPr>
        <w:t xml:space="preserve">2026年09月04日</w:t>
      </w:r>
      <w:r>
        <w:rPr>
          <w:rFonts w:hint="eastAsia" w:ascii="宋体" w:hAnsi="宋体" w:eastAsia="宋体" w:cs="宋体"/>
          <w:sz w:val="21"/>
          <w:szCs w:val="21"/>
          <w:highlight w:val="none"/>
        </w:rPr>
        <w:t xml:space="preserve">13：30</w:t>
      </w:r>
      <w:r>
        <w:rPr>
          <w:rFonts w:hint="eastAsia" w:ascii="宋体" w:hAnsi="宋体" w:eastAsia="宋体" w:cs="宋体"/>
          <w:sz w:val="21"/>
          <w:szCs w:val="21"/>
          <w:highlight w:val="none"/>
        </w:rPr>
        <w:t xml:space="preserve">（北京时间）；</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3.开标地点：“苏采云”系统（网址：http://jszfcg.jsczt.cn/）</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highlight w:val="none"/>
        </w:rPr>
      </w:r>
    </w:p>
    <w:p>
      <w:pPr>
        <w:pStyle w:val="726"/>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请供应商确保电脑、系统及其他设备（视频输入输出设备等）无误，且开标直至项目结束始终保持系统在线状态。</w:t>
      </w:r>
      <w:r>
        <w:rPr>
          <w:highlight w:val="none"/>
        </w:rP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五、公告期限</w:t>
      </w:r>
      <w:bookmarkEnd w:id="21"/>
      <w:r>
        <w:rPr>
          <w:highlight w:val="none"/>
        </w:rPr>
      </w:r>
      <w:bookmarkEnd w:id="22"/>
      <w:r>
        <w:rPr>
          <w:highlight w:val="none"/>
        </w:rPr>
      </w:r>
      <w:bookmarkEnd w:id="23"/>
      <w:r>
        <w:rPr>
          <w:highlight w:val="none"/>
        </w:rPr>
      </w:r>
      <w:bookmarkEnd w:id="24"/>
      <w:r>
        <w:rPr>
          <w:highlight w:val="none"/>
        </w:rPr>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rPr>
          <w:highlight w:val="none"/>
        </w:rPr>
      </w:r>
    </w:p>
    <w:p>
      <w:pPr>
        <w:numPr>
          <w:ilvl w:val="0"/>
          <w:numId w:val="0"/>
        </w:numPr>
        <w:keepLines w:val="0"/>
        <w:keepNext w:val="0"/>
        <w:pageBreakBefore w:val="0"/>
        <w:spacing w:line="360" w:lineRule="auto"/>
        <w:rPr>
          <w:rFonts w:ascii="宋体" w:hAnsi="宋体" w:cs="宋体"/>
          <w:b/>
          <w:szCs w:val="21"/>
          <w:highlight w:val="none"/>
        </w:rPr>
      </w:pPr>
      <w:r>
        <w:rPr>
          <w:highlight w:val="none"/>
        </w:rPr>
      </w:r>
      <w:bookmarkStart w:id="25" w:name="_Toc35393626"/>
      <w:r>
        <w:rPr>
          <w:highlight w:val="none"/>
        </w:rPr>
      </w:r>
      <w:bookmarkStart w:id="26" w:name="_Toc35393795"/>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其他补充事宜</w:t>
      </w:r>
      <w:bookmarkEnd w:id="25"/>
      <w:r>
        <w:rPr>
          <w:highlight w:val="none"/>
        </w:rPr>
      </w:r>
      <w:bookmarkEnd w:id="26"/>
      <w:r>
        <w:rPr>
          <w:highlight w:val="none"/>
        </w:rPr>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1.根据苏州市财政局《关于深入开展苏州市政府采购合同信用融资业务的通知》相关要求，本项目支持政府采购合同信用融资。</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2.本公告有关信息将同时在苏州市政府采购网、江苏省政府采购网上发布，敬请留意。</w:t>
      </w:r>
      <w:r>
        <w:rPr>
          <w:highlight w:val="none"/>
        </w:rP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3.苏州吴江区政府采购办公室监督电话：0512-63982393。</w:t>
      </w:r>
      <w:r>
        <w:rPr>
          <w:highlight w:val="none"/>
        </w:rPr>
      </w:r>
    </w:p>
    <w:p>
      <w:pPr>
        <w:keepLines w:val="0"/>
        <w:keepNext w:val="0"/>
        <w:pageBreakBefore w:val="0"/>
        <w:spacing w:line="360" w:lineRule="auto"/>
        <w:rPr>
          <w:rFonts w:ascii="宋体" w:hAnsi="宋体" w:cs="宋体"/>
          <w:b/>
          <w:szCs w:val="21"/>
          <w:highlight w:val="none"/>
        </w:rPr>
      </w:pPr>
      <w:r>
        <w:rPr>
          <w:highlight w:val="none"/>
        </w:rPr>
      </w:r>
      <w:bookmarkStart w:id="27" w:name="_Toc35393796"/>
      <w:r>
        <w:rPr>
          <w:highlight w:val="none"/>
        </w:rPr>
      </w:r>
      <w:bookmarkStart w:id="28" w:name="_Toc28359085"/>
      <w:r>
        <w:rPr>
          <w:highlight w:val="none"/>
        </w:rPr>
      </w:r>
      <w:bookmarkStart w:id="29" w:name="_Toc35393627"/>
      <w:r>
        <w:rPr>
          <w:highlight w:val="none"/>
        </w:rPr>
      </w:r>
      <w:bookmarkStart w:id="30" w:name="_Toc28359008"/>
      <w:r>
        <w:rPr>
          <w:rFonts w:hint="eastAsia" w:ascii="宋体" w:hAnsi="宋体" w:cs="宋体"/>
          <w:b/>
          <w:szCs w:val="21"/>
          <w:highlight w:val="none"/>
        </w:rPr>
        <w:t xml:space="preserve">七、对本次招标提出询问，请按以下方式联系。</w:t>
      </w:r>
      <w:bookmarkEnd w:id="27"/>
      <w:r>
        <w:rPr>
          <w:highlight w:val="none"/>
        </w:rPr>
      </w:r>
      <w:bookmarkEnd w:id="28"/>
      <w:r>
        <w:rPr>
          <w:highlight w:val="none"/>
        </w:rPr>
      </w:r>
      <w:bookmarkEnd w:id="29"/>
      <w:r>
        <w:rPr>
          <w:highlight w:val="none"/>
        </w:rPr>
      </w:r>
      <w:bookmarkEnd w:id="30"/>
      <w:r>
        <w:rPr>
          <w:highlight w:val="none"/>
        </w:rPr>
      </w:r>
      <w:r>
        <w:rPr>
          <w:highlight w:val="none"/>
        </w:rPr>
      </w:r>
    </w:p>
    <w:p>
      <w:pPr>
        <w:ind w:firstLine="420"/>
        <w:jc w:val="left"/>
        <w:keepLines w:val="0"/>
        <w:keepNext w:val="0"/>
        <w:pageBreakBefore w:val="0"/>
        <w:spacing w:line="360" w:lineRule="auto"/>
        <w:widowControl/>
        <w:rPr>
          <w:rFonts w:ascii="宋体" w:hAnsi="宋体" w:cs="宋体"/>
          <w:szCs w:val="21"/>
          <w:highlight w:val="none"/>
        </w:rPr>
      </w:pPr>
      <w:r>
        <w:rPr>
          <w:highlight w:val="none"/>
        </w:rPr>
      </w:r>
      <w:bookmarkStart w:id="31" w:name="_Toc35393786"/>
      <w:r>
        <w:rPr>
          <w:highlight w:val="none"/>
        </w:rPr>
      </w:r>
      <w:bookmarkStart w:id="32" w:name="_Toc35393617"/>
      <w:r>
        <w:rPr>
          <w:highlight w:val="none"/>
        </w:rPr>
      </w:r>
      <w:bookmarkStart w:id="33" w:name="_Toc28358998"/>
      <w:r>
        <w:rPr>
          <w:highlight w:val="none"/>
        </w:rPr>
      </w:r>
      <w:bookmarkStart w:id="34" w:name="_Toc28359075"/>
      <w:r>
        <w:rPr>
          <w:rFonts w:hint="eastAsia" w:ascii="宋体" w:hAnsi="宋体" w:cs="宋体"/>
          <w:szCs w:val="21"/>
          <w:highlight w:val="none"/>
        </w:rPr>
        <w:t xml:space="preserve">1.采购单位信息</w:t>
      </w:r>
      <w:bookmarkEnd w:id="31"/>
      <w:r>
        <w:rPr>
          <w:highlight w:val="none"/>
        </w:rPr>
      </w:r>
      <w:bookmarkEnd w:id="32"/>
      <w:r>
        <w:rPr>
          <w:highlight w:val="none"/>
        </w:rPr>
      </w:r>
      <w:bookmarkEnd w:id="33"/>
      <w:r>
        <w:rPr>
          <w:highlight w:val="none"/>
        </w:rPr>
      </w:r>
      <w:bookmarkEnd w:id="34"/>
      <w:r>
        <w:rPr>
          <w:highlight w:val="none"/>
        </w:rPr>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苏州市吴江区七都镇人民政府</w:t>
      </w:r>
      <w:r>
        <w:rPr>
          <w:highlight w:val="none"/>
        </w:rPr>
      </w:r>
    </w:p>
    <w:p>
      <w:p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val="zh-CN"/>
        </w:rPr>
        <w:t xml:space="preserve">江苏省苏州市吴江区七都镇七都大道1688号</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联系人：孟凡金</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联系电话：0512-</w:t>
      </w:r>
      <w:r>
        <w:rPr>
          <w:rFonts w:hint="eastAsia" w:ascii="宋体" w:hAnsi="宋体" w:cs="宋体"/>
          <w:szCs w:val="21"/>
          <w:highlight w:val="none"/>
          <w:lang w:eastAsia="zh-CN"/>
        </w:rPr>
        <w:t xml:space="preserve">63813119</w:t>
      </w:r>
      <w:r>
        <w:rPr>
          <w:highlight w:val="none"/>
        </w:rPr>
      </w:r>
    </w:p>
    <w:p>
      <w:pPr>
        <w:ind w:firstLine="420"/>
        <w:jc w:val="left"/>
        <w:keepLines w:val="0"/>
        <w:keepNext w:val="0"/>
        <w:pageBreakBefore w:val="0"/>
        <w:spacing w:line="360" w:lineRule="auto"/>
        <w:widowControl/>
        <w:rPr>
          <w:rFonts w:ascii="宋体" w:hAnsi="宋体" w:cs="宋体"/>
          <w:szCs w:val="21"/>
          <w:highlight w:val="none"/>
        </w:rPr>
      </w:pPr>
      <w:r>
        <w:rPr>
          <w:highlight w:val="none"/>
        </w:rPr>
      </w:r>
      <w:bookmarkStart w:id="35" w:name="_Toc28359000"/>
      <w:r>
        <w:rPr>
          <w:highlight w:val="none"/>
        </w:rPr>
      </w:r>
      <w:bookmarkStart w:id="36" w:name="_Toc35393619"/>
      <w:r>
        <w:rPr>
          <w:highlight w:val="none"/>
        </w:rPr>
      </w:r>
      <w:bookmarkStart w:id="37" w:name="_Toc28359077"/>
      <w:r>
        <w:rPr>
          <w:highlight w:val="none"/>
        </w:rPr>
      </w:r>
      <w:bookmarkStart w:id="38" w:name="_Toc35393788"/>
      <w:r>
        <w:rPr>
          <w:rFonts w:hint="eastAsia" w:ascii="宋体" w:hAnsi="宋体" w:cs="宋体"/>
          <w:szCs w:val="21"/>
          <w:highlight w:val="none"/>
        </w:rPr>
        <w:t xml:space="preserve">2.代理机构联系方式</w:t>
      </w:r>
      <w:bookmarkEnd w:id="35"/>
      <w:r>
        <w:rPr>
          <w:highlight w:val="none"/>
        </w:rPr>
      </w:r>
      <w:bookmarkEnd w:id="36"/>
      <w:r>
        <w:rPr>
          <w:highlight w:val="none"/>
        </w:rPr>
      </w:r>
      <w:bookmarkEnd w:id="37"/>
      <w:r>
        <w:rPr>
          <w:highlight w:val="none"/>
        </w:rPr>
      </w:r>
      <w:bookmarkEnd w:id="38"/>
      <w:r>
        <w:rPr>
          <w:highlight w:val="none"/>
        </w:rPr>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名称</w:t>
      </w:r>
      <w:bookmarkStart w:id="39" w:name="XTDLJG_2"/>
      <w:r>
        <w:rPr>
          <w:rFonts w:hint="eastAsia" w:ascii="宋体" w:hAnsi="宋体" w:cs="宋体"/>
          <w:szCs w:val="21"/>
          <w:highlight w:val="none"/>
        </w:rPr>
        <w:t xml:space="preserve">：</w:t>
      </w:r>
      <w:bookmarkEnd w:id="39"/>
      <w:r>
        <w:rPr>
          <w:rFonts w:hint="eastAsia" w:ascii="宋体" w:hAnsi="宋体" w:cs="宋体"/>
          <w:szCs w:val="21"/>
          <w:highlight w:val="none"/>
          <w:lang w:eastAsia="zh-CN"/>
        </w:rPr>
        <w:t xml:space="preserve">苏州恒缘祥咨询管理有限公司</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苏州市吴江区花园路通鼎国际大厦627室</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杨艳丽</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0512-63245689</w:t>
      </w:r>
      <w:r>
        <w:rPr>
          <w:highlight w:val="none"/>
        </w:rPr>
      </w:r>
    </w:p>
    <w:p>
      <w:pPr>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rPr>
          <w:highlight w:val="none"/>
        </w:rP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杨艳丽</w:t>
      </w:r>
      <w:r>
        <w:rPr>
          <w:highlight w:val="none"/>
        </w:rPr>
      </w:r>
    </w:p>
    <w:p>
      <w:p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w:t>
      </w:r>
      <w:bookmarkEnd w:id="1"/>
      <w:r>
        <w:rPr>
          <w:rFonts w:hint="eastAsia" w:ascii="宋体" w:hAnsi="宋体" w:cs="宋体"/>
          <w:szCs w:val="21"/>
          <w:highlight w:val="none"/>
          <w:lang w:eastAsia="zh-CN"/>
        </w:rPr>
        <w:t xml:space="preserve">0512-63245689</w:t>
      </w:r>
      <w:r>
        <w:rPr>
          <w:highlight w:val="none"/>
        </w:rPr>
      </w:r>
    </w:p>
    <w:p>
      <w:pPr>
        <w:rPr>
          <w:rFonts w:hint="eastAsia" w:ascii="宋体" w:hAnsi="宋体" w:cs="宋体"/>
          <w:szCs w:val="21"/>
          <w:highlight w:val="none"/>
        </w:rPr>
      </w:pPr>
      <w:r>
        <w:rPr>
          <w:rFonts w:hint="eastAsia" w:ascii="宋体" w:hAnsi="宋体" w:cs="宋体"/>
          <w:szCs w:val="21"/>
          <w:highlight w:val="none"/>
          <w:lang w:eastAsia="zh-CN"/>
        </w:rPr>
        <w:br w:type="page" w:clear="all"/>
      </w:r>
      <w:r>
        <w:rPr>
          <w:highlight w:val="none"/>
        </w:rPr>
      </w:r>
    </w:p>
    <w:p>
      <w:pPr>
        <w:pStyle w:val="746"/>
        <w:ind w:firstLine="0"/>
        <w:jc w:val="center"/>
        <w:keepLines w:val="0"/>
        <w:keepNext w:val="0"/>
        <w:pageBreakBefore/>
        <w:spacing w:line="360" w:lineRule="auto"/>
        <w:widowControl w:val="off"/>
        <w:tabs>
          <w:tab w:val="right" w:pos="8302" w:leader="dot"/>
        </w:tabs>
        <w:rPr>
          <w:rStyle w:val="760"/>
          <w:rFonts w:ascii="宋体" w:hAnsi="宋体" w:cs="宋体"/>
          <w:sz w:val="32"/>
          <w:szCs w:val="32"/>
          <w:highlight w:val="none"/>
        </w:rPr>
        <w:outlineLvl w:val="0"/>
      </w:pPr>
      <w:r>
        <w:rPr>
          <w:rStyle w:val="760"/>
          <w:rFonts w:hint="eastAsia" w:ascii="宋体" w:hAnsi="宋体" w:cs="宋体"/>
          <w:sz w:val="32"/>
          <w:szCs w:val="32"/>
          <w:highlight w:val="none"/>
        </w:rPr>
        <w:t xml:space="preserve">第二章</w:t>
      </w:r>
      <w:r>
        <w:rPr>
          <w:rStyle w:val="760"/>
          <w:rFonts w:hint="eastAsia" w:ascii="宋体" w:hAnsi="宋体" w:eastAsia="宋体" w:cs="宋体"/>
          <w:sz w:val="32"/>
          <w:szCs w:val="32"/>
          <w:highlight w:val="none"/>
          <w:lang w:val="en-US" w:eastAsia="zh-CN"/>
        </w:rPr>
        <w:t xml:space="preserve">  </w:t>
      </w:r>
      <w:r>
        <w:rPr>
          <w:rStyle w:val="760"/>
          <w:rFonts w:hint="eastAsia" w:ascii="宋体" w:hAnsi="宋体" w:cs="宋体"/>
          <w:sz w:val="32"/>
          <w:szCs w:val="32"/>
          <w:highlight w:val="none"/>
        </w:rPr>
        <w:t xml:space="preserve">投标人须知</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一、说明和释义</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1.1本招标文件仅适用于苏州恒缘祥咨询管理有限公司组织的招标活动。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1.2本次招标活动及因本次招标产生的合同受中国法律制约和保护。</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1.3本招标文件的解释权属于苏州恒缘祥咨询管理有限公司。</w:t>
      </w:r>
      <w:r>
        <w:rPr>
          <w:highlight w:val="none"/>
        </w:rPr>
      </w:r>
    </w:p>
    <w:p>
      <w:pPr>
        <w:ind w:firstLine="420"/>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lang w:val="zh-CN"/>
        </w:rPr>
        <w:t xml:space="preserve">1.4词语释义</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1.4.1采购代理机构：具体组织实施招标活动的法人。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1.4.2投标人（投标单位）：经认定有资格响应招标，参加投标竞争的法人或其他组织和自然人。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1.4.3响应：投标人根据采购代理机构或采购代理机构发布的招标文件，编制投标文件并按规定投标的行为。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1.4.4合同：采供双方根据招标文件和中标的投标文件及中标通知书规定的内容签署的以书面形式所达成的协议，包括所有的附件、附录和构成协议的所有文件。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1.4.5甲方（委托方）：合同中明确规定的实际购买货物和服务的法人或其他组织和自然人。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1.4.6乙方（服务方）：合同中规定的向采购单位提供货物和服务的法人或其他组织和自然人。</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lang w:val="zh-CN"/>
        </w:rPr>
        <w:t xml:space="preserve">1.4.7</w:t>
      </w:r>
      <w:r>
        <w:rPr>
          <w:rFonts w:hint="eastAsia" w:ascii="宋体" w:hAnsi="宋体" w:cs="宋体"/>
          <w:highlight w:val="none"/>
        </w:rPr>
        <w:t xml:space="preserve">货物：系指乙方按招标文件规定，应向甲方提供的一切设备、备品、备件、工具、手册及其它有关技术资料和材料。</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highlight w:val="none"/>
        </w:rPr>
        <w:t xml:space="preserve">1.4.8</w:t>
      </w:r>
      <w:r>
        <w:rPr>
          <w:rFonts w:hint="eastAsia" w:ascii="宋体" w:hAnsi="宋体" w:cs="宋体"/>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highlight w:val="none"/>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1.4.9知识产权：指专利权、商标权、著作权等无形财产专有权的统称。</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1.4.10天：日历日。</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1.4.11交货地点：合同中明确约定的乙方提交的货物和服务最终交付地点。</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1.4.12合同价款：根据合同规定，乙方在正确地履行合同义务后甲方应支付乙方的价款。</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1.4.13产地：货物开采、生长、生产、最终制造、加工或提供服务的来源地。</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1.4.14不可抗力：不能预见、不能避免并且不能克服的客观情况。</w:t>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1.4.17书面形式：指书面文字、合同书、信件和数据电文（包括电报、电传、传真、电子数据交换和电子邮件）等可以有形地表现所载内容的形式。</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二、投标人</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2.合格投标人的条件：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2.1具有独立承担民事责任的能力；</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2.2具有良好的商业信誉和健全的财务会计制度；</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2.3具有履行合同所必需的设备和专业技术</w:t>
      </w:r>
      <w:r>
        <w:rPr>
          <w:rFonts w:hint="eastAsia" w:ascii="宋体" w:hAnsi="宋体" w:cs="宋体"/>
          <w:szCs w:val="21"/>
          <w:highlight w:val="none"/>
        </w:rPr>
        <w:t xml:space="preserve">能力</w:t>
      </w:r>
      <w:r>
        <w:rPr>
          <w:rFonts w:hint="eastAsia" w:ascii="宋体" w:hAnsi="宋体" w:cs="宋体"/>
          <w:szCs w:val="21"/>
          <w:highlight w:val="none"/>
          <w:lang w:val="zh-CN"/>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2.4有依法缴纳税收和社会保障资金的良好记录；</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lang w:val="zh-CN"/>
        </w:rPr>
        <w:t xml:space="preserve">2.5</w:t>
      </w:r>
      <w:r>
        <w:rPr>
          <w:rFonts w:hint="eastAsia" w:ascii="宋体" w:hAnsi="宋体" w:cs="宋体"/>
          <w:highlight w:val="none"/>
        </w:rPr>
        <w:t xml:space="preserve">参加政府采购活动前三年内，在经营活动中没有重大违法记录；</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2.6</w:t>
      </w:r>
      <w:r>
        <w:rPr>
          <w:rFonts w:hint="eastAsia" w:ascii="宋体" w:hAnsi="宋体" w:cs="宋体"/>
          <w:szCs w:val="21"/>
          <w:highlight w:val="none"/>
        </w:rPr>
        <w:t xml:space="preserve">法律、行政法规规定的其他条件。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2.7</w:t>
      </w:r>
      <w:r>
        <w:rPr>
          <w:rFonts w:hint="eastAsia" w:ascii="宋体" w:hAnsi="宋体" w:cs="宋体"/>
          <w:highlight w:val="none"/>
        </w:rPr>
        <w:t xml:space="preserve">合格投标单位其他资格条件见第一章投标邀请函；</w:t>
      </w:r>
      <w:r>
        <w:rPr>
          <w:highlight w:val="none"/>
        </w:rP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b/>
          <w:bCs/>
          <w:szCs w:val="21"/>
          <w:highlight w:val="none"/>
          <w:lang w:val="zh-CN"/>
        </w:rPr>
        <w:t xml:space="preserve">3.投标人代表：</w:t>
      </w:r>
      <w:r>
        <w:rPr>
          <w:rFonts w:hint="eastAsia" w:ascii="宋体" w:hAnsi="宋体" w:cs="宋体"/>
          <w:szCs w:val="21"/>
          <w:highlight w:val="none"/>
          <w:lang w:val="zh-CN"/>
        </w:rPr>
        <w:t xml:space="preserve">指全权代表投标方参加投标活动并签署投标文件的人。如果投标方代表不是法定代表人，须持有《法人授权委托书》（详见统一格式）。</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4.投标费用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4.1无论投标过程中的做法和结果如何，投标人自行承担所有与参加投标有关的全部费用。</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5.</w:t>
      </w:r>
      <w:r>
        <w:rPr>
          <w:rFonts w:hint="eastAsia" w:ascii="宋体" w:hAnsi="宋体" w:cs="宋体"/>
          <w:b/>
          <w:bCs/>
          <w:szCs w:val="21"/>
          <w:highlight w:val="none"/>
        </w:rPr>
        <w:t xml:space="preserve">联合投标及分包转包</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5.1本次招标不接受联合投标的方式；</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5.2本次招标不接受转包、分包。</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三、招标文件的说明</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6.招标文件</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6.1招标文件由招标文件总目录所列内容组成。投标单位应详细阅读招标文件的全部内容。不按招标文件的要求提供的投标文件和资料，可能导致投标被拒绝。</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6.2招标文件及其更正公告不是直接从苏采云系统中获得的，招标采购单位对招标文件及其补遗的真实性、完整性不承担任何责任。</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7.招标文件的澄清</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招标采购单位无论出于自己的考虑，还是出于对投标人提问的澄清，均可对招标文件用更正公告的方式进行澄清或者修改，并通过苏州市政府采购网对外进行发布。</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8.招标文件的修改</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9.投标答疑</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9.1</w:t>
      </w:r>
      <w:r>
        <w:rPr>
          <w:rFonts w:hint="eastAsia" w:ascii="宋体" w:hAnsi="宋体" w:cs="宋体"/>
          <w:szCs w:val="21"/>
          <w:highlight w:val="none"/>
        </w:rPr>
        <w:t xml:space="preserve">投标人在收到招标文件后，若有问题需要澄清，应在项目采购交易系统中提出，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将以网上答复的方式予以解答（包括对询问的解释，但不说明来源）</w:t>
      </w:r>
      <w:r>
        <w:rPr>
          <w:rFonts w:hint="eastAsia" w:ascii="宋体" w:hAnsi="宋体" w:cs="宋体"/>
          <w:highlight w:val="none"/>
        </w:rPr>
        <w:t xml:space="preserve">。</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9.2勘察现场：</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highlight w:val="none"/>
        </w:rPr>
        <w:t xml:space="preserve">招标文件的澄清、修改、补充等内容均以苏州政府采购网上等媒体发布的内容为准。</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四、投标文件说明</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10．提示与要求</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10.2无论是否递交投标文件，投标人都应将招标文件及以后的所有通知、文件等视为保密文件。</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11.投标文件计量单位和使用文字</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11.1投标文件中所使用的计量单位，除招标文件中有特殊要求外，均应使用中华人民共和国法定计量单位。</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11.2投标文件应使用中文编制，投标文件中必须使用其他文字的，必须附有中文译本。对于未附有中文译本和中文译本不准确的投标文件可能引起的对投标人不利的后果，采购代理机构概不负责。</w:t>
      </w:r>
      <w:r>
        <w:rPr>
          <w:highlight w:val="none"/>
        </w:rPr>
      </w:r>
    </w:p>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lang w:val="zh-CN"/>
        </w:rPr>
        <w:t xml:space="preserve">12.投标文件的组成</w:t>
      </w:r>
      <w:r>
        <w:rPr>
          <w:highlight w:val="none"/>
        </w:rPr>
      </w:r>
    </w:p>
    <w:p>
      <w:pPr>
        <w:pStyle w:val="726"/>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12.1</w:t>
      </w:r>
      <w:r>
        <w:rPr>
          <w:rFonts w:hint="eastAsia" w:ascii="宋体" w:hAnsi="宋体" w:eastAsia="宋体" w:cs="宋体"/>
          <w:b/>
          <w:bCs/>
          <w:sz w:val="21"/>
          <w:szCs w:val="21"/>
          <w:highlight w:val="none"/>
        </w:rPr>
        <w:t xml:space="preserve">封面</w:t>
      </w:r>
      <w:r>
        <w:rPr>
          <w:highlight w:val="none"/>
        </w:rPr>
      </w:r>
    </w:p>
    <w:p>
      <w:pPr>
        <w:pStyle w:val="726"/>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12.2</w:t>
      </w:r>
      <w:r>
        <w:rPr>
          <w:rFonts w:hint="eastAsia" w:ascii="宋体" w:hAnsi="宋体" w:eastAsia="宋体" w:cs="宋体"/>
          <w:b/>
          <w:bCs/>
          <w:sz w:val="21"/>
          <w:szCs w:val="21"/>
          <w:highlight w:val="none"/>
          <w:lang w:val="zh-CN"/>
        </w:rPr>
        <w:t xml:space="preserve">开标一览表</w:t>
      </w:r>
      <w:r>
        <w:rPr>
          <w:highlight w:val="none"/>
        </w:rPr>
      </w:r>
    </w:p>
    <w:p>
      <w:pPr>
        <w:pStyle w:val="726"/>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12.3投标报价分析表</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12.4</w:t>
      </w:r>
      <w:r>
        <w:rPr>
          <w:rFonts w:hint="eastAsia" w:ascii="宋体" w:hAnsi="宋体" w:cs="宋体"/>
          <w:b/>
          <w:bCs/>
          <w:szCs w:val="21"/>
          <w:highlight w:val="none"/>
          <w:lang w:val="zh-CN"/>
        </w:rPr>
        <w:t xml:space="preserve">资格</w:t>
      </w:r>
      <w:r>
        <w:rPr>
          <w:rFonts w:hint="eastAsia" w:ascii="宋体" w:hAnsi="宋体" w:cs="宋体"/>
          <w:b/>
          <w:bCs/>
          <w:szCs w:val="21"/>
          <w:highlight w:val="none"/>
        </w:rPr>
        <w:t xml:space="preserve">审查</w:t>
      </w:r>
      <w:r>
        <w:rPr>
          <w:rFonts w:hint="eastAsia" w:ascii="宋体" w:hAnsi="宋体" w:cs="宋体"/>
          <w:b/>
          <w:bCs/>
          <w:szCs w:val="21"/>
          <w:highlight w:val="none"/>
          <w:lang w:val="zh-CN"/>
        </w:rPr>
        <w:t xml:space="preserve">文件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12.</w:t>
      </w:r>
      <w:r>
        <w:rPr>
          <w:rFonts w:hint="eastAsia" w:ascii="宋体" w:hAnsi="宋体" w:cs="宋体"/>
          <w:szCs w:val="21"/>
          <w:highlight w:val="none"/>
        </w:rPr>
        <w:t xml:space="preserve">4</w:t>
      </w:r>
      <w:r>
        <w:rPr>
          <w:rFonts w:hint="eastAsia" w:ascii="宋体" w:hAnsi="宋体" w:cs="宋体"/>
          <w:szCs w:val="21"/>
          <w:highlight w:val="none"/>
          <w:lang w:val="zh-CN"/>
        </w:rPr>
        <w:t xml:space="preserve">.1满足《中华人民共和国政府采购法》第二十二条规定：</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1）具有独立承担民事责任的能力。</w:t>
      </w:r>
      <w:r>
        <w:rPr>
          <w:rFonts w:hint="eastAsia" w:ascii="宋体" w:hAnsi="宋体" w:cs="宋体"/>
          <w:szCs w:val="21"/>
          <w:highlight w:val="none"/>
        </w:rPr>
        <w:t xml:space="preserve">提供</w:t>
      </w:r>
      <w:r>
        <w:rPr>
          <w:rFonts w:hint="eastAsia" w:ascii="宋体" w:hAnsi="宋体" w:cs="宋体"/>
          <w:szCs w:val="21"/>
          <w:highlight w:val="none"/>
          <w:lang w:val="zh-CN"/>
        </w:rPr>
        <w:t xml:space="preserve">包括法人或者其他组织的营业执照等证明文件，自然人的身份证明；</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2）具有良好的商业信誉和健全的财务会计制度。提供包括但不限于最近一期（202</w:t>
      </w:r>
      <w:r>
        <w:rPr>
          <w:rFonts w:hint="eastAsia" w:ascii="宋体" w:hAnsi="宋体" w:cs="宋体"/>
          <w:szCs w:val="21"/>
          <w:highlight w:val="none"/>
        </w:rPr>
        <w:t xml:space="preserve">4</w:t>
      </w:r>
      <w:r>
        <w:rPr>
          <w:rFonts w:hint="eastAsia" w:ascii="宋体" w:hAnsi="宋体" w:cs="宋体"/>
          <w:szCs w:val="21"/>
          <w:highlight w:val="none"/>
          <w:lang w:val="zh-CN"/>
        </w:rPr>
        <w:t xml:space="preserve">年度</w:t>
      </w:r>
      <w:r>
        <w:rPr>
          <w:rFonts w:hint="eastAsia" w:ascii="宋体" w:hAnsi="宋体" w:cs="宋体"/>
          <w:szCs w:val="21"/>
          <w:highlight w:val="none"/>
        </w:rPr>
        <w:t xml:space="preserve">或2025年度</w:t>
      </w:r>
      <w:r>
        <w:rPr>
          <w:rFonts w:hint="eastAsia" w:ascii="宋体" w:hAnsi="宋体" w:cs="宋体"/>
          <w:szCs w:val="21"/>
          <w:highlight w:val="none"/>
          <w:lang w:val="zh-CN"/>
        </w:rPr>
        <w:t xml:space="preserve">）财务审计报告或最近一期（</w:t>
      </w:r>
      <w:r>
        <w:rPr>
          <w:rFonts w:hint="eastAsia" w:ascii="宋体" w:hAnsi="宋体" w:cs="宋体"/>
          <w:szCs w:val="21"/>
          <w:highlight w:val="none"/>
        </w:rPr>
        <w:t xml:space="preserve">2026年3月至今任一期）</w:t>
      </w:r>
      <w:r>
        <w:rPr>
          <w:rFonts w:hint="eastAsia" w:ascii="宋体" w:hAnsi="宋体" w:cs="宋体"/>
          <w:szCs w:val="21"/>
          <w:highlight w:val="none"/>
          <w:lang w:val="zh-CN"/>
        </w:rPr>
        <w:t xml:space="preserve">财务报表，其他组织、自然人及成立未满一年的法人应提供银行出具的资信证明）；</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3）</w:t>
      </w:r>
      <w:r>
        <w:rPr>
          <w:rFonts w:hint="eastAsia" w:ascii="宋体" w:hAnsi="宋体" w:cs="宋体"/>
          <w:szCs w:val="21"/>
          <w:highlight w:val="none"/>
        </w:rPr>
        <w:t xml:space="preserve">具有</w:t>
      </w:r>
      <w:r>
        <w:rPr>
          <w:rFonts w:hint="eastAsia" w:ascii="宋体" w:hAnsi="宋体" w:cs="宋体"/>
          <w:szCs w:val="21"/>
          <w:highlight w:val="none"/>
          <w:lang w:val="zh-CN"/>
        </w:rPr>
        <w:t xml:space="preserve">履行合同所必</w:t>
      </w:r>
      <w:r>
        <w:rPr>
          <w:rFonts w:hint="eastAsia" w:ascii="宋体" w:hAnsi="宋体" w:cs="宋体"/>
          <w:szCs w:val="21"/>
          <w:highlight w:val="none"/>
        </w:rPr>
        <w:t xml:space="preserve">需</w:t>
      </w:r>
      <w:r>
        <w:rPr>
          <w:rFonts w:hint="eastAsia" w:ascii="宋体" w:hAnsi="宋体" w:cs="宋体"/>
          <w:szCs w:val="21"/>
          <w:highlight w:val="none"/>
          <w:lang w:val="zh-CN"/>
        </w:rPr>
        <w:t xml:space="preserve">的设备和专业技术能力。</w:t>
      </w:r>
      <w:r>
        <w:rPr>
          <w:rFonts w:hint="eastAsia" w:ascii="宋体" w:hAnsi="宋体" w:cs="宋体"/>
          <w:szCs w:val="21"/>
          <w:highlight w:val="none"/>
        </w:rPr>
        <w:t xml:space="preserve">提供证明材料或承诺</w:t>
      </w:r>
      <w:r>
        <w:rPr>
          <w:rFonts w:hint="eastAsia" w:ascii="宋体" w:hAnsi="宋体" w:cs="宋体"/>
          <w:szCs w:val="21"/>
          <w:highlight w:val="none"/>
          <w:lang w:val="zh-CN"/>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5）参加政府采购活动前三年内，在经营活动中没有重大违法记录。</w:t>
      </w:r>
      <w:r>
        <w:rPr>
          <w:rFonts w:hint="eastAsia" w:ascii="宋体" w:hAnsi="宋体" w:cs="宋体"/>
          <w:szCs w:val="21"/>
          <w:highlight w:val="none"/>
        </w:rPr>
        <w:t xml:space="preserve">提供书面声明函</w:t>
      </w:r>
      <w:r>
        <w:rPr>
          <w:rFonts w:hint="eastAsia" w:ascii="宋体" w:hAnsi="宋体" w:cs="宋体"/>
          <w:szCs w:val="21"/>
          <w:highlight w:val="none"/>
          <w:lang w:val="zh-CN"/>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6）法律、行政法规规定的其他条件。提供书面声明函；</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12.4.2提供《中小企业声明函》、《残疾人福利性单位声明函》、省级以上监狱管理局、戒毒管理局（含新疆生产建设兵团）出具的属于监狱企业的证明文件。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12.4.3其他有关资格性证明的文件（如有）；</w:t>
      </w:r>
      <w:r>
        <w:rPr>
          <w:highlight w:val="none"/>
        </w:rPr>
      </w:r>
    </w:p>
    <w:p>
      <w:pPr>
        <w:pStyle w:val="726"/>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12.5符合性审查文件</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12.5.1</w:t>
      </w:r>
      <w:r>
        <w:rPr>
          <w:rFonts w:hint="eastAsia" w:ascii="宋体" w:hAnsi="宋体" w:eastAsia="宋体" w:cs="宋体"/>
          <w:sz w:val="21"/>
          <w:szCs w:val="21"/>
          <w:highlight w:val="none"/>
          <w:lang w:val="zh-CN"/>
        </w:rPr>
        <w:t xml:space="preserve">投标函；</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rPr>
        <w:t xml:space="preserve">12.5.2</w:t>
      </w:r>
      <w:r>
        <w:rPr>
          <w:rFonts w:hint="eastAsia" w:ascii="宋体" w:hAnsi="宋体" w:cs="宋体"/>
          <w:highlight w:val="none"/>
        </w:rPr>
        <w:t xml:space="preserve">商务条款偏离表；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highlight w:val="none"/>
        </w:rPr>
        <w:t xml:space="preserve">12.5.3</w:t>
      </w:r>
      <w:r>
        <w:rPr>
          <w:rFonts w:hint="eastAsia" w:ascii="宋体" w:hAnsi="宋体" w:cs="宋体"/>
          <w:szCs w:val="21"/>
          <w:highlight w:val="none"/>
          <w:lang w:val="zh-CN"/>
        </w:rPr>
        <w:t xml:space="preserve">关于资格文件的声明函；</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12.5.4</w:t>
      </w:r>
      <w:r>
        <w:rPr>
          <w:rFonts w:hint="eastAsia" w:ascii="宋体" w:hAnsi="宋体" w:cs="宋体"/>
          <w:szCs w:val="21"/>
          <w:highlight w:val="none"/>
          <w:lang w:val="zh-CN"/>
        </w:rPr>
        <w:t xml:space="preserve">投标单位情况表；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12.5.5</w:t>
      </w:r>
      <w:r>
        <w:rPr>
          <w:rFonts w:hint="eastAsia" w:ascii="宋体" w:hAnsi="宋体" w:cs="宋体"/>
          <w:szCs w:val="21"/>
          <w:highlight w:val="none"/>
          <w:lang w:val="zh-CN"/>
        </w:rPr>
        <w:t xml:space="preserve">法定代表人身份证复印件，法人授权委托书（如有授权）及委托代理人身份证复印件（如有授权）；</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rPr>
        <w:t xml:space="preserve">12.5.6</w:t>
      </w:r>
      <w:r>
        <w:rPr>
          <w:rFonts w:hint="eastAsia" w:ascii="宋体" w:hAnsi="宋体" w:cs="宋体"/>
          <w:szCs w:val="21"/>
          <w:highlight w:val="none"/>
          <w:lang w:val="zh-CN"/>
        </w:rPr>
        <w:t xml:space="preserve">投标（响应）保证承诺书；</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12.5.7其他</w:t>
      </w:r>
      <w:r>
        <w:rPr>
          <w:rFonts w:hint="eastAsia" w:ascii="宋体" w:hAnsi="宋体" w:eastAsia="宋体" w:cs="宋体"/>
          <w:sz w:val="21"/>
          <w:szCs w:val="24"/>
          <w:highlight w:val="none"/>
        </w:rPr>
        <w:t xml:space="preserve">有关符合性证明的文件（招标文件要求的其他符合性资料）；</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bCs/>
          <w:szCs w:val="21"/>
          <w:highlight w:val="none"/>
          <w:lang w:val="zh-CN"/>
        </w:rPr>
        <w:t xml:space="preserve">12.</w:t>
      </w:r>
      <w:r>
        <w:rPr>
          <w:rFonts w:hint="eastAsia" w:ascii="宋体" w:hAnsi="宋体" w:cs="宋体"/>
          <w:b/>
          <w:bCs/>
          <w:szCs w:val="21"/>
          <w:highlight w:val="none"/>
        </w:rPr>
        <w:t xml:space="preserve">6综合评审文件（具体以系统模块为准）</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12.6.1技术响应对照表；</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szCs w:val="21"/>
          <w:highlight w:val="none"/>
        </w:rPr>
        <w:t xml:space="preserve">12.6.2项目实施方案</w:t>
      </w:r>
      <w:r>
        <w:rPr>
          <w:rFonts w:hint="eastAsia" w:ascii="宋体" w:hAnsi="宋体" w:cs="宋体"/>
          <w:highlight w:val="none"/>
        </w:rPr>
        <w:t xml:space="preserve">；</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12.6.3《人员配备情况表》、《售后服务承诺书》等；</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12.6.4类似业绩一览表；</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12.6.5评分标准中要求的其他相关资料；</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12.7</w:t>
      </w:r>
      <w:r>
        <w:rPr>
          <w:rFonts w:hint="eastAsia" w:ascii="宋体" w:hAnsi="宋体" w:cs="宋体"/>
          <w:b/>
          <w:bCs/>
          <w:szCs w:val="21"/>
          <w:highlight w:val="none"/>
        </w:rPr>
        <w:t xml:space="preserve">价格折扣文件格式：</w:t>
      </w:r>
      <w:r>
        <w:rPr>
          <w:highlight w:val="none"/>
        </w:rPr>
      </w:r>
    </w:p>
    <w:p>
      <w:pPr>
        <w:pStyle w:val="920"/>
        <w:ind w:firstLine="420"/>
        <w:keepLines w:val="0"/>
        <w:keepNext w:val="0"/>
        <w:pageBreakBefore w:val="0"/>
        <w:spacing w:line="360" w:lineRule="auto"/>
        <w:widowControl w:val="off"/>
        <w:rPr>
          <w:rFonts w:ascii="宋体" w:hAnsi="宋体" w:cs="宋体"/>
          <w:b/>
          <w:bCs/>
          <w:szCs w:val="21"/>
          <w:highlight w:val="none"/>
        </w:rPr>
      </w:pPr>
      <w:r>
        <w:rPr>
          <w:rFonts w:hint="eastAsia" w:ascii="宋体" w:hAnsi="宋体" w:cs="宋体"/>
          <w:szCs w:val="21"/>
          <w:highlight w:val="none"/>
          <w:lang w:val="en-US"/>
        </w:rPr>
        <w:t xml:space="preserve">12.7.1供应商对其提供的产品出具《关于符合本国产品标准的声明函》（以下简称《声明函》）或财政部会同有关部门规定的有关证明文件。如不提供将不享受本国产品价格评审优惠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highlight w:val="none"/>
        </w:rPr>
        <w:t xml:space="preserve">；</w:t>
      </w:r>
      <w:r>
        <w:rPr>
          <w:highlight w:val="none"/>
        </w:rPr>
      </w:r>
    </w:p>
    <w:p>
      <w:pPr>
        <w:pStyle w:val="920"/>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注：（1）以上12.</w:t>
      </w:r>
      <w:r>
        <w:rPr>
          <w:rFonts w:hint="eastAsia" w:ascii="宋体" w:hAnsi="宋体" w:cs="宋体"/>
          <w:b/>
          <w:bCs/>
          <w:szCs w:val="21"/>
          <w:highlight w:val="none"/>
          <w:lang w:val="en-US"/>
        </w:rPr>
        <w:t xml:space="preserve">4</w:t>
      </w:r>
      <w:r>
        <w:rPr>
          <w:rFonts w:hint="eastAsia" w:ascii="宋体" w:hAnsi="宋体" w:cs="宋体"/>
          <w:b/>
          <w:bCs/>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p>
    <w:p>
      <w:pPr>
        <w:pStyle w:val="920"/>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（2）以上</w:t>
      </w:r>
      <w:r>
        <w:rPr>
          <w:rFonts w:ascii="宋体" w:hAnsi="宋体" w:cs="宋体"/>
          <w:b/>
          <w:bCs/>
          <w:szCs w:val="21"/>
          <w:highlight w:val="none"/>
        </w:rPr>
        <w:t xml:space="preserve">1</w:t>
      </w:r>
      <w:r>
        <w:rPr>
          <w:rFonts w:hint="eastAsia" w:ascii="宋体" w:hAnsi="宋体" w:cs="宋体"/>
          <w:b/>
          <w:bCs/>
          <w:szCs w:val="21"/>
          <w:highlight w:val="none"/>
          <w:lang w:val="en-US"/>
        </w:rPr>
        <w:t xml:space="preserve">2</w:t>
      </w:r>
      <w:r>
        <w:rPr>
          <w:rFonts w:ascii="宋体" w:hAnsi="宋体" w:cs="宋体"/>
          <w:b/>
          <w:bCs/>
          <w:szCs w:val="21"/>
          <w:highlight w:val="none"/>
        </w:rPr>
        <w:t xml:space="preserve">.5</w:t>
      </w:r>
      <w:r>
        <w:rPr>
          <w:rFonts w:hint="eastAsia" w:ascii="宋体" w:hAnsi="宋体" w:cs="宋体"/>
          <w:b/>
          <w:bCs/>
          <w:szCs w:val="21"/>
          <w:highlight w:val="none"/>
        </w:rPr>
        <w:t xml:space="preserve">为符合性审查须提供的资料，投标人必须提供并加盖电子公章。否则，投标文件将被认定为未实质性响应。</w:t>
      </w:r>
      <w:r>
        <w:rPr>
          <w:highlight w:val="none"/>
        </w:rPr>
      </w:r>
    </w:p>
    <w:p>
      <w:pPr>
        <w:pStyle w:val="920"/>
        <w:ind w:firstLine="422"/>
        <w:keepLines w:val="0"/>
        <w:keepNext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（3）“</w:t>
      </w:r>
      <w:r>
        <w:rPr>
          <w:rFonts w:hint="eastAsia" w:ascii="宋体" w:hAnsi="宋体"/>
          <w:b/>
          <w:szCs w:val="21"/>
          <w:highlight w:val="none"/>
          <w:lang w:val="en-US"/>
        </w:rPr>
        <w:t xml:space="preserve">12.4</w:t>
      </w:r>
      <w:r>
        <w:rPr>
          <w:rFonts w:ascii="宋体" w:hAnsi="宋体"/>
          <w:b/>
          <w:szCs w:val="21"/>
          <w:highlight w:val="none"/>
        </w:rPr>
        <w:t xml:space="preserve">-1</w:t>
      </w:r>
      <w:r>
        <w:rPr>
          <w:rFonts w:hint="eastAsia" w:ascii="宋体" w:hAnsi="宋体"/>
          <w:b/>
          <w:szCs w:val="21"/>
          <w:highlight w:val="none"/>
          <w:lang w:val="en-US"/>
        </w:rPr>
        <w:t xml:space="preserve">2.7</w:t>
      </w:r>
      <w:r>
        <w:rPr>
          <w:rFonts w:hint="eastAsia" w:ascii="宋体" w:hAnsi="宋体"/>
          <w:b/>
          <w:szCs w:val="21"/>
          <w:highlight w:val="none"/>
        </w:rPr>
        <w:t xml:space="preserve">”中不得出现投标总报价。</w:t>
      </w:r>
      <w:r>
        <w:rPr>
          <w:rFonts w:hint="eastAsia" w:ascii="宋体" w:hAnsi="宋体"/>
          <w:szCs w:val="21"/>
          <w:highlight w:val="none"/>
        </w:rPr>
        <w:t xml:space="preserve">投标人所提交的</w:t>
      </w:r>
      <w:r>
        <w:rPr>
          <w:rFonts w:hint="eastAsia" w:ascii="宋体" w:hAnsi="宋体"/>
          <w:szCs w:val="21"/>
          <w:highlight w:val="none"/>
          <w:lang w:val="en-US"/>
        </w:rPr>
        <w:t xml:space="preserve">技术</w:t>
      </w:r>
      <w:r>
        <w:rPr>
          <w:rFonts w:hint="eastAsia" w:ascii="宋体" w:hAnsi="宋体"/>
          <w:szCs w:val="21"/>
          <w:highlight w:val="none"/>
        </w:rPr>
        <w:t xml:space="preserve">资料的完整与否，将直接影响投标人的评分。</w:t>
      </w:r>
      <w:r>
        <w:rPr>
          <w:highlight w:val="none"/>
        </w:rPr>
      </w:r>
    </w:p>
    <w:p>
      <w:pPr>
        <w:pStyle w:val="920"/>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b/>
          <w:szCs w:val="21"/>
          <w:highlight w:val="none"/>
        </w:rPr>
        <w:t xml:space="preserve">（</w:t>
      </w:r>
      <w:r>
        <w:rPr>
          <w:rFonts w:ascii="宋体" w:hAnsi="宋体"/>
          <w:b/>
          <w:szCs w:val="21"/>
          <w:highlight w:val="none"/>
        </w:rPr>
        <w:t xml:space="preserve">4</w:t>
      </w:r>
      <w:r>
        <w:rPr>
          <w:rFonts w:hint="eastAsia" w:ascii="宋体" w:hAnsi="宋体"/>
          <w:b/>
          <w:szCs w:val="21"/>
          <w:highlight w:val="none"/>
        </w:rPr>
        <w:t xml:space="preserve">）制作电子投标文件时必须与投标文件制作软件目录一一对应，将相关资料上传至相应模块。</w:t>
      </w:r>
      <w:r>
        <w:rPr>
          <w:highlight w:val="none"/>
        </w:rPr>
      </w:r>
    </w:p>
    <w:p>
      <w:pPr>
        <w:pStyle w:val="920"/>
        <w:ind w:firstLine="422"/>
        <w:keepLines w:val="0"/>
        <w:keepNext w:val="0"/>
        <w:pageBreakBefore w:val="0"/>
        <w:spacing w:line="360" w:lineRule="auto"/>
        <w:widowControl w:val="off"/>
        <w:rPr>
          <w:rFonts w:ascii="宋体" w:hAnsi="宋体"/>
          <w:b/>
          <w:szCs w:val="21"/>
          <w:highlight w:val="none"/>
        </w:rPr>
      </w:pPr>
      <w:r>
        <w:rPr>
          <w:rFonts w:hint="eastAsia" w:ascii="宋体" w:hAnsi="宋体"/>
          <w:b/>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13.投标文件编制要求</w:t>
      </w:r>
      <w:r>
        <w:rPr>
          <w:highlight w:val="none"/>
        </w:rPr>
      </w:r>
    </w:p>
    <w:p>
      <w:pPr>
        <w:ind w:firstLine="420"/>
        <w:keepLines w:val="0"/>
        <w:keepNext w:val="0"/>
        <w:pageBreakBefore w:val="0"/>
        <w:spacing w:line="360" w:lineRule="auto"/>
        <w:widowControl w:val="off"/>
        <w:tabs>
          <w:tab w:val="left" w:pos="502" w:leader="none"/>
        </w:tabs>
        <w:rPr>
          <w:rFonts w:ascii="宋体" w:hAnsi="宋体" w:cs="宋体"/>
          <w:bCs/>
          <w:highlight w:val="none"/>
        </w:rPr>
      </w:pPr>
      <w:r>
        <w:rPr>
          <w:rFonts w:hint="eastAsia" w:ascii="宋体" w:hAnsi="宋体" w:cs="宋体"/>
          <w:bCs/>
          <w:highlight w:val="none"/>
          <w:lang w:val="zh-CN"/>
        </w:rPr>
        <w:t xml:space="preserve">13.1</w:t>
      </w:r>
      <w:r>
        <w:rPr>
          <w:rFonts w:hint="eastAsia" w:ascii="宋体" w:hAnsi="宋体"/>
          <w:b/>
          <w:szCs w:val="21"/>
          <w:highlight w:val="none"/>
        </w:rPr>
        <w:t xml:space="preserve">投标文件按统一格式、顺序编写</w:t>
      </w:r>
      <w:r>
        <w:rPr>
          <w:rFonts w:hint="eastAsia" w:ascii="宋体" w:hAnsi="宋体" w:cs="宋体"/>
          <w:bCs/>
          <w:highlight w:val="none"/>
          <w:lang w:val="zh-CN"/>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13.2《开标一览表》为在开标仪式上唱标的内容，要求按格式填写，统一规范，不得自行增减内容。</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14.投标报价（编制）要求的说明</w:t>
      </w:r>
      <w:r>
        <w:rPr>
          <w:highlight w:val="none"/>
        </w:rP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14.1</w:t>
      </w:r>
      <w:r>
        <w:rPr>
          <w:rFonts w:hint="eastAsia" w:ascii="宋体" w:hAnsi="宋体" w:cs="宋体"/>
          <w:szCs w:val="21"/>
          <w:highlight w:val="none"/>
        </w:rPr>
        <w:t xml:space="preserve">投标</w:t>
      </w:r>
      <w:r>
        <w:rPr>
          <w:rFonts w:hint="eastAsia" w:ascii="宋体" w:hAnsi="宋体" w:cs="宋体"/>
          <w:szCs w:val="21"/>
          <w:highlight w:val="none"/>
          <w:lang w:val="zh-CN"/>
        </w:rPr>
        <w:t xml:space="preserve">报价应</w:t>
      </w:r>
      <w:r>
        <w:rPr>
          <w:rFonts w:hint="eastAsia" w:ascii="宋体" w:hAnsi="宋体" w:cs="宋体"/>
          <w:szCs w:val="21"/>
          <w:highlight w:val="none"/>
        </w:rPr>
        <w:t xml:space="preserve">包括完成该标的物全部内容的一切费用。</w:t>
      </w:r>
      <w:r>
        <w:rPr>
          <w:rFonts w:hint="eastAsia" w:ascii="宋体" w:hAnsi="宋体" w:cs="宋体"/>
          <w:szCs w:val="21"/>
          <w:highlight w:val="none"/>
          <w:lang w:val="zh-CN"/>
        </w:rPr>
        <w:t xml:space="preserve">投标报价为最终报价，投标人所报价格在合同实施期间不因市场变化因素而变动。</w:t>
      </w:r>
      <w:r>
        <w:rPr>
          <w:highlight w:val="none"/>
        </w:rP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14.2投标人应按《投标报价分析表》中的全部服务内容的每一单项计算并填写单价和总价，并由企业法定代表人或委托代理人签署。</w:t>
      </w:r>
      <w:r>
        <w:rPr>
          <w:highlight w:val="none"/>
        </w:rP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14.3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highlight w:val="none"/>
        </w:rP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14.4投标文件报价采用人民币表示，除非合同的特殊条款另有规定。</w:t>
      </w:r>
      <w:r>
        <w:rPr>
          <w:highlight w:val="none"/>
        </w:rP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14.5最低的投标报价是中标的重要条件但不是唯一条件。</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15.投标保证金（</w:t>
      </w:r>
      <w:r>
        <w:rPr>
          <w:rFonts w:hint="eastAsia" w:ascii="宋体" w:hAnsi="宋体" w:cs="宋体"/>
          <w:b/>
          <w:bCs/>
          <w:szCs w:val="21"/>
          <w:highlight w:val="none"/>
        </w:rPr>
        <w:t xml:space="preserve">本项目无需缴纳</w:t>
      </w:r>
      <w:r>
        <w:rPr>
          <w:rFonts w:hint="eastAsia" w:ascii="宋体" w:hAnsi="宋体" w:cs="宋体"/>
          <w:b/>
          <w:bCs/>
          <w:szCs w:val="21"/>
          <w:highlight w:val="none"/>
          <w:lang w:val="zh-CN"/>
        </w:rPr>
        <w:t xml:space="preserve">）</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16.投标文件的有效期</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16.1自开标日起</w:t>
      </w:r>
      <w:r>
        <w:rPr>
          <w:rFonts w:hint="eastAsia" w:ascii="宋体" w:hAnsi="宋体" w:cs="宋体"/>
          <w:szCs w:val="21"/>
          <w:highlight w:val="none"/>
          <w:lang w:val="en-US" w:eastAsia="zh-CN"/>
        </w:rPr>
        <w:t xml:space="preserve">9</w:t>
      </w:r>
      <w:r>
        <w:rPr>
          <w:rFonts w:hint="eastAsia" w:ascii="宋体" w:hAnsi="宋体" w:cs="宋体"/>
          <w:szCs w:val="21"/>
          <w:highlight w:val="none"/>
          <w:lang w:val="zh-CN"/>
        </w:rPr>
        <w:t xml:space="preserve">0天内，投标书应保持有效。有效期短于这个规定期限的投标文件，将被拒绝。</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16.2在特殊情况下，采购代理机构可与投标人协商延长投标书的有效期。这种要求和答复都应以书面、传真、或电报的形式进行。同意延长有效期的投标人不能修改投标文件。拒绝接受延期要求的投标人的投标将被拒绝。</w:t>
      </w:r>
      <w:r>
        <w:rPr>
          <w:highlight w:val="none"/>
        </w:rPr>
      </w:r>
    </w:p>
    <w:p>
      <w:pPr>
        <w:pStyle w:val="920"/>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bCs/>
          <w:szCs w:val="21"/>
          <w:highlight w:val="none"/>
        </w:rPr>
        <w:t xml:space="preserve">17.</w:t>
      </w:r>
      <w:r>
        <w:rPr>
          <w:rFonts w:hint="eastAsia" w:ascii="宋体" w:hAnsi="宋体" w:cs="宋体"/>
          <w:b/>
          <w:szCs w:val="21"/>
          <w:highlight w:val="none"/>
        </w:rPr>
        <w:t xml:space="preserve">投标文件的制作、签署、上传</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17.1本项目采用电子招投标形式，请供应商按照</w:t>
      </w:r>
      <w:r>
        <w:rPr>
          <w:rFonts w:hint="eastAsia" w:ascii="宋体" w:hAnsi="宋体" w:cs="宋体"/>
          <w:b/>
          <w:bCs/>
          <w:szCs w:val="21"/>
          <w:highlight w:val="none"/>
          <w:lang w:val="en-US"/>
        </w:rPr>
        <w:t xml:space="preserve">《苏采云系统供应商操作手册》</w:t>
      </w:r>
      <w:r>
        <w:rPr>
          <w:rFonts w:hint="eastAsia" w:ascii="宋体" w:hAnsi="宋体" w:cs="宋体"/>
          <w:szCs w:val="21"/>
          <w:highlight w:val="none"/>
          <w:lang w:val="en-US"/>
        </w:rPr>
        <w:t xml:space="preserve">进行制作、上传电子投标文件。</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17.2制作电子投标文件时，应按照招标文件要求加盖投标人电子公章。</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17.3</w:t>
      </w:r>
      <w:r>
        <w:rPr>
          <w:rFonts w:hint="eastAsia" w:ascii="宋体" w:hAnsi="宋体" w:cs="宋体"/>
          <w:b/>
          <w:bCs/>
          <w:szCs w:val="21"/>
          <w:highlight w:val="none"/>
          <w:lang w:val="en-US"/>
        </w:rPr>
        <w:t xml:space="preserve">电子投标文件制作完成后请于投标文件网上提交截止时间前成功上传至“苏采云”系统，否则视为放弃参加该采购项目。</w:t>
      </w:r>
      <w:bookmarkStart w:id="40" w:name="_Toc25608"/>
      <w:r>
        <w:rPr>
          <w:highlight w:val="none"/>
        </w:rPr>
      </w:r>
      <w:bookmarkStart w:id="41" w:name="_Toc31150"/>
      <w:r>
        <w:rPr>
          <w:rFonts w:hint="eastAsia" w:ascii="宋体" w:hAnsi="宋体" w:cs="宋体"/>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rPr>
          <w:highlight w:val="none"/>
        </w:rPr>
      </w:r>
      <w:bookmarkEnd w:id="41"/>
      <w:r>
        <w:rPr>
          <w:highlight w:val="none"/>
        </w:rPr>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五、投标文件的递交（上传）</w:t>
      </w:r>
      <w:r>
        <w:rPr>
          <w:highlight w:val="none"/>
        </w:rPr>
      </w:r>
    </w:p>
    <w:p>
      <w:pPr>
        <w:pStyle w:val="920"/>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bCs/>
          <w:szCs w:val="21"/>
          <w:highlight w:val="none"/>
        </w:rPr>
        <w:t xml:space="preserve">18.</w:t>
      </w:r>
      <w:r>
        <w:rPr>
          <w:rFonts w:hint="eastAsia" w:ascii="宋体" w:hAnsi="宋体" w:cs="宋体"/>
          <w:b/>
          <w:szCs w:val="21"/>
          <w:highlight w:val="none"/>
        </w:rPr>
        <w:t xml:space="preserve">投标文件的递交</w:t>
      </w:r>
      <w:r>
        <w:rPr>
          <w:highlight w:val="none"/>
        </w:rPr>
      </w:r>
    </w:p>
    <w:p>
      <w:pPr>
        <w:pStyle w:val="920"/>
        <w:ind w:firstLine="42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18</w:t>
      </w:r>
      <w:r>
        <w:rPr>
          <w:rFonts w:hint="eastAsia" w:ascii="宋体" w:hAnsi="宋体" w:cs="宋体"/>
          <w:szCs w:val="21"/>
          <w:highlight w:val="none"/>
        </w:rPr>
        <w:t xml:space="preserve">.1投标人应当在投标截止时间前制作并上传电子投标文件。</w:t>
      </w:r>
      <w:r>
        <w:rPr>
          <w:highlight w:val="none"/>
        </w:rPr>
      </w:r>
    </w:p>
    <w:p>
      <w:pPr>
        <w:pStyle w:val="726"/>
        <w:ind w:firstLine="420"/>
        <w:jc w:val="left"/>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18.2投标人通过</w:t>
      </w:r>
      <w:r>
        <w:rPr>
          <w:rFonts w:hint="eastAsia" w:ascii="宋体" w:hAnsi="宋体" w:eastAsia="宋体" w:cs="宋体"/>
          <w:b/>
          <w:sz w:val="21"/>
          <w:szCs w:val="21"/>
          <w:highlight w:val="none"/>
        </w:rPr>
        <w:t xml:space="preserve">“苏采云”系统不见面开标大厅在线参与开标活动。（具体操作详见《苏采云系统供应商操作手册》，网址链接https://czju.suzhou.gov.cn/zfcg/html/content/20231220161910031.shtml）</w:t>
      </w:r>
      <w:r>
        <w:rPr>
          <w:highlight w:val="none"/>
        </w:rP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szCs w:val="21"/>
          <w:highlight w:val="none"/>
        </w:rPr>
        <w:t xml:space="preserve">18.3</w:t>
      </w:r>
      <w:r>
        <w:rPr>
          <w:rFonts w:hint="eastAsia" w:ascii="宋体" w:hAnsi="宋体" w:cs="宋体"/>
          <w:b/>
          <w:bCs/>
          <w:szCs w:val="21"/>
          <w:highlight w:val="none"/>
          <w:lang w:val="zh-CN"/>
        </w:rPr>
        <w:t xml:space="preserve">纸质</w:t>
      </w:r>
      <w:r>
        <w:rPr>
          <w:rFonts w:hint="eastAsia" w:ascii="宋体" w:hAnsi="宋体" w:cs="宋体"/>
          <w:b/>
          <w:bCs/>
          <w:szCs w:val="21"/>
          <w:highlight w:val="none"/>
        </w:rPr>
        <w:t xml:space="preserve">投标</w:t>
      </w:r>
      <w:r>
        <w:rPr>
          <w:rFonts w:hint="eastAsia" w:ascii="宋体" w:hAnsi="宋体" w:cs="宋体"/>
          <w:b/>
          <w:bCs/>
          <w:szCs w:val="21"/>
          <w:highlight w:val="none"/>
          <w:lang w:val="zh-CN"/>
        </w:rPr>
        <w:t xml:space="preserve">文件：</w:t>
      </w:r>
      <w:r>
        <w:rPr>
          <w:rFonts w:hint="eastAsia" w:ascii="宋体" w:hAnsi="宋体" w:cs="宋体"/>
          <w:szCs w:val="21"/>
          <w:highlight w:val="none"/>
        </w:rPr>
        <w:t xml:space="preserve">中标后5个工作日内，中标单位向</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提供与电子投标文件内容一致的</w:t>
      </w:r>
      <w:r>
        <w:rPr>
          <w:rFonts w:hint="eastAsia" w:ascii="宋体" w:hAnsi="宋体" w:cs="宋体"/>
          <w:highlight w:val="none"/>
        </w:rPr>
        <w:t xml:space="preserve">纸质投标文件两份。</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19.投标截止时间</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19.1投标人应当在招标文件要求投标文件网上提交截止时间前，将投标文件完成提交（上传）。逾期提交（上传）的投标文件，采购人和采购代理机构拒绝接收。</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19.3在投标截止时间止成功解密的投标文件少于三份，采购代理机构有权宣布本次招标失败</w:t>
      </w:r>
      <w:r>
        <w:rPr>
          <w:rFonts w:hint="eastAsia" w:ascii="宋体" w:hAnsi="宋体" w:cs="宋体"/>
          <w:szCs w:val="21"/>
          <w:highlight w:val="none"/>
        </w:rPr>
        <w:t xml:space="preserve">。</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20.</w:t>
      </w:r>
      <w:r>
        <w:rPr>
          <w:rFonts w:hint="eastAsia" w:ascii="宋体" w:hAnsi="宋体" w:cs="宋体"/>
          <w:b/>
          <w:szCs w:val="21"/>
          <w:highlight w:val="none"/>
        </w:rPr>
        <w:t xml:space="preserve">投标文件的补充、修改和撤回</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20.1</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前，可以对其电子投标文件进行补充、修改，具体操作方法见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之后，投标人不得对其电子投标文件作任何修改</w:t>
      </w:r>
      <w:r>
        <w:rPr>
          <w:rFonts w:hint="eastAsia" w:ascii="宋体" w:hAnsi="宋体" w:cs="宋体"/>
          <w:szCs w:val="21"/>
          <w:highlight w:val="none"/>
          <w:lang w:val="zh-CN"/>
        </w:rPr>
        <w:t xml:space="preserve">。</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20.2</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前，可以撤回其电子投标文件，具体操作方法见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highlight w:val="none"/>
          <w:lang w:val="zh-CN"/>
        </w:rPr>
        <w:t xml:space="preserve">。</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六、开标和评标</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21.开标</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21.1开标由采购代理机构</w:t>
      </w:r>
      <w:r>
        <w:rPr>
          <w:rFonts w:hint="eastAsia" w:ascii="宋体" w:hAnsi="宋体" w:cs="宋体"/>
          <w:szCs w:val="21"/>
          <w:highlight w:val="none"/>
        </w:rPr>
        <w:t xml:space="preserve">在线</w:t>
      </w:r>
      <w:r>
        <w:rPr>
          <w:rFonts w:hint="eastAsia" w:ascii="宋体" w:hAnsi="宋体" w:cs="宋体"/>
          <w:szCs w:val="21"/>
          <w:highlight w:val="none"/>
          <w:lang w:val="zh-CN"/>
        </w:rPr>
        <w:t xml:space="preserve">主持，邀请投标人</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参加。投标人应当按照《苏采云系统供应商操作手册》规定，</w:t>
      </w:r>
      <w:r>
        <w:rPr>
          <w:rFonts w:hint="eastAsia" w:ascii="宋体" w:hAnsi="宋体" w:cs="宋体"/>
          <w:b/>
          <w:bCs/>
          <w:szCs w:val="21"/>
          <w:highlight w:val="none"/>
          <w:lang w:val="zh-CN"/>
        </w:rPr>
        <w:t xml:space="preserve">参加开标活动和在“苏采云”系统规定的时间内对投标文件进行解密。</w:t>
      </w:r>
      <w:r>
        <w:rPr>
          <w:rFonts w:hint="eastAsia" w:ascii="宋体" w:hAnsi="宋体" w:cs="宋体"/>
          <w:szCs w:val="21"/>
          <w:highlight w:val="none"/>
          <w:lang w:val="zh-CN"/>
        </w:rPr>
        <w:t xml:space="preserve">评标委员会成员不得参加开标活动。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21.2开标时，由采购代理机构</w:t>
      </w:r>
      <w:r>
        <w:rPr>
          <w:rFonts w:hint="eastAsia" w:ascii="宋体" w:hAnsi="宋体" w:cs="宋体"/>
          <w:szCs w:val="21"/>
          <w:highlight w:val="none"/>
        </w:rPr>
        <w:t xml:space="preserve">通过“苏采云”系统在线</w:t>
      </w:r>
      <w:r>
        <w:rPr>
          <w:rFonts w:hint="eastAsia" w:ascii="宋体" w:hAnsi="宋体" w:cs="宋体"/>
          <w:szCs w:val="21"/>
          <w:highlight w:val="none"/>
          <w:lang w:val="zh-CN"/>
        </w:rPr>
        <w:t xml:space="preserve">宣布投标人名称、投标价格和招标文件规定的需要宣布的其他内容。</w:t>
      </w:r>
      <w:r>
        <w:rPr>
          <w:rFonts w:hint="eastAsia" w:ascii="宋体" w:hAnsi="宋体" w:cs="宋体"/>
          <w:szCs w:val="21"/>
          <w:highlight w:val="none"/>
        </w:rPr>
        <w:t xml:space="preserve">投标人在不见面开标系统中确认投标价格，如</w:t>
      </w:r>
      <w:r>
        <w:rPr>
          <w:rFonts w:hint="eastAsia" w:ascii="宋体" w:hAnsi="宋体" w:cs="宋体"/>
          <w:szCs w:val="21"/>
          <w:highlight w:val="none"/>
          <w:lang w:val="zh-CN"/>
        </w:rPr>
        <w:t xml:space="preserve">投标人未</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参加开标</w:t>
      </w:r>
      <w:r>
        <w:rPr>
          <w:rFonts w:hint="eastAsia" w:ascii="宋体" w:hAnsi="宋体" w:cs="宋体"/>
          <w:szCs w:val="21"/>
          <w:highlight w:val="none"/>
        </w:rPr>
        <w:t xml:space="preserve">或未在规定时间内确认价格</w:t>
      </w:r>
      <w:r>
        <w:rPr>
          <w:rFonts w:hint="eastAsia" w:ascii="宋体" w:hAnsi="宋体" w:cs="宋体"/>
          <w:szCs w:val="21"/>
          <w:highlight w:val="none"/>
          <w:lang w:val="zh-CN"/>
        </w:rPr>
        <w:t xml:space="preserve">的，视同认可开标结果。</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21.3资格审查</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1</w:t>
      </w:r>
      <w:r>
        <w:rPr>
          <w:rFonts w:hint="eastAsia" w:ascii="宋体" w:hAnsi="宋体" w:cs="宋体"/>
          <w:szCs w:val="21"/>
          <w:highlight w:val="none"/>
        </w:rPr>
        <w:t xml:space="preserve">.3.1公开招标采购项目开标结束后，采购人</w:t>
      </w:r>
      <w:r>
        <w:rPr>
          <w:rFonts w:hint="eastAsia" w:ascii="宋体" w:hAnsi="宋体" w:cs="宋体"/>
          <w:szCs w:val="21"/>
          <w:highlight w:val="none"/>
          <w:lang w:val="en-US"/>
        </w:rPr>
        <w:t xml:space="preserve">或采购代理机构</w:t>
      </w:r>
      <w:r>
        <w:rPr>
          <w:rFonts w:hint="eastAsia" w:ascii="宋体" w:hAnsi="宋体" w:cs="宋体"/>
          <w:szCs w:val="21"/>
          <w:highlight w:val="none"/>
        </w:rPr>
        <w:t xml:space="preserve">应当依法对投标人的资格进行审查，未通过资格审查的视为无效投标。</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22.评标委员会或评标小组</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22.1评标委员会或评标小组（以下简称评标委员会）成员依法组建。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22.2评标委员会或评标小组负责具体的评标事务，并独立履行以下职责：</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22.2.1审查、评价投标文件是否符合招标文件的商务、技术等实质性要求；</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22.2.2要求投标人对投标文件有关事项作出澄清或者说明；</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22.2.3对投标文件进行比较和评价；</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22.2.4确定中标候选人名单，以及根据采购单位委托直接确定中标单位；</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22.2.5向采购单位、采购代理机构或者有关部门报告评标中发现的违法行为。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22.3评标委员会成员应当履行下列义务：</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22.3.1遵纪守法，客观、公正、廉洁地履行职责；</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22.3.2按照招标文件规定的评标方法和评标标准进行评标，对评审意见承担个人责任；</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22.3.3对评标过程和结果，以及投标人的商业秘密保密；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22.3.4参与评标报告的起草；</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22.3.5配合财政部门的投诉处理工作；</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22.3.6配合招标采购单位答复投标供应商提出的质疑。</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23.评标内容的保密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23.2在投标文件的审查、澄清、评价和比较以及授予合同的过程中，投标人对采购代理机构和评标委员会成员施加影响的任何行为，都将取消其中标资格。</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23.3在评标期间，采购代理机构将通过指定联络人与投标人进行联系。</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24.对投标文件初审</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24.1</w:t>
      </w:r>
      <w:r>
        <w:rPr>
          <w:rFonts w:hint="eastAsia" w:ascii="宋体" w:hAnsi="宋体" w:cs="宋体"/>
          <w:szCs w:val="21"/>
          <w:highlight w:val="none"/>
        </w:rPr>
        <w:t xml:space="preserve">评标委员会应当对符合资格的投标人的投标文件进行符合性审查，以确定其是否满足招标文件的实质性要求</w:t>
      </w:r>
      <w:r>
        <w:rPr>
          <w:rFonts w:hint="eastAsia" w:ascii="宋体" w:hAnsi="宋体" w:cs="宋体"/>
          <w:szCs w:val="21"/>
          <w:highlight w:val="none"/>
          <w:lang w:val="zh-CN"/>
        </w:rPr>
        <w:t xml:space="preserve">。</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投标文件有下列情况之一者将被拒绝：</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24.1.1投标人的投标文件未按照本须知规定制作的；</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24.1.2未按本须知规定提交资格文件或资质不合格；</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24.1.3与招标文件有重大偏离；</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24.1.4投标人拒绝修正错误；</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24.1.5投标人的报价是选择性的；</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24.1.6投标人的报价只投了部分内容；</w:t>
      </w:r>
      <w:r>
        <w:rPr>
          <w:highlight w:val="none"/>
        </w:rP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szCs w:val="21"/>
          <w:highlight w:val="none"/>
          <w:lang w:val="zh-CN"/>
        </w:rPr>
        <w:t xml:space="preserve">24.1.7</w:t>
      </w:r>
      <w:r>
        <w:rPr>
          <w:rFonts w:hint="eastAsia" w:ascii="宋体" w:hAnsi="宋体" w:cs="宋体"/>
          <w:b/>
          <w:bCs/>
          <w:highlight w:val="none"/>
        </w:rPr>
        <w:t xml:space="preserve">其他被评委会认定无效的情况。</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24.2根据政府采购法及相关法规的规定，将对供应商进行信用查询，凡经确认不符合政府采购相关法律法规规定的，将拒绝其参与政府采购活动。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24.2.1查询时间：投标文件递交截止时间后。</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24.2.2查询渠道：</w:t>
      </w:r>
      <w:r>
        <w:rPr>
          <w:rFonts w:hint="eastAsia" w:ascii="宋体" w:hAnsi="宋体" w:cs="宋体"/>
          <w:szCs w:val="21"/>
          <w:highlight w:val="none"/>
        </w:rPr>
        <w:t xml:space="preserve">采购代理机构会在接收投标文件截止时间后，登录</w:t>
      </w:r>
      <w:r>
        <w:rPr>
          <w:rFonts w:ascii="宋体" w:hAnsi="宋体" w:cs="宋体"/>
          <w:szCs w:val="21"/>
          <w:highlight w:val="none"/>
        </w:rPr>
        <w:t xml:space="preserve">信用中国</w:t>
      </w:r>
      <w:r>
        <w:rPr>
          <w:rFonts w:hint="eastAsia" w:ascii="宋体" w:hAnsi="宋体" w:cs="宋体"/>
          <w:szCs w:val="21"/>
          <w:highlight w:val="none"/>
        </w:rPr>
        <w:t xml:space="preserve">网站</w:t>
      </w:r>
      <w:r>
        <w:rPr>
          <w:rFonts w:ascii="宋体" w:hAnsi="宋体" w:cs="宋体"/>
          <w:szCs w:val="21"/>
          <w:highlight w:val="none"/>
        </w:rPr>
        <w:t xml:space="preserve">（www.creditchina.gov.cn）查询供应商的信用记录，并将查询结果递交</w:t>
      </w:r>
      <w:r>
        <w:rPr>
          <w:rFonts w:hint="eastAsia" w:ascii="宋体" w:hAnsi="宋体" w:cs="宋体"/>
          <w:szCs w:val="21"/>
          <w:highlight w:val="none"/>
        </w:rPr>
        <w:t xml:space="preserve">评标委员会。</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24.2.3查询证据留存方式：</w:t>
      </w:r>
      <w:r>
        <w:rPr>
          <w:rFonts w:hint="eastAsia" w:ascii="宋体" w:hAnsi="宋体" w:cs="宋体"/>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highlight w:val="none"/>
        </w:rPr>
        <w:t xml:space="preserve">录</w:t>
      </w:r>
      <w:r>
        <w:rPr>
          <w:rFonts w:hint="eastAsia" w:ascii="宋体" w:hAnsi="宋体" w:cs="宋体"/>
          <w:szCs w:val="21"/>
          <w:highlight w:val="none"/>
        </w:rPr>
        <w:t xml:space="preserve">到来源网站页面进行复核并打印，作为证据留存。</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w:t>
      </w:r>
      <w:r>
        <w:rPr>
          <w:rFonts w:hint="eastAsia" w:ascii="宋体" w:hAnsi="宋体" w:cs="宋体"/>
          <w:szCs w:val="21"/>
          <w:highlight w:val="none"/>
        </w:rPr>
        <w:t xml:space="preserve">5</w:t>
      </w:r>
      <w:r>
        <w:rPr>
          <w:rFonts w:hint="eastAsia" w:ascii="宋体" w:hAnsi="宋体" w:cs="宋体"/>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（一）政府采购严重违法记录，即供应商被全国各级财政部门列入“政府采购严重违法失信行为记录名单”，且在处罚有效期内的。</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（二）财政部门与法院、工商、税务等部门联合惩戒的失信信息，包括：</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（1）被列入失信被执行人名单；</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（2）被列入重大税收违法案件当事人名单；</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（3）企业经营异常名录中被责令停产停业、暂扣或者吊销许可证或者执照，或者对经营活动中的</w:t>
      </w:r>
      <w:r>
        <w:rPr>
          <w:rFonts w:hint="eastAsia" w:ascii="宋体" w:hAnsi="宋体" w:cs="宋体"/>
          <w:szCs w:val="21"/>
          <w:highlight w:val="none"/>
        </w:rPr>
        <w:t xml:space="preserve">违法行为处以</w:t>
      </w:r>
      <w:r>
        <w:rPr>
          <w:rFonts w:hint="eastAsia" w:ascii="宋体" w:hAnsi="宋体" w:cs="宋体"/>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24.4采购代理机构将允许修改投标中不构成重大偏离的微小的、非正规、不一致或不规则的地方，但这些修改不能影响任何投标人的名次相应排列。投标人不得对招标文件进行实质性修改，否则投标文件将被拒绝。</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24.5评委会将对确定为实质上响应的投标进行审核，看其是否有计算上或累加上的算术错误，修正错误的原则如下：</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24.5.1投标文件中开标一览表（报价表）内容与投标文件中相应内容不一致的，以开标一览表（报价表）为准；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24.5.2大写金额和小写金额不一致的，以大写金额为准；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24.5.3单价金额小数点或者百分比有明显错位的，以开标一览表的总价为准，并修改单价；</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24.5.4总价金额与按单价汇总金额不一致的，以单价金额计算结果为准。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24.6采购代理机构对投标文件的判定，只依据投标内容本身，不依靠开标后的任何外来证明。</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24.7采购代理机构将拒绝被确定为非实质性响应的投标，投标人不能通过修正或撤销不符之处而使其投标成为实质性响应的投标。</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25.投标的澄清</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p>
    <w:p>
      <w:pPr>
        <w:pStyle w:val="920"/>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.2投标人的澄清、说明或者补正应当采用书面形式，并加盖</w:t>
      </w:r>
      <w:r>
        <w:rPr>
          <w:rFonts w:hint="eastAsia" w:ascii="宋体" w:hAnsi="宋体" w:cs="宋体"/>
          <w:szCs w:val="21"/>
          <w:highlight w:val="none"/>
          <w:lang w:val="en-US"/>
        </w:rPr>
        <w:t xml:space="preserve">其单位电子</w:t>
      </w:r>
      <w:r>
        <w:rPr>
          <w:rFonts w:hint="eastAsia" w:ascii="宋体" w:hAnsi="宋体" w:cs="宋体"/>
          <w:szCs w:val="21"/>
          <w:highlight w:val="none"/>
        </w:rPr>
        <w:t xml:space="preserve">公章。投标人的澄清、说明或者补正不得超出投标文件的范围或者改变投标文件的实质性内容。</w:t>
      </w:r>
      <w:r>
        <w:rPr>
          <w:highlight w:val="none"/>
        </w:rP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b/>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w:t>
      </w:r>
      <w:r>
        <w:rPr>
          <w:rFonts w:hint="eastAsia" w:ascii="宋体" w:hAnsi="宋体" w:cs="宋体"/>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szCs w:val="21"/>
          <w:highlight w:val="none"/>
          <w:lang w:val="zh-CN"/>
        </w:rPr>
        <w:t xml:space="preserve">。</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bCs/>
          <w:szCs w:val="21"/>
          <w:highlight w:val="none"/>
          <w:lang w:val="zh-CN"/>
        </w:rPr>
        <w:t xml:space="preserve">26．</w:t>
      </w:r>
      <w:r>
        <w:rPr>
          <w:rFonts w:hint="eastAsia" w:ascii="宋体" w:hAnsi="宋体" w:cs="宋体"/>
          <w:b/>
          <w:highlight w:val="none"/>
        </w:rPr>
        <w:t xml:space="preserve">无效投标的具体情形有：</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26.1未按照招标文件的规定提交《投标（响应）保证承诺书》；</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26.2投标文件未按招标文件要求签署、盖章的；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26.3不具备招标文件中规定的资格要求的；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26.4报价超过招标文件中规定的预算金额或者最高限价的；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26.5投标文件含有采购单位不能接受的附加条件的；</w:t>
      </w:r>
      <w:r>
        <w:rPr>
          <w:highlight w:val="none"/>
        </w:rP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szCs w:val="21"/>
          <w:highlight w:val="none"/>
          <w:lang w:val="zh-CN"/>
        </w:rPr>
        <w:t xml:space="preserve">26.6</w:t>
      </w:r>
      <w:r>
        <w:rPr>
          <w:rFonts w:hint="eastAsia" w:ascii="宋体" w:hAnsi="宋体" w:cs="宋体"/>
          <w:b/>
          <w:bCs/>
          <w:highlight w:val="none"/>
        </w:rPr>
        <w:t xml:space="preserve">不同投标（响应）文件制作机器码一致的；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highlight w:val="none"/>
        </w:rPr>
        <w:t xml:space="preserve">26.7</w:t>
      </w:r>
      <w:r>
        <w:rPr>
          <w:rFonts w:hint="eastAsia" w:ascii="宋体" w:hAnsi="宋体" w:cs="宋体"/>
          <w:b/>
          <w:bCs/>
          <w:szCs w:val="21"/>
          <w:highlight w:val="none"/>
          <w:lang w:val="zh-CN"/>
        </w:rPr>
        <w:t xml:space="preserve">法律、法规和招标文件规定的其他无效情形。</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27.废标的具体情形有： </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27.1符合专业条件的供应商或者对招标文件作实质响应的供应商不足三家的；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27.2出现影响采购公正的违法、违规行为的；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27.3投标人的报价均超过了采购预算或最高限价，采购单位不能支付的； </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27.4因重大变故，采购任务取消的。</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28.投标文件的评价和比较</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28.1评标委员会将仅对按照本须知有关规定确定为实质上响应招标文件要求的投标文件进行评价和比较。</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3</w:t>
      </w:r>
      <w:r>
        <w:rPr>
          <w:rFonts w:hint="eastAsia" w:ascii="宋体" w:hAnsi="宋体" w:cs="宋体"/>
          <w:szCs w:val="21"/>
          <w:highlight w:val="none"/>
          <w:lang w:val="zh-CN"/>
        </w:rPr>
        <w:t xml:space="preserve">最低的投标报价是中标的重要条件但不是唯一条件。</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评标原则及方法</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.1公正、公平、公开、科学、择优。</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.2对所有投标文件的评审，均采用相同的程序和标准。</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.2.1评审方案的可行性、先进性、实用性以及风险等（含同类项目业绩，人员资质，实施本项目的资金能力、技术能力、履约能力和用户信誉等方面的从业表现等）。</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.2.2评审技术服务的承诺文件是否满足采购单位的要求。</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.2.3评委会根据评分标准（除报价）进行独立打分，</w:t>
      </w:r>
      <w:r>
        <w:rPr>
          <w:rFonts w:hint="eastAsia" w:ascii="宋体" w:hAnsi="宋体" w:cs="宋体"/>
          <w:szCs w:val="21"/>
          <w:highlight w:val="none"/>
          <w:lang w:eastAsia="zh-CN"/>
        </w:rPr>
        <w:t xml:space="preserve">采购代理机构</w:t>
      </w:r>
      <w:r>
        <w:rPr>
          <w:rFonts w:hint="eastAsia" w:ascii="宋体" w:hAnsi="宋体" w:cs="宋体"/>
          <w:szCs w:val="21"/>
          <w:highlight w:val="none"/>
          <w:lang w:val="zh-CN"/>
        </w:rPr>
        <w:t xml:space="preserve">进行汇总并按算术平均方法计算出各投标单位的得分，报价得分根据评分标准直接计算取得，评委得分与报价得分之和最高者为中标单位。</w:t>
      </w:r>
      <w:r>
        <w:rPr>
          <w:highlight w:val="none"/>
        </w:rP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七、授予合同</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29.中标单位的确认</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highlight w:val="none"/>
        </w:rPr>
        <w:t xml:space="preserve">采购人书面授权</w:t>
      </w:r>
      <w:r>
        <w:rPr>
          <w:rFonts w:hint="eastAsia" w:ascii="宋体" w:hAnsi="宋体" w:cs="宋体"/>
          <w:szCs w:val="21"/>
          <w:highlight w:val="none"/>
          <w:lang w:val="zh-CN"/>
        </w:rPr>
        <w:t xml:space="preserve">向采购代理机构推荐中标单位。</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29.2经评标委员会评审并确定中标单位后，采购代理机构将在规定的时间内将中标结果在政府采购管理部门指定媒体上予以公示。</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w:t>
      </w:r>
      <w:r>
        <w:rPr>
          <w:highlight w:val="none"/>
        </w:rP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30.质疑处理</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0.2本次招标文件要求供应商在法定质疑期内一次性提出针对同一采购程序环节的质疑，否则不予受理。</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0.3供应商提出质疑应当提交质疑函和必要的证明材料，质疑函应当包括下列内容：</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（1）供应商的姓名或者名称（以提供的营业执照副本复印件为准）、地址、邮编、联系人及联系电话；</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（2）质疑项目的名称、编号；</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（3）具体、明确的质疑事项和与质疑事项相关的请求；</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（4）事实依据；</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（5）必要的法律依据；</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（6）提出质疑的日期。</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highlight w:val="none"/>
          <w:lang w:val="zh-CN"/>
        </w:rPr>
        <w:t xml:space="preserve">授权委托书</w:t>
      </w:r>
      <w:r>
        <w:rPr>
          <w:rFonts w:hint="eastAsia" w:ascii="宋体" w:hAnsi="宋体" w:eastAsia="宋体" w:cs="宋体"/>
          <w:sz w:val="21"/>
          <w:szCs w:val="21"/>
          <w:highlight w:val="none"/>
          <w:lang w:val="zh-CN"/>
        </w:rPr>
        <w:t xml:space="preserve">上应当载明代理人的姓名或者名称、代理事项、具体权限、期限和相关事项。</w:t>
      </w:r>
      <w:r>
        <w:rPr>
          <w:highlight w:val="none"/>
        </w:rPr>
      </w:r>
    </w:p>
    <w:p>
      <w:pPr>
        <w:pStyle w:val="726"/>
        <w:ind w:firstLine="422"/>
        <w:jc w:val="left"/>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b/>
          <w:bCs/>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lang w:val="zh-CN"/>
        </w:rPr>
        <w:t xml:space="preserve">。</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highlight w:val="none"/>
          <w:lang w:val="zh-CN"/>
        </w:rPr>
        <w:t xml:space="preserve">《投标供应商确认函》</w:t>
      </w:r>
      <w:r>
        <w:rPr>
          <w:rFonts w:hint="eastAsia" w:ascii="宋体" w:hAnsi="宋体" w:eastAsia="宋体" w:cs="宋体"/>
          <w:sz w:val="21"/>
          <w:szCs w:val="21"/>
          <w:highlight w:val="none"/>
          <w:lang w:val="zh-CN"/>
        </w:rPr>
        <w:t xml:space="preserve">）与质疑函一起递交，否则不予受理。</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0.5接收质疑函的方式：书面形式（当场送达或邮寄方式）。</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采购代理机构：苏州恒缘祥咨询管理有限公司</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质疑联系人：杨艳丽</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邮编：215</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00</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联系电话：0512-63245689</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现场递交地址：苏州市吴江区花园路通鼎国际大厦627室</w:t>
      </w:r>
      <w:r>
        <w:rPr>
          <w:highlight w:val="none"/>
        </w:rPr>
      </w:r>
    </w:p>
    <w:p>
      <w:pPr>
        <w:pStyle w:val="72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邮寄收取地址：苏州市吴江区花园路通鼎国际大厦627室</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31.合同授予标准</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31.1</w:t>
      </w:r>
      <w:r>
        <w:rPr>
          <w:rFonts w:hint="eastAsia" w:ascii="宋体" w:hAnsi="宋体" w:cs="宋体"/>
          <w:highlight w:val="none"/>
          <w:lang w:eastAsia="zh-CN"/>
        </w:rPr>
        <w:t xml:space="preserve">采购代理机构</w:t>
      </w:r>
      <w:r>
        <w:rPr>
          <w:rFonts w:hint="eastAsia" w:ascii="宋体" w:hAnsi="宋体" w:cs="宋体"/>
          <w:highlight w:val="none"/>
        </w:rPr>
        <w:t xml:space="preserve">将把合同授予其投标文件在实质上响应招标文件要求和按本须知规定评选出的投标单位。确定为中标的投标单位必须具有实施本合同的能力和资源。</w:t>
      </w:r>
      <w:r>
        <w:rPr>
          <w:highlight w:val="none"/>
        </w:rP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32.中标通知书</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32.1</w:t>
      </w:r>
      <w:r>
        <w:rPr>
          <w:rFonts w:hint="eastAsia" w:ascii="宋体" w:hAnsi="宋体" w:cs="宋体"/>
          <w:szCs w:val="21"/>
          <w:highlight w:val="none"/>
        </w:rPr>
        <w:t xml:space="preserve">确定出中标人后，采购代理机构在法定时间内向中标人发出中标通知书。</w:t>
      </w:r>
      <w:r>
        <w:rPr>
          <w:rFonts w:hint="eastAsia" w:ascii="宋体" w:hAnsi="宋体" w:cs="宋体"/>
          <w:b/>
          <w:szCs w:val="21"/>
          <w:highlight w:val="none"/>
        </w:rPr>
        <w:t xml:space="preserve">请中标人在中标结果公告届满之日起30日内,使用CA证书登录“苏采云”系统及时下载中标通知书。</w:t>
      </w:r>
      <w:r>
        <w:rPr>
          <w:rFonts w:hint="eastAsia" w:ascii="宋体" w:hAnsi="宋体" w:cs="宋体"/>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highlight w:val="none"/>
        </w:rPr>
        <w:t xml:space="preserve">。</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32.2中标通知书将成为合同的组成部分，</w:t>
      </w:r>
      <w:r>
        <w:rPr>
          <w:rFonts w:hint="eastAsia" w:ascii="宋体" w:hAnsi="宋体" w:cs="宋体"/>
          <w:szCs w:val="21"/>
          <w:highlight w:val="none"/>
        </w:rPr>
        <w:t xml:space="preserve">对采购人和中标人具有同等法律效力</w:t>
      </w:r>
      <w:r>
        <w:rPr>
          <w:rFonts w:hint="eastAsia" w:ascii="宋体" w:hAnsi="宋体" w:cs="宋体"/>
          <w:highlight w:val="none"/>
        </w:rPr>
        <w:t xml:space="preserve">。</w:t>
      </w:r>
      <w:r>
        <w:rPr>
          <w:highlight w:val="none"/>
        </w:rPr>
      </w:r>
    </w:p>
    <w:p>
      <w:pPr>
        <w:ind w:firstLine="420"/>
        <w:keepLines w:val="0"/>
        <w:keepNext w:val="0"/>
        <w:pageBreakBefore w:val="0"/>
        <w:spacing w:line="360" w:lineRule="auto"/>
        <w:widowControl w:val="off"/>
        <w:tabs>
          <w:tab w:val="left" w:pos="142" w:leader="none"/>
          <w:tab w:val="left" w:pos="600" w:leader="none"/>
        </w:tabs>
        <w:rPr>
          <w:rFonts w:ascii="宋体" w:hAnsi="宋体" w:cs="宋体"/>
          <w:highlight w:val="none"/>
        </w:rPr>
      </w:pPr>
      <w:r>
        <w:rPr>
          <w:rFonts w:hint="eastAsia" w:ascii="宋体" w:hAnsi="宋体" w:cs="宋体"/>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32.4</w:t>
      </w:r>
      <w:r>
        <w:rPr>
          <w:rFonts w:hint="eastAsia" w:ascii="宋体" w:hAnsi="宋体" w:cs="宋体"/>
          <w:szCs w:val="21"/>
          <w:highlight w:val="none"/>
        </w:rPr>
        <w:t xml:space="preserve">中标通知书发出后，采购人不得违法改变中标结果，中标人无正当理由不得放弃中标</w:t>
      </w:r>
      <w:r>
        <w:rPr>
          <w:rFonts w:hint="eastAsia" w:ascii="宋体" w:hAnsi="宋体" w:cs="宋体"/>
          <w:highlight w:val="none"/>
        </w:rPr>
        <w:t xml:space="preserve">。</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33.合同的签订</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33.1中标单位应按中标通知书中规定的时间和地点，由法定代表人或委托代理人与甲方代表签订合同,否则按放弃中标权处理。</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33.2签订合同及合同条款应以招标文件和中标单位的投标文件及其澄清文件为依据。</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33.3中标单位无正当理由拒签合同的，或在签订合同时向采购单位提出附加条件或者更改合同实质性内容的，报请政府采购监管部门对该投标单位进行相应的行政处罚。</w:t>
      </w:r>
      <w:r>
        <w:rPr>
          <w:highlight w:val="none"/>
        </w:rPr>
      </w:r>
    </w:p>
    <w:p>
      <w:pPr>
        <w:spacing w:line="360" w:lineRule="auto"/>
        <w:rPr>
          <w:rFonts w:ascii="宋体" w:hAnsi="宋体" w:cs="宋体"/>
          <w:b/>
          <w:highlight w:val="none"/>
        </w:rPr>
      </w:pPr>
      <w:r>
        <w:rPr>
          <w:rFonts w:hint="eastAsia" w:ascii="宋体" w:hAnsi="宋体" w:cs="宋体"/>
          <w:b/>
          <w:highlight w:val="none"/>
        </w:rPr>
        <w:t xml:space="preserve">八、其他事项</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34.履约保证金：无。</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35.中标服务费</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35.1由</w:t>
      </w:r>
      <w:r>
        <w:rPr>
          <w:rFonts w:hint="eastAsia" w:ascii="宋体" w:hAnsi="宋体" w:cs="宋体"/>
          <w:highlight w:val="none"/>
          <w:lang w:val="en-US" w:eastAsia="zh-CN"/>
        </w:rPr>
        <w:t xml:space="preserve">中标单位</w:t>
      </w:r>
      <w:r>
        <w:rPr>
          <w:rFonts w:hint="eastAsia" w:ascii="宋体" w:hAnsi="宋体" w:cs="宋体"/>
          <w:highlight w:val="none"/>
        </w:rPr>
        <w:t xml:space="preserve">支付。</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36.监督</w:t>
      </w:r>
      <w:r>
        <w:rPr>
          <w:highlight w:val="none"/>
        </w:rP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36.1政府有关监督部门将对招投标全过程进行监督。</w:t>
      </w:r>
      <w:r>
        <w:rPr>
          <w:highlight w:val="none"/>
        </w:rP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37.未尽事宜</w:t>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按《中华人民共和国政府采购法》及其他有关政府采购的法律法规的规定执行。</w:t>
      </w:r>
      <w:r>
        <w:rPr>
          <w:highlight w:val="none"/>
        </w:rPr>
      </w:r>
    </w:p>
    <w:p>
      <w:pPr>
        <w:pStyle w:val="746"/>
        <w:ind w:firstLine="640"/>
        <w:jc w:val="center"/>
        <w:pageBreakBefore/>
        <w:spacing w:line="360" w:lineRule="auto"/>
        <w:tabs>
          <w:tab w:val="right" w:pos="8302" w:leader="dot"/>
        </w:tabs>
        <w:rPr>
          <w:rStyle w:val="760"/>
          <w:rFonts w:ascii="宋体" w:hAnsi="宋体" w:cs="宋体"/>
          <w:sz w:val="32"/>
          <w:szCs w:val="32"/>
          <w:highlight w:val="none"/>
        </w:rPr>
        <w:outlineLvl w:val="0"/>
      </w:pPr>
      <w:r>
        <w:rPr>
          <w:rStyle w:val="760"/>
          <w:rFonts w:hint="eastAsia" w:ascii="宋体" w:hAnsi="宋体" w:cs="宋体"/>
          <w:sz w:val="32"/>
          <w:szCs w:val="32"/>
          <w:highlight w:val="none"/>
        </w:rPr>
        <w:t xml:space="preserve">第三章 </w:t>
      </w:r>
      <w:r>
        <w:rPr>
          <w:rStyle w:val="760"/>
          <w:rFonts w:hint="eastAsia" w:ascii="宋体" w:hAnsi="宋体" w:eastAsia="宋体" w:cs="宋体"/>
          <w:sz w:val="32"/>
          <w:szCs w:val="32"/>
          <w:highlight w:val="none"/>
          <w:lang w:val="en-US" w:eastAsia="zh-CN"/>
        </w:rPr>
        <w:t xml:space="preserve"> </w:t>
      </w:r>
      <w:r>
        <w:rPr>
          <w:rStyle w:val="760"/>
          <w:rFonts w:hint="eastAsia" w:ascii="宋体" w:hAnsi="宋体" w:cs="宋体"/>
          <w:sz w:val="32"/>
          <w:szCs w:val="32"/>
          <w:highlight w:val="none"/>
        </w:rPr>
        <w:t xml:space="preserve">投标文件格式</w:t>
      </w:r>
      <w:r>
        <w:rPr>
          <w:highlight w:val="none"/>
        </w:rPr>
      </w:r>
    </w:p>
    <w:p>
      <w:pPr>
        <w:ind w:left="0" w:firstLine="0"/>
        <w:keepLines w:val="0"/>
        <w:keepNext w:val="0"/>
        <w:pageBreakBefore w:val="0"/>
        <w:spacing w:line="360" w:lineRule="auto"/>
        <w:widowControl w:val="off"/>
        <w:rPr>
          <w:rFonts w:ascii="宋体" w:hAnsi="宋体" w:cs="宋体"/>
          <w:b/>
          <w:bCs/>
          <w:szCs w:val="21"/>
          <w:highlight w:val="none"/>
        </w:rPr>
        <w:outlineLvl w:val="9"/>
      </w:pPr>
      <w:r>
        <w:rPr>
          <w:rFonts w:hint="eastAsia" w:ascii="宋体" w:hAnsi="宋体" w:cs="宋体"/>
          <w:b/>
          <w:bCs/>
          <w:szCs w:val="21"/>
          <w:highlight w:val="none"/>
          <w:lang w:val="zh-CN"/>
        </w:rPr>
        <w:t xml:space="preserve">说明：对本章所有的投标书格式 ，投标方可根据自身情况进行补充和修改，但补充和修改不得造成与本格式内容有实质性的违背。</w:t>
      </w:r>
      <w:r>
        <w:rPr>
          <w:highlight w:val="none"/>
        </w:rPr>
      </w:r>
    </w:p>
    <w:p>
      <w:pPr>
        <w:ind w:left="0" w:firstLine="0"/>
        <w:keepLines w:val="0"/>
        <w:keepNext w:val="0"/>
        <w:pageBreakBefore w:val="0"/>
        <w:spacing w:before="0" w:after="0" w:line="360" w:lineRule="auto"/>
        <w:widowControl w:val="off"/>
        <w:rPr>
          <w:rFonts w:ascii="宋体" w:hAnsi="宋体" w:cs="宋体"/>
          <w:highlight w:val="none"/>
        </w:rPr>
        <w:outlineLvl w:val="9"/>
      </w:pPr>
      <w:r>
        <w:rPr>
          <w:rFonts w:ascii="宋体" w:hAnsi="宋体" w:cs="宋体"/>
          <w:highlight w:val="none"/>
          <w:lang w:val="zh-CN"/>
        </w:rPr>
      </w:r>
      <w:r>
        <w:rPr>
          <w:highlight w:val="none"/>
        </w:rPr>
      </w:r>
    </w:p>
    <w:p>
      <w:pPr>
        <w:ind w:left="0" w:firstLine="0"/>
        <w:jc w:val="left"/>
        <w:keepLines w:val="0"/>
        <w:keepNext w:val="0"/>
        <w:pageBreakBefore w:val="0"/>
        <w:spacing w:line="360" w:lineRule="auto"/>
        <w:widowControl w:val="off"/>
        <w:rPr>
          <w:rFonts w:ascii="宋体" w:hAnsi="宋体" w:cs="宋体"/>
          <w:b/>
          <w:bCs/>
          <w:szCs w:val="21"/>
          <w:highlight w:val="none"/>
        </w:rPr>
        <w:outlineLvl w:val="1"/>
      </w:pPr>
      <w:r>
        <w:rPr>
          <w:rFonts w:hint="eastAsia" w:ascii="宋体" w:hAnsi="宋体" w:cs="宋体"/>
          <w:b/>
          <w:bCs/>
          <w:szCs w:val="21"/>
          <w:highlight w:val="none"/>
          <w:lang w:val="zh-CN"/>
        </w:rPr>
        <w:t xml:space="preserve">附件1、（投标方）法人授权委托书</w:t>
      </w:r>
      <w:r>
        <w:rPr>
          <w:highlight w:val="none"/>
        </w:rPr>
      </w:r>
    </w:p>
    <w:p>
      <w:pPr>
        <w:spacing w:line="360" w:lineRule="auto"/>
        <w:rPr>
          <w:rFonts w:ascii="宋体" w:hAnsi="宋体" w:cs="宋体"/>
          <w:highlight w:val="none"/>
        </w:rPr>
      </w:pPr>
      <w:r>
        <w:rPr>
          <w:rFonts w:ascii="宋体" w:hAnsi="宋体" w:cs="宋体"/>
          <w:highlight w:val="none"/>
        </w:rPr>
      </w:r>
      <w:r>
        <w:rPr>
          <w:highlight w:val="none"/>
        </w:rPr>
      </w:r>
    </w:p>
    <w:p>
      <w:pPr>
        <w:ind w:firstLine="562"/>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法</w:t>
      </w:r>
      <w:r>
        <w:rPr>
          <w:rFonts w:hint="eastAsia" w:ascii="宋体" w:hAnsi="宋体" w:cs="宋体"/>
          <w:sz w:val="28"/>
          <w:szCs w:val="28"/>
          <w:highlight w:val="none"/>
          <w:lang w:val="zh-CN"/>
        </w:rPr>
        <w:t xml:space="preserve">人授权委托书</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本授权书声明： </w:t>
      </w:r>
      <w:r>
        <w:rPr>
          <w:rFonts w:hint="eastAsia" w:ascii="宋体" w:hAnsi="宋体"/>
          <w:szCs w:val="21"/>
          <w:highlight w:val="none"/>
          <w:u w:val="single"/>
        </w:rPr>
        <w:t xml:space="preserve">（供应商名称） </w:t>
      </w:r>
      <w:r>
        <w:rPr>
          <w:rFonts w:hint="eastAsia" w:ascii="宋体" w:hAnsi="宋体"/>
          <w:szCs w:val="21"/>
          <w:highlight w:val="none"/>
        </w:rPr>
        <w:t xml:space="preserve">授权 </w:t>
      </w:r>
      <w:r>
        <w:rPr>
          <w:rFonts w:hint="eastAsia" w:ascii="宋体" w:hAnsi="宋体"/>
          <w:szCs w:val="21"/>
          <w:highlight w:val="none"/>
          <w:u w:val="single"/>
        </w:rPr>
        <w:t xml:space="preserve">（被授权人的姓名）_</w:t>
      </w:r>
      <w:r>
        <w:rPr>
          <w:rFonts w:hint="eastAsia" w:ascii="宋体" w:hAnsi="宋体"/>
          <w:szCs w:val="21"/>
          <w:highlight w:val="none"/>
        </w:rPr>
        <w:t xml:space="preserve">为我方授权代表（即代理人），参加</w:t>
      </w:r>
      <w:r>
        <w:rPr>
          <w:rFonts w:hint="eastAsia" w:ascii="宋体" w:hAnsi="宋体"/>
          <w:szCs w:val="21"/>
          <w:highlight w:val="none"/>
          <w:u w:val="single"/>
          <w:lang w:eastAsia="zh-CN"/>
        </w:rPr>
        <w:t xml:space="preserve">苏州恒缘祥咨询管理有限公司</w:t>
      </w:r>
      <w:r>
        <w:rPr>
          <w:rFonts w:hint="eastAsia" w:ascii="宋体" w:hAnsi="宋体"/>
          <w:szCs w:val="21"/>
          <w:highlight w:val="none"/>
        </w:rPr>
        <w:t xml:space="preserve">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项目编号</w:t>
      </w:r>
      <w:r>
        <w:rPr>
          <w:rFonts w:hint="eastAsia" w:ascii="宋体" w:hAnsi="宋体"/>
          <w:szCs w:val="21"/>
          <w:highlight w:val="none"/>
          <w:u w:val="single"/>
        </w:rPr>
        <w:t xml:space="preserve">）  </w:t>
      </w:r>
      <w:r>
        <w:rPr>
          <w:rFonts w:hint="eastAsia" w:ascii="宋体" w:hAnsi="宋体"/>
          <w:szCs w:val="21"/>
          <w:highlight w:val="none"/>
        </w:rPr>
        <w:t xml:space="preserve">的公开招标项目。代理人在本次招标活动过程、合同签订及处理有关事宜所作出的全部意思表示（包括签署的全部文件），我司均予以承认并由我司承担相应法律后果。</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代理人无转委托权。</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被授权人身份证号码：     </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r>
      <w:r>
        <w:rPr>
          <w:highlight w:val="none"/>
        </w:rPr>
      </w:r>
    </w:p>
    <w:p>
      <w:pPr>
        <w:ind w:right="0" w:firstLine="420"/>
        <w:keepLines w:val="0"/>
        <w:keepNext w:val="0"/>
        <w:pageBreakBefore w:val="0"/>
        <w:spacing w:line="360" w:lineRule="auto"/>
        <w:widowControl w:val="off"/>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：（签章）                                    </w:t>
      </w:r>
      <w:r>
        <w:rPr>
          <w:highlight w:val="none"/>
        </w:rPr>
      </w:r>
    </w:p>
    <w:p>
      <w:pPr>
        <w:ind w:right="0"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日期：　　　　年　　  月　　  日</w:t>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ascii="宋体" w:hAnsi="宋体" w:eastAsia="宋体" w:cs="宋体"/>
          <w:sz w:val="21"/>
          <w:highlight w:val="none"/>
        </w:rPr>
      </w:r>
      <w:r>
        <w:rPr>
          <w:highlight w:val="none"/>
        </w:rPr>
      </w:r>
    </w:p>
    <w:p>
      <w:pPr>
        <w:pStyle w:val="726"/>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附：法人代表、授权代表的身份证正反面复印件</w:t>
      </w:r>
      <w:r>
        <w:rPr>
          <w:highlight w:val="none"/>
        </w:rPr>
      </w:r>
    </w:p>
    <w:tbl>
      <w:tblPr>
        <w:tblStyle w:val="7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55"/>
              <w:ind w:firstLine="422"/>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rPr>
                <w:highlight w:val="none"/>
              </w:rPr>
            </w:r>
          </w:p>
          <w:p>
            <w:pPr>
              <w:pStyle w:val="755"/>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要求：真实、有效、清晰</w:t>
            </w:r>
            <w:r>
              <w:rPr>
                <w:highlight w:val="none"/>
              </w:rPr>
            </w:r>
          </w:p>
          <w:p>
            <w:pPr>
              <w:pStyle w:val="755"/>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rPr>
                <w:highlight w:val="none"/>
              </w:rPr>
            </w:r>
          </w:p>
        </w:tc>
      </w:tr>
    </w:tbl>
    <w:p>
      <w:pPr>
        <w:pStyle w:val="726"/>
        <w:spacing w:line="360" w:lineRule="auto"/>
        <w:rPr>
          <w:rFonts w:ascii="宋体" w:hAnsi="宋体" w:eastAsia="宋体" w:cs="宋体"/>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highlight w:val="none"/>
        </w:rPr>
      </w:r>
      <w:r>
        <w:rPr>
          <w:highlight w:val="none"/>
        </w:rPr>
      </w:r>
    </w:p>
    <w:p>
      <w:pPr>
        <w:spacing w:line="360" w:lineRule="auto"/>
        <w:rPr>
          <w:rFonts w:ascii="宋体" w:hAnsi="宋体" w:cs="宋体"/>
          <w:szCs w:val="21"/>
          <w:highlight w:val="none"/>
        </w:rPr>
        <w:outlineLvl w:val="1"/>
      </w:pPr>
      <w:r>
        <w:rPr>
          <w:rFonts w:hint="eastAsia" w:ascii="宋体" w:hAnsi="宋体" w:cs="宋体"/>
          <w:b/>
          <w:bCs/>
          <w:szCs w:val="21"/>
          <w:highlight w:val="none"/>
        </w:rPr>
        <w:t xml:space="preserve">附件2、投标函</w:t>
      </w:r>
      <w:r>
        <w:rPr>
          <w:highlight w:val="none"/>
        </w:rPr>
      </w:r>
    </w:p>
    <w:p>
      <w:pPr>
        <w:jc w:val="center"/>
        <w:spacing w:line="360" w:lineRule="auto"/>
        <w:rPr>
          <w:rFonts w:ascii="宋体" w:hAnsi="宋体" w:cs="宋体"/>
          <w:b/>
          <w:bCs/>
          <w:sz w:val="28"/>
          <w:szCs w:val="28"/>
          <w:highlight w:val="none"/>
        </w:rPr>
      </w:pPr>
      <w:r>
        <w:rPr>
          <w:rFonts w:hint="eastAsia" w:ascii="宋体" w:hAnsi="宋体" w:cs="宋体"/>
          <w:b/>
          <w:bCs/>
          <w:szCs w:val="21"/>
          <w:highlight w:val="none"/>
          <w:lang w:val="zh-CN"/>
        </w:rPr>
        <w:t xml:space="preserve">投标函</w:t>
      </w:r>
      <w:r>
        <w:rPr>
          <w:highlight w:val="none"/>
        </w:rPr>
      </w:r>
    </w:p>
    <w:p>
      <w:pPr>
        <w:spacing w:line="360" w:lineRule="auto"/>
        <w:rPr>
          <w:rFonts w:ascii="宋体" w:hAnsi="宋体" w:cs="宋体"/>
          <w:szCs w:val="21"/>
          <w:highlight w:val="none"/>
        </w:rPr>
      </w:pPr>
      <w:r>
        <w:rPr>
          <w:rFonts w:hint="eastAsia" w:ascii="宋体" w:hAnsi="宋体" w:cs="宋体"/>
          <w:szCs w:val="21"/>
          <w:highlight w:val="none"/>
          <w:u w:val="single"/>
          <w:lang w:val="zh-CN"/>
        </w:rPr>
        <w:t xml:space="preserve">苏州恒缘祥咨询管理有限公司</w:t>
      </w:r>
      <w:r>
        <w:rPr>
          <w:rFonts w:hint="eastAsia" w:ascii="宋体" w:hAnsi="宋体" w:cs="宋体"/>
          <w:szCs w:val="21"/>
          <w:highlight w:val="none"/>
          <w:lang w:val="zh-CN"/>
        </w:rPr>
        <w:t xml:space="preserve">：</w:t>
      </w:r>
      <w:r>
        <w:rPr>
          <w:highlight w:val="none"/>
        </w:rPr>
      </w:r>
    </w:p>
    <w:p>
      <w:pPr>
        <w:pStyle w:val="964"/>
        <w:ind w:firstLine="420"/>
        <w:spacing w:line="360" w:lineRule="auto"/>
        <w:rPr>
          <w:rFonts w:hAnsi="宋体" w:eastAsia="宋体" w:cs="宋体"/>
          <w:sz w:val="21"/>
          <w:szCs w:val="21"/>
          <w:highlight w:val="none"/>
        </w:rPr>
      </w:pPr>
      <w:r>
        <w:rPr>
          <w:rFonts w:hint="eastAsia" w:hAnsi="宋体" w:eastAsia="宋体" w:cs="宋体"/>
          <w:sz w:val="21"/>
          <w:szCs w:val="21"/>
          <w:highlight w:val="none"/>
          <w:lang w:val="zh-CN"/>
        </w:rPr>
        <w:t xml:space="preserve">我们收到贵公司【</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lang w:val="zh-CN"/>
        </w:rPr>
        <w:t xml:space="preserve">】号招标文件，经仔细阅读和研究，我们决定参加投标。</w:t>
      </w:r>
      <w:r>
        <w:rPr>
          <w:highlight w:val="none"/>
        </w:rPr>
      </w:r>
    </w:p>
    <w:p>
      <w:pPr>
        <w:pStyle w:val="964"/>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val="zh-CN"/>
        </w:rPr>
        <w:t xml:space="preserve">1</w:t>
      </w:r>
      <w:r>
        <w:rPr>
          <w:rFonts w:hint="eastAsia" w:hAnsi="宋体" w:eastAsia="宋体" w:cs="宋体"/>
          <w:sz w:val="21"/>
          <w:szCs w:val="21"/>
          <w:highlight w:val="none"/>
        </w:rPr>
        <w:t xml:space="preserve">.我们愿意按照招标文件的一切要求，提供本项目货物及服务工作，投标总报价包括所有货物和服务、配件、辅材以及相关的备件、专用工具、运输、装卸、人工、安装、调试、培训、保险、检验检测、专利技术、技术支持、利润、税金、</w:t>
      </w:r>
      <w:r>
        <w:rPr>
          <w:rFonts w:hint="eastAsia" w:hAnsi="宋体" w:eastAsia="宋体" w:cs="宋体"/>
          <w:sz w:val="21"/>
          <w:szCs w:val="21"/>
          <w:highlight w:val="none"/>
          <w:lang w:val="en-US" w:eastAsia="zh-CN"/>
        </w:rPr>
        <w:t xml:space="preserve">代理服务费</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政策性文件规定及合同包含的所有风险、责任等各项应有费用。</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2.如果我们的投标书被接受，我们将严格履行招标文件中规定的每一项要求，按期、按质、按量履行合同的义务</w:t>
      </w:r>
      <w:r>
        <w:rPr>
          <w:rFonts w:hint="eastAsia" w:hAnsi="宋体" w:eastAsia="宋体" w:cs="宋体"/>
          <w:sz w:val="21"/>
          <w:szCs w:val="21"/>
          <w:highlight w:val="none"/>
        </w:rPr>
        <w:t xml:space="preserve">。</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3.我们同意按招标文件中的规定，本投标书的有效期限为开标后</w:t>
      </w:r>
      <w:r>
        <w:rPr>
          <w:rFonts w:hint="eastAsia" w:hAnsi="宋体" w:eastAsia="宋体" w:cs="宋体"/>
          <w:sz w:val="21"/>
          <w:highlight w:val="none"/>
          <w:u w:val="single"/>
        </w:rPr>
        <w:t xml:space="preserve"> </w:t>
      </w:r>
      <w:r>
        <w:rPr>
          <w:rFonts w:hint="eastAsia" w:hAnsi="宋体" w:eastAsia="宋体" w:cs="宋体"/>
          <w:sz w:val="21"/>
          <w:highlight w:val="none"/>
          <w:u w:val="single"/>
          <w:lang w:val="en-US" w:eastAsia="zh-CN"/>
        </w:rPr>
        <w:t xml:space="preserve">9</w:t>
      </w:r>
      <w:r>
        <w:rPr>
          <w:rFonts w:hint="eastAsia" w:hAnsi="宋体" w:eastAsia="宋体" w:cs="宋体"/>
          <w:sz w:val="21"/>
          <w:highlight w:val="none"/>
          <w:u w:val="single"/>
        </w:rPr>
        <w:t xml:space="preserve">0</w:t>
      </w:r>
      <w:r>
        <w:rPr>
          <w:rFonts w:hint="eastAsia" w:hAnsi="宋体" w:eastAsia="宋体" w:cs="宋体"/>
          <w:sz w:val="21"/>
          <w:highlight w:val="none"/>
        </w:rPr>
        <w:t xml:space="preserve">天。</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4.我们愿意提供</w:t>
      </w:r>
      <w:r>
        <w:rPr>
          <w:rFonts w:hint="eastAsia" w:hAnsi="宋体" w:eastAsia="宋体" w:cs="宋体"/>
          <w:sz w:val="21"/>
          <w:highlight w:val="none"/>
          <w:lang w:eastAsia="zh-CN"/>
        </w:rPr>
        <w:t xml:space="preserve">采购代理机构</w:t>
      </w:r>
      <w:r>
        <w:rPr>
          <w:rFonts w:hint="eastAsia" w:hAnsi="宋体" w:eastAsia="宋体" w:cs="宋体"/>
          <w:sz w:val="21"/>
          <w:highlight w:val="none"/>
        </w:rPr>
        <w:t xml:space="preserve">在招标文件中要求的所有资料。</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5.我们愿意遵守招标文件中所列的收费标准。</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6.我们承诺该项投标在开标后的全过程中保持有效，不作任何更改和变动。</w:t>
      </w:r>
      <w:r>
        <w:rPr>
          <w:highlight w:val="none"/>
        </w:rPr>
      </w:r>
    </w:p>
    <w:p>
      <w:pPr>
        <w:pStyle w:val="964"/>
        <w:ind w:firstLine="422"/>
        <w:spacing w:line="360" w:lineRule="auto"/>
        <w:rPr>
          <w:rFonts w:hAnsi="宋体" w:eastAsia="宋体" w:cs="宋体"/>
          <w:sz w:val="21"/>
          <w:szCs w:val="21"/>
          <w:highlight w:val="none"/>
        </w:rPr>
      </w:pPr>
      <w:r>
        <w:rPr>
          <w:rFonts w:hint="eastAsia" w:hAnsi="宋体" w:eastAsia="宋体" w:cs="宋体"/>
          <w:b/>
          <w:bCs/>
          <w:sz w:val="21"/>
          <w:szCs w:val="21"/>
          <w:highlight w:val="none"/>
        </w:rPr>
        <w:t xml:space="preserve">7.我们愿意按照贵公司招标文件的要求提供电子投标文件，并保证全部投标文件内容真实有效，若有虚假，我公司愿意承担与此相关的一切责任；</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szCs w:val="21"/>
          <w:highlight w:val="none"/>
        </w:rPr>
        <w:t xml:space="preserve">8.我们愿意按照《中华人民共和国民法典》履行自己应该承担的全部责任。</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9.综合说明：</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（1）伴随服务及配合措施；</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（2）要求甲方提供的配合；</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（3）对招标文件有不同意见的偏离说明；</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（4）其它说明。</w:t>
      </w:r>
      <w:r>
        <w:rPr>
          <w:highlight w:val="none"/>
        </w:rPr>
      </w:r>
    </w:p>
    <w:p>
      <w:pPr>
        <w:pStyle w:val="964"/>
        <w:ind w:firstLine="422"/>
        <w:spacing w:line="360" w:lineRule="auto"/>
        <w:rPr>
          <w:rFonts w:hAnsi="宋体" w:eastAsia="宋体" w:cs="宋体"/>
          <w:b/>
          <w:sz w:val="21"/>
          <w:highlight w:val="none"/>
        </w:rPr>
      </w:pPr>
      <w:r>
        <w:rPr>
          <w:rFonts w:hint="eastAsia" w:hAnsi="宋体" w:eastAsia="宋体" w:cs="宋体"/>
          <w:b/>
          <w:sz w:val="21"/>
          <w:highlight w:val="none"/>
        </w:rPr>
        <w:t xml:space="preserve">所有有关标书的函电，请按下列地址联系：</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单位：              联系人：</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地址：              邮政编码：</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联系电话：          传真：</w:t>
      </w:r>
      <w:r>
        <w:rPr>
          <w:highlight w:val="none"/>
        </w:rPr>
      </w:r>
    </w:p>
    <w:p>
      <w:pPr>
        <w:pStyle w:val="964"/>
        <w:ind w:firstLine="420"/>
        <w:spacing w:line="360" w:lineRule="auto"/>
        <w:rPr>
          <w:rFonts w:hAnsi="宋体" w:eastAsia="宋体" w:cs="宋体"/>
          <w:sz w:val="21"/>
          <w:highlight w:val="none"/>
        </w:rPr>
      </w:pPr>
      <w:r>
        <w:rPr>
          <w:rFonts w:hint="eastAsia" w:hAnsi="宋体" w:eastAsia="宋体" w:cs="宋体"/>
          <w:sz w:val="21"/>
          <w:highlight w:val="none"/>
        </w:rPr>
        <w:t xml:space="preserve">邮箱地址：</w:t>
      </w:r>
      <w:r>
        <w:rPr>
          <w:highlight w:val="none"/>
        </w:rPr>
      </w:r>
    </w:p>
    <w:p>
      <w:pPr>
        <w:pStyle w:val="964"/>
        <w:ind w:left="0" w:firstLine="3781"/>
        <w:keepLines w:val="0"/>
        <w:keepNext w:val="0"/>
        <w:pageBreakBefore w:val="0"/>
        <w:spacing w:line="360" w:lineRule="auto"/>
        <w:widowControl w:val="off"/>
        <w:rPr>
          <w:rFonts w:hAnsi="宋体" w:eastAsia="宋体" w:cs="宋体"/>
          <w:sz w:val="21"/>
          <w:highlight w:val="none"/>
        </w:rPr>
      </w:pPr>
      <w:r>
        <w:rPr>
          <w:rFonts w:hint="eastAsia" w:hAnsi="宋体" w:eastAsia="宋体" w:cs="宋体"/>
          <w:sz w:val="21"/>
          <w:highlight w:val="none"/>
        </w:rPr>
        <w:t xml:space="preserve">投标单位：（签章）</w:t>
      </w:r>
      <w:r>
        <w:rPr>
          <w:highlight w:val="none"/>
        </w:rPr>
      </w:r>
    </w:p>
    <w:p>
      <w:pPr>
        <w:pStyle w:val="964"/>
        <w:ind w:firstLine="3780"/>
        <w:spacing w:line="360" w:lineRule="auto"/>
        <w:rPr>
          <w:rFonts w:hAnsi="宋体" w:eastAsia="宋体" w:cs="宋体"/>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highlight w:val="none"/>
        </w:rPr>
        <w:t xml:space="preserve">日期：      年     月     日</w:t>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附件3、开标一览表</w:t>
      </w:r>
      <w:r>
        <w:rPr>
          <w:highlight w:val="none"/>
        </w:rPr>
      </w:r>
    </w:p>
    <w:p>
      <w:pPr>
        <w:ind w:firstLine="420"/>
        <w:jc w:val="center"/>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p>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开标一览表</w:t>
      </w:r>
      <w:r>
        <w:rPr>
          <w:highlight w:val="none"/>
        </w:rP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highlight w:val="none"/>
        </w:rPr>
      </w:r>
    </w:p>
    <w:tbl>
      <w:tblPr>
        <w:tblStyle w:val="7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727"/>
        <w:gridCol w:w="3209"/>
        <w:gridCol w:w="2035"/>
      </w:tblGrid>
      <w:tr>
        <w:trPr>
          <w:jc w:val="center"/>
          <w:trHeight w:val="823"/>
        </w:trPr>
        <w:tc>
          <w:tcPr>
            <w:tcW w:w="785" w:type="pct"/>
            <w:vAlign w:val="center"/>
            <w:textDirection w:val="lrTb"/>
            <w:noWrap w:val="false"/>
          </w:tcPr>
          <w:p>
            <w:pPr>
              <w:pStyle w:val="973"/>
              <w:ind w:firstLine="422"/>
              <w:jc w:val="center"/>
              <w:rPr>
                <w:rFonts w:hAnsi="宋体" w:eastAsia="宋体" w:cs="宋体"/>
                <w:sz w:val="21"/>
                <w:szCs w:val="21"/>
                <w:highlight w:val="none"/>
              </w:rPr>
            </w:pPr>
            <w:r>
              <w:rPr>
                <w:rFonts w:hint="eastAsia" w:hAnsi="宋体" w:eastAsia="宋体" w:cs="宋体"/>
                <w:sz w:val="21"/>
                <w:szCs w:val="21"/>
                <w:highlight w:val="none"/>
              </w:rPr>
              <w:t xml:space="preserve">序号</w:t>
            </w:r>
            <w:r>
              <w:rPr>
                <w:highlight w:val="none"/>
              </w:rPr>
            </w:r>
          </w:p>
        </w:tc>
        <w:tc>
          <w:tcPr>
            <w:tcW w:w="1442" w:type="pct"/>
            <w:vAlign w:val="center"/>
            <w:textDirection w:val="lrTb"/>
            <w:noWrap w:val="false"/>
          </w:tcPr>
          <w:p>
            <w:pPr>
              <w:pStyle w:val="973"/>
              <w:jc w:val="center"/>
              <w:rPr>
                <w:rFonts w:hAnsi="宋体" w:eastAsia="宋体" w:cs="宋体"/>
                <w:sz w:val="21"/>
                <w:szCs w:val="21"/>
                <w:highlight w:val="none"/>
              </w:rPr>
            </w:pPr>
            <w:r>
              <w:rPr>
                <w:rFonts w:hint="eastAsia" w:hAnsi="宋体" w:eastAsia="宋体" w:cs="宋体"/>
                <w:sz w:val="21"/>
                <w:szCs w:val="21"/>
                <w:highlight w:val="none"/>
              </w:rPr>
              <w:t xml:space="preserve">项目名称</w:t>
            </w:r>
            <w:r>
              <w:rPr>
                <w:highlight w:val="none"/>
              </w:rPr>
            </w:r>
          </w:p>
        </w:tc>
        <w:tc>
          <w:tcPr>
            <w:tcW w:w="1697" w:type="pct"/>
            <w:vAlign w:val="center"/>
            <w:textDirection w:val="lrTb"/>
            <w:noWrap w:val="false"/>
          </w:tcPr>
          <w:p>
            <w:pPr>
              <w:pStyle w:val="973"/>
              <w:jc w:val="center"/>
              <w:rPr>
                <w:rFonts w:hAnsi="宋体" w:eastAsia="宋体" w:cs="宋体"/>
                <w:sz w:val="21"/>
                <w:szCs w:val="21"/>
                <w:highlight w:val="none"/>
              </w:rPr>
            </w:pPr>
            <w:r>
              <w:rPr>
                <w:rFonts w:hint="eastAsia" w:hAnsi="宋体" w:eastAsia="宋体" w:cs="宋体"/>
                <w:sz w:val="21"/>
                <w:szCs w:val="21"/>
                <w:highlight w:val="none"/>
              </w:rPr>
              <w:t xml:space="preserve">总价（元）</w:t>
            </w:r>
            <w:r>
              <w:rPr>
                <w:highlight w:val="none"/>
              </w:rPr>
            </w:r>
          </w:p>
        </w:tc>
        <w:tc>
          <w:tcPr>
            <w:tcW w:w="1074" w:type="pct"/>
            <w:vAlign w:val="center"/>
            <w:textDirection w:val="lrTb"/>
            <w:noWrap w:val="false"/>
          </w:tcPr>
          <w:p>
            <w:pPr>
              <w:pStyle w:val="973"/>
              <w:jc w:val="center"/>
              <w:rPr>
                <w:rFonts w:hAnsi="宋体" w:eastAsia="宋体" w:cs="宋体"/>
                <w:sz w:val="21"/>
                <w:szCs w:val="21"/>
                <w:highlight w:val="none"/>
              </w:rPr>
            </w:pPr>
            <w:r>
              <w:rPr>
                <w:rFonts w:hint="eastAsia" w:hAnsi="宋体" w:eastAsia="宋体" w:cs="宋体"/>
                <w:sz w:val="21"/>
                <w:szCs w:val="21"/>
                <w:highlight w:val="none"/>
              </w:rPr>
              <w:t xml:space="preserve">备注</w:t>
            </w:r>
            <w:r>
              <w:rPr>
                <w:highlight w:val="none"/>
              </w:rPr>
            </w:r>
          </w:p>
        </w:tc>
      </w:tr>
      <w:tr>
        <w:trPr>
          <w:jc w:val="center"/>
          <w:trHeight w:val="692"/>
        </w:trPr>
        <w:tc>
          <w:tcPr>
            <w:tcW w:w="785" w:type="pct"/>
            <w:vAlign w:val="center"/>
            <w:textDirection w:val="lrTb"/>
            <w:noWrap w:val="false"/>
          </w:tcPr>
          <w:p>
            <w:pPr>
              <w:pStyle w:val="973"/>
              <w:ind w:firstLine="422"/>
              <w:jc w:val="center"/>
              <w:rPr>
                <w:rFonts w:hAnsi="宋体" w:eastAsia="宋体" w:cs="宋体"/>
                <w:sz w:val="21"/>
                <w:szCs w:val="21"/>
                <w:highlight w:val="none"/>
              </w:rPr>
            </w:pPr>
            <w:r>
              <w:rPr>
                <w:rFonts w:hAnsi="宋体" w:eastAsia="宋体" w:cs="宋体"/>
                <w:sz w:val="21"/>
                <w:szCs w:val="21"/>
                <w:highlight w:val="none"/>
              </w:rPr>
            </w:r>
            <w:r>
              <w:rPr>
                <w:highlight w:val="none"/>
              </w:rPr>
            </w:r>
          </w:p>
        </w:tc>
        <w:tc>
          <w:tcPr>
            <w:tcW w:w="1442" w:type="pct"/>
            <w:vAlign w:val="center"/>
            <w:textDirection w:val="lrTb"/>
            <w:noWrap w:val="false"/>
          </w:tcPr>
          <w:p>
            <w:pPr>
              <w:pStyle w:val="973"/>
              <w:jc w:val="center"/>
              <w:rPr>
                <w:rFonts w:hAnsi="宋体" w:eastAsia="宋体" w:cs="宋体"/>
                <w:sz w:val="21"/>
                <w:szCs w:val="21"/>
                <w:highlight w:val="none"/>
              </w:rPr>
            </w:pPr>
            <w:r>
              <w:rPr>
                <w:rFonts w:hAnsi="宋体" w:eastAsia="宋体" w:cs="宋体"/>
                <w:sz w:val="21"/>
                <w:szCs w:val="21"/>
                <w:highlight w:val="none"/>
              </w:rPr>
            </w:r>
            <w:r>
              <w:rPr>
                <w:highlight w:val="none"/>
              </w:rPr>
            </w:r>
          </w:p>
        </w:tc>
        <w:tc>
          <w:tcPr>
            <w:tcW w:w="1697" w:type="pct"/>
            <w:vAlign w:val="center"/>
            <w:textDirection w:val="lrTb"/>
            <w:noWrap w:val="false"/>
          </w:tcPr>
          <w:p>
            <w:pPr>
              <w:pStyle w:val="973"/>
              <w:jc w:val="center"/>
              <w:rPr>
                <w:rFonts w:hAnsi="宋体" w:eastAsia="宋体" w:cs="宋体"/>
                <w:sz w:val="21"/>
                <w:szCs w:val="21"/>
                <w:highlight w:val="none"/>
              </w:rPr>
            </w:pPr>
            <w:r>
              <w:rPr>
                <w:rFonts w:hAnsi="宋体" w:eastAsia="宋体" w:cs="宋体"/>
                <w:sz w:val="21"/>
                <w:szCs w:val="21"/>
                <w:highlight w:val="none"/>
              </w:rPr>
            </w:r>
            <w:r>
              <w:rPr>
                <w:highlight w:val="none"/>
              </w:rPr>
            </w:r>
          </w:p>
        </w:tc>
        <w:tc>
          <w:tcPr>
            <w:tcW w:w="1074" w:type="pct"/>
            <w:vAlign w:val="center"/>
            <w:textDirection w:val="lrTb"/>
            <w:noWrap w:val="false"/>
          </w:tcPr>
          <w:p>
            <w:pPr>
              <w:pStyle w:val="973"/>
              <w:jc w:val="center"/>
              <w:rPr>
                <w:rFonts w:hAnsi="宋体" w:eastAsia="宋体" w:cs="宋体"/>
                <w:sz w:val="21"/>
                <w:szCs w:val="21"/>
                <w:highlight w:val="none"/>
              </w:rPr>
            </w:pPr>
            <w:r>
              <w:rPr>
                <w:rFonts w:hAnsi="宋体" w:eastAsia="宋体" w:cs="宋体"/>
                <w:sz w:val="21"/>
                <w:szCs w:val="21"/>
                <w:highlight w:val="none"/>
              </w:rPr>
            </w:r>
            <w:r>
              <w:rPr>
                <w:highlight w:val="none"/>
              </w:rPr>
            </w:r>
          </w:p>
        </w:tc>
      </w:tr>
      <w:tr>
        <w:trPr>
          <w:jc w:val="center"/>
          <w:trHeight w:val="692"/>
        </w:trPr>
        <w:tc>
          <w:tcPr>
            <w:gridSpan w:val="4"/>
            <w:tcW w:w="5000" w:type="pct"/>
            <w:vAlign w:val="center"/>
            <w:textDirection w:val="lrTb"/>
            <w:noWrap w:val="false"/>
          </w:tcPr>
          <w:p>
            <w:pPr>
              <w:pStyle w:val="973"/>
              <w:ind w:firstLine="422"/>
              <w:rPr>
                <w:rFonts w:hAnsi="宋体" w:eastAsia="宋体" w:cs="宋体"/>
                <w:sz w:val="21"/>
                <w:szCs w:val="21"/>
                <w:highlight w:val="none"/>
              </w:rPr>
            </w:pPr>
            <w:r>
              <w:rPr>
                <w:rFonts w:hint="eastAsia" w:hAnsi="宋体" w:eastAsia="宋体" w:cs="宋体"/>
                <w:sz w:val="21"/>
                <w:szCs w:val="21"/>
                <w:highlight w:val="none"/>
                <w:lang w:val="zh-CN"/>
              </w:rPr>
              <w:t xml:space="preserve">投标总报价（人民币大写）：                    ￥：</w:t>
            </w:r>
            <w:r>
              <w:rPr>
                <w:highlight w:val="none"/>
              </w:rPr>
            </w:r>
          </w:p>
        </w:tc>
      </w:tr>
    </w:tbl>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p>
    <w:p>
      <w:pPr>
        <w:pageBreakBefore/>
        <w:spacing w:line="360" w:lineRule="auto"/>
        <w:rPr>
          <w:rFonts w:ascii="宋体" w:hAnsi="宋体" w:cs="宋体"/>
          <w:highlight w:val="none"/>
        </w:rPr>
        <w:outlineLvl w:val="1"/>
      </w:pPr>
      <w:r>
        <w:rPr>
          <w:highlight w:val="none"/>
        </w:rPr>
      </w:r>
      <w:bookmarkStart w:id="42" w:name="_Toc2583141"/>
      <w:r>
        <w:rPr>
          <w:rFonts w:hint="eastAsia" w:ascii="宋体" w:hAnsi="宋体" w:cs="宋体"/>
          <w:b/>
          <w:bCs/>
          <w:highlight w:val="none"/>
        </w:rPr>
        <w:t xml:space="preserve">附件4、</w:t>
      </w:r>
      <w:r>
        <w:rPr>
          <w:rFonts w:hint="eastAsia" w:ascii="宋体" w:hAnsi="宋体" w:cs="宋体"/>
          <w:b/>
          <w:bCs/>
          <w:highlight w:val="none"/>
          <w:lang w:val="zh-CN"/>
        </w:rPr>
        <w:t xml:space="preserve">投标报价分析表</w:t>
      </w:r>
      <w:r>
        <w:rPr>
          <w:highlight w:val="none"/>
        </w:rPr>
      </w:r>
    </w:p>
    <w:p>
      <w:pPr>
        <w:jc w:val="center"/>
        <w:spacing w:line="360" w:lineRule="auto"/>
        <w:rPr>
          <w:rFonts w:ascii="宋体" w:hAnsi="宋体"/>
          <w:b/>
          <w:bCs/>
          <w:szCs w:val="21"/>
          <w:highlight w:val="none"/>
        </w:rPr>
      </w:pPr>
      <w:r>
        <w:rPr>
          <w:rFonts w:hint="eastAsia" w:ascii="宋体" w:hAnsi="宋体"/>
          <w:b/>
          <w:bCs/>
          <w:szCs w:val="21"/>
          <w:highlight w:val="none"/>
          <w:lang w:val="zh-CN"/>
        </w:rPr>
        <w:t xml:space="preserve">投标报价分析表</w:t>
      </w:r>
      <w:r>
        <w:rPr>
          <w:highlight w:val="none"/>
        </w:rPr>
      </w:r>
    </w:p>
    <w:p>
      <w:pPr>
        <w:ind w:firstLine="422"/>
        <w:spacing w:line="360" w:lineRule="auto"/>
        <w:rPr>
          <w:rFonts w:ascii="宋体" w:hAnsi="宋体"/>
          <w:szCs w:val="21"/>
          <w:highlight w:val="none"/>
        </w:rPr>
      </w:pPr>
      <w:r>
        <w:rPr>
          <w:rFonts w:hint="eastAsia" w:ascii="宋体" w:hAnsi="宋体"/>
          <w:szCs w:val="21"/>
          <w:highlight w:val="none"/>
          <w:lang w:val="zh-CN"/>
        </w:rPr>
        <w:t xml:space="preserve">项目编号：</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号                             项目名称：</w:t>
      </w:r>
      <w:r>
        <w:rPr>
          <w:highlight w:val="none"/>
        </w:rPr>
      </w:r>
    </w:p>
    <w:tbl>
      <w:tblPr>
        <w:tblStyle w:val="7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316"/>
        <w:gridCol w:w="1297"/>
        <w:gridCol w:w="1357"/>
        <w:gridCol w:w="739"/>
        <w:gridCol w:w="775"/>
        <w:gridCol w:w="879"/>
        <w:gridCol w:w="1011"/>
        <w:gridCol w:w="1443"/>
      </w:tblGrid>
      <w:tr>
        <w:trPr>
          <w:jc w:val="center"/>
          <w:trHeight w:val="20"/>
        </w:trPr>
        <w:tc>
          <w:tcPr>
            <w:tcW w:w="336"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序号</w:t>
            </w:r>
            <w:r>
              <w:rPr>
                <w:highlight w:val="none"/>
              </w:rPr>
            </w:r>
          </w:p>
        </w:tc>
        <w:tc>
          <w:tcPr>
            <w:tcW w:w="69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标的物名称</w:t>
            </w:r>
            <w:r>
              <w:rPr>
                <w:highlight w:val="none"/>
              </w:rPr>
            </w:r>
          </w:p>
        </w:tc>
        <w:tc>
          <w:tcPr>
            <w:tcW w:w="686"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品牌、</w:t>
            </w:r>
            <w:r>
              <w:rPr>
                <w:rFonts w:hint="eastAsia" w:ascii="宋体" w:hAnsi="宋体"/>
                <w:szCs w:val="21"/>
                <w:highlight w:val="none"/>
              </w:rPr>
              <w:t xml:space="preserve">规格、型号</w:t>
            </w:r>
            <w:r>
              <w:rPr>
                <w:highlight w:val="none"/>
              </w:rPr>
            </w:r>
          </w:p>
        </w:tc>
        <w:tc>
          <w:tcPr>
            <w:tcW w:w="718" w:type="pct"/>
            <w:vAlign w:val="center"/>
            <w:textDirection w:val="lrTb"/>
            <w:noWrap w:val="false"/>
          </w:tcPr>
          <w:p>
            <w:pPr>
              <w:rPr>
                <w:rFonts w:ascii="宋体" w:hAnsi="宋体"/>
                <w:szCs w:val="21"/>
                <w:highlight w:val="none"/>
              </w:rPr>
            </w:pPr>
            <w:r>
              <w:rPr>
                <w:rFonts w:hint="eastAsia" w:ascii="宋体" w:hAnsi="宋体"/>
                <w:szCs w:val="21"/>
                <w:highlight w:val="none"/>
              </w:rPr>
              <w:t xml:space="preserve">生产厂家</w:t>
            </w:r>
            <w:r>
              <w:rPr>
                <w:highlight w:val="none"/>
              </w:rPr>
            </w:r>
          </w:p>
        </w:tc>
        <w:tc>
          <w:tcPr>
            <w:tcW w:w="391"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单位</w:t>
            </w:r>
            <w:r>
              <w:rPr>
                <w:highlight w:val="none"/>
              </w:rPr>
            </w:r>
          </w:p>
        </w:tc>
        <w:tc>
          <w:tcPr>
            <w:tcW w:w="410"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数量</w:t>
            </w:r>
            <w:r>
              <w:rPr>
                <w:highlight w:val="none"/>
              </w:rPr>
            </w:r>
          </w:p>
        </w:tc>
        <w:tc>
          <w:tcPr>
            <w:tcW w:w="46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单价</w:t>
            </w:r>
            <w:r>
              <w:rPr>
                <w:highlight w:val="none"/>
              </w:rPr>
            </w:r>
          </w:p>
        </w:tc>
        <w:tc>
          <w:tcPr>
            <w:tcW w:w="53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总价</w:t>
            </w:r>
            <w:r>
              <w:rPr>
                <w:highlight w:val="none"/>
              </w:rPr>
            </w:r>
          </w:p>
        </w:tc>
        <w:tc>
          <w:tcPr>
            <w:tcW w:w="760" w:type="pct"/>
            <w:vAlign w:val="center"/>
            <w:textDirection w:val="lrTb"/>
            <w:noWrap w:val="false"/>
          </w:tcPr>
          <w:p>
            <w:pPr>
              <w:rPr>
                <w:rFonts w:ascii="宋体" w:hAnsi="宋体"/>
                <w:highlight w:val="none"/>
              </w:rPr>
            </w:pPr>
            <w:r>
              <w:rPr>
                <w:rFonts w:hint="eastAsia" w:ascii="宋体" w:hAnsi="宋体"/>
                <w:highlight w:val="none"/>
              </w:rPr>
              <w:t xml:space="preserve">备注</w:t>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p>
        </w:tc>
      </w:tr>
      <w:tr>
        <w:trPr>
          <w:jc w:val="center"/>
          <w:trHeight w:val="20"/>
        </w:trPr>
        <w:tc>
          <w:tcPr>
            <w:gridSpan w:val="2"/>
            <w:tcW w:w="1032" w:type="pct"/>
            <w:vAlign w:val="center"/>
            <w:textDirection w:val="lrTb"/>
            <w:noWrap w:val="false"/>
          </w:tcPr>
          <w:p>
            <w:pPr>
              <w:ind w:firstLine="422"/>
              <w:jc w:val="center"/>
              <w:rPr>
                <w:rFonts w:ascii="宋体" w:hAnsi="宋体"/>
                <w:szCs w:val="21"/>
                <w:highlight w:val="none"/>
              </w:rPr>
            </w:pPr>
            <w:r>
              <w:rPr>
                <w:rFonts w:hint="eastAsia" w:ascii="宋体" w:hAnsi="宋体"/>
                <w:highlight w:val="none"/>
                <w:lang w:val="zh-CN"/>
              </w:rPr>
              <w:t xml:space="preserve">投标总报价：</w:t>
            </w:r>
            <w:r>
              <w:rPr>
                <w:highlight w:val="none"/>
              </w:rPr>
            </w:r>
          </w:p>
        </w:tc>
        <w:tc>
          <w:tcPr>
            <w:gridSpan w:val="7"/>
            <w:tcW w:w="3967" w:type="pct"/>
            <w:vAlign w:val="center"/>
            <w:textDirection w:val="lrTb"/>
            <w:noWrap w:val="false"/>
          </w:tcPr>
          <w:p>
            <w:pPr>
              <w:ind w:firstLine="422"/>
              <w:jc w:val="center"/>
              <w:rPr>
                <w:rFonts w:ascii="宋体" w:hAnsi="宋体"/>
                <w:highlight w:val="none"/>
              </w:rPr>
            </w:pPr>
            <w:r>
              <w:rPr>
                <w:rFonts w:hint="eastAsia" w:ascii="宋体" w:hAnsi="宋体"/>
                <w:highlight w:val="none"/>
                <w:lang w:val="zh-CN"/>
              </w:rPr>
              <w:t xml:space="preserve">大写：元</w:t>
            </w:r>
            <w:r>
              <w:rPr>
                <w:highlight w:val="none"/>
              </w:rPr>
            </w:r>
          </w:p>
        </w:tc>
      </w:tr>
      <w:tr>
        <w:trPr>
          <w:jc w:val="center"/>
          <w:trHeight w:val="20"/>
        </w:trPr>
        <w:tc>
          <w:tcPr>
            <w:gridSpan w:val="9"/>
            <w:tcW w:w="5000" w:type="pct"/>
            <w:vAlign w:val="center"/>
            <w:textDirection w:val="lrTb"/>
            <w:noWrap w:val="false"/>
          </w:tcPr>
          <w:p>
            <w:pPr>
              <w:ind w:firstLine="422"/>
              <w:jc w:val="left"/>
              <w:rPr>
                <w:rFonts w:ascii="宋体" w:hAnsi="宋体"/>
                <w:highlight w:val="none"/>
              </w:rPr>
            </w:pPr>
            <w:r>
              <w:rPr>
                <w:rFonts w:hint="eastAsia" w:ascii="宋体" w:hAnsi="宋体"/>
                <w:szCs w:val="21"/>
                <w:highlight w:val="none"/>
                <w:lang w:val="zh-CN"/>
              </w:rPr>
              <w:t xml:space="preserve">注：本采购包中提供的符合本国产品标准的产品成本之和占该采购包提供的全部产品成本之和的比例为</w:t>
            </w:r>
            <w:r>
              <w:rPr>
                <w:rFonts w:hint="eastAsia" w:ascii="宋体" w:hAnsi="宋体"/>
                <w:b/>
                <w:bCs/>
                <w:szCs w:val="21"/>
                <w:highlight w:val="none"/>
                <w:u w:val="single"/>
                <w:lang w:val="en-US" w:eastAsia="zh-CN"/>
              </w:rPr>
              <w:t xml:space="preserve">     </w:t>
            </w:r>
            <w:r>
              <w:rPr>
                <w:rFonts w:hint="eastAsia" w:ascii="宋体" w:hAnsi="宋体"/>
                <w:b/>
                <w:bCs/>
                <w:szCs w:val="21"/>
                <w:highlight w:val="none"/>
                <w:u w:val="single"/>
                <w:lang w:val="zh-CN"/>
              </w:rPr>
              <w:t xml:space="preserve">%</w:t>
            </w:r>
            <w:r>
              <w:rPr>
                <w:rFonts w:hint="eastAsia" w:ascii="宋体" w:hAnsi="宋体" w:cs="宋体"/>
                <w:sz w:val="24"/>
                <w:highlight w:val="none"/>
              </w:rPr>
              <w:t xml:space="preserve">。</w:t>
            </w:r>
            <w:r>
              <w:rPr>
                <w:highlight w:val="none"/>
              </w:rPr>
            </w:r>
          </w:p>
        </w:tc>
      </w:tr>
    </w:tbl>
    <w:p>
      <w:pPr>
        <w:pStyle w:val="961"/>
        <w:ind w:firstLine="420"/>
        <w:spacing w:line="360" w:lineRule="auto"/>
        <w:rPr>
          <w:rFonts w:hAnsi="宋体" w:eastAsia="宋体"/>
          <w:sz w:val="21"/>
          <w:highlight w:val="none"/>
        </w:rPr>
      </w:pPr>
      <w:r>
        <w:rPr>
          <w:rFonts w:hAnsi="宋体" w:eastAsia="宋体"/>
          <w:sz w:val="21"/>
          <w:highlight w:val="none"/>
        </w:rPr>
      </w:r>
      <w:r>
        <w:rPr>
          <w:highlight w:val="none"/>
        </w:rPr>
      </w:r>
    </w:p>
    <w:p>
      <w:pPr>
        <w:pStyle w:val="961"/>
        <w:ind w:firstLine="420"/>
        <w:spacing w:line="360" w:lineRule="auto"/>
        <w:rPr>
          <w:rFonts w:hAnsi="宋体" w:eastAsia="宋体"/>
          <w:sz w:val="21"/>
          <w:highlight w:val="none"/>
        </w:rPr>
      </w:pPr>
      <w:r>
        <w:rPr>
          <w:rFonts w:hint="eastAsia" w:hAnsi="宋体" w:eastAsia="宋体"/>
          <w:sz w:val="21"/>
          <w:highlight w:val="none"/>
        </w:rPr>
        <w:t xml:space="preserve">投标单位（签章）：</w:t>
      </w:r>
      <w:r>
        <w:rPr>
          <w:highlight w:val="none"/>
        </w:rPr>
      </w:r>
    </w:p>
    <w:p>
      <w:pPr>
        <w:pStyle w:val="961"/>
        <w:ind w:firstLine="420"/>
        <w:spacing w:line="360" w:lineRule="auto"/>
        <w:rPr>
          <w:rFonts w:hAnsi="宋体" w:eastAsia="宋体"/>
          <w:sz w:val="21"/>
          <w:highlight w:val="none"/>
        </w:rPr>
      </w:pPr>
      <w:r>
        <w:rPr>
          <w:rFonts w:hint="eastAsia" w:hAnsi="宋体" w:eastAsia="宋体"/>
          <w:sz w:val="21"/>
          <w:highlight w:val="none"/>
        </w:rPr>
        <w:t xml:space="preserve">日期：</w:t>
      </w:r>
      <w:r>
        <w:rPr>
          <w:rFonts w:hint="eastAsia" w:hAnsi="宋体" w:eastAsia="宋体"/>
          <w:sz w:val="21"/>
          <w:highlight w:val="none"/>
          <w:lang w:val="en-US" w:eastAsia="zh-CN"/>
        </w:rPr>
        <w:t xml:space="preserve">    </w:t>
      </w:r>
      <w:r>
        <w:rPr>
          <w:rFonts w:hint="eastAsia" w:hAnsi="宋体" w:eastAsia="宋体"/>
          <w:sz w:val="21"/>
          <w:highlight w:val="none"/>
        </w:rPr>
        <w:t xml:space="preserve">年</w:t>
      </w:r>
      <w:r>
        <w:rPr>
          <w:rFonts w:hint="eastAsia" w:hAnsi="宋体" w:eastAsia="宋体"/>
          <w:sz w:val="21"/>
          <w:highlight w:val="none"/>
          <w:lang w:val="en-US" w:eastAsia="zh-CN"/>
        </w:rPr>
        <w:t xml:space="preserve">    </w:t>
      </w:r>
      <w:r>
        <w:rPr>
          <w:rFonts w:hint="eastAsia" w:hAnsi="宋体" w:eastAsia="宋体"/>
          <w:sz w:val="21"/>
          <w:highlight w:val="none"/>
        </w:rPr>
        <w:t xml:space="preserve">月</w:t>
      </w:r>
      <w:r>
        <w:rPr>
          <w:rFonts w:hint="eastAsia" w:hAnsi="宋体" w:eastAsia="宋体"/>
          <w:sz w:val="21"/>
          <w:highlight w:val="none"/>
          <w:lang w:val="en-US" w:eastAsia="zh-CN"/>
        </w:rPr>
        <w:t xml:space="preserve">    </w:t>
      </w:r>
      <w:r>
        <w:rPr>
          <w:rFonts w:hint="eastAsia" w:hAnsi="宋体" w:eastAsia="宋体"/>
          <w:sz w:val="21"/>
          <w:highlight w:val="none"/>
        </w:rPr>
        <w:t xml:space="preserve">日</w:t>
      </w:r>
      <w:r>
        <w:rPr>
          <w:highlight w:val="none"/>
        </w:rPr>
      </w:r>
    </w:p>
    <w:p>
      <w:pPr>
        <w:ind w:firstLine="420"/>
        <w:jc w:val="center"/>
        <w:spacing w:line="360" w:lineRule="auto"/>
        <w:rPr>
          <w:rFonts w:ascii="宋体" w:hAnsi="宋体"/>
          <w:b/>
          <w:bCs/>
          <w:szCs w:val="21"/>
          <w:highlight w:val="none"/>
        </w:rPr>
      </w:pPr>
      <w:r>
        <w:rPr>
          <w:rFonts w:ascii="宋体" w:hAnsi="宋体"/>
          <w:b/>
          <w:bCs/>
          <w:szCs w:val="21"/>
          <w:highlight w:val="none"/>
          <w:lang w:val="zh-CN"/>
        </w:rPr>
      </w:r>
      <w:r>
        <w:rPr>
          <w:highlight w:val="none"/>
        </w:rPr>
      </w:r>
    </w:p>
    <w:p>
      <w:pPr>
        <w:ind w:firstLine="420"/>
        <w:rPr>
          <w:rFonts w:hAnsi="宋体"/>
          <w:b/>
          <w:bCs/>
          <w:szCs w:val="21"/>
          <w:highlight w:val="none"/>
        </w:rPr>
      </w:pPr>
      <w:r>
        <w:rPr>
          <w:rFonts w:hAnsi="宋体"/>
          <w:b/>
          <w:bCs/>
          <w:szCs w:val="21"/>
          <w:highlight w:val="none"/>
          <w:lang w:val="zh-CN"/>
        </w:rPr>
      </w:r>
      <w:r>
        <w:rPr>
          <w:highlight w:val="none"/>
        </w:rPr>
      </w:r>
    </w:p>
    <w:p>
      <w:pPr>
        <w:pStyle w:val="919"/>
        <w:ind w:firstLine="402"/>
        <w:rPr>
          <w:rFonts w:hAnsi="宋体"/>
          <w:b/>
          <w:bCs/>
          <w:szCs w:val="21"/>
          <w:highlight w:val="none"/>
        </w:rPr>
      </w:pPr>
      <w:r>
        <w:rPr>
          <w:rFonts w:hAnsi="宋体"/>
          <w:b/>
          <w:bCs/>
          <w:szCs w:val="21"/>
          <w:highlight w:val="none"/>
          <w:lang w:val="zh-CN"/>
        </w:rPr>
      </w:r>
      <w:r>
        <w:rPr>
          <w:highlight w:val="none"/>
        </w:rPr>
      </w:r>
    </w:p>
    <w:p>
      <w:p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val="zh-CN"/>
        </w:rPr>
        <w:t xml:space="preserve">1、请投标单位按照上述格式分析投标总报价，本项投标总报价需与开标一览表投标总报价一致。</w:t>
      </w:r>
      <w:r>
        <w:rPr>
          <w:highlight w:val="none"/>
        </w:rPr>
      </w:r>
    </w:p>
    <w:p>
      <w:pPr>
        <w:numPr>
          <w:ilvl w:val="0"/>
          <w:numId w:val="3"/>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zh-CN"/>
        </w:rPr>
        <w:t xml:space="preserve">投标总报价应包括产品供货、辅助材料、备品备件、运输、仓储、发货、送货、安装、调试、人工、机械、装卸、培训、保险、运费、各种税费、劳保、专利技术及质保等完成本次项目所需的一切费用。</w:t>
      </w:r>
      <w:r>
        <w:rPr>
          <w:highlight w:val="none"/>
        </w:rPr>
      </w:r>
    </w:p>
    <w:p>
      <w:pPr>
        <w:ind w:firstLine="422"/>
        <w:keepLines w:val="0"/>
        <w:keepNext w:val="0"/>
        <w:pageBreakBefore w:val="0"/>
        <w:spacing w:line="360" w:lineRule="auto"/>
        <w:widowControl w:val="off"/>
        <w:rPr>
          <w:rFonts w:ascii="宋体" w:hAnsi="宋体" w:eastAsia="方正魏碑_GBK"/>
          <w:b/>
          <w:bCs/>
          <w:szCs w:val="21"/>
          <w:highlight w:val="none"/>
        </w:rPr>
      </w:pPr>
      <w:r>
        <w:rPr>
          <w:rFonts w:hint="eastAsia" w:ascii="宋体" w:hAnsi="宋体" w:eastAsia="宋体" w:cs="宋体"/>
          <w:b/>
          <w:bCs/>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2"/>
      <w:r>
        <w:rPr>
          <w:highlight w:val="none"/>
        </w:rPr>
      </w:r>
      <w:r>
        <w:rPr>
          <w:highlight w:val="none"/>
        </w:rPr>
      </w:r>
    </w:p>
    <w:p>
      <w:pPr>
        <w:spacing w:line="360" w:lineRule="auto"/>
        <w:rPr>
          <w:rFonts w:ascii="宋体" w:hAnsi="宋体" w:cs="宋体"/>
          <w:b/>
          <w:bCs/>
          <w:szCs w:val="21"/>
          <w:highlight w:val="none"/>
        </w:rPr>
      </w:pPr>
      <w:r>
        <w:rPr>
          <w:rFonts w:ascii="宋体" w:hAnsi="宋体" w:cs="宋体"/>
          <w:b/>
          <w:bCs/>
          <w:szCs w:val="21"/>
          <w:highlight w:val="none"/>
        </w:rPr>
      </w:r>
      <w:r>
        <w:rPr>
          <w:highlight w:val="none"/>
        </w:rPr>
      </w:r>
    </w:p>
    <w:p>
      <w:pPr>
        <w:spacing w:line="360" w:lineRule="auto"/>
        <w:rPr>
          <w:rFonts w:ascii="宋体" w:hAnsi="宋体" w:cs="宋体"/>
          <w:b/>
          <w:bCs/>
          <w:szCs w:val="21"/>
          <w:highlight w:val="none"/>
        </w:rPr>
      </w:pPr>
      <w:r>
        <w:rPr>
          <w:rFonts w:ascii="宋体" w:hAnsi="宋体" w:cs="宋体"/>
          <w:b/>
          <w:bCs/>
          <w:szCs w:val="21"/>
          <w:highlight w:val="none"/>
        </w:rPr>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附件5、</w:t>
      </w:r>
      <w:bookmarkStart w:id="43" w:name="_Toc2583142"/>
      <w:r>
        <w:rPr>
          <w:highlight w:val="none"/>
        </w:rPr>
      </w:r>
      <w:bookmarkStart w:id="44" w:name="_Toc532444344"/>
      <w:r>
        <w:rPr>
          <w:highlight w:val="none"/>
        </w:rPr>
      </w:r>
      <w:bookmarkStart w:id="45" w:name="_Toc7888"/>
      <w:r>
        <w:rPr>
          <w:highlight w:val="none"/>
        </w:rPr>
      </w:r>
      <w:bookmarkStart w:id="46" w:name="_Toc532452113"/>
      <w:r>
        <w:rPr>
          <w:highlight w:val="none"/>
        </w:rPr>
      </w:r>
      <w:bookmarkStart w:id="47" w:name="_Toc532444506"/>
      <w:r>
        <w:rPr>
          <w:highlight w:val="none"/>
        </w:rPr>
      </w:r>
      <w:bookmarkStart w:id="48" w:name="_Toc518926909"/>
      <w:r>
        <w:rPr>
          <w:rFonts w:hint="eastAsia" w:ascii="宋体" w:hAnsi="宋体" w:cs="宋体"/>
          <w:b/>
          <w:bCs/>
          <w:szCs w:val="21"/>
          <w:highlight w:val="none"/>
        </w:rPr>
        <w:t xml:space="preserve">技术响应对照表</w:t>
      </w:r>
      <w:r>
        <w:rPr>
          <w:highlight w:val="none"/>
        </w:rP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技术响应对照表</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rFonts w:hint="eastAsia" w:ascii="宋体" w:hAnsi="宋体"/>
          <w:szCs w:val="21"/>
          <w:highlight w:val="none"/>
          <w:lang w:val="zh-CN"/>
        </w:rPr>
        <w:t xml:space="preserve">项目名称：</w:t>
      </w:r>
      <w:r>
        <w:rPr>
          <w:highlight w:val="none"/>
        </w:rPr>
      </w:r>
    </w:p>
    <w:tbl>
      <w:tblPr>
        <w:tblStyle w:val="72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861"/>
        <w:gridCol w:w="1677"/>
        <w:gridCol w:w="1490"/>
        <w:gridCol w:w="1758"/>
        <w:gridCol w:w="1817"/>
      </w:tblGrid>
      <w:tr>
        <w:trPr>
          <w:jc w:val="center"/>
        </w:trPr>
        <w:tc>
          <w:tcPr>
            <w:tcW w:w="452" w:type="pct"/>
            <w:vAlign w:val="center"/>
            <w:textDirection w:val="lrTb"/>
            <w:noWrap w:val="false"/>
          </w:tcPr>
          <w:p>
            <w:pPr>
              <w:spacing w:before="240" w:after="240"/>
              <w:rPr>
                <w:rFonts w:ascii="宋体" w:hAnsi="宋体" w:cs="宋体"/>
                <w:szCs w:val="21"/>
                <w:highlight w:val="none"/>
              </w:rPr>
            </w:pPr>
            <w:r>
              <w:rPr>
                <w:rFonts w:hint="eastAsia" w:ascii="宋体" w:hAnsi="宋体"/>
                <w:szCs w:val="21"/>
                <w:highlight w:val="none"/>
              </w:rPr>
              <w:t xml:space="preserve">序号</w:t>
            </w:r>
            <w:r>
              <w:rPr>
                <w:highlight w:val="none"/>
              </w:rPr>
            </w:r>
          </w:p>
        </w:tc>
        <w:tc>
          <w:tcPr>
            <w:tcW w:w="983"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货物名称</w:t>
            </w:r>
            <w:r>
              <w:rPr>
                <w:highlight w:val="none"/>
              </w:rPr>
            </w:r>
          </w:p>
        </w:tc>
        <w:tc>
          <w:tcPr>
            <w:tcW w:w="886"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招标要求</w:t>
            </w:r>
            <w:r>
              <w:rPr>
                <w:highlight w:val="none"/>
              </w:rPr>
            </w:r>
          </w:p>
        </w:tc>
        <w:tc>
          <w:tcPr>
            <w:tcW w:w="787"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投标要求</w:t>
            </w:r>
            <w:r>
              <w:rPr>
                <w:highlight w:val="none"/>
              </w:rPr>
            </w:r>
          </w:p>
        </w:tc>
        <w:tc>
          <w:tcPr>
            <w:tcW w:w="929" w:type="pct"/>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偏离/响应</w:t>
            </w:r>
            <w:r>
              <w:rPr>
                <w:highlight w:val="none"/>
              </w:rPr>
            </w:r>
          </w:p>
        </w:tc>
        <w:tc>
          <w:tcPr>
            <w:tcW w:w="960" w:type="pct"/>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说明</w:t>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注：1.投标人应对照招标文件技术要求等要求，所投标的物与招标文件的规定有偏离的，应在此表中申明与技术要求条文的偏差和例外。</w:t>
      </w:r>
      <w:r>
        <w:rPr>
          <w:highlight w:val="none"/>
        </w:rP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highlight w:val="none"/>
        </w:rP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highlight w:val="none"/>
        </w:rPr>
        <w:t xml:space="preserve">日期：         年         月       日</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附件6、</w:t>
      </w:r>
      <w:r>
        <w:rPr>
          <w:rFonts w:hint="eastAsia" w:ascii="宋体" w:hAnsi="宋体" w:cs="宋体"/>
          <w:b/>
          <w:bCs/>
          <w:szCs w:val="21"/>
          <w:highlight w:val="none"/>
        </w:rPr>
        <w:t xml:space="preserve">售后服务承诺书</w:t>
      </w:r>
      <w:r>
        <w:rPr>
          <w:highlight w:val="none"/>
        </w:rPr>
      </w:r>
    </w:p>
    <w:p>
      <w:pPr>
        <w:pStyle w:val="733"/>
        <w:jc w:val="center"/>
        <w:rPr>
          <w:rFonts w:ascii="宋体" w:hAnsi="宋体" w:cs="宋体"/>
          <w:b/>
          <w:bCs/>
          <w:sz w:val="21"/>
          <w:szCs w:val="21"/>
          <w:highlight w:val="none"/>
        </w:rPr>
      </w:pPr>
      <w:r>
        <w:rPr>
          <w:rFonts w:hint="eastAsia" w:ascii="宋体" w:hAnsi="宋体" w:cs="宋体"/>
          <w:b/>
          <w:bCs/>
          <w:sz w:val="21"/>
          <w:szCs w:val="21"/>
          <w:highlight w:val="none"/>
        </w:rPr>
        <w:t xml:space="preserve">售后服务承诺书</w:t>
      </w:r>
      <w:r>
        <w:rPr>
          <w:highlight w:val="none"/>
        </w:rPr>
      </w:r>
    </w:p>
    <w:p>
      <w:pPr>
        <w:ind w:firstLine="630"/>
        <w:rPr>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rPr>
          <w:highlight w:val="none"/>
        </w:rPr>
      </w:r>
    </w:p>
    <w:tbl>
      <w:tblPr>
        <w:tblStyle w:val="7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059"/>
        <w:gridCol w:w="2681"/>
        <w:gridCol w:w="2595"/>
      </w:tblGrid>
      <w:tr>
        <w:trPr>
          <w:trHeight w:val="853"/>
        </w:trPr>
        <w:tc>
          <w:tcPr>
            <w:tcW w:w="511"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序号</w:t>
            </w:r>
            <w:r>
              <w:rPr>
                <w:highlight w:val="none"/>
              </w:rPr>
            </w:r>
          </w:p>
        </w:tc>
        <w:tc>
          <w:tcPr>
            <w:tcW w:w="1647"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售后服务内容</w:t>
            </w:r>
            <w:r>
              <w:rPr>
                <w:highlight w:val="none"/>
              </w:rPr>
            </w:r>
          </w:p>
        </w:tc>
        <w:tc>
          <w:tcPr>
            <w:tcW w:w="1443"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期限（时间）</w:t>
            </w:r>
            <w:r>
              <w:rPr>
                <w:highlight w:val="none"/>
              </w:rPr>
            </w:r>
          </w:p>
        </w:tc>
        <w:tc>
          <w:tcPr>
            <w:tcW w:w="1397"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备注</w:t>
            </w:r>
            <w:r>
              <w:rPr>
                <w:highlight w:val="none"/>
              </w:rP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1</w:t>
            </w:r>
            <w:r>
              <w:rPr>
                <w:highlight w:val="none"/>
              </w:rP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质保期</w:t>
            </w:r>
            <w:r>
              <w:rPr>
                <w:highlight w:val="none"/>
              </w:rP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2</w:t>
            </w:r>
            <w:r>
              <w:rPr>
                <w:highlight w:val="none"/>
              </w:rP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服务响应</w:t>
            </w:r>
            <w:r>
              <w:rPr>
                <w:highlight w:val="none"/>
              </w:rP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3</w:t>
            </w:r>
            <w:r>
              <w:rPr>
                <w:highlight w:val="none"/>
              </w:rP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到达现场</w:t>
            </w:r>
            <w:r>
              <w:rPr>
                <w:highlight w:val="none"/>
              </w:rP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r>
      <w:tr>
        <w:trPr>
          <w:trHeight w:val="854"/>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4</w:t>
            </w:r>
            <w:r>
              <w:rPr>
                <w:highlight w:val="none"/>
              </w:rP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解决问题</w:t>
            </w:r>
            <w:r>
              <w:rPr>
                <w:highlight w:val="none"/>
              </w:rP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p>
        </w:tc>
      </w:tr>
    </w:tbl>
    <w:p>
      <w:pPr>
        <w:ind w:firstLine="240"/>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240"/>
        <w:spacing w:line="360" w:lineRule="auto"/>
        <w:rPr>
          <w:rFonts w:ascii="宋体" w:hAnsi="宋体" w:cs="宋体"/>
          <w:szCs w:val="21"/>
          <w:highlight w:val="none"/>
        </w:rPr>
      </w:pPr>
      <w:r>
        <w:rPr>
          <w:rFonts w:hint="eastAsia" w:ascii="宋体" w:hAnsi="宋体" w:cs="宋体"/>
          <w:szCs w:val="21"/>
          <w:highlight w:val="none"/>
        </w:rPr>
        <w:t xml:space="preserve">投标人：（签章）                                    </w:t>
      </w:r>
      <w:r>
        <w:rPr>
          <w:highlight w:val="none"/>
        </w:rPr>
      </w:r>
    </w:p>
    <w:p>
      <w:pPr>
        <w:ind w:firstLine="210"/>
        <w:rPr>
          <w:szCs w:val="21"/>
          <w:highlight w:val="none"/>
        </w:rPr>
      </w:pPr>
      <w:r>
        <w:rPr>
          <w:rFonts w:hint="eastAsia" w:ascii="宋体" w:hAnsi="宋体" w:cs="宋体"/>
          <w:szCs w:val="21"/>
          <w:highlight w:val="none"/>
        </w:rPr>
        <w:t xml:space="preserve">日期：　　年　　 月　　 日</w:t>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商务条款偏离表</w:t>
      </w:r>
      <w:r>
        <w:rPr>
          <w:highlight w:val="none"/>
        </w:rP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商务条款偏离表</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rPr>
          <w:highlight w:val="none"/>
        </w:rPr>
      </w:r>
    </w:p>
    <w:tbl>
      <w:tblPr>
        <w:tblStyle w:val="72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序号</w:t>
            </w:r>
            <w:r>
              <w:rPr>
                <w:highlight w:val="none"/>
              </w:rPr>
            </w:r>
          </w:p>
        </w:tc>
        <w:tc>
          <w:tcPr>
            <w:tcW w:w="1950"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招标文件条目号</w:t>
            </w:r>
            <w:r>
              <w:rPr>
                <w:highlight w:val="none"/>
              </w:rP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招标文件的商务条款</w:t>
            </w:r>
            <w:r>
              <w:rPr>
                <w:highlight w:val="none"/>
              </w:rP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投标文件的商务条款</w:t>
            </w:r>
            <w:r>
              <w:rPr>
                <w:highlight w:val="none"/>
              </w:rPr>
            </w:r>
          </w:p>
        </w:tc>
        <w:tc>
          <w:tcPr>
            <w:tcW w:w="1743"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说明</w:t>
            </w:r>
            <w:r>
              <w:rPr>
                <w:highlight w:val="none"/>
              </w:rP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w:t>
            </w:r>
            <w:r>
              <w:rPr>
                <w:highlight w:val="none"/>
              </w:rP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服务期限</w:t>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2</w:t>
            </w:r>
            <w:r>
              <w:rPr>
                <w:highlight w:val="none"/>
              </w:rP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付款步骤</w:t>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3</w:t>
            </w:r>
            <w:r>
              <w:rPr>
                <w:highlight w:val="none"/>
              </w:rP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合同条款</w:t>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4</w:t>
            </w:r>
            <w:r>
              <w:rPr>
                <w:highlight w:val="none"/>
              </w:rPr>
            </w:r>
          </w:p>
        </w:tc>
        <w:tc>
          <w:tcPr>
            <w:tcW w:w="1950" w:type="dxa"/>
            <w:vAlign w:val="center"/>
            <w:textDirection w:val="lrTb"/>
            <w:noWrap w:val="false"/>
          </w:tcPr>
          <w:p>
            <w:pPr>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w:t>
            </w:r>
            <w:r>
              <w:rPr>
                <w:highlight w:val="none"/>
              </w:rPr>
            </w:r>
          </w:p>
        </w:tc>
        <w:tc>
          <w:tcPr>
            <w:tcW w:w="1950" w:type="dxa"/>
            <w:vAlign w:val="center"/>
            <w:textDirection w:val="lrTb"/>
            <w:noWrap w:val="false"/>
          </w:tcPr>
          <w:p>
            <w:pPr>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highlight w:val="none"/>
        </w:rP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p>
    <w:p>
      <w:pPr>
        <w:jc w:val="left"/>
        <w:spacing w:line="360" w:lineRule="auto"/>
        <w:widowControl/>
        <w:rPr>
          <w:rFonts w:ascii="宋体" w:hAnsi="宋体" w:cs="宋体"/>
          <w:b/>
          <w:bCs/>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、针对本项目的人员配置表</w:t>
      </w:r>
      <w:r>
        <w:rPr>
          <w:highlight w:val="none"/>
        </w:rPr>
      </w:r>
    </w:p>
    <w:p>
      <w:pPr>
        <w:ind w:firstLine="500"/>
        <w:jc w:val="center"/>
        <w:spacing w:line="360" w:lineRule="auto"/>
        <w:rPr>
          <w:rFonts w:ascii="宋体" w:hAnsi="宋体" w:cs="宋体"/>
          <w:b/>
          <w:bCs/>
          <w:spacing w:val="20"/>
          <w:szCs w:val="21"/>
          <w:highlight w:val="none"/>
        </w:rPr>
      </w:pPr>
      <w:r>
        <w:rPr>
          <w:rFonts w:ascii="宋体" w:hAnsi="宋体" w:cs="宋体"/>
          <w:b/>
          <w:bCs/>
          <w:spacing w:val="20"/>
          <w:szCs w:val="21"/>
          <w:highlight w:val="none"/>
        </w:rPr>
      </w:r>
      <w:r>
        <w:rPr>
          <w:highlight w:val="none"/>
        </w:rPr>
      </w:r>
    </w:p>
    <w:p>
      <w:pPr>
        <w:ind w:firstLine="502"/>
        <w:jc w:val="center"/>
        <w:spacing w:line="360" w:lineRule="auto"/>
        <w:rPr>
          <w:rFonts w:ascii="宋体" w:hAnsi="宋体" w:cs="宋体"/>
          <w:b/>
          <w:bCs/>
          <w:szCs w:val="21"/>
          <w:highlight w:val="none"/>
        </w:rPr>
      </w:pPr>
      <w:r>
        <w:rPr>
          <w:rFonts w:hint="eastAsia" w:ascii="宋体" w:hAnsi="宋体" w:cs="宋体"/>
          <w:b/>
          <w:bCs/>
          <w:spacing w:val="20"/>
          <w:szCs w:val="21"/>
          <w:highlight w:val="none"/>
        </w:rPr>
        <w:t xml:space="preserve">针对本项目的人员配置表</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                        项目名称：</w:t>
      </w:r>
      <w:r>
        <w:rPr>
          <w:highlight w:val="none"/>
        </w:rPr>
      </w:r>
    </w:p>
    <w:tbl>
      <w:tblPr>
        <w:tblStyle w:val="725"/>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性别</w:t>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身份证号码</w:t>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专业</w:t>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职称</w:t>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责任</w:t>
            </w:r>
            <w:r>
              <w:rPr>
                <w:highlight w:val="none"/>
              </w:rPr>
            </w:r>
          </w:p>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或分工</w:t>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备注</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p>
        </w:tc>
      </w:tr>
    </w:tbl>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w:t>
      </w:r>
      <w:r>
        <w:rPr>
          <w:rFonts w:hint="eastAsia" w:ascii="宋体" w:hAnsi="宋体" w:cs="宋体"/>
          <w:szCs w:val="21"/>
          <w:highlight w:val="none"/>
          <w:lang w:val="zh-CN"/>
        </w:rPr>
        <w:t xml:space="preserve">投标人自行根据项目需要配备相应的人员。</w:t>
      </w:r>
      <w:r>
        <w:rPr>
          <w:highlight w:val="none"/>
        </w:rP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p>
    <w:p>
      <w:pPr>
        <w:jc w:val="left"/>
        <w:pageBreakBefore/>
        <w:spacing w:line="360" w:lineRule="auto"/>
        <w:widowControl/>
        <w:rPr>
          <w:rFonts w:ascii="宋体" w:hAnsi="宋体" w:cs="宋体"/>
          <w:b/>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w:t>
      </w:r>
      <w:r>
        <w:rPr>
          <w:rFonts w:hint="eastAsia" w:ascii="宋体" w:hAnsi="宋体" w:cs="宋体"/>
          <w:b/>
          <w:szCs w:val="21"/>
          <w:highlight w:val="none"/>
        </w:rPr>
        <w:t xml:space="preserve">类似业绩一览表</w:t>
      </w:r>
      <w:r>
        <w:rPr>
          <w:highlight w:val="none"/>
        </w:rP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bCs/>
          <w:szCs w:val="21"/>
          <w:highlight w:val="none"/>
        </w:rPr>
      </w:pPr>
      <w:r>
        <w:rPr>
          <w:rFonts w:hint="eastAsia" w:ascii="宋体" w:hAnsi="宋体" w:cs="宋体"/>
          <w:b/>
          <w:szCs w:val="21"/>
          <w:highlight w:val="none"/>
        </w:rPr>
        <w:t xml:space="preserve">类似业绩一览表</w:t>
      </w:r>
      <w:r>
        <w:rPr>
          <w:highlight w:val="none"/>
        </w:rPr>
      </w:r>
    </w:p>
    <w:p>
      <w:pPr>
        <w:ind w:firstLine="422"/>
        <w:spacing w:line="360" w:lineRule="auto"/>
        <w:rPr>
          <w:rFonts w:ascii="宋体" w:hAnsi="宋体" w:cs="宋体"/>
          <w:b/>
          <w:szCs w:val="21"/>
          <w:highlight w:val="none"/>
        </w:rPr>
      </w:pPr>
      <w:r>
        <w:rPr>
          <w:rFonts w:hint="eastAsia" w:ascii="宋体" w:hAnsi="宋体" w:cs="宋体"/>
          <w:szCs w:val="21"/>
          <w:highlight w:val="none"/>
          <w:lang w:val="zh-CN"/>
        </w:rPr>
        <w:t xml:space="preserve">项目编号：         号                        项目名称：</w:t>
      </w:r>
      <w:r>
        <w:rPr>
          <w:highlight w:val="none"/>
        </w:rP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330"/>
        <w:gridCol w:w="2345"/>
        <w:gridCol w:w="1819"/>
        <w:gridCol w:w="1618"/>
        <w:gridCol w:w="1308"/>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业主单位（采购单位）</w:t>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合同签订时间</w:t>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合同金额</w:t>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备注</w:t>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bl>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、关于资格文件的声明函</w:t>
      </w:r>
      <w:r>
        <w:rPr>
          <w:highlight w:val="none"/>
        </w:rPr>
      </w:r>
    </w:p>
    <w:p>
      <w:pPr>
        <w:pStyle w:val="726"/>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rPr>
          <w:highlight w:val="none"/>
        </w:rPr>
      </w:r>
    </w:p>
    <w:p>
      <w:pPr>
        <w:pStyle w:val="726"/>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rPr>
          <w:highlight w:val="none"/>
        </w:rPr>
      </w:r>
    </w:p>
    <w:p>
      <w:pPr>
        <w:pStyle w:val="726"/>
        <w:ind w:firstLine="422"/>
        <w:jc w:val="center"/>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p>
    <w:p>
      <w:pPr>
        <w:pStyle w:val="726"/>
        <w:ind w:firstLine="1470"/>
        <w:spacing w:line="360" w:lineRule="auto"/>
        <w:rPr>
          <w:rFonts w:ascii="宋体" w:hAnsi="宋体" w:eastAsia="宋体" w:cs="宋体"/>
          <w:sz w:val="21"/>
          <w:highlight w:val="none"/>
        </w:rPr>
      </w:pPr>
      <w:r>
        <w:rPr>
          <w:rFonts w:hint="eastAsia" w:ascii="宋体" w:hAnsi="宋体" w:eastAsia="宋体" w:cs="宋体"/>
          <w:sz w:val="21"/>
          <w:highlight w:val="none"/>
        </w:rPr>
        <w:t xml:space="preserve">：</w:t>
      </w:r>
      <w:r>
        <w:rPr>
          <w:highlight w:val="none"/>
        </w:rPr>
      </w:r>
    </w:p>
    <w:p>
      <w:pPr>
        <w:pStyle w:val="726"/>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highlight w:val="none"/>
        </w:rPr>
        <w:t xml:space="preserve">本公司愿就由贵公司组织实施的编号为</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u w:val="single"/>
        </w:rPr>
        <w:t xml:space="preserve">号</w:t>
      </w:r>
      <w:r>
        <w:rPr>
          <w:rFonts w:hint="eastAsia" w:ascii="宋体" w:hAnsi="宋体" w:eastAsia="宋体" w:cs="宋体"/>
          <w:sz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highlight w:val="none"/>
        </w:rPr>
      </w:r>
    </w:p>
    <w:p>
      <w:pPr>
        <w:pStyle w:val="726"/>
        <w:ind w:firstLine="422"/>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p>
    <w:p>
      <w:pPr>
        <w:pStyle w:val="726"/>
        <w:ind w:firstLine="422"/>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、投标单位情况表</w:t>
      </w:r>
      <w:r>
        <w:rPr>
          <w:highlight w:val="none"/>
        </w:rPr>
      </w:r>
    </w:p>
    <w:p>
      <w:pPr>
        <w:pStyle w:val="726"/>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投标单位情况表</w:t>
      </w:r>
      <w:r>
        <w:rPr>
          <w:highlight w:val="none"/>
        </w:rPr>
      </w:r>
    </w:p>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单位名称：（</w:t>
      </w:r>
      <w:r>
        <w:rPr>
          <w:rFonts w:hint="eastAsia" w:ascii="宋体" w:hAnsi="宋体" w:eastAsia="宋体" w:cs="宋体"/>
          <w:sz w:val="21"/>
          <w:highlight w:val="none"/>
        </w:rPr>
        <w:t xml:space="preserve">签章</w:t>
      </w:r>
      <w:r>
        <w:rPr>
          <w:rFonts w:hint="eastAsia" w:ascii="宋体" w:hAnsi="宋体" w:eastAsia="宋体" w:cs="宋体"/>
          <w:sz w:val="21"/>
          <w:szCs w:val="21"/>
          <w:highlight w:val="none"/>
        </w:rPr>
        <w:t xml:space="preserve">）</w:t>
      </w:r>
      <w:r>
        <w:rPr>
          <w:highlight w:val="none"/>
        </w:rPr>
      </w:r>
    </w:p>
    <w:tbl>
      <w:tblPr>
        <w:tblStyle w:val="72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highlight w:val="none"/>
              </w:rPr>
            </w:r>
          </w:p>
        </w:tc>
        <w:tc>
          <w:tcPr>
            <w:tcW w:w="173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W w:w="1319"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rPr>
                <w:highlight w:val="none"/>
              </w:rPr>
            </w:r>
          </w:p>
        </w:tc>
        <w:tc>
          <w:tcPr>
            <w:gridSpan w:val="2"/>
            <w:tcW w:w="296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rPr>
                <w:highlight w:val="none"/>
              </w:rPr>
            </w:r>
          </w:p>
        </w:tc>
        <w:tc>
          <w:tcPr>
            <w:tcW w:w="173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tcW w:w="1319"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rPr>
                <w:highlight w:val="none"/>
              </w:rPr>
            </w:r>
          </w:p>
        </w:tc>
        <w:tc>
          <w:tcPr>
            <w:gridSpan w:val="2"/>
            <w:tcW w:w="296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p>
        </w:tc>
      </w:tr>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rPr>
                <w:highlight w:val="none"/>
              </w:rPr>
            </w:r>
          </w:p>
        </w:tc>
        <w:tc>
          <w:tcPr>
            <w:tcW w:w="173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gridSpan w:val="2"/>
            <w:tcW w:w="3170"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rPr>
                <w:highlight w:val="none"/>
              </w:rPr>
            </w:r>
          </w:p>
        </w:tc>
        <w:tc>
          <w:tcPr>
            <w:tcW w:w="111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rPr>
                <w:highlight w:val="none"/>
              </w:rPr>
            </w:r>
          </w:p>
        </w:tc>
        <w:tc>
          <w:tcPr>
            <w:tcW w:w="1737" w:type="dxa"/>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p>
        </w:tc>
        <w:tc>
          <w:tcPr>
            <w:tcW w:w="1319"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rPr>
                <w:highlight w:val="none"/>
              </w:rPr>
            </w:r>
          </w:p>
        </w:tc>
        <w:tc>
          <w:tcPr>
            <w:gridSpan w:val="2"/>
            <w:tcW w:w="2967" w:type="dxa"/>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p>
        </w:tc>
      </w:tr>
      <w:tr>
        <w:trPr>
          <w:cantSplit/>
          <w:jc w:val="center"/>
          <w:trHeight w:val="267"/>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rPr>
                <w:highlight w:val="none"/>
              </w:rPr>
            </w:r>
          </w:p>
        </w:tc>
        <w:tc>
          <w:tcPr>
            <w:tcW w:w="1737" w:type="dxa"/>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p>
        </w:tc>
        <w:tc>
          <w:tcPr>
            <w:tcW w:w="1319"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rPr>
                <w:highlight w:val="none"/>
              </w:rPr>
            </w:r>
          </w:p>
        </w:tc>
        <w:tc>
          <w:tcPr>
            <w:gridSpan w:val="2"/>
            <w:tcW w:w="2967" w:type="dxa"/>
            <w:vAlign w:val="center"/>
            <w:textDirection w:val="lrTb"/>
            <w:noWrap w:val="false"/>
          </w:tcPr>
          <w:p>
            <w:pPr>
              <w:pStyle w:val="726"/>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2025年          万元</w:t>
            </w:r>
            <w:r>
              <w:rPr>
                <w:highlight w:val="none"/>
              </w:rPr>
            </w:r>
          </w:p>
        </w:tc>
      </w:tr>
      <w:tr>
        <w:trPr>
          <w:cantSplit/>
          <w:jc w:val="center"/>
        </w:trPr>
        <w:tc>
          <w:tcPr>
            <w:tcW w:w="2336"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rPr>
                <w:highlight w:val="none"/>
              </w:rPr>
            </w:r>
          </w:p>
        </w:tc>
        <w:tc>
          <w:tcPr>
            <w:tcW w:w="173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2025年  万元</w:t>
            </w:r>
            <w:r>
              <w:rPr>
                <w:highlight w:val="none"/>
              </w:rPr>
            </w:r>
          </w:p>
        </w:tc>
        <w:tc>
          <w:tcPr>
            <w:tcW w:w="1319"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c>
          <w:tcPr>
            <w:gridSpan w:val="2"/>
            <w:tcW w:w="296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rPr>
                <w:highlight w:val="none"/>
              </w:rPr>
            </w:r>
          </w:p>
        </w:tc>
        <w:tc>
          <w:tcPr>
            <w:tcW w:w="173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rPr>
                <w:highlight w:val="none"/>
              </w:rPr>
            </w:r>
          </w:p>
        </w:tc>
        <w:tc>
          <w:tcPr>
            <w:tcW w:w="1319"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rPr>
                <w:highlight w:val="none"/>
              </w:rPr>
            </w:r>
          </w:p>
        </w:tc>
        <w:tc>
          <w:tcPr>
            <w:gridSpan w:val="2"/>
            <w:tcW w:w="2967"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rPr>
                <w:highlight w:val="none"/>
              </w:rPr>
            </w:r>
          </w:p>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r>
        <w:trPr>
          <w:cantSplit/>
          <w:jc w:val="center"/>
          <w:trHeight w:val="560"/>
        </w:trPr>
        <w:tc>
          <w:tcPr>
            <w:tcW w:w="2336" w:type="dxa"/>
            <w:vAlign w:val="center"/>
            <w:textDirection w:val="lrTb"/>
            <w:noWrap w:val="false"/>
          </w:tcPr>
          <w:p>
            <w:pPr>
              <w:pStyle w:val="72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highlight w:val="none"/>
              </w:rPr>
            </w:r>
          </w:p>
        </w:tc>
        <w:tc>
          <w:tcPr>
            <w:gridSpan w:val="4"/>
            <w:tcW w:w="6023" w:type="dxa"/>
            <w:vAlign w:val="center"/>
            <w:textDirection w:val="lrTb"/>
            <w:noWrap w:val="false"/>
          </w:tcPr>
          <w:p>
            <w:pPr>
              <w:pStyle w:val="726"/>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p>
        </w:tc>
      </w:tr>
    </w:tbl>
    <w:p>
      <w:pPr>
        <w:ind w:firstLine="422"/>
        <w:jc w:val="center"/>
        <w:spacing w:line="360" w:lineRule="auto"/>
        <w:widowControl/>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highlight w:val="none"/>
        </w:rPr>
      </w:r>
      <w:r>
        <w:rPr>
          <w:highlight w:val="none"/>
        </w:rP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、投标（响应）保证承诺书</w:t>
      </w:r>
      <w:r>
        <w:rPr>
          <w:highlight w:val="none"/>
        </w:rPr>
      </w:r>
    </w:p>
    <w:p>
      <w:pPr>
        <w:ind w:firstLine="422"/>
        <w:jc w:val="center"/>
        <w:spacing w:line="360" w:lineRule="auto"/>
        <w:widowControl/>
        <w:rPr>
          <w:rFonts w:ascii="宋体" w:hAnsi="宋体" w:cs="宋体"/>
          <w:szCs w:val="21"/>
          <w:highlight w:val="none"/>
        </w:rPr>
      </w:pPr>
      <w:r>
        <w:rPr>
          <w:rFonts w:ascii="宋体" w:hAnsi="宋体" w:cs="宋体"/>
          <w:szCs w:val="21"/>
          <w:highlight w:val="none"/>
        </w:rPr>
      </w:r>
      <w:r>
        <w:rPr>
          <w:highlight w:val="none"/>
        </w:rP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投标（响应）保证承诺书</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w:t>
      </w:r>
      <w:r>
        <w:rPr>
          <w:rFonts w:hint="eastAsia" w:ascii="宋体" w:hAnsi="宋体" w:cs="宋体"/>
          <w:szCs w:val="21"/>
          <w:highlight w:val="none"/>
          <w:u w:val="single"/>
          <w:lang w:eastAsia="zh-CN"/>
        </w:rPr>
        <w:t xml:space="preserve">项目编号</w:t>
      </w:r>
      <w:r>
        <w:rPr>
          <w:rFonts w:hint="eastAsia" w:ascii="宋体" w:hAnsi="宋体" w:cs="宋体"/>
          <w:szCs w:val="21"/>
          <w:highlight w:val="none"/>
          <w:u w:val="single"/>
        </w:rPr>
        <w:t xml:space="preserve">）</w:t>
      </w:r>
      <w:r>
        <w:rPr>
          <w:rFonts w:hint="eastAsia" w:ascii="宋体" w:hAnsi="宋体" w:cs="宋体"/>
          <w:szCs w:val="21"/>
          <w:highlight w:val="none"/>
        </w:rPr>
        <w:t xml:space="preserve">的投标（响应）,并做出如下承诺：</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支付本招标文件公布的预算金额（或最高限价）的2%作为违约赔偿金（数量不确定的单价采购须约定具体金额）。</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3.中标（成交）后不按本招标文件规定向采购单位提交履约保证金（如有）；</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4.中标（成交）后不按本招标文件规定向贵方缴纳采购代理费。</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w:t>
      </w:r>
      <w:r>
        <w:rPr>
          <w:rFonts w:hint="eastAsia" w:ascii="宋体" w:hAnsi="宋体" w:cs="宋体"/>
          <w:szCs w:val="20"/>
          <w:highlight w:val="none"/>
        </w:rPr>
        <w:t xml:space="preserve">签章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rPr>
          <w:highlight w:val="none"/>
        </w:rPr>
      </w:r>
    </w:p>
    <w:p>
      <w:pPr>
        <w:ind w:firstLine="422"/>
        <w:jc w:val="left"/>
        <w:spacing w:line="360" w:lineRule="auto"/>
        <w:widowControl/>
        <w:rPr>
          <w:rFonts w:ascii="宋体" w:hAnsi="宋体" w:cs="宋体"/>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highlight w:val="none"/>
        </w:rPr>
      </w:r>
    </w:p>
    <w:p>
      <w:pPr>
        <w:pageBreakBefore/>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、声明函</w:t>
      </w:r>
      <w:r>
        <w:rPr>
          <w:highlight w:val="none"/>
        </w:rPr>
      </w:r>
    </w:p>
    <w:p>
      <w:pPr>
        <w:ind w:firstLine="0"/>
        <w:jc w:val="center"/>
        <w:keepLines w:val="0"/>
        <w:keepNext w:val="0"/>
        <w:pageBreakBefore w:val="0"/>
        <w:spacing w:line="360" w:lineRule="auto"/>
        <w:widowControl w:val="off"/>
        <w:rPr>
          <w:rFonts w:ascii="宋体" w:hAnsi="宋体" w:cs="宋体"/>
          <w:b/>
          <w:bCs w:val="0"/>
          <w:szCs w:val="21"/>
          <w:highlight w:val="none"/>
        </w:rPr>
      </w:pPr>
      <w:r>
        <w:rPr>
          <w:highlight w:val="none"/>
        </w:rPr>
      </w:r>
      <w:bookmarkStart w:id="49" w:name="_Toc1077"/>
      <w:r>
        <w:rPr>
          <w:highlight w:val="none"/>
        </w:rPr>
      </w:r>
      <w:bookmarkStart w:id="50" w:name="_Toc4028"/>
      <w:r>
        <w:rPr>
          <w:rFonts w:hint="eastAsia" w:ascii="宋体" w:hAnsi="宋体" w:cs="宋体"/>
          <w:b/>
          <w:bCs w:val="0"/>
          <w:szCs w:val="21"/>
          <w:highlight w:val="none"/>
        </w:rPr>
        <w:t xml:space="preserve">中小企业声明函（货物）</w:t>
      </w:r>
      <w:bookmarkEnd w:id="49"/>
      <w:r>
        <w:rPr>
          <w:highlight w:val="none"/>
        </w:rPr>
      </w:r>
      <w:bookmarkEnd w:id="50"/>
      <w:r>
        <w:rPr>
          <w:highlight w:val="none"/>
        </w:rPr>
      </w:r>
      <w:r>
        <w:rPr>
          <w:highlight w:val="none"/>
        </w:rPr>
      </w:r>
    </w:p>
    <w:p>
      <w:pPr>
        <w:pStyle w:val="733"/>
        <w:ind w:firstLine="412"/>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2"/>
          <w:sz w:val="21"/>
          <w:szCs w:val="21"/>
          <w:highlight w:val="none"/>
        </w:rPr>
        <w:t xml:space="preserve">本公司</w:t>
      </w:r>
      <w:r>
        <w:rPr>
          <w:rFonts w:hint="eastAsia" w:ascii="宋体" w:hAnsi="宋体" w:cs="宋体"/>
          <w:sz w:val="21"/>
          <w:szCs w:val="21"/>
          <w:highlight w:val="none"/>
        </w:rPr>
        <w:t xml:space="preserve">（联合体</w:t>
      </w:r>
      <w:r>
        <w:rPr>
          <w:rFonts w:hint="eastAsia" w:ascii="宋体" w:hAnsi="宋体" w:cs="宋体"/>
          <w:spacing w:val="-5"/>
          <w:sz w:val="21"/>
          <w:szCs w:val="21"/>
          <w:highlight w:val="none"/>
        </w:rPr>
        <w:t xml:space="preserve">）</w:t>
      </w:r>
      <w:r>
        <w:rPr>
          <w:rFonts w:hint="eastAsia" w:ascii="宋体" w:hAnsi="宋体" w:cs="宋体"/>
          <w:spacing w:val="-2"/>
          <w:sz w:val="21"/>
          <w:szCs w:val="21"/>
          <w:highlight w:val="none"/>
        </w:rPr>
        <w:t xml:space="preserve">郑重声明，根据《政府采购促进中小</w:t>
      </w:r>
      <w:r>
        <w:rPr>
          <w:rFonts w:hint="eastAsia" w:ascii="宋体" w:hAnsi="宋体" w:cs="宋体"/>
          <w:spacing w:val="-18"/>
          <w:sz w:val="21"/>
          <w:szCs w:val="21"/>
          <w:highlight w:val="none"/>
        </w:rPr>
        <w:t xml:space="preserve">企业发展管理办法》</w:t>
      </w:r>
      <w:r>
        <w:rPr>
          <w:rFonts w:hint="eastAsia" w:ascii="宋体" w:hAnsi="宋体" w:cs="宋体"/>
          <w:sz w:val="21"/>
          <w:szCs w:val="21"/>
          <w:highlight w:val="none"/>
        </w:rPr>
        <w:t xml:space="preserve">（</w:t>
      </w:r>
      <w:r>
        <w:rPr>
          <w:rFonts w:hint="eastAsia" w:ascii="宋体" w:hAnsi="宋体" w:cs="宋体"/>
          <w:spacing w:val="5"/>
          <w:sz w:val="21"/>
          <w:szCs w:val="21"/>
          <w:highlight w:val="none"/>
        </w:rPr>
        <w:t xml:space="preserve">财库</w:t>
      </w:r>
      <w:r>
        <w:rPr>
          <w:rFonts w:hint="eastAsia" w:ascii="宋体" w:hAnsi="宋体" w:cs="宋体"/>
          <w:sz w:val="21"/>
          <w:szCs w:val="21"/>
          <w:highlight w:val="none"/>
        </w:rPr>
        <w:t xml:space="preserve">﹝2020﹞46</w:t>
      </w:r>
      <w:r>
        <w:rPr>
          <w:rFonts w:hint="eastAsia" w:ascii="宋体" w:hAnsi="宋体" w:cs="宋体"/>
          <w:spacing w:val="-38"/>
          <w:sz w:val="21"/>
          <w:szCs w:val="21"/>
          <w:highlight w:val="none"/>
        </w:rPr>
        <w:t xml:space="preserve"> 号</w:t>
      </w:r>
      <w:r>
        <w:rPr>
          <w:rFonts w:hint="eastAsia" w:ascii="宋体" w:hAnsi="宋体" w:cs="宋体"/>
          <w:spacing w:val="5"/>
          <w:sz w:val="21"/>
          <w:szCs w:val="21"/>
          <w:highlight w:val="none"/>
        </w:rPr>
        <w:t xml:space="preserve">）</w:t>
      </w:r>
      <w:r>
        <w:rPr>
          <w:rFonts w:hint="eastAsia" w:ascii="宋体" w:hAnsi="宋体" w:cs="宋体"/>
          <w:sz w:val="21"/>
          <w:szCs w:val="21"/>
          <w:highlight w:val="none"/>
        </w:rPr>
        <w:t xml:space="preserve">的规定，本公司（联合体）</w:t>
      </w:r>
      <w:r>
        <w:rPr>
          <w:rFonts w:hint="eastAsia" w:ascii="宋体" w:hAnsi="宋体" w:cs="宋体"/>
          <w:spacing w:val="-8"/>
          <w:sz w:val="21"/>
          <w:szCs w:val="21"/>
          <w:highlight w:val="none"/>
        </w:rPr>
        <w:t xml:space="preserve">参</w:t>
      </w:r>
      <w:r>
        <w:rPr>
          <w:rFonts w:hint="eastAsia" w:ascii="宋体" w:hAnsi="宋体" w:cs="宋体"/>
          <w:spacing w:val="-2"/>
          <w:sz w:val="21"/>
          <w:szCs w:val="21"/>
          <w:highlight w:val="none"/>
        </w:rPr>
        <w:t xml:space="preserve">加（</w:t>
      </w:r>
      <w:r>
        <w:rPr>
          <w:rFonts w:hint="eastAsia" w:ascii="宋体" w:hAnsi="宋体" w:cs="宋体"/>
          <w:b/>
          <w:bCs/>
          <w:spacing w:val="-2"/>
          <w:sz w:val="21"/>
          <w:szCs w:val="21"/>
          <w:highlight w:val="none"/>
        </w:rPr>
        <w:t xml:space="preserve">单位名称</w:t>
      </w:r>
      <w:r>
        <w:rPr>
          <w:rFonts w:hint="eastAsia" w:ascii="宋体" w:hAnsi="宋体" w:cs="宋体"/>
          <w:spacing w:val="-2"/>
          <w:sz w:val="21"/>
          <w:szCs w:val="21"/>
          <w:highlight w:val="none"/>
        </w:rPr>
        <w:t xml:space="preserve">）的（</w:t>
      </w:r>
      <w:r>
        <w:rPr>
          <w:rFonts w:hint="eastAsia" w:ascii="宋体" w:hAnsi="宋体" w:cs="宋体"/>
          <w:b/>
          <w:bCs/>
          <w:spacing w:val="-2"/>
          <w:sz w:val="21"/>
          <w:szCs w:val="21"/>
          <w:highlight w:val="none"/>
        </w:rPr>
        <w:t xml:space="preserve">项目名称</w:t>
      </w:r>
      <w:r>
        <w:rPr>
          <w:rFonts w:hint="eastAsia" w:ascii="宋体" w:hAnsi="宋体" w:cs="宋体"/>
          <w:spacing w:val="-2"/>
          <w:sz w:val="21"/>
          <w:szCs w:val="21"/>
          <w:highlight w:val="none"/>
        </w:rPr>
        <w:t xml:space="preserve">）采购活</w:t>
      </w:r>
      <w:r>
        <w:rPr>
          <w:rFonts w:hint="eastAsia" w:ascii="宋体" w:hAnsi="宋体" w:cs="宋体"/>
          <w:spacing w:val="-1"/>
          <w:sz w:val="21"/>
          <w:szCs w:val="21"/>
          <w:highlight w:val="none"/>
        </w:rPr>
        <w:t xml:space="preserve">动，</w:t>
      </w:r>
      <w:r>
        <w:rPr>
          <w:rFonts w:hint="eastAsia" w:ascii="宋体" w:hAnsi="宋体" w:cs="宋体"/>
          <w:spacing w:val="-2"/>
          <w:sz w:val="21"/>
          <w:szCs w:val="21"/>
          <w:highlight w:val="none"/>
        </w:rPr>
        <w:t xml:space="preserve">提供的货物全部由符合政策要求的中小企业制造。相关企业（含联合体中的中小企业、签订分包</w:t>
      </w:r>
      <w:r>
        <w:rPr>
          <w:rFonts w:hint="eastAsia" w:ascii="宋体" w:hAnsi="宋体" w:cs="宋体"/>
          <w:sz w:val="21"/>
          <w:szCs w:val="21"/>
          <w:highlight w:val="none"/>
        </w:rPr>
        <w:t xml:space="preserve">意向协议的中小企业） 的具体情况如下：</w:t>
      </w:r>
      <w:r>
        <w:rPr>
          <w:highlight w:val="none"/>
        </w:rPr>
      </w:r>
    </w:p>
    <w:p>
      <w:pPr>
        <w:pStyle w:val="960"/>
        <w:ind w:firstLine="4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1、</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（工业）行业</w:t>
      </w:r>
      <w:r>
        <w:rPr>
          <w:rFonts w:hint="eastAsia" w:ascii="宋体" w:hAnsi="宋体" w:cs="宋体"/>
          <w:spacing w:val="-2"/>
          <w:szCs w:val="21"/>
          <w:highlight w:val="none"/>
        </w:rPr>
        <w:t xml:space="preserve">；制造商为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rPr>
          <w:highlight w:val="none"/>
        </w:rPr>
      </w:r>
    </w:p>
    <w:p>
      <w:pPr>
        <w:pStyle w:val="960"/>
        <w:ind w:firstLine="4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2、</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（工业）行业</w:t>
      </w:r>
      <w:r>
        <w:rPr>
          <w:rFonts w:hint="eastAsia" w:ascii="宋体" w:hAnsi="宋体" w:cs="宋体"/>
          <w:spacing w:val="-2"/>
          <w:szCs w:val="21"/>
          <w:highlight w:val="none"/>
        </w:rPr>
        <w:t xml:space="preserve">；制造商为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rPr>
          <w:highlight w:val="none"/>
        </w:rPr>
      </w:r>
    </w:p>
    <w:p>
      <w:pPr>
        <w:pStyle w:val="733"/>
        <w:ind w:firstLine="412"/>
        <w:keepLines w:val="0"/>
        <w:keepNext w:val="0"/>
        <w:pageBreakBefore w:val="0"/>
        <w:spacing w:after="0" w:line="360" w:lineRule="auto"/>
        <w:widowControl w:val="off"/>
        <w:rPr>
          <w:rFonts w:ascii="宋体" w:hAnsi="宋体" w:cs="宋体"/>
          <w:spacing w:val="-2"/>
          <w:sz w:val="21"/>
          <w:szCs w:val="21"/>
          <w:highlight w:val="none"/>
        </w:rPr>
      </w:pPr>
      <w:r>
        <w:rPr>
          <w:rFonts w:hint="eastAsia" w:ascii="宋体" w:hAnsi="宋体" w:cs="宋体"/>
          <w:spacing w:val="-2"/>
          <w:sz w:val="21"/>
          <w:szCs w:val="21"/>
          <w:highlight w:val="none"/>
        </w:rPr>
        <w:t xml:space="preserve">……</w:t>
      </w:r>
      <w:r>
        <w:rPr>
          <w:highlight w:val="none"/>
        </w:rPr>
      </w:r>
    </w:p>
    <w:p>
      <w:pPr>
        <w:pStyle w:val="733"/>
        <w:ind w:firstLine="408"/>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3"/>
          <w:sz w:val="21"/>
          <w:szCs w:val="21"/>
          <w:highlight w:val="none"/>
        </w:rPr>
        <w:t xml:space="preserve">以上企业，不属于大企业的分支机构，不存在控股股东</w:t>
      </w:r>
      <w:r>
        <w:rPr>
          <w:rFonts w:hint="eastAsia" w:ascii="宋体" w:hAnsi="宋体" w:cs="宋体"/>
          <w:spacing w:val="-5"/>
          <w:sz w:val="21"/>
          <w:szCs w:val="21"/>
          <w:highlight w:val="none"/>
        </w:rPr>
        <w:t xml:space="preserve">为大企业的情形，也不存在与大企业的负责人为同一人的情形。</w:t>
      </w:r>
      <w:r>
        <w:rPr>
          <w:highlight w:val="none"/>
        </w:rPr>
      </w:r>
    </w:p>
    <w:p>
      <w:pPr>
        <w:pStyle w:val="733"/>
        <w:ind w:firstLine="420"/>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企业名称（盖章）：</w:t>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val="zh-CN"/>
        </w:rPr>
        <w:t xml:space="preserve">：</w:t>
      </w:r>
      <w:r>
        <w:rPr>
          <w:highlight w:val="none"/>
        </w:rPr>
      </w:r>
    </w:p>
    <w:p>
      <w:pPr>
        <w:pStyle w:val="751"/>
        <w:rPr>
          <w:rFonts w:hint="eastAsia"/>
          <w:highlight w:val="none"/>
        </w:rPr>
      </w:pPr>
      <w:r>
        <w:rPr>
          <w:highlight w:val="none"/>
        </w:rPr>
      </w:r>
      <w:bookmarkStart w:id="51" w:name="_Toc532444352"/>
      <w:r>
        <w:rPr>
          <w:highlight w:val="none"/>
        </w:rPr>
      </w:r>
      <w:bookmarkStart w:id="52" w:name="_Toc2583149"/>
      <w:r>
        <w:rPr>
          <w:highlight w:val="none"/>
        </w:rPr>
      </w:r>
      <w:bookmarkStart w:id="53" w:name="_Toc532452121"/>
      <w:r>
        <w:rPr>
          <w:highlight w:val="none"/>
        </w:rPr>
      </w:r>
      <w:bookmarkStart w:id="54" w:name="_Toc532444514"/>
      <w:r>
        <w:rPr>
          <w:highlight w:val="none"/>
        </w:rPr>
      </w:r>
      <w:r>
        <w:rPr>
          <w:highlight w:val="none"/>
        </w:rPr>
      </w:r>
    </w:p>
    <w:p>
      <w:pPr>
        <w:pStyle w:val="751"/>
        <w:ind w:firstLine="480"/>
        <w:keepLines w:val="0"/>
        <w:keepNext w:val="0"/>
        <w:pageBreakBefore w:val="0"/>
        <w:spacing w:line="360" w:lineRule="auto"/>
        <w:widowControl w:val="off"/>
        <w:rPr>
          <w:highlight w:val="none"/>
        </w:rPr>
      </w:pPr>
      <w:r>
        <w:rPr>
          <w:rFonts w:hint="eastAsia"/>
          <w:highlight w:val="none"/>
        </w:rPr>
        <w:t xml:space="preserve">备注：1.从业人员、营业收入、资产总额填报上一年度数据，无上一年度数据的新成立企业可不填报。</w:t>
      </w:r>
      <w:r>
        <w:rPr>
          <w:highlight w:val="none"/>
        </w:rPr>
      </w:r>
    </w:p>
    <w:p>
      <w:pPr>
        <w:pStyle w:val="751"/>
        <w:ind w:firstLine="480"/>
        <w:keepLines w:val="0"/>
        <w:keepNext w:val="0"/>
        <w:pageBreakBefore w:val="0"/>
        <w:spacing w:line="360" w:lineRule="auto"/>
        <w:widowControl w:val="off"/>
        <w:rPr>
          <w:highlight w:val="none"/>
        </w:rPr>
      </w:pPr>
      <w:r>
        <w:rPr>
          <w:rFonts w:hint="eastAsia"/>
          <w:highlight w:val="none"/>
        </w:rPr>
        <w:t xml:space="preserve">2.在货物采购项目中，货物由中小企业制造，即货物由中小企业生产且使用该中小企业商号或者注册商标。供应商提供的货物既有中小企业制造货物，也有大型企业制造货物的，不享受相应扶持政策。</w:t>
      </w:r>
      <w:r>
        <w:rPr>
          <w:highlight w:val="none"/>
        </w:rPr>
      </w:r>
    </w:p>
    <w:p>
      <w:pPr>
        <w:pStyle w:val="751"/>
        <w:ind w:firstLine="480"/>
        <w:keepLines w:val="0"/>
        <w:keepNext w:val="0"/>
        <w:pageBreakBefore w:val="0"/>
        <w:spacing w:line="360" w:lineRule="auto"/>
        <w:widowControl w:val="off"/>
        <w:rPr>
          <w:highlight w:val="none"/>
        </w:rPr>
      </w:pPr>
      <w:r>
        <w:rPr>
          <w:rFonts w:hint="eastAsia"/>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highlight w:val="none"/>
        </w:rPr>
      </w:r>
    </w:p>
    <w:p>
      <w:pPr>
        <w:pStyle w:val="751"/>
        <w:ind w:firstLine="480"/>
        <w:keepLines w:val="0"/>
        <w:keepNext w:val="0"/>
        <w:pageBreakBefore w:val="0"/>
        <w:spacing w:line="360" w:lineRule="auto"/>
        <w:widowControl w:val="off"/>
        <w:rPr>
          <w:highlight w:val="none"/>
        </w:rPr>
      </w:pPr>
      <w:r>
        <w:rPr>
          <w:rFonts w:hint="eastAsia"/>
          <w:highlight w:val="none"/>
        </w:rPr>
        <w:t xml:space="preserve">4.如未对（中型企业、小型企业、微型企业）进行勾选，视同非中小微企业，不可享受相应扶持政策。</w:t>
      </w:r>
      <w:r>
        <w:rPr>
          <w:highlight w:val="none"/>
        </w:rPr>
      </w:r>
    </w:p>
    <w:p>
      <w:pPr>
        <w:pStyle w:val="751"/>
        <w:ind w:firstLine="480"/>
        <w:keepLines w:val="0"/>
        <w:keepNext w:val="0"/>
        <w:pageBreakBefore w:val="0"/>
        <w:spacing w:line="360" w:lineRule="auto"/>
        <w:widowControl w:val="off"/>
        <w:rPr>
          <w:highlight w:val="none"/>
        </w:rPr>
      </w:pPr>
      <w:r>
        <w:rPr>
          <w:rFonts w:hint="eastAsia"/>
          <w:highlight w:val="none"/>
        </w:rPr>
        <w:t xml:space="preserve">5.中标单位为中小企业的，《中小企业声明函》将随中标结果同时公告</w:t>
      </w:r>
      <w:r>
        <w:rPr>
          <w:rFonts w:hint="eastAsia"/>
          <w:highlight w:val="none"/>
          <w:lang w:val="zh-CN"/>
        </w:rPr>
        <w:t xml:space="preserve">。</w:t>
      </w:r>
      <w:r>
        <w:rPr>
          <w:highlight w:val="none"/>
        </w:rPr>
      </w:r>
    </w:p>
    <w:p>
      <w:pPr>
        <w:rPr>
          <w:rFonts w:hAnsi="宋体" w:eastAsia="宋体" w:cs="宋体"/>
          <w:sz w:val="21"/>
          <w:szCs w:val="24"/>
          <w:highlight w:val="none"/>
        </w:rPr>
      </w:pPr>
      <w:r>
        <w:rPr>
          <w:rFonts w:hAnsi="宋体" w:eastAsia="宋体" w:cs="宋体"/>
          <w:sz w:val="21"/>
          <w:szCs w:val="24"/>
          <w:highlight w:val="none"/>
          <w:lang w:val="zh-CN"/>
        </w:rPr>
        <w:br w:type="page" w:clear="all"/>
      </w:r>
      <w:r>
        <w:rPr>
          <w:highlight w:val="none"/>
        </w:rPr>
      </w:r>
    </w:p>
    <w:p>
      <w:pPr>
        <w:rPr>
          <w:rFonts w:ascii="宋体" w:hAnsi="宋体"/>
          <w:b/>
          <w:highlight w:val="none"/>
        </w:rPr>
      </w:pPr>
      <w:r>
        <w:rPr>
          <w:rFonts w:hint="eastAsia" w:ascii="宋体" w:hAnsi="宋体"/>
          <w:b/>
          <w:highlight w:val="none"/>
        </w:rPr>
        <w:t xml:space="preserve">附：中小企业划型标准规定</w:t>
      </w:r>
      <w:r>
        <w:rPr>
          <w:highlight w:val="none"/>
        </w:rPr>
      </w:r>
    </w:p>
    <w:p>
      <w:pPr>
        <w:ind w:firstLine="422"/>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p>
    <w:p>
      <w:pPr>
        <w:ind w:firstLine="422"/>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22"/>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422"/>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422"/>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422"/>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422"/>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422"/>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422"/>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422"/>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pStyle w:val="961"/>
        <w:ind w:firstLine="422"/>
        <w:rPr>
          <w:rFonts w:hAnsi="宋体" w:eastAsia="宋体" w:cs="宋体"/>
          <w:sz w:val="21"/>
          <w:szCs w:val="21"/>
          <w:highlight w:val="none"/>
        </w:rPr>
      </w:pPr>
      <w:r>
        <w:rPr>
          <w:rFonts w:hint="eastAsia" w:hAnsi="宋体" w:eastAsia="宋体"/>
          <w:b/>
          <w:sz w:val="21"/>
          <w:szCs w:val="24"/>
          <w:highlight w:val="none"/>
        </w:rPr>
        <w:t xml:space="preserve">（十六）其他未列明行业。</w:t>
      </w:r>
      <w:r>
        <w:rPr>
          <w:rFonts w:hint="eastAsia" w:hAnsi="宋体" w:eastAsia="宋体"/>
          <w:sz w:val="21"/>
          <w:szCs w:val="24"/>
          <w:highlight w:val="none"/>
        </w:rPr>
        <w:t xml:space="preserve">从业人员300人以下的为中小微型企业。其中，从业人员100人及以上的为中型企业；从业人员10人及以上的为小型企业；从业人员10人以下的为微型企业。</w:t>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rPr>
          <w:rFonts w:ascii="宋体" w:hAnsi="宋体" w:cs="宋体"/>
          <w:b/>
          <w:szCs w:val="21"/>
          <w:highlight w:val="none"/>
        </w:rPr>
      </w:pPr>
      <w:r>
        <w:rPr>
          <w:rFonts w:ascii="宋体" w:hAnsi="宋体" w:cs="宋体"/>
          <w:b/>
          <w:szCs w:val="21"/>
          <w:highlight w:val="none"/>
        </w:rPr>
        <w:br w:type="page" w:clear="all"/>
      </w:r>
      <w:r>
        <w:rPr>
          <w:highlight w:val="none"/>
        </w:rP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残疾人福利性单位声明函</w:t>
      </w:r>
      <w:r>
        <w:rPr>
          <w:highlight w:val="none"/>
        </w:rP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p>
    <w:p>
      <w:pPr>
        <w:ind w:firstLine="444"/>
        <w:keepLines w:val="0"/>
        <w:keepNext w:val="0"/>
        <w:pageBreakBefore w:val="0"/>
        <w:spacing w:line="360" w:lineRule="auto"/>
        <w:widowControl w:val="off"/>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ind w:firstLine="444"/>
        <w:keepLines w:val="0"/>
        <w:keepNext w:val="0"/>
        <w:pageBreakBefore w:val="0"/>
        <w:spacing w:line="360" w:lineRule="auto"/>
        <w:widowControl w:val="off"/>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highlight w:val="none"/>
        </w:rP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rPr>
          <w:highlight w:val="none"/>
        </w:rP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rPr>
          <w:highlight w:val="none"/>
        </w:rP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highlight w:val="none"/>
          <w:lang w:val="en-US" w:eastAsia="zh-CN"/>
        </w:rPr>
        <w:t xml:space="preserve">中华人民共和国</w:t>
      </w:r>
      <w:r>
        <w:rPr>
          <w:rFonts w:hint="eastAsia" w:ascii="宋体" w:hAnsi="宋体" w:cs="宋体"/>
          <w:spacing w:val="6"/>
          <w:szCs w:val="21"/>
          <w:highlight w:val="none"/>
        </w:rPr>
        <w:t xml:space="preserve">政府采购法》第七十七条第一款的规定追究法律责任。中标、中标单位为残疾人福利性单位的，采购单位或者其委托的采购代理机构应当随中标、成交结果同时公告其《残疾人福利性单位声明函》，接受社会监督。</w:t>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pStyle w:val="733"/>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br w:type="page" w:clear="all"/>
      </w:r>
      <w:r>
        <w:rPr>
          <w:highlight w:val="none"/>
        </w:rPr>
      </w:r>
    </w:p>
    <w:p>
      <w:pPr>
        <w:jc w:val="left"/>
        <w:rPr>
          <w:rFonts w:ascii="宋体" w:hAnsi="宋体" w:cs="宋体"/>
          <w:szCs w:val="21"/>
          <w:highlight w:val="none"/>
        </w:rPr>
        <w:outlineLvl w:val="1"/>
      </w:pPr>
      <w:r>
        <w:rPr>
          <w:rFonts w:hint="eastAsia" w:ascii="宋体" w:hAnsi="宋体" w:cs="宋体"/>
          <w:b/>
          <w:bCs/>
          <w:spacing w:val="6"/>
          <w:szCs w:val="21"/>
          <w:highlight w:val="none"/>
        </w:rPr>
        <w:t xml:space="preserve">附件1</w:t>
      </w:r>
      <w:r>
        <w:rPr>
          <w:rFonts w:hint="eastAsia" w:ascii="宋体" w:hAnsi="宋体" w:cs="宋体"/>
          <w:b/>
          <w:bCs/>
          <w:spacing w:val="6"/>
          <w:szCs w:val="21"/>
          <w:highlight w:val="none"/>
          <w:lang w:val="en-US" w:eastAsia="zh-CN"/>
        </w:rPr>
        <w:t xml:space="preserve">4、</w:t>
      </w:r>
      <w:r>
        <w:rPr>
          <w:rFonts w:hint="eastAsia" w:ascii="宋体" w:hAnsi="宋体" w:cs="宋体"/>
          <w:b/>
          <w:szCs w:val="21"/>
          <w:highlight w:val="none"/>
        </w:rPr>
        <w:t xml:space="preserve">关于符合本国产品标准的声明函</w:t>
      </w:r>
      <w:r>
        <w:rPr>
          <w:highlight w:val="none"/>
        </w:rPr>
      </w:r>
    </w:p>
    <w:p>
      <w:pPr>
        <w:pStyle w:val="755"/>
        <w:ind w:firstLine="420"/>
        <w:spacing w:beforeAutospacing="0" w:afterAutospacing="0" w:line="0" w:lineRule="atLeast"/>
        <w:rPr>
          <w:rFonts w:ascii="宋体" w:hAnsi="宋体" w:cs="宋体"/>
          <w:sz w:val="21"/>
          <w:szCs w:val="21"/>
          <w:highlight w:val="none"/>
        </w:rPr>
      </w:pPr>
      <w:r>
        <w:rPr>
          <w:rFonts w:ascii="宋体" w:hAnsi="宋体" w:cs="宋体"/>
          <w:sz w:val="21"/>
          <w:szCs w:val="21"/>
          <w:highlight w:val="none"/>
        </w:rPr>
      </w:r>
      <w:r>
        <w:rPr>
          <w:highlight w:val="none"/>
        </w:rPr>
      </w:r>
    </w:p>
    <w:p>
      <w:pPr>
        <w:pStyle w:val="755"/>
        <w:ind w:firstLine="0"/>
        <w:jc w:val="center"/>
        <w:keepLines w:val="0"/>
        <w:keepNext w:val="0"/>
        <w:pageBreakBefore w:val="0"/>
        <w:spacing w:beforeAutospacing="0" w:afterAutospacing="0" w:line="0" w:lineRule="atLeast"/>
        <w:widowControl w:val="off"/>
        <w:rPr>
          <w:rFonts w:ascii="宋体" w:hAnsi="宋体" w:cs="宋体"/>
          <w:b/>
          <w:sz w:val="21"/>
          <w:szCs w:val="21"/>
          <w:highlight w:val="none"/>
        </w:rPr>
      </w:pPr>
      <w:r>
        <w:rPr>
          <w:rFonts w:hint="eastAsia" w:ascii="宋体" w:hAnsi="宋体" w:cs="宋体"/>
          <w:b/>
          <w:sz w:val="21"/>
          <w:szCs w:val="21"/>
          <w:highlight w:val="none"/>
        </w:rPr>
        <w:t xml:space="preserve">关于符合本国产品标准的声明函</w:t>
      </w:r>
      <w:r>
        <w:rPr>
          <w:highlight w:val="none"/>
        </w:rPr>
      </w:r>
    </w:p>
    <w:p>
      <w:pPr>
        <w:pStyle w:val="755"/>
        <w:ind w:firstLine="420"/>
        <w:jc w:val="center"/>
        <w:spacing w:beforeAutospacing="0" w:afterAutospacing="0" w:line="0" w:lineRule="atLeast"/>
        <w:rPr>
          <w:rFonts w:ascii="宋体" w:hAnsi="宋体" w:cs="宋体"/>
          <w:b/>
          <w:sz w:val="21"/>
          <w:szCs w:val="21"/>
          <w:highlight w:val="none"/>
        </w:rPr>
      </w:pPr>
      <w:r>
        <w:rPr>
          <w:rFonts w:ascii="宋体" w:hAnsi="宋体" w:cs="宋体"/>
          <w:b/>
          <w:sz w:val="21"/>
          <w:szCs w:val="21"/>
          <w:highlight w:val="none"/>
        </w:rPr>
      </w:r>
      <w:r>
        <w:rPr>
          <w:highlight w:val="none"/>
        </w:rPr>
      </w:r>
    </w:p>
    <w:p>
      <w:pPr>
        <w:pStyle w:val="755"/>
        <w:ind w:firstLine="420"/>
        <w:spacing w:beforeAutospacing="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本公司</w:t>
      </w:r>
      <w:r>
        <w:rPr>
          <w:rFonts w:hint="eastAsia" w:ascii="宋体" w:hAnsi="宋体" w:cs="宋体"/>
          <w:sz w:val="21"/>
          <w:szCs w:val="21"/>
          <w:highlight w:val="none"/>
          <w:u w:val="single"/>
        </w:rPr>
        <w:t xml:space="preserve">（单位）</w:t>
      </w:r>
      <w:r>
        <w:rPr>
          <w:rFonts w:hint="eastAsia" w:ascii="宋体" w:hAnsi="宋体" w:cs="宋体"/>
          <w:sz w:val="21"/>
          <w:szCs w:val="21"/>
          <w:highlight w:val="none"/>
        </w:rPr>
        <w:t xml:space="preserve">郑重声明，根据《国务院办公厅关于在政府采购中实施本国产品标准及相关政策的通知》（国办发〔2025〕34号）的规定，本公司</w:t>
      </w:r>
      <w:r>
        <w:rPr>
          <w:rFonts w:hint="eastAsia" w:ascii="宋体" w:hAnsi="宋体" w:cs="宋体"/>
          <w:sz w:val="21"/>
          <w:szCs w:val="21"/>
          <w:highlight w:val="none"/>
          <w:u w:val="single"/>
        </w:rPr>
        <w:t xml:space="preserve">（单位）</w:t>
      </w:r>
      <w:r>
        <w:rPr>
          <w:rFonts w:hint="eastAsia" w:ascii="宋体" w:hAnsi="宋体" w:cs="宋体"/>
          <w:sz w:val="21"/>
          <w:szCs w:val="21"/>
          <w:highlight w:val="none"/>
        </w:rPr>
        <w:t xml:space="preserve">提供的以下产品属于本国产品。具体情况如下：</w:t>
      </w:r>
      <w:r>
        <w:rPr>
          <w:highlight w:val="none"/>
        </w:rPr>
      </w:r>
    </w:p>
    <w:p>
      <w:pPr>
        <w:pStyle w:val="755"/>
        <w:ind w:firstLine="420"/>
        <w:spacing w:before="30" w:beforeAutospacing="0" w:after="30" w:afterAutospacing="0" w:line="360" w:lineRule="auto"/>
        <w:rPr>
          <w:rFonts w:ascii="宋体" w:hAnsi="宋体" w:cs="宋体"/>
          <w:sz w:val="21"/>
          <w:szCs w:val="21"/>
          <w:highlight w:val="none"/>
        </w:rPr>
      </w:pP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845820</wp:posOffset>
                </wp:positionH>
                <wp:positionV relativeFrom="paragraph">
                  <wp:posOffset>586105</wp:posOffset>
                </wp:positionV>
                <wp:extent cx="364490" cy="97790"/>
                <wp:effectExtent l="0" t="0" r="0" b="0"/>
                <wp:wrapNone/>
                <wp:docPr id="3"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66.6pt;mso-position-horizontal:absolute;mso-position-vertical-relative:text;margin-top:46.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5434330</wp:posOffset>
                </wp:positionH>
                <wp:positionV relativeFrom="paragraph">
                  <wp:posOffset>318135</wp:posOffset>
                </wp:positionV>
                <wp:extent cx="196215" cy="97790"/>
                <wp:effectExtent l="0" t="0" r="0" b="0"/>
                <wp:wrapNone/>
                <wp:docPr id="4"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6432;o:allowoverlap:true;o:allowincell:true;mso-position-horizontal-relative:text;margin-left:427.9pt;mso-position-horizontal:absolute;mso-position-vertical-relative:text;margin-top:25.0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3312160</wp:posOffset>
                </wp:positionH>
                <wp:positionV relativeFrom="paragraph">
                  <wp:posOffset>326390</wp:posOffset>
                </wp:positionV>
                <wp:extent cx="816610" cy="103505"/>
                <wp:effectExtent l="0" t="0" r="0" b="0"/>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60.8pt;mso-position-horizontal:absolute;mso-position-vertical-relative:text;margin-top:25.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2290445</wp:posOffset>
                </wp:positionH>
                <wp:positionV relativeFrom="paragraph">
                  <wp:posOffset>339725</wp:posOffset>
                </wp:positionV>
                <wp:extent cx="816610" cy="76200"/>
                <wp:effectExtent l="0" t="0" r="0" b="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0.3pt;mso-position-horizontal:absolute;mso-position-vertical-relative:text;margin-top:26.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1503680</wp:posOffset>
                </wp:positionH>
                <wp:positionV relativeFrom="paragraph">
                  <wp:posOffset>276860</wp:posOffset>
                </wp:positionV>
                <wp:extent cx="565785" cy="13081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118.4pt;mso-position-horizontal:absolute;mso-position-vertical-relative:text;margin-top:21.8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highlight w:val="none"/>
          <w:shd w:val="clear" w:color="auto" w:fill="ffffff"/>
        </w:rPr>
        <w:t xml:space="preserve">1.</w:t>
      </w:r>
      <w:r>
        <w:rPr>
          <w:rStyle w:val="763"/>
          <w:rFonts w:hint="eastAsia" w:ascii="宋体" w:hAnsi="宋体" w:cs="宋体"/>
          <w:i w:val="0"/>
          <w:sz w:val="21"/>
          <w:szCs w:val="21"/>
          <w:highlight w:val="none"/>
          <w:u w:val="single"/>
          <w:shd w:val="clear" w:color="auto" w:fill="ffffff"/>
        </w:rPr>
        <w:t xml:space="preserve">（产品名称1）</w:t>
      </w:r>
      <w:r>
        <w:rPr>
          <w:rStyle w:val="763"/>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763"/>
          <w:rFonts w:hint="eastAsia" w:ascii="宋体" w:hAnsi="宋体" w:cs="宋体"/>
          <w:i w:val="0"/>
          <w:sz w:val="21"/>
          <w:szCs w:val="21"/>
          <w:highlight w:val="none"/>
          <w:u w:val="single"/>
          <w:shd w:val="clear" w:color="auto" w:fill="ffffff"/>
        </w:rPr>
        <w:t xml:space="preserve">（厂名）</w:t>
      </w:r>
      <w:r>
        <w:rPr>
          <w:rStyle w:val="763"/>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763"/>
          <w:rFonts w:hint="eastAsia" w:ascii="宋体" w:hAnsi="宋体" w:cs="宋体"/>
          <w:i w:val="0"/>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Style w:val="763"/>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763"/>
          <w:rFonts w:hint="eastAsia" w:ascii="宋体" w:hAnsi="宋体" w:cs="宋体"/>
          <w:i w:val="0"/>
          <w:sz w:val="21"/>
          <w:szCs w:val="21"/>
          <w:highlight w:val="none"/>
          <w:u w:val="single"/>
          <w:shd w:val="clear" w:color="auto" w:fill="ffffff"/>
        </w:rPr>
        <w:t xml:space="preserve">（规定比例）</w:t>
      </w:r>
      <w:r>
        <w:rPr>
          <w:rStyle w:val="763"/>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763"/>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63"/>
          <w:rFonts w:hint="eastAsia" w:ascii="宋体" w:hAnsi="宋体" w:cs="宋体"/>
          <w:i w:val="0"/>
          <w:sz w:val="21"/>
          <w:szCs w:val="21"/>
          <w:highlight w:val="none"/>
          <w:u w:val="single"/>
          <w:shd w:val="clear" w:color="auto" w:fill="ffffff"/>
        </w:rPr>
        <w:t xml:space="preserve">（关键组件）</w:t>
      </w:r>
      <w:r>
        <w:rPr>
          <w:rStyle w:val="763"/>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763"/>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63"/>
          <w:rFonts w:hint="eastAsia" w:ascii="宋体" w:hAnsi="宋体" w:cs="宋体"/>
          <w:i w:val="0"/>
          <w:sz w:val="21"/>
          <w:szCs w:val="21"/>
          <w:highlight w:val="none"/>
          <w:u w:val="single"/>
          <w:shd w:val="clear" w:color="auto" w:fill="ffffff"/>
        </w:rPr>
        <w:t xml:space="preserve">（关键工序）</w:t>
      </w:r>
      <w:r>
        <w:rPr>
          <w:rStyle w:val="763"/>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rPr>
          <w:highlight w:val="none"/>
        </w:rPr>
      </w:r>
    </w:p>
    <w:p>
      <w:pPr>
        <w:pStyle w:val="755"/>
        <w:ind w:firstLine="420"/>
        <w:spacing w:before="30" w:beforeAutospacing="0" w:after="30" w:afterAutospacing="0" w:line="360" w:lineRule="auto"/>
        <w:rPr>
          <w:rFonts w:ascii="宋体" w:hAnsi="宋体" w:cs="宋体"/>
          <w:sz w:val="21"/>
          <w:szCs w:val="21"/>
          <w:highlight w:val="none"/>
        </w:rPr>
      </w:pP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5208270</wp:posOffset>
                </wp:positionH>
                <wp:positionV relativeFrom="paragraph">
                  <wp:posOffset>287655</wp:posOffset>
                </wp:positionV>
                <wp:extent cx="462280" cy="147320"/>
                <wp:effectExtent l="0" t="0" r="0" b="0"/>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410.1pt;mso-position-horizontal:absolute;mso-position-vertical-relative:text;margin-top:22.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wp:posOffset>
                </wp:positionH>
                <wp:positionV relativeFrom="paragraph">
                  <wp:posOffset>570865</wp:posOffset>
                </wp:positionV>
                <wp:extent cx="718185" cy="97790"/>
                <wp:effectExtent l="0" t="0" r="0" b="0"/>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32.1pt;mso-position-horizontal:absolute;mso-position-vertical-relative:text;margin-top:44.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3140075</wp:posOffset>
                </wp:positionH>
                <wp:positionV relativeFrom="paragraph">
                  <wp:posOffset>311785</wp:posOffset>
                </wp:positionV>
                <wp:extent cx="849630" cy="120015"/>
                <wp:effectExtent l="0" t="0" r="0" b="0"/>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247.2pt;mso-position-horizontal:absolute;mso-position-vertical-relative:text;margin-top:24.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2156460</wp:posOffset>
                </wp:positionH>
                <wp:positionV relativeFrom="paragraph">
                  <wp:posOffset>270510</wp:posOffset>
                </wp:positionV>
                <wp:extent cx="843915" cy="125730"/>
                <wp:effectExtent l="0" t="0" r="0" b="0"/>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169.8pt;mso-position-horizontal:absolute;mso-position-vertical-relative:text;margin-top:21.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1153160</wp:posOffset>
                </wp:positionH>
                <wp:positionV relativeFrom="paragraph">
                  <wp:posOffset>294005</wp:posOffset>
                </wp:positionV>
                <wp:extent cx="876300" cy="120015"/>
                <wp:effectExtent l="0" t="0" r="0" b="0"/>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90.8pt;mso-position-horizontal:absolute;mso-position-vertical-relative:text;margin-top:23.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4108450</wp:posOffset>
                </wp:positionH>
                <wp:positionV relativeFrom="paragraph">
                  <wp:posOffset>71120</wp:posOffset>
                </wp:positionV>
                <wp:extent cx="424815" cy="112395"/>
                <wp:effectExtent l="0" t="0" r="0" b="0"/>
                <wp:wrapNone/>
                <wp:docPr id="14"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23.5pt;mso-position-horizontal:absolute;mso-position-vertical-relative:text;margin-top:5.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highlight w:val="none"/>
          <w:shd w:val="clear" w:color="auto" w:fill="ffffff"/>
        </w:rPr>
        <w:t xml:space="preserve">2.</w:t>
      </w:r>
      <w:r>
        <w:rPr>
          <w:rStyle w:val="763"/>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，生产厂为</w:t>
      </w:r>
      <w:r>
        <w:rPr>
          <w:rStyle w:val="763"/>
          <w:rFonts w:hint="eastAsia" w:ascii="宋体" w:hAnsi="宋体" w:cs="宋体"/>
          <w:i w:val="0"/>
          <w:sz w:val="21"/>
          <w:szCs w:val="21"/>
          <w:highlight w:val="none"/>
          <w:u w:val="single"/>
          <w:shd w:val="clear" w:color="auto" w:fill="ffffff"/>
        </w:rPr>
        <w:t xml:space="preserve">（厂名）</w:t>
      </w:r>
      <w:r>
        <w:rPr>
          <w:rFonts w:hint="eastAsia" w:ascii="宋体" w:hAnsi="宋体" w:cs="宋体"/>
          <w:sz w:val="21"/>
          <w:szCs w:val="21"/>
          <w:highlight w:val="none"/>
          <w:shd w:val="clear" w:color="auto" w:fill="ffffff"/>
        </w:rPr>
        <w:t xml:space="preserve">，厂址为</w:t>
      </w:r>
      <w:r>
        <w:rPr>
          <w:rStyle w:val="763"/>
          <w:rFonts w:hint="eastAsia" w:ascii="宋体" w:hAnsi="宋体" w:cs="宋体"/>
          <w:i w:val="0"/>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Style w:val="763"/>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的中国境内生产的组件成本占比≥</w:t>
      </w:r>
      <w:r>
        <w:rPr>
          <w:rStyle w:val="763"/>
          <w:rFonts w:hint="eastAsia" w:ascii="宋体" w:hAnsi="宋体" w:cs="宋体"/>
          <w:i w:val="0"/>
          <w:sz w:val="21"/>
          <w:szCs w:val="21"/>
          <w:highlight w:val="none"/>
          <w:u w:val="singl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763"/>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w:t>
      </w:r>
      <w:r>
        <w:rPr>
          <w:rStyle w:val="763"/>
          <w:rFonts w:hint="eastAsia" w:ascii="宋体" w:hAnsi="宋体" w:cs="宋体"/>
          <w:i w:val="0"/>
          <w:sz w:val="21"/>
          <w:szCs w:val="21"/>
          <w:highlight w:val="none"/>
          <w:u w:val="single"/>
          <w:shd w:val="clear" w:color="auto" w:fill="ffffff"/>
        </w:rPr>
        <w:t xml:space="preserve">（关键组件）</w:t>
      </w:r>
      <w:r>
        <w:rPr>
          <w:rFonts w:hint="eastAsia" w:ascii="宋体" w:hAnsi="宋体" w:cs="宋体"/>
          <w:sz w:val="21"/>
          <w:szCs w:val="21"/>
          <w:highlight w:val="none"/>
          <w:shd w:val="clear" w:color="auto" w:fill="ffffff"/>
        </w:rPr>
        <w:t xml:space="preserve">在中国境内生产。</w:t>
      </w:r>
      <w:r>
        <w:rPr>
          <w:rStyle w:val="763"/>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63"/>
          <w:rFonts w:hint="eastAsia" w:ascii="宋体" w:hAnsi="宋体" w:cs="宋体"/>
          <w:i w:val="0"/>
          <w:sz w:val="21"/>
          <w:szCs w:val="21"/>
          <w:highlight w:val="none"/>
          <w:u w:val="single"/>
          <w:shd w:val="clear" w:color="auto" w:fill="ffffff"/>
        </w:rPr>
        <w:t xml:space="preserve">（关键工序）</w:t>
      </w:r>
      <w:r>
        <w:rPr>
          <w:rFonts w:hint="eastAsia" w:ascii="宋体" w:hAnsi="宋体" w:cs="宋体"/>
          <w:sz w:val="21"/>
          <w:szCs w:val="21"/>
          <w:highlight w:val="none"/>
          <w:shd w:val="clear" w:color="auto" w:fill="ffffff"/>
        </w:rPr>
        <w:t xml:space="preserve">在中国境内完成。</w:t>
      </w:r>
      <w:r>
        <w:rPr>
          <w:highlight w:val="none"/>
        </w:rPr>
      </w:r>
    </w:p>
    <w:p>
      <w:pPr>
        <w:pStyle w:val="755"/>
        <w:ind w:firstLine="420"/>
        <w:spacing w:before="30" w:beforeAutospacing="0" w:after="30" w:afterAutospacing="0" w:line="360" w:lineRule="auto"/>
        <w:rPr>
          <w:rFonts w:ascii="宋体" w:hAnsi="宋体" w:cs="宋体"/>
          <w:sz w:val="21"/>
          <w:szCs w:val="21"/>
          <w:highlight w:val="none"/>
        </w:rPr>
      </w:pPr>
      <w:r>
        <w:rPr>
          <w:rFonts w:hint="eastAsia" w:ascii="宋体" w:hAnsi="宋体" w:cs="宋体"/>
          <w:sz w:val="21"/>
          <w:szCs w:val="21"/>
          <w:highlight w:val="none"/>
          <w:shd w:val="clear" w:color="auto" w:fill="ffffff"/>
        </w:rPr>
        <w:t xml:space="preserve">……</w:t>
      </w:r>
      <w:r>
        <w:rPr>
          <w:highlight w:val="none"/>
        </w:rPr>
      </w:r>
    </w:p>
    <w:p>
      <w:pPr>
        <w:pStyle w:val="755"/>
        <w:ind w:firstLine="420"/>
        <w:spacing w:before="30" w:beforeAutospacing="0" w:after="30" w:afterAutospacing="0" w:line="360" w:lineRule="auto"/>
        <w:rPr>
          <w:rFonts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ascii="宋体" w:hAnsi="宋体" w:cs="宋体"/>
          <w:sz w:val="21"/>
          <w:szCs w:val="21"/>
          <w:highlight w:val="none"/>
        </w:rPr>
      </w:r>
      <w:r>
        <w:rPr>
          <w:highlight w:val="none"/>
        </w:rPr>
      </w:r>
    </w:p>
    <w:p>
      <w:pPr>
        <w:pStyle w:val="755"/>
        <w:ind w:right="480" w:firstLine="451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rPr>
          <w:highlight w:val="none"/>
        </w:rPr>
      </w:r>
    </w:p>
    <w:p>
      <w:pPr>
        <w:pStyle w:val="755"/>
        <w:jc w:val="center"/>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                                日期：　   年　  月　  日         </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rPr>
          <w:highlight w:val="none"/>
        </w:rPr>
      </w:r>
    </w:p>
    <w:p>
      <w:pPr>
        <w:pStyle w:val="75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rPr>
          <w:highlight w:val="none"/>
        </w:rPr>
      </w:r>
    </w:p>
    <w:p>
      <w:pPr>
        <w:pStyle w:val="755"/>
        <w:spacing w:before="30" w:beforeAutospacing="0" w:after="30" w:afterAutospacing="0" w:line="0" w:lineRule="atLeast"/>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5.该产品的关键工序要求实施前，“关键工序”栏可不填，下同。</w:t>
      </w:r>
      <w:r>
        <w:rPr>
          <w:highlight w:val="none"/>
        </w:rPr>
      </w:r>
    </w:p>
    <w:p>
      <w:pPr>
        <w:jc w:val="left"/>
        <w:spacing w:line="360" w:lineRule="auto"/>
        <w:rPr>
          <w:rFonts w:ascii="宋体" w:hAnsi="宋体" w:cs="宋体"/>
          <w:spacing w:val="6"/>
          <w:szCs w:val="21"/>
          <w:highlight w:val="none"/>
        </w:rPr>
      </w:pPr>
      <w:r>
        <w:rPr>
          <w:rFonts w:hint="eastAsia" w:ascii="宋体" w:hAnsi="宋体" w:cs="宋体"/>
          <w:szCs w:val="21"/>
          <w:highlight w:val="none"/>
          <w:shd w:val="clear" w:color="auto" w:fill="ffffff"/>
        </w:rPr>
        <w:t xml:space="preserve">6.用斜线划除的地方无需填写。</w:t>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p>
    <w:p>
      <w:pPr>
        <w:rPr>
          <w:rFonts w:ascii="宋体" w:hAnsi="宋体" w:cs="宋体"/>
          <w:spacing w:val="6"/>
          <w:szCs w:val="21"/>
          <w:highlight w:val="none"/>
        </w:rPr>
      </w:pPr>
      <w:r>
        <w:rPr>
          <w:rFonts w:ascii="宋体" w:hAnsi="宋体" w:cs="宋体"/>
          <w:spacing w:val="6"/>
          <w:szCs w:val="21"/>
          <w:highlight w:val="none"/>
        </w:rPr>
        <w:br w:type="page" w:clear="all"/>
      </w:r>
      <w:r>
        <w:rPr>
          <w:highlight w:val="none"/>
        </w:rPr>
      </w:r>
    </w:p>
    <w:p>
      <w:pPr>
        <w:jc w:val="left"/>
        <w:spacing w:line="360" w:lineRule="auto"/>
        <w:rPr>
          <w:rFonts w:ascii="宋体" w:hAnsi="宋体" w:cs="宋体"/>
          <w:b/>
          <w:bCs/>
          <w:szCs w:val="21"/>
          <w:highlight w:val="none"/>
        </w:rPr>
        <w:outlineLvl w:val="1"/>
      </w:pPr>
      <w:r>
        <w:rPr>
          <w:rFonts w:hint="eastAsia" w:ascii="宋体" w:hAnsi="宋体" w:cs="宋体"/>
          <w:b/>
          <w:bCs/>
          <w:spacing w:val="6"/>
          <w:szCs w:val="21"/>
          <w:highlight w:val="none"/>
        </w:rPr>
        <w:t xml:space="preserve">附件1</w:t>
      </w:r>
      <w:r>
        <w:rPr>
          <w:rFonts w:hint="eastAsia" w:ascii="宋体" w:hAnsi="宋体" w:cs="宋体"/>
          <w:b/>
          <w:bCs/>
          <w:spacing w:val="6"/>
          <w:szCs w:val="21"/>
          <w:highlight w:val="none"/>
          <w:lang w:val="en-US" w:eastAsia="zh-CN"/>
        </w:rPr>
        <w:t xml:space="preserve">5、</w:t>
      </w:r>
      <w:r>
        <w:rPr>
          <w:rFonts w:hint="eastAsia" w:ascii="宋体" w:hAnsi="宋体" w:cs="宋体"/>
          <w:b/>
          <w:bCs/>
          <w:spacing w:val="6"/>
          <w:szCs w:val="21"/>
          <w:highlight w:val="none"/>
        </w:rPr>
        <w:t xml:space="preserve">政府采购合同信用融资政策告知函（本附件无需签章放置投标文件中）</w:t>
      </w:r>
      <w:r>
        <w:rPr>
          <w:highlight w:val="none"/>
        </w:rPr>
      </w:r>
    </w:p>
    <w:p>
      <w:pPr>
        <w:spacing w:line="360" w:lineRule="auto"/>
        <w:rPr>
          <w:rFonts w:ascii="宋体" w:hAnsi="宋体" w:cs="宋体"/>
          <w:b/>
          <w:szCs w:val="21"/>
          <w:highlight w:val="none"/>
        </w:rPr>
      </w:pPr>
      <w:r>
        <w:rPr>
          <w:rFonts w:ascii="宋体" w:hAnsi="宋体" w:cs="宋体"/>
          <w:b/>
          <w:szCs w:val="21"/>
          <w:highlight w:val="none"/>
        </w:rPr>
      </w:r>
      <w:r>
        <w:rPr>
          <w:highlight w:val="none"/>
        </w:rPr>
      </w:r>
    </w:p>
    <w:p>
      <w:pPr>
        <w:jc w:val="center"/>
        <w:spacing w:line="360" w:lineRule="auto"/>
        <w:rPr>
          <w:rFonts w:ascii="宋体" w:hAnsi="宋体" w:cs="宋体"/>
          <w:b/>
          <w:szCs w:val="21"/>
          <w:highlight w:val="none"/>
        </w:rPr>
      </w:pPr>
      <w:r>
        <w:rPr>
          <w:rFonts w:hint="eastAsia" w:ascii="宋体" w:hAnsi="宋体" w:cs="宋体"/>
          <w:b/>
          <w:bCs/>
          <w:spacing w:val="6"/>
          <w:szCs w:val="21"/>
          <w:highlight w:val="none"/>
        </w:rPr>
        <w:t xml:space="preserve">政府采购合同信用融资政策告知函</w:t>
      </w:r>
      <w:r>
        <w:rPr>
          <w:highlight w:val="none"/>
        </w:rPr>
      </w:r>
    </w:p>
    <w:p>
      <w:pPr>
        <w:spacing w:line="360" w:lineRule="auto"/>
        <w:rPr>
          <w:rFonts w:ascii="宋体" w:hAnsi="宋体" w:cs="宋体"/>
          <w:b/>
          <w:szCs w:val="21"/>
          <w:highlight w:val="none"/>
        </w:rPr>
      </w:pPr>
      <w:r>
        <w:rPr>
          <w:rFonts w:ascii="宋体" w:hAnsi="宋体" w:cs="宋体"/>
          <w:b/>
          <w:szCs w:val="21"/>
          <w:highlight w:val="none"/>
        </w:rPr>
      </w:r>
      <w:r>
        <w:rPr>
          <w:highlight w:val="none"/>
        </w:rPr>
      </w:r>
    </w:p>
    <w:p>
      <w:pPr>
        <w:spacing w:line="360" w:lineRule="auto"/>
        <w:rPr>
          <w:rFonts w:ascii="宋体" w:hAnsi="宋体" w:cs="宋体"/>
          <w:b/>
          <w:szCs w:val="21"/>
          <w:highlight w:val="none"/>
        </w:rPr>
      </w:pPr>
      <w:r>
        <w:rPr>
          <w:rFonts w:hint="eastAsia" w:ascii="宋体" w:hAnsi="宋体" w:cs="宋体"/>
          <w:b/>
          <w:szCs w:val="21"/>
          <w:highlight w:val="none"/>
        </w:rPr>
        <w:t xml:space="preserve">各政府采购供应商:</w:t>
      </w:r>
      <w:r>
        <w:rPr>
          <w:highlight w:val="none"/>
        </w:rP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欢迎贵公司参加苏州市政府采购活动！</w:t>
      </w:r>
      <w:r>
        <w:rPr>
          <w:highlight w:val="none"/>
        </w:rPr>
      </w:r>
    </w:p>
    <w:p>
      <w:pPr>
        <w:pStyle w:val="733"/>
        <w:ind w:firstLine="42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1"/>
      <w:r>
        <w:rPr>
          <w:highlight w:val="none"/>
        </w:rPr>
      </w:r>
      <w:bookmarkEnd w:id="52"/>
      <w:r>
        <w:rPr>
          <w:highlight w:val="none"/>
        </w:rPr>
      </w:r>
      <w:bookmarkEnd w:id="53"/>
      <w:r>
        <w:rPr>
          <w:highlight w:val="none"/>
        </w:rPr>
      </w:r>
      <w:bookmarkEnd w:id="54"/>
      <w:r>
        <w:rPr>
          <w:highlight w:val="none"/>
        </w:rPr>
      </w:r>
      <w:r>
        <w:rPr>
          <w:highlight w:val="none"/>
        </w:rPr>
      </w:r>
    </w:p>
    <w:p>
      <w:pPr>
        <w:pStyle w:val="733"/>
        <w:rPr>
          <w:rFonts w:hint="eastAsia" w:ascii="宋体" w:hAnsi="宋体" w:cs="宋体"/>
          <w:sz w:val="21"/>
          <w:szCs w:val="21"/>
          <w:highlight w:val="none"/>
        </w:rPr>
      </w:pPr>
      <w:r>
        <w:rPr>
          <w:rFonts w:hint="eastAsia" w:ascii="宋体" w:hAnsi="宋体" w:cs="宋体"/>
          <w:sz w:val="21"/>
          <w:szCs w:val="21"/>
          <w:highlight w:val="none"/>
        </w:rPr>
      </w:r>
      <w:r>
        <w:rPr>
          <w:highlight w:val="none"/>
        </w:rPr>
      </w:r>
    </w:p>
    <w:p>
      <w:pPr>
        <w:pStyle w:val="733"/>
        <w:rPr>
          <w:rFonts w:hint="eastAsia" w:ascii="宋体" w:hAnsi="宋体" w:cs="宋体"/>
          <w:sz w:val="21"/>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highlight w:val="none"/>
        </w:rPr>
      </w:r>
      <w:r>
        <w:rPr>
          <w:highlight w:val="none"/>
        </w:rPr>
      </w:r>
    </w:p>
    <w:p>
      <w:pPr>
        <w:pStyle w:val="746"/>
        <w:ind w:firstLine="0"/>
        <w:jc w:val="center"/>
        <w:keepLines w:val="0"/>
        <w:keepNext w:val="0"/>
        <w:pageBreakBefore/>
        <w:spacing w:line="360" w:lineRule="auto"/>
        <w:widowControl w:val="off"/>
        <w:tabs>
          <w:tab w:val="right" w:pos="8302" w:leader="dot"/>
        </w:tabs>
        <w:rPr>
          <w:rStyle w:val="760"/>
          <w:rFonts w:ascii="宋体" w:hAnsi="宋体" w:cs="宋体"/>
          <w:sz w:val="32"/>
          <w:szCs w:val="32"/>
          <w:highlight w:val="none"/>
        </w:rPr>
        <w:outlineLvl w:val="0"/>
      </w:pPr>
      <w:r>
        <w:rPr>
          <w:rStyle w:val="760"/>
          <w:rFonts w:hint="eastAsia" w:ascii="宋体" w:hAnsi="宋体" w:cs="宋体"/>
          <w:sz w:val="32"/>
          <w:szCs w:val="32"/>
          <w:highlight w:val="none"/>
        </w:rPr>
        <w:t xml:space="preserve">第四章</w:t>
      </w:r>
      <w:r>
        <w:rPr>
          <w:rStyle w:val="760"/>
          <w:rFonts w:hint="eastAsia" w:ascii="宋体" w:hAnsi="宋体" w:eastAsia="宋体" w:cs="宋体"/>
          <w:sz w:val="32"/>
          <w:szCs w:val="32"/>
          <w:highlight w:val="none"/>
          <w:lang w:val="en-US" w:eastAsia="zh-CN"/>
        </w:rPr>
        <w:t xml:space="preserve">  </w:t>
      </w:r>
      <w:r>
        <w:rPr>
          <w:rStyle w:val="760"/>
          <w:rFonts w:hint="eastAsia" w:ascii="宋体" w:hAnsi="宋体" w:cs="宋体"/>
          <w:sz w:val="32"/>
          <w:szCs w:val="32"/>
          <w:highlight w:val="none"/>
        </w:rPr>
        <w:t xml:space="preserve">招标书</w:t>
      </w:r>
      <w:r>
        <w:rPr>
          <w:highlight w:val="none"/>
        </w:rPr>
      </w:r>
    </w:p>
    <w:p>
      <w:pPr>
        <w:ind w:firstLine="420"/>
        <w:spacing w:line="360" w:lineRule="auto"/>
        <w:rPr>
          <w:rFonts w:hint="eastAsia" w:ascii="宋体" w:hAnsi="宋体" w:eastAsia="宋体" w:cs="宋体"/>
          <w:szCs w:val="21"/>
          <w:highlight w:val="none"/>
        </w:rPr>
      </w:pPr>
      <w:r>
        <w:rPr>
          <w:highlight w:val="none"/>
        </w:rPr>
      </w:r>
      <w:bookmarkStart w:id="55" w:name="XTDLJG_1"/>
      <w:r>
        <w:rPr>
          <w:rFonts w:hint="eastAsia" w:ascii="宋体" w:hAnsi="宋体" w:eastAsia="宋体" w:cs="宋体"/>
          <w:color w:val="auto"/>
          <w:sz w:val="21"/>
          <w:szCs w:val="21"/>
          <w:highlight w:val="none"/>
          <w:lang w:eastAsia="zh-CN"/>
        </w:rPr>
        <w:t xml:space="preserve">苏州恒缘祥咨询管理有限公司</w:t>
      </w:r>
      <w:r>
        <w:rPr>
          <w:rFonts w:hint="eastAsia" w:ascii="宋体" w:hAnsi="宋体" w:eastAsia="宋体" w:cs="宋体"/>
          <w:color w:val="auto"/>
          <w:sz w:val="21"/>
          <w:szCs w:val="21"/>
          <w:highlight w:val="none"/>
        </w:rPr>
        <w:t xml:space="preserve">受</w:t>
      </w:r>
      <w:r>
        <w:rPr>
          <w:rFonts w:hint="eastAsia" w:ascii="宋体" w:hAnsi="宋体" w:eastAsia="宋体" w:cs="宋体"/>
          <w:bCs/>
          <w:szCs w:val="21"/>
          <w:highlight w:val="none"/>
          <w:lang w:eastAsia="zh-CN"/>
        </w:rPr>
        <w:t xml:space="preserve">苏州市吴江区七都镇人民政府</w:t>
      </w:r>
      <w:r>
        <w:rPr>
          <w:rFonts w:hint="eastAsia" w:ascii="宋体" w:hAnsi="宋体" w:eastAsia="宋体" w:cs="宋体"/>
          <w:color w:val="auto"/>
          <w:sz w:val="21"/>
          <w:szCs w:val="21"/>
          <w:highlight w:val="none"/>
        </w:rPr>
        <w:t xml:space="preserve">的委托，就其所需的</w:t>
      </w:r>
      <w:r>
        <w:rPr>
          <w:rFonts w:hint="eastAsia" w:ascii="宋体" w:hAnsi="宋体" w:eastAsia="宋体" w:cs="宋体"/>
          <w:highlight w:val="none"/>
          <w:lang w:val="zh-CN"/>
        </w:rPr>
        <w:t xml:space="preserve">消防中队器材装备、灭火防护装备</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rPr>
        <w:t xml:space="preserve">方式进行采购，欢迎有资格的供应商前来参加本次采购活动。</w:t>
      </w:r>
      <w:r>
        <w:rPr>
          <w:highlight w:val="none"/>
        </w:rPr>
      </w:r>
    </w:p>
    <w:p>
      <w:pPr>
        <w:numPr>
          <w:ilvl w:val="1"/>
          <w:numId w:val="0"/>
        </w:numPr>
        <w:ind w:firstLine="422"/>
        <w:keepLines w:val="0"/>
        <w:keepNext w:val="0"/>
        <w:pageBreakBefore w:val="0"/>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b/>
          <w:bCs/>
          <w:sz w:val="21"/>
          <w:szCs w:val="21"/>
          <w:highlight w:val="none"/>
        </w:rPr>
        <w:t xml:space="preserve">一、</w:t>
      </w:r>
      <w:r>
        <w:rPr>
          <w:rFonts w:hint="eastAsia" w:ascii="宋体" w:hAnsi="宋体" w:cs="宋体"/>
          <w:b/>
          <w:bCs/>
          <w:sz w:val="21"/>
          <w:szCs w:val="21"/>
          <w:highlight w:val="none"/>
          <w:lang w:eastAsia="zh-CN"/>
        </w:rPr>
        <w:t xml:space="preserve">项目编号</w:t>
      </w:r>
      <w:r>
        <w:rPr>
          <w:rFonts w:hint="eastAsia" w:ascii="宋体" w:hAnsi="宋体" w:cs="宋体"/>
          <w:b/>
          <w:bCs/>
          <w:sz w:val="21"/>
          <w:szCs w:val="21"/>
          <w:highlight w:val="none"/>
        </w:rPr>
        <w:t xml:space="preserve">：</w:t>
      </w:r>
      <w:r>
        <w:rPr>
          <w:rFonts w:hint="eastAsia" w:ascii="宋体" w:hAnsi="宋体" w:cs="宋体"/>
          <w:b w:val="0"/>
          <w:bCs w:val="0"/>
          <w:sz w:val="21"/>
          <w:szCs w:val="21"/>
          <w:highlight w:val="none"/>
          <w:lang w:eastAsia="zh-CN"/>
        </w:rPr>
        <w:t xml:space="preserve">JSZC-320509-HYXZ-G2026-0002</w:t>
      </w:r>
      <w:r>
        <w:rPr>
          <w:highlight w:val="none"/>
        </w:rP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highlight w:val="none"/>
        </w:rPr>
        <w:t xml:space="preserve">二、项目名称</w:t>
      </w:r>
      <w:r>
        <w:rPr>
          <w:rFonts w:hint="eastAsia" w:ascii="宋体" w:hAnsi="宋体" w:cs="宋体"/>
          <w:highlight w:val="none"/>
          <w:lang w:val="zh-CN"/>
        </w:rPr>
        <w:t xml:space="preserve">：消防中队器材装备、灭火防护装备</w:t>
      </w:r>
      <w:r>
        <w:rPr>
          <w:highlight w:val="none"/>
        </w:rP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bCs/>
          <w:highlight w:val="none"/>
        </w:rPr>
        <w:t xml:space="preserve">三、</w:t>
      </w:r>
      <w:r>
        <w:rPr>
          <w:rFonts w:hint="eastAsia" w:ascii="宋体" w:hAnsi="宋体" w:cs="宋体"/>
          <w:b/>
          <w:bCs/>
          <w:highlight w:val="none"/>
          <w:lang w:val="zh-CN"/>
        </w:rPr>
        <w:t xml:space="preserve">预算金额：</w:t>
      </w:r>
      <w:r>
        <w:rPr>
          <w:rFonts w:hint="eastAsia" w:ascii="宋体" w:hAnsi="宋体" w:cs="宋体"/>
          <w:highlight w:val="none"/>
          <w:lang w:val="zh-CN"/>
        </w:rPr>
        <w:t xml:space="preserve">人民币壹佰贰拾万元整（¥：1200000.00）</w:t>
      </w:r>
      <w:r>
        <w:rPr>
          <w:highlight w:val="none"/>
        </w:rPr>
      </w:r>
    </w:p>
    <w:p>
      <w:pPr>
        <w:ind w:firstLine="840"/>
        <w:keepLines w:val="0"/>
        <w:keepNext w:val="0"/>
        <w:pageBreakBefore w:val="0"/>
        <w:spacing w:line="360" w:lineRule="auto"/>
        <w:widowControl w:val="off"/>
        <w:rPr>
          <w:rFonts w:hint="eastAsia" w:ascii="宋体" w:hAnsi="宋体" w:eastAsia="宋体" w:cs="宋体"/>
          <w:highlight w:val="none"/>
        </w:rPr>
      </w:pPr>
      <w:r>
        <w:rPr>
          <w:rFonts w:hint="eastAsia" w:ascii="宋体" w:hAnsi="宋体" w:cs="宋体"/>
          <w:highlight w:val="none"/>
          <w:lang w:val="zh-CN"/>
        </w:rPr>
        <w:t xml:space="preserve">最高限价：</w:t>
      </w:r>
      <w:r>
        <w:rPr>
          <w:rFonts w:hint="eastAsia" w:ascii="宋体" w:hAnsi="宋体" w:cs="宋体"/>
          <w:szCs w:val="21"/>
          <w:highlight w:val="none"/>
        </w:rPr>
        <w:t xml:space="preserve">人民币</w:t>
      </w:r>
      <w:r>
        <w:rPr>
          <w:rFonts w:hint="eastAsia" w:ascii="宋体" w:hAnsi="宋体" w:cs="宋体"/>
          <w:szCs w:val="21"/>
          <w:highlight w:val="none"/>
          <w:lang w:eastAsia="zh-CN"/>
        </w:rPr>
        <w:t xml:space="preserve">壹佰贰拾万元整（¥：1200000.00）</w:t>
      </w:r>
      <w:r>
        <w:rPr>
          <w:highlight w:val="none"/>
        </w:rP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b/>
          <w:bCs/>
          <w:szCs w:val="21"/>
          <w:highlight w:val="none"/>
        </w:rPr>
        <w:t xml:space="preserve">四、采购清单及技术要求</w:t>
      </w:r>
      <w:r>
        <w:rPr>
          <w:highlight w:val="none"/>
        </w:rPr>
      </w:r>
    </w:p>
    <w:tbl>
      <w:tblPr>
        <w:tblStyle w:val="725"/>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353"/>
        <w:gridCol w:w="768"/>
        <w:gridCol w:w="681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参数</w:t>
            </w:r>
            <w:r>
              <w:rPr>
                <w:highlight w:val="none"/>
              </w:rP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灭火救援头盔披肩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整体要求：匹配消防头盔使用，可拆卸防火披肩，防水性能好，且耐高温火焰</w:t>
            </w:r>
            <w:r>
              <w:rPr>
                <w:highlight w:val="none"/>
              </w:rPr>
            </w:r>
          </w:p>
        </w:tc>
      </w:tr>
      <w:tr>
        <w:trPr>
          <w:trHeight w:val="362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水带滚珠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执行标准：符合 XF 494-2023 消防救援行业标准</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滚动珠体材质：聚甲醛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连接钢缆、挂钩/卡扣材质：不锈钢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连接结构：端为快速卡扣，一端为钢制连接圆环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成品总长度：≥50cm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单颗滚珠直径：≥20mm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端部钢制圆环内径：≥50mm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连接钢缆直径：≥3.2mm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滚珠配置：整根配备15颗顺滑滚动珠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整机重量：≤300g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破断强度：≥5kN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耐腐蚀性能：通过48小时中性盐雾测试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适配水带规格：兼容Φ65mm、Φ40mm灭火水带</w:t>
            </w:r>
            <w:r>
              <w:rPr>
                <w:highlight w:val="none"/>
              </w:rPr>
            </w:r>
          </w:p>
        </w:tc>
      </w:tr>
      <w:tr>
        <w:trPr>
          <w:trHeight w:val="402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灭火战斗胶靴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产品结构组成：靴头、靴面、外底、内底衬垫。符合XF6-2004《消防员灭火防护靴》标准要求。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1、胶面耐油性能6~8%、围条耐油性能6~8%、外底耐油性能6~8%。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2、防砸性能（静压力）依国标测试后≥19mm、防砸性能（冲击）依国标测试后≥19mm、抗刺穿性能≥1750N。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3、击穿电压＞5000V、泄漏电流≤1mA、隔热性能≤8℃、抗辐射热渗透性能≤6℃、质量≤2.15kg。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4、靴筒口采用由前往后向下倾斜式设计； 面料为阻燃材料。靴帮上设有胫骨、踝骨和跖骨保护层，靴头及靴后跟部设有反光标识，筒口和靴底各设围条。靴底防穿刺层采用非金属复合材料制成、靴头保护包头采用轻质航空铝材料制成、靴后跟、脚踝两侧部位设计采用贴合脚骨的曲面式设计。</w:t>
            </w:r>
            <w:r>
              <w:rPr>
                <w:highlight w:val="none"/>
              </w:rPr>
            </w:r>
          </w:p>
        </w:tc>
      </w:tr>
      <w:tr>
        <w:trPr>
          <w:trHeight w:val="493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1、技术性能符合《消防员抢险救援防护靴试验大纲》标准要求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2、主体为黑色；鞋带、靴底和“中国消防救援”标志为橘红色，符合抢险救援防护靴款式标识统型要求;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3、消防员抢险救援靴主体结构：从靴内后跟中央起至靴口最低处的高度≤150mm；靴内侧设有拉链;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4、鞋底采用连帮注射工艺;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5、低腰款设计，消防员抢险救援靴41码质量为≤1.2kg;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6、靴帮抗剌穿性能≥120N;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7、靴底抗刺穿性能≥1100N;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8、阻燃性能:损毁长度＜1mm,离火自熄时间0s，且不产生熔融、熔滴或剥离等现象;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9、热稳定性能:任何部件不产生熔滴，所有硬质附件应保持性能完好;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10、隔热性能:靴底内表面的温升≤16℃;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11、靴帮抗辐射热渗透性能：内表面温升≤19℃;</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12、电绝缘性能:击穿电压＞5000V，泄漏电流≤0.08;</w:t>
            </w:r>
            <w:r>
              <w:rPr>
                <w:highlight w:val="none"/>
              </w:rPr>
            </w:r>
          </w:p>
        </w:tc>
      </w:tr>
      <w:tr>
        <w:trPr>
          <w:trHeight w:val="23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伸缩挂扣</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1、包胶钢丝绳材质强度高耐热耐磨，同时质量轻更便于携带；坚固的不锈钢弹簧，3万余次拉伸测试后性能佳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2、可悬挂到马甲/腰带/D环，挂扣长度≥8.6cm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3、伸缩长度：≥70cm，足以伸到手臂伸手可及的地方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4、磁吸设计：磁吸闭合状态下，强力磁吸会极大增强承重，静态承重可达1000g以上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5、可承重≥120g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5、自身重量：≤64g</w:t>
            </w:r>
            <w:r>
              <w:rPr>
                <w:highlight w:val="none"/>
              </w:rP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快攻包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场景：在高层及超高层建筑火灾扑救过程中，用于内攻行动的水带携行及铺设，山区森林、城市乡道、楼道、电梯间、地下停车场等狭小空间也可以使用并且可以携带多种规格的水带，采用了魔术贴式设计可以快速打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带包说明：此款水带包采用藏蓝色500DPVC夹网布制作而成，尺寸为72cm×18cm×27.5cm，可以装40、50口径水带40米。前后加了反光警示条提高警示作用，肩带采用尼龙织带可以伸缩调节并且设有减震提手保护套，颜色可根据客户需求定制。</w:t>
            </w:r>
            <w:r>
              <w:rPr>
                <w:highlight w:val="none"/>
              </w:rP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灭火救援头盔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1.基本要求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消防头盔主要是用于消防员在灭火救援时戴在头上用于保护头部安全的防护装具。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cs="宋体"/>
                <w:i w:val="0"/>
                <w:iCs w:val="0"/>
                <w:color w:val="000000"/>
                <w:sz w:val="22"/>
                <w:szCs w:val="22"/>
                <w:highlight w:val="none"/>
                <w:u w:val="none"/>
                <w:lang w:val="en-US" w:eastAsia="zh-CN" w:bidi="ar"/>
              </w:rPr>
              <w:t xml:space="preserve">XF</w:t>
            </w:r>
            <w:r>
              <w:rPr>
                <w:rFonts w:hint="eastAsia" w:ascii="宋体" w:hAnsi="宋体" w:eastAsia="宋体" w:cs="宋体"/>
                <w:i w:val="0"/>
                <w:iCs w:val="0"/>
                <w:color w:val="000000"/>
                <w:sz w:val="22"/>
                <w:szCs w:val="22"/>
                <w:highlight w:val="none"/>
                <w:u w:val="none"/>
                <w:lang w:val="en-US" w:eastAsia="zh-CN" w:bidi="ar"/>
              </w:rPr>
              <w:t xml:space="preserve">44-2015《消防头盔》标准，需提供国家级或国家认可的第三方检测机构出具的检测报告，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t xml:space="preserve">并提供消防产品认证证书复印件。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2)由帽壳、缓冲层、帽衬、可调节帽箍、舒适衬垫、下颏带、防护面屏、披肩等组成。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3)产品需具备优异的防冲击、耐热辐射、阻燃、防化学腐蚀、耐热耐寒、电绝缘或其他类型的危害的能力。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4)头围可调范围广，最大可调节范围达到67cm。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5)▲冲击吸收性能：经高温预处理后最大冲击力＜3100N，经辐射热预处理后最大冲击力＜3100N，经低温预处理后最大冲击力＜3200N，经浸水预处理后最大冲击力＜3200N。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6)帽壳需采用双层结构，提供多重防护，除了抗冲击，耐穿刺外，还能提供额外的耐高温隔热的效果。同时双层帽壳采用安全松脱结构设计，在受到意外绊挂时帽壳会自行脱落，以免使用者颈部受到伤害。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7)头盔所配面屏应采用高性能耐冲击材料，经</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要求的抗冲试验后应不破碎或有明显冲击斑痕。面屏应带有浅色防护涂层，以提高使用者在火场的舒适性，且面屏的透光率应超过75%。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8)头盔后部应带有D形环，以便日常使用方便挂持。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9)抗冲击加速度吸收性能：在最大冲击加速度≤400gn时，头盔顶部≤130gn，头盔前部≤310gn，头盔侧面≤320gn，头盔后部≤310gn。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10)阻燃性能：损毁长度：下颌带≤5mm，披肩≤35mm；续燃时间：下颌带≤0s，，披肩≤0s,面罩≤0s。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11)头盔经</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中电绝缘试验后，帽壳的泄漏电量≤1.0mA。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12)头盔经过</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中下颏带拉伸实验时，下颏带不应发生断裂和滑脱，且实验后下颏带延伸不超过15mm。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13)投标产品经过</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中侧向刚性试验后，帽壳最大变形量＜25mm，卸载后变形量＜3.5mm。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14)头盔整体重量＜1.35KG。</w:t>
            </w:r>
            <w:r>
              <w:rPr>
                <w:highlight w:val="none"/>
              </w:rPr>
            </w:r>
          </w:p>
        </w:tc>
      </w:tr>
      <w:tr>
        <w:trPr>
          <w:trHeight w:val="396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抢险救援头盔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1、抢险救援头盔可实现消防抢险救援、山岳救援及轻度浅层水域救援现场；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2、重量（不含附件）:750g±50g；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3、材质：外壳及帽衬采用高温热塑性材料，织带具备阻燃丙烯酸和聚酯混合，衬垫为弹性聚酰胺聚酯材料；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4、头围尺寸： 52-65cm可调；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5、帽壳类型：带透气孔帽壳；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6、头盔颜色：红色；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7、下颌带：3点式下颌带、宽度≥13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8、具备阻燃材质制作而成，配有快速释放搭扣，可调节佩戴高度和佩戴深度，更多角度将头盔调节至最佳佩戴效果；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9、可调节部分：具备人体工程学旋钮轮，可根据不同头型及头围尺寸调整旋钮位置、 佩戴高度3档可调 、佩戴角度3档可调；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10、帽壳外部粘贴有反光标识（根据采购人要求进行定制）</w:t>
            </w:r>
            <w:r>
              <w:rPr>
                <w:highlight w:val="none"/>
              </w:rPr>
            </w:r>
          </w:p>
        </w:tc>
      </w:tr>
      <w:tr>
        <w:trPr>
          <w:trHeight w:val="470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呼救器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 GB27900-2011《消防员呼救器》标准，防爆性能符合 GB/T3836.1-2021，GB/T3836.4-2021 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2、具备防水、防爆、耐挤压、耐高温等性能；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▲3、防爆标志：Ex ia IIC T4 Ga；防护等级：IP68。环境温度-35℃--+70℃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4、静止报警时间：30s±1s，预报警时间：15s±1s；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5、预报警声级强度＞105dB，报警声级强度＞105dB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▲6连续强报警时间≥1820min；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7、连续开机时间： ≥380h；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8、呼救器具有方位灯功能，方位灯亮度：0°角 ≥6400cd/㎡，±45°角≥300cd/㎡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9、质量：≤220g；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10、环境温度-35℃--+70℃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11、带有电量显示功能、计时功能，环境温度；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12、提供国家级或国家认可的第三方检测机构出具的检测报告及消防产品认证证书</w:t>
            </w:r>
            <w:r>
              <w:rPr>
                <w:highlight w:val="none"/>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正压式空气呼吸器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1.1产品应符合XF124-2013《正压式消防空气呼吸器》标准要求。提供国家级或国家认可的第三方检测机构出具的检测报告及消防产品认证证书。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1.2正压式空气呼吸器全面罩、供气阀、减压器、警报器、背具、压力平视装置应为同一品牌。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2.1呼吸器的结构应简单紧凑，可在无人帮助的情况下自行佩戴和使用，在狭小的通道通行时呼吸器不应被攀挂。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2.2压力平视显示装置应采用LED显示方式，当气瓶压力在(30～10)MPa时，绿灯常亮；当气瓶压力在(10～6)MPa时，黄灯常亮；当气瓶压力在6MPa以下时， 红灯一直闪亮；当压力平视显示装置的电源处于低电压时，黄灯一直闪亮。当 发射装置与显示装置配对时，蓝灯一直闪亮；当配对成功后，蓝灯应熄灭。</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2.3压力平视显示装置的防爆性能不低于GB/T3836.1-2021、GB/T3836.4-2021中Ex ia IIC T3级规定。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2.4背具续燃时间≤5s。背具带续燃时间≤5s。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2.5气瓶压力30MPa时，佩戴质量≤11.5kg。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▲2.6动态呼吸阻力，在(30～2)MPa范围内,以呼吸频率40次/min, 呼吸流量100L/min呼吸,呼吸器的全面罩内应始终保持正压。吸气阻力≤300Pa；呼气阻力≤650Pa。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2.7在耐高温试验后，各零部件应无异常变形、粘连、脱胶等现象。以呼吸频率40次/min，呼吸流量100L/min呼吸，呼吸器的全面罩内应保持正压。呼气阻力≤620Pa。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2.8在低温试验后，各零部件应无开裂、异常收缩、发脆等现象。以呼吸频率25次/min，呼吸流量50L/min呼吸，呼吸器的全面罩内应保持正压。呼气阻力≤560Pa。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2.9在耐辐射热性能试验过程中，呼吸器的全面罩内应始终保持正压。吸气阻力≤200Pa。呼气阻力≤600Pa。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2.10静态压力≤350Pa。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2.11警报器性能：气动警报器平均耗气量≤4L/min。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2.12全面罩视野开阔，网状头带或头罩应能根据佩戴者头部的需要自由调整，密合框应与佩戴者面部密合良好，无明显压痛感。视窗不应产生视觉变形现象。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2.13全面罩总视野保留率≥80%，双目视野保留率≥60%，下方视野≥35°，镜片透光率≥90%，吸入气体中二氧化碳含量≤1%。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2.14气瓶容量≥6.8L。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2.15气瓶瓶阀的开启方向为逆时针，气瓶瓶阀在开启后应保证不会被无意关闭，如气瓶瓶阀开启后不可锁定，那么开启手轮应至少旋转两周才能达到关闭状态。安全膜片爆破压力 (MPa)应在37～45。螺纹长度：≥18mm。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2.16压力表在气瓶瓶阀打开后显示气瓶压力，其安装位置方便佩戴者观察到压力值。</w:t>
            </w:r>
            <w:r>
              <w:rPr>
                <w:highlight w:val="none"/>
              </w:rP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硅胶气瓶套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1、采用100%食品级硅胶材质；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2、紧密贴合，宽松范围不超过1mm；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3、需颜色辨识度高，要求提供5种颜色供参考选择，</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4、耐水泥地级别磨损，耐酸碱腐蚀，抗≥400度高温。</w:t>
            </w:r>
            <w:r>
              <w:rPr>
                <w:highlight w:val="none"/>
              </w:rP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面罩套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1、面罩包主体采用斜纹布材质，结实耐磨，适配执勤、救援等复杂作业环境；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包体采用大开口式结构设计，开合便捷，取放面罩及配件快速高效，内部收纳空间规整；包身外部设计黄银黄高亮反光条，反光效果优异，辨识度强，可有效提升夜间及低光环境下作业安全；包体正面配置加固式专用挂点装置，结构牢固，便于外接挂载、临时悬挂收纳；背部集成高强度实用挂扣，可快速对接装备腰带、背架或救援包，适配多方式携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3、尺寸为长20*17cm（±1cm）；</w:t>
            </w:r>
            <w:r>
              <w:rPr>
                <w:highlight w:val="none"/>
              </w:rPr>
            </w:r>
          </w:p>
        </w:tc>
      </w:tr>
      <w:tr>
        <w:trPr>
          <w:trHeight w:val="260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冬季抢险救援服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消防员抢险救援服符合XF633-2006《消防员抢险救援防护服装》和XF10-2014《消防员灭火防护服》检测标准。</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1.1抢险救援时身体防护。款式规格：橘红色，火焰蓝色，分体式。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1.2抢险救援服共分为四层分别为：外层橘色格子布、防水层为防水透气膜、内里层采用毛毡、里层采用灰色里布。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2.材料性能: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2.1主体面料采用橘色格子布，具有阻燃、防水、透气等性能。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阻燃性能：防护层面料与肩部、膝部、臀部、肘部等部位的加强材料，经过25次洗涤后进行阻燃性能试验，橘红色经向续燃时间0s，损毁长度≤50mm，纬向续燃时间0s，损毁长度≤40mm，火焰蓝色经向、纬向续燃时间0s，损毁长度≤40mm，都无熔融、滴落现象。经检测均符合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2.3断裂强力：橘红色经向≥1200N，纬向≥1000N。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2.4撕破强力：桔红色经向≥300N，纬向≥230N。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2.5热稳定性能（橘红和火焰蓝）：经（180±5）℃热稳定性能试验后，防护层面料与肩部、膝部、臀部、肘部等部位的加强材料沿经、纬方向尺寸变化率均为1%，且试样表面无明显变化。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2.6色牢度：防护层面料的耐水摩擦色牢度、耐洗沾色牢度为4-5级。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2.7外层表面抗湿性能：防护层面料洗涤五次后，沾水等级为5级。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2.8单位面积质量（橘红）：208g/㎡。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2.9救援服色差/级：4-5级。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3.缩水率外层材料沿经、纬向缩水率≤1.6%。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4.起毛起球性能：生产的消防员抢险救援服（夏款）服装面料起毛起球性能：按照GB/T4802.1-2008《纺织品织物起毛起球性能的测定》检测为4级。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5.针距密度：产品生产针距密度各部位明暗线每3cm14针，包缝线每3cm14针。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6.接缝断裂强力：面料接缝断裂强力≥1000N。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7.衣领内部采用亲肤舒适层。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8.防静电性能：整套≤0.5μC。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9.缝纫线热稳定性能：经（180±5）℃热稳定性能试验后，缝纫线无熔融现象。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10.1救援服反光标志带：耐洗涤性能试样经 25 次洗涤后，无破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损、脱落、变色的现象。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10.2救援服反光标志带：高低温性能试样经高低温性能试验后，无断裂、起皱、扭曲的现象。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10.3救援服反光标志带：阻燃性能(洗后)续燃时间(s):损毁长度(mm)≤35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11.硬质附件热稳定性能：试样经 180℃、5min 后，能保持原有功能。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12.耐光色牢度/级：≥4级。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13.透湿率≥6300g/（㎡·24h）。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16.服装质量：总质量≤2kg。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17.衣服应有永久性的标志，其主要内容包括：产品执行的标准、型号、规格、生产厂的名称或商标、生产日期、检验合格标记、禁用场所。</w:t>
            </w:r>
            <w:r>
              <w:rPr>
                <w:highlight w:val="none"/>
              </w:rP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消防员抢险救援服（夏款</w:t>
            </w:r>
            <w:r>
              <w:rPr>
                <w:rFonts w:hint="eastAsia" w:ascii="宋体" w:hAnsi="宋体" w:eastAsia="宋体" w:cs="宋体"/>
                <w:i w:val="0"/>
                <w:iCs w:val="0"/>
                <w:color w:val="000000"/>
                <w:sz w:val="22"/>
                <w:szCs w:val="22"/>
                <w:highlight w:val="none"/>
                <w:u w:val="none"/>
                <w:lang w:val="en-US" w:eastAsia="zh-CN" w:bidi="ar"/>
              </w:rPr>
              <w:t xml:space="preserve">）严格按XF633</w:t>
            </w:r>
            <w:r>
              <w:rPr>
                <w:rFonts w:hint="eastAsia" w:ascii="宋体" w:hAnsi="宋体" w:cs="宋体"/>
                <w:i w:val="0"/>
                <w:iCs w:val="0"/>
                <w:color w:val="000000"/>
                <w:sz w:val="22"/>
                <w:szCs w:val="22"/>
                <w:highlight w:val="none"/>
                <w:u w:val="none"/>
                <w:lang w:val="en-US" w:eastAsia="zh-CN" w:bidi="ar"/>
              </w:rPr>
              <w:t xml:space="preserve">-2006</w:t>
            </w:r>
            <w:r>
              <w:rPr>
                <w:rFonts w:hint="eastAsia" w:ascii="宋体" w:hAnsi="宋体" w:eastAsia="宋体" w:cs="宋体"/>
                <w:i w:val="0"/>
                <w:iCs w:val="0"/>
                <w:color w:val="000000"/>
                <w:sz w:val="22"/>
                <w:szCs w:val="22"/>
                <w:highlight w:val="none"/>
                <w:u w:val="none"/>
                <w:lang w:val="en-US" w:eastAsia="zh-CN" w:bidi="ar"/>
              </w:rPr>
              <w:t xml:space="preserve">《消防员抢险救援防护服装》中的规定是指导抢险救援服（夏款）生产。</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1.1抢险救援时身体防护。款式规格：橘红色，火焰蓝色，分体式。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1.2口袋。上衣胸前设置贴袋，双线固定口袋布，袋盖为深火焰蓝色。大腿两侧设置立体贴袋。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10.材料性能: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2.1色牢度/级：耐洗色牢度≥4级，耐水摩擦≥4级。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 热稳定性能（橘红）：尺寸变化率经向纬向≤1%。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2.3热稳定性能（火焰蓝）：尺寸变化率经向纬向≤1%。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2.4表面抗湿性能（橘红）≥5级。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2.5单位面积质量（200±10）g/㎡。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2.6断裂强力（橘红）：经向≥950，纬向≥900。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2.7撕破强力（橘红）：经向≥220，纬向≥190。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阻燃性能：防护层面料与肩部、膝部、臀部、肘部等部位的加强材料，经过25次洗涤后进行阻燃性能试验，橘红色经向、纬向续燃时间0s，损毁长度≤50mm，火焰蓝色经向、纬向续燃时间0s，损毁长度≤45mm，都无熔融、滴落现象。经检测均符合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2.9接缝断裂强力≥800。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11.救援服针距密度：明暗线≥12针/3cm，包缝线≥12针/3cm。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3.1救援服色差等级≥4级。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3.2产品质量：≤1.2kg。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3.3防静电功能：带电电荷量≤0.4μC。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3.4救援服反光标志带阻燃性能：续燃时间0s，损毁长≤40mm。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4、缝纫线热稳定性能：经（180±5）℃热稳定性能试验后，缝纫线无熔融现象。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5、硬质附件热稳定性能：经（180±5）℃热稳定性能试验后，能保持原有功能。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6、起毛气球等级≥4级。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7、缩水率（橘红）：经向≤2%，纬向≤1.5%。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8、耐光色牢度≥4级。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9、纬向定力伸长率（30N）≥12%。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10、纬向弹性回复率（30N）≥85%。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11、吸湿速干性（洗后）：吸水率≥130%，滴水扩散时间≤20s，芯吸高度≥90mm，干燥速率≥0.2g/h。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12、透湿≥9000（㎡·24h）。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13、衣服应有永久性的标志，其主要内容包括：产品执行的标准、型号、规格、生产厂的名称或商标、生产日期、检验合格标记、禁用场所。</w:t>
            </w:r>
            <w:r>
              <w:rPr>
                <w:highlight w:val="none"/>
              </w:rP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灭火战斗服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1.1符合XF10-2014</w:t>
            </w:r>
            <w:r>
              <w:rPr>
                <w:rFonts w:hint="eastAsia" w:ascii="宋体" w:hAnsi="宋体" w:eastAsia="宋体" w:cs="宋体"/>
                <w:i w:val="0"/>
                <w:iCs w:val="0"/>
                <w:color w:val="000000"/>
                <w:sz w:val="22"/>
                <w:szCs w:val="22"/>
                <w:highlight w:val="none"/>
                <w:u w:val="none"/>
                <w:lang w:val="en-US" w:eastAsia="zh-CN" w:bidi="ar"/>
              </w:rPr>
              <w:t xml:space="preserve">《消防员灭火防护服》标准要求，提供国家级或国家认可的第三方检测机构出具的检测报告及消防产品认证证书。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2.外观要求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2.1外观为藏蓝色。颜色为藏蓝色，潘通色号为PANTONE 19-4013 TCX Dark Navy，色差≥3级。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2.2符合国家消防救援局最新统型要求,由外层、防水透气层、舒适层共三层面料组成，并带有救生拖拉带。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3.材料要求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3.1外层面料：芳纶阻燃面料，克重：≤（240±12）g/㎡。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3.2防水透气层：芳纶无纺布＋阻燃PTFE膜、克重：≤（125±6.25）g/㎡。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3.3舒适层：芳纶粘胶阻燃布舒适层，克重：≤（120±6）g/㎡。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3.4反光标志带：打孔反光带。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▲4.1整体热防护性能（TPP（cal/c㎡））：≥34。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4.2阻燃性能（损毁长度）：外层经向：≤20mm、纬向：≤20mm； 防水透气层经向：≤40mm、纬向：≤40mm；舒适层经向：≤30mm、纬向：≤40mm；外层加强材料经向：≤20mm、纬向：≤20mm；所有试验续燃时间0s，且无熔融滴落现象。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4.3热稳定性能（变化率）：外层：≤1.0%；防水透气层：≤1.0%；外层加强材料：≤1.0%；舒适层：≤2.0%；试样表面无明显变化。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4.4缩水率：外层经纬向：≤1.5%、1.5%；防水透气层经纬向：≤1.5%、≤1.0%；舒适层经纬向：≤2.0%、≤2.0%。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4.5表面抗湿性能：≥3级。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▲4.6断裂强力：外层：经向≥3000N、纬向≥2800N；舒适层：经向≥500N、纬向≥500N；救生拖拉带≥15000N。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4.7外层撕破强力：经向≥1000N、纬向≥1000N；接缝断裂强力：经向≥1200、纬向≥1200N。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4.8色牢度：耐洗沾色4级、耐水摩擦4级、耐光色牢度：符合4级要求。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4.9防水透气层耐静水压＞50kpa、透湿率≥8000（g/(㎡·24h)）、拒油性能4级。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4.10针距密度：明暗线≥12（针/3cm）。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4.11质量：≤ 2.60kg。</w:t>
            </w:r>
            <w:r>
              <w:rPr>
                <w:highlight w:val="none"/>
              </w:rPr>
            </w:r>
          </w:p>
        </w:tc>
      </w:tr>
      <w:tr>
        <w:trPr>
          <w:trHeight w:val="226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胸佩式防爆照明灯（带运动相机功能）</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1、可实现工作光，强光，爆闪三挡调节，满足照明及信号指示的需求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2、灯具可手持，腰佩等多种携带使用方式，灯头可在90范围内任意调节角度，无照明死角。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、▲灯具需具有聚光，泛光，爆闪，45度辅助行走灯，激光</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灯具具备摄像模块：可循环录像，具备可视化显示屏，可通过显示屏查看图像和视频。也可通过Type-连接电脑查看视频。同时也可通过手机APP查看视频</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、电量显示功能：五段式电量显示。</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、主要技术参数：额定电压≥7.0V.额定容量≥5Ah.防护等级≥IP66(1.5m,1h).功率≥5W.55米处强光最大照度≥3000lx。弱光最大照度≥1500I x，强光色温达≥5700K</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产品可在温度-20C~+40C环境中可靠使用。连续照明时间强光：≥6h，工作光：≥12h，节能光：≥200h，充电时间≤6h，充电接口Type-C.电池使用寿命≥1000循环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重量≤1200g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、产品整体符合GB30734-2014消防员照明灯具标准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、防爆等级不低于EX nR ll CT4Gc，提供国家级或国家认可的第三方检测检验机构出具的检测报告及防爆合格证。</w:t>
            </w:r>
            <w:r>
              <w:rPr>
                <w:highlight w:val="none"/>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满足XF 7－2004《消防手套》，</w:t>
            </w:r>
            <w:r>
              <w:rPr>
                <w:highlight w:val="none"/>
              </w:rP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2、消防用灭火防护手套，形状手指部分自然弯曲，符合人体工程学;外层手掌材料采用牛皮，手背材料采用芳纶双面格子布，防水材料采用防水透气膜，隔热层材料采用芳纶抗静电针织布;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3、阻燃性能外层：手套掌心面、背面：经、纬向续燃时间≤0s；阴燃时间≤0s；损毁长度≤10mm；无熔融、滴落;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4、阻燃性能隔热层：手套掌心面、背面：经、纬向续燃时间≤0s、阴燃时间≤0s，损毁长度≤30mm，无熔融，滴落;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5、整体热防护性能：掌心面≥120cal/c㎡，背面：≥60al/c㎡;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6、耐热性能：手套收缩率长和宽方向上≤1.0%无熔融，无滴落;衬里收缩率经向、纬向≤1.0%无熔融，无滴落;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7、耐磨性能 (循环次数)：掌心面、背面均≥2000次;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8、割破力：掌心面、背面均≥15N;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9、撕破强力： 掌心面≥290N ；背面≥400N;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10、刺穿力：掌心面≥150N 背面≥120N;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11、耐静水压性能:手套防水层和其线缝在静水压7kPa下 ,试验5min后，无水滴;整体防水性能：应无渗透;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12、灵巧性能：≥4级;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13、握紧性能：拉重力比≥80%;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14、穿戴性能：穿戴时间≤2s;</w:t>
            </w:r>
            <w:r>
              <w:rPr>
                <w:highlight w:val="none"/>
              </w:rP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安全员马甲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1、主体采用优质高密度面料，整体织造紧密，具备良好抗撕裂、耐磨性能；两侧配备专用调节结构，可根据体型灵活调节松紧尺寸，适配各类人员穿戴使用。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2、衣身设置多处高强度加固挂点，可稳定挂载对讲机、小型工具及各类随身作业配件；有黄银黄高亮反光；前胸、后背全覆盖一体式魔术贴区域；正面配置专用主拉链；内里配备多组储物口袋；</w:t>
            </w:r>
            <w:r>
              <w:rPr>
                <w:highlight w:val="none"/>
              </w:rP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救生照明线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1、结构组成:由供电系统，发光线体，绕线转盘等组成。电源和绕线盘一体化结构设计，无需额外电源箱供电，具备外接移动电源供电功能。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2、符合GB26783-2011《消防救生照明线》要求。提供国家级或国家认可的第三方机构出具的检测报告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3、▲发光亮度≥16.3cd/m2。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4、光源种类:EL，闪烁频率:1-2Hz。</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5、线长≥100米，质量≤4.9kg。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6、具有灯光导向功能，当启动紧急撤离时，线缆灯光会依次循环亮起，引导人员向正确方向快速撤离，线体每间隔(2±0.1m)应有一个清晰可见的方向标志。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7、绝缘电阻&gt;50MO。</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8、表面最高温度≤25°C。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9、常亮连续工作时间＞8h，闪烁连续工作时间＞16h。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10、具有线缆限位防缠绕功能，快速收纳或快速放开不会缠绕。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11、线盘具有辅助照明灯，能提供照明功能。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12、线盘外置红色方位灯，以显示设备烟雾状态下的具体位置。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13、电源参数:工作电压DC12V，最大工作电流1.5A。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14、具有3个相同大小的大按钮、戴上消防手套也可以正常工作。</w:t>
            </w:r>
            <w:r>
              <w:rPr>
                <w:highlight w:val="none"/>
              </w:rPr>
            </w:r>
          </w:p>
        </w:tc>
      </w:tr>
      <w:tr>
        <w:trPr>
          <w:trHeight w:val="374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便携式照明灯组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30734-2014消防员照明灯具、QTCSP 13.02-2020安防与警用电子产品与系统检测技术要求和测试方法第2部分:智能交通系统及设备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2.防爆全景移动照明装置由灯头、升降杆、灯头罩、按键盒、提手组件、三角支持脚组件、电池组件等部分组成。采用内置锂电池DC22.2V供电，可由外接交流电源适配器充电。</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▲3.三个灯头可手动调整实现三个方向环向照明,也可同时面向一个方向实现单向照明;单个灯头垂直方向手动调整俯仰角度为0°~210°，左右两个灯头水平方向手动调整角度为0°~135°</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灯具采用5节升降杆，最高升起高度3.8m；可通过LCD显示屏显示电量(五格分段式)、电量剩余工作时间；可通过APP软件进行蓝牙连接，可实现灯光切换、警示灯开启、无级调光、电量显示，充电状态查看;蓝牙控制距离不小于10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电池组件设有电源总开关;可通过操作面板进行聚光+泛光、单聚光、单泛光切换控制，并可分别进行无级亮度调节;可单独控制红蓝警示灯开启/关闭；灯具底部采用3个支撑脚,支撑脚带有锁扣及地钉孔位固定,可折叠收起在伸缩杆表面,也可手动向下展开后支撑灯具垂直放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.连续工作时间;泛+聚光(强光):≥6h单泛光(强光):≥13h单聚光(强光):≥13h；充电时间≤5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.3个灯头面向一个方向单向照射，与地面成90°夹角，距灯头水平方向Lm处的中心照度:泛+聚光(强光):≥600001x单聚光(强光):≥46000Lx单泛光(强光):≥11000Lx；3个灯头面向一个方向单向照射，与地面成90°夹角，距</w:t>
            </w:r>
            <w:r>
              <w:rPr>
                <w:rFonts w:hint="eastAsia" w:ascii="宋体" w:hAnsi="宋体" w:eastAsia="宋体" w:cs="宋体"/>
                <w:i w:val="0"/>
                <w:iCs w:val="0"/>
                <w:color w:val="000000"/>
                <w:sz w:val="22"/>
                <w:szCs w:val="22"/>
                <w:highlight w:val="none"/>
                <w:u w:val="none"/>
                <w:lang w:val="en-US" w:eastAsia="zh-CN" w:bidi="ar"/>
              </w:rPr>
              <w:t xml:space="preserve">灯头水平方向2m处的中心照度:泛+聚光(强光):≥13000Lx单聚光(强光):≥10000Lx单泛光(强光):&gt;2000Lx；3个灯头面向一个方向单向照射，与地面成90°夹角，距灯头水平方向10m处的中心照度:泛+聚光(强光):≥630Lx单聚光(强光):≥4001x单泛光(强光):≥100Lx；灯头升至最高高度，处于泛+聚光(强光)状态，与地面成0°夹角，单灯头照射地面时，地面处照度值≥500Lx；灯头升至2m高度，处于泛+聚光(强光)状态，与地面成0°夹角，单灯头照射地面时，地面处照度值&gt;1000Lx</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.防爆等级: ≥Ex eb ib mb ICT5 Gb(须提供灯具的防爆检测报告及国家强制性产品(CCC)证书复印件)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.收纳状态;220x 228x1120mm(±20mm)升起最高:660x760x3780mm(±20mm)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.单灯头额定功率≥60W(DC38.5V供电)；防护等级≥IP66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.13kg±1kg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辅助照明应急灯：红、黄、绿三色信号指示灯由18颗LED组成；智能型充电方式适用于5V、2A以上充电器，适合所有小型电子设备进行充电，当充电宝使用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.提供国家级或国家认可的带CMA或CNAS标志的第三方机构出具的检测报告</w:t>
            </w:r>
            <w:r>
              <w:rPr>
                <w:highlight w:val="none"/>
              </w:rPr>
            </w:r>
          </w:p>
        </w:tc>
      </w:tr>
      <w:tr>
        <w:trPr>
          <w:trHeight w:val="392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热成像仪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733"/>
              <w:numPr>
                <w:ilvl w:val="0"/>
                <w:numId w:val="5"/>
              </w:numPr>
              <w:ind w:left="293" w:hanging="292"/>
              <w:jc w:val="left"/>
              <w:spacing w:after="16" w:line="24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应符合XF/T635-2023《消防用红外热像仪》标准，</w:t>
            </w:r>
            <w:r>
              <w:rPr>
                <w:highlight w:val="none"/>
              </w:rPr>
            </w:r>
          </w:p>
          <w:p>
            <w:pPr>
              <w:pStyle w:val="733"/>
              <w:numPr>
                <w:ilvl w:val="0"/>
                <w:numId w:val="5"/>
              </w:numPr>
              <w:ind w:left="293" w:hanging="292"/>
              <w:jc w:val="left"/>
              <w:spacing w:after="16" w:line="24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具备可见光和</w:t>
            </w:r>
            <w:r>
              <w:rPr>
                <w:rFonts w:hint="eastAsia" w:ascii="宋体" w:hAnsi="宋体" w:eastAsia="宋体" w:cs="宋体"/>
                <w:sz w:val="24"/>
                <w:szCs w:val="24"/>
                <w:highlight w:val="none"/>
                <w:lang w:val="en-US" w:bidi="ar-SA"/>
              </w:rPr>
              <w:t xml:space="preserve">热成像</w:t>
            </w:r>
            <w:r>
              <w:rPr>
                <w:rFonts w:hint="eastAsia" w:ascii="宋体" w:hAnsi="宋体" w:eastAsia="宋体" w:cs="宋体"/>
                <w:sz w:val="24"/>
                <w:szCs w:val="24"/>
                <w:highlight w:val="none"/>
                <w:lang w:val="en-US" w:eastAsia="zh-CN" w:bidi="ar-SA"/>
              </w:rPr>
              <w:t xml:space="preserve">双光融合功能，热成像分辨率应≥384</w:t>
            </w:r>
            <w:r>
              <w:rPr>
                <w:rFonts w:hint="default" w:ascii="Arial" w:hAnsi="Arial" w:eastAsia="宋体" w:cs="Arial"/>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288，工作波段7-14μm，NETD≤40mk，视场角≥56°</w:t>
            </w:r>
            <w:r>
              <w:rPr>
                <w:rFonts w:hint="default" w:ascii="Arial" w:hAnsi="Arial" w:eastAsia="宋体" w:cs="Arial"/>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42°；</w:t>
            </w:r>
            <w:r>
              <w:rPr>
                <w:highlight w:val="none"/>
              </w:rPr>
            </w:r>
          </w:p>
          <w:p>
            <w:pPr>
              <w:pStyle w:val="733"/>
              <w:numPr>
                <w:ilvl w:val="0"/>
                <w:numId w:val="5"/>
              </w:numPr>
              <w:ind w:left="293" w:hanging="268"/>
              <w:jc w:val="left"/>
              <w:spacing w:after="16" w:line="240" w:lineRule="auto"/>
              <w:rPr>
                <w:rFonts w:ascii="宋体" w:hAnsi="宋体" w:eastAsia="宋体" w:cs="宋体"/>
                <w:color w:val="auto"/>
                <w:sz w:val="24"/>
                <w:szCs w:val="24"/>
                <w:highlight w:val="none"/>
              </w:rPr>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sz w:val="24"/>
                <w:szCs w:val="24"/>
                <w:highlight w:val="none"/>
                <w:lang w:val="en-US" w:eastAsia="zh-CN" w:bidi="ar-SA"/>
              </w:rPr>
              <w:t xml:space="preserve">具备黑热、白热、彩虹、热点区域标红、融合、画中画、可见光模式等不少于12种成像模</w:t>
            </w:r>
            <w:r>
              <w:rPr>
                <w:rFonts w:hint="eastAsia" w:ascii="宋体" w:hAnsi="宋体" w:eastAsia="宋体" w:cs="宋体"/>
                <w:color w:val="auto"/>
                <w:sz w:val="24"/>
                <w:szCs w:val="24"/>
                <w:highlight w:val="none"/>
                <w:lang w:val="en-US" w:eastAsia="zh-CN" w:bidi="ar-SA"/>
              </w:rPr>
              <w:t xml:space="preserve">式，并可通过单个按键快速切换图像模式</w:t>
            </w:r>
            <w:r>
              <w:rPr>
                <w:rFonts w:hint="eastAsia" w:ascii="宋体" w:hAnsi="宋体" w:eastAsia="宋体" w:cs="宋体"/>
                <w:color w:val="auto"/>
                <w:sz w:val="24"/>
                <w:szCs w:val="24"/>
                <w:highlight w:val="none"/>
                <w:lang w:val="en-US" w:bidi="ar-SA"/>
              </w:rPr>
              <w:t xml:space="preserve">；</w:t>
            </w:r>
            <w:r>
              <w:rPr>
                <w:rFonts w:hint="eastAsia" w:ascii="宋体" w:hAnsi="宋体" w:eastAsia="宋体" w:cs="宋体"/>
                <w:color w:val="auto"/>
                <w:sz w:val="24"/>
                <w:szCs w:val="24"/>
                <w:highlight w:val="none"/>
                <w:lang w:val="en-US" w:eastAsia="zh-CN" w:bidi="ar-SA"/>
              </w:rPr>
              <w:t xml:space="preserve">具备指南针定向功能、激光指示器，内置激光定位器十字分化功能，可发射激光，指示危险区域及被测目标位置功能，支持多模定位；具备正常自检及无故障（绿色常亮）和故障提示（黄色常亮）和充电提示（红色常亮）功能，在低电量时可闪烁黄色与红色呼吸灯提示；</w:t>
            </w:r>
            <w:r>
              <w:rPr>
                <w:rFonts w:hint="eastAsia" w:ascii="宋体" w:hAnsi="宋体" w:eastAsia="宋体" w:cs="宋体"/>
                <w:color w:val="auto"/>
                <w:sz w:val="24"/>
                <w:szCs w:val="24"/>
                <w:highlight w:val="none"/>
                <w:lang w:val="en-US" w:eastAsia="zh-CN" w:bidi="ar-SA"/>
              </w:rPr>
              <w:t xml:space="preserve">支持远程实时监测温度，支持设置报警阈值，超过设定报警温度值时可发出图像提示警告；超轻设计重量应≤660g（含电池），防护等级应≥IP68，2 米高度跌落；</w:t>
            </w:r>
            <w:r>
              <w:rPr>
                <w:highlight w:val="none"/>
              </w:rPr>
            </w:r>
          </w:p>
          <w:p>
            <w:pPr>
              <w:pStyle w:val="733"/>
              <w:numPr>
                <w:ilvl w:val="0"/>
                <w:numId w:val="5"/>
              </w:numPr>
              <w:ind w:left="293" w:hanging="292"/>
              <w:jc w:val="left"/>
              <w:spacing w:after="16"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具备1x、2x、3x、4x数字放大功能；</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具备温度测量功能，测温范围-40℃</w:t>
            </w:r>
            <w:r>
              <w:rPr>
                <w:rFonts w:hint="eastAsia" w:ascii="宋体" w:hAnsi="宋体" w:eastAsia="宋体" w:cs="宋体"/>
                <w:color w:val="auto"/>
                <w:sz w:val="24"/>
                <w:szCs w:val="24"/>
                <w:highlight w:val="none"/>
                <w:lang w:val="en-US" w:bidi="ar-SA"/>
              </w:rPr>
              <w:t xml:space="preserve">～</w:t>
            </w:r>
            <w:r>
              <w:rPr>
                <w:rFonts w:hint="eastAsia" w:ascii="宋体" w:hAnsi="宋体" w:eastAsia="宋体" w:cs="宋体"/>
                <w:color w:val="auto"/>
                <w:sz w:val="24"/>
                <w:szCs w:val="24"/>
                <w:highlight w:val="none"/>
                <w:lang w:val="en-US" w:eastAsia="zh-CN" w:bidi="ar-SA"/>
              </w:rPr>
              <w:t xml:space="preserve">+2000℃</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显示屏幕应≥3.5寸，分辨率≥800</w:t>
            </w:r>
            <w:r>
              <w:rPr>
                <w:rFonts w:hint="default" w:ascii="Arial" w:hAnsi="Arial" w:eastAsia="宋体" w:cs="Arial"/>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600；</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具备无线双向WiFi功能，可实时传输图像，可在手机app上显示实时画面，可连接MESH自组网电台</w:t>
            </w:r>
            <w:r>
              <w:rPr>
                <w:rFonts w:hint="eastAsia" w:ascii="宋体" w:hAnsi="宋体" w:eastAsia="宋体" w:cs="宋体"/>
                <w:color w:val="auto"/>
                <w:sz w:val="24"/>
                <w:szCs w:val="24"/>
                <w:highlight w:val="none"/>
                <w:lang w:val="en-US" w:bidi="ar-SA"/>
              </w:rPr>
              <w:t xml:space="preserve">；</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具备拍照和录像功能，屏幕可显示存储卡剩余容量；</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特定环境温度持续工作时间：+85℃连续工作≥50min；+150℃连续工作≥20min；+260℃连续工作≥10min；</w:t>
            </w:r>
            <w:r>
              <w:rPr>
                <w:highlight w:val="none"/>
              </w:rPr>
            </w:r>
          </w:p>
          <w:p>
            <w:pPr>
              <w:pStyle w:val="733"/>
              <w:numPr>
                <w:ilvl w:val="0"/>
                <w:numId w:val="5"/>
              </w:numPr>
              <w:ind w:left="293" w:hanging="292"/>
              <w:jc w:val="left"/>
              <w:spacing w:after="16"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具备火场中全屏高温、低温，冷热点指针自动搜索功能，并能同时显示高温、低温、中心点实际温度值，将实时测量温度数值显示在屏幕上</w:t>
            </w:r>
            <w:r>
              <w:rPr>
                <w:rFonts w:hint="eastAsia" w:ascii="宋体" w:hAnsi="宋体" w:eastAsia="宋体" w:cs="宋体"/>
                <w:color w:val="auto"/>
                <w:sz w:val="24"/>
                <w:szCs w:val="24"/>
                <w:highlight w:val="none"/>
                <w:lang w:val="en-US" w:bidi="ar-SA"/>
              </w:rPr>
              <w:t xml:space="preserve">；</w:t>
            </w:r>
            <w:r>
              <w:rPr>
                <w:highlight w:val="none"/>
              </w:rPr>
            </w:r>
          </w:p>
          <w:p>
            <w:pPr>
              <w:pStyle w:val="733"/>
              <w:numPr>
                <w:ilvl w:val="0"/>
                <w:numId w:val="5"/>
              </w:numPr>
              <w:ind w:left="293" w:hanging="292"/>
              <w:jc w:val="left"/>
              <w:spacing w:after="16" w:line="240" w:lineRule="auto"/>
              <w:rPr>
                <w:rFonts w:ascii="宋体" w:hAnsi="宋体" w:eastAsia="宋体" w:cs="宋体"/>
                <w:color w:val="auto"/>
                <w:sz w:val="24"/>
                <w:szCs w:val="24"/>
                <w:highlight w:val="non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电池可充电次数≥5000次，电池具备USB Type-C接口，电池耗电量比例可在屏幕上显示</w:t>
            </w:r>
            <w:r>
              <w:rPr>
                <w:rFonts w:hint="eastAsia" w:ascii="宋体" w:hAnsi="宋体" w:eastAsia="宋体" w:cs="宋体"/>
                <w:color w:val="auto"/>
                <w:sz w:val="24"/>
                <w:szCs w:val="24"/>
                <w:highlight w:val="none"/>
                <w:lang w:val="en-US" w:eastAsia="zh-CN" w:bidi="ar-SA"/>
              </w:rPr>
              <w:t xml:space="preserve">；</w:t>
            </w:r>
            <w:r>
              <w:rPr>
                <w:highlight w:val="none"/>
              </w:rPr>
            </w:r>
          </w:p>
          <w:p>
            <w:pPr>
              <w:pStyle w:val="733"/>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体积尺寸应≤205×105×70mm；</w:t>
            </w:r>
            <w:r>
              <w:rPr>
                <w:highlight w:val="none"/>
              </w:rPr>
            </w:r>
          </w:p>
          <w:p>
            <w:pPr>
              <w:pStyle w:val="743"/>
              <w:numPr>
                <w:ilvl w:val="0"/>
                <w:numId w:val="5"/>
              </w:numPr>
              <w:ind w:left="292" w:hanging="292"/>
              <w:jc w:val="both"/>
              <w:rPr>
                <w:highlight w:val="none"/>
              </w:rPr>
            </w:pPr>
            <w:r>
              <w:rPr>
                <w:rFonts w:hint="eastAsia" w:ascii="宋体" w:hAnsi="宋体" w:eastAsia="宋体" w:cs="宋体"/>
                <w:i w:val="0"/>
                <w:iCs w:val="0"/>
                <w:sz w:val="24"/>
                <w:szCs w:val="24"/>
                <w:highlight w:val="none"/>
                <w:lang w:val="en-US" w:eastAsia="zh-CN"/>
              </w:rPr>
              <w:t xml:space="preserve">按键设计：</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i w:val="0"/>
                <w:iCs w:val="0"/>
                <w:spacing w:val="5"/>
                <w:sz w:val="24"/>
                <w:szCs w:val="24"/>
                <w:highlight w:val="none"/>
                <w:lang w:val="en-US" w:eastAsia="zh-CN"/>
              </w:rPr>
              <w:t xml:space="preserve">5个实体按键，所有主要功能可通过按键直接控制，无需进入二级菜单</w:t>
            </w:r>
            <w:r>
              <w:rPr>
                <w:rFonts w:hint="eastAsia" w:ascii="宋体" w:hAnsi="宋体" w:eastAsia="宋体" w:cs="宋体"/>
                <w:i w:val="0"/>
                <w:iCs w:val="0"/>
                <w:sz w:val="24"/>
                <w:szCs w:val="24"/>
                <w:highlight w:val="none"/>
                <w:lang w:val="en-US" w:eastAsia="zh-CN"/>
              </w:rPr>
              <w:t xml:space="preserve">。</w:t>
            </w:r>
            <w:r>
              <w:rPr>
                <w:highlight w:val="none"/>
              </w:rPr>
            </w:r>
          </w:p>
          <w:p>
            <w:pPr>
              <w:pStyle w:val="733"/>
              <w:numPr>
                <w:ilvl w:val="0"/>
                <w:numId w:val="5"/>
              </w:numPr>
              <w:ind w:left="293" w:hanging="292"/>
              <w:jc w:val="left"/>
              <w:spacing w:after="16"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sz w:val="24"/>
                <w:szCs w:val="24"/>
                <w:highlight w:val="none"/>
                <w:lang w:val="en-US" w:eastAsia="zh-CN" w:bidi="ar-SA"/>
              </w:rPr>
              <w:t xml:space="preserve">并提供国家级检验检测机构出具的与所投产品型号一致带有CMA或CNAS标志的检验检测报告；提供防爆合格证</w:t>
            </w:r>
            <w:r>
              <w:rPr>
                <w:highlight w:val="none"/>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隔热服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隔热防护服是消防员近火作业时穿着的防护服装，具有耐磨、耐折、阻燃性能好，抗辐射热性能高等特点，是消防员在火场及高温事故现场进行抢险作业的理想的防护服装。符合XF634-2015《消防隔热防护服》和CCCF-CPRZ-27:2019《消防类产品认证实施细则 消防装备产品 消防员个人防护装备产品》的标准要求生产。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1.结构：分体内置呼吸器式，上衣背囊可内置6.8升或9.0升空呼气瓶。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2.整套隔热服包括上衣(前襟内魔术贴外金属挂钩）、下背带裤、镀铬视片隔热头罩、五指隔热手套和隔热脚盖。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二、性能指标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1.面料外层性能（含隔热手套和隔热脚盖）：采用铝箔芳纶面料制成。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1.1阻燃性能：经向损毁长度≤40mm、纬向损毁长度≤45mm，续燃时间0s；无熔融、滴落现象。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1.2断裂强力：经向≥1450N，纬向≥1350N。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1.3撕破强力：经向≥200N、纬向≥160N。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1.4剥离强力：复合层与基材无分离。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1.5热稳定性能：经向尺寸变化率≤1%、纬向尺寸变化率≤1%，不应有变色、脱层、炭化、熔融和滴落现象。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1.6耐静水压性能：＞17Kpa。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1.7耐弯折性能：试验现象不应出现复合层材料脱落现象，干态经向断裂强力≥1350N、干态纬向断裂强力≥1200N，湿态经向断裂强力≥1300N、湿态纬向断裂强力≥1200N。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1.8抗辐射热渗透性能：内表面温升达到24℃的时间≥100s。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2.面料隔热层性能（含隔热手套和隔热脚盖）：采用芳纶无纺布+阻燃PTFE膜制成。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2.1阻燃性能：经向损毁长度≤25mm、纬向损毁长度≤25mm，续燃时间0s；无熔融、滴落现象。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2.2热稳定性能：经向尺寸变化率≤1%、纬向尺寸变化率≤1%，不应有变色、脱层、炭化、熔融和滴落现象。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3.面料舒适层性能（含隔热手套和隔热脚盖）：采用芳纶粘胶阻燃面料制成。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3.1阻燃性能：经向损毁长度≤50mm、纬向损毁长度≤50mm，续燃时间0s；无熔融、滴落现象。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3.2断裂强力：经向≥400N，纬向≥450N。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隔热头罩性能：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4.1耐高温性能：隔热头罩不应有炭化、熔融和滴落现象，视窗不应有明显变形或损坏的现象。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4.2视窗透光率：浅色≥35%。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5.隔热手套性能：灵巧性能5级。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6.硬质附件耐高温性能：在温度为260℃条件下，5min后保持原有功能。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7.缝纫线耐高温性能：不应有熔融、炭化和滴落现象。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8.整体性能：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8.1火焰和辐射热防护性能TPP值≥39cal/cm2。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8.2外层接缝断裂强力：经向≥1050N，纬向≥950N。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8.3针距密度：明暗线每13针/3cm。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8.4质量≤3800g。</w:t>
            </w:r>
            <w:r>
              <w:rPr>
                <w:highlight w:val="none"/>
              </w:rP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二级防化服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化学防护服是消防员进入化学危险品或腐蚀性物品火灾或事故现场，进行灭火及抢险救援时穿着的防护服装。该服装采用改性pvc双面涂覆织物面料制作，不但具有防酸、碱性能，而且具备了较好的阻燃性能及强力性能。符合XF770-2008《消防员化学防护服》、GB24539-2021《防护服装 化学防护服》标准要求，提供国家级或国家认可的第三方机构出具的检测报告。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1.连体式半封闭结构，除面部裸露，其余部位采用密封形式。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2.手套采用卡环可拆卸式连接，既能保证气密性，又便于更换。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3.缝纫接缝全部采用内外密封条密封，确保服装的密封性能。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4.整套防化服是由带帽连体衣、防化手套、防化胶靴（钢包头，钢底板，防砸防穿刺）组成。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二、性能指标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1.整体抗水渗漏性能：试样经整体抗水渗漏性试验20min后，无渗漏现象。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▲2.粘附强度：≥1.9kN/m。撕裂强力：经向≥95,纬向≥75N。阻燃性能：有焰燃烧时间≤2s，无焰燃烧时间≤0s，损毁长度≤10cm。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3.断裂强力（拉伸强度）：经向≥15kN/m，纬向≥12kN/m。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.耐热老化性能：试样经125℃×24h不粘、不脆。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.接缝强力：≥235N。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.耐寒性能：试样经-25℃×5min后，无裂纹。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.防化手套：耐穿刺力≥24N，灵巧性能5级。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.防化靴：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.1.靴底抗刺穿性能：≥1200N。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.2.抗切割性能：靴面经抗切割试验后，未被刺穿。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.3.电绝缘性能：≥5000V且泄露电流≤0.10mA。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.4.防滑性能：始滑角≥23°。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.5.靴头防砸性能经冲击试验后，其间隙高度≥16mm。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.渗透性能：面料分别在96%硫酸、30%氢氧化钠的酸碱液体下1h不渗透。</w:t>
            </w:r>
            <w:r>
              <w:rPr>
                <w:highlight w:val="none"/>
              </w:rPr>
            </w:r>
          </w:p>
        </w:tc>
      </w:tr>
      <w:tr>
        <w:trPr>
          <w:trHeight w:val="54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防蜂服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防蜂服（风扇款）是施救人员在有蜂群的场合进行救援、除险时为保护自身安全而穿着的防护服装，该服装由双层面料组成，后腰设计两台降温风扇（并有防雨保护），单独配备储电用充电宝，风扇可用开关调节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一、结构特征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1.结构：连体式、除手套外其它部位连为一体，使其具有很好的密封性；拉链设计为侧方拉链，面罩为成型不锈钢网制成。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2.连体式防蜂服包括头罩（内置帽壳、帽衬）、上下衣、胶靴、连为一体；外配手套、散热通风扇（两台、并外覆风扇保护罩）、充电宝。</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二、技术特性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1.主要性能：具有防割、防穿刺、防叮咬、防蜂蛰、防水等性能。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2.1断裂强力：≥450N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2.2撕破强力：≥32N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2.3防割性能：≥2N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2.4耐静水压：≥17kPa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2.5防碱渗透性能：在6.1mol/LNaOH，10mm液柱下1h不渗透。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2.6充电宝：可连续工作不小于7h。</w:t>
            </w:r>
            <w:r>
              <w:rPr>
                <w:highlight w:val="none"/>
              </w:rPr>
            </w:r>
          </w:p>
        </w:tc>
      </w:tr>
      <w:tr>
        <w:trPr>
          <w:trHeight w:val="549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1、满足XF 633-2006《消防员抢险救援防护服装》标准，提供国家级或国家认可的第三方机构出具的检测报告;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2、手套采用立体剪裁，符合人体工程学，更加贴合手部，增加灵活性和舒适性;手背采用橘红色材料，与抢险救援服搭配;指尖采用翻转式设计，增加指尖的贴合度;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3、手背关节处及除大拇指以外其他四指指背采用有凸起的防护硬壳设计，增强抗冲击防护性，具有手骨保护功能;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4、阻燃性能：续燃时间：经向≤0s；纬向≤0s，损毁长度：经向、纬向≤15mm；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5、热稳定性能：手套尺寸变化率：长方向≤1.5%；宽方向≤2%；手套经180℃温度5min后，试样表面无明显变化，且无熔融、熔滴和剥离现象;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6、耐磨性能：≥8000次;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▲7、耐撕破性能：掌心面：经向≥300N；纬向≥200N，背面外层：经向≥280N；纬向≥200N;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8、抗切割性能：≥15N;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▲9、抗机械刺穿性能：掌心面≥300N;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10、灵巧性能：≤105%;抓握性能：≥105%;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12、穿戴性能：≤6s;</w:t>
            </w:r>
            <w:r>
              <w:rPr>
                <w:highlight w:val="none"/>
              </w:rPr>
            </w:r>
          </w:p>
        </w:tc>
      </w:tr>
      <w:tr>
        <w:trPr>
          <w:trHeight w:val="376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水域救援头盔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1．低重心无帽沿设计，贴合头部。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2．11个透气孔，头盔内腔气流通畅，大温差环境中，具有高舒适度。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3．头盔两侧一体式护耳部件，大通风口，保护耳部的同时不影响听力。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4．ABS工程塑料注塑成型盔壳，高冲击强度，良好的机械性能。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5．高密度EVA缓冲垫，密闭泡孔结构，不吸水，回弹性和抗张力高，良好的耐水性能和低速冲击能量吸收能力。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6．快调式帽衬，可单手操作，全方位满足个性化尺寸调节需求。带Go Pro NVG墨鱼干支架底座，侧面双导轨，可配救援头灯。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.冲击吸收性能≥3600N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.最大加速度≥145g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.经24h的漂浮性能试验，头盔始终漂浮在水面上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.质量≤550g</w:t>
            </w:r>
            <w:r>
              <w:rPr>
                <w:highlight w:val="none"/>
              </w:rP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湿式水域救援服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.连体式湿式救援服设计，采用或优于高弹性钛涂层氯丁橡胶面料，厚度≥3.0mm，可以在寒冷的温度中提供非常好的热反射性能；外层尼龙弹性针织面料防泼水处理；内层为混纺或羊毛面料；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.拉伸强度：面料在150N拉伸强度下持续10s不断裂；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.接缝强度：接缝在100N拉伸强度下持续10s不断裂；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.耐磨性能：面料经2000次循环摩擦，不被磨穿；补强材料经6000次循环摩擦，不被磨穿；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.前置双向YKK拉链，袖口、裤口处YKK拉链开合，拉链内侧有大面积氯丁橡胶防磨层，袖口、裤口O型密封圈；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.前胸、后背、衣袖和裤腿处设有反光带，并且有RESCUE救援字样，手腕、腿部均有双环形高亮反光带；确保在有雾条件和夜间有较高识别度；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.整体重量≤1.6kg。</w:t>
            </w:r>
            <w:r>
              <w:rPr>
                <w:highlight w:val="none"/>
              </w:rPr>
            </w:r>
          </w:p>
        </w:tc>
      </w:tr>
      <w:tr>
        <w:trPr>
          <w:trHeight w:val="345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1.鞋帮高于脚踝，整体为系带设计；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2.脚踝处有魔术贴固定收紧；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3.双层结构，内部≥5mm氯丁橡胶与外部皮革一体合成，提供良好的防护和保暖性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4.≥7mm的氯丁橡胶内垫可以提供良好的减震性；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5.吸盘底，可以适应水面和陆地的各种地形；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6.经常磨损区域做加强处理，脚掌侧面带有排水孔，脚跟处凸起设计，方便与脚蹼搭配使用；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7.质量：≤1.4kg；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8.防水性能性能：消防员水域救援靴经防水性能试验后，无渗漏现象；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9.总体性能符合《消防水域救援个人防护装备试验大纲》标准要求</w:t>
            </w:r>
            <w:r>
              <w:rPr>
                <w:highlight w:val="none"/>
              </w:rP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1.良好的保暖性：在手套的背面有2mm的氯丁橡胶层和3mm的缓冲垫层，提供良好的保暖性和抗冲击性；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2.高度的灵活性：手掌和手指覆盖区都经过橡胶涂层的加固处理，保证耐用性的同时不失灵活性；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3.在经常性磨损区域应做加固垫，确保在用手划水和操作绳索的时候都可以得到良好的保护；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4.舒适的耐磨性：手指处采用特殊的GripCoteTM材料，既灵活又耐磨；在手腕处设有魔术贴，可以快速调节和固定，并确保手套不会滑落，增加了保暖性；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5.人性化设计：手腕处设有按扣，可以将一副手套固定在一起，防止丢失；</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6.手套本体的长度为环形延伸，超出腕关节不少于25mm，且能限制杂物进入手套口；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7.质量：≤135g；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8.灵巧性能：人员双手穿戴手套后，能对直径9.5mm、12.5m和16mm的绳索进行结绳作业；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9.总体性能符合《消防水域救援个人防护装备试验大纲》标准要求</w:t>
            </w:r>
            <w:r>
              <w:rPr>
                <w:highlight w:val="none"/>
              </w:rPr>
            </w:r>
          </w:p>
        </w:tc>
      </w:tr>
      <w:tr>
        <w:trPr>
          <w:trHeight w:val="527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冲锋舟（3.</w:t>
            </w:r>
            <w:r>
              <w:rPr>
                <w:rFonts w:hint="eastAsia" w:ascii="宋体" w:hAnsi="宋体" w:cs="宋体"/>
                <w:b/>
                <w:bCs/>
                <w:i w:val="0"/>
                <w:iCs w:val="0"/>
                <w:color w:val="000000"/>
                <w:sz w:val="22"/>
                <w:szCs w:val="22"/>
                <w:highlight w:val="none"/>
                <w:u w:val="none"/>
                <w:lang w:val="en-US" w:eastAsia="zh-CN" w:bidi="ar"/>
              </w:rPr>
              <w:t xml:space="preserve">9</w:t>
            </w:r>
            <w:r>
              <w:rPr>
                <w:rFonts w:hint="eastAsia" w:ascii="宋体" w:hAnsi="宋体" w:eastAsia="宋体" w:cs="宋体"/>
                <w:b/>
                <w:bCs/>
                <w:i w:val="0"/>
                <w:iCs w:val="0"/>
                <w:color w:val="000000"/>
                <w:sz w:val="22"/>
                <w:szCs w:val="22"/>
                <w:highlight w:val="none"/>
                <w:u w:val="none"/>
                <w:lang w:val="en-US" w:eastAsia="zh-CN" w:bidi="ar"/>
              </w:rPr>
              <w:t xml:space="preserve">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1.总长≥390cm，总宽≥184cm，舷直径≥45cm，艉板高度≥395mm，承载人数≥8人；</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2.气囊数≥8个，水密性试验保持1小时艇身无泄漏；</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3.艇净重≥56KG，承载重量≥850KG，适配动力≥30马力；</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4.艇身材质：采用加强PVC夹网材质，厚度≥0.9mm，耐老化，耐腐蚀，艇体工艺为热熔合技术。底部及船头附带夹网布装甲，增加耐磨及抗穿刺性。</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5.经向拉伸强度≥82.0KN/m 、纬向拉伸强度≥66.3KN/m 经向梯形撕裂强度≥465N。粘着强度≥6.7kN/m（</w:t>
            </w:r>
            <w:r>
              <w:rPr>
                <w:rFonts w:hint="eastAsia" w:ascii="宋体" w:hAnsi="宋体" w:cs="宋体"/>
                <w:i w:val="0"/>
                <w:iCs w:val="0"/>
                <w:color w:val="000000"/>
                <w:sz w:val="22"/>
                <w:szCs w:val="22"/>
                <w:highlight w:val="none"/>
                <w:u w:val="none"/>
                <w:lang w:eastAsia="zh-CN"/>
              </w:rPr>
              <w:t xml:space="preserve">提供</w:t>
            </w:r>
            <w:r>
              <w:rPr>
                <w:rFonts w:hint="eastAsia" w:ascii="宋体" w:hAnsi="宋体" w:eastAsia="宋体" w:cs="宋体"/>
                <w:i w:val="0"/>
                <w:iCs w:val="0"/>
                <w:color w:val="000000"/>
                <w:sz w:val="22"/>
                <w:szCs w:val="22"/>
                <w:highlight w:val="none"/>
                <w:u w:val="none"/>
              </w:rPr>
              <w:t xml:space="preserve">符合SL297-2004</w:t>
            </w:r>
            <w:r>
              <w:rPr>
                <w:rFonts w:hint="eastAsia" w:ascii="宋体" w:hAnsi="宋体" w:cs="宋体"/>
                <w:i w:val="0"/>
                <w:iCs w:val="0"/>
                <w:color w:val="000000"/>
                <w:sz w:val="22"/>
                <w:szCs w:val="22"/>
                <w:highlight w:val="none"/>
                <w:u w:val="none"/>
                <w:lang w:eastAsia="zh-CN"/>
              </w:rPr>
              <w:t xml:space="preserve">标准的</w:t>
            </w:r>
            <w:r>
              <w:rPr>
                <w:rFonts w:hint="eastAsia" w:ascii="宋体" w:hAnsi="宋体" w:eastAsia="宋体" w:cs="宋体"/>
                <w:i w:val="0"/>
                <w:iCs w:val="0"/>
                <w:color w:val="000000"/>
                <w:sz w:val="22"/>
                <w:szCs w:val="22"/>
                <w:highlight w:val="none"/>
                <w:u w:val="none"/>
              </w:rPr>
              <w:t xml:space="preserve">检测报告为佐证）；</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6.船体结构：底板为一体式三气室拉丝底板，底部设有2处稳定浮筒，充气后，救援艇底部呈现M型，艇身设计2处无障碍救援通道；</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7.气密性：额定压力为0.025Mpa，空载状态下浮筒静置≥60min后剩余压力为0.025Mpa；额定压力为0.035Mpa，空载状态下充气底板静置≥60min后剩余压力为0.035Mpa；</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8.耐压性：满载状态时，船艇各气囊加压至1.15倍额定压力后静置30min，无异样。</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9.安全及性能要求：静态稳性满载10人当所有人移至船体一舷时，倾斜角度≤15°，回转直径：载重75kg，航速16km/h时，左转≤5.0m，右转≤4.5m。</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10.耐磨性：在12kPa压力下，PVC材料的耐磨性≥1000次摩擦后无变化， 抗刺穿性≥166N（提供检验报告为佐证）。</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t xml:space="preserve">11.配备：检修工具灯</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材质：铝合金及V0级防火塑料机身；整机尺寸≥80x170x180mm。重量：≥600g。聚光高亮≥2800LM：侧面工作灯：高亮≥ 450LM，工作时间：聚光灯 最高3000lm档位不少2h，100lm档位工作不少于20h。整灯可漂浮在水面上，防护等级：IP68（可以在2米水深中浸泡90min的情况下仍可正常工作）。灯具透明件及外壳分别经受质量 1Kg 的标准冲击锤从 1.2m 高度自由落体冲击部位不应发生破损现象。</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提供国家级或国家认可的第三方检测机构出具的检测报告</w:t>
            </w:r>
            <w:r>
              <w:rPr>
                <w:highlight w:val="none"/>
              </w:rP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15匹船外机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1.▲最大输出功率≥11KW，额定转速≥5000r/min，缸径x行程:56.0 x 50.0mm，有中国船级社型式认可证书佐证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2.冲程:2</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缸数:2 缸</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燃油进气系统:化油器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机油供给:预混</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启动装置:手启动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操舵系统:后操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调整和倾斜方式:手动倾斜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.润滑系统:预混机油和汽油</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油箱:≥24L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船外机配置智控模块：实时监测设备运行状态，支持1英寸TFT彩屏显示设备温度、转速、工作时长等数据；支持设备维护保养时间设定，蜂鸣器定时保养提醒，告警音量：≥70dB；支持存储和记录设备异常数据，易于维修保养。手机终端小程序无线连接工控数据模块，控制距离≥50米；程序界面实时同步显示设备运行数据；存储并记录设备信息，自动生成工作日志， 记录次数≥20次。（提供实物产品照片一份，能体现出设备温度、转速、工作时长功能）</w:t>
            </w:r>
            <w:r>
              <w:rPr>
                <w:highlight w:val="none"/>
              </w:rPr>
            </w:r>
          </w:p>
        </w:tc>
      </w:tr>
      <w:tr>
        <w:trPr>
          <w:trHeight w:val="281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指北针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重量:表重:≤115G；含包装:≤170G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 质:ABS+有机玻璃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水下工作温度:-30°C~+60°C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用 途:水下指引方向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规格:指北针:≤7.0*7.0*4.0CM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表带:≤40*4.0CM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颜色:黑色、蓝色、黄色、灰色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存储温度:-22°F~+140°F</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水下下潜深度:≤50米</w:t>
            </w:r>
            <w:r>
              <w:rPr>
                <w:highlight w:val="none"/>
              </w:rP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多功能水枪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一、枪体和接口材质：铝合金型材6061，接口形式：KYKA65Z,表面阳极氧化处理。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二、产品参数：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1.在喷射压力为0.6MPa时,直流流量≥13L/S，射程≥37米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射流形式挡位为</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1档30°喷雾角：流量≥13 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2档自保直流：≥10 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3档扇形角：≥12L/S，射程≥10米（提供测试现场图片）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设有FLUSH档位，可以进行水枪内部冲洗；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2.连续可调喷雾角度:0-100度；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3.操作力矩：≤7.3N.m</w:t>
            </w:r>
            <w:r>
              <w:rPr>
                <w:highlight w:val="none"/>
              </w:rPr>
            </w:r>
          </w:p>
        </w:tc>
      </w:tr>
      <w:tr>
        <w:trPr>
          <w:trHeight w:val="323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直流水枪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 GB8181-2005 标准要求，提供国家级或国家认可的第三方机构出具的检测报告。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2、直流</w:t>
            </w:r>
            <w:r>
              <w:rPr>
                <w:rFonts w:hint="eastAsia" w:ascii="宋体" w:hAnsi="宋体" w:cs="宋体"/>
                <w:i w:val="0"/>
                <w:iCs w:val="0"/>
                <w:color w:val="000000"/>
                <w:sz w:val="22"/>
                <w:szCs w:val="22"/>
                <w:highlight w:val="none"/>
                <w:u w:val="none"/>
                <w:lang w:val="en-US" w:eastAsia="zh-CN" w:bidi="ar"/>
              </w:rPr>
              <w:t xml:space="preserve">水枪</w:t>
            </w:r>
            <w:r>
              <w:rPr>
                <w:rFonts w:hint="eastAsia" w:ascii="宋体" w:hAnsi="宋体" w:eastAsia="宋体" w:cs="宋体"/>
                <w:i w:val="0"/>
                <w:iCs w:val="0"/>
                <w:color w:val="000000"/>
                <w:sz w:val="22"/>
                <w:szCs w:val="22"/>
                <w:highlight w:val="none"/>
                <w:u w:val="none"/>
                <w:lang w:val="en-US" w:eastAsia="zh-CN" w:bidi="ar"/>
              </w:rPr>
              <w:t xml:space="preserve">伸缩枪</w:t>
            </w:r>
            <w:r>
              <w:rPr>
                <w:rFonts w:hint="eastAsia" w:ascii="宋体" w:hAnsi="宋体" w:cs="宋体"/>
                <w:i w:val="0"/>
                <w:iCs w:val="0"/>
                <w:color w:val="000000"/>
                <w:sz w:val="22"/>
                <w:szCs w:val="22"/>
                <w:highlight w:val="none"/>
                <w:u w:val="none"/>
                <w:lang w:val="en-US" w:eastAsia="zh-CN" w:bidi="ar"/>
              </w:rPr>
              <w:t xml:space="preserve">管</w:t>
            </w:r>
            <w:r>
              <w:rPr>
                <w:rFonts w:hint="eastAsia" w:ascii="宋体" w:hAnsi="宋体" w:eastAsia="宋体" w:cs="宋体"/>
                <w:i w:val="0"/>
                <w:iCs w:val="0"/>
                <w:color w:val="000000"/>
                <w:sz w:val="22"/>
                <w:szCs w:val="22"/>
                <w:highlight w:val="none"/>
                <w:u w:val="none"/>
                <w:lang w:val="en-US" w:eastAsia="zh-CN" w:bidi="ar"/>
              </w:rPr>
              <w:t xml:space="preserve">具有三</w:t>
            </w:r>
            <w:r>
              <w:rPr>
                <w:rFonts w:hint="eastAsia" w:ascii="宋体" w:hAnsi="宋体" w:cs="宋体"/>
                <w:i w:val="0"/>
                <w:iCs w:val="0"/>
                <w:color w:val="000000"/>
                <w:sz w:val="22"/>
                <w:szCs w:val="22"/>
                <w:highlight w:val="none"/>
                <w:u w:val="none"/>
                <w:lang w:val="en-US" w:eastAsia="zh-CN" w:bidi="ar"/>
              </w:rPr>
              <w:t xml:space="preserve">节</w:t>
            </w:r>
            <w:r>
              <w:rPr>
                <w:rFonts w:hint="eastAsia" w:ascii="宋体" w:hAnsi="宋体" w:eastAsia="宋体" w:cs="宋体"/>
                <w:i w:val="0"/>
                <w:iCs w:val="0"/>
                <w:color w:val="000000"/>
                <w:sz w:val="22"/>
                <w:szCs w:val="22"/>
                <w:highlight w:val="none"/>
                <w:u w:val="none"/>
                <w:lang w:val="en-US" w:eastAsia="zh-CN" w:bidi="ar"/>
              </w:rPr>
              <w:t xml:space="preserve">枪体伸缩功能。材质：</w:t>
            </w:r>
            <w:r>
              <w:rPr>
                <w:rFonts w:hint="eastAsia" w:ascii="宋体" w:hAnsi="宋体" w:cs="宋体"/>
                <w:i w:val="0"/>
                <w:iCs w:val="0"/>
                <w:color w:val="000000"/>
                <w:sz w:val="22"/>
                <w:szCs w:val="22"/>
                <w:highlight w:val="none"/>
                <w:u w:val="none"/>
                <w:lang w:val="en-US" w:eastAsia="zh-CN" w:bidi="ar"/>
              </w:rPr>
              <w:t xml:space="preserve">锻造</w:t>
            </w:r>
            <w:r>
              <w:rPr>
                <w:rFonts w:hint="eastAsia" w:ascii="宋体" w:hAnsi="宋体" w:eastAsia="宋体" w:cs="宋体"/>
                <w:i w:val="0"/>
                <w:iCs w:val="0"/>
                <w:color w:val="000000"/>
                <w:sz w:val="22"/>
                <w:szCs w:val="22"/>
                <w:highlight w:val="none"/>
                <w:u w:val="none"/>
                <w:lang w:val="en-US" w:eastAsia="zh-CN" w:bidi="ar"/>
              </w:rPr>
              <w:t xml:space="preserve">全铝合金。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3、流量:≥7L/s。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▲4、收缩状态</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280mm，展开状态≥510mm</w:t>
            </w:r>
            <w:r>
              <w:rPr>
                <w:rFonts w:hint="eastAsia" w:ascii="宋体" w:hAnsi="宋体" w:cs="宋体"/>
                <w:i w:val="0"/>
                <w:iCs w:val="0"/>
                <w:color w:val="000000"/>
                <w:sz w:val="22"/>
                <w:szCs w:val="22"/>
                <w:highlight w:val="none"/>
                <w:u w:val="none"/>
                <w:lang w:val="en-US" w:eastAsia="zh-CN" w:bidi="ar"/>
              </w:rPr>
              <w:t xml:space="preserve">。</w:t>
            </w:r>
            <w:r>
              <w:rPr>
                <w:highlight w:val="none"/>
              </w:rP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5、水枪管节长：第一节</w:t>
            </w:r>
            <w:r>
              <w:rPr>
                <w:rFonts w:hint="eastAsia" w:ascii="宋体" w:hAnsi="宋体" w:eastAsia="宋体" w:cs="宋体"/>
                <w:i w:val="0"/>
                <w:iCs w:val="0"/>
                <w:color w:val="000000"/>
                <w:sz w:val="22"/>
                <w:szCs w:val="22"/>
                <w:highlight w:val="none"/>
                <w:u w:val="none"/>
                <w:lang w:val="en-US" w:eastAsia="zh-CN" w:bidi="ar"/>
              </w:rPr>
              <w:t xml:space="preserve">管≤135mm,</w:t>
            </w:r>
            <w:r>
              <w:rPr>
                <w:rFonts w:hint="eastAsia" w:ascii="宋体" w:hAnsi="宋体" w:cs="宋体"/>
                <w:i w:val="0"/>
                <w:iCs w:val="0"/>
                <w:color w:val="000000"/>
                <w:sz w:val="22"/>
                <w:szCs w:val="22"/>
                <w:highlight w:val="none"/>
                <w:u w:val="none"/>
                <w:lang w:val="en-US" w:eastAsia="zh-CN" w:bidi="ar"/>
              </w:rPr>
              <w:t xml:space="preserve">第二</w:t>
            </w:r>
            <w:r>
              <w:rPr>
                <w:rFonts w:hint="eastAsia" w:ascii="宋体" w:hAnsi="宋体" w:eastAsia="宋体" w:cs="宋体"/>
                <w:i w:val="0"/>
                <w:iCs w:val="0"/>
                <w:color w:val="000000"/>
                <w:sz w:val="22"/>
                <w:szCs w:val="22"/>
                <w:highlight w:val="none"/>
                <w:u w:val="none"/>
                <w:lang w:val="en-US" w:eastAsia="zh-CN" w:bidi="ar"/>
              </w:rPr>
              <w:t xml:space="preserve">节管≤130mm，</w:t>
            </w:r>
            <w:r>
              <w:rPr>
                <w:rFonts w:hint="eastAsia" w:ascii="宋体" w:hAnsi="宋体" w:cs="宋体"/>
                <w:i w:val="0"/>
                <w:iCs w:val="0"/>
                <w:color w:val="000000"/>
                <w:sz w:val="22"/>
                <w:szCs w:val="22"/>
                <w:highlight w:val="none"/>
                <w:u w:val="none"/>
                <w:lang w:val="en-US" w:eastAsia="zh-CN" w:bidi="ar"/>
              </w:rPr>
              <w:t xml:space="preserve">第</w:t>
            </w:r>
            <w:r>
              <w:rPr>
                <w:rFonts w:hint="eastAsia" w:ascii="宋体" w:hAnsi="宋体" w:eastAsia="宋体" w:cs="宋体"/>
                <w:i w:val="0"/>
                <w:iCs w:val="0"/>
                <w:color w:val="000000"/>
                <w:sz w:val="22"/>
                <w:szCs w:val="22"/>
                <w:highlight w:val="none"/>
                <w:u w:val="none"/>
                <w:lang w:val="en-US" w:eastAsia="zh-CN" w:bidi="ar"/>
              </w:rPr>
              <w:t xml:space="preserve">三节管≤128mm(提供三种展开形式的</w:t>
            </w:r>
            <w:r>
              <w:rPr>
                <w:rFonts w:hint="eastAsia" w:ascii="宋体" w:hAnsi="宋体" w:cs="宋体"/>
                <w:i w:val="0"/>
                <w:iCs w:val="0"/>
                <w:color w:val="000000"/>
                <w:sz w:val="22"/>
                <w:szCs w:val="22"/>
                <w:highlight w:val="none"/>
                <w:u w:val="none"/>
                <w:lang w:val="en-US" w:eastAsia="zh-CN" w:bidi="ar"/>
              </w:rPr>
              <w:t xml:space="preserve">实物</w:t>
            </w:r>
            <w:r>
              <w:rPr>
                <w:rFonts w:hint="eastAsia" w:ascii="宋体" w:hAnsi="宋体" w:eastAsia="宋体" w:cs="宋体"/>
                <w:i w:val="0"/>
                <w:iCs w:val="0"/>
                <w:color w:val="000000"/>
                <w:sz w:val="22"/>
                <w:szCs w:val="22"/>
                <w:highlight w:val="none"/>
                <w:u w:val="none"/>
                <w:lang w:val="en-US" w:eastAsia="zh-CN" w:bidi="ar"/>
              </w:rPr>
              <w:t xml:space="preserve">图片佐证)。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、喷射压力:≥0.35mpa。射程:≥30m。</w:t>
            </w:r>
            <w:r>
              <w:rPr>
                <w:highlight w:val="none"/>
              </w:rPr>
            </w:r>
          </w:p>
          <w:p>
            <w:pPr>
              <w:numPr>
                <w:ilvl w:val="0"/>
                <w:numId w:val="0"/>
              </w:numPr>
              <w:jc w:val="left"/>
              <w:keepLines w:val="0"/>
              <w:keepNext w:val="0"/>
              <w:widowControl/>
              <w:rPr>
                <w:rFonts w:hint="default" w:ascii="宋体" w:hAnsi="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7、重量：≤750g；月牙形手柄，操作力矩≤4N.m</w:t>
            </w:r>
            <w:r>
              <w:rPr>
                <w:highlight w:val="none"/>
              </w:rP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可以使用A类泡沫；</w:t>
            </w:r>
            <w:r>
              <w:rPr>
                <w:highlight w:val="none"/>
              </w:rP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单干线水炮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合金防腐材质制成，消防炮表面光洁，无裂纹，气孔，缩孔，纱眼等影响强度及性能的缺陷。消防炮外表面的涂漆层，光洁均匀，无气泡、明显流痕、龟裂等影响外观质量的缺陷。本产品具有设计合理、结构紧凑、重心低、工作平稳、重量轻等优点。水平回转、炮头俯仰采用螺杆传动原理。有喷雾直流功能，可配喷射泡沫混合液的炮管。其操作简单、灵活可靠、可折叠、便于携带与存放，在工作时各部位都具有定位销紧功能，以便消防人员定点喷射，撤离火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1、移动式，水、泡沫两用炮，可配发泡管。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2、额定工作压力：0.8Mpa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3、流量≥40L/S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4、射程：≥65m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5、最大喷雾角：120度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6、最小仰角范围：+30~+70度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7、水平回转角：≥20度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8、重量≤9.7KG</w:t>
            </w:r>
            <w:r>
              <w:rPr>
                <w:highlight w:val="none"/>
              </w:rPr>
            </w:r>
          </w:p>
        </w:tc>
      </w:tr>
      <w:tr>
        <w:trPr>
          <w:trHeight w:val="181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干线自摆水炮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1、符合GB19156-2019（消防炮）标准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2、材质:防腐铝合金材质；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3、流量：≥1900升/分；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4、有效射程：≥60米，在进口压力在8Bar，</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5、水平旋转角度：≥40度，自摆角≥40度可无人看管操作;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6、进口尺寸：65mm日式快插；</w:t>
            </w:r>
            <w:r>
              <w:rPr>
                <w:highlight w:val="none"/>
              </w:rP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40水带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0m 内径：38+2mm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单位长度质量≤173g/m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6.爆破压力≥8MPa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7.延伸率≤0.7%，膨胀率≤4.6%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8.▲水带织物层与衬里之间的附着强度≥38N/25mm。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扯断伸长率≥401%，扯断强度≥42.2MPa。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11.每盘水带接口处绑扎不少于5道*3道铁丝，测试压力40公斤时不脱口、不渗漏。水带和接口捆绑处有专用的保护套保护，防止连接部位磨损。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12.在端部附近中心线两侧用不易脱落的油墨，清晰的印上：产品名称、规格型号、生产厂名、和生产日期  </w:t>
            </w:r>
            <w:r>
              <w:rPr>
                <w:highlight w:val="none"/>
              </w:rPr>
            </w:r>
          </w:p>
        </w:tc>
      </w:tr>
      <w:tr>
        <w:trPr>
          <w:trHeight w:val="572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65水带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5</w:t>
            </w:r>
            <w:r>
              <w:rPr>
                <w:rFonts w:hint="eastAsia" w:ascii="宋体" w:hAnsi="宋体" w:eastAsia="宋体" w:cs="宋体"/>
                <w:b/>
                <w:bCs/>
                <w:i w:val="0"/>
                <w:iCs w:val="0"/>
                <w:color w:val="000000"/>
                <w:sz w:val="22"/>
                <w:szCs w:val="22"/>
                <w:highlight w:val="none"/>
                <w:u w:val="none"/>
                <w:lang w:val="en-US" w:eastAsia="zh-CN" w:bidi="ar"/>
              </w:rPr>
              <w:t xml:space="preserve">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4.单位长度≥20m 内径≥63.5mm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单位长度质量≤240g/m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 ▲爆破压力≥5.0MPa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7.延伸率≤2%，膨胀率≤5%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8.▲水带织物层与衬里之间的附着强度≥67N/25mm。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扯断伸长率≥463%，扯断强度≥50MPa。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11.每盘水带接口处绑扎不少于5道*3道铁丝，测试压力32公斤时不脱口、不渗漏。水带和接口捆绑处有专用的保护套保护，防止连接部位磨损。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12.在端部附近中心线两侧用不易脱落的油墨，清晰的印上：产品名称、规格型号、生产厂名、注册商标和生产日期  </w:t>
            </w:r>
            <w:r>
              <w:rPr>
                <w:highlight w:val="none"/>
              </w:rPr>
            </w:r>
          </w:p>
        </w:tc>
      </w:tr>
      <w:tr>
        <w:trPr>
          <w:trHeight w:val="572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80水带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4.单位长度≥20m 内径≥76mm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单位长度质量≤300g/m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 ▲爆破压力≥7.66MPa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7.▲延伸率≤2.4%，膨胀率≤4.7%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8.水带织物层与衬里之间的附着强度≥71.3N/25mm。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扯断伸长率≥455.9%，扯断强度≥54.4MPa。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11.每盘水带接口处绑扎不少于5道*3道铁丝，测试压力24公斤时不脱口、不渗漏。水带和接口捆绑处有专用的保护套保护，防止连接部位磨损。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12.在端部附近中心线两侧用不易脱落的油墨，清晰的印上：产品名称、规格型号、生产厂名、注册商标和生产日期 </w:t>
            </w:r>
            <w:r>
              <w:rPr>
                <w:highlight w:val="none"/>
              </w:rPr>
            </w:r>
          </w:p>
        </w:tc>
      </w:tr>
      <w:tr>
        <w:trPr>
          <w:trHeight w:val="353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三分水器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一、基本描述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接口：采用锻造工艺，选用铝镁合金A6061材质，表面金色阳极氧化防腐处理。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阀体：采用压铸工艺，选用YL112材质，表面红色喷塑防腐处理。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手柄：采用锻造工艺，选用铝镁合金A6061材质，表面阳极氧化防腐处理。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球体：选用铝合金材质，减压式T型通孔球体，表面黑色阳极氧化防腐处理。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把手：蓝色T型浸塑把手。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密封圈：采用防脱结构设计，空排水时有效防止密封圈脱落。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cs="宋体"/>
                <w:i w:val="0"/>
                <w:iCs w:val="0"/>
                <w:color w:val="000000"/>
                <w:sz w:val="22"/>
                <w:szCs w:val="22"/>
                <w:highlight w:val="none"/>
                <w:u w:val="none"/>
                <w:lang w:val="en-US" w:eastAsia="zh-CN" w:bidi="ar"/>
              </w:rPr>
              <w:t xml:space="preserve">参数</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1、重量：≤4.5kg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2、阀门开启力（N）≤100</w:t>
            </w:r>
            <w:r>
              <w:rPr>
                <w:highlight w:val="none"/>
              </w:rPr>
            </w:r>
          </w:p>
        </w:tc>
      </w:tr>
      <w:tr>
        <w:trPr>
          <w:trHeight w:val="35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二分水器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一、基本描述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接口：采用锻造工艺，选用铝镁合金A6061材质，表面金色阳极氧化防腐处理。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阀体：采用压铸工艺，选用YL112材质，表面红色喷塑防腐处理。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手柄：采用锻造工艺，选用铝镁合金A6061材质，表面阳极氧化防腐处理。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球体：选用铝合金材质，减压式T型通孔球体，表面黑色阳极氧化防腐处理。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把手：蓝色T型浸塑把手。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密封圈：采用防脱结构设计，空排水时有效防止密封圈脱落。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cs="宋体"/>
                <w:i w:val="0"/>
                <w:iCs w:val="0"/>
                <w:color w:val="000000"/>
                <w:sz w:val="22"/>
                <w:szCs w:val="22"/>
                <w:highlight w:val="none"/>
                <w:u w:val="none"/>
                <w:lang w:val="en-US" w:eastAsia="zh-CN" w:bidi="ar"/>
              </w:rPr>
              <w:t xml:space="preserve">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阀门开启力（N）≤100、重量：≤3 kg</w:t>
            </w:r>
            <w:r>
              <w:rPr>
                <w:highlight w:val="none"/>
              </w:rPr>
            </w:r>
          </w:p>
        </w:tc>
      </w:tr>
      <w:tr>
        <w:trPr>
          <w:trHeight w:val="287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止水器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接口、阀体、阀芯、手柄：全部采用高强度铝镁合金A6061材质，表面阳极氧化防腐处理，中性盐雾试验≥300小时，止水器主体与手柄采用整体式锻造成型，结合T6调质处理，增强抗压防爆能力，保护胶圈采用高性能防紫外线抗老化硅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2、配置65卡式接口，阀门采用减压式T型通孔球阀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3、阀门通水孔径≥57.5mm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4、重量≤1.4kg，耐压强度≥4.0MPa；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5、采用耐腐蚀、耐高温特性的高密封结构，可在+250℃至-180℃的温度下保证密封性。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6、密封圈采用防脱结构设计，空排水时有效防止密封圈脱落。</w:t>
            </w:r>
            <w:r>
              <w:rPr>
                <w:highlight w:val="none"/>
              </w:rPr>
            </w:r>
          </w:p>
        </w:tc>
      </w:tr>
      <w:tr>
        <w:trPr>
          <w:trHeight w:val="124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屏障水枪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由铝合金制成，佩带开关功能，这种水幕枪用于形成水幕作为保护层，阻断热量和烟雾，在化学事故救援中，可用几支水幕枪组成一道水幕，稀释沿地面扩散的气体，保护人员及设备的安全。工作压力≥0.7MPa，流量≥1600L/min，喷出水幕半径≥15m，高≥10m。</w:t>
            </w:r>
            <w:r>
              <w:rPr>
                <w:highlight w:val="none"/>
              </w:rP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折叠警戒桶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1、底座材质：PP、椎体材质：牛津布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2、特点：体积小、易收藏、便携带、反光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3、尺寸：整体高度≥70cm，底座高度≥3.5cm，底座宽度≥30.5cm*30.5cm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4、重量：≤1kg，带LED警示灯</w:t>
            </w:r>
            <w:r>
              <w:rPr>
                <w:highlight w:val="none"/>
              </w:rP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警戒桶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1、用于事故现场警戒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2、材质：PVC+反光膜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3、尺寸：≥33cm*33cm*70cm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4、重量：≤1.8kg</w:t>
            </w:r>
            <w:r>
              <w:rPr>
                <w:highlight w:val="none"/>
              </w:rPr>
            </w:r>
          </w:p>
        </w:tc>
      </w:tr>
      <w:tr>
        <w:trPr>
          <w:trHeight w:val="245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充气式救生气垫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73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cs="宋体"/>
                <w:i w:val="0"/>
                <w:iCs w:val="0"/>
                <w:color w:val="000000"/>
                <w:sz w:val="22"/>
                <w:szCs w:val="22"/>
                <w:highlight w:val="none"/>
                <w:u w:val="none"/>
                <w:lang w:val="en-US" w:eastAsia="zh-CN" w:bidi="ar"/>
              </w:rPr>
              <w:t xml:space="preserve">XF</w:t>
            </w:r>
            <w:r>
              <w:rPr>
                <w:rFonts w:hint="eastAsia" w:ascii="宋体" w:hAnsi="宋体" w:eastAsia="宋体" w:cs="宋体"/>
                <w:i w:val="0"/>
                <w:iCs w:val="0"/>
                <w:color w:val="000000"/>
                <w:sz w:val="22"/>
                <w:szCs w:val="22"/>
                <w:highlight w:val="none"/>
                <w:u w:val="none"/>
                <w:lang w:val="en-US" w:eastAsia="zh-CN" w:bidi="ar"/>
              </w:rPr>
              <w:t xml:space="preserve"> 631-2006《消防救生气垫》的标准要求和产品提供检验报告</w:t>
            </w:r>
            <w:r>
              <w:rPr>
                <w:highlight w:val="none"/>
              </w:rPr>
            </w:r>
          </w:p>
          <w:p>
            <w:pPr>
              <w:pStyle w:val="73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2.外形尺寸：长度：≥5.5m；宽度：≥5.5m；高度：≥2.4m；</w:t>
            </w:r>
            <w:r>
              <w:rPr>
                <w:highlight w:val="none"/>
              </w:rPr>
            </w:r>
          </w:p>
          <w:p>
            <w:pPr>
              <w:pStyle w:val="73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3.最大救援高度：16m；</w:t>
            </w:r>
            <w:r>
              <w:rPr>
                <w:highlight w:val="none"/>
              </w:rPr>
            </w:r>
          </w:p>
          <w:p>
            <w:pPr>
              <w:pStyle w:val="733"/>
              <w:rPr>
                <w:rFonts w:hint="eastAsia"/>
                <w:highlight w:val="none"/>
              </w:rPr>
            </w:pPr>
            <w:r>
              <w:rPr>
                <w:rFonts w:hint="eastAsia" w:ascii="宋体" w:hAnsi="宋体" w:eastAsia="宋体" w:cs="宋体"/>
                <w:i w:val="0"/>
                <w:iCs w:val="0"/>
                <w:color w:val="000000"/>
                <w:sz w:val="22"/>
                <w:szCs w:val="22"/>
                <w:highlight w:val="none"/>
                <w:u w:val="none"/>
                <w:lang w:val="en-US" w:eastAsia="zh-CN" w:bidi="ar"/>
              </w:rPr>
              <w:t xml:space="preserve">▲4.充气时间：≤29s，补气时间：≤4 s；气垫表面：经向拉伸强度≥29KN/m，纬向拉伸强度≥25KN/m；气垫承接面面料的氧指数：≥26；减速度值：头部≤28g，胸部≤25g，盆骨≤26g；</w:t>
            </w:r>
            <w:r>
              <w:rPr>
                <w:highlight w:val="none"/>
              </w:rPr>
            </w:r>
          </w:p>
        </w:tc>
      </w:tr>
      <w:tr>
        <w:trPr>
          <w:trHeight w:val="23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手持扩音器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1、尺寸：350*230mm（±3）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2、重量：≤1200g（含200g锂电池）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3、功率：≥50W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4、电池容量：≥2500mAh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5、材质：ABS航空材质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6、功能：喊话/扩音/播放音频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7、传输距离：≥1000m（视工作环境而定）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8、插槽接口：USB接口/TF卡插槽/AUX音频</w:t>
            </w:r>
            <w:r>
              <w:rPr>
                <w:highlight w:val="none"/>
              </w:rP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无齿锯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1、常温起动性能：≤9</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2、净重：≤10.5kg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3、功率：≥3.7kw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4、噪声：≤105dB</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5、汽缸排量：≥74CC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6、燃油箱体积：≥0.9L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7、空转速度：≥2700rpm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8、锯片规格：≥350mm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9、切割深度：≥125mm</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10、提供比武竞赛使用锯片10片</w:t>
            </w:r>
            <w:r>
              <w:rPr>
                <w:highlight w:val="none"/>
              </w:rP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机动链锯（电动）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1、最大输出功率：≥1100W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2、导板长度：≥350mm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3、链锯速度（每分）：0 - 20 m/s (0 - 1,200 m/min)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4、链油箱容积：≥200mL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5、声压等级：≤100 dB(A)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6、振动等级：切割木材≥5.3 m/s²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7、尺寸：长x宽x高≤800x220x240mm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8、净重：≤5.5kg（提供备品总计3根链条，不含标配链条）</w:t>
            </w:r>
            <w:r>
              <w:rPr>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多功能液压撬棍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集成手动泵；具有剪切、开缝、楔入、撞击、扩张、锤击、顶升等功能；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▲1、工作压力：≥70MPa；扩张距离：≥130mm；最大剪切开口：≥30mm；最大扩张力：≥40kN；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2、扩张至最大距离后，泄压开始至泄压结束时间≤5s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3、剪切能力：能一次剪断直径≥18mm的Q235A圆钢；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4、重量：≤5.4kg；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5、配置：可拆卸切割刀片（≤0.3kg），可拆卸开缝器（≤1kg）、可拆卸开孔器≤1kg、开拆卸拔钉器≤1kg。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6、提供国家级或国家认可的第三方机构出具的检测报告</w:t>
            </w:r>
            <w:r>
              <w:rPr>
                <w:highlight w:val="none"/>
              </w:rPr>
            </w:r>
          </w:p>
        </w:tc>
      </w:tr>
      <w:tr>
        <w:trPr>
          <w:trHeight w:val="128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信号屏蔽袋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1、用于屏蔽手机信号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2、带有反光条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3、尺寸：≥21cm*28cm*1cm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4、重量：≤100g</w:t>
            </w:r>
            <w:r>
              <w:rPr>
                <w:highlight w:val="none"/>
              </w:rP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车辆救援组合垫块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1、优质橡橡塑及纤维材质，具有高度耐磨，耐高温，耐低温，耐油，防腐蚀，防水等性能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2、正方形垫块（薄)≥1，≥200mm*200mm*40mm，重量≦1.6公斤，最大承重力≥20t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3、正方形垫块(厚）≥1，≥200mm*200mm*75mm，重量≦3.2公斤，最大承重力≥20t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4、小坡形垫块（带边）≥1，≥200mm*200mm*90mm，重量≦2.5公斤，最大承重力≥10t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5、坡形垫块（不带边）≥1，≥200mm*200mm*90mm，重量≦2.0公斤，最大承重力≥20t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6、大坡形垫块≥1，≥640mm*190mm*255mm，重量≦8公斤，最大承重力≥10t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7、长方形垫块≥1，≥600mm*200mm*85mm，重量≦10公斤，最大承重力≥60t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8、存储箱：存放各种小型垫块</w:t>
            </w:r>
            <w:r>
              <w:rPr>
                <w:highlight w:val="none"/>
              </w:rPr>
            </w:r>
          </w:p>
        </w:tc>
      </w:tr>
      <w:tr>
        <w:trPr>
          <w:trHeight w:val="374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多功能自由组合式消防机器人</w:t>
            </w:r>
            <w:r>
              <w:rPr>
                <w:highlight w:val="none"/>
              </w:rP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提供国家级或国家认可的第三方检测机构出具的产品检测报告，报告符合XF892.1-2010《消防机器人第1部分:通用技术条件》标准要求。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一、基本参数：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▲1、尺寸：≤760mm×510mm×280mm（可放置在目前主流消防车的器材箱内，含对外供电模块和柔性搭载平台）</w:t>
            </w:r>
            <w:r>
              <w:rPr>
                <w:highlight w:val="none"/>
              </w:rP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▲2、整机重量：≤83kg、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3、驱动形式：双电机驱动，总功率≥5.5kW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▲4、最大行驶速度：≥2.5m/s、最小离地间隙：≤40mm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▲5、负载能力：最大工作负载≥130KG，机器人可稳定工作；最大承受负载≥500kg，底盘结构完好无变形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6、续航能力：负载60Kg伴随行走时间：＞5小时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7、行走形式：履带式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▲8、爬坡角度：≥35°、侧倾角度：≥35°、越障高度：≥150mm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▲9、涉水深度：≥150mm，整机防护等级≥IP65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10、配备前置摄像头，具有远程图传功能。视频传输距离≥300米，遥控距离≥300米、具有前置双LED灯照明功能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11、具有伴随行走功能，采用拉车式伴随方式，可设置伴随速度、安全距离、减速距离、转向补偿参数，配备佩戴式信标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12、配备声光报警器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▲13、机器人可搭载移动遥控水炮且在3条DN80水带同时向移动遥控水炮供水作业，供水压力≥0.8Mpa下，机器人可稳定工作，无后退、侧翻现象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14、机器人本体配有紧急停止按钮，按下停止按钮后，机器人能立即停止所有动作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15、具备断电自动驻车功能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16、具备可远程遥控控制的反后坐力制动辅助功能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17、采用动力电池：电压48V，容量＞59 Ah，功率＞3000w，低温环境下-20°可正常对外放电，带RS485通讯可监控电池状态、故障维修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18、充电器：采用金属壳体，防水等级＞IP65，电量低于20%情况下充满电≤90分钟，充电电流≥30A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▲19、整机牵引力：≥680N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▲20、机器人本体具有“对外供电”功能，输出功率≥3000w，防水等级≥IP65，对外供电模块重量：≤10kg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21、具备可折卸式上装搭载平台基板，重量≤12kg，具备快装快拆夹具，夹具带自锁装置配套平平台基板使用，兼容性强，可快速固定各类救援装备，并配有快速装卸式运输护栏并可随车携带;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22、遥控器参数：重量：≤550g，续航时间：≥3h，具备视频录制、拍照存储功能</w:t>
            </w:r>
            <w:r>
              <w:rPr>
                <w:highlight w:val="none"/>
              </w:rP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电动马刀锯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1、电池容量：≥2Ah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2、电池电压：≥12.0V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3、在木材中的切割深度：≥65mm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4、冲程长度：≥14.5mm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5、在金属型材和金属管中的切割深度：≥50mm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6、尺寸：长≤260mm*宽60mm*高135mm</w:t>
            </w:r>
            <w:r>
              <w:rPr>
                <w:highlight w:val="none"/>
              </w:rP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50米班用安全绳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1.1符合国家XF494-2023《消防用防坠落装备》标准要求</w:t>
            </w:r>
            <w:r>
              <w:rPr>
                <w:highlight w:val="none"/>
              </w:rP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2.1安全绳整体粗细均匀、结构一致，表面无任何机械损伤，并且绳两端妥善收尾。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2.2整绳由绳芯、绳皮连续组合而成，绳芯材料为锦纶，绳皮材料为芳纶。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3.技术性能：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3.1直径：10.5±0.5mm，长度≥50米。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3.2破断强度：≥40KN。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3.3延伸率：当承重达到最小破断强度的10%时，安全绳的延伸率≤2%。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3.4经204±5℃的耐高温性能试验后，安全绳不应出现熔融、焦化现象。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4.其他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4.1在绳尾处采用透明套管热封方式标注永久性标签内容，包含产品型号、制造商名称、生产日期或批号等。</w:t>
            </w:r>
            <w:r>
              <w:rPr>
                <w:highlight w:val="none"/>
              </w:rPr>
            </w:r>
          </w:p>
        </w:tc>
      </w:tr>
    </w:tbl>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上述所有技术参数中涉及的型号</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如有</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仅为参考型号，投标人可以投其他型号，但所投产品的功能及技术参数应等于或高于参考型号的要求</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打“▲”参数需在报告中体现</w:t>
      </w:r>
      <w:r>
        <w:rPr>
          <w:rFonts w:hint="eastAsia" w:ascii="宋体" w:hAnsi="宋体" w:cs="宋体"/>
          <w:b/>
          <w:bCs/>
          <w:szCs w:val="21"/>
          <w:highlight w:val="none"/>
        </w:rPr>
        <w:t xml:space="preserve">。</w:t>
      </w:r>
      <w:r>
        <w:rPr>
          <w:highlight w:val="none"/>
        </w:rPr>
      </w:r>
    </w:p>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投标人需承诺中标后，货到现场，验收前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缓后续付款流程，因此造成的所有实际损失及相关责任，均由中标人自行承担）。（未承诺的为非实质性响应）</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五、投标货物要求及相关说明：</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（一）货物要求</w:t>
      </w:r>
      <w:r>
        <w:rPr>
          <w:highlight w:val="none"/>
        </w:rPr>
      </w:r>
    </w:p>
    <w:p>
      <w:pPr>
        <w:pStyle w:val="979"/>
        <w:numPr>
          <w:ilvl w:val="0"/>
          <w:numId w:val="0"/>
        </w:numPr>
        <w:ind w:firstLine="420"/>
        <w:keepLines w:val="0"/>
        <w:keepNext w:val="0"/>
        <w:pageBreakBefore w:val="0"/>
        <w:spacing w:line="360" w:lineRule="auto"/>
        <w:widowControl w:val="off"/>
        <w:rPr>
          <w:rFonts w:hint="eastAsia" w:ascii="宋体" w:hAnsi="宋体" w:eastAsia="宋体" w:cs="Times New Roman"/>
          <w:bCs w:val="0"/>
          <w:sz w:val="21"/>
          <w:szCs w:val="21"/>
          <w:highlight w:val="none"/>
          <w:u w:val="none"/>
        </w:rPr>
      </w:pPr>
      <w:r>
        <w:rPr>
          <w:rFonts w:hint="eastAsia" w:ascii="宋体" w:hAnsi="宋体" w:eastAsia="宋体" w:cs="Times New Roman"/>
          <w:bCs w:val="0"/>
          <w:sz w:val="21"/>
          <w:szCs w:val="21"/>
          <w:highlight w:val="none"/>
          <w:u w:val="none"/>
          <w:lang w:val="en-US" w:eastAsia="zh-CN"/>
        </w:rPr>
        <w:t xml:space="preserve">1、货物应能确保在正常的使用过程中安全、可靠并符合国家颁布的货物、质量、技术、安全等标准。</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3、本次采购的供货范围，除包括上述货物外，还应包括货物使用所必需的配件。</w:t>
      </w:r>
      <w:r>
        <w:rPr>
          <w:highlight w:val="none"/>
        </w:rP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4、凡是国家强制3C认证目录中的产品</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如有</w:t>
      </w:r>
      <w:r>
        <w:rPr>
          <w:rFonts w:hint="eastAsia" w:ascii="宋体" w:hAnsi="宋体"/>
          <w:szCs w:val="21"/>
          <w:highlight w:val="none"/>
          <w:lang w:eastAsia="zh-CN"/>
        </w:rPr>
        <w:t xml:space="preserve">）</w:t>
      </w:r>
      <w:r>
        <w:rPr>
          <w:rFonts w:hint="eastAsia" w:ascii="宋体" w:hAnsi="宋体"/>
          <w:szCs w:val="21"/>
          <w:highlight w:val="none"/>
        </w:rPr>
        <w:t xml:space="preserve">，中标单位领取</w:t>
      </w:r>
      <w:r>
        <w:rPr>
          <w:rFonts w:hint="eastAsia" w:ascii="宋体" w:hAnsi="宋体"/>
          <w:szCs w:val="21"/>
          <w:highlight w:val="none"/>
          <w:lang w:val="en-US" w:eastAsia="zh-CN"/>
        </w:rPr>
        <w:t xml:space="preserve">中标</w:t>
      </w:r>
      <w:r>
        <w:rPr>
          <w:rFonts w:hint="eastAsia" w:ascii="宋体" w:hAnsi="宋体"/>
          <w:szCs w:val="21"/>
          <w:highlight w:val="none"/>
        </w:rPr>
        <w:t xml:space="preserve">通知书</w:t>
      </w:r>
      <w:r>
        <w:rPr>
          <w:rFonts w:hint="eastAsia" w:ascii="宋体" w:hAnsi="宋体"/>
          <w:szCs w:val="21"/>
          <w:highlight w:val="none"/>
          <w:lang w:val="en-US" w:eastAsia="zh-CN"/>
        </w:rPr>
        <w:t xml:space="preserve">之日起</w:t>
      </w:r>
      <w:r>
        <w:rPr>
          <w:rFonts w:hint="eastAsia" w:ascii="宋体" w:hAnsi="宋体"/>
          <w:szCs w:val="21"/>
          <w:highlight w:val="none"/>
        </w:rPr>
        <w:t xml:space="preserve">5个工作日内须将3C证书原件送采购人核实，否则取消中标（成交）资格并承担相关法律责任、赔偿各方相关经济损失。</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（二）特别说明</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1、“采购清单及技术要求”及相关要求是投标单位投标报价的基础，投标单位不得对“采购清单及技术要求”序号进行任何修改。</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2、投标单位应对 “采购清单及技术要求”中的所有货物进行报价。</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3、投标单位根据按照采购文件提供的技术响应表格式对技术指标逐条进行应答，如果以其中某些条款不响应时，应在文件中逐条列出，未列出的视同响应。</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4、投标单位应明确所投货物的型号、规格和外形、尺寸、安装尺寸、重量及一些必须说明的技术参数，以及使用的材料的清单，同时明确生产厂家、型号规格等，并提供详细的技术参数及性能说明书。</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5、采购单位有权不定期对成交标的物的生产过程等进行查看,如果发现中标单位存在违反本次采购标的物要求的,采购单位有权终止合同履行,相关损失由中标单位承担。</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（三）包装和装运</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1、包装必须与运输方式相适应，包装方式的确定由中标单位负责；由于不适当的包装而造成货物在运输过程中有任何损坏由中标单位负责。</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2、包装应足以承受整个过程中的运输、转运、装卸、储存等，充分考虑到运输途中的各种情况（如暴露于恶劣气候等）和苏州地区的气候特点。</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（四）安装、检验与质量保证</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1、安装</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1.1如有需要安装的货物，中标单位必须派技术人员到现场安装，并检查安装质量。</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1.2中标单位应负责现场安装人员的安全管理并提供安装中全部所需的工具。</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2、验收依据</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2.1招标文件、中标单位的</w:t>
      </w:r>
      <w:r>
        <w:rPr>
          <w:rFonts w:hint="eastAsia" w:ascii="宋体" w:hAnsi="宋体"/>
          <w:szCs w:val="21"/>
          <w:highlight w:val="none"/>
          <w:lang w:val="en-US" w:eastAsia="zh-CN"/>
        </w:rPr>
        <w:t xml:space="preserve">投标</w:t>
      </w:r>
      <w:r>
        <w:rPr>
          <w:rFonts w:hint="eastAsia" w:ascii="宋体" w:hAnsi="宋体"/>
          <w:szCs w:val="21"/>
          <w:highlight w:val="none"/>
        </w:rPr>
        <w:t xml:space="preserve">文件、双方签订的合同文件及其附件。</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2.2中国政府颁布的相关国家标准和行业标准。</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3、如双方对验收结果有分歧，则以苏州市技术质量监督局的检验结果为准，检验费用由有过失的一方支付。</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4、质量保证</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4.2履行中标单位在其</w:t>
      </w:r>
      <w:r>
        <w:rPr>
          <w:rFonts w:hint="eastAsia" w:ascii="宋体" w:hAnsi="宋体"/>
          <w:szCs w:val="21"/>
          <w:highlight w:val="none"/>
          <w:lang w:val="en-US" w:eastAsia="zh-CN"/>
        </w:rPr>
        <w:t xml:space="preserve">投标</w:t>
      </w:r>
      <w:r>
        <w:rPr>
          <w:rFonts w:hint="eastAsia" w:ascii="宋体" w:hAnsi="宋体"/>
          <w:szCs w:val="21"/>
          <w:highlight w:val="none"/>
        </w:rPr>
        <w:t xml:space="preserve">文件中的服务承诺。</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4.3若货物验收时货物质量不能满足要求，采购单位有权要求更换，同时有权提出索赔，所产生的一切费用（含所有检验费用）由中标单位承担。</w:t>
      </w:r>
      <w:r>
        <w:rPr>
          <w:highlight w:val="none"/>
        </w:rP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（五）售后服务</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1、中标单位货物经过双方检验认可后，签署验收报告，</w:t>
      </w:r>
      <w:r>
        <w:rPr>
          <w:rFonts w:hint="eastAsia" w:ascii="宋体" w:hAnsi="宋体"/>
          <w:b/>
          <w:bCs/>
          <w:color w:val="auto"/>
          <w:szCs w:val="21"/>
          <w:highlight w:val="none"/>
          <w:lang w:val="en-US" w:eastAsia="zh-CN"/>
        </w:rPr>
        <w:t xml:space="preserve">质保</w:t>
      </w:r>
      <w:r>
        <w:rPr>
          <w:rFonts w:hint="eastAsia" w:ascii="宋体" w:hAnsi="宋体"/>
          <w:b/>
          <w:bCs/>
          <w:color w:val="auto"/>
          <w:szCs w:val="21"/>
          <w:highlight w:val="none"/>
        </w:rPr>
        <w:t xml:space="preserve">期不</w:t>
      </w:r>
      <w:r>
        <w:rPr>
          <w:rFonts w:hint="eastAsia" w:ascii="宋体" w:hAnsi="宋体"/>
          <w:b/>
          <w:bCs/>
          <w:color w:val="auto"/>
          <w:szCs w:val="21"/>
          <w:highlight w:val="none"/>
          <w:lang w:val="en-US" w:eastAsia="zh-CN"/>
        </w:rPr>
        <w:t xml:space="preserve">少于1</w:t>
      </w:r>
      <w:r>
        <w:rPr>
          <w:rFonts w:hint="eastAsia" w:ascii="宋体" w:hAnsi="宋体"/>
          <w:b/>
          <w:bCs/>
          <w:color w:val="auto"/>
          <w:szCs w:val="21"/>
          <w:highlight w:val="none"/>
        </w:rPr>
        <w:t xml:space="preserve">年</w:t>
      </w:r>
      <w:r>
        <w:rPr>
          <w:rFonts w:hint="eastAsia" w:ascii="宋体" w:hAnsi="宋体"/>
          <w:szCs w:val="21"/>
          <w:highlight w:val="none"/>
        </w:rPr>
        <w:t xml:space="preserve">（招标文件具体技术要</w:t>
      </w:r>
      <w:r>
        <w:rPr>
          <w:rFonts w:hint="eastAsia" w:ascii="宋体" w:hAnsi="宋体"/>
          <w:szCs w:val="21"/>
          <w:highlight w:val="none"/>
        </w:rPr>
        <w:t xml:space="preserve">求另有说明的除外），质量保证期自货物验收合格之日起算，由中标单位提供货物保修文件。</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3、中标单位须提供全面使用、维护培训。</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4、质保期满以后，卖方应按同类货物的优惠价格提供保修服务。</w:t>
      </w:r>
      <w:r>
        <w:rPr>
          <w:highlight w:val="none"/>
        </w:rPr>
      </w:r>
    </w:p>
    <w:p>
      <w:pPr>
        <w:spacing w:line="360" w:lineRule="auto"/>
        <w:rPr>
          <w:rFonts w:ascii="宋体" w:hAnsi="宋体"/>
          <w:b/>
          <w:bCs/>
          <w:szCs w:val="21"/>
          <w:highlight w:val="none"/>
        </w:rPr>
      </w:pPr>
      <w:r>
        <w:rPr>
          <w:rFonts w:hint="eastAsia" w:ascii="宋体" w:hAnsi="宋体"/>
          <w:b/>
          <w:bCs/>
          <w:szCs w:val="21"/>
          <w:highlight w:val="none"/>
        </w:rPr>
        <w:t xml:space="preserve">六、综合说明其他要求</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1、投标单位所投产品应明确所投产品的品牌、型号、规格和外形、尺寸及一些必须说明的技术参数，以及设备配置清单，同时明确生产厂家、型号规格等，并提供详细的技术参数。</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3、投标总报价一次报定，包括所有货物和服务、配件、辅材以及相关的备件、专用工具、运输、装卸、人工、安装、调试、培训、保险、检验检测、专利技术、技术支持、利润、税金、</w:t>
      </w:r>
      <w:r>
        <w:rPr>
          <w:rFonts w:hint="eastAsia" w:ascii="宋体" w:hAnsi="宋体"/>
          <w:szCs w:val="21"/>
          <w:highlight w:val="none"/>
          <w:lang w:val="en-US" w:eastAsia="zh-CN"/>
        </w:rPr>
        <w:t xml:space="preserve">代理服务费</w:t>
      </w:r>
      <w:r>
        <w:rPr>
          <w:rFonts w:hint="eastAsia" w:ascii="宋体" w:hAnsi="宋体"/>
          <w:szCs w:val="21"/>
          <w:highlight w:val="none"/>
          <w:lang w:eastAsia="zh-CN"/>
        </w:rPr>
        <w:t xml:space="preserve">、</w:t>
      </w:r>
      <w:r>
        <w:rPr>
          <w:rFonts w:hint="eastAsia" w:ascii="宋体" w:hAnsi="宋体"/>
          <w:szCs w:val="21"/>
          <w:highlight w:val="none"/>
        </w:rPr>
        <w:t xml:space="preserve">政策性文件规定及合同包含的所有风险、责任等各项应有费用。 </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hint="eastAsia" w:ascii="宋体" w:hAnsi="宋体" w:cs="宋体"/>
          <w:szCs w:val="21"/>
          <w:highlight w:val="none"/>
        </w:rPr>
        <w:t xml:space="preserve">交货期：</w:t>
      </w:r>
      <w:r>
        <w:rPr>
          <w:rFonts w:hint="eastAsia" w:ascii="宋体" w:hAnsi="宋体" w:cs="宋体"/>
          <w:szCs w:val="21"/>
          <w:highlight w:val="none"/>
          <w:lang w:eastAsia="zh-CN"/>
        </w:rPr>
        <w:t xml:space="preserve">自合同签订生效后30天内完成全部采购内容的供货安装调试并交付正常使用</w:t>
      </w:r>
      <w:r>
        <w:rPr>
          <w:rFonts w:hint="eastAsia" w:ascii="宋体" w:hAnsi="宋体" w:cs="宋体"/>
          <w:szCs w:val="21"/>
          <w:highlight w:val="none"/>
        </w:rPr>
        <w:t xml:space="preserve">，具体根据采购单位要求。</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5、交货地点：具体按照采购单位要求。</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6、凡涉及招标文件的补充说明和修改，均以</w:t>
      </w:r>
      <w:r>
        <w:rPr>
          <w:rFonts w:hint="eastAsia" w:ascii="宋体" w:hAnsi="宋体"/>
          <w:szCs w:val="21"/>
          <w:highlight w:val="none"/>
          <w:lang w:eastAsia="zh-CN"/>
        </w:rPr>
        <w:t xml:space="preserve">采购代理机构</w:t>
      </w:r>
      <w:r>
        <w:rPr>
          <w:rFonts w:hint="eastAsia" w:ascii="宋体" w:hAnsi="宋体"/>
          <w:szCs w:val="21"/>
          <w:highlight w:val="none"/>
        </w:rPr>
        <w:t xml:space="preserve">发布的通知为准。</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highlight w:val="none"/>
        </w:rPr>
      </w:r>
    </w:p>
    <w:p>
      <w:pPr>
        <w:spacing w:line="360" w:lineRule="auto"/>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、政策执行</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hint="eastAsia"/>
          <w:b/>
          <w:bCs/>
          <w:szCs w:val="21"/>
          <w:highlight w:val="none"/>
        </w:rPr>
        <w:t xml:space="preserve">本次招标均不接受进口产品投标。</w:t>
      </w:r>
      <w:r>
        <w:rPr>
          <w:rFonts w:hint="eastAsia"/>
          <w:szCs w:val="21"/>
          <w:highlight w:val="none"/>
        </w:rPr>
        <w:t xml:space="preserve">进口产品的定义为：指通过中国海关报关验收进入中国境内且产自境外的产品，具体按照苏财购〔2008〕14号江苏省财政厅转发财政部</w:t>
      </w:r>
      <w:r>
        <w:rPr>
          <w:rFonts w:hint="eastAsia" w:ascii="宋体" w:hAnsi="宋体"/>
          <w:szCs w:val="21"/>
          <w:highlight w:val="none"/>
        </w:rPr>
        <w:t xml:space="preserve">办公厅关于政府采购进口产品管理有关问题的通知的规定。</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中、小、</w:t>
      </w:r>
      <w:r>
        <w:rPr>
          <w:rFonts w:hint="eastAsia" w:ascii="宋体" w:hAnsi="宋体" w:cs="宋体"/>
          <w:szCs w:val="21"/>
          <w:highlight w:val="none"/>
        </w:rPr>
        <w:t xml:space="preserve">微企业</w:t>
      </w:r>
      <w:r>
        <w:rPr>
          <w:rFonts w:hint="eastAsia" w:ascii="宋体" w:hAnsi="宋体" w:cs="宋体"/>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highlight w:val="none"/>
        </w:rPr>
        <w:t xml:space="preserve">小型企业和微型企业的投标报价扣除20%后参与评审。</w:t>
      </w:r>
      <w:r>
        <w:rPr>
          <w:rFonts w:hint="eastAsia" w:ascii="宋体" w:hAnsi="宋体" w:cs="宋体"/>
          <w:b/>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highlight w:val="none"/>
        </w:rPr>
        <w:t xml:space="preserve">服务类项目中供应商若使用退休人员，将不享受相关扶持政策。</w:t>
      </w:r>
      <w:r>
        <w:rPr>
          <w:highlight w:val="none"/>
        </w:rPr>
      </w:r>
    </w:p>
    <w:p>
      <w:pPr>
        <w:ind w:firstLine="422"/>
        <w:keepLines w:val="0"/>
        <w:keepNext w:val="0"/>
        <w:pageBreakBefore w:val="0"/>
        <w:spacing w:line="360" w:lineRule="auto"/>
        <w:widowControl w:val="off"/>
        <w:tabs>
          <w:tab w:val="left" w:pos="567" w:leader="none"/>
        </w:tabs>
        <w:rPr>
          <w:rFonts w:ascii="宋体" w:hAnsi="宋体" w:cs="宋体"/>
          <w:b/>
          <w:bCs/>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根据《政府采购促进中小企业发展管理办法》（财库〔2020〕46号）及《中小企业划型标准规定》（工信部联企业〔2011〕300号），本采购项目对应的中小企业划分标准所属行业为：工业。</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3、残疾人福利性单位</w:t>
      </w:r>
      <w:r>
        <w:rPr>
          <w:rFonts w:hint="eastAsia" w:ascii="宋体" w:hAnsi="宋体" w:cs="宋体"/>
          <w:b/>
          <w:bCs/>
          <w:szCs w:val="21"/>
          <w:highlight w:val="none"/>
        </w:rPr>
        <w:t xml:space="preserve">（若为专门面向中小企业采购的项目或者采购包，不再执行价格评审优惠的扶持政策）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4、监狱企业</w:t>
      </w:r>
      <w:r>
        <w:rPr>
          <w:rFonts w:hint="eastAsia" w:ascii="宋体" w:hAnsi="宋体" w:cs="宋体"/>
          <w:b/>
          <w:bCs/>
          <w:szCs w:val="21"/>
          <w:highlight w:val="none"/>
        </w:rPr>
        <w:t xml:space="preserve">（若为专门面向中小企业采购的项目或者采购包，不再执行价格评审优惠的扶持政策）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6、绿色采购</w:t>
      </w:r>
      <w:r>
        <w:rPr>
          <w:highlight w:val="none"/>
        </w:rP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1）根据《关于调整优化节能产品、环境标志产品政府采购执行机制的通知》（财库〔2019〕9号）等相关文件的规定，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p>
    <w:p>
      <w:pPr>
        <w:ind w:firstLine="420"/>
        <w:spacing w:line="360" w:lineRule="auto"/>
        <w:tabs>
          <w:tab w:val="left" w:pos="567" w:leader="none"/>
        </w:tabs>
        <w:rPr>
          <w:rFonts w:ascii="宋体" w:hAnsi="宋体" w:cs="宋体"/>
          <w:b/>
          <w:bCs/>
          <w:highlight w:val="none"/>
        </w:rPr>
      </w:pPr>
      <w:r>
        <w:rPr>
          <w:rFonts w:hint="eastAsia" w:ascii="宋体" w:hAnsi="宋体" w:cs="宋体"/>
          <w:b/>
          <w:bCs/>
          <w:highlight w:val="none"/>
        </w:rPr>
        <w:t xml:space="preserve">7、异常低价审查</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（一）按照财政部发布的《关于推动解决政府采购异常低价问题的通知》（ 财库〔2026〕2号）文，政府采购评审中出现下列情形之一的，评审委员会应当启动异常低价投标（响应）审查程序：</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A、评审过程中出现下列情形之一的，评审委员会应当启动异常低价投标（响应）审查程序：</w:t>
      </w:r>
      <w:r>
        <w:rPr>
          <w:highlight w:val="none"/>
        </w:rP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1.投标（响应）报价低于全部通过符合性审查供应商投标（响应）报价平均值65%的，即投标（响应）报价&lt;全部通过符合性审查供应商投标（响应）报价平均值×65%；</w:t>
      </w:r>
      <w:r>
        <w:rPr>
          <w:highlight w:val="none"/>
        </w:rP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2.投标（响应）报价低于通过符合性审查的次低报价供应商投标（响应）报价65%的，即投标（响应）报价&lt;通过符合性审查的次低报价供应商投标（响应）报价×65%；</w:t>
      </w:r>
      <w:r>
        <w:rPr>
          <w:highlight w:val="none"/>
        </w:rP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3.投标（响应）报价低于采购项目最高限价65%的，即投标（响应）报价&lt;采购项目最高限价×65%；</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4.评审委员会基于专业判断，认为供应商报价过低，有可能影响产品质量或者不能诚信履约的其他情形。</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p>
    <w:p>
      <w:pPr>
        <w:numPr>
          <w:ilvl w:val="0"/>
          <w:numId w:val="8"/>
        </w:num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ind w:firstLine="422"/>
        <w:keepLines w:val="0"/>
        <w:keepNext w:val="0"/>
        <w:pageBreakBefore w:val="0"/>
        <w:spacing w:line="360" w:lineRule="auto"/>
        <w:widowControl w:val="off"/>
        <w:tabs>
          <w:tab w:val="left" w:pos="567" w:leader="none"/>
        </w:tabs>
        <w:rPr>
          <w:rFonts w:ascii="宋体" w:hAnsi="宋体" w:cs="宋体"/>
          <w:b/>
          <w:bCs/>
          <w:highlight w:val="none"/>
        </w:rPr>
      </w:pPr>
      <w:r>
        <w:rPr>
          <w:rFonts w:hint="eastAsia" w:ascii="宋体" w:hAnsi="宋体" w:cs="宋体"/>
          <w:b/>
          <w:bCs/>
          <w:highlight w:val="none"/>
        </w:rPr>
        <w:t xml:space="preserve">8、政府采购中实施本国产品标准及相关政策</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8.1.本项目对采购本国产品给予政策支持：</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（1）本项目政府采购活动中既有本国产品又有非本国产品参与竞争的，依法对本国产品给予价格评审优惠，对本国产品的报价给予20%的价格扣除，用扣除后的价格参与评审。</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（3）供应商需按照招标文件的要求提供《关于符合本国产品标准的声明函》（以下简称《声明函》），如不提供将不享受本国产品价格评审优惠。</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cs="宋体"/>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highlight w:val="none"/>
        </w:rPr>
        <w:t xml:space="preserve">。</w:t>
      </w:r>
      <w:bookmarkEnd w:id="55"/>
      <w:r/>
      <w:r>
        <w:rPr>
          <w:highlight w:val="none"/>
        </w:rPr>
      </w:r>
    </w:p>
    <w:p>
      <w:pPr>
        <w:ind w:firstLine="420"/>
        <w:spacing w:line="360" w:lineRule="auto"/>
        <w:tabs>
          <w:tab w:val="left" w:pos="567" w:leader="none"/>
        </w:tabs>
        <w:rPr>
          <w:rFonts w:ascii="宋体" w:hAnsi="宋体" w:cs="宋体"/>
          <w:szCs w:val="21"/>
          <w:highlight w:val="none"/>
        </w:rPr>
      </w:pPr>
      <w:r>
        <w:rPr>
          <w:rFonts w:ascii="宋体" w:hAnsi="宋体" w:cs="宋体"/>
          <w:szCs w:val="21"/>
          <w:highlight w:val="none"/>
        </w:rPr>
      </w:r>
      <w:r>
        <w:rPr>
          <w:highlight w:val="none"/>
        </w:rPr>
      </w:r>
    </w:p>
    <w:p>
      <w:pPr>
        <w:ind w:firstLine="0"/>
        <w:jc w:val="center"/>
        <w:keepLines w:val="0"/>
        <w:keepNext w:val="0"/>
        <w:pageBreakBefore/>
        <w:spacing w:line="360" w:lineRule="auto"/>
        <w:widowControl w:val="off"/>
        <w:rPr>
          <w:rFonts w:ascii="宋体" w:hAnsi="宋体"/>
          <w:b/>
          <w:sz w:val="44"/>
          <w:highlight w:val="none"/>
        </w:rPr>
        <w:outlineLvl w:val="0"/>
      </w:pPr>
      <w:r>
        <w:rPr>
          <w:rFonts w:hint="eastAsia" w:ascii="宋体" w:hAnsi="宋体"/>
          <w:b/>
          <w:sz w:val="44"/>
          <w:highlight w:val="none"/>
        </w:rPr>
        <w:t xml:space="preserve">第五章</w:t>
      </w:r>
      <w:r>
        <w:rPr>
          <w:rFonts w:hint="eastAsia" w:ascii="宋体" w:hAnsi="宋体"/>
          <w:b/>
          <w:sz w:val="44"/>
          <w:highlight w:val="none"/>
          <w:lang w:val="en-US" w:eastAsia="zh-CN"/>
        </w:rPr>
        <w:t xml:space="preserve">  </w:t>
      </w:r>
      <w:r>
        <w:rPr>
          <w:rFonts w:hint="eastAsia" w:ascii="宋体" w:hAnsi="宋体"/>
          <w:b/>
          <w:sz w:val="44"/>
          <w:highlight w:val="none"/>
        </w:rPr>
        <w:t xml:space="preserve">合同</w:t>
      </w:r>
      <w:r>
        <w:rPr>
          <w:rFonts w:hint="eastAsia" w:ascii="宋体" w:hAnsi="宋体"/>
          <w:b/>
          <w:sz w:val="44"/>
          <w:highlight w:val="none"/>
          <w:lang w:val="en-US" w:eastAsia="zh-CN"/>
        </w:rPr>
        <w:t xml:space="preserve">主要</w:t>
      </w:r>
      <w:r>
        <w:rPr>
          <w:rFonts w:hint="eastAsia" w:ascii="宋体" w:hAnsi="宋体"/>
          <w:b/>
          <w:sz w:val="44"/>
          <w:highlight w:val="none"/>
        </w:rPr>
        <w:t xml:space="preserve">条款</w:t>
      </w:r>
      <w:bookmarkStart w:id="56" w:name="_Toc13543213"/>
      <w:r>
        <w:rPr>
          <w:highlight w:val="none"/>
        </w:rPr>
      </w:r>
      <w:bookmarkEnd w:id="56"/>
      <w:r/>
      <w:r>
        <w:rPr>
          <w:highlight w:val="none"/>
        </w:rP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甲方：</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w:t>
      </w:r>
      <w:r>
        <w:rPr>
          <w:highlight w:val="none"/>
        </w:rP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乙方：</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w:t>
      </w:r>
      <w:r>
        <w:rPr>
          <w:highlight w:val="none"/>
        </w:rP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highlight w:val="none"/>
        </w:rP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甲方委托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进行本项目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政府采购（采购编号：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）。根据本项目的采购结果确定乙方为本次</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供应商，现依照招标文件、</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的投标文件和中标通知书及相关文件的内容，签订本合同书。</w:t>
      </w:r>
      <w:r>
        <w:rPr>
          <w:highlight w:val="none"/>
        </w:rPr>
      </w:r>
    </w:p>
    <w:p>
      <w:pPr>
        <w:numPr>
          <w:ilvl w:val="0"/>
          <w:numId w:val="0"/>
        </w:num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项目内容：</w:t>
      </w:r>
      <w:r>
        <w:rPr>
          <w:highlight w:val="none"/>
        </w:rPr>
      </w:r>
    </w:p>
    <w:tbl>
      <w:tblPr>
        <w:tblStyle w:val="725"/>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356"/>
        <w:gridCol w:w="1842"/>
        <w:gridCol w:w="709"/>
        <w:gridCol w:w="851"/>
        <w:gridCol w:w="1134"/>
        <w:gridCol w:w="1275"/>
        <w:gridCol w:w="1276"/>
      </w:tblGrid>
      <w:tr>
        <w:trPr>
          <w:jc w:val="center"/>
          <w:trHeight w:val="307"/>
          <w:tblHead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p>
        </w:tc>
        <w:tc>
          <w:tcPr>
            <w:tcW w:w="13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rPr>
                <w:highlight w:val="none"/>
              </w:rPr>
            </w:r>
          </w:p>
        </w:tc>
        <w:tc>
          <w:tcPr>
            <w:tcW w:w="184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rPr>
                <w:highlight w:val="none"/>
              </w:rP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highlight w:val="none"/>
              </w:rP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highlight w:val="none"/>
              </w:rP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rPr>
                <w:highlight w:val="none"/>
              </w:rP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合计（元）</w:t>
            </w:r>
            <w:r>
              <w:rPr>
                <w:highlight w:val="none"/>
              </w:rPr>
            </w:r>
          </w:p>
        </w:tc>
        <w:tc>
          <w:tcPr>
            <w:tcW w:w="127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rPr>
                <w:highlight w:val="none"/>
              </w:rPr>
            </w:r>
          </w:p>
        </w:tc>
      </w:tr>
      <w:tr>
        <w:trPr>
          <w:jc w:val="cent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highlight w:val="none"/>
              </w:rPr>
            </w:r>
          </w:p>
        </w:tc>
        <w:tc>
          <w:tcPr>
            <w:tcW w:w="1356"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highlight w:val="none"/>
              </w:rPr>
            </w:r>
          </w:p>
        </w:tc>
        <w:tc>
          <w:tcPr>
            <w:tcW w:w="1842"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27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highlight w:val="none"/>
              </w:rPr>
            </w:r>
          </w:p>
        </w:tc>
        <w:tc>
          <w:tcPr>
            <w:tcW w:w="1356"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highlight w:val="none"/>
              </w:rPr>
            </w:r>
          </w:p>
        </w:tc>
        <w:tc>
          <w:tcPr>
            <w:tcW w:w="1842"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tcW w:w="127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W w:w="587"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gridSpan w:val="7"/>
            <w:tcW w:w="844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合同金额：（大写）人民币           （￥      元）</w:t>
            </w:r>
            <w:r>
              <w:rPr>
                <w:highlight w:val="none"/>
              </w:rPr>
            </w:r>
          </w:p>
        </w:tc>
      </w:tr>
    </w:tbl>
    <w:p>
      <w:pPr>
        <w:keepLines w:val="0"/>
        <w:keepNext w:val="0"/>
        <w:pageBreakBefore w:val="0"/>
        <w:spacing w:before="181" w:line="360" w:lineRule="auto"/>
        <w:widowControl w:val="off"/>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rPr>
          <w:highlight w:val="none"/>
        </w:rPr>
      </w:r>
    </w:p>
    <w:p>
      <w:pPr>
        <w:pStyle w:val="74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（一）中标通知书；</w:t>
      </w:r>
      <w:r>
        <w:rPr>
          <w:highlight w:val="none"/>
        </w:rPr>
      </w:r>
    </w:p>
    <w:p>
      <w:pPr>
        <w:pStyle w:val="74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（二）招标文件、技术要求及补充通知（如有）；</w:t>
      </w:r>
      <w:r>
        <w:rPr>
          <w:highlight w:val="none"/>
        </w:rPr>
      </w:r>
    </w:p>
    <w:p>
      <w:pPr>
        <w:pStyle w:val="74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（三）中标文件和其它承诺、书面澄清等；</w:t>
      </w:r>
      <w:r>
        <w:rPr>
          <w:highlight w:val="none"/>
        </w:rPr>
      </w:r>
    </w:p>
    <w:p>
      <w:pPr>
        <w:pStyle w:val="74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（四）技术文件；</w:t>
      </w:r>
      <w:r>
        <w:rPr>
          <w:highlight w:val="none"/>
        </w:rPr>
      </w:r>
    </w:p>
    <w:p>
      <w:pPr>
        <w:pStyle w:val="74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（五）其他约定文件等。</w:t>
      </w:r>
      <w:r>
        <w:rPr>
          <w:highlight w:val="none"/>
        </w:rPr>
      </w:r>
    </w:p>
    <w:p>
      <w:pPr>
        <w:pStyle w:val="740"/>
        <w:spacing w:line="360" w:lineRule="auto"/>
        <w:rPr>
          <w:rFonts w:cs="宋体"/>
          <w:b/>
          <w:bCs/>
          <w:color w:val="auto"/>
          <w:spacing w:val="0"/>
          <w:sz w:val="21"/>
          <w:highlight w:val="none"/>
        </w:rPr>
      </w:pPr>
      <w:r>
        <w:rPr>
          <w:rFonts w:hint="eastAsia" w:cs="宋体"/>
          <w:b/>
          <w:bCs/>
          <w:color w:val="auto"/>
          <w:spacing w:val="0"/>
          <w:sz w:val="21"/>
          <w:highlight w:val="none"/>
        </w:rPr>
        <w:t xml:space="preserve">三、合同价格与支付：  </w:t>
      </w:r>
      <w:r>
        <w:rPr>
          <w:highlight w:val="none"/>
        </w:rP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rPr>
          <w:highlight w:val="none"/>
        </w:rP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（二）本项目合同总价为：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w:t>
      </w:r>
      <w:r>
        <w:rPr>
          <w:rFonts w:hint="eastAsia" w:ascii="宋体" w:hAnsi="宋体" w:cs="宋体"/>
          <w:color w:val="auto"/>
          <w:szCs w:val="21"/>
          <w:highlight w:val="none"/>
        </w:rPr>
        <w:t xml:space="preserve">包括全部</w:t>
      </w:r>
      <w:r>
        <w:rPr>
          <w:rFonts w:hint="eastAsia" w:ascii="宋体" w:hAnsi="宋体" w:cs="宋体"/>
          <w:color w:val="auto"/>
          <w:highlight w:val="none"/>
        </w:rPr>
        <w:t xml:space="preserve">产品供货、辅助材料、备品备件、运输、仓储、发货、送货、安装、调试、人工、机械、装卸、培训、保险、运费、各种税费、劳保、专利技术及质保等完成本次项目所需的一切费用。 </w:t>
      </w:r>
      <w:r>
        <w:rPr>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（三）付款方式：</w:t>
      </w:r>
      <w:bookmarkStart w:id="57" w:name="_Hlk166669467"/>
      <w:r>
        <w:rPr>
          <w:highlight w:val="none"/>
        </w:rPr>
      </w:r>
      <w:r>
        <w:rPr>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1.付款步骤：</w:t>
      </w:r>
      <w:bookmarkEnd w:id="57"/>
      <w:r>
        <w:rPr>
          <w:highlight w:val="none"/>
        </w:rPr>
      </w:r>
      <w:r>
        <w:rPr>
          <w:highlight w:val="none"/>
        </w:rPr>
      </w:r>
    </w:p>
    <w:p>
      <w:pPr>
        <w:ind w:firstLine="420"/>
        <w:spacing w:line="360" w:lineRule="auto"/>
        <w:rPr>
          <w:rFonts w:hint="eastAsia" w:ascii="宋体" w:hAnsi="宋体" w:eastAsia="宋体"/>
          <w:b/>
          <w:bCs/>
          <w:color w:val="ff0000"/>
          <w:szCs w:val="21"/>
          <w:highlight w:val="none"/>
        </w:rPr>
      </w:pPr>
      <w:r>
        <w:rPr>
          <w:rFonts w:hint="eastAsia" w:ascii="宋体" w:hAnsi="宋体"/>
          <w:b/>
          <w:bCs/>
          <w:color w:val="auto"/>
          <w:szCs w:val="21"/>
          <w:highlight w:val="none"/>
        </w:rPr>
        <w:t xml:space="preserve">在政府采购合同签订生效后，</w:t>
      </w:r>
      <w:r>
        <w:rPr>
          <w:rFonts w:hint="eastAsia" w:ascii="宋体" w:hAnsi="宋体"/>
          <w:b/>
          <w:bCs/>
          <w:color w:val="auto"/>
          <w:szCs w:val="21"/>
          <w:highlight w:val="none"/>
          <w:lang w:val="en-US" w:eastAsia="zh-CN"/>
        </w:rPr>
        <w:t xml:space="preserve">甲方支</w:t>
      </w:r>
      <w:r>
        <w:rPr>
          <w:rFonts w:hint="eastAsia" w:ascii="宋体" w:hAnsi="宋体" w:eastAsia="宋体" w:cs="宋体"/>
          <w:b/>
          <w:bCs/>
          <w:color w:val="auto"/>
          <w:sz w:val="21"/>
          <w:szCs w:val="21"/>
          <w:highlight w:val="none"/>
          <w:u w:val="none"/>
          <w:lang w:val="en-US" w:eastAsia="zh-CN"/>
        </w:rPr>
        <w:t xml:space="preserve">付合同价款的30%的货款，全部货物到达现场，安装完毕且验收合格后付合同价款的</w:t>
      </w:r>
      <w:r>
        <w:rPr>
          <w:rFonts w:hint="eastAsia" w:ascii="宋体" w:hAnsi="宋体"/>
          <w:b/>
          <w:bCs/>
          <w:color w:val="auto"/>
          <w:szCs w:val="21"/>
          <w:highlight w:val="none"/>
          <w:lang w:val="en-US" w:eastAsia="zh-CN"/>
        </w:rPr>
        <w:t xml:space="preserve">70</w:t>
      </w:r>
      <w:r>
        <w:rPr>
          <w:rFonts w:hint="eastAsia" w:ascii="宋体" w:hAnsi="宋体"/>
          <w:b/>
          <w:bCs/>
          <w:color w:val="auto"/>
          <w:szCs w:val="21"/>
          <w:highlight w:val="none"/>
        </w:rPr>
        <w:t xml:space="preserve">%。</w:t>
      </w:r>
      <w:r>
        <w:rPr>
          <w:highlight w:val="none"/>
        </w:rP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甲方付款时，乙方需提供以下资料：</w:t>
      </w:r>
      <w:r>
        <w:rPr>
          <w:highlight w:val="none"/>
        </w:rP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A、甲方签收的送货回单。 </w:t>
      </w:r>
      <w:r>
        <w:rPr>
          <w:highlight w:val="none"/>
        </w:rP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B、正式的发票。</w:t>
      </w:r>
      <w:r>
        <w:rPr>
          <w:highlight w:val="none"/>
        </w:rP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C、由甲乙双方签章的《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rPr>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rPr>
          <w:highlight w:val="none"/>
        </w:rPr>
      </w:r>
    </w:p>
    <w:p>
      <w:pPr>
        <w:ind w:right="-161" w:firstLine="420"/>
        <w:spacing w:line="360" w:lineRule="auto"/>
        <w:rPr>
          <w:rFonts w:ascii="宋体" w:hAnsi="宋体" w:cs="宋体"/>
          <w:color w:val="auto"/>
          <w:highlight w:val="none"/>
        </w:rPr>
      </w:pPr>
      <w:r>
        <w:rPr>
          <w:rFonts w:hint="eastAsia" w:ascii="宋体" w:hAnsi="宋体"/>
          <w:color w:val="auto"/>
          <w:szCs w:val="21"/>
          <w:highlight w:val="none"/>
        </w:rPr>
        <w:t xml:space="preserve">3.</w:t>
      </w:r>
      <w:r>
        <w:rPr>
          <w:rFonts w:hint="eastAsia" w:ascii="宋体" w:hAnsi="宋体" w:cs="宋体"/>
          <w:color w:val="auto"/>
          <w:highlight w:val="none"/>
        </w:rPr>
        <w:t xml:space="preserve">付款方式：银行转账、银行汇票或转帐支票。</w:t>
      </w:r>
      <w:r>
        <w:rPr>
          <w:highlight w:val="none"/>
        </w:rPr>
      </w:r>
    </w:p>
    <w:p>
      <w:pPr>
        <w:ind w:right="-161" w:firstLine="420"/>
        <w:spacing w:line="360" w:lineRule="auto"/>
        <w:rPr>
          <w:rFonts w:ascii="宋体" w:hAnsi="宋体" w:cs="宋体"/>
          <w:color w:val="auto"/>
          <w:highlight w:val="none"/>
        </w:rPr>
      </w:pPr>
      <w:r>
        <w:rPr>
          <w:rFonts w:hint="eastAsia" w:ascii="宋体" w:hAnsi="宋体" w:cs="宋体"/>
          <w:color w:val="auto"/>
          <w:highlight w:val="none"/>
        </w:rPr>
        <w:t xml:space="preserve">4.乙方账户信息如下：</w:t>
      </w:r>
      <w:r>
        <w:rPr>
          <w:highlight w:val="none"/>
        </w:rP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开户名称：</w:t>
      </w:r>
      <w:r>
        <w:rPr>
          <w:highlight w:val="none"/>
        </w:rP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开户银行：</w:t>
      </w:r>
      <w:r>
        <w:rPr>
          <w:highlight w:val="none"/>
        </w:rPr>
      </w:r>
    </w:p>
    <w:p>
      <w:pPr>
        <w:ind w:firstLine="630"/>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银行账号：</w:t>
      </w:r>
      <w:r>
        <w:rPr>
          <w:highlight w:val="none"/>
        </w:rPr>
      </w:r>
    </w:p>
    <w:p>
      <w:pPr>
        <w:ind w:firstLine="210"/>
        <w:spacing w:line="360" w:lineRule="auto"/>
        <w:widowControl/>
        <w:rPr>
          <w:rFonts w:hint="default"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四</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履约保证金：无。</w:t>
      </w:r>
      <w:r>
        <w:rPr>
          <w:highlight w:val="none"/>
        </w:rPr>
      </w:r>
    </w:p>
    <w:p>
      <w:pPr>
        <w:spacing w:line="360" w:lineRule="auto"/>
        <w:widowControl/>
        <w:rPr>
          <w:rFonts w:ascii="宋体" w:hAnsi="宋体" w:cs="宋体"/>
          <w:color w:val="auto"/>
          <w:highlight w:val="none"/>
        </w:rPr>
      </w:pP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en-US" w:eastAsia="zh-CN"/>
        </w:rPr>
        <w:t xml:space="preserve">合同履行期限</w:t>
      </w:r>
      <w:r>
        <w:rPr>
          <w:rFonts w:hint="eastAsia" w:ascii="宋体" w:hAnsi="宋体" w:cs="宋体"/>
          <w:b/>
          <w:color w:val="auto"/>
          <w:szCs w:val="21"/>
          <w:highlight w:val="none"/>
        </w:rPr>
        <w:t xml:space="preserve">、地点、</w:t>
      </w:r>
      <w:r>
        <w:rPr>
          <w:rFonts w:hint="eastAsia" w:ascii="宋体" w:hAnsi="宋体" w:cs="宋体"/>
          <w:b/>
          <w:color w:val="auto"/>
          <w:szCs w:val="21"/>
          <w:highlight w:val="none"/>
          <w:lang w:val="en-US" w:eastAsia="zh-CN"/>
        </w:rPr>
        <w:t xml:space="preserve">交付</w:t>
      </w:r>
      <w:r>
        <w:rPr>
          <w:rFonts w:hint="eastAsia" w:ascii="宋体" w:hAnsi="宋体" w:cs="宋体"/>
          <w:b/>
          <w:color w:val="auto"/>
          <w:szCs w:val="21"/>
          <w:highlight w:val="none"/>
        </w:rPr>
        <w:t xml:space="preserve">方式： </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（一）交付方式：所有合同货物均由乙方装运至甲方指定地点，所有货物的包装费用、运输费用及运输安全均由乙方负责。货物装运后由乙方办理保险，费用已含在合同总价中。</w:t>
      </w:r>
      <w:r>
        <w:rPr>
          <w:highlight w:val="none"/>
        </w:rPr>
      </w:r>
    </w:p>
    <w:p>
      <w:pPr>
        <w:ind w:left="99"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（二）</w:t>
      </w:r>
      <w:r>
        <w:rPr>
          <w:rFonts w:hint="eastAsia" w:ascii="宋体" w:hAnsi="宋体" w:cs="宋体"/>
          <w:b/>
          <w:bCs/>
          <w:color w:val="auto"/>
          <w:highlight w:val="none"/>
          <w:lang w:val="en-US" w:eastAsia="zh-CN"/>
        </w:rPr>
        <w:t xml:space="preserve">合同履行期限</w:t>
      </w:r>
      <w:r>
        <w:rPr>
          <w:rFonts w:hint="eastAsia" w:ascii="宋体" w:hAnsi="宋体" w:cs="宋体"/>
          <w:b/>
          <w:bCs/>
          <w:color w:val="auto"/>
          <w:highlight w:val="none"/>
        </w:rPr>
        <w:t xml:space="preserve">：自合同签订生效后</w:t>
      </w:r>
      <w:r>
        <w:rPr>
          <w:rFonts w:hint="eastAsia" w:ascii="宋体" w:hAnsi="宋体" w:cs="宋体"/>
          <w:b/>
          <w:bCs/>
          <w:color w:val="auto"/>
          <w:highlight w:val="none"/>
          <w:lang w:val="en-US" w:eastAsia="zh-CN"/>
        </w:rPr>
        <w:t xml:space="preserve">30</w:t>
      </w:r>
      <w:r>
        <w:rPr>
          <w:rFonts w:hint="eastAsia" w:ascii="宋体" w:hAnsi="宋体" w:cs="宋体"/>
          <w:b/>
          <w:bCs/>
          <w:color w:val="auto"/>
          <w:highlight w:val="none"/>
        </w:rPr>
        <w:t xml:space="preserve">天内完成全部采购内容的供货安装调试并交付正常使用。</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（三）交货地点：甲方指定地点。</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rPr>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rPr>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rPr>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F、保修单等其它必须材料</w:t>
      </w:r>
      <w:r>
        <w:rPr>
          <w:highlight w:val="none"/>
        </w:rP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（七）如因甲方原因货物不能在规定时间内进场，乙方承诺免费提供货物寄存场所一个月，货物寄存于乙方仓库。如超过一个月时间，所产生的仓储费用双方将协商另计。</w:t>
      </w:r>
      <w:r>
        <w:rPr>
          <w:highlight w:val="none"/>
        </w:rP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1.产品质量及安装符合国家质量标准和验收规范，供应商应保证所供标的物是全新的，未使用过的，并且是非长期积压的库存商品。</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7.验收要求：</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7.1.履约验收标准：根据政府采购合同要求、招标文件要求、投标文件、承诺及有关行业规定。</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7.2.履约验收主体：由甲方或委托专家（或第三方机构）组成的验收小组进行验收。</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w:t>
      </w:r>
      <w:r>
        <w:rPr>
          <w:rFonts w:hint="eastAsia" w:ascii="宋体" w:hAnsi="宋体" w:cs="宋体"/>
          <w:bCs/>
          <w:color w:val="auto"/>
          <w:szCs w:val="21"/>
          <w:highlight w:val="none"/>
          <w:lang w:val="en-US" w:eastAsia="zh-CN"/>
        </w:rPr>
        <w:t xml:space="preserve">由乙方</w:t>
      </w:r>
      <w:r>
        <w:rPr>
          <w:rFonts w:hint="eastAsia" w:ascii="宋体" w:hAnsi="宋体" w:cs="宋体"/>
          <w:bCs/>
          <w:color w:val="auto"/>
          <w:szCs w:val="21"/>
          <w:highlight w:val="none"/>
        </w:rPr>
        <w:t xml:space="preserve">承担。</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7.4.验收时间：</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（1）政府采购合同约定的履约验收条件达到时，甲方应当在 5 个工作日内启动履约验收工作，并向乙方发出《政府采购履约验收通知单》。</w:t>
      </w:r>
      <w:r>
        <w:rPr>
          <w:highlight w:val="none"/>
        </w:rP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（2）在政府采购合同约定的履行验收条件达到时，乙方可以主动联系甲方启动履约验收工作。</w:t>
      </w:r>
      <w:r>
        <w:rPr>
          <w:highlight w:val="none"/>
        </w:rPr>
      </w:r>
    </w:p>
    <w:p>
      <w:pPr>
        <w:ind w:firstLine="420"/>
        <w:jc w:val="left"/>
        <w:spacing w:line="360" w:lineRule="auto"/>
        <w:rPr>
          <w:rFonts w:ascii="宋体" w:hAnsi="宋体" w:cs="宋体"/>
          <w:bCs/>
          <w:color w:val="auto"/>
          <w:highlight w:val="none"/>
        </w:rPr>
      </w:pPr>
      <w:r>
        <w:rPr>
          <w:rFonts w:hint="eastAsia" w:ascii="宋体" w:hAnsi="宋体" w:cs="宋体"/>
          <w:bCs/>
          <w:color w:val="auto"/>
          <w:szCs w:val="21"/>
          <w:highlight w:val="none"/>
        </w:rPr>
        <w:t xml:space="preserve">7.5.其他验收要求按照《江苏省政府采购履约验收管理办法》规定执行。</w:t>
      </w:r>
      <w:r>
        <w:rPr>
          <w:highlight w:val="none"/>
        </w:rPr>
      </w:r>
    </w:p>
    <w:p>
      <w:pPr>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rPr>
          <w:highlight w:val="none"/>
        </w:rPr>
      </w:r>
    </w:p>
    <w:p>
      <w:pPr>
        <w:ind w:firstLine="420"/>
        <w:spacing w:line="360" w:lineRule="auto"/>
        <w:tabs>
          <w:tab w:val="left" w:pos="63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b/>
          <w:bCs/>
          <w:color w:val="auto"/>
          <w:szCs w:val="21"/>
          <w:highlight w:val="none"/>
        </w:rPr>
        <w:t xml:space="preserve">免费质量保证期</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rPr>
        <w:t xml:space="preserve">年</w:t>
      </w:r>
      <w:r>
        <w:rPr>
          <w:rFonts w:hint="eastAsia" w:ascii="宋体" w:hAnsi="宋体"/>
          <w:color w:val="auto"/>
          <w:szCs w:val="21"/>
          <w:highlight w:val="none"/>
        </w:rPr>
        <w:t xml:space="preserve">（招标文件具体技术要求另有说明的除外），质量保证期自货物验收合格之日起算</w:t>
      </w:r>
      <w:r>
        <w:rPr>
          <w:rFonts w:hint="eastAsia" w:ascii="宋体" w:hAnsi="宋体"/>
          <w:color w:val="auto"/>
          <w:szCs w:val="21"/>
          <w:highlight w:val="none"/>
          <w:lang w:eastAsia="zh-CN"/>
        </w:rPr>
        <w:t xml:space="preserve">。</w:t>
      </w:r>
      <w:r>
        <w:rPr>
          <w:highlight w:val="none"/>
        </w:rP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具体按招标文件售后服务条款。</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）其他要求按乙方投标文件承诺的条款执行。</w:t>
      </w:r>
      <w:r>
        <w:rPr>
          <w:highlight w:val="none"/>
        </w:rPr>
      </w:r>
    </w:p>
    <w:p>
      <w:pPr>
        <w:spacing w:line="360" w:lineRule="auto"/>
        <w:tabs>
          <w:tab w:val="left" w:pos="900" w:leader="none"/>
        </w:tabs>
        <w:rPr>
          <w:rFonts w:hint="eastAsia" w:ascii="宋体" w:hAnsi="宋体" w:cs="宋体"/>
          <w:color w:val="auto"/>
          <w:highlight w:val="none"/>
        </w:rPr>
      </w:pPr>
      <w:r>
        <w:rPr>
          <w:rFonts w:hint="eastAsia" w:ascii="宋体" w:hAnsi="宋体"/>
          <w:b/>
          <w:bCs/>
          <w:color w:val="auto"/>
          <w:szCs w:val="21"/>
          <w:highlight w:val="none"/>
          <w:lang w:val="en-US" w:eastAsia="zh-CN"/>
        </w:rPr>
        <w:t xml:space="preserve">七、</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应对安装质量、安全全面负责，如中标人原因造成质量、安全事故</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承担一切经济法律责任</w:t>
      </w:r>
      <w:r>
        <w:rPr>
          <w:rFonts w:hint="eastAsia" w:ascii="宋体" w:hAnsi="宋体"/>
          <w:color w:val="auto"/>
          <w:szCs w:val="21"/>
          <w:highlight w:val="none"/>
          <w:lang w:eastAsia="zh-CN"/>
        </w:rPr>
        <w:t xml:space="preserve">。</w:t>
      </w:r>
      <w:r>
        <w:rPr>
          <w:highlight w:val="none"/>
        </w:rPr>
      </w:r>
    </w:p>
    <w:p>
      <w:pPr>
        <w:jc w:val="left"/>
        <w:spacing w:line="360" w:lineRule="auto"/>
        <w:rPr>
          <w:rFonts w:ascii="宋体" w:hAnsi="宋体" w:cs="宋体"/>
          <w:b/>
          <w:color w:val="auto"/>
          <w:highlight w:val="none"/>
        </w:rPr>
      </w:pP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、税费：</w:t>
      </w:r>
      <w:r>
        <w:rPr>
          <w:highlight w:val="none"/>
        </w:rP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rPr>
          <w:highlight w:val="none"/>
        </w:rPr>
      </w:r>
    </w:p>
    <w:p>
      <w:pPr>
        <w:spacing w:line="360" w:lineRule="auto"/>
        <w:tabs>
          <w:tab w:val="left" w:pos="900" w:leader="none"/>
        </w:tabs>
        <w:rPr>
          <w:rFonts w:hint="eastAsia" w:ascii="宋体" w:hAnsi="宋体" w:cs="宋体"/>
          <w:b/>
          <w:color w:val="auto"/>
          <w:highlight w:val="none"/>
        </w:rPr>
      </w:pP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、违约责任：</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合同一方不履行合同义务或者履行合同义务不符合约定的，应当承担继续履行、采取补救措施或者赔偿损失等违约责任。</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（一）甲方违约责任</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1、在合同生效后，甲方要求退货的（产品质量不合格或乙方无法正常履约除外），应向乙方偿付合同总价款的5%，作为违约金，违约金不足以补偿损失的，乙方有权要求甲方补足。</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（二）乙方违约责任</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（三）不可抗力</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1、因不可抗力不能履行合同的，根据不可抗力的影响，部分或者全部免除责任。但合同一方迟延履行后发生不可抗力的，不能免除责任。</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（四）合同的解除和转让</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1、有下列情形之一，合同一方可以解除合同：</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1.1、因不可抗力致使不能实现合同目的，未受不可抗力影响的一方有权解除合同；</w:t>
      </w:r>
      <w:r>
        <w:rPr>
          <w:highlight w:val="none"/>
        </w:rP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1.2、因合同一方违约导致合同不能履行，另一方有权解除合同；</w:t>
      </w:r>
      <w:r>
        <w:rPr>
          <w:highlight w:val="none"/>
        </w:rP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2、有权解除合同的一方，应当在违约事实或不可抗力发生之后三十天内书面通知对方以主张解除合同，合同在书面通知到达对方时解除。</w:t>
      </w:r>
      <w:r>
        <w:rPr>
          <w:highlight w:val="none"/>
        </w:rPr>
      </w:r>
    </w:p>
    <w:p>
      <w:pPr>
        <w:spacing w:line="360" w:lineRule="auto"/>
        <w:rPr>
          <w:rFonts w:ascii="宋体" w:hAnsi="宋体" w:cs="宋体"/>
          <w:b/>
          <w:color w:val="auto"/>
          <w:highlight w:val="none"/>
        </w:rPr>
      </w:pPr>
      <w:r>
        <w:rPr>
          <w:rFonts w:hint="eastAsia" w:ascii="宋体" w:hAnsi="宋体" w:cs="宋体"/>
          <w:b/>
          <w:color w:val="auto"/>
          <w:highlight w:val="none"/>
          <w:lang w:val="en-US" w:eastAsia="zh-CN"/>
        </w:rPr>
        <w:t xml:space="preserve">十</w:t>
      </w:r>
      <w:r>
        <w:rPr>
          <w:rFonts w:hint="eastAsia" w:ascii="宋体" w:hAnsi="宋体" w:cs="宋体"/>
          <w:b/>
          <w:color w:val="auto"/>
          <w:highlight w:val="none"/>
        </w:rPr>
        <w:t xml:space="preserve">、索赔：</w:t>
      </w:r>
      <w:r>
        <w:rPr>
          <w:highlight w:val="none"/>
        </w:rP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rPr>
          <w:highlight w:val="none"/>
        </w:rP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highlight w:val="none"/>
        </w:rP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rPr>
          <w:highlight w:val="none"/>
        </w:rPr>
      </w:r>
    </w:p>
    <w:p>
      <w:pPr>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bCs/>
          <w:color w:val="auto"/>
          <w:szCs w:val="28"/>
          <w:highlight w:val="none"/>
          <w:lang w:val="en-US" w:eastAsia="zh-CN"/>
        </w:rPr>
        <w:t xml:space="preserve">一</w:t>
      </w:r>
      <w:r>
        <w:rPr>
          <w:rFonts w:hint="eastAsia" w:ascii="宋体" w:hAnsi="宋体" w:cs="宋体"/>
          <w:b/>
          <w:bCs/>
          <w:color w:val="auto"/>
          <w:szCs w:val="28"/>
          <w:highlight w:val="none"/>
          <w:lang w:val="zh-CN"/>
        </w:rPr>
        <w:t xml:space="preserve">、</w:t>
      </w:r>
      <w:r>
        <w:rPr>
          <w:rFonts w:hint="eastAsia" w:ascii="宋体" w:hAnsi="宋体" w:cs="宋体"/>
          <w:b/>
          <w:color w:val="auto"/>
          <w:highlight w:val="none"/>
        </w:rPr>
        <w:t xml:space="preserve">合同生效及其它</w:t>
      </w:r>
      <w:r>
        <w:rPr>
          <w:highlight w:val="none"/>
        </w:rP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lang w:val="en-US" w:eastAsia="zh-CN"/>
        </w:rPr>
        <w:t xml:space="preserve">并在二个工作日内进行政府采购合同公告</w:t>
      </w:r>
      <w:r>
        <w:rPr>
          <w:rFonts w:hint="eastAsia" w:ascii="宋体" w:hAnsi="宋体" w:cs="宋体"/>
          <w:color w:val="auto"/>
          <w:highlight w:val="none"/>
          <w:lang w:val="zh-CN"/>
        </w:rPr>
        <w:t xml:space="preserve">。</w:t>
      </w:r>
      <w:r>
        <w:rPr>
          <w:highlight w:val="none"/>
        </w:rP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highlight w:val="none"/>
        </w:rP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甲乙双方因合同发生争议，应在招标代理机构的主持下进行调解，协商不成，任何一方可以向甲方所在地人民法院起诉。</w:t>
      </w:r>
      <w:r>
        <w:rPr>
          <w:highlight w:val="none"/>
        </w:rP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4、未尽事宜：本合同未尽事宜应按《中华人民共和国民法典》、《中华人民共和国政府采购法》以及其同相关法律、法规之规定解释。</w:t>
      </w:r>
      <w:r>
        <w:rPr>
          <w:highlight w:val="none"/>
        </w:rPr>
      </w:r>
    </w:p>
    <w:p>
      <w:pPr>
        <w:ind w:firstLine="422"/>
        <w:spacing w:line="360" w:lineRule="auto"/>
        <w:rPr>
          <w:rFonts w:ascii="宋体" w:hAnsi="宋体" w:cs="宋体"/>
          <w:highlight w:val="none"/>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rPr>
          <w:highlight w:val="none"/>
        </w:rPr>
      </w:r>
    </w:p>
    <w:p>
      <w:pPr>
        <w:ind w:firstLine="422"/>
        <w:spacing w:line="360" w:lineRule="auto"/>
        <w:rPr>
          <w:rFonts w:ascii="宋体" w:hAnsi="宋体" w:cs="宋体"/>
          <w:highlight w:val="none"/>
        </w:rPr>
      </w:pPr>
      <w:r>
        <w:rPr>
          <w:rFonts w:ascii="宋体" w:hAnsi="宋体" w:cs="宋体"/>
          <w:highlight w:val="none"/>
          <w:lang w:val="zh-CN"/>
        </w:rPr>
      </w:r>
      <w:r>
        <w:rPr>
          <w:highlight w:val="none"/>
        </w:rPr>
      </w:r>
    </w:p>
    <w:p>
      <w:pPr>
        <w:pStyle w:val="919"/>
        <w:ind w:firstLine="400"/>
        <w:rPr>
          <w:highlight w:val="none"/>
        </w:rPr>
      </w:pPr>
      <w:r>
        <w:rPr>
          <w:highlight w:val="none"/>
          <w:lang w:val="zh-CN"/>
        </w:rPr>
      </w:r>
      <w:r>
        <w:rPr>
          <w:highlight w:val="none"/>
        </w:rPr>
      </w:r>
    </w:p>
    <w:p>
      <w:pPr>
        <w:spacing w:line="480" w:lineRule="auto"/>
        <w:tabs>
          <w:tab w:val="left" w:pos="0" w:leader="none"/>
        </w:tabs>
        <w:rPr>
          <w:rFonts w:ascii="宋体" w:hAnsi="宋体"/>
          <w:b/>
          <w:bCs/>
          <w:szCs w:val="21"/>
          <w:highlight w:val="none"/>
        </w:rPr>
      </w:pPr>
      <w:r>
        <w:rPr>
          <w:rFonts w:hint="eastAsia" w:ascii="宋体" w:hAnsi="宋体"/>
          <w:b/>
          <w:bCs/>
          <w:szCs w:val="21"/>
          <w:highlight w:val="none"/>
          <w:lang w:val="zh-CN"/>
        </w:rPr>
        <w:t xml:space="preserve">甲方</w:t>
      </w:r>
      <w:r>
        <w:rPr>
          <w:rFonts w:ascii="宋体" w:hAnsi="宋体"/>
          <w:b/>
          <w:bCs/>
          <w:szCs w:val="21"/>
          <w:highlight w:val="none"/>
        </w:rPr>
        <w:t xml:space="preserve">(</w:t>
      </w:r>
      <w:r>
        <w:rPr>
          <w:rFonts w:hint="eastAsia" w:ascii="宋体" w:hAnsi="宋体"/>
          <w:b/>
          <w:bCs/>
          <w:szCs w:val="21"/>
          <w:highlight w:val="none"/>
          <w:lang w:val="zh-CN"/>
        </w:rPr>
        <w:t xml:space="preserve">公章或合同章</w:t>
      </w:r>
      <w:r>
        <w:rPr>
          <w:rFonts w:ascii="宋体" w:hAnsi="宋体"/>
          <w:b/>
          <w:bCs/>
          <w:szCs w:val="21"/>
          <w:highlight w:val="none"/>
        </w:rPr>
        <w:t xml:space="preserve">)</w:t>
      </w:r>
      <w:r>
        <w:rPr>
          <w:rFonts w:hint="eastAsia" w:ascii="宋体" w:hAnsi="宋体"/>
          <w:b/>
          <w:bCs/>
          <w:szCs w:val="21"/>
          <w:highlight w:val="none"/>
        </w:rPr>
        <w:t xml:space="preserve">：                        </w:t>
      </w:r>
      <w:r>
        <w:rPr>
          <w:rFonts w:hint="eastAsia" w:ascii="宋体" w:hAnsi="宋体"/>
          <w:b/>
          <w:bCs/>
          <w:szCs w:val="21"/>
          <w:highlight w:val="none"/>
          <w:lang w:val="zh-CN"/>
        </w:rPr>
        <w:t xml:space="preserve">乙方</w:t>
      </w:r>
      <w:r>
        <w:rPr>
          <w:rFonts w:hint="eastAsia" w:ascii="宋体" w:hAnsi="宋体"/>
          <w:b/>
          <w:bCs/>
          <w:szCs w:val="21"/>
          <w:highlight w:val="none"/>
        </w:rPr>
        <w:t xml:space="preserve">（</w:t>
      </w:r>
      <w:r>
        <w:rPr>
          <w:rFonts w:hint="eastAsia" w:ascii="宋体" w:hAnsi="宋体"/>
          <w:b/>
          <w:bCs/>
          <w:szCs w:val="21"/>
          <w:highlight w:val="none"/>
          <w:lang w:val="zh-CN"/>
        </w:rPr>
        <w:t xml:space="preserve">公章或合同章</w:t>
      </w:r>
      <w:r>
        <w:rPr>
          <w:rFonts w:hint="eastAsia" w:ascii="宋体" w:hAnsi="宋体"/>
          <w:b/>
          <w:bCs/>
          <w:szCs w:val="21"/>
          <w:highlight w:val="none"/>
        </w:rPr>
        <w:t xml:space="preserve">）：</w:t>
      </w:r>
      <w:r>
        <w:rPr>
          <w:highlight w:val="none"/>
        </w:rPr>
      </w:r>
    </w:p>
    <w:p>
      <w:pPr>
        <w:pStyle w:val="919"/>
        <w:ind w:firstLine="400"/>
        <w:rPr>
          <w:highlight w:val="none"/>
        </w:rPr>
      </w:pPr>
      <w:r>
        <w:rPr>
          <w:highlight w:val="none"/>
        </w:rPr>
      </w:r>
      <w:r>
        <w:rPr>
          <w:highlight w:val="none"/>
        </w:rPr>
      </w:r>
    </w:p>
    <w:p>
      <w:pPr>
        <w:spacing w:line="480" w:lineRule="auto"/>
        <w:tabs>
          <w:tab w:val="left" w:pos="0" w:leader="none"/>
        </w:tabs>
        <w:rPr>
          <w:rFonts w:ascii="宋体" w:hAnsi="宋体"/>
          <w:b/>
          <w:bCs/>
          <w:szCs w:val="21"/>
          <w:highlight w:val="none"/>
        </w:rPr>
      </w:pP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rPr>
          <w:rFonts w:ascii="宋体" w:hAnsi="宋体"/>
          <w:b/>
          <w:bCs/>
          <w:szCs w:val="21"/>
          <w:highlight w:val="none"/>
          <w:lang w:val="zh-CN"/>
        </w:rPr>
        <w:tab/>
      </w:r>
      <w:r>
        <w:rPr>
          <w:rFonts w:ascii="宋体" w:hAnsi="宋体"/>
          <w:b/>
          <w:bCs/>
          <w:szCs w:val="21"/>
          <w:highlight w:val="none"/>
          <w:lang w:val="zh-CN"/>
        </w:rPr>
        <w:tab/>
      </w: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rPr>
          <w:rFonts w:ascii="宋体" w:hAnsi="宋体"/>
          <w:b/>
          <w:bCs/>
          <w:szCs w:val="21"/>
          <w:highlight w:val="none"/>
          <w:lang w:val="zh-CN"/>
        </w:rPr>
        <w:tab/>
      </w:r>
      <w:r>
        <w:rPr>
          <w:highlight w:val="none"/>
        </w:rPr>
      </w:r>
    </w:p>
    <w:p>
      <w:pPr>
        <w:pStyle w:val="920"/>
        <w:ind w:firstLine="420"/>
        <w:rPr>
          <w:highlight w:val="none"/>
        </w:rPr>
      </w:pPr>
      <w:r>
        <w:rPr>
          <w:highlight w:val="none"/>
        </w:rPr>
      </w:r>
      <w:r>
        <w:rPr>
          <w:highlight w:val="none"/>
        </w:rPr>
      </w:r>
    </w:p>
    <w:p>
      <w:pPr>
        <w:spacing w:line="360" w:lineRule="auto"/>
        <w:rPr>
          <w:rFonts w:ascii="宋体" w:hAnsi="宋体" w:cs="宋体"/>
          <w:szCs w:val="21"/>
          <w:highlight w:val="none"/>
        </w:rPr>
      </w:pP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年月日                  </w:t>
      </w: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年月日</w:t>
      </w:r>
      <w:r>
        <w:rPr>
          <w:highlight w:val="none"/>
        </w:rPr>
      </w:r>
    </w:p>
    <w:p>
      <w:pPr>
        <w:spacing w:line="360" w:lineRule="auto"/>
        <w:rPr>
          <w:rFonts w:ascii="宋体" w:hAnsi="宋体" w:cs="宋体"/>
          <w:szCs w:val="21"/>
          <w:highlight w:val="none"/>
        </w:rPr>
      </w:pPr>
      <w:r>
        <w:rPr>
          <w:rFonts w:ascii="宋体" w:hAnsi="宋体" w:cs="宋体"/>
          <w:szCs w:val="21"/>
          <w:highlight w:val="none"/>
        </w:rPr>
      </w:r>
      <w:r>
        <w:rPr>
          <w:highlight w:val="none"/>
        </w:rPr>
      </w:r>
    </w:p>
    <w:p>
      <w:pPr>
        <w:pStyle w:val="744"/>
        <w:ind w:firstLine="522"/>
        <w:spacing w:line="360" w:lineRule="auto"/>
        <w:rPr>
          <w:highlight w:val="none"/>
        </w:rPr>
      </w:pPr>
      <w:r>
        <w:rPr>
          <w:highlight w:val="none"/>
        </w:rPr>
      </w:r>
      <w:r>
        <w:rPr>
          <w:highlight w:val="none"/>
        </w:rPr>
      </w:r>
    </w:p>
    <w:p>
      <w:pPr>
        <w:pStyle w:val="744"/>
        <w:ind w:firstLine="522"/>
        <w:spacing w:line="360" w:lineRule="auto"/>
        <w:rPr>
          <w:highlight w:val="none"/>
        </w:rPr>
      </w:pPr>
      <w:r>
        <w:rPr>
          <w:highlight w:val="none"/>
        </w:rPr>
      </w:r>
      <w:r>
        <w:rPr>
          <w:highlight w:val="none"/>
        </w:rPr>
      </w:r>
    </w:p>
    <w:p>
      <w:pPr>
        <w:pStyle w:val="746"/>
        <w:ind w:firstLine="0"/>
        <w:jc w:val="center"/>
        <w:keepLines w:val="0"/>
        <w:keepNext w:val="0"/>
        <w:pageBreakBefore/>
        <w:spacing w:line="360" w:lineRule="auto"/>
        <w:widowControl w:val="off"/>
        <w:tabs>
          <w:tab w:val="right" w:pos="8302" w:leader="dot"/>
        </w:tabs>
        <w:rPr>
          <w:rFonts w:ascii="宋体" w:hAnsi="宋体" w:eastAsia="宋体" w:cs="宋体"/>
          <w:b/>
          <w:sz w:val="32"/>
          <w:szCs w:val="32"/>
          <w:highlight w:val="none"/>
        </w:rPr>
        <w:outlineLvl w:val="0"/>
      </w:pPr>
      <w:r>
        <w:rPr>
          <w:rStyle w:val="760"/>
          <w:rFonts w:hint="eastAsia" w:ascii="宋体" w:hAnsi="宋体" w:cs="宋体"/>
          <w:sz w:val="32"/>
          <w:szCs w:val="32"/>
          <w:highlight w:val="none"/>
        </w:rPr>
        <w:t xml:space="preserve">第</w:t>
      </w:r>
      <w:r>
        <w:rPr>
          <w:rStyle w:val="760"/>
          <w:rFonts w:hint="eastAsia" w:ascii="宋体" w:hAnsi="宋体" w:eastAsia="宋体" w:cs="宋体"/>
          <w:sz w:val="32"/>
          <w:szCs w:val="32"/>
          <w:highlight w:val="none"/>
          <w:lang w:val="en-US" w:eastAsia="zh-CN"/>
        </w:rPr>
        <w:t xml:space="preserve">六</w:t>
      </w:r>
      <w:r>
        <w:rPr>
          <w:rStyle w:val="760"/>
          <w:rFonts w:hint="eastAsia" w:ascii="宋体" w:hAnsi="宋体" w:cs="宋体"/>
          <w:sz w:val="32"/>
          <w:szCs w:val="32"/>
          <w:highlight w:val="none"/>
        </w:rPr>
        <w:t xml:space="preserve">章  评标办法及评分标准</w:t>
      </w:r>
      <w:r>
        <w:rPr>
          <w:highlight w:val="none"/>
        </w:rPr>
      </w:r>
    </w:p>
    <w:p>
      <w:pPr>
        <w:spacing w:line="360" w:lineRule="auto"/>
        <w:rPr>
          <w:rFonts w:ascii="宋体" w:hAnsi="宋体" w:cs="宋体"/>
          <w:b/>
          <w:szCs w:val="21"/>
          <w:highlight w:val="none"/>
        </w:rPr>
      </w:pPr>
      <w:r>
        <w:rPr>
          <w:rFonts w:hint="eastAsia" w:ascii="宋体" w:hAnsi="宋体" w:cs="宋体"/>
          <w:b/>
          <w:szCs w:val="21"/>
          <w:highlight w:val="none"/>
          <w:lang w:val="zh-CN"/>
        </w:rPr>
        <w:t xml:space="preserve">一、评标办法：</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2．评标委员会各成员独立对每个进入打分程序的有效投标单位的标书技术和资质部分以打分的形式进行评审和评价。 </w:t>
      </w:r>
      <w:r>
        <w:rPr>
          <w:highlight w:val="none"/>
        </w:rP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rPr>
          <w:highlight w:val="none"/>
        </w:rP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rPr>
          <w:highlight w:val="none"/>
        </w:rP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5.本项目</w:t>
      </w:r>
      <w:r>
        <w:rPr>
          <w:rFonts w:hint="eastAsia" w:ascii="宋体" w:hAnsi="宋体" w:cs="宋体"/>
          <w:b/>
          <w:bCs/>
          <w:szCs w:val="21"/>
          <w:highlight w:val="none"/>
        </w:rPr>
        <w:t xml:space="preserve">核心产品为</w:t>
      </w:r>
      <w:r>
        <w:rPr>
          <w:rFonts w:hint="eastAsia" w:ascii="宋体" w:hAnsi="宋体" w:cs="宋体"/>
          <w:b/>
          <w:bCs/>
          <w:szCs w:val="21"/>
          <w:highlight w:val="none"/>
          <w:lang w:val="en-US" w:eastAsia="zh-CN"/>
        </w:rPr>
        <w:t xml:space="preserve">多功能自由组合式消防机器人</w:t>
      </w:r>
      <w:r>
        <w:rPr>
          <w:rFonts w:hint="eastAsia" w:ascii="宋体" w:hAnsi="宋体" w:cs="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highlight w:val="none"/>
        </w:rPr>
      </w:r>
    </w:p>
    <w:p>
      <w:pPr>
        <w:spacing w:line="360" w:lineRule="auto"/>
        <w:rPr>
          <w:rFonts w:ascii="宋体" w:hAnsi="宋体" w:cs="宋体"/>
          <w:szCs w:val="21"/>
          <w:highlight w:val="none"/>
        </w:rPr>
      </w:pPr>
      <w:r>
        <w:rPr>
          <w:rFonts w:hint="eastAsia" w:ascii="宋体" w:hAnsi="宋体" w:cs="宋体"/>
          <w:b/>
          <w:szCs w:val="21"/>
          <w:highlight w:val="none"/>
          <w:lang w:val="zh-CN"/>
        </w:rPr>
        <w:t xml:space="preserve">二、评分标准：</w:t>
      </w:r>
      <w:r>
        <w:rPr>
          <w:highlight w:val="none"/>
        </w:rPr>
      </w:r>
    </w:p>
    <w:p>
      <w:pPr>
        <w:ind w:firstLine="422"/>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
          <w:bCs/>
          <w:szCs w:val="21"/>
          <w:highlight w:val="none"/>
          <w:lang w:val="zh-CN"/>
        </w:rPr>
        <w:t xml:space="preserve">（一）价格分：最高为30分</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第一步：投标总报价低于或等于采购预算价格的，为有效投标报价。超采购预算的投标报价为无效投标报价。无效投标报价的投标文件不得中标。</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投标报价得分=（评标基准价/投标报价）*价格权值*100，小数点后保留两位（价格权值为30%）</w:t>
      </w:r>
      <w:r>
        <w:rPr>
          <w:highlight w:val="none"/>
        </w:rP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highlight w:val="none"/>
        </w:rPr>
      </w:r>
      <w:bookmarkStart w:id="58" w:name="_GoBack"/>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投标产品</w:t>
      </w:r>
      <w:r>
        <w:rPr>
          <w:rFonts w:hint="eastAsia" w:ascii="宋体" w:hAnsi="宋体" w:eastAsia="宋体" w:cs="宋体"/>
          <w:b/>
          <w:bCs w:val="0"/>
          <w:color w:val="auto"/>
          <w:sz w:val="21"/>
          <w:szCs w:val="21"/>
          <w:highlight w:val="none"/>
          <w:lang w:val="en-US" w:eastAsia="zh-CN"/>
        </w:rPr>
        <w:t xml:space="preserve">技术质量情况比较</w:t>
      </w:r>
      <w:r>
        <w:rPr>
          <w:rFonts w:hint="eastAsia" w:ascii="宋体" w:hAnsi="宋体" w:eastAsia="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35</w:t>
      </w:r>
      <w:r>
        <w:rPr>
          <w:rFonts w:hint="eastAsia" w:ascii="宋体" w:hAnsi="宋体" w:eastAsia="宋体" w:cs="宋体"/>
          <w:b/>
          <w:bCs w:val="0"/>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lang w:eastAsia="zh-CN"/>
        </w:rPr>
        <w:t xml:space="preserve">）</w:t>
      </w:r>
      <w:bookmarkEnd w:id="58"/>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投标人所投产品的技术参数完全符合或优于招标文件的要求的得</w:t>
      </w: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lang w:val="en-US" w:eastAsia="zh-CN"/>
        </w:rPr>
        <w:t xml:space="preserve">招标文件中产品技术参数标</w:t>
      </w:r>
      <w:r>
        <w:rPr>
          <w:rFonts w:hint="eastAsia" w:ascii="宋体" w:hAnsi="宋体" w:eastAsia="宋体" w:cs="宋体"/>
          <w:szCs w:val="21"/>
          <w:highlight w:val="none"/>
          <w:lang w:val="zh-CN"/>
        </w:rPr>
        <w:t xml:space="preserve">“▲”项每负偏离一项扣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分，扣完为止；其他未标“▲”项每负偏离一项扣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lang w:val="zh-CN"/>
        </w:rPr>
        <w:t xml:space="preserve">分，扣完为止。</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zh-CN"/>
        </w:rPr>
        <w:t xml:space="preserve">标“▲”项参数在投标文件中提供</w:t>
      </w:r>
      <w:r>
        <w:rPr>
          <w:rFonts w:hint="eastAsia" w:ascii="宋体" w:hAnsi="宋体" w:eastAsia="宋体" w:cs="宋体"/>
          <w:szCs w:val="21"/>
          <w:highlight w:val="none"/>
          <w:lang w:val="en-US" w:eastAsia="zh-CN"/>
        </w:rPr>
        <w:t xml:space="preserve">符合招标文件要求的检测报告作为</w:t>
      </w:r>
      <w:r>
        <w:rPr>
          <w:rFonts w:hint="eastAsia" w:ascii="宋体" w:hAnsi="宋体" w:eastAsia="宋体" w:cs="宋体"/>
          <w:szCs w:val="21"/>
          <w:highlight w:val="none"/>
          <w:lang w:val="zh-CN"/>
        </w:rPr>
        <w:t xml:space="preserve">佐证材料，未按要求提供或提供的证明材料无法佐证的，视为负偏离。</w:t>
      </w:r>
      <w:r>
        <w:rPr>
          <w:rFonts w:hint="eastAsia" w:ascii="宋体" w:hAnsi="宋体" w:eastAsia="宋体" w:cs="宋体"/>
          <w:szCs w:val="21"/>
          <w:highlight w:val="none"/>
          <w:lang w:val="zh-CN" w:eastAsia="zh-CN"/>
        </w:rPr>
        <w:t xml:space="preserve">）</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注：（</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投标人需对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）采购需求中</w:t>
      </w:r>
      <w:r>
        <w:rPr>
          <w:rFonts w:hint="eastAsia" w:ascii="宋体" w:hAnsi="宋体" w:eastAsia="宋体" w:cs="宋体"/>
          <w:szCs w:val="21"/>
          <w:highlight w:val="none"/>
          <w:lang w:val="en-US" w:eastAsia="zh-CN"/>
        </w:rPr>
        <w:t xml:space="preserve">加“</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rPr>
        <w:t xml:space="preserve">技术参数</w:t>
      </w:r>
      <w:r>
        <w:rPr>
          <w:rFonts w:hint="eastAsia" w:ascii="宋体" w:hAnsi="宋体" w:eastAsia="宋体" w:cs="宋体"/>
          <w:szCs w:val="21"/>
          <w:highlight w:val="none"/>
          <w:lang w:val="en-US" w:eastAsia="zh-CN"/>
        </w:rPr>
        <w:t xml:space="preserve">条款需提供由国家认可的检测（检验）机构出具完整有效的检测（检验）报告来予以佐证</w:t>
      </w:r>
      <w:r>
        <w:rPr>
          <w:rFonts w:hint="eastAsia" w:ascii="宋体" w:hAnsi="宋体" w:eastAsia="宋体" w:cs="宋体"/>
          <w:szCs w:val="21"/>
          <w:highlight w:val="none"/>
          <w:lang w:val="zh-CN"/>
        </w:rPr>
        <w:t xml:space="preserve">，若未提供或所提供技术支持资料不完整、不清晰等问题，即便投标文件中已承诺响应采购需求的，评审时也不予采信。</w:t>
      </w:r>
      <w:r>
        <w:rPr>
          <w:highlight w:val="none"/>
        </w:rP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）采购需求中</w:t>
      </w:r>
      <w:r>
        <w:rPr>
          <w:rFonts w:hint="eastAsia" w:ascii="宋体" w:hAnsi="宋体" w:eastAsia="宋体" w:cs="宋体"/>
          <w:szCs w:val="21"/>
          <w:highlight w:val="none"/>
          <w:lang w:val="en-US" w:eastAsia="zh-CN"/>
        </w:rPr>
        <w:t xml:space="preserve">其他</w:t>
      </w:r>
      <w:r>
        <w:rPr>
          <w:rFonts w:hint="eastAsia" w:ascii="宋体" w:hAnsi="宋体" w:eastAsia="宋体" w:cs="宋体"/>
          <w:szCs w:val="21"/>
          <w:highlight w:val="none"/>
          <w:lang w:val="zh-CN"/>
        </w:rPr>
        <w:t xml:space="preserve">技术参数未明确要求需要通过技术支持资料来印证是否响应采购需求的参数内容，以投标文件技术条款偏离表响应的内容为准，其他技术支持资料作为评审参考。</w:t>
      </w:r>
      <w:r>
        <w:rPr>
          <w:highlight w:val="none"/>
        </w:rP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（三）项目实施方案及售后服务（</w:t>
      </w:r>
      <w:r>
        <w:rPr>
          <w:rFonts w:hint="eastAsia" w:ascii="宋体" w:hAnsi="宋体" w:cs="宋体"/>
          <w:b/>
          <w:color w:val="auto"/>
          <w:szCs w:val="21"/>
          <w:highlight w:val="none"/>
          <w:lang w:val="en-US" w:eastAsia="zh-CN"/>
        </w:rPr>
        <w:t xml:space="preserve">30</w:t>
      </w:r>
      <w:r>
        <w:rPr>
          <w:rFonts w:hint="eastAsia" w:ascii="宋体" w:hAnsi="宋体" w:eastAsia="宋体" w:cs="宋体"/>
          <w:b/>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1、针对本项目的项目实施方案</w:t>
      </w:r>
      <w:r>
        <w:rPr>
          <w:rStyle w:val="954"/>
          <w:rFonts w:hint="eastAsia" w:ascii="宋体" w:hAnsi="宋体" w:eastAsia="宋体" w:cs="宋体"/>
          <w:bCs/>
          <w:color w:val="auto"/>
          <w:szCs w:val="21"/>
          <w:highlight w:val="none"/>
        </w:rPr>
        <w:t xml:space="preserve">（最高为</w:t>
      </w:r>
      <w:r>
        <w:rPr>
          <w:rStyle w:val="954"/>
          <w:rFonts w:hint="eastAsia" w:ascii="宋体" w:hAnsi="宋体" w:eastAsia="宋体" w:cs="宋体"/>
          <w:bCs/>
          <w:color w:val="auto"/>
          <w:szCs w:val="21"/>
          <w:highlight w:val="none"/>
          <w:lang w:val="en-US" w:eastAsia="zh-CN"/>
        </w:rPr>
        <w:t xml:space="preserve">7</w:t>
      </w:r>
      <w:r>
        <w:rPr>
          <w:rStyle w:val="954"/>
          <w:rFonts w:hint="eastAsia" w:ascii="宋体" w:hAnsi="宋体" w:eastAsia="宋体" w:cs="宋体"/>
          <w:bCs/>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分；方案各项内容阐述不够全面有缺漏项、针对性说明较为简单、可行性一般、项目进度及质量保证措施一般的得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分；方案各项内容粗略、有缺漏、缺乏针对性说明、项目进度及质量保证措施较差的得1分；未提供相关说明或存在逻辑错误、前后矛盾的不得分。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2、针对本项目的售后服务方</w:t>
      </w:r>
      <w:r>
        <w:rPr>
          <w:rStyle w:val="954"/>
          <w:rFonts w:hint="eastAsia" w:ascii="宋体" w:hAnsi="宋体" w:eastAsia="宋体" w:cs="宋体"/>
          <w:bCs/>
          <w:color w:val="auto"/>
          <w:szCs w:val="21"/>
          <w:highlight w:val="none"/>
        </w:rPr>
        <w:t xml:space="preserve">案（最高为</w:t>
      </w:r>
      <w:r>
        <w:rPr>
          <w:rStyle w:val="954"/>
          <w:rFonts w:hint="eastAsia" w:ascii="宋体" w:hAnsi="宋体" w:eastAsia="宋体" w:cs="宋体"/>
          <w:bCs/>
          <w:color w:val="auto"/>
          <w:szCs w:val="21"/>
          <w:highlight w:val="none"/>
          <w:lang w:val="en-US" w:eastAsia="zh-CN"/>
        </w:rPr>
        <w:t xml:space="preserve">7</w:t>
      </w:r>
      <w:r>
        <w:rPr>
          <w:rStyle w:val="954"/>
          <w:rFonts w:hint="eastAsia" w:ascii="宋体" w:hAnsi="宋体" w:eastAsia="宋体" w:cs="宋体"/>
          <w:bCs/>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分；售后服务各项内容阐述不全面、有缺项漏项，内容较为简要，针对性、可行性一般的得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分；售后服务各项内容阐述粗略，无针对性，可行性较差的得1分；未提供相关说明或存在逻辑错误、前后矛盾的不得分。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3、针对本项目的应急和重大故障解决方</w:t>
      </w:r>
      <w:r>
        <w:rPr>
          <w:rStyle w:val="954"/>
          <w:rFonts w:hint="eastAsia" w:ascii="宋体" w:hAnsi="宋体" w:eastAsia="宋体" w:cs="宋体"/>
          <w:bCs/>
          <w:color w:val="auto"/>
          <w:szCs w:val="21"/>
          <w:highlight w:val="none"/>
        </w:rPr>
        <w:t xml:space="preserve">案（最高为</w:t>
      </w:r>
      <w:r>
        <w:rPr>
          <w:rStyle w:val="954"/>
          <w:rFonts w:hint="eastAsia" w:ascii="宋体" w:hAnsi="宋体" w:eastAsia="宋体" w:cs="宋体"/>
          <w:bCs/>
          <w:color w:val="auto"/>
          <w:szCs w:val="21"/>
          <w:highlight w:val="none"/>
          <w:lang w:val="en-US" w:eastAsia="zh-CN"/>
        </w:rPr>
        <w:t xml:space="preserve">7</w:t>
      </w:r>
      <w:r>
        <w:rPr>
          <w:rStyle w:val="954"/>
          <w:rFonts w:hint="eastAsia" w:ascii="宋体" w:hAnsi="宋体" w:eastAsia="宋体" w:cs="宋体"/>
          <w:bCs/>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分；应急和重大故障解决方案内容阐述不全面、有缺项漏项，内容较为简要，针对性一般，可行性一般的得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分；应急和重大故障解决方案内容阐述粗略，无针对性，可行性较差的得1分；未提供相关说明或存在逻辑错误、前后矛盾的不得分。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4、针对本项目使用方人员的技术培训方案</w:t>
      </w:r>
      <w:r>
        <w:rPr>
          <w:rStyle w:val="954"/>
          <w:rFonts w:hint="eastAsia" w:ascii="宋体" w:hAnsi="宋体" w:eastAsia="宋体" w:cs="宋体"/>
          <w:bCs/>
          <w:color w:val="auto"/>
          <w:szCs w:val="21"/>
          <w:highlight w:val="none"/>
        </w:rPr>
        <w:t xml:space="preserve">（最高为</w:t>
      </w:r>
      <w:r>
        <w:rPr>
          <w:rStyle w:val="954"/>
          <w:rFonts w:hint="eastAsia" w:ascii="宋体" w:hAnsi="宋体" w:eastAsia="宋体" w:cs="宋体"/>
          <w:bCs/>
          <w:color w:val="auto"/>
          <w:szCs w:val="21"/>
          <w:highlight w:val="none"/>
          <w:lang w:val="en-US" w:eastAsia="zh-CN"/>
        </w:rPr>
        <w:t xml:space="preserve">6</w:t>
      </w:r>
      <w:r>
        <w:rPr>
          <w:rStyle w:val="954"/>
          <w:rFonts w:hint="eastAsia" w:ascii="宋体" w:hAnsi="宋体" w:eastAsia="宋体" w:cs="宋体"/>
          <w:bCs/>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根据投标单位提供的针对本项目使用方人员的技术培训方案评定，包括但不限于使用操作、常规检查、保养内容、日常使用注意事项等方面：技术培训服务方案考虑全面周到，针对性强，实操性强的得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分；技术培训服务方案较为全面，针对性和实操性较好的得3分；技术培训服务方案简略笼统，无针对性或可操作性较差的得1分。未提供相关说明或存在逻辑错误、前后矛盾的不得分。</w:t>
      </w:r>
      <w:r>
        <w:rPr>
          <w:highlight w:val="none"/>
        </w:rP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w:t>
      </w:r>
      <w:r>
        <w:rPr>
          <w:rStyle w:val="954"/>
          <w:rFonts w:hint="eastAsia" w:ascii="宋体" w:hAnsi="宋体" w:eastAsia="宋体" w:cs="宋体"/>
          <w:bCs/>
          <w:color w:val="auto"/>
          <w:szCs w:val="21"/>
          <w:highlight w:val="none"/>
        </w:rPr>
        <w:t xml:space="preserve">免费质保期满后维保情况及配件供应情况（</w:t>
      </w:r>
      <w:r>
        <w:rPr>
          <w:rStyle w:val="954"/>
          <w:rFonts w:hint="eastAsia" w:ascii="宋体" w:hAnsi="宋体" w:cs="宋体"/>
          <w:bCs/>
          <w:color w:val="auto"/>
          <w:szCs w:val="21"/>
          <w:highlight w:val="none"/>
          <w:lang w:val="en-US" w:eastAsia="zh-CN"/>
        </w:rPr>
        <w:t xml:space="preserve">3</w:t>
      </w:r>
      <w:r>
        <w:rPr>
          <w:rStyle w:val="954"/>
          <w:rFonts w:hint="eastAsia" w:ascii="宋体" w:hAnsi="宋体" w:eastAsia="宋体" w:cs="宋体"/>
          <w:bCs/>
          <w:color w:val="auto"/>
          <w:szCs w:val="21"/>
          <w:highlight w:val="none"/>
        </w:rPr>
        <w:t xml:space="preserve">分）</w:t>
      </w:r>
      <w:r>
        <w:rPr>
          <w:highlight w:val="none"/>
        </w:rP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Style w:val="954"/>
          <w:rFonts w:hint="eastAsia" w:ascii="宋体" w:hAnsi="宋体" w:eastAsia="宋体" w:cs="宋体"/>
          <w:bCs/>
          <w:color w:val="auto"/>
          <w:szCs w:val="21"/>
          <w:highlight w:val="none"/>
        </w:rPr>
        <w:t xml:space="preserve">根据投标单位对本项目免费质保期满后维保情况及配件供应保障情况进行综合评定，维保及配件价格优惠且保障情况较</w:t>
      </w:r>
      <w:r>
        <w:rPr>
          <w:rStyle w:val="954"/>
          <w:rFonts w:hint="eastAsia" w:ascii="宋体" w:hAnsi="宋体" w:cs="宋体"/>
          <w:bCs/>
          <w:color w:val="auto"/>
          <w:szCs w:val="21"/>
          <w:highlight w:val="none"/>
          <w:lang w:val="en-US" w:eastAsia="zh-CN"/>
        </w:rPr>
        <w:t xml:space="preserve">强</w:t>
      </w:r>
      <w:r>
        <w:rPr>
          <w:rStyle w:val="954"/>
          <w:rFonts w:hint="eastAsia" w:ascii="宋体" w:hAnsi="宋体" w:eastAsia="宋体" w:cs="宋体"/>
          <w:bCs/>
          <w:color w:val="auto"/>
          <w:szCs w:val="21"/>
          <w:highlight w:val="none"/>
        </w:rPr>
        <w:t xml:space="preserve">的得3分；维保及配件价格相对较高且保障</w:t>
      </w:r>
      <w:r>
        <w:rPr>
          <w:rStyle w:val="954"/>
          <w:rFonts w:hint="eastAsia" w:ascii="宋体" w:hAnsi="宋体" w:cs="宋体"/>
          <w:bCs/>
          <w:color w:val="auto"/>
          <w:szCs w:val="21"/>
          <w:highlight w:val="none"/>
          <w:lang w:val="en-US" w:eastAsia="zh-CN"/>
        </w:rPr>
        <w:t xml:space="preserve">情况较好</w:t>
      </w:r>
      <w:r>
        <w:rPr>
          <w:rStyle w:val="954"/>
          <w:rFonts w:hint="eastAsia" w:ascii="宋体" w:hAnsi="宋体" w:eastAsia="宋体" w:cs="宋体"/>
          <w:bCs/>
          <w:color w:val="auto"/>
          <w:szCs w:val="21"/>
          <w:highlight w:val="none"/>
        </w:rPr>
        <w:t xml:space="preserve">的得</w:t>
      </w:r>
      <w:r>
        <w:rPr>
          <w:rStyle w:val="954"/>
          <w:rFonts w:hint="eastAsia" w:ascii="宋体" w:hAnsi="宋体" w:cs="宋体"/>
          <w:bCs/>
          <w:color w:val="auto"/>
          <w:szCs w:val="21"/>
          <w:highlight w:val="none"/>
          <w:lang w:val="en-US" w:eastAsia="zh-CN"/>
        </w:rPr>
        <w:t xml:space="preserve">2</w:t>
      </w:r>
      <w:r>
        <w:rPr>
          <w:rStyle w:val="954"/>
          <w:rFonts w:hint="eastAsia" w:ascii="宋体" w:hAnsi="宋体" w:eastAsia="宋体" w:cs="宋体"/>
          <w:bCs/>
          <w:color w:val="auto"/>
          <w:szCs w:val="21"/>
          <w:highlight w:val="none"/>
        </w:rPr>
        <w:t xml:space="preserve">分；维保及配件价格相对较高且保障不力的得1分</w:t>
      </w:r>
      <w:r>
        <w:rPr>
          <w:rStyle w:val="954"/>
          <w:rFonts w:hint="eastAsia" w:ascii="宋体" w:hAnsi="宋体" w:cs="宋体"/>
          <w:bCs/>
          <w:color w:val="auto"/>
          <w:szCs w:val="21"/>
          <w:highlight w:val="none"/>
          <w:lang w:eastAsia="zh-CN"/>
        </w:rPr>
        <w:t xml:space="preserve">；</w:t>
      </w:r>
      <w:r>
        <w:rPr>
          <w:rStyle w:val="954"/>
          <w:rFonts w:hint="eastAsia" w:ascii="宋体" w:hAnsi="宋体" w:eastAsia="宋体" w:cs="宋体"/>
          <w:bCs/>
          <w:color w:val="auto"/>
          <w:szCs w:val="21"/>
          <w:highlight w:val="none"/>
        </w:rPr>
        <w:t xml:space="preserve">未作说明的本项不得分。</w:t>
      </w:r>
      <w:r>
        <w:rPr>
          <w:highlight w:val="none"/>
        </w:rP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cs="宋体"/>
          <w:b/>
          <w:color w:val="auto"/>
          <w:szCs w:val="21"/>
          <w:highlight w:val="none"/>
        </w:rPr>
        <w:t xml:space="preserve">投标单位综合履约能力</w:t>
      </w:r>
      <w:r>
        <w:rPr>
          <w:rFonts w:hint="eastAsia" w:ascii="宋体" w:hAnsi="宋体" w:eastAsia="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lang w:val="en-US" w:eastAsia="zh-CN"/>
        </w:rPr>
        <w:t xml:space="preserve">分</w:t>
      </w:r>
      <w:r>
        <w:rPr>
          <w:rFonts w:hint="eastAsia" w:ascii="宋体" w:hAnsi="宋体" w:eastAsia="宋体" w:cs="宋体"/>
          <w:b/>
          <w:color w:val="auto"/>
          <w:szCs w:val="21"/>
          <w:highlight w:val="none"/>
          <w:lang w:eastAsia="zh-CN"/>
        </w:rPr>
        <w:t xml:space="preserve">）</w:t>
      </w:r>
      <w:r>
        <w:rPr>
          <w:highlight w:val="none"/>
        </w:rPr>
      </w:r>
    </w:p>
    <w:p>
      <w:pPr>
        <w:ind w:firstLine="420"/>
        <w:keepLines w:val="0"/>
        <w:keepNext w:val="0"/>
        <w:pageBreakBefore w:val="0"/>
        <w:spacing w:line="360" w:lineRule="auto"/>
        <w:widowControl w:val="off"/>
        <w:rPr>
          <w:rStyle w:val="954"/>
          <w:rFonts w:hint="eastAsia" w:ascii="宋体" w:hAnsi="宋体" w:eastAsia="宋体" w:cs="宋体"/>
          <w:bCs/>
          <w:color w:val="auto"/>
          <w:szCs w:val="21"/>
          <w:highlight w:val="none"/>
        </w:rPr>
      </w:pPr>
      <w:r>
        <w:rPr>
          <w:rStyle w:val="954"/>
          <w:rFonts w:hint="eastAsia" w:ascii="宋体" w:hAnsi="宋体" w:eastAsia="宋体" w:cs="宋体"/>
          <w:bCs/>
          <w:color w:val="auto"/>
          <w:szCs w:val="21"/>
          <w:highlight w:val="none"/>
          <w:lang w:val="en-US" w:eastAsia="zh-CN"/>
        </w:rPr>
        <w:t xml:space="preserve">1、</w:t>
      </w:r>
      <w:r>
        <w:rPr>
          <w:rStyle w:val="954"/>
          <w:rFonts w:hint="eastAsia" w:ascii="宋体" w:hAnsi="宋体" w:eastAsia="宋体" w:cs="宋体"/>
          <w:bCs/>
          <w:color w:val="auto"/>
          <w:szCs w:val="21"/>
          <w:highlight w:val="none"/>
        </w:rPr>
        <w:t xml:space="preserve">投标单位</w:t>
      </w:r>
      <w:r>
        <w:rPr>
          <w:rStyle w:val="954"/>
          <w:rFonts w:hint="eastAsia" w:ascii="宋体" w:hAnsi="宋体" w:eastAsia="宋体" w:cs="宋体"/>
          <w:bCs/>
          <w:color w:val="auto"/>
          <w:szCs w:val="21"/>
          <w:highlight w:val="none"/>
          <w:lang w:val="en-US" w:eastAsia="zh-CN"/>
        </w:rPr>
        <w:t xml:space="preserve">自</w:t>
      </w:r>
      <w:r>
        <w:rPr>
          <w:rStyle w:val="954"/>
          <w:rFonts w:hint="eastAsia" w:ascii="宋体" w:hAnsi="宋体" w:eastAsia="宋体" w:cs="宋体"/>
          <w:bCs/>
          <w:color w:val="auto"/>
          <w:szCs w:val="21"/>
          <w:highlight w:val="none"/>
        </w:rPr>
        <w:t xml:space="preserve">202</w:t>
      </w:r>
      <w:r>
        <w:rPr>
          <w:rStyle w:val="954"/>
          <w:rFonts w:hint="eastAsia" w:ascii="宋体" w:hAnsi="宋体" w:eastAsia="宋体" w:cs="宋体"/>
          <w:bCs/>
          <w:color w:val="auto"/>
          <w:szCs w:val="21"/>
          <w:highlight w:val="none"/>
          <w:lang w:val="en-US" w:eastAsia="zh-CN"/>
        </w:rPr>
        <w:t xml:space="preserve">3</w:t>
      </w:r>
      <w:r>
        <w:rPr>
          <w:rStyle w:val="954"/>
          <w:rFonts w:hint="eastAsia" w:ascii="宋体" w:hAnsi="宋体" w:eastAsia="宋体" w:cs="宋体"/>
          <w:bCs/>
          <w:color w:val="auto"/>
          <w:szCs w:val="21"/>
          <w:highlight w:val="none"/>
        </w:rPr>
        <w:t xml:space="preserve">年1月1日起至今（以合同签订时间为准）承接过类似项目业绩，每提供一个业绩得</w:t>
      </w:r>
      <w:r>
        <w:rPr>
          <w:rStyle w:val="954"/>
          <w:rFonts w:hint="eastAsia" w:ascii="宋体" w:hAnsi="宋体" w:eastAsia="宋体" w:cs="宋体"/>
          <w:bCs/>
          <w:color w:val="auto"/>
          <w:szCs w:val="21"/>
          <w:highlight w:val="none"/>
          <w:lang w:val="en-US" w:eastAsia="zh-CN"/>
        </w:rPr>
        <w:t xml:space="preserve">1</w:t>
      </w:r>
      <w:r>
        <w:rPr>
          <w:rStyle w:val="954"/>
          <w:rFonts w:hint="eastAsia" w:ascii="宋体" w:hAnsi="宋体" w:eastAsia="宋体" w:cs="宋体"/>
          <w:bCs/>
          <w:color w:val="auto"/>
          <w:szCs w:val="21"/>
          <w:highlight w:val="none"/>
        </w:rPr>
        <w:t xml:space="preserve">分，最高得</w:t>
      </w:r>
      <w:r>
        <w:rPr>
          <w:rStyle w:val="954"/>
          <w:rFonts w:hint="eastAsia" w:ascii="宋体" w:hAnsi="宋体" w:eastAsia="宋体" w:cs="宋体"/>
          <w:bCs/>
          <w:color w:val="auto"/>
          <w:szCs w:val="21"/>
          <w:highlight w:val="none"/>
          <w:lang w:val="en-US" w:eastAsia="zh-CN"/>
        </w:rPr>
        <w:t xml:space="preserve">2</w:t>
      </w:r>
      <w:r>
        <w:rPr>
          <w:rStyle w:val="954"/>
          <w:rFonts w:hint="eastAsia" w:ascii="宋体" w:hAnsi="宋体" w:eastAsia="宋体" w:cs="宋体"/>
          <w:bCs/>
          <w:color w:val="auto"/>
          <w:szCs w:val="21"/>
          <w:highlight w:val="none"/>
        </w:rPr>
        <w:t xml:space="preserve">分。投标文件中提供</w:t>
      </w:r>
      <w:r>
        <w:rPr>
          <w:rStyle w:val="954"/>
          <w:rFonts w:hint="eastAsia" w:ascii="宋体" w:hAnsi="宋体" w:eastAsia="宋体" w:cs="宋体"/>
          <w:bCs/>
          <w:color w:val="auto"/>
          <w:szCs w:val="21"/>
          <w:highlight w:val="none"/>
          <w:lang w:val="en-US" w:eastAsia="zh-CN"/>
        </w:rPr>
        <w:t xml:space="preserve">完整</w:t>
      </w:r>
      <w:r>
        <w:rPr>
          <w:rStyle w:val="954"/>
          <w:rFonts w:hint="eastAsia" w:ascii="宋体" w:hAnsi="宋体" w:eastAsia="宋体" w:cs="宋体"/>
          <w:bCs/>
          <w:color w:val="auto"/>
          <w:szCs w:val="21"/>
          <w:highlight w:val="none"/>
        </w:rPr>
        <w:t xml:space="preserve">合同扫描件</w:t>
      </w:r>
      <w:r>
        <w:rPr>
          <w:rStyle w:val="954"/>
          <w:rFonts w:hint="eastAsia" w:ascii="宋体" w:hAnsi="宋体" w:eastAsia="宋体" w:cs="宋体"/>
          <w:bCs/>
          <w:color w:val="auto"/>
          <w:szCs w:val="21"/>
          <w:highlight w:val="none"/>
          <w:lang w:val="en-US" w:eastAsia="zh-CN"/>
        </w:rPr>
        <w:t xml:space="preserve">和销售发票复印件</w:t>
      </w:r>
      <w:r>
        <w:rPr>
          <w:rStyle w:val="954"/>
          <w:rFonts w:hint="eastAsia" w:ascii="宋体" w:hAnsi="宋体" w:eastAsia="宋体" w:cs="宋体"/>
          <w:bCs/>
          <w:color w:val="auto"/>
          <w:szCs w:val="21"/>
          <w:highlight w:val="none"/>
        </w:rPr>
        <w:t xml:space="preserve">，否则不得分。</w:t>
      </w:r>
      <w:r>
        <w:rPr>
          <w:rStyle w:val="954"/>
          <w:rFonts w:hint="eastAsia" w:ascii="宋体" w:hAnsi="宋体" w:eastAsia="宋体" w:cs="宋体"/>
          <w:bCs/>
          <w:color w:val="auto"/>
          <w:szCs w:val="21"/>
          <w:highlight w:val="none"/>
          <w:lang w:eastAsia="zh-CN"/>
        </w:rPr>
        <w:t xml:space="preserve">（</w:t>
      </w:r>
      <w:r>
        <w:rPr>
          <w:rStyle w:val="954"/>
          <w:rFonts w:hint="eastAsia" w:ascii="宋体" w:hAnsi="宋体" w:eastAsia="宋体" w:cs="宋体"/>
          <w:bCs/>
          <w:color w:val="auto"/>
          <w:szCs w:val="21"/>
          <w:highlight w:val="none"/>
          <w:lang w:val="en-US" w:eastAsia="zh-CN"/>
        </w:rPr>
        <w:t xml:space="preserve">2分</w:t>
      </w:r>
      <w:r>
        <w:rPr>
          <w:rStyle w:val="954"/>
          <w:rFonts w:hint="eastAsia" w:ascii="宋体" w:hAnsi="宋体" w:eastAsia="宋体" w:cs="宋体"/>
          <w:bCs/>
          <w:color w:val="auto"/>
          <w:szCs w:val="21"/>
          <w:highlight w:val="none"/>
          <w:lang w:eastAsia="zh-CN"/>
        </w:rPr>
        <w:t xml:space="preserve">）</w:t>
      </w:r>
      <w:r>
        <w:rPr>
          <w:highlight w:val="none"/>
        </w:rPr>
      </w:r>
    </w:p>
    <w:p>
      <w:pPr>
        <w:ind w:firstLine="420"/>
        <w:keepLines w:val="0"/>
        <w:keepNext w:val="0"/>
        <w:pageBreakBefore w:val="0"/>
        <w:spacing w:line="360" w:lineRule="auto"/>
        <w:widowControl w:val="off"/>
        <w:rPr>
          <w:rStyle w:val="954"/>
          <w:rFonts w:hint="eastAsia" w:ascii="宋体" w:hAnsi="宋体" w:eastAsia="宋体" w:cs="宋体"/>
          <w:bCs/>
          <w:color w:val="auto"/>
          <w:szCs w:val="21"/>
          <w:highlight w:val="none"/>
        </w:rPr>
      </w:pPr>
      <w:r>
        <w:rPr>
          <w:rStyle w:val="954"/>
          <w:rFonts w:hint="eastAsia" w:ascii="宋体" w:hAnsi="宋体" w:eastAsia="宋体" w:cs="宋体"/>
          <w:bCs/>
          <w:color w:val="auto"/>
          <w:szCs w:val="21"/>
          <w:highlight w:val="none"/>
          <w:lang w:val="en-US" w:eastAsia="zh-CN"/>
        </w:rPr>
        <w:t xml:space="preserve">2、投标单位具有有效期内的质量管理体系认证证书</w:t>
      </w:r>
      <w:r>
        <w:rPr>
          <w:rStyle w:val="954"/>
          <w:rFonts w:hint="eastAsia" w:ascii="宋体" w:hAnsi="宋体" w:eastAsia="宋体" w:cs="宋体"/>
          <w:bCs/>
          <w:color w:val="auto"/>
          <w:szCs w:val="21"/>
          <w:highlight w:val="none"/>
        </w:rPr>
        <w:t xml:space="preserve">ISO9001:2015</w:t>
      </w:r>
      <w:r>
        <w:rPr>
          <w:rStyle w:val="954"/>
          <w:rFonts w:hint="eastAsia" w:ascii="宋体" w:hAnsi="宋体" w:eastAsia="宋体" w:cs="宋体"/>
          <w:bCs/>
          <w:color w:val="auto"/>
          <w:szCs w:val="21"/>
          <w:highlight w:val="none"/>
          <w:lang w:val="en-US" w:eastAsia="zh-CN"/>
        </w:rPr>
        <w:t xml:space="preserve">、环境管理体系认证证书</w:t>
      </w:r>
      <w:r>
        <w:rPr>
          <w:rStyle w:val="954"/>
          <w:rFonts w:hint="eastAsia" w:ascii="宋体" w:hAnsi="宋体" w:eastAsia="宋体" w:cs="宋体"/>
          <w:bCs/>
          <w:color w:val="auto"/>
          <w:szCs w:val="21"/>
          <w:highlight w:val="none"/>
        </w:rPr>
        <w:t xml:space="preserve">ISO 14001:2015</w:t>
      </w:r>
      <w:r>
        <w:rPr>
          <w:rStyle w:val="954"/>
          <w:rFonts w:hint="eastAsia" w:ascii="宋体" w:hAnsi="宋体" w:eastAsia="宋体" w:cs="宋体"/>
          <w:bCs/>
          <w:color w:val="auto"/>
          <w:szCs w:val="21"/>
          <w:highlight w:val="none"/>
          <w:lang w:val="en-US" w:eastAsia="zh-CN"/>
        </w:rPr>
        <w:t xml:space="preserve">、职业健康安全管理体系认证证书</w:t>
      </w:r>
      <w:r>
        <w:rPr>
          <w:rStyle w:val="954"/>
          <w:rFonts w:hint="eastAsia" w:ascii="宋体" w:hAnsi="宋体" w:eastAsia="宋体" w:cs="宋体"/>
          <w:bCs/>
          <w:color w:val="auto"/>
          <w:szCs w:val="21"/>
          <w:highlight w:val="none"/>
        </w:rPr>
        <w:t xml:space="preserve">ISO 45001:2018</w:t>
      </w:r>
      <w:r>
        <w:rPr>
          <w:rStyle w:val="954"/>
          <w:rFonts w:hint="eastAsia" w:ascii="宋体" w:hAnsi="宋体" w:eastAsia="宋体" w:cs="宋体"/>
          <w:bCs/>
          <w:color w:val="auto"/>
          <w:szCs w:val="21"/>
          <w:highlight w:val="none"/>
          <w:lang w:val="en-US" w:eastAsia="zh-CN"/>
        </w:rPr>
        <w:t xml:space="preserve">的，每提供一项得1分，最高为3分。（投标文件中提供证书扫描件及在中国国家认证认可监督管理委员会官网查询截图）</w:t>
      </w:r>
      <w:r>
        <w:rPr>
          <w:rStyle w:val="954"/>
          <w:rFonts w:hint="eastAsia" w:ascii="宋体" w:hAnsi="宋体" w:eastAsia="宋体" w:cs="宋体"/>
          <w:bCs/>
          <w:color w:val="auto"/>
          <w:szCs w:val="21"/>
          <w:highlight w:val="none"/>
          <w:lang w:eastAsia="zh-CN"/>
        </w:rPr>
        <w:t xml:space="preserve">（</w:t>
      </w:r>
      <w:r>
        <w:rPr>
          <w:rStyle w:val="954"/>
          <w:rFonts w:hint="eastAsia" w:ascii="宋体" w:hAnsi="宋体" w:eastAsia="宋体" w:cs="宋体"/>
          <w:bCs/>
          <w:color w:val="auto"/>
          <w:szCs w:val="21"/>
          <w:highlight w:val="none"/>
          <w:lang w:val="en-US" w:eastAsia="zh-CN"/>
        </w:rPr>
        <w:t xml:space="preserve">3分</w:t>
      </w:r>
      <w:r>
        <w:rPr>
          <w:rStyle w:val="954"/>
          <w:rFonts w:hint="eastAsia" w:ascii="宋体" w:hAnsi="宋体" w:eastAsia="宋体" w:cs="宋体"/>
          <w:bCs/>
          <w:color w:val="auto"/>
          <w:szCs w:val="21"/>
          <w:highlight w:val="none"/>
          <w:lang w:eastAsia="zh-CN"/>
        </w:rPr>
        <w:t xml:space="preserve">）</w:t>
      </w:r>
      <w:r>
        <w:rPr>
          <w:highlight w:val="none"/>
        </w:rPr>
      </w:r>
    </w:p>
    <w:p>
      <w:pPr>
        <w:pStyle w:val="726"/>
        <w:ind w:firstLine="422"/>
        <w:jc w:val="left"/>
        <w:spacing w:line="360" w:lineRule="auto"/>
        <w:rPr>
          <w:rFonts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sz w:val="21"/>
          <w:szCs w:val="21"/>
          <w:highlight w:val="none"/>
        </w:rPr>
        <w:t xml:space="preserve">：1.付款步骤、交货期限如有负偏离的不得中标。</w:t>
      </w:r>
      <w:r>
        <w:rPr>
          <w:highlight w:val="none"/>
        </w:rPr>
      </w:r>
    </w:p>
    <w:p>
      <w:pPr>
        <w:pStyle w:val="726"/>
        <w:ind w:firstLine="422"/>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highlight w:val="none"/>
        </w:rPr>
      </w:r>
    </w:p>
    <w:p>
      <w:pPr>
        <w:pStyle w:val="726"/>
        <w:ind w:firstLine="422"/>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highlight w:val="none"/>
        </w:rPr>
      </w:r>
    </w:p>
    <w:p>
      <w:pPr>
        <w:pStyle w:val="726"/>
        <w:ind w:firstLine="422"/>
        <w:jc w:val="right"/>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p>
    <w:p>
      <w:pPr>
        <w:pStyle w:val="726"/>
        <w:ind w:firstLine="422"/>
        <w:jc w:val="right"/>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p>
    <w:p>
      <w:pPr>
        <w:pStyle w:val="726"/>
        <w:ind w:firstLine="0"/>
        <w:jc w:val="right"/>
        <w:spacing w:line="360" w:lineRule="auto"/>
        <w:rPr>
          <w:highlight w:val="none"/>
        </w:rPr>
      </w:pPr>
      <w:r>
        <w:rPr>
          <w:rFonts w:hint="eastAsia" w:ascii="宋体" w:hAnsi="宋体" w:eastAsia="宋体" w:cs="宋体"/>
          <w:b/>
          <w:bCs/>
          <w:sz w:val="21"/>
          <w:szCs w:val="21"/>
          <w:highlight w:val="none"/>
        </w:rPr>
        <w:t xml:space="preserve">（全文完）</w:t>
      </w:r>
      <w:r>
        <w:rPr>
          <w:highlight w:val="none"/>
        </w:rPr>
      </w:r>
    </w:p>
    <w:sectPr>
      <w:headerReference w:type="default" r:id="rId11"/>
      <w:footerReference w:type="default" r:id="rId13"/>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4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43"/>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43"/>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rPr>
        <w:rFonts w:hint="default" w:ascii="宋体" w:hAnsi="宋体" w:eastAsia="宋体" w:cs="宋体"/>
        <w:lang w:val="en-US" w:eastAsia="zh-CN"/>
      </w:rPr>
    </w:pPr>
    <w:r>
      <w:rPr>
        <w:rFonts w:hint="eastAsia" w:ascii="宋体" w:hAnsi="宋体" w:cs="宋体"/>
        <w:b w:val="0"/>
        <w:bCs w:val="0"/>
        <w:sz w:val="21"/>
        <w:szCs w:val="21"/>
        <w:lang w:val="zh-CN"/>
      </w:rPr>
      <w:t xml:space="preserve">苏州恒缘祥咨询管理有限公司</w:t>
    </w:r>
    <w:r>
      <w:rPr>
        <w:rFonts w:hint="eastAsia" w:ascii="宋体" w:hAnsi="宋体" w:cs="宋体"/>
        <w:b w:val="0"/>
        <w:bCs w:val="0"/>
        <w:sz w:val="21"/>
        <w:szCs w:val="21"/>
        <w:lang w:val="en-US" w:eastAsia="zh-CN"/>
      </w:rPr>
      <w:t xml:space="preserve">                       项目编号：JSZC-320509-HYXZ-G2026-0002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ascii="宋体" w:hAnsi="宋体" w:cs="宋体"/>
      </w:rPr>
    </w:pPr>
    <w:r>
      <w:rPr>
        <w:rFonts w:hint="eastAsia" w:ascii="宋体" w:hAnsi="宋体" w:cs="宋体"/>
        <w:b w:val="0"/>
        <w:bCs w:val="0"/>
        <w:sz w:val="21"/>
        <w:szCs w:val="21"/>
        <w:lang w:val="zh-CN"/>
      </w:rPr>
      <w:t xml:space="preserve">苏州恒缘祥咨询管理有限公司</w:t>
    </w:r>
    <w:r>
      <w:rPr>
        <w:rFonts w:hint="eastAsia" w:ascii="宋体" w:hAnsi="宋体" w:cs="宋体"/>
        <w:b w:val="0"/>
        <w:bCs w:val="0"/>
        <w:sz w:val="21"/>
        <w:szCs w:val="21"/>
        <w:lang w:val="en-US" w:eastAsia="zh-CN"/>
      </w:rPr>
      <w:t xml:space="preserve">                       项目编号：JSZC-320509-HYXZ-G2026-0002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1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2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1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5"/>
  </w:num>
  <w:num w:numId="2">
    <w:abstractNumId w:val="7"/>
  </w:num>
  <w:num w:numId="3">
    <w:abstractNumId w:val="6"/>
  </w:num>
  <w:num w:numId="4">
    <w:abstractNumId w:val="0"/>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4"/>
    </w:rPr>
  </w:style>
  <w:style w:type="paragraph" w:styleId="715">
    <w:name w:val="Heading 1"/>
    <w:basedOn w:val="714"/>
    <w:next w:val="714"/>
    <w:link w:val="922"/>
    <w:uiPriority w:val="0"/>
    <w:qFormat/>
    <w:pPr>
      <w:keepLines/>
      <w:keepNext/>
      <w:spacing w:before="340" w:after="330" w:line="578" w:lineRule="auto"/>
      <w:outlineLvl w:val="0"/>
    </w:pPr>
    <w:rPr>
      <w:b/>
      <w:bCs/>
      <w:sz w:val="44"/>
      <w:szCs w:val="44"/>
    </w:rPr>
  </w:style>
  <w:style w:type="paragraph" w:styleId="716">
    <w:name w:val="Heading 2"/>
    <w:basedOn w:val="714"/>
    <w:next w:val="714"/>
    <w:link w:val="923"/>
    <w:uiPriority w:val="0"/>
    <w:qFormat/>
    <w:pPr>
      <w:numPr>
        <w:ilvl w:val="1"/>
        <w:numId w:val="1"/>
      </w:numPr>
      <w:spacing w:before="156" w:after="156" w:line="360" w:lineRule="auto"/>
      <w:outlineLvl w:val="1"/>
    </w:pPr>
    <w:rPr>
      <w:rFonts w:ascii="Cambria" w:hAnsi="Cambria"/>
      <w:b/>
      <w:bCs/>
      <w:sz w:val="32"/>
      <w:szCs w:val="32"/>
    </w:rPr>
  </w:style>
  <w:style w:type="paragraph" w:styleId="717">
    <w:name w:val="Heading 3"/>
    <w:basedOn w:val="714"/>
    <w:next w:val="726"/>
    <w:link w:val="925"/>
    <w:uiPriority w:val="0"/>
    <w:qFormat/>
    <w:pPr>
      <w:keepLines/>
      <w:keepNext/>
      <w:spacing w:before="260" w:after="260" w:line="416" w:lineRule="auto"/>
      <w:outlineLvl w:val="2"/>
    </w:pPr>
    <w:rPr>
      <w:b/>
      <w:sz w:val="32"/>
      <w:szCs w:val="20"/>
    </w:rPr>
  </w:style>
  <w:style w:type="paragraph" w:styleId="718">
    <w:name w:val="Heading 4"/>
    <w:basedOn w:val="714"/>
    <w:next w:val="714"/>
    <w:uiPriority w:val="0"/>
    <w:qFormat/>
    <w:pPr>
      <w:numPr>
        <w:ilvl w:val="3"/>
        <w:numId w:val="2"/>
      </w:numPr>
      <w:keepLines/>
      <w:keepNext/>
      <w:spacing w:before="280" w:after="290" w:line="376" w:lineRule="auto"/>
      <w:outlineLvl w:val="3"/>
    </w:pPr>
    <w:rPr>
      <w:rFonts w:ascii="Cambria" w:hAnsi="Cambria"/>
      <w:b/>
      <w:bCs/>
      <w:sz w:val="28"/>
      <w:szCs w:val="28"/>
    </w:rPr>
  </w:style>
  <w:style w:type="paragraph" w:styleId="719">
    <w:name w:val="Heading 5"/>
    <w:basedOn w:val="714"/>
    <w:next w:val="714"/>
    <w:link w:val="926"/>
    <w:uiPriority w:val="0"/>
    <w:qFormat/>
    <w:pPr>
      <w:jc w:val="left"/>
      <w:keepLines/>
      <w:keepNext/>
      <w:spacing w:before="280" w:after="290" w:line="376" w:lineRule="auto"/>
      <w:widowControl/>
      <w:outlineLvl w:val="4"/>
    </w:pPr>
    <w:rPr>
      <w:b/>
      <w:bCs/>
      <w:sz w:val="28"/>
      <w:szCs w:val="28"/>
    </w:rPr>
  </w:style>
  <w:style w:type="paragraph" w:styleId="720">
    <w:name w:val="Heading 6"/>
    <w:basedOn w:val="714"/>
    <w:next w:val="714"/>
    <w:link w:val="927"/>
    <w:uiPriority w:val="9"/>
    <w:qFormat/>
    <w:pPr>
      <w:numPr>
        <w:ilvl w:val="5"/>
        <w:numId w:val="1"/>
      </w:numPr>
      <w:keepLines/>
      <w:keepNext/>
      <w:spacing w:before="120" w:after="64" w:line="300" w:lineRule="auto"/>
      <w:outlineLvl w:val="5"/>
    </w:pPr>
    <w:rPr>
      <w:rFonts w:ascii="Arial" w:hAnsi="Arial"/>
      <w:bCs/>
      <w:sz w:val="24"/>
    </w:rPr>
  </w:style>
  <w:style w:type="paragraph" w:styleId="721">
    <w:name w:val="Heading 7"/>
    <w:basedOn w:val="714"/>
    <w:next w:val="714"/>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9"/>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8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next w:val="714"/>
    <w:link w:val="924"/>
    <w:uiPriority w:val="0"/>
    <w:qFormat/>
    <w:pPr>
      <w:ind w:firstLine="420"/>
    </w:pPr>
    <w:rPr>
      <w:rFonts w:eastAsia="楷体_GB2312"/>
      <w:sz w:val="24"/>
      <w:szCs w:val="20"/>
    </w:rPr>
  </w:style>
  <w:style w:type="paragraph" w:styleId="727">
    <w:name w:val="toc 7"/>
    <w:basedOn w:val="714"/>
    <w:next w:val="714"/>
    <w:uiPriority w:val="39"/>
    <w:unhideWhenUsed/>
    <w:qFormat/>
    <w:pPr>
      <w:ind w:left="1701" w:right="0" w:firstLine="0"/>
      <w:spacing w:after="57"/>
    </w:pPr>
  </w:style>
  <w:style w:type="paragraph" w:styleId="728">
    <w:name w:val="table of authorities"/>
    <w:basedOn w:val="714"/>
    <w:next w:val="714"/>
    <w:uiPriority w:val="99"/>
    <w:unhideWhenUsed/>
    <w:qFormat/>
    <w:pPr>
      <w:ind w:left="420"/>
    </w:pPr>
  </w:style>
  <w:style w:type="paragraph" w:styleId="729">
    <w:name w:val="Caption"/>
    <w:basedOn w:val="714"/>
    <w:next w:val="7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0">
    <w:name w:val="Document Map"/>
    <w:basedOn w:val="714"/>
    <w:next w:val="731"/>
    <w:uiPriority w:val="0"/>
    <w:qFormat/>
    <w:rPr>
      <w:rFonts w:ascii="宋体"/>
      <w:sz w:val="18"/>
      <w:szCs w:val="18"/>
    </w:rPr>
  </w:style>
  <w:style w:type="paragraph" w:styleId="731">
    <w:name w:val="annotation subject"/>
    <w:basedOn w:val="732"/>
    <w:next w:val="714"/>
    <w:link w:val="937"/>
    <w:uiPriority w:val="0"/>
    <w:qFormat/>
    <w:rPr>
      <w:b/>
      <w:bCs/>
    </w:rPr>
  </w:style>
  <w:style w:type="paragraph" w:styleId="732">
    <w:name w:val="annotation text"/>
    <w:basedOn w:val="714"/>
    <w:link w:val="928"/>
    <w:uiPriority w:val="0"/>
    <w:qFormat/>
    <w:pPr>
      <w:jc w:val="left"/>
    </w:pPr>
  </w:style>
  <w:style w:type="paragraph" w:styleId="733">
    <w:name w:val="Body Text"/>
    <w:basedOn w:val="714"/>
    <w:next w:val="714"/>
    <w:link w:val="929"/>
    <w:uiPriority w:val="99"/>
    <w:unhideWhenUsed/>
    <w:qFormat/>
    <w:pPr>
      <w:spacing w:after="120"/>
    </w:pPr>
    <w:rPr>
      <w:sz w:val="20"/>
    </w:rPr>
  </w:style>
  <w:style w:type="paragraph" w:styleId="734">
    <w:name w:val="Body Text Indent"/>
    <w:basedOn w:val="714"/>
    <w:next w:val="714"/>
    <w:link w:val="921"/>
    <w:uiPriority w:val="0"/>
    <w:qFormat/>
    <w:pPr>
      <w:ind w:firstLine="425"/>
      <w:spacing w:line="360" w:lineRule="auto"/>
    </w:pPr>
    <w:rPr>
      <w:sz w:val="24"/>
    </w:rPr>
  </w:style>
  <w:style w:type="paragraph" w:styleId="735">
    <w:name w:val="Block Text"/>
    <w:basedOn w:val="715"/>
    <w:next w:val="714"/>
    <w:uiPriority w:val="0"/>
    <w:qFormat/>
    <w:pPr>
      <w:ind w:left="630" w:right="-609" w:firstLine="420"/>
      <w:spacing w:line="360" w:lineRule="auto"/>
    </w:pPr>
    <w:rPr>
      <w:rFonts w:hint="eastAsia" w:ascii="仿宋_GB2312" w:eastAsia="仿宋_GB2312"/>
      <w:szCs w:val="20"/>
    </w:rPr>
  </w:style>
  <w:style w:type="paragraph" w:styleId="736">
    <w:name w:val="toc 5"/>
    <w:basedOn w:val="714"/>
    <w:next w:val="714"/>
    <w:uiPriority w:val="39"/>
    <w:unhideWhenUsed/>
    <w:qFormat/>
    <w:pPr>
      <w:ind w:left="1134" w:right="0" w:firstLine="0"/>
      <w:spacing w:after="57"/>
    </w:pPr>
  </w:style>
  <w:style w:type="paragraph" w:styleId="737">
    <w:name w:val="toc 3"/>
    <w:basedOn w:val="714"/>
    <w:next w:val="714"/>
    <w:uiPriority w:val="39"/>
    <w:unhideWhenUsed/>
    <w:qFormat/>
    <w:pPr>
      <w:ind w:left="567" w:right="0" w:firstLine="0"/>
      <w:spacing w:after="57"/>
    </w:pPr>
  </w:style>
  <w:style w:type="paragraph" w:styleId="738">
    <w:name w:val="Plain Text"/>
    <w:basedOn w:val="714"/>
    <w:link w:val="930"/>
    <w:uiPriority w:val="0"/>
    <w:qFormat/>
    <w:rPr>
      <w:rFonts w:ascii="宋体" w:hAnsi="Courier New" w:eastAsia="楷体_GB2312"/>
      <w:sz w:val="26"/>
    </w:rPr>
  </w:style>
  <w:style w:type="paragraph" w:styleId="739">
    <w:name w:val="toc 8"/>
    <w:basedOn w:val="714"/>
    <w:next w:val="714"/>
    <w:uiPriority w:val="39"/>
    <w:unhideWhenUsed/>
    <w:qFormat/>
    <w:pPr>
      <w:ind w:left="1984" w:right="0" w:firstLine="0"/>
      <w:spacing w:after="57"/>
    </w:pPr>
  </w:style>
  <w:style w:type="paragraph" w:styleId="740">
    <w:name w:val="Date"/>
    <w:basedOn w:val="714"/>
    <w:next w:val="714"/>
    <w:link w:val="931"/>
    <w:uiPriority w:val="0"/>
    <w:qFormat/>
    <w:rPr>
      <w:b/>
      <w:bCs/>
      <w:spacing w:val="20"/>
      <w:sz w:val="20"/>
    </w:rPr>
  </w:style>
  <w:style w:type="paragraph" w:styleId="741">
    <w:name w:val="endnote text"/>
    <w:basedOn w:val="714"/>
    <w:link w:val="917"/>
    <w:uiPriority w:val="99"/>
    <w:semiHidden/>
    <w:unhideWhenUsed/>
    <w:qFormat/>
    <w:pPr>
      <w:spacing w:after="0" w:line="240" w:lineRule="auto"/>
    </w:pPr>
    <w:rPr>
      <w:sz w:val="20"/>
    </w:rPr>
  </w:style>
  <w:style w:type="paragraph" w:styleId="742">
    <w:name w:val="Balloon Text"/>
    <w:basedOn w:val="714"/>
    <w:link w:val="932"/>
    <w:uiPriority w:val="0"/>
    <w:qFormat/>
    <w:rPr>
      <w:sz w:val="18"/>
      <w:szCs w:val="18"/>
    </w:rPr>
  </w:style>
  <w:style w:type="paragraph" w:styleId="743">
    <w:name w:val="Footer"/>
    <w:basedOn w:val="714"/>
    <w:next w:val="733"/>
    <w:link w:val="933"/>
    <w:uiPriority w:val="99"/>
    <w:qFormat/>
    <w:pPr>
      <w:jc w:val="left"/>
      <w:tabs>
        <w:tab w:val="center" w:pos="4153" w:leader="none"/>
        <w:tab w:val="right" w:pos="8306" w:leader="none"/>
      </w:tabs>
    </w:pPr>
    <w:rPr>
      <w:sz w:val="18"/>
      <w:szCs w:val="18"/>
    </w:rPr>
  </w:style>
  <w:style w:type="paragraph" w:styleId="744">
    <w:name w:val="envelope return"/>
    <w:basedOn w:val="714"/>
    <w:uiPriority w:val="0"/>
    <w:qFormat/>
    <w:rPr>
      <w:rFonts w:ascii="Arial" w:hAnsi="Arial" w:eastAsia="楷体_GB2312"/>
      <w:sz w:val="26"/>
    </w:rPr>
  </w:style>
  <w:style w:type="paragraph" w:styleId="745">
    <w:name w:val="Header"/>
    <w:basedOn w:val="714"/>
    <w:link w:val="934"/>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4"/>
    <w:next w:val="714"/>
    <w:uiPriority w:val="0"/>
    <w:qFormat/>
    <w:pPr>
      <w:jc w:val="left"/>
    </w:pPr>
    <w:rPr>
      <w:rFonts w:eastAsia="楷体_GB2312"/>
      <w:sz w:val="24"/>
      <w:szCs w:val="20"/>
    </w:rPr>
  </w:style>
  <w:style w:type="paragraph" w:styleId="747">
    <w:name w:val="toc 4"/>
    <w:basedOn w:val="714"/>
    <w:next w:val="714"/>
    <w:uiPriority w:val="0"/>
    <w:qFormat/>
    <w:pPr>
      <w:ind w:left="1260"/>
    </w:pPr>
  </w:style>
  <w:style w:type="paragraph" w:styleId="748">
    <w:name w:val="Subtitle"/>
    <w:basedOn w:val="714"/>
    <w:next w:val="714"/>
    <w:link w:val="935"/>
    <w:uiPriority w:val="0"/>
    <w:qFormat/>
    <w:pPr>
      <w:jc w:val="center"/>
      <w:spacing w:before="240" w:after="60" w:line="312" w:lineRule="auto"/>
      <w:outlineLvl w:val="1"/>
    </w:pPr>
    <w:rPr>
      <w:rFonts w:ascii="宋体" w:hAnsi="Courier New" w:eastAsia="楷体_GB2312"/>
      <w:sz w:val="26"/>
      <w:szCs w:val="20"/>
    </w:rPr>
  </w:style>
  <w:style w:type="paragraph" w:styleId="749">
    <w:name w:val="footnote text"/>
    <w:basedOn w:val="715"/>
    <w:next w:val="735"/>
    <w:uiPriority w:val="0"/>
    <w:qFormat/>
    <w:pPr>
      <w:ind w:firstLine="3584"/>
      <w:spacing w:before="0" w:after="0" w:line="360" w:lineRule="auto"/>
    </w:pPr>
  </w:style>
  <w:style w:type="paragraph" w:styleId="750">
    <w:name w:val="toc 6"/>
    <w:basedOn w:val="714"/>
    <w:next w:val="714"/>
    <w:uiPriority w:val="39"/>
    <w:unhideWhenUsed/>
    <w:qFormat/>
    <w:pPr>
      <w:ind w:left="1417" w:right="0" w:firstLine="0"/>
      <w:spacing w:after="57"/>
    </w:pPr>
  </w:style>
  <w:style w:type="paragraph" w:styleId="751">
    <w:name w:val="Body Text Indent 3"/>
    <w:basedOn w:val="714"/>
    <w:link w:val="936"/>
    <w:uiPriority w:val="0"/>
    <w:qFormat/>
    <w:pPr>
      <w:ind w:firstLine="480"/>
      <w:jc w:val="left"/>
      <w:spacing w:line="440" w:lineRule="atLeast"/>
    </w:pPr>
    <w:rPr>
      <w:sz w:val="24"/>
    </w:rPr>
  </w:style>
  <w:style w:type="paragraph" w:styleId="752">
    <w:name w:val="table of figures"/>
    <w:basedOn w:val="714"/>
    <w:next w:val="714"/>
    <w:uiPriority w:val="99"/>
    <w:unhideWhenUsed/>
    <w:qFormat/>
    <w:pPr>
      <w:spacing w:after="0" w:afterAutospacing="0"/>
    </w:pPr>
  </w:style>
  <w:style w:type="paragraph" w:styleId="753">
    <w:name w:val="toc 2"/>
    <w:basedOn w:val="714"/>
    <w:next w:val="714"/>
    <w:uiPriority w:val="39"/>
    <w:unhideWhenUsed/>
    <w:qFormat/>
    <w:pPr>
      <w:ind w:left="283" w:right="0" w:firstLine="0"/>
      <w:spacing w:after="57"/>
    </w:pPr>
  </w:style>
  <w:style w:type="paragraph" w:styleId="754">
    <w:name w:val="toc 9"/>
    <w:basedOn w:val="714"/>
    <w:next w:val="714"/>
    <w:uiPriority w:val="39"/>
    <w:unhideWhenUsed/>
    <w:qFormat/>
    <w:pPr>
      <w:ind w:left="2268" w:right="0" w:firstLine="0"/>
      <w:spacing w:after="57"/>
    </w:pPr>
  </w:style>
  <w:style w:type="paragraph" w:styleId="755">
    <w:name w:val="Normal (Web)"/>
    <w:basedOn w:val="714"/>
    <w:uiPriority w:val="99"/>
    <w:qFormat/>
    <w:pPr>
      <w:jc w:val="left"/>
      <w:spacing w:beforeAutospacing="1" w:afterAutospacing="1"/>
    </w:pPr>
    <w:rPr>
      <w:sz w:val="24"/>
    </w:rPr>
  </w:style>
  <w:style w:type="paragraph" w:styleId="756">
    <w:name w:val="Title"/>
    <w:basedOn w:val="714"/>
    <w:next w:val="714"/>
    <w:link w:val="782"/>
    <w:uiPriority w:val="10"/>
    <w:qFormat/>
    <w:pPr>
      <w:contextualSpacing/>
      <w:spacing w:before="300" w:after="200"/>
    </w:pPr>
    <w:rPr>
      <w:sz w:val="48"/>
      <w:szCs w:val="48"/>
    </w:rPr>
  </w:style>
  <w:style w:type="paragraph" w:styleId="757">
    <w:name w:val="Body Text First Indent"/>
    <w:basedOn w:val="733"/>
    <w:next w:val="714"/>
    <w:uiPriority w:val="0"/>
    <w:qFormat/>
    <w:pPr>
      <w:ind w:firstLine="420"/>
    </w:pPr>
  </w:style>
  <w:style w:type="paragraph" w:styleId="758">
    <w:name w:val="Body Text First Indent 2"/>
    <w:basedOn w:val="734"/>
    <w:uiPriority w:val="0"/>
    <w:qFormat/>
    <w:pPr>
      <w:ind w:left="420" w:firstLine="210"/>
      <w:spacing w:after="120" w:line="240" w:lineRule="auto"/>
    </w:pPr>
    <w:rPr>
      <w:rFonts w:eastAsia="仿宋_GB2312"/>
      <w:sz w:val="30"/>
    </w:rPr>
  </w:style>
  <w:style w:type="table" w:styleId="759">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0"/>
    <w:qFormat/>
    <w:rPr>
      <w:rFonts w:ascii="Calibri" w:hAnsi="Calibri" w:eastAsia="宋体" w:cs="Times New Roman"/>
      <w:b/>
    </w:rPr>
  </w:style>
  <w:style w:type="character" w:styleId="761">
    <w:name w:val="endnote reference"/>
    <w:basedOn w:val="724"/>
    <w:uiPriority w:val="99"/>
    <w:semiHidden/>
    <w:unhideWhenUsed/>
    <w:qFormat/>
    <w:rPr>
      <w:vertAlign w:val="superscript"/>
    </w:rPr>
  </w:style>
  <w:style w:type="character" w:styleId="762">
    <w:name w:val="FollowedHyperlink"/>
    <w:uiPriority w:val="0"/>
    <w:qFormat/>
    <w:rPr>
      <w:color w:val="337ab7"/>
      <w:u w:val="none"/>
    </w:rPr>
  </w:style>
  <w:style w:type="character" w:styleId="763">
    <w:name w:val="Emphasis"/>
    <w:uiPriority w:val="0"/>
    <w:qFormat/>
    <w:rPr>
      <w:i/>
    </w:rPr>
  </w:style>
  <w:style w:type="character" w:styleId="764">
    <w:name w:val="HTML Definition"/>
    <w:uiPriority w:val="0"/>
    <w:qFormat/>
    <w:rPr>
      <w:i/>
    </w:rPr>
  </w:style>
  <w:style w:type="character" w:styleId="765">
    <w:name w:val="Hyperlink"/>
    <w:basedOn w:val="724"/>
    <w:uiPriority w:val="0"/>
    <w:qFormat/>
    <w:rPr>
      <w:color w:val="337ab7"/>
      <w:u w:val="none"/>
    </w:rPr>
  </w:style>
  <w:style w:type="character" w:styleId="766">
    <w:name w:val="HTML Code"/>
    <w:uiPriority w:val="0"/>
    <w:qFormat/>
    <w:rPr>
      <w:rFonts w:hint="default" w:ascii="Consolas" w:hAnsi="Consolas" w:eastAsia="Consolas" w:cs="Consolas"/>
      <w:color w:val="c7254e"/>
      <w:sz w:val="21"/>
      <w:szCs w:val="21"/>
      <w:shd w:val="clear" w:color="auto" w:fill="f9f2f4"/>
    </w:rPr>
  </w:style>
  <w:style w:type="character" w:styleId="767">
    <w:name w:val="annotation reference"/>
    <w:uiPriority w:val="0"/>
    <w:qFormat/>
    <w:rPr>
      <w:rFonts w:ascii="Calibri" w:hAnsi="Calibri" w:eastAsia="宋体" w:cs="Times New Roman"/>
      <w:sz w:val="21"/>
      <w:szCs w:val="21"/>
    </w:rPr>
  </w:style>
  <w:style w:type="character" w:styleId="768">
    <w:name w:val="footnote reference"/>
    <w:basedOn w:val="724"/>
    <w:uiPriority w:val="99"/>
    <w:unhideWhenUsed/>
    <w:qFormat/>
    <w:rPr>
      <w:vertAlign w:val="superscript"/>
    </w:rPr>
  </w:style>
  <w:style w:type="character" w:styleId="769">
    <w:name w:val="HTML Keyboard"/>
    <w:uiPriority w:val="0"/>
    <w:qFormat/>
    <w:rPr>
      <w:rFonts w:ascii="Consolas" w:hAnsi="Consolas" w:eastAsia="Consolas" w:cs="Consolas"/>
      <w:color w:val="ffffff"/>
      <w:sz w:val="21"/>
      <w:szCs w:val="21"/>
      <w:shd w:val="clear" w:color="auto" w:fill="333333"/>
    </w:rPr>
  </w:style>
  <w:style w:type="character" w:styleId="770">
    <w:name w:val="HTML Sample"/>
    <w:uiPriority w:val="0"/>
    <w:qFormat/>
    <w:rPr>
      <w:rFonts w:hint="default" w:ascii="Consolas" w:hAnsi="Consolas" w:eastAsia="Consolas" w:cs="Consolas"/>
      <w:sz w:val="21"/>
      <w:szCs w:val="21"/>
    </w:rPr>
  </w:style>
  <w:style w:type="paragraph" w:styleId="771" w:customStyle="1">
    <w:name w:val="正文文本缩进11"/>
    <w:basedOn w:val="714"/>
    <w:next w:val="714"/>
    <w:uiPriority w:val="0"/>
    <w:qFormat/>
    <w:pPr>
      <w:ind w:left="420"/>
      <w:spacing w:after="120"/>
    </w:pPr>
  </w:style>
  <w:style w:type="character" w:styleId="772" w:customStyle="1">
    <w:name w:val="Heading 1 Char"/>
    <w:basedOn w:val="724"/>
    <w:uiPriority w:val="9"/>
    <w:qFormat/>
    <w:rPr>
      <w:rFonts w:ascii="Arial" w:hAnsi="Arial" w:eastAsia="Arial" w:cs="Arial"/>
      <w:sz w:val="40"/>
      <w:szCs w:val="40"/>
    </w:rPr>
  </w:style>
  <w:style w:type="character" w:styleId="773" w:customStyle="1">
    <w:name w:val="Heading 2 Char"/>
    <w:basedOn w:val="724"/>
    <w:uiPriority w:val="9"/>
    <w:qFormat/>
    <w:rPr>
      <w:rFonts w:ascii="Arial" w:hAnsi="Arial" w:eastAsia="Arial" w:cs="Arial"/>
      <w:sz w:val="34"/>
    </w:rPr>
  </w:style>
  <w:style w:type="character" w:styleId="774" w:customStyle="1">
    <w:name w:val="Heading 3 Char"/>
    <w:basedOn w:val="724"/>
    <w:uiPriority w:val="9"/>
    <w:qFormat/>
    <w:rPr>
      <w:rFonts w:ascii="Arial" w:hAnsi="Arial" w:eastAsia="Arial" w:cs="Arial"/>
      <w:sz w:val="30"/>
      <w:szCs w:val="30"/>
    </w:rPr>
  </w:style>
  <w:style w:type="character" w:styleId="775" w:customStyle="1">
    <w:name w:val="Heading 4 Char"/>
    <w:basedOn w:val="724"/>
    <w:uiPriority w:val="9"/>
    <w:qFormat/>
    <w:rPr>
      <w:rFonts w:ascii="Arial" w:hAnsi="Arial" w:eastAsia="Arial" w:cs="Arial"/>
      <w:b/>
      <w:bCs/>
      <w:sz w:val="26"/>
      <w:szCs w:val="26"/>
    </w:rPr>
  </w:style>
  <w:style w:type="character" w:styleId="776" w:customStyle="1">
    <w:name w:val="Heading 5 Char"/>
    <w:basedOn w:val="724"/>
    <w:uiPriority w:val="9"/>
    <w:qFormat/>
    <w:rPr>
      <w:rFonts w:ascii="Arial" w:hAnsi="Arial" w:eastAsia="Arial" w:cs="Arial"/>
      <w:b/>
      <w:bCs/>
      <w:sz w:val="24"/>
      <w:szCs w:val="24"/>
    </w:rPr>
  </w:style>
  <w:style w:type="character" w:styleId="777" w:customStyle="1">
    <w:name w:val="Heading 6 Char"/>
    <w:basedOn w:val="724"/>
    <w:uiPriority w:val="9"/>
    <w:qFormat/>
    <w:rPr>
      <w:rFonts w:ascii="Arial" w:hAnsi="Arial" w:eastAsia="Arial" w:cs="Arial"/>
      <w:b/>
      <w:bCs/>
      <w:sz w:val="22"/>
      <w:szCs w:val="22"/>
    </w:rPr>
  </w:style>
  <w:style w:type="character" w:styleId="778" w:customStyle="1">
    <w:name w:val="Heading 7 Char"/>
    <w:basedOn w:val="724"/>
    <w:link w:val="721"/>
    <w:uiPriority w:val="9"/>
    <w:qFormat/>
    <w:rPr>
      <w:rFonts w:ascii="Arial" w:hAnsi="Arial" w:eastAsia="Arial" w:cs="Arial"/>
      <w:b/>
      <w:bCs/>
      <w:i/>
      <w:iCs/>
      <w:sz w:val="22"/>
      <w:szCs w:val="22"/>
    </w:rPr>
  </w:style>
  <w:style w:type="character" w:styleId="779" w:customStyle="1">
    <w:name w:val="Heading 8 Char"/>
    <w:basedOn w:val="724"/>
    <w:link w:val="722"/>
    <w:uiPriority w:val="9"/>
    <w:qFormat/>
    <w:rPr>
      <w:rFonts w:ascii="Arial" w:hAnsi="Arial" w:eastAsia="Arial" w:cs="Arial"/>
      <w:i/>
      <w:iCs/>
      <w:sz w:val="22"/>
      <w:szCs w:val="22"/>
    </w:rPr>
  </w:style>
  <w:style w:type="character" w:styleId="780" w:customStyle="1">
    <w:name w:val="Heading 9 Char"/>
    <w:basedOn w:val="724"/>
    <w:link w:val="723"/>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basedOn w:val="724"/>
    <w:link w:val="756"/>
    <w:uiPriority w:val="10"/>
    <w:qFormat/>
    <w:rPr>
      <w:sz w:val="48"/>
      <w:szCs w:val="48"/>
    </w:rPr>
  </w:style>
  <w:style w:type="character" w:styleId="783" w:customStyle="1">
    <w:name w:val="Subtitle Char"/>
    <w:basedOn w:val="724"/>
    <w:uiPriority w:val="11"/>
    <w:qFormat/>
    <w:rPr>
      <w:sz w:val="24"/>
      <w:szCs w:val="24"/>
    </w:rPr>
  </w:style>
  <w:style w:type="paragraph" w:styleId="784">
    <w:name w:val="Quote"/>
    <w:basedOn w:val="714"/>
    <w:next w:val="714"/>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14"/>
    <w:next w:val="714"/>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24"/>
    <w:uiPriority w:val="99"/>
    <w:qFormat/>
  </w:style>
  <w:style w:type="character" w:styleId="789" w:customStyle="1">
    <w:name w:val="Footer Char"/>
    <w:basedOn w:val="724"/>
    <w:uiPriority w:val="99"/>
    <w:qFormat/>
  </w:style>
  <w:style w:type="character" w:styleId="790" w:customStyle="1">
    <w:name w:val="Caption Char"/>
    <w:uiPriority w:val="99"/>
    <w:qFormat/>
  </w:style>
  <w:style w:type="table" w:styleId="791"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0"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1"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3" w:customStyle="1">
    <w:name w:val="Grid Table 4 - Accent 5"/>
    <w:basedOn w:val="7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6"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8" w:customStyle="1">
    <w:name w:val="List Table 2 - Accent 5"/>
    <w:basedOn w:val="7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7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7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Bordered &amp; Lined - Accent 5"/>
    <w:basedOn w:val="7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2"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4" w:customStyle="1">
    <w:name w:val="Bordered - Accent 5"/>
    <w:basedOn w:val="7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5"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Footnote Text Char"/>
    <w:uiPriority w:val="99"/>
    <w:qFormat/>
    <w:rPr>
      <w:sz w:val="18"/>
    </w:rPr>
  </w:style>
  <w:style w:type="character" w:styleId="917" w:customStyle="1">
    <w:name w:val="Endnote Text Char"/>
    <w:link w:val="741"/>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段"/>
    <w:next w:val="714"/>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paragraph" w:styleId="920" w:customStyle="1">
    <w:name w:val="首行缩进"/>
    <w:basedOn w:val="714"/>
    <w:uiPriority w:val="99"/>
    <w:qFormat/>
    <w:pPr>
      <w:ind w:firstLine="480"/>
    </w:pPr>
    <w:rPr>
      <w:szCs w:val="20"/>
      <w:lang w:val="zh-CN"/>
    </w:rPr>
  </w:style>
  <w:style w:type="character" w:styleId="921" w:customStyle="1">
    <w:name w:val="正文文本缩进 Char"/>
    <w:basedOn w:val="724"/>
    <w:link w:val="734"/>
    <w:uiPriority w:val="0"/>
    <w:qFormat/>
    <w:rPr>
      <w:rFonts w:ascii="Times New Roman" w:hAnsi="Times New Roman" w:eastAsia="宋体" w:cs="Times New Roman"/>
      <w:sz w:val="24"/>
      <w:szCs w:val="24"/>
    </w:rPr>
  </w:style>
  <w:style w:type="character" w:styleId="922" w:customStyle="1">
    <w:name w:val="标题 1 Char"/>
    <w:basedOn w:val="724"/>
    <w:link w:val="715"/>
    <w:uiPriority w:val="0"/>
    <w:qFormat/>
    <w:rPr>
      <w:rFonts w:ascii="Times New Roman" w:hAnsi="Times New Roman" w:eastAsia="宋体" w:cs="Times New Roman"/>
      <w:b/>
      <w:bCs/>
      <w:sz w:val="44"/>
      <w:szCs w:val="44"/>
    </w:rPr>
  </w:style>
  <w:style w:type="character" w:styleId="923" w:customStyle="1">
    <w:name w:val="标题 2 Char"/>
    <w:basedOn w:val="724"/>
    <w:link w:val="716"/>
    <w:uiPriority w:val="0"/>
    <w:qFormat/>
    <w:rPr>
      <w:rFonts w:ascii="Cambria" w:hAnsi="Cambria" w:eastAsia="宋体" w:cs="Times New Roman"/>
      <w:b/>
      <w:bCs/>
      <w:sz w:val="32"/>
      <w:szCs w:val="32"/>
    </w:rPr>
  </w:style>
  <w:style w:type="character" w:styleId="924" w:customStyle="1">
    <w:name w:val="正文缩进 Char"/>
    <w:link w:val="726"/>
    <w:uiPriority w:val="0"/>
    <w:qFormat/>
    <w:rPr>
      <w:rFonts w:ascii="Times New Roman" w:hAnsi="Times New Roman" w:eastAsia="楷体_GB2312" w:cs="Times New Roman"/>
      <w:sz w:val="24"/>
      <w:szCs w:val="20"/>
    </w:rPr>
  </w:style>
  <w:style w:type="character" w:styleId="925" w:customStyle="1">
    <w:name w:val="标题 3 Char"/>
    <w:basedOn w:val="724"/>
    <w:link w:val="717"/>
    <w:uiPriority w:val="0"/>
    <w:qFormat/>
    <w:rPr>
      <w:rFonts w:ascii="Times New Roman" w:hAnsi="Times New Roman" w:eastAsia="宋体" w:cs="Times New Roman"/>
      <w:b/>
      <w:sz w:val="32"/>
      <w:szCs w:val="20"/>
    </w:rPr>
  </w:style>
  <w:style w:type="character" w:styleId="926" w:customStyle="1">
    <w:name w:val="标题 5 Char"/>
    <w:basedOn w:val="724"/>
    <w:link w:val="719"/>
    <w:uiPriority w:val="0"/>
    <w:qFormat/>
    <w:rPr>
      <w:rFonts w:ascii="Times New Roman" w:hAnsi="Times New Roman" w:eastAsia="宋体" w:cs="Times New Roman"/>
      <w:b/>
      <w:bCs/>
      <w:sz w:val="28"/>
      <w:szCs w:val="28"/>
    </w:rPr>
  </w:style>
  <w:style w:type="character" w:styleId="927" w:customStyle="1">
    <w:name w:val="标题 6 Char"/>
    <w:basedOn w:val="724"/>
    <w:link w:val="720"/>
    <w:uiPriority w:val="9"/>
    <w:qFormat/>
    <w:rPr>
      <w:rFonts w:ascii="Arial" w:hAnsi="Arial" w:eastAsia="宋体" w:cs="Times New Roman"/>
      <w:bCs/>
      <w:sz w:val="24"/>
      <w:szCs w:val="24"/>
    </w:rPr>
  </w:style>
  <w:style w:type="character" w:styleId="928" w:customStyle="1">
    <w:name w:val="批注文字 Char"/>
    <w:basedOn w:val="724"/>
    <w:link w:val="732"/>
    <w:uiPriority w:val="0"/>
    <w:qFormat/>
    <w:rPr>
      <w:rFonts w:ascii="Times New Roman" w:hAnsi="Times New Roman" w:eastAsia="宋体" w:cs="Times New Roman"/>
      <w:szCs w:val="24"/>
    </w:rPr>
  </w:style>
  <w:style w:type="character" w:styleId="929" w:customStyle="1">
    <w:name w:val="正文文本 Char1"/>
    <w:basedOn w:val="724"/>
    <w:link w:val="733"/>
    <w:uiPriority w:val="99"/>
    <w:qFormat/>
    <w:rPr>
      <w:rFonts w:ascii="Times New Roman" w:hAnsi="Times New Roman" w:eastAsia="宋体" w:cs="Times New Roman"/>
      <w:sz w:val="20"/>
      <w:szCs w:val="24"/>
    </w:rPr>
  </w:style>
  <w:style w:type="character" w:styleId="930" w:customStyle="1">
    <w:name w:val="纯文本 Char1"/>
    <w:basedOn w:val="724"/>
    <w:link w:val="738"/>
    <w:uiPriority w:val="0"/>
    <w:qFormat/>
    <w:rPr>
      <w:rFonts w:ascii="宋体" w:hAnsi="Courier New" w:eastAsia="楷体_GB2312" w:cs="Times New Roman"/>
      <w:sz w:val="26"/>
      <w:szCs w:val="24"/>
    </w:rPr>
  </w:style>
  <w:style w:type="character" w:styleId="931" w:customStyle="1">
    <w:name w:val="日期 Char"/>
    <w:basedOn w:val="724"/>
    <w:link w:val="740"/>
    <w:uiPriority w:val="0"/>
    <w:qFormat/>
    <w:rPr>
      <w:rFonts w:ascii="Times New Roman" w:hAnsi="Times New Roman" w:eastAsia="宋体" w:cs="Times New Roman"/>
      <w:b/>
      <w:bCs/>
      <w:spacing w:val="20"/>
      <w:sz w:val="20"/>
      <w:szCs w:val="24"/>
    </w:rPr>
  </w:style>
  <w:style w:type="character" w:styleId="932" w:customStyle="1">
    <w:name w:val="批注框文本 Char"/>
    <w:basedOn w:val="724"/>
    <w:link w:val="742"/>
    <w:uiPriority w:val="0"/>
    <w:qFormat/>
    <w:rPr>
      <w:rFonts w:ascii="Times New Roman" w:hAnsi="Times New Roman" w:eastAsia="宋体" w:cs="Times New Roman"/>
      <w:sz w:val="18"/>
      <w:szCs w:val="18"/>
    </w:rPr>
  </w:style>
  <w:style w:type="character" w:styleId="933" w:customStyle="1">
    <w:name w:val="页脚 Char"/>
    <w:basedOn w:val="724"/>
    <w:link w:val="743"/>
    <w:uiPriority w:val="99"/>
    <w:qFormat/>
    <w:rPr>
      <w:rFonts w:ascii="Times New Roman" w:hAnsi="Times New Roman" w:eastAsia="宋体" w:cs="Times New Roman"/>
      <w:sz w:val="18"/>
      <w:szCs w:val="18"/>
    </w:rPr>
  </w:style>
  <w:style w:type="character" w:styleId="934" w:customStyle="1">
    <w:name w:val="页眉 Char"/>
    <w:basedOn w:val="724"/>
    <w:link w:val="745"/>
    <w:uiPriority w:val="0"/>
    <w:qFormat/>
    <w:rPr>
      <w:rFonts w:ascii="Times New Roman" w:hAnsi="Times New Roman" w:eastAsia="宋体" w:cs="Times New Roman"/>
      <w:sz w:val="18"/>
      <w:szCs w:val="18"/>
    </w:rPr>
  </w:style>
  <w:style w:type="character" w:styleId="935" w:customStyle="1">
    <w:name w:val="副标题 Char"/>
    <w:basedOn w:val="724"/>
    <w:link w:val="748"/>
    <w:uiPriority w:val="0"/>
    <w:qFormat/>
    <w:rPr>
      <w:rFonts w:ascii="宋体" w:hAnsi="Courier New" w:eastAsia="楷体_GB2312" w:cs="Times New Roman"/>
      <w:sz w:val="26"/>
      <w:szCs w:val="20"/>
    </w:rPr>
  </w:style>
  <w:style w:type="character" w:styleId="936" w:customStyle="1">
    <w:name w:val="正文文本缩进 3 Char"/>
    <w:basedOn w:val="724"/>
    <w:link w:val="751"/>
    <w:uiPriority w:val="0"/>
    <w:qFormat/>
    <w:rPr>
      <w:rFonts w:ascii="Times New Roman" w:hAnsi="Times New Roman" w:eastAsia="宋体" w:cs="Times New Roman"/>
      <w:sz w:val="24"/>
      <w:szCs w:val="24"/>
    </w:rPr>
  </w:style>
  <w:style w:type="character" w:styleId="937" w:customStyle="1">
    <w:name w:val="批注主题 Char"/>
    <w:basedOn w:val="928"/>
    <w:link w:val="731"/>
    <w:uiPriority w:val="0"/>
    <w:qFormat/>
    <w:rPr>
      <w:rFonts w:ascii="Times New Roman" w:hAnsi="Times New Roman" w:eastAsia="宋体" w:cs="Times New Roman"/>
      <w:b/>
      <w:bCs/>
      <w:szCs w:val="24"/>
    </w:rPr>
  </w:style>
  <w:style w:type="character" w:styleId="938" w:customStyle="1">
    <w:name w:val="hover14"/>
    <w:uiPriority w:val="0"/>
    <w:qFormat/>
    <w:rPr>
      <w:shd w:val="clear" w:color="auto" w:fill="eeeeee"/>
    </w:rPr>
  </w:style>
  <w:style w:type="character" w:styleId="939" w:customStyle="1">
    <w:name w:val="hour_pm"/>
    <w:uiPriority w:val="0"/>
    <w:qFormat/>
  </w:style>
  <w:style w:type="character" w:styleId="940" w:customStyle="1">
    <w:name w:val="first-child"/>
    <w:uiPriority w:val="0"/>
    <w:qFormat/>
  </w:style>
  <w:style w:type="character" w:styleId="941" w:customStyle="1">
    <w:name w:val="正文文本 Char"/>
    <w:uiPriority w:val="99"/>
    <w:qFormat/>
    <w:rPr>
      <w:rFonts w:ascii="Calibri" w:hAnsi="Calibri" w:eastAsia="宋体" w:cs="Times New Roman"/>
      <w:szCs w:val="24"/>
    </w:rPr>
  </w:style>
  <w:style w:type="character" w:styleId="942" w:customStyle="1">
    <w:name w:val="font81"/>
    <w:uiPriority w:val="0"/>
    <w:qFormat/>
    <w:rPr>
      <w:rFonts w:hint="eastAsia" w:ascii="宋体" w:hAnsi="宋体" w:eastAsia="宋体" w:cs="宋体"/>
      <w:b/>
      <w:color w:val="000000"/>
      <w:sz w:val="22"/>
      <w:szCs w:val="22"/>
      <w:u w:val="none"/>
    </w:rPr>
  </w:style>
  <w:style w:type="character" w:styleId="943" w:customStyle="1">
    <w:name w:val="日期 Char1"/>
    <w:uiPriority w:val="0"/>
    <w:qFormat/>
    <w:rPr>
      <w:rFonts w:ascii="Calibri" w:hAnsi="Calibri" w:eastAsia="宋体" w:cs="Times New Roman"/>
      <w:szCs w:val="24"/>
    </w:rPr>
  </w:style>
  <w:style w:type="character" w:styleId="944" w:customStyle="1">
    <w:name w:val="hover13"/>
    <w:uiPriority w:val="0"/>
    <w:qFormat/>
    <w:rPr>
      <w:shd w:val="clear" w:color="auto" w:fill="eeeeee"/>
    </w:rPr>
  </w:style>
  <w:style w:type="character" w:styleId="945" w:customStyle="1">
    <w:name w:val="font71"/>
    <w:uiPriority w:val="0"/>
    <w:qFormat/>
    <w:rPr>
      <w:rFonts w:hint="eastAsia" w:ascii="宋体" w:hAnsi="宋体" w:eastAsia="宋体" w:cs="宋体"/>
      <w:b/>
      <w:color w:val="000000"/>
      <w:sz w:val="22"/>
      <w:szCs w:val="22"/>
      <w:u w:val="none"/>
      <w:vertAlign w:val="superscript"/>
    </w:rPr>
  </w:style>
  <w:style w:type="character" w:styleId="946" w:customStyle="1">
    <w:name w:val="纯文本 Char"/>
    <w:uiPriority w:val="0"/>
    <w:qFormat/>
    <w:rPr>
      <w:rFonts w:ascii="宋体" w:hAnsi="Courier New" w:eastAsia="宋体" w:cs="Courier New"/>
      <w:szCs w:val="21"/>
    </w:rPr>
  </w:style>
  <w:style w:type="character" w:styleId="947" w:customStyle="1">
    <w:name w:val="select2-selection__rendered"/>
    <w:uiPriority w:val="0"/>
    <w:qFormat/>
    <w:rPr>
      <w:sz w:val="18"/>
      <w:szCs w:val="18"/>
    </w:rPr>
  </w:style>
  <w:style w:type="character" w:styleId="948" w:customStyle="1">
    <w:name w:val="first-child1"/>
    <w:uiPriority w:val="0"/>
    <w:qFormat/>
  </w:style>
  <w:style w:type="character" w:styleId="949" w:customStyle="1">
    <w:name w:val="old"/>
    <w:uiPriority w:val="0"/>
    <w:qFormat/>
    <w:rPr>
      <w:color w:val="999999"/>
    </w:rPr>
  </w:style>
  <w:style w:type="character" w:styleId="950" w:customStyle="1">
    <w:name w:val="time"/>
    <w:uiPriority w:val="0"/>
    <w:qFormat/>
    <w:rPr>
      <w:rFonts w:ascii="Arial" w:hAnsi="Arial" w:cs="Arial"/>
    </w:rPr>
  </w:style>
  <w:style w:type="character" w:styleId="951" w:customStyle="1">
    <w:name w:val="Plain Text Char"/>
    <w:link w:val="952"/>
    <w:uiPriority w:val="0"/>
    <w:qFormat/>
    <w:rPr>
      <w:rFonts w:ascii="宋体" w:hAnsi="Courier New" w:eastAsia="楷体_GB2312" w:cs="Times New Roman"/>
      <w:sz w:val="26"/>
    </w:rPr>
  </w:style>
  <w:style w:type="paragraph" w:styleId="952" w:customStyle="1">
    <w:name w:val="纯文本3"/>
    <w:basedOn w:val="714"/>
    <w:link w:val="951"/>
    <w:uiPriority w:val="0"/>
    <w:qFormat/>
    <w:rPr>
      <w:rFonts w:ascii="宋体" w:hAnsi="Courier New" w:eastAsia="楷体_GB2312"/>
      <w:sz w:val="26"/>
      <w:szCs w:val="22"/>
    </w:rPr>
  </w:style>
  <w:style w:type="character" w:styleId="953" w:customStyle="1">
    <w:name w:val="hour_am"/>
    <w:uiPriority w:val="0"/>
    <w:qFormat/>
  </w:style>
  <w:style w:type="character" w:styleId="954" w:customStyle="1">
    <w:name w:val="NormalCharacter"/>
    <w:uiPriority w:val="0"/>
    <w:semiHidden/>
    <w:qFormat/>
    <w:rPr>
      <w:rFonts w:ascii="Times New Roman" w:hAnsi="Times New Roman" w:eastAsia="宋体" w:cs="Times New Roman"/>
    </w:rPr>
  </w:style>
  <w:style w:type="paragraph" w:styleId="955" w:customStyle="1">
    <w:name w:val="纯文本2"/>
    <w:basedOn w:val="714"/>
    <w:uiPriority w:val="0"/>
    <w:qFormat/>
    <w:rPr>
      <w:rFonts w:ascii="宋体" w:hAnsi="Courier New"/>
    </w:rPr>
  </w:style>
  <w:style w:type="paragraph" w:styleId="956" w:customStyle="1">
    <w:name w:val="文本正文"/>
    <w:basedOn w:val="714"/>
    <w:uiPriority w:val="0"/>
    <w:qFormat/>
    <w:pPr>
      <w:ind w:firstLine="560"/>
      <w:jc w:val="left"/>
      <w:spacing w:line="360" w:lineRule="auto"/>
    </w:pPr>
    <w:rPr>
      <w:sz w:val="28"/>
      <w:szCs w:val="28"/>
    </w:rPr>
  </w:style>
  <w:style w:type="paragraph" w:styleId="957" w:customStyle="1">
    <w:name w:val="Plain Text1"/>
    <w:basedOn w:val="714"/>
    <w:uiPriority w:val="0"/>
    <w:qFormat/>
    <w:pPr>
      <w:jc w:val="left"/>
      <w:widowControl/>
    </w:pPr>
    <w:rPr>
      <w:rFonts w:ascii="宋体" w:hAnsi="Courier New" w:eastAsia="楷体_GB2312"/>
      <w:sz w:val="26"/>
      <w:szCs w:val="20"/>
    </w:rPr>
  </w:style>
  <w:style w:type="paragraph" w:styleId="958" w:customStyle="1">
    <w:name w:val="纯文本4"/>
    <w:basedOn w:val="714"/>
    <w:uiPriority w:val="0"/>
    <w:qFormat/>
    <w:rPr>
      <w:rFonts w:ascii="宋体" w:hAnsi="Courier New" w:eastAsia="楷体_GB2312"/>
      <w:sz w:val="26"/>
      <w:szCs w:val="20"/>
    </w:rPr>
  </w:style>
  <w:style w:type="paragraph" w:styleId="959" w:customStyle="1">
    <w:name w:val="Default"/>
    <w:uiPriority w:val="0"/>
    <w:qFormat/>
    <w:pPr>
      <w:widowControl w:val="off"/>
    </w:pPr>
    <w:rPr>
      <w:rFonts w:hint="default" w:ascii="宋体" w:hAnsi="Times New Roman" w:eastAsia="宋体" w:cs="Times New Roman"/>
      <w:color w:val="000000"/>
      <w:sz w:val="24"/>
      <w:szCs w:val="24"/>
    </w:rPr>
  </w:style>
  <w:style w:type="paragraph" w:styleId="960">
    <w:name w:val="List Paragraph"/>
    <w:basedOn w:val="714"/>
    <w:uiPriority w:val="99"/>
    <w:qFormat/>
    <w:pPr>
      <w:ind w:firstLine="420"/>
    </w:pPr>
  </w:style>
  <w:style w:type="paragraph" w:styleId="961" w:customStyle="1">
    <w:name w:val="纯文本1"/>
    <w:basedOn w:val="714"/>
    <w:uiPriority w:val="0"/>
    <w:qFormat/>
    <w:rPr>
      <w:rFonts w:ascii="宋体" w:hAnsi="Courier New" w:eastAsia="楷体_GB2312"/>
      <w:sz w:val="28"/>
      <w:szCs w:val="20"/>
    </w:rPr>
  </w:style>
  <w:style w:type="paragraph" w:styleId="962" w:customStyle="1">
    <w:name w:val="修订1"/>
    <w:uiPriority w:val="99"/>
    <w:unhideWhenUsed/>
    <w:qFormat/>
    <w:rPr>
      <w:rFonts w:hint="default" w:ascii="Times New Roman" w:hAnsi="Times New Roman" w:eastAsia="宋体" w:cs="Times New Roman"/>
      <w:sz w:val="21"/>
      <w:szCs w:val="24"/>
    </w:rPr>
  </w:style>
  <w:style w:type="paragraph" w:styleId="963" w:customStyle="1">
    <w:name w:val="纯文本5"/>
    <w:basedOn w:val="714"/>
    <w:uiPriority w:val="0"/>
    <w:qFormat/>
    <w:rPr>
      <w:rFonts w:ascii="宋体" w:hAnsi="Courier New" w:eastAsia="楷体_GB2312"/>
      <w:sz w:val="26"/>
      <w:szCs w:val="20"/>
    </w:rPr>
  </w:style>
  <w:style w:type="paragraph" w:styleId="964" w:customStyle="1">
    <w:name w:val="纯文本6"/>
    <w:basedOn w:val="714"/>
    <w:uiPriority w:val="0"/>
    <w:qFormat/>
    <w:rPr>
      <w:rFonts w:ascii="宋体" w:hAnsi="Courier New" w:eastAsia="楷体_GB2312"/>
      <w:sz w:val="26"/>
      <w:szCs w:val="20"/>
    </w:rPr>
  </w:style>
  <w:style w:type="character" w:styleId="965" w:customStyle="1">
    <w:name w:val="font21"/>
    <w:basedOn w:val="724"/>
    <w:uiPriority w:val="0"/>
    <w:qFormat/>
    <w:rPr>
      <w:rFonts w:hint="eastAsia" w:ascii="宋体" w:hAnsi="宋体" w:eastAsia="宋体" w:cs="宋体"/>
      <w:color w:val="000000"/>
      <w:sz w:val="22"/>
      <w:szCs w:val="22"/>
      <w:u w:val="none"/>
    </w:rPr>
  </w:style>
  <w:style w:type="paragraph" w:styleId="966" w:customStyle="1">
    <w:name w:val="正文1"/>
    <w:basedOn w:val="714"/>
    <w:uiPriority w:val="0"/>
    <w:qFormat/>
    <w:rPr>
      <w:rFonts w:ascii="宋体" w:hAnsi="宋体" w:cs="宋体"/>
      <w:sz w:val="24"/>
      <w:szCs w:val="20"/>
      <w:lang w:eastAsia="en-US"/>
    </w:rPr>
  </w:style>
  <w:style w:type="paragraph" w:styleId="967" w:customStyle="1">
    <w:name w:val="Table Paragraph"/>
    <w:basedOn w:val="714"/>
    <w:uiPriority w:val="1"/>
    <w:qFormat/>
    <w:rPr>
      <w:rFonts w:ascii="宋体" w:hAnsi="宋体" w:cs="宋体"/>
      <w:lang w:val="zh-CN" w:bidi="zh-CN"/>
    </w:rPr>
  </w:style>
  <w:style w:type="paragraph" w:styleId="968" w:customStyle="1">
    <w:name w:val="Andy_3级"/>
    <w:basedOn w:val="714"/>
    <w:uiPriority w:val="0"/>
    <w:qFormat/>
    <w:pPr>
      <w:ind w:firstLine="510"/>
      <w:spacing w:line="360" w:lineRule="auto"/>
    </w:pPr>
    <w:rPr>
      <w:rFonts w:ascii="Calibri" w:hAnsi="Calibri"/>
      <w:sz w:val="24"/>
    </w:rPr>
  </w:style>
  <w:style w:type="character" w:styleId="969" w:customStyle="1">
    <w:name w:val="font51"/>
    <w:basedOn w:val="724"/>
    <w:uiPriority w:val="0"/>
    <w:qFormat/>
    <w:rPr>
      <w:rFonts w:hint="eastAsia" w:ascii="宋体" w:hAnsi="宋体" w:eastAsia="宋体" w:cs="宋体"/>
      <w:color w:val="000000"/>
      <w:sz w:val="22"/>
      <w:szCs w:val="22"/>
      <w:u w:val="none"/>
    </w:rPr>
  </w:style>
  <w:style w:type="character" w:styleId="970" w:customStyle="1">
    <w:name w:val="font31"/>
    <w:basedOn w:val="724"/>
    <w:uiPriority w:val="0"/>
    <w:qFormat/>
    <w:rPr>
      <w:rFonts w:hint="default" w:ascii="Times New Roman" w:hAnsi="Times New Roman" w:cs="Times New Roman"/>
      <w:color w:val="000000"/>
      <w:sz w:val="22"/>
      <w:szCs w:val="22"/>
      <w:u w:val="none"/>
    </w:rPr>
  </w:style>
  <w:style w:type="character" w:styleId="971" w:customStyle="1">
    <w:name w:val="font11"/>
    <w:basedOn w:val="724"/>
    <w:uiPriority w:val="0"/>
    <w:qFormat/>
    <w:rPr>
      <w:rFonts w:hint="eastAsia" w:ascii="宋体" w:hAnsi="宋体" w:eastAsia="宋体" w:cs="宋体"/>
      <w:color w:val="000000"/>
      <w:sz w:val="22"/>
      <w:szCs w:val="22"/>
      <w:u w:val="none"/>
    </w:rPr>
  </w:style>
  <w:style w:type="paragraph" w:styleId="972" w:customStyle="1">
    <w:name w:val="文档结构图1"/>
    <w:basedOn w:val="714"/>
    <w:uiPriority w:val="99"/>
    <w:qFormat/>
    <w:pPr>
      <w:shd w:val="clear" w:color="auto" w:fill="000080"/>
    </w:pPr>
  </w:style>
  <w:style w:type="paragraph" w:styleId="973" w:customStyle="1">
    <w:name w:val="纯文本7"/>
    <w:basedOn w:val="714"/>
    <w:uiPriority w:val="0"/>
    <w:qFormat/>
    <w:rPr>
      <w:rFonts w:ascii="宋体" w:hAnsi="Courier New" w:eastAsia="楷体_GB2312"/>
      <w:sz w:val="26"/>
      <w:szCs w:val="20"/>
    </w:rPr>
  </w:style>
  <w:style w:type="character" w:styleId="974" w:customStyle="1">
    <w:name w:val="font41"/>
    <w:basedOn w:val="724"/>
    <w:uiPriority w:val="0"/>
    <w:qFormat/>
    <w:rPr>
      <w:rFonts w:ascii="Arial" w:hAnsi="Arial" w:cs="Arial"/>
      <w:color w:val="000000"/>
      <w:sz w:val="20"/>
      <w:szCs w:val="20"/>
      <w:u w:val="none"/>
    </w:rPr>
  </w:style>
  <w:style w:type="character" w:styleId="975" w:customStyle="1">
    <w:name w:val="font61"/>
    <w:basedOn w:val="724"/>
    <w:uiPriority w:val="0"/>
    <w:qFormat/>
    <w:rPr>
      <w:rFonts w:hint="eastAsia" w:ascii="宋体" w:hAnsi="宋体" w:eastAsia="宋体" w:cs="宋体"/>
      <w:b/>
      <w:bCs/>
      <w:color w:val="000000"/>
      <w:sz w:val="20"/>
      <w:szCs w:val="20"/>
      <w:u w:val="none"/>
    </w:rPr>
  </w:style>
  <w:style w:type="paragraph" w:styleId="976" w:customStyle="1">
    <w:name w:val="_Style 3"/>
    <w:basedOn w:val="714"/>
    <w:uiPriority w:val="99"/>
    <w:qFormat/>
    <w:rPr>
      <w:szCs w:val="21"/>
    </w:rPr>
  </w:style>
  <w:style w:type="character" w:styleId="977" w:customStyle="1">
    <w:name w:val="font01"/>
    <w:basedOn w:val="724"/>
    <w:uiPriority w:val="0"/>
    <w:qFormat/>
    <w:rPr>
      <w:rFonts w:hint="eastAsia" w:ascii="宋体" w:hAnsi="宋体" w:eastAsia="宋体" w:cs="宋体"/>
      <w:color w:val="000000"/>
      <w:sz w:val="22"/>
      <w:szCs w:val="22"/>
      <w:u w:val="none"/>
    </w:rPr>
  </w:style>
  <w:style w:type="paragraph" w:styleId="978" w:customStyle="1">
    <w:name w:val="Table Text"/>
    <w:basedOn w:val="714"/>
    <w:uiPriority w:val="0"/>
    <w:semiHidden/>
    <w:qFormat/>
    <w:rPr>
      <w:rFonts w:ascii="仿宋" w:hAnsi="仿宋" w:eastAsia="仿宋" w:cs="仿宋"/>
      <w:sz w:val="20"/>
      <w:szCs w:val="20"/>
      <w:lang w:eastAsia="en-US"/>
    </w:rPr>
  </w:style>
  <w:style w:type="paragraph" w:styleId="979" w:customStyle="1">
    <w:name w:val="正文文本缩进 31"/>
    <w:basedOn w:val="714"/>
    <w:uiPriority w:val="0"/>
    <w:qFormat/>
    <w:pPr>
      <w:ind w:firstLine="570"/>
      <w:spacing w:line="520" w:lineRule="exact"/>
    </w:pPr>
    <w:rPr>
      <w:rFonts w:ascii="宋体" w:hAnsi="宋体"/>
      <w:bCs/>
      <w:sz w:val="24"/>
      <w:u w:val="single"/>
    </w:rPr>
  </w:style>
  <w:style w:type="numbering" w:styleId="15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杨艳丽</cp:lastModifiedBy>
  <cp:revision>13</cp:revision>
  <dcterms:created xsi:type="dcterms:W3CDTF">2024-11-11T02:36:00Z</dcterms:created>
  <dcterms:modified xsi:type="dcterms:W3CDTF">2026-08-11T06:06:48Z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F0AAAA0B5F0F41B2B5DE414B34B2C17C_13</vt:lpwstr>
  </property>
  <property fmtid="{D5CDD505-2E9C-101B-9397-08002B2CF9AE}" pid="4" name="KSOTemplateDocerSaveRecord">
    <vt:lpwstr>eyJoZGlkIjoiNzlhMGE1MWZiZWQ4Njg3YjZiZjM5NjMwYTc0ZTMyNzgiLCJ1c2VySWQiOiIxOTU4ODMwMDMifQ==</vt:lpwstr>
  </property>
</Properties>
</file>